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872A26"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bookmarkStart w:id="0" w:name="_GoBack"/>
      <w:bookmarkEnd w:id="0"/>
      <w:r w:rsidRPr="00410F6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w:t>
      </w:r>
      <w:r w:rsidR="00CD32C6" w:rsidRPr="00410F65">
        <w:rPr>
          <w:rFonts w:ascii="Palatino Linotype" w:eastAsia="Palatino Linotype" w:hAnsi="Palatino Linotype" w:cs="Palatino Linotype"/>
          <w:sz w:val="22"/>
          <w:szCs w:val="22"/>
        </w:rPr>
        <w:t xml:space="preserve">en Metepec, Estado de México, a cinco de febrero </w:t>
      </w:r>
      <w:r w:rsidR="00E60A8E" w:rsidRPr="00410F65">
        <w:rPr>
          <w:rFonts w:ascii="Palatino Linotype" w:eastAsia="Palatino Linotype" w:hAnsi="Palatino Linotype" w:cs="Palatino Linotype"/>
          <w:sz w:val="22"/>
          <w:szCs w:val="22"/>
        </w:rPr>
        <w:t>de dos mil veintiséis</w:t>
      </w:r>
      <w:r w:rsidRPr="00410F65">
        <w:rPr>
          <w:rFonts w:ascii="Palatino Linotype" w:eastAsia="Palatino Linotype" w:hAnsi="Palatino Linotype" w:cs="Palatino Linotype"/>
          <w:sz w:val="22"/>
          <w:szCs w:val="22"/>
        </w:rPr>
        <w:t xml:space="preserve">. </w:t>
      </w:r>
    </w:p>
    <w:p w14:paraId="3A68F2CF" w14:textId="77777777" w:rsidR="000B189A" w:rsidRPr="00410F65" w:rsidRDefault="000B189A" w:rsidP="00101CE8">
      <w:pPr>
        <w:spacing w:line="360" w:lineRule="auto"/>
        <w:jc w:val="both"/>
        <w:rPr>
          <w:rFonts w:ascii="Palatino Linotype" w:eastAsia="Palatino Linotype" w:hAnsi="Palatino Linotype" w:cs="Palatino Linotype"/>
          <w:sz w:val="22"/>
          <w:szCs w:val="22"/>
        </w:rPr>
      </w:pPr>
    </w:p>
    <w:p w14:paraId="6737C48A"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VISTO</w:t>
      </w:r>
      <w:r w:rsidRPr="00410F65">
        <w:rPr>
          <w:rFonts w:ascii="Palatino Linotype" w:eastAsia="Palatino Linotype" w:hAnsi="Palatino Linotype" w:cs="Palatino Linotype"/>
          <w:sz w:val="22"/>
          <w:szCs w:val="22"/>
        </w:rPr>
        <w:t xml:space="preserve"> el expediente formado con motivo del recurso de revisión </w:t>
      </w:r>
      <w:r w:rsidR="00657DB7" w:rsidRPr="00410F65">
        <w:rPr>
          <w:rFonts w:ascii="Palatino Linotype" w:eastAsia="Palatino Linotype" w:hAnsi="Palatino Linotype" w:cs="Palatino Linotype"/>
          <w:b/>
          <w:sz w:val="22"/>
          <w:szCs w:val="22"/>
        </w:rPr>
        <w:t>0974</w:t>
      </w:r>
      <w:r w:rsidR="00CD32C6" w:rsidRPr="00410F65">
        <w:rPr>
          <w:rFonts w:ascii="Palatino Linotype" w:eastAsia="Palatino Linotype" w:hAnsi="Palatino Linotype" w:cs="Palatino Linotype"/>
          <w:b/>
          <w:sz w:val="22"/>
          <w:szCs w:val="22"/>
        </w:rPr>
        <w:t>9</w:t>
      </w:r>
      <w:r w:rsidRPr="00410F65">
        <w:rPr>
          <w:rFonts w:ascii="Palatino Linotype" w:eastAsia="Palatino Linotype" w:hAnsi="Palatino Linotype" w:cs="Palatino Linotype"/>
          <w:b/>
          <w:sz w:val="22"/>
          <w:szCs w:val="22"/>
        </w:rPr>
        <w:t>/INFOEM/IP/RR/2025</w:t>
      </w:r>
      <w:r w:rsidRPr="00410F65">
        <w:rPr>
          <w:rFonts w:ascii="Palatino Linotype" w:eastAsia="Palatino Linotype" w:hAnsi="Palatino Linotype" w:cs="Palatino Linotype"/>
          <w:sz w:val="22"/>
          <w:szCs w:val="22"/>
        </w:rPr>
        <w:t>, interpuesto por</w:t>
      </w:r>
      <w:r w:rsidRPr="00410F65">
        <w:rPr>
          <w:rFonts w:ascii="Palatino Linotype" w:eastAsia="Palatino Linotype" w:hAnsi="Palatino Linotype" w:cs="Palatino Linotype"/>
          <w:b/>
          <w:sz w:val="22"/>
          <w:szCs w:val="22"/>
        </w:rPr>
        <w:t xml:space="preserve"> </w:t>
      </w:r>
      <w:r w:rsidR="00CD32C6" w:rsidRPr="00410F65">
        <w:rPr>
          <w:rFonts w:ascii="Palatino Linotype" w:eastAsia="Palatino Linotype" w:hAnsi="Palatino Linotype" w:cs="Palatino Linotype"/>
          <w:b/>
          <w:sz w:val="22"/>
          <w:szCs w:val="22"/>
        </w:rPr>
        <w:t>un particular que no proporcionó nombre o seudónimo para ser identificado</w:t>
      </w:r>
      <w:r w:rsidRPr="00410F65">
        <w:rPr>
          <w:rFonts w:ascii="Palatino Linotype" w:eastAsia="Palatino Linotype" w:hAnsi="Palatino Linotype" w:cs="Palatino Linotype"/>
          <w:sz w:val="22"/>
          <w:szCs w:val="22"/>
        </w:rPr>
        <w:t>, en lo sucesivo</w:t>
      </w:r>
      <w:r w:rsidRPr="00410F65">
        <w:rPr>
          <w:rFonts w:ascii="Palatino Linotype" w:eastAsia="Palatino Linotype" w:hAnsi="Palatino Linotype" w:cs="Palatino Linotype"/>
          <w:b/>
          <w:sz w:val="22"/>
          <w:szCs w:val="22"/>
        </w:rPr>
        <w:t xml:space="preserve"> </w:t>
      </w:r>
      <w:r w:rsidRPr="00410F65">
        <w:rPr>
          <w:rFonts w:ascii="Palatino Linotype" w:eastAsia="Palatino Linotype" w:hAnsi="Palatino Linotype" w:cs="Palatino Linotype"/>
          <w:sz w:val="22"/>
          <w:szCs w:val="22"/>
        </w:rPr>
        <w:t xml:space="preserve">la parte </w:t>
      </w:r>
      <w:r w:rsidRPr="00410F65">
        <w:rPr>
          <w:rFonts w:ascii="Palatino Linotype" w:eastAsia="Palatino Linotype" w:hAnsi="Palatino Linotype" w:cs="Palatino Linotype"/>
          <w:b/>
          <w:sz w:val="22"/>
          <w:szCs w:val="22"/>
        </w:rPr>
        <w:t>Recurrente,</w:t>
      </w:r>
      <w:r w:rsidRPr="00410F65">
        <w:rPr>
          <w:rFonts w:ascii="Palatino Linotype" w:eastAsia="Palatino Linotype" w:hAnsi="Palatino Linotype" w:cs="Palatino Linotype"/>
          <w:sz w:val="22"/>
          <w:szCs w:val="22"/>
        </w:rPr>
        <w:t xml:space="preserve"> en contra de la respuesta a su solicitud de información con número de folio </w:t>
      </w:r>
      <w:r w:rsidR="00657DB7" w:rsidRPr="00410F65">
        <w:rPr>
          <w:rFonts w:ascii="Palatino Linotype" w:eastAsia="Palatino Linotype" w:hAnsi="Palatino Linotype" w:cs="Palatino Linotype"/>
          <w:b/>
          <w:sz w:val="22"/>
          <w:szCs w:val="22"/>
        </w:rPr>
        <w:t>03858/TOLUCA/IP/2025</w:t>
      </w:r>
      <w:r w:rsidRPr="00410F65">
        <w:rPr>
          <w:rFonts w:ascii="Palatino Linotype" w:eastAsia="Palatino Linotype" w:hAnsi="Palatino Linotype" w:cs="Palatino Linotype"/>
          <w:sz w:val="22"/>
          <w:szCs w:val="22"/>
        </w:rPr>
        <w:t xml:space="preserve">, por parte del </w:t>
      </w:r>
      <w:r w:rsidR="00CD32C6" w:rsidRPr="00410F65">
        <w:rPr>
          <w:rFonts w:ascii="Palatino Linotype" w:eastAsia="Palatino Linotype" w:hAnsi="Palatino Linotype" w:cs="Palatino Linotype"/>
          <w:b/>
          <w:sz w:val="22"/>
          <w:szCs w:val="22"/>
        </w:rPr>
        <w:t>Ayuntamiento de Toluca</w:t>
      </w:r>
      <w:r w:rsidRPr="00410F65">
        <w:rPr>
          <w:rFonts w:ascii="Palatino Linotype" w:eastAsia="Palatino Linotype" w:hAnsi="Palatino Linotype" w:cs="Palatino Linotype"/>
          <w:b/>
          <w:sz w:val="22"/>
          <w:szCs w:val="22"/>
        </w:rPr>
        <w:t xml:space="preserve">, </w:t>
      </w:r>
      <w:r w:rsidRPr="00410F65">
        <w:rPr>
          <w:rFonts w:ascii="Palatino Linotype" w:eastAsia="Palatino Linotype" w:hAnsi="Palatino Linotype" w:cs="Palatino Linotype"/>
          <w:sz w:val="22"/>
          <w:szCs w:val="22"/>
        </w:rPr>
        <w:t xml:space="preserve">en lo sucesivo el </w:t>
      </w:r>
      <w:r w:rsidRPr="00410F65">
        <w:rPr>
          <w:rFonts w:ascii="Palatino Linotype" w:eastAsia="Palatino Linotype" w:hAnsi="Palatino Linotype" w:cs="Palatino Linotype"/>
          <w:b/>
          <w:sz w:val="22"/>
          <w:szCs w:val="22"/>
        </w:rPr>
        <w:t xml:space="preserve">Sujeto Obligado, </w:t>
      </w:r>
      <w:r w:rsidRPr="00410F65">
        <w:rPr>
          <w:rFonts w:ascii="Palatino Linotype" w:eastAsia="Palatino Linotype" w:hAnsi="Palatino Linotype" w:cs="Palatino Linotype"/>
          <w:sz w:val="22"/>
          <w:szCs w:val="22"/>
        </w:rPr>
        <w:t xml:space="preserve">se procede a dictar la presente resolución con base en los siguientes:  </w:t>
      </w:r>
    </w:p>
    <w:p w14:paraId="617BDE10" w14:textId="77777777" w:rsidR="000B189A" w:rsidRPr="00410F65" w:rsidRDefault="000B189A" w:rsidP="00101CE8">
      <w:pPr>
        <w:spacing w:line="360" w:lineRule="auto"/>
        <w:jc w:val="center"/>
        <w:rPr>
          <w:rFonts w:ascii="Palatino Linotype" w:eastAsia="Palatino Linotype" w:hAnsi="Palatino Linotype" w:cs="Palatino Linotype"/>
          <w:b/>
          <w:sz w:val="22"/>
          <w:szCs w:val="22"/>
        </w:rPr>
      </w:pPr>
    </w:p>
    <w:p w14:paraId="6802F649" w14:textId="77777777" w:rsidR="000B189A" w:rsidRPr="00410F65" w:rsidRDefault="00527D5F" w:rsidP="00101CE8">
      <w:pPr>
        <w:spacing w:line="360" w:lineRule="auto"/>
        <w:jc w:val="center"/>
        <w:rPr>
          <w:rFonts w:ascii="Palatino Linotype" w:eastAsia="Palatino Linotype" w:hAnsi="Palatino Linotype" w:cs="Palatino Linotype"/>
          <w:b/>
          <w:sz w:val="22"/>
          <w:szCs w:val="22"/>
        </w:rPr>
      </w:pPr>
      <w:r w:rsidRPr="00410F65">
        <w:rPr>
          <w:rFonts w:ascii="Palatino Linotype" w:eastAsia="Palatino Linotype" w:hAnsi="Palatino Linotype" w:cs="Palatino Linotype"/>
          <w:b/>
          <w:sz w:val="22"/>
          <w:szCs w:val="22"/>
        </w:rPr>
        <w:t>I. A N T E C E D E N T E S</w:t>
      </w:r>
    </w:p>
    <w:p w14:paraId="54AF2CA1" w14:textId="77777777" w:rsidR="000B189A" w:rsidRPr="00410F65" w:rsidRDefault="000B189A" w:rsidP="00101CE8">
      <w:pPr>
        <w:spacing w:line="360" w:lineRule="auto"/>
        <w:jc w:val="both"/>
        <w:rPr>
          <w:rFonts w:ascii="Palatino Linotype" w:eastAsia="Palatino Linotype" w:hAnsi="Palatino Linotype" w:cs="Palatino Linotype"/>
          <w:b/>
          <w:sz w:val="22"/>
          <w:szCs w:val="22"/>
        </w:rPr>
      </w:pPr>
    </w:p>
    <w:p w14:paraId="5F4FFBB8"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1. Solicitud de acceso a la información.</w:t>
      </w:r>
      <w:r w:rsidRPr="00410F65">
        <w:rPr>
          <w:rFonts w:ascii="Palatino Linotype" w:eastAsia="Palatino Linotype" w:hAnsi="Palatino Linotype" w:cs="Palatino Linotype"/>
          <w:sz w:val="22"/>
          <w:szCs w:val="22"/>
        </w:rPr>
        <w:t xml:space="preserve"> Con fecha </w:t>
      </w:r>
      <w:r w:rsidR="00657DB7" w:rsidRPr="00410F65">
        <w:rPr>
          <w:rFonts w:ascii="Palatino Linotype" w:eastAsia="Palatino Linotype" w:hAnsi="Palatino Linotype" w:cs="Palatino Linotype"/>
          <w:b/>
          <w:sz w:val="22"/>
          <w:szCs w:val="22"/>
        </w:rPr>
        <w:t>siete de julio</w:t>
      </w:r>
      <w:r w:rsidRPr="00410F65">
        <w:rPr>
          <w:rFonts w:ascii="Palatino Linotype" w:eastAsia="Palatino Linotype" w:hAnsi="Palatino Linotype" w:cs="Palatino Linotype"/>
          <w:b/>
          <w:sz w:val="22"/>
          <w:szCs w:val="22"/>
        </w:rPr>
        <w:t xml:space="preserve"> de dos mil veinticinco</w:t>
      </w:r>
      <w:r w:rsidRPr="00410F65">
        <w:rPr>
          <w:rFonts w:ascii="Palatino Linotype" w:eastAsia="Palatino Linotype" w:hAnsi="Palatino Linotype" w:cs="Palatino Linotype"/>
          <w:sz w:val="22"/>
          <w:szCs w:val="22"/>
        </w:rPr>
        <w:t xml:space="preserve">, la parte </w:t>
      </w:r>
      <w:r w:rsidRPr="00410F65">
        <w:rPr>
          <w:rFonts w:ascii="Palatino Linotype" w:eastAsia="Palatino Linotype" w:hAnsi="Palatino Linotype" w:cs="Palatino Linotype"/>
          <w:b/>
          <w:sz w:val="22"/>
          <w:szCs w:val="22"/>
        </w:rPr>
        <w:t>Recurrente</w:t>
      </w:r>
      <w:r w:rsidRPr="00410F65">
        <w:rPr>
          <w:rFonts w:ascii="Palatino Linotype" w:eastAsia="Palatino Linotype" w:hAnsi="Palatino Linotype" w:cs="Palatino Linotype"/>
          <w:sz w:val="22"/>
          <w:szCs w:val="22"/>
        </w:rPr>
        <w:t xml:space="preserve"> formuló solicitud de acceso a información pública al </w:t>
      </w:r>
      <w:r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xml:space="preserve"> a través del Sistema de Acceso a la Información Mexiquense, en adelante </w:t>
      </w:r>
      <w:r w:rsidRPr="00410F65">
        <w:rPr>
          <w:rFonts w:ascii="Palatino Linotype" w:eastAsia="Palatino Linotype" w:hAnsi="Palatino Linotype" w:cs="Palatino Linotype"/>
          <w:b/>
          <w:sz w:val="22"/>
          <w:szCs w:val="22"/>
        </w:rPr>
        <w:t>SAIMEX</w:t>
      </w:r>
      <w:r w:rsidR="00E60A8E" w:rsidRPr="00410F65">
        <w:rPr>
          <w:rFonts w:ascii="Palatino Linotype" w:eastAsia="Palatino Linotype" w:hAnsi="Palatino Linotype" w:cs="Palatino Linotype"/>
          <w:sz w:val="22"/>
          <w:szCs w:val="22"/>
        </w:rPr>
        <w:t>;</w:t>
      </w:r>
      <w:r w:rsidRPr="00410F65">
        <w:rPr>
          <w:rFonts w:ascii="Palatino Linotype" w:eastAsia="Palatino Linotype" w:hAnsi="Palatino Linotype" w:cs="Palatino Linotype"/>
          <w:b/>
          <w:sz w:val="22"/>
          <w:szCs w:val="22"/>
        </w:rPr>
        <w:t xml:space="preserve"> </w:t>
      </w:r>
      <w:r w:rsidRPr="00410F65">
        <w:rPr>
          <w:rFonts w:ascii="Palatino Linotype" w:eastAsia="Palatino Linotype" w:hAnsi="Palatino Linotype" w:cs="Palatino Linotype"/>
          <w:sz w:val="22"/>
          <w:szCs w:val="22"/>
        </w:rPr>
        <w:t>requiriéndole lo siguiente:</w:t>
      </w:r>
    </w:p>
    <w:p w14:paraId="1A78BCE1" w14:textId="77777777" w:rsidR="000B189A" w:rsidRPr="00410F65" w:rsidRDefault="000B189A" w:rsidP="00101CE8">
      <w:pPr>
        <w:spacing w:line="276" w:lineRule="auto"/>
        <w:ind w:left="851" w:right="616"/>
        <w:jc w:val="both"/>
        <w:rPr>
          <w:rFonts w:ascii="Palatino Linotype" w:eastAsia="Palatino Linotype" w:hAnsi="Palatino Linotype" w:cs="Palatino Linotype"/>
          <w:i/>
          <w:sz w:val="22"/>
          <w:szCs w:val="22"/>
        </w:rPr>
      </w:pPr>
    </w:p>
    <w:p w14:paraId="24F2C0F5" w14:textId="77777777" w:rsidR="000B189A" w:rsidRPr="00410F65" w:rsidRDefault="00527D5F" w:rsidP="00101CE8">
      <w:pPr>
        <w:spacing w:line="276" w:lineRule="auto"/>
        <w:ind w:left="851" w:right="616"/>
        <w:jc w:val="both"/>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i/>
          <w:sz w:val="22"/>
          <w:szCs w:val="22"/>
        </w:rPr>
        <w:t>“</w:t>
      </w:r>
      <w:r w:rsidR="00657DB7" w:rsidRPr="00410F65">
        <w:rPr>
          <w:rFonts w:ascii="Palatino Linotype" w:eastAsia="Palatino Linotype" w:hAnsi="Palatino Linotype" w:cs="Palatino Linotype"/>
          <w:i/>
          <w:sz w:val="22"/>
          <w:szCs w:val="22"/>
        </w:rPr>
        <w:t>los fup de todo el personal dado de baja con su cv y la renunica firmada de esos cuantos demandaron y en que estatus esta la demanda y cuantos laudos se han pahado con la resolución y el monto pagado no es informaicón confidencial ni derecho de petición no sean ineptos es obligación darlos</w:t>
      </w:r>
      <w:r w:rsidRPr="00410F65">
        <w:rPr>
          <w:rFonts w:ascii="Palatino Linotype" w:eastAsia="Palatino Linotype" w:hAnsi="Palatino Linotype" w:cs="Palatino Linotype"/>
          <w:b/>
          <w:i/>
          <w:sz w:val="22"/>
          <w:szCs w:val="22"/>
        </w:rPr>
        <w:t>”</w:t>
      </w:r>
      <w:r w:rsidRPr="00410F65">
        <w:rPr>
          <w:rFonts w:ascii="Palatino Linotype" w:eastAsia="Palatino Linotype" w:hAnsi="Palatino Linotype" w:cs="Palatino Linotype"/>
          <w:i/>
          <w:sz w:val="22"/>
          <w:szCs w:val="22"/>
        </w:rPr>
        <w:t xml:space="preserve"> (sic) </w:t>
      </w:r>
    </w:p>
    <w:p w14:paraId="0FE139D8" w14:textId="77777777" w:rsidR="000B189A" w:rsidRPr="00410F65" w:rsidRDefault="000B189A" w:rsidP="00101CE8">
      <w:pPr>
        <w:spacing w:line="360" w:lineRule="auto"/>
        <w:jc w:val="both"/>
        <w:rPr>
          <w:rFonts w:ascii="Palatino Linotype" w:eastAsia="Palatino Linotype" w:hAnsi="Palatino Linotype" w:cs="Palatino Linotype"/>
          <w:b/>
          <w:sz w:val="22"/>
          <w:szCs w:val="22"/>
        </w:rPr>
      </w:pPr>
    </w:p>
    <w:p w14:paraId="4E74C7D8"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Modalidad de Entrega:</w:t>
      </w:r>
      <w:r w:rsidRPr="00410F65">
        <w:rPr>
          <w:rFonts w:ascii="Palatino Linotype" w:eastAsia="Palatino Linotype" w:hAnsi="Palatino Linotype" w:cs="Palatino Linotype"/>
          <w:sz w:val="22"/>
          <w:szCs w:val="22"/>
        </w:rPr>
        <w:t xml:space="preserve"> a través </w:t>
      </w:r>
      <w:r w:rsidRPr="00410F65">
        <w:rPr>
          <w:rFonts w:ascii="Palatino Linotype" w:eastAsia="Palatino Linotype" w:hAnsi="Palatino Linotype" w:cs="Palatino Linotype"/>
          <w:b/>
          <w:sz w:val="22"/>
          <w:szCs w:val="22"/>
        </w:rPr>
        <w:t>de SAIMEX</w:t>
      </w:r>
    </w:p>
    <w:p w14:paraId="71238208" w14:textId="77777777" w:rsidR="000B189A" w:rsidRPr="00410F65" w:rsidRDefault="000B189A" w:rsidP="00101CE8">
      <w:pPr>
        <w:spacing w:line="360" w:lineRule="auto"/>
        <w:jc w:val="both"/>
        <w:rPr>
          <w:rFonts w:ascii="Palatino Linotype" w:eastAsia="Palatino Linotype" w:hAnsi="Palatino Linotype" w:cs="Palatino Linotype"/>
          <w:b/>
          <w:sz w:val="22"/>
          <w:szCs w:val="22"/>
        </w:rPr>
      </w:pPr>
      <w:bookmarkStart w:id="1" w:name="_heading=h.3dy6vkm" w:colFirst="0" w:colLast="0"/>
      <w:bookmarkEnd w:id="1"/>
    </w:p>
    <w:p w14:paraId="7A406191" w14:textId="77777777" w:rsidR="000B189A" w:rsidRPr="00410F65" w:rsidRDefault="00527D5F" w:rsidP="00101CE8">
      <w:pPr>
        <w:spacing w:line="360" w:lineRule="auto"/>
        <w:jc w:val="both"/>
        <w:rPr>
          <w:rFonts w:ascii="Palatino Linotype" w:eastAsia="Palatino Linotype" w:hAnsi="Palatino Linotype" w:cs="Palatino Linotype"/>
          <w:b/>
          <w:sz w:val="22"/>
          <w:szCs w:val="22"/>
        </w:rPr>
      </w:pPr>
      <w:r w:rsidRPr="00410F65">
        <w:rPr>
          <w:rFonts w:ascii="Palatino Linotype" w:eastAsia="Palatino Linotype" w:hAnsi="Palatino Linotype" w:cs="Palatino Linotype"/>
          <w:b/>
          <w:sz w:val="22"/>
          <w:szCs w:val="22"/>
        </w:rPr>
        <w:lastRenderedPageBreak/>
        <w:t xml:space="preserve">2. Respuesta. </w:t>
      </w:r>
      <w:r w:rsidRPr="00410F65">
        <w:rPr>
          <w:rFonts w:ascii="Palatino Linotype" w:eastAsia="Palatino Linotype" w:hAnsi="Palatino Linotype" w:cs="Palatino Linotype"/>
          <w:sz w:val="22"/>
          <w:szCs w:val="22"/>
        </w:rPr>
        <w:t>Con fecha</w:t>
      </w:r>
      <w:r w:rsidRPr="00410F65">
        <w:rPr>
          <w:rFonts w:ascii="Palatino Linotype" w:eastAsia="Palatino Linotype" w:hAnsi="Palatino Linotype" w:cs="Palatino Linotype"/>
          <w:b/>
          <w:sz w:val="22"/>
          <w:szCs w:val="22"/>
        </w:rPr>
        <w:t xml:space="preserve"> </w:t>
      </w:r>
      <w:r w:rsidR="00657DB7" w:rsidRPr="00410F65">
        <w:rPr>
          <w:rFonts w:ascii="Palatino Linotype" w:eastAsia="Palatino Linotype" w:hAnsi="Palatino Linotype" w:cs="Palatino Linotype"/>
          <w:b/>
          <w:sz w:val="22"/>
          <w:szCs w:val="22"/>
        </w:rPr>
        <w:t>once</w:t>
      </w:r>
      <w:r w:rsidR="006821B4" w:rsidRPr="00410F65">
        <w:rPr>
          <w:rFonts w:ascii="Palatino Linotype" w:eastAsia="Palatino Linotype" w:hAnsi="Palatino Linotype" w:cs="Palatino Linotype"/>
          <w:b/>
          <w:sz w:val="22"/>
          <w:szCs w:val="22"/>
        </w:rPr>
        <w:t xml:space="preserve"> de agosto </w:t>
      </w:r>
      <w:r w:rsidRPr="00410F65">
        <w:rPr>
          <w:rFonts w:ascii="Palatino Linotype" w:eastAsia="Palatino Linotype" w:hAnsi="Palatino Linotype" w:cs="Palatino Linotype"/>
          <w:b/>
          <w:sz w:val="22"/>
          <w:szCs w:val="22"/>
        </w:rPr>
        <w:t>de dos mil veinticinco</w:t>
      </w:r>
      <w:r w:rsidRPr="00410F65">
        <w:rPr>
          <w:rFonts w:ascii="Palatino Linotype" w:eastAsia="Palatino Linotype" w:hAnsi="Palatino Linotype" w:cs="Palatino Linotype"/>
          <w:sz w:val="22"/>
          <w:szCs w:val="22"/>
        </w:rPr>
        <w:t xml:space="preserve">, el </w:t>
      </w:r>
      <w:r w:rsidRPr="00410F65">
        <w:rPr>
          <w:rFonts w:ascii="Palatino Linotype" w:eastAsia="Palatino Linotype" w:hAnsi="Palatino Linotype" w:cs="Palatino Linotype"/>
          <w:b/>
          <w:sz w:val="22"/>
          <w:szCs w:val="22"/>
        </w:rPr>
        <w:t xml:space="preserve">Sujeto Obligado </w:t>
      </w:r>
      <w:r w:rsidRPr="00410F65">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12EBF0D7" w14:textId="77777777" w:rsidR="000B189A" w:rsidRPr="00410F65" w:rsidRDefault="000B189A" w:rsidP="00101CE8">
      <w:pPr>
        <w:spacing w:line="276" w:lineRule="auto"/>
        <w:ind w:left="851" w:right="616"/>
        <w:jc w:val="both"/>
        <w:rPr>
          <w:rFonts w:ascii="Palatino Linotype" w:eastAsia="Palatino Linotype" w:hAnsi="Palatino Linotype" w:cs="Palatino Linotype"/>
          <w:i/>
          <w:sz w:val="22"/>
          <w:szCs w:val="22"/>
        </w:rPr>
      </w:pPr>
    </w:p>
    <w:p w14:paraId="008310A5" w14:textId="77777777" w:rsidR="00657DB7" w:rsidRPr="00410F65" w:rsidRDefault="00E60A8E"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r w:rsidR="00657DB7" w:rsidRPr="00410F6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2247AF" w14:textId="77777777" w:rsidR="00657DB7" w:rsidRPr="00410F65" w:rsidRDefault="00657DB7"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En atención a la solicitud con folio 03858/TOLUCA/IP/2025, me permito adjuntar al presente la respuesta correspondiente, Sin más por el momento, reciba un saludo.</w:t>
      </w:r>
    </w:p>
    <w:p w14:paraId="2124D1D4" w14:textId="77777777" w:rsidR="00657DB7" w:rsidRPr="00410F65" w:rsidRDefault="00657DB7"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ATENTAMENTE</w:t>
      </w:r>
    </w:p>
    <w:p w14:paraId="1C927B5F" w14:textId="77777777" w:rsidR="000B189A" w:rsidRPr="00410F65" w:rsidRDefault="00657DB7" w:rsidP="00101CE8">
      <w:pPr>
        <w:spacing w:line="276" w:lineRule="auto"/>
        <w:ind w:left="851" w:right="616"/>
        <w:jc w:val="both"/>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i/>
          <w:sz w:val="22"/>
          <w:szCs w:val="22"/>
        </w:rPr>
        <w:t>Dr. Nahum Miguel Mendoza Morales</w:t>
      </w:r>
      <w:r w:rsidR="00527D5F" w:rsidRPr="00410F65">
        <w:rPr>
          <w:rFonts w:ascii="Palatino Linotype" w:eastAsia="Palatino Linotype" w:hAnsi="Palatino Linotype" w:cs="Palatino Linotype"/>
          <w:i/>
          <w:sz w:val="22"/>
          <w:szCs w:val="22"/>
        </w:rPr>
        <w:t>” (sic)</w:t>
      </w:r>
    </w:p>
    <w:p w14:paraId="3A93BEAF" w14:textId="77777777" w:rsidR="000B189A" w:rsidRPr="00410F65" w:rsidRDefault="000B189A" w:rsidP="00101CE8">
      <w:pPr>
        <w:spacing w:line="360" w:lineRule="auto"/>
        <w:ind w:right="49"/>
        <w:jc w:val="both"/>
        <w:rPr>
          <w:rFonts w:ascii="Palatino Linotype" w:eastAsia="Palatino Linotype" w:hAnsi="Palatino Linotype" w:cs="Palatino Linotype"/>
          <w:b/>
          <w:sz w:val="22"/>
          <w:szCs w:val="22"/>
        </w:rPr>
      </w:pPr>
    </w:p>
    <w:p w14:paraId="51070AE0" w14:textId="77777777" w:rsidR="006821B4" w:rsidRPr="00410F65" w:rsidRDefault="006821B4" w:rsidP="00101CE8">
      <w:pPr>
        <w:spacing w:line="360" w:lineRule="auto"/>
        <w:ind w:right="49"/>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Adjuntando a su respuesta los archivos electrónicos denominados</w:t>
      </w:r>
      <w:r w:rsidRPr="00410F65">
        <w:rPr>
          <w:rFonts w:ascii="Palatino Linotype" w:eastAsia="Palatino Linotype" w:hAnsi="Palatino Linotype" w:cs="Palatino Linotype"/>
          <w:b/>
          <w:sz w:val="22"/>
          <w:szCs w:val="22"/>
        </w:rPr>
        <w:t xml:space="preserve"> </w:t>
      </w:r>
      <w:r w:rsidRPr="00410F65">
        <w:rPr>
          <w:rFonts w:ascii="Palatino Linotype" w:eastAsia="Palatino Linotype" w:hAnsi="Palatino Linotype" w:cs="Palatino Linotype"/>
          <w:b/>
          <w:i/>
          <w:sz w:val="22"/>
          <w:szCs w:val="22"/>
        </w:rPr>
        <w:t>“</w:t>
      </w:r>
      <w:r w:rsidR="00657DB7" w:rsidRPr="00410F65">
        <w:rPr>
          <w:rFonts w:ascii="Palatino Linotype" w:eastAsia="Palatino Linotype" w:hAnsi="Palatino Linotype" w:cs="Palatino Linotype"/>
          <w:b/>
          <w:i/>
          <w:sz w:val="22"/>
          <w:szCs w:val="22"/>
        </w:rPr>
        <w:t xml:space="preserve">3858.pdf </w:t>
      </w:r>
      <w:r w:rsidR="00657DB7" w:rsidRPr="00410F65">
        <w:rPr>
          <w:rFonts w:ascii="Palatino Linotype" w:eastAsia="Palatino Linotype" w:hAnsi="Palatino Linotype" w:cs="Palatino Linotype"/>
          <w:sz w:val="22"/>
          <w:szCs w:val="22"/>
        </w:rPr>
        <w:t xml:space="preserve">y </w:t>
      </w:r>
      <w:r w:rsidR="00657DB7" w:rsidRPr="00410F65">
        <w:rPr>
          <w:rFonts w:ascii="Palatino Linotype" w:eastAsia="Palatino Linotype" w:hAnsi="Palatino Linotype" w:cs="Palatino Linotype"/>
          <w:b/>
          <w:i/>
          <w:sz w:val="22"/>
          <w:szCs w:val="22"/>
        </w:rPr>
        <w:t>NOTIF. CIUDADANO S. 3858.pdf</w:t>
      </w:r>
      <w:r w:rsidRPr="00410F65">
        <w:rPr>
          <w:rFonts w:ascii="Palatino Linotype" w:eastAsia="Palatino Linotype" w:hAnsi="Palatino Linotype" w:cs="Palatino Linotype"/>
          <w:b/>
          <w:i/>
          <w:sz w:val="22"/>
          <w:szCs w:val="22"/>
        </w:rPr>
        <w:t xml:space="preserve">”, </w:t>
      </w:r>
      <w:r w:rsidRPr="00410F65">
        <w:rPr>
          <w:rFonts w:ascii="Palatino Linotype" w:eastAsia="Palatino Linotype" w:hAnsi="Palatino Linotype" w:cs="Palatino Linotype"/>
          <w:sz w:val="22"/>
          <w:szCs w:val="22"/>
        </w:rPr>
        <w:t>cuyo contenido es el siguiente:</w:t>
      </w:r>
      <w:r w:rsidRPr="00410F65">
        <w:rPr>
          <w:rFonts w:ascii="Palatino Linotype" w:eastAsia="Palatino Linotype" w:hAnsi="Palatino Linotype" w:cs="Palatino Linotype"/>
          <w:i/>
          <w:sz w:val="22"/>
          <w:szCs w:val="22"/>
        </w:rPr>
        <w:t xml:space="preserve"> </w:t>
      </w:r>
    </w:p>
    <w:p w14:paraId="16392246" w14:textId="77777777" w:rsidR="006821B4" w:rsidRPr="00410F65" w:rsidRDefault="006821B4" w:rsidP="00101CE8">
      <w:pPr>
        <w:spacing w:line="360" w:lineRule="auto"/>
        <w:ind w:right="49"/>
        <w:jc w:val="both"/>
        <w:rPr>
          <w:rFonts w:ascii="Palatino Linotype" w:eastAsia="Palatino Linotype" w:hAnsi="Palatino Linotype" w:cs="Palatino Linotype"/>
          <w:sz w:val="22"/>
          <w:szCs w:val="22"/>
        </w:rPr>
      </w:pPr>
    </w:p>
    <w:p w14:paraId="28E48450" w14:textId="77777777" w:rsidR="00DE5EE7" w:rsidRPr="00410F65" w:rsidRDefault="00657DB7" w:rsidP="00F504F7">
      <w:pPr>
        <w:pStyle w:val="Prrafodelista"/>
        <w:numPr>
          <w:ilvl w:val="0"/>
          <w:numId w:val="13"/>
        </w:numPr>
        <w:spacing w:line="360" w:lineRule="auto"/>
        <w:ind w:left="851" w:right="616" w:firstLine="0"/>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i/>
          <w:sz w:val="22"/>
          <w:szCs w:val="22"/>
        </w:rPr>
        <w:t>3858.pdf</w:t>
      </w:r>
      <w:r w:rsidR="00115260" w:rsidRPr="00410F65">
        <w:rPr>
          <w:rFonts w:ascii="Palatino Linotype" w:eastAsia="Palatino Linotype" w:hAnsi="Palatino Linotype" w:cs="Palatino Linotype"/>
          <w:sz w:val="22"/>
          <w:szCs w:val="22"/>
        </w:rPr>
        <w:t xml:space="preserve"> Oficio número </w:t>
      </w:r>
      <w:r w:rsidRPr="00410F65">
        <w:rPr>
          <w:rFonts w:ascii="Palatino Linotype" w:eastAsia="Palatino Linotype" w:hAnsi="Palatino Linotype" w:cs="Palatino Linotype"/>
          <w:sz w:val="22"/>
          <w:szCs w:val="22"/>
        </w:rPr>
        <w:t xml:space="preserve">202010000/2539/2025 </w:t>
      </w:r>
      <w:r w:rsidR="00115260" w:rsidRPr="00410F65">
        <w:rPr>
          <w:rFonts w:ascii="Palatino Linotype" w:eastAsia="Palatino Linotype" w:hAnsi="Palatino Linotype" w:cs="Palatino Linotype"/>
          <w:sz w:val="22"/>
          <w:szCs w:val="22"/>
        </w:rPr>
        <w:t xml:space="preserve">de fecha </w:t>
      </w:r>
      <w:r w:rsidRPr="00410F65">
        <w:rPr>
          <w:rFonts w:ascii="Palatino Linotype" w:eastAsia="Palatino Linotype" w:hAnsi="Palatino Linotype" w:cs="Palatino Linotype"/>
          <w:sz w:val="22"/>
          <w:szCs w:val="22"/>
        </w:rPr>
        <w:t>catorce de julio</w:t>
      </w:r>
      <w:r w:rsidR="00115260" w:rsidRPr="00410F65">
        <w:rPr>
          <w:rFonts w:ascii="Palatino Linotype" w:eastAsia="Palatino Linotype" w:hAnsi="Palatino Linotype" w:cs="Palatino Linotype"/>
          <w:sz w:val="22"/>
          <w:szCs w:val="22"/>
        </w:rPr>
        <w:t xml:space="preserve"> de dos mil veinticinco, suscrito por el </w:t>
      </w:r>
      <w:r w:rsidR="00DE5EE7" w:rsidRPr="00410F65">
        <w:rPr>
          <w:rFonts w:ascii="Palatino Linotype" w:eastAsia="Palatino Linotype" w:hAnsi="Palatino Linotype" w:cs="Palatino Linotype"/>
          <w:sz w:val="22"/>
          <w:szCs w:val="22"/>
        </w:rPr>
        <w:t xml:space="preserve">Tesorero Municipal </w:t>
      </w:r>
      <w:r w:rsidRPr="00410F65">
        <w:rPr>
          <w:rFonts w:ascii="Palatino Linotype" w:eastAsia="Palatino Linotype" w:hAnsi="Palatino Linotype" w:cs="Palatino Linotype"/>
          <w:sz w:val="22"/>
          <w:szCs w:val="22"/>
        </w:rPr>
        <w:t>en el que informó la entrega de</w:t>
      </w:r>
      <w:r w:rsidR="00DE5EE7" w:rsidRPr="00410F65">
        <w:rPr>
          <w:rFonts w:ascii="Palatino Linotype" w:eastAsia="Palatino Linotype" w:hAnsi="Palatino Linotype" w:cs="Palatino Linotype"/>
          <w:sz w:val="22"/>
          <w:szCs w:val="22"/>
        </w:rPr>
        <w:t>l</w:t>
      </w:r>
      <w:r w:rsidRPr="00410F65">
        <w:rPr>
          <w:rFonts w:ascii="Palatino Linotype" w:eastAsia="Palatino Linotype" w:hAnsi="Palatino Linotype" w:cs="Palatino Linotype"/>
          <w:sz w:val="22"/>
          <w:szCs w:val="22"/>
        </w:rPr>
        <w:t xml:space="preserve"> </w:t>
      </w:r>
      <w:r w:rsidR="00DE5EE7" w:rsidRPr="00410F65">
        <w:rPr>
          <w:rFonts w:ascii="Palatino Linotype" w:eastAsia="Palatino Linotype" w:hAnsi="Palatino Linotype" w:cs="Palatino Linotype"/>
          <w:sz w:val="22"/>
          <w:szCs w:val="22"/>
        </w:rPr>
        <w:t xml:space="preserve">Estado Analítico del Ejercicio del Presupuesto de Egresos </w:t>
      </w:r>
      <w:r w:rsidRPr="00410F65">
        <w:rPr>
          <w:rFonts w:ascii="Palatino Linotype" w:eastAsia="Palatino Linotype" w:hAnsi="Palatino Linotype" w:cs="Palatino Linotype"/>
          <w:sz w:val="22"/>
          <w:szCs w:val="22"/>
        </w:rPr>
        <w:t xml:space="preserve">correspondiente al primer trimestre de ejercicio 2025, de conformidad con el calendario de entrega de los informes trimestrales al OSFEM, los trimestres segundo y tercero se encuentran en proceso de integración. </w:t>
      </w:r>
    </w:p>
    <w:p w14:paraId="61B4C355" w14:textId="77777777" w:rsidR="00CF34F8" w:rsidRPr="00410F65" w:rsidRDefault="00657DB7" w:rsidP="00F504F7">
      <w:pPr>
        <w:pStyle w:val="Prrafodelista"/>
        <w:numPr>
          <w:ilvl w:val="0"/>
          <w:numId w:val="15"/>
        </w:numPr>
        <w:spacing w:line="360" w:lineRule="auto"/>
        <w:ind w:left="851" w:right="49" w:firstLine="0"/>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i/>
          <w:sz w:val="22"/>
          <w:szCs w:val="22"/>
        </w:rPr>
        <w:t>NOTIF. CIUDADANO S. 3858.pdf</w:t>
      </w:r>
      <w:r w:rsidR="004B2EAE" w:rsidRPr="00410F65">
        <w:rPr>
          <w:rFonts w:ascii="Palatino Linotype" w:eastAsia="Palatino Linotype" w:hAnsi="Palatino Linotype" w:cs="Palatino Linotype"/>
          <w:sz w:val="22"/>
          <w:szCs w:val="22"/>
        </w:rPr>
        <w:t xml:space="preserve">: </w:t>
      </w:r>
    </w:p>
    <w:p w14:paraId="6EB67EA6" w14:textId="77777777" w:rsidR="00115260" w:rsidRPr="00410F65" w:rsidRDefault="004B2EAE" w:rsidP="00F504F7">
      <w:pPr>
        <w:pStyle w:val="Prrafodelista"/>
        <w:numPr>
          <w:ilvl w:val="0"/>
          <w:numId w:val="17"/>
        </w:numPr>
        <w:spacing w:line="360" w:lineRule="auto"/>
        <w:ind w:left="1560"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Oficio número </w:t>
      </w:r>
      <w:r w:rsidR="00657DB7" w:rsidRPr="00410F65">
        <w:rPr>
          <w:rFonts w:ascii="Palatino Linotype" w:eastAsia="Palatino Linotype" w:hAnsi="Palatino Linotype" w:cs="Palatino Linotype"/>
          <w:sz w:val="22"/>
          <w:szCs w:val="22"/>
        </w:rPr>
        <w:t>206010000/4407/2025</w:t>
      </w:r>
      <w:r w:rsidRPr="00410F65">
        <w:rPr>
          <w:rFonts w:ascii="Palatino Linotype" w:eastAsia="Palatino Linotype" w:hAnsi="Palatino Linotype" w:cs="Palatino Linotype"/>
          <w:sz w:val="22"/>
          <w:szCs w:val="22"/>
        </w:rPr>
        <w:t xml:space="preserve"> de fecha </w:t>
      </w:r>
      <w:r w:rsidR="00657DB7" w:rsidRPr="00410F65">
        <w:rPr>
          <w:rFonts w:ascii="Palatino Linotype" w:eastAsia="Palatino Linotype" w:hAnsi="Palatino Linotype" w:cs="Palatino Linotype"/>
          <w:sz w:val="22"/>
          <w:szCs w:val="22"/>
        </w:rPr>
        <w:t xml:space="preserve">primero </w:t>
      </w:r>
      <w:r w:rsidRPr="00410F65">
        <w:rPr>
          <w:rFonts w:ascii="Palatino Linotype" w:eastAsia="Palatino Linotype" w:hAnsi="Palatino Linotype" w:cs="Palatino Linotype"/>
          <w:sz w:val="22"/>
          <w:szCs w:val="22"/>
        </w:rPr>
        <w:t xml:space="preserve">de agosto de dos mil veinticinco, suscrito por la Directora </w:t>
      </w:r>
      <w:r w:rsidR="00657DB7" w:rsidRPr="00410F65">
        <w:rPr>
          <w:rFonts w:ascii="Palatino Linotype" w:eastAsia="Palatino Linotype" w:hAnsi="Palatino Linotype" w:cs="Palatino Linotype"/>
          <w:sz w:val="22"/>
          <w:szCs w:val="22"/>
        </w:rPr>
        <w:t xml:space="preserve">General de Administración en el que informó la entrega de la respuesta de la </w:t>
      </w:r>
      <w:r w:rsidR="00CF34F8" w:rsidRPr="00410F65">
        <w:rPr>
          <w:rFonts w:ascii="Palatino Linotype" w:eastAsia="Palatino Linotype" w:hAnsi="Palatino Linotype" w:cs="Palatino Linotype"/>
          <w:sz w:val="22"/>
          <w:szCs w:val="22"/>
        </w:rPr>
        <w:t xml:space="preserve">Dirección </w:t>
      </w:r>
      <w:r w:rsidR="00657DB7" w:rsidRPr="00410F65">
        <w:rPr>
          <w:rFonts w:ascii="Palatino Linotype" w:eastAsia="Palatino Linotype" w:hAnsi="Palatino Linotype" w:cs="Palatino Linotype"/>
          <w:sz w:val="22"/>
          <w:szCs w:val="22"/>
        </w:rPr>
        <w:t xml:space="preserve">de Recursos Humanos del Ayuntamiento de Toluca. </w:t>
      </w:r>
    </w:p>
    <w:p w14:paraId="6A25A049" w14:textId="77777777" w:rsidR="00657DB7" w:rsidRPr="00410F65" w:rsidRDefault="00CF34F8" w:rsidP="00F504F7">
      <w:pPr>
        <w:pStyle w:val="Prrafodelista"/>
        <w:numPr>
          <w:ilvl w:val="0"/>
          <w:numId w:val="17"/>
        </w:numPr>
        <w:spacing w:line="360" w:lineRule="auto"/>
        <w:ind w:left="1560"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Nota Informativa número 830/2025 de fecha treinta y uno de julio de dos mil veinticinco, suscrito por la Directora de Recursos Humanos </w:t>
      </w:r>
      <w:r w:rsidRPr="00410F65">
        <w:rPr>
          <w:rFonts w:ascii="Palatino Linotype" w:eastAsia="Palatino Linotype" w:hAnsi="Palatino Linotype" w:cs="Palatino Linotype"/>
          <w:sz w:val="22"/>
          <w:szCs w:val="22"/>
        </w:rPr>
        <w:lastRenderedPageBreak/>
        <w:t>en el que informó que la información la podrá consultar en la página de internet:</w:t>
      </w:r>
    </w:p>
    <w:p w14:paraId="408305A2" w14:textId="77777777" w:rsidR="00CF34F8" w:rsidRPr="00410F65" w:rsidRDefault="00CF34F8" w:rsidP="00101CE8">
      <w:pPr>
        <w:pStyle w:val="Prrafodelista"/>
        <w:spacing w:line="360" w:lineRule="auto"/>
        <w:ind w:right="49"/>
        <w:jc w:val="center"/>
        <w:rPr>
          <w:rFonts w:ascii="Palatino Linotype" w:eastAsia="Palatino Linotype" w:hAnsi="Palatino Linotype" w:cs="Palatino Linotype"/>
          <w:sz w:val="22"/>
          <w:szCs w:val="22"/>
        </w:rPr>
      </w:pPr>
      <w:r w:rsidRPr="00410F65">
        <w:rPr>
          <w:rFonts w:ascii="Palatino Linotype" w:eastAsia="Palatino Linotype" w:hAnsi="Palatino Linotype" w:cs="Palatino Linotype"/>
          <w:noProof/>
          <w:sz w:val="22"/>
          <w:szCs w:val="22"/>
        </w:rPr>
        <w:drawing>
          <wp:inline distT="0" distB="0" distL="0" distR="0" wp14:anchorId="49B61C78" wp14:editId="6A6F12AA">
            <wp:extent cx="4242298" cy="1905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0932" cy="223668"/>
                    </a:xfrm>
                    <a:prstGeom prst="rect">
                      <a:avLst/>
                    </a:prstGeom>
                  </pic:spPr>
                </pic:pic>
              </a:graphicData>
            </a:graphic>
          </wp:inline>
        </w:drawing>
      </w:r>
    </w:p>
    <w:p w14:paraId="7D7BEE04" w14:textId="77777777" w:rsidR="006821B4" w:rsidRPr="00410F65" w:rsidRDefault="006821B4" w:rsidP="00101CE8">
      <w:pPr>
        <w:spacing w:line="360" w:lineRule="auto"/>
        <w:ind w:right="49"/>
        <w:jc w:val="both"/>
        <w:rPr>
          <w:rFonts w:ascii="Palatino Linotype" w:eastAsia="Palatino Linotype" w:hAnsi="Palatino Linotype" w:cs="Palatino Linotype"/>
          <w:sz w:val="22"/>
          <w:szCs w:val="22"/>
        </w:rPr>
      </w:pPr>
    </w:p>
    <w:p w14:paraId="16670B50" w14:textId="77777777" w:rsidR="000B189A" w:rsidRPr="00410F65" w:rsidRDefault="00527D5F" w:rsidP="00101CE8">
      <w:pPr>
        <w:spacing w:line="360" w:lineRule="auto"/>
        <w:ind w:right="49"/>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 xml:space="preserve">3. Interposición del recurso de revisión. </w:t>
      </w:r>
      <w:r w:rsidRPr="00410F65">
        <w:rPr>
          <w:rFonts w:ascii="Palatino Linotype" w:eastAsia="Palatino Linotype" w:hAnsi="Palatino Linotype" w:cs="Palatino Linotype"/>
          <w:sz w:val="22"/>
          <w:szCs w:val="22"/>
        </w:rPr>
        <w:t xml:space="preserve">Inconforme con los términos de la respuesta emitida por parte del </w:t>
      </w:r>
      <w:r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xml:space="preserve">, el </w:t>
      </w:r>
      <w:r w:rsidR="00F11585" w:rsidRPr="00410F65">
        <w:rPr>
          <w:rFonts w:ascii="Palatino Linotype" w:eastAsia="Palatino Linotype" w:hAnsi="Palatino Linotype" w:cs="Palatino Linotype"/>
          <w:b/>
          <w:sz w:val="22"/>
          <w:szCs w:val="22"/>
        </w:rPr>
        <w:t>diecinueve de agosto</w:t>
      </w:r>
      <w:r w:rsidRPr="00410F65">
        <w:rPr>
          <w:rFonts w:ascii="Palatino Linotype" w:eastAsia="Palatino Linotype" w:hAnsi="Palatino Linotype" w:cs="Palatino Linotype"/>
          <w:b/>
          <w:sz w:val="22"/>
          <w:szCs w:val="22"/>
        </w:rPr>
        <w:t xml:space="preserve"> de dos mil veinticinco,</w:t>
      </w:r>
      <w:r w:rsidRPr="00410F65">
        <w:rPr>
          <w:rFonts w:ascii="Palatino Linotype" w:eastAsia="Palatino Linotype" w:hAnsi="Palatino Linotype" w:cs="Palatino Linotype"/>
          <w:sz w:val="22"/>
          <w:szCs w:val="22"/>
        </w:rPr>
        <w:t xml:space="preserve"> la parte </w:t>
      </w:r>
      <w:r w:rsidRPr="00410F65">
        <w:rPr>
          <w:rFonts w:ascii="Palatino Linotype" w:eastAsia="Palatino Linotype" w:hAnsi="Palatino Linotype" w:cs="Palatino Linotype"/>
          <w:b/>
          <w:sz w:val="22"/>
          <w:szCs w:val="22"/>
        </w:rPr>
        <w:t>Recurrente</w:t>
      </w:r>
      <w:r w:rsidRPr="00410F65">
        <w:rPr>
          <w:rFonts w:ascii="Palatino Linotype" w:eastAsia="Palatino Linotype" w:hAnsi="Palatino Linotype" w:cs="Palatino Linotype"/>
          <w:sz w:val="22"/>
          <w:szCs w:val="22"/>
        </w:rPr>
        <w:t xml:space="preserve"> interpuso el recurso de revisión a través de </w:t>
      </w:r>
      <w:r w:rsidRPr="00410F65">
        <w:rPr>
          <w:rFonts w:ascii="Palatino Linotype" w:eastAsia="Palatino Linotype" w:hAnsi="Palatino Linotype" w:cs="Palatino Linotype"/>
          <w:b/>
          <w:sz w:val="22"/>
          <w:szCs w:val="22"/>
        </w:rPr>
        <w:t xml:space="preserve">SAIMEX, </w:t>
      </w:r>
      <w:r w:rsidRPr="00410F65">
        <w:rPr>
          <w:rFonts w:ascii="Palatino Linotype" w:eastAsia="Palatino Linotype" w:hAnsi="Palatino Linotype" w:cs="Palatino Linotype"/>
          <w:sz w:val="22"/>
          <w:szCs w:val="22"/>
        </w:rPr>
        <w:t>en donde se manifestó de la siguiente manera:</w:t>
      </w:r>
    </w:p>
    <w:p w14:paraId="0A29B948" w14:textId="77777777" w:rsidR="000B189A" w:rsidRPr="00410F65" w:rsidRDefault="000B189A" w:rsidP="00101CE8">
      <w:pPr>
        <w:spacing w:line="360" w:lineRule="auto"/>
        <w:ind w:right="49"/>
        <w:jc w:val="both"/>
        <w:rPr>
          <w:rFonts w:ascii="Palatino Linotype" w:eastAsia="Palatino Linotype" w:hAnsi="Palatino Linotype" w:cs="Palatino Linotype"/>
          <w:sz w:val="22"/>
          <w:szCs w:val="22"/>
        </w:rPr>
      </w:pPr>
    </w:p>
    <w:p w14:paraId="7DB5C1FD" w14:textId="77777777" w:rsidR="000B189A" w:rsidRPr="00410F65" w:rsidRDefault="00527D5F" w:rsidP="00101CE8">
      <w:pPr>
        <w:tabs>
          <w:tab w:val="left" w:pos="2745"/>
        </w:tabs>
        <w:spacing w:line="360" w:lineRule="auto"/>
        <w:ind w:left="851" w:right="616"/>
        <w:jc w:val="both"/>
        <w:rPr>
          <w:rFonts w:ascii="Palatino Linotype" w:eastAsia="Palatino Linotype" w:hAnsi="Palatino Linotype" w:cs="Palatino Linotype"/>
          <w:b/>
          <w:sz w:val="22"/>
          <w:szCs w:val="22"/>
        </w:rPr>
      </w:pPr>
      <w:r w:rsidRPr="00410F65">
        <w:rPr>
          <w:rFonts w:ascii="Palatino Linotype" w:eastAsia="Palatino Linotype" w:hAnsi="Palatino Linotype" w:cs="Palatino Linotype"/>
          <w:b/>
          <w:sz w:val="22"/>
          <w:szCs w:val="22"/>
        </w:rPr>
        <w:t xml:space="preserve">Acto impugnado: </w:t>
      </w:r>
    </w:p>
    <w:p w14:paraId="40E00803" w14:textId="77777777" w:rsidR="000B189A" w:rsidRPr="00410F65" w:rsidRDefault="00527D5F" w:rsidP="00101CE8">
      <w:pPr>
        <w:tabs>
          <w:tab w:val="left" w:pos="2745"/>
        </w:tabs>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r w:rsidR="00CF34F8" w:rsidRPr="00410F65">
        <w:rPr>
          <w:rFonts w:ascii="Palatino Linotype" w:eastAsia="Palatino Linotype" w:hAnsi="Palatino Linotype" w:cs="Palatino Linotype"/>
          <w:i/>
          <w:sz w:val="22"/>
          <w:szCs w:val="22"/>
        </w:rPr>
        <w:t xml:space="preserve">La opacidad a todo en ese municipio no entrega la información solicitada se pide se entregue conforme a la ley se entregue la información </w:t>
      </w:r>
      <w:r w:rsidR="00F11585" w:rsidRPr="00410F65">
        <w:rPr>
          <w:rFonts w:ascii="Palatino Linotype" w:eastAsia="Palatino Linotype" w:hAnsi="Palatino Linotype" w:cs="Palatino Linotype"/>
          <w:i/>
          <w:sz w:val="22"/>
          <w:szCs w:val="22"/>
        </w:rPr>
        <w:t>n</w:t>
      </w:r>
      <w:r w:rsidRPr="00410F65">
        <w:rPr>
          <w:rFonts w:ascii="Palatino Linotype" w:eastAsia="Palatino Linotype" w:hAnsi="Palatino Linotype" w:cs="Palatino Linotype"/>
          <w:i/>
          <w:sz w:val="22"/>
          <w:szCs w:val="22"/>
        </w:rPr>
        <w:t>” (sic)</w:t>
      </w:r>
    </w:p>
    <w:p w14:paraId="6DA033BA" w14:textId="77777777" w:rsidR="000B189A" w:rsidRPr="00410F65" w:rsidRDefault="000B189A" w:rsidP="00101CE8">
      <w:pPr>
        <w:tabs>
          <w:tab w:val="left" w:pos="2745"/>
        </w:tabs>
        <w:ind w:left="851" w:right="616"/>
        <w:jc w:val="both"/>
        <w:rPr>
          <w:rFonts w:ascii="Palatino Linotype" w:eastAsia="Palatino Linotype" w:hAnsi="Palatino Linotype" w:cs="Palatino Linotype"/>
          <w:i/>
          <w:sz w:val="22"/>
          <w:szCs w:val="22"/>
        </w:rPr>
      </w:pPr>
    </w:p>
    <w:p w14:paraId="35ED6234" w14:textId="77777777" w:rsidR="000B189A" w:rsidRPr="00410F65" w:rsidRDefault="00527D5F" w:rsidP="00101CE8">
      <w:pPr>
        <w:spacing w:line="360" w:lineRule="auto"/>
        <w:ind w:left="851" w:right="616"/>
        <w:jc w:val="both"/>
        <w:rPr>
          <w:rFonts w:ascii="Palatino Linotype" w:eastAsia="Palatino Linotype" w:hAnsi="Palatino Linotype" w:cs="Palatino Linotype"/>
          <w:sz w:val="22"/>
          <w:szCs w:val="22"/>
        </w:rPr>
      </w:pPr>
      <w:bookmarkStart w:id="2" w:name="_heading=h.30j0zll" w:colFirst="0" w:colLast="0"/>
      <w:bookmarkEnd w:id="2"/>
      <w:r w:rsidRPr="00410F65">
        <w:rPr>
          <w:rFonts w:ascii="Palatino Linotype" w:eastAsia="Palatino Linotype" w:hAnsi="Palatino Linotype" w:cs="Palatino Linotype"/>
          <w:b/>
          <w:sz w:val="22"/>
          <w:szCs w:val="22"/>
        </w:rPr>
        <w:t>Y Razones o motivos de inconformidad</w:t>
      </w:r>
      <w:r w:rsidRPr="00410F65">
        <w:rPr>
          <w:rFonts w:ascii="Palatino Linotype" w:eastAsia="Palatino Linotype" w:hAnsi="Palatino Linotype" w:cs="Palatino Linotype"/>
          <w:sz w:val="22"/>
          <w:szCs w:val="22"/>
        </w:rPr>
        <w:t xml:space="preserve">: </w:t>
      </w:r>
    </w:p>
    <w:p w14:paraId="6EDD33A3" w14:textId="77777777" w:rsidR="000B189A" w:rsidRPr="00410F65" w:rsidRDefault="00527D5F" w:rsidP="00101CE8">
      <w:pPr>
        <w:tabs>
          <w:tab w:val="left" w:pos="2745"/>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r w:rsidR="00CF34F8" w:rsidRPr="00410F65">
        <w:rPr>
          <w:rFonts w:ascii="Palatino Linotype" w:eastAsia="Palatino Linotype" w:hAnsi="Palatino Linotype" w:cs="Palatino Linotype"/>
          <w:i/>
          <w:sz w:val="22"/>
          <w:szCs w:val="22"/>
        </w:rPr>
        <w:t>La opacidad a todo en ese municipio no entrega la información solicitada se pide se entregue conforme a la ley se entregue la información</w:t>
      </w:r>
      <w:r w:rsidRPr="00410F65">
        <w:rPr>
          <w:rFonts w:ascii="Palatino Linotype" w:eastAsia="Palatino Linotype" w:hAnsi="Palatino Linotype" w:cs="Palatino Linotype"/>
          <w:i/>
          <w:sz w:val="22"/>
          <w:szCs w:val="22"/>
        </w:rPr>
        <w:t>” (sic)</w:t>
      </w:r>
    </w:p>
    <w:p w14:paraId="3712F0BF" w14:textId="77777777" w:rsidR="000B189A" w:rsidRPr="00410F65" w:rsidRDefault="000B189A" w:rsidP="00101CE8">
      <w:pPr>
        <w:spacing w:line="360" w:lineRule="auto"/>
        <w:ind w:right="51"/>
        <w:jc w:val="both"/>
        <w:rPr>
          <w:rFonts w:ascii="Palatino Linotype" w:eastAsia="Palatino Linotype" w:hAnsi="Palatino Linotype" w:cs="Palatino Linotype"/>
          <w:b/>
          <w:sz w:val="22"/>
          <w:szCs w:val="22"/>
        </w:rPr>
      </w:pPr>
    </w:p>
    <w:p w14:paraId="6CAAA507" w14:textId="77777777" w:rsidR="000B189A" w:rsidRPr="00410F65" w:rsidRDefault="00527D5F" w:rsidP="00101CE8">
      <w:pPr>
        <w:spacing w:line="360" w:lineRule="auto"/>
        <w:ind w:right="51"/>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 xml:space="preserve">4. Turno. </w:t>
      </w:r>
      <w:r w:rsidRPr="00410F6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10F65">
        <w:rPr>
          <w:rFonts w:ascii="Palatino Linotype" w:eastAsia="Palatino Linotype" w:hAnsi="Palatino Linotype" w:cs="Palatino Linotype"/>
          <w:b/>
          <w:sz w:val="22"/>
          <w:szCs w:val="22"/>
        </w:rPr>
        <w:t xml:space="preserve">Guadalupe Ramírez Peña, </w:t>
      </w:r>
      <w:r w:rsidRPr="00410F65">
        <w:rPr>
          <w:rFonts w:ascii="Palatino Linotype" w:eastAsia="Palatino Linotype" w:hAnsi="Palatino Linotype" w:cs="Palatino Linotype"/>
          <w:sz w:val="22"/>
          <w:szCs w:val="22"/>
        </w:rPr>
        <w:t>a efecto de que analizara sobre su admisión o su desechamiento.</w:t>
      </w:r>
    </w:p>
    <w:p w14:paraId="6989EEFB" w14:textId="77777777" w:rsidR="000B189A" w:rsidRPr="00410F65" w:rsidRDefault="000B189A" w:rsidP="00101CE8">
      <w:pPr>
        <w:spacing w:line="360" w:lineRule="auto"/>
        <w:ind w:right="51"/>
        <w:jc w:val="both"/>
        <w:rPr>
          <w:rFonts w:ascii="Palatino Linotype" w:eastAsia="Palatino Linotype" w:hAnsi="Palatino Linotype" w:cs="Palatino Linotype"/>
          <w:sz w:val="22"/>
          <w:szCs w:val="22"/>
        </w:rPr>
      </w:pPr>
    </w:p>
    <w:p w14:paraId="6BA213AF"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5. Admisión del Recurso de revisión.</w:t>
      </w:r>
      <w:r w:rsidRPr="00410F65">
        <w:rPr>
          <w:rFonts w:ascii="Palatino Linotype" w:eastAsia="Palatino Linotype" w:hAnsi="Palatino Linotype" w:cs="Palatino Linotype"/>
          <w:sz w:val="22"/>
          <w:szCs w:val="22"/>
        </w:rPr>
        <w:t xml:space="preserve"> Con fecha</w:t>
      </w:r>
      <w:r w:rsidRPr="00410F65">
        <w:rPr>
          <w:rFonts w:ascii="Palatino Linotype" w:eastAsia="Palatino Linotype" w:hAnsi="Palatino Linotype" w:cs="Palatino Linotype"/>
          <w:b/>
          <w:sz w:val="22"/>
          <w:szCs w:val="22"/>
        </w:rPr>
        <w:t xml:space="preserve"> </w:t>
      </w:r>
      <w:r w:rsidR="00F11585" w:rsidRPr="00410F65">
        <w:rPr>
          <w:rFonts w:ascii="Palatino Linotype" w:eastAsia="Palatino Linotype" w:hAnsi="Palatino Linotype" w:cs="Palatino Linotype"/>
          <w:b/>
          <w:sz w:val="22"/>
          <w:szCs w:val="22"/>
        </w:rPr>
        <w:t>veintidós de agosto</w:t>
      </w:r>
      <w:r w:rsidRPr="00410F65">
        <w:rPr>
          <w:rFonts w:ascii="Palatino Linotype" w:eastAsia="Palatino Linotype" w:hAnsi="Palatino Linotype" w:cs="Palatino Linotype"/>
          <w:b/>
          <w:sz w:val="22"/>
          <w:szCs w:val="22"/>
        </w:rPr>
        <w:t xml:space="preserve"> de dos mil veinticinco, </w:t>
      </w:r>
      <w:r w:rsidRPr="00410F65">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10F65">
        <w:rPr>
          <w:rFonts w:ascii="Palatino Linotype" w:eastAsia="Palatino Linotype" w:hAnsi="Palatino Linotype" w:cs="Palatino Linotype"/>
          <w:b/>
          <w:sz w:val="22"/>
          <w:szCs w:val="22"/>
        </w:rPr>
        <w:t xml:space="preserve">Sujeto Obligado </w:t>
      </w:r>
      <w:r w:rsidRPr="00410F65">
        <w:rPr>
          <w:rFonts w:ascii="Palatino Linotype" w:eastAsia="Palatino Linotype" w:hAnsi="Palatino Linotype" w:cs="Palatino Linotype"/>
          <w:sz w:val="22"/>
          <w:szCs w:val="22"/>
        </w:rPr>
        <w:t>presentara su informe justificado.</w:t>
      </w:r>
    </w:p>
    <w:p w14:paraId="43DA0E1F" w14:textId="77777777" w:rsidR="000B189A" w:rsidRPr="00410F65" w:rsidRDefault="000B189A" w:rsidP="00101CE8">
      <w:pPr>
        <w:spacing w:line="360" w:lineRule="auto"/>
        <w:jc w:val="both"/>
        <w:rPr>
          <w:rFonts w:ascii="Palatino Linotype" w:eastAsia="Palatino Linotype" w:hAnsi="Palatino Linotype" w:cs="Palatino Linotype"/>
          <w:sz w:val="22"/>
          <w:szCs w:val="22"/>
        </w:rPr>
      </w:pPr>
    </w:p>
    <w:p w14:paraId="1F5C8452"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bookmarkStart w:id="3" w:name="_heading=h.2s8eyo1" w:colFirst="0" w:colLast="0"/>
      <w:bookmarkEnd w:id="3"/>
      <w:r w:rsidRPr="00410F65">
        <w:rPr>
          <w:rFonts w:ascii="Palatino Linotype" w:eastAsia="Palatino Linotype" w:hAnsi="Palatino Linotype" w:cs="Palatino Linotype"/>
          <w:b/>
          <w:sz w:val="22"/>
          <w:szCs w:val="22"/>
        </w:rPr>
        <w:t>6. Manifestaciones</w:t>
      </w:r>
      <w:r w:rsidRPr="00410F65">
        <w:rPr>
          <w:rFonts w:ascii="Palatino Linotype" w:eastAsia="Palatino Linotype" w:hAnsi="Palatino Linotype" w:cs="Palatino Linotype"/>
          <w:sz w:val="22"/>
          <w:szCs w:val="22"/>
        </w:rPr>
        <w:t xml:space="preserve">. El </w:t>
      </w:r>
      <w:r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xml:space="preserve"> </w:t>
      </w:r>
      <w:r w:rsidR="00CA6DD8" w:rsidRPr="00410F65">
        <w:rPr>
          <w:rFonts w:ascii="Palatino Linotype" w:eastAsia="Palatino Linotype" w:hAnsi="Palatino Linotype" w:cs="Palatino Linotype"/>
          <w:sz w:val="22"/>
          <w:szCs w:val="22"/>
        </w:rPr>
        <w:t xml:space="preserve">en fecha </w:t>
      </w:r>
      <w:r w:rsidR="00CA6DD8" w:rsidRPr="00410F65">
        <w:rPr>
          <w:rFonts w:ascii="Palatino Linotype" w:eastAsia="Palatino Linotype" w:hAnsi="Palatino Linotype" w:cs="Palatino Linotype"/>
          <w:b/>
          <w:sz w:val="22"/>
          <w:szCs w:val="22"/>
        </w:rPr>
        <w:t>dos de septiembre de dos mil veinticinco</w:t>
      </w:r>
      <w:r w:rsidR="00CA6DD8" w:rsidRPr="00410F65">
        <w:rPr>
          <w:rFonts w:ascii="Palatino Linotype" w:eastAsia="Palatino Linotype" w:hAnsi="Palatino Linotype" w:cs="Palatino Linotype"/>
          <w:sz w:val="22"/>
          <w:szCs w:val="22"/>
        </w:rPr>
        <w:t xml:space="preserve">, rindió informe a través de los siguientes archivos electrónicos: </w:t>
      </w:r>
    </w:p>
    <w:p w14:paraId="3B4CF516" w14:textId="77777777" w:rsidR="00CA6DD8" w:rsidRPr="00410F65" w:rsidRDefault="00CA6DD8" w:rsidP="00101CE8">
      <w:pPr>
        <w:spacing w:line="360" w:lineRule="auto"/>
        <w:jc w:val="both"/>
        <w:rPr>
          <w:rFonts w:ascii="Palatino Linotype" w:eastAsia="Palatino Linotype" w:hAnsi="Palatino Linotype" w:cs="Palatino Linotype"/>
          <w:sz w:val="22"/>
          <w:szCs w:val="22"/>
        </w:rPr>
      </w:pPr>
    </w:p>
    <w:p w14:paraId="126328C8" w14:textId="77777777" w:rsidR="00D762A9" w:rsidRPr="00410F65" w:rsidRDefault="00CF34F8" w:rsidP="00101CE8">
      <w:pPr>
        <w:pStyle w:val="Prrafodelista"/>
        <w:numPr>
          <w:ilvl w:val="0"/>
          <w:numId w:val="3"/>
        </w:num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i/>
          <w:sz w:val="22"/>
          <w:szCs w:val="22"/>
        </w:rPr>
        <w:t>Ratificación 09749.pdf</w:t>
      </w:r>
      <w:r w:rsidR="00D762A9" w:rsidRPr="00410F65">
        <w:rPr>
          <w:rFonts w:ascii="Palatino Linotype" w:eastAsia="Palatino Linotype" w:hAnsi="Palatino Linotype" w:cs="Palatino Linotype"/>
          <w:sz w:val="22"/>
          <w:szCs w:val="22"/>
        </w:rPr>
        <w:t xml:space="preserve">: </w:t>
      </w:r>
      <w:r w:rsidRPr="00410F65">
        <w:rPr>
          <w:rFonts w:ascii="Palatino Linotype" w:eastAsia="Palatino Linotype" w:hAnsi="Palatino Linotype" w:cs="Palatino Linotype"/>
          <w:sz w:val="22"/>
          <w:szCs w:val="22"/>
        </w:rPr>
        <w:t>Oficio de fecha dos de septiembre de dos mil veinticinco, suscrito por el Titular de la Unidad de Transparencia, en el que ratifica la respuesta emitida por la Tesorería Municipal, Dirección General de Administración y Consejería Jurídica.</w:t>
      </w:r>
    </w:p>
    <w:p w14:paraId="012047B1" w14:textId="77777777" w:rsidR="00CB6406" w:rsidRPr="00410F65" w:rsidRDefault="00CF34F8" w:rsidP="00101CE8">
      <w:pPr>
        <w:pStyle w:val="Prrafodelista"/>
        <w:numPr>
          <w:ilvl w:val="0"/>
          <w:numId w:val="3"/>
        </w:num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i/>
          <w:sz w:val="22"/>
          <w:szCs w:val="22"/>
        </w:rPr>
        <w:t>ANEXOS 09749-2025.pdf</w:t>
      </w:r>
      <w:r w:rsidR="008A4723" w:rsidRPr="00410F65">
        <w:rPr>
          <w:rFonts w:ascii="Palatino Linotype" w:eastAsia="Palatino Linotype" w:hAnsi="Palatino Linotype" w:cs="Palatino Linotype"/>
          <w:sz w:val="22"/>
          <w:szCs w:val="22"/>
        </w:rPr>
        <w:t xml:space="preserve">: </w:t>
      </w:r>
      <w:r w:rsidRPr="00410F65">
        <w:rPr>
          <w:rFonts w:ascii="Palatino Linotype" w:eastAsia="Palatino Linotype" w:hAnsi="Palatino Linotype" w:cs="Palatino Linotype"/>
          <w:sz w:val="22"/>
          <w:szCs w:val="22"/>
        </w:rPr>
        <w:t>Contiene los</w:t>
      </w:r>
      <w:r w:rsidR="00CB6406" w:rsidRPr="00410F65">
        <w:rPr>
          <w:rFonts w:ascii="Palatino Linotype" w:eastAsia="Palatino Linotype" w:hAnsi="Palatino Linotype" w:cs="Palatino Linotype"/>
          <w:sz w:val="22"/>
          <w:szCs w:val="22"/>
        </w:rPr>
        <w:t xml:space="preserve"> siguientes documentos: </w:t>
      </w:r>
    </w:p>
    <w:p w14:paraId="4E6B0C45" w14:textId="77777777" w:rsidR="000B189A" w:rsidRPr="00410F65" w:rsidRDefault="00CB6406" w:rsidP="00101CE8">
      <w:pPr>
        <w:pStyle w:val="Prrafodelista"/>
        <w:numPr>
          <w:ilvl w:val="0"/>
          <w:numId w:val="18"/>
        </w:num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O</w:t>
      </w:r>
      <w:r w:rsidR="00CF34F8" w:rsidRPr="00410F65">
        <w:rPr>
          <w:rFonts w:ascii="Palatino Linotype" w:eastAsia="Palatino Linotype" w:hAnsi="Palatino Linotype" w:cs="Palatino Linotype"/>
          <w:sz w:val="22"/>
          <w:szCs w:val="22"/>
        </w:rPr>
        <w:t xml:space="preserve">ficio </w:t>
      </w:r>
      <w:r w:rsidR="00DE718E" w:rsidRPr="00410F65">
        <w:rPr>
          <w:rFonts w:ascii="Palatino Linotype" w:eastAsia="Palatino Linotype" w:hAnsi="Palatino Linotype" w:cs="Palatino Linotype"/>
          <w:sz w:val="22"/>
          <w:szCs w:val="22"/>
        </w:rPr>
        <w:t xml:space="preserve">número 202010000/02942/2025 de fecha veintisiete de agosto de dos mil veinticinco, </w:t>
      </w:r>
      <w:r w:rsidR="00CF34F8" w:rsidRPr="00410F65">
        <w:rPr>
          <w:rFonts w:ascii="Palatino Linotype" w:eastAsia="Palatino Linotype" w:hAnsi="Palatino Linotype" w:cs="Palatino Linotype"/>
          <w:sz w:val="22"/>
          <w:szCs w:val="22"/>
        </w:rPr>
        <w:t>emitido por</w:t>
      </w:r>
      <w:r w:rsidRPr="00410F65">
        <w:rPr>
          <w:rFonts w:ascii="Palatino Linotype" w:eastAsia="Palatino Linotype" w:hAnsi="Palatino Linotype" w:cs="Palatino Linotype"/>
          <w:sz w:val="22"/>
          <w:szCs w:val="22"/>
        </w:rPr>
        <w:t xml:space="preserve"> la Dirección General de Administración </w:t>
      </w:r>
      <w:r w:rsidR="00DE718E" w:rsidRPr="00410F65">
        <w:rPr>
          <w:rFonts w:ascii="Palatino Linotype" w:eastAsia="Palatino Linotype" w:hAnsi="Palatino Linotype" w:cs="Palatino Linotype"/>
          <w:sz w:val="22"/>
          <w:szCs w:val="22"/>
        </w:rPr>
        <w:t xml:space="preserve">en el que ratificó su respuesta inicial. </w:t>
      </w:r>
    </w:p>
    <w:p w14:paraId="7BC28B08" w14:textId="77777777" w:rsidR="00DE718E" w:rsidRPr="00410F65" w:rsidRDefault="00DE718E" w:rsidP="00101CE8">
      <w:pPr>
        <w:pStyle w:val="Prrafodelista"/>
        <w:numPr>
          <w:ilvl w:val="0"/>
          <w:numId w:val="18"/>
        </w:num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Oficio número 201010000/0809/2025 de fecha veintinueve de agosto de dos mil veinticinco, suscrito por el Consejero </w:t>
      </w:r>
      <w:r w:rsidR="00CC70DB" w:rsidRPr="00410F65">
        <w:rPr>
          <w:rFonts w:ascii="Palatino Linotype" w:eastAsia="Palatino Linotype" w:hAnsi="Palatino Linotype" w:cs="Palatino Linotype"/>
          <w:sz w:val="22"/>
          <w:szCs w:val="22"/>
        </w:rPr>
        <w:t xml:space="preserve">Jurídico </w:t>
      </w:r>
      <w:r w:rsidRPr="00410F65">
        <w:rPr>
          <w:rFonts w:ascii="Palatino Linotype" w:eastAsia="Palatino Linotype" w:hAnsi="Palatino Linotype" w:cs="Palatino Linotype"/>
          <w:sz w:val="22"/>
          <w:szCs w:val="22"/>
        </w:rPr>
        <w:t>en el que informó que esta Consejería Jurídica no cuenta con la información solicitada, toda vez que dentro de sus atribuciones no está la de generar, poseer o administrar información laboral de servidores públicos del Ayuntamiento, tal como refiere el artículo 3.15 del Código Reglamentario Municipal.</w:t>
      </w:r>
    </w:p>
    <w:p w14:paraId="715CA0A6" w14:textId="77777777" w:rsidR="00EB0B4E" w:rsidRPr="00410F65" w:rsidRDefault="00EB0B4E" w:rsidP="00101CE8">
      <w:pPr>
        <w:pStyle w:val="Prrafodelista"/>
        <w:numPr>
          <w:ilvl w:val="0"/>
          <w:numId w:val="20"/>
        </w:num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i/>
          <w:sz w:val="22"/>
          <w:szCs w:val="22"/>
        </w:rPr>
        <w:t>ANEXOS 09749-2025_1.pdf</w:t>
      </w:r>
      <w:r w:rsidRPr="00410F65">
        <w:rPr>
          <w:rFonts w:ascii="Palatino Linotype" w:eastAsia="Palatino Linotype" w:hAnsi="Palatino Linotype" w:cs="Palatino Linotype"/>
          <w:sz w:val="22"/>
          <w:szCs w:val="22"/>
        </w:rPr>
        <w:t xml:space="preserve">: Oficio número 206010000/5249/2025 de fecha dos de septiembre de dos mil veinticinco, emitido por la Dirección General de Administración en el que ratificó su respuesta inicial. </w:t>
      </w:r>
    </w:p>
    <w:p w14:paraId="57EE7026" w14:textId="77777777" w:rsidR="00CA6DD8" w:rsidRPr="00410F65" w:rsidRDefault="00CA6DD8" w:rsidP="00101CE8">
      <w:pPr>
        <w:spacing w:line="360" w:lineRule="auto"/>
        <w:jc w:val="both"/>
        <w:rPr>
          <w:rFonts w:ascii="Palatino Linotype" w:eastAsia="Palatino Linotype" w:hAnsi="Palatino Linotype" w:cs="Palatino Linotype"/>
          <w:sz w:val="22"/>
          <w:szCs w:val="22"/>
        </w:rPr>
      </w:pPr>
    </w:p>
    <w:p w14:paraId="71514A8D" w14:textId="7CBE19F0" w:rsidR="00CA6DD8" w:rsidRPr="00410F65" w:rsidRDefault="00CA6DD8"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Documentos que fueron hechos del conocimiento de la parte </w:t>
      </w:r>
      <w:r w:rsidRPr="00410F65">
        <w:rPr>
          <w:rFonts w:ascii="Palatino Linotype" w:eastAsia="Palatino Linotype" w:hAnsi="Palatino Linotype" w:cs="Palatino Linotype"/>
          <w:b/>
          <w:sz w:val="22"/>
          <w:szCs w:val="22"/>
        </w:rPr>
        <w:t>Recurrente</w:t>
      </w:r>
      <w:r w:rsidRPr="00410F65">
        <w:rPr>
          <w:rFonts w:ascii="Palatino Linotype" w:eastAsia="Palatino Linotype" w:hAnsi="Palatino Linotype" w:cs="Palatino Linotype"/>
          <w:sz w:val="22"/>
          <w:szCs w:val="22"/>
        </w:rPr>
        <w:t xml:space="preserve"> en fecha </w:t>
      </w:r>
      <w:r w:rsidRPr="00410F65">
        <w:rPr>
          <w:rFonts w:ascii="Palatino Linotype" w:eastAsia="Palatino Linotype" w:hAnsi="Palatino Linotype" w:cs="Palatino Linotype"/>
          <w:b/>
          <w:sz w:val="22"/>
          <w:szCs w:val="22"/>
        </w:rPr>
        <w:t>veinti</w:t>
      </w:r>
      <w:r w:rsidR="00E46FF6" w:rsidRPr="00410F65">
        <w:rPr>
          <w:rFonts w:ascii="Palatino Linotype" w:eastAsia="Palatino Linotype" w:hAnsi="Palatino Linotype" w:cs="Palatino Linotype"/>
          <w:b/>
          <w:sz w:val="22"/>
          <w:szCs w:val="22"/>
        </w:rPr>
        <w:t xml:space="preserve">ocho </w:t>
      </w:r>
      <w:r w:rsidRPr="00410F65">
        <w:rPr>
          <w:rFonts w:ascii="Palatino Linotype" w:eastAsia="Palatino Linotype" w:hAnsi="Palatino Linotype" w:cs="Palatino Linotype"/>
          <w:b/>
          <w:sz w:val="22"/>
          <w:szCs w:val="22"/>
        </w:rPr>
        <w:t>de enero de dos mil veintiséis</w:t>
      </w:r>
      <w:r w:rsidRPr="00410F65">
        <w:rPr>
          <w:rFonts w:ascii="Palatino Linotype" w:eastAsia="Palatino Linotype" w:hAnsi="Palatino Linotype" w:cs="Palatino Linotype"/>
          <w:sz w:val="22"/>
          <w:szCs w:val="22"/>
        </w:rPr>
        <w:t>; sin embargo, fue omisa en emitir manifestaciones, alegatos o cualquier argumento que a su derecho conviniera, por lo que se tiene por precluido su derecho para tal efecto.</w:t>
      </w:r>
    </w:p>
    <w:p w14:paraId="56A600E0" w14:textId="77777777" w:rsidR="00CA6DD8" w:rsidRPr="00410F65" w:rsidRDefault="00CA6DD8" w:rsidP="00101CE8">
      <w:pPr>
        <w:spacing w:line="360" w:lineRule="auto"/>
        <w:jc w:val="both"/>
        <w:rPr>
          <w:rFonts w:ascii="Palatino Linotype" w:eastAsia="Palatino Linotype" w:hAnsi="Palatino Linotype" w:cs="Palatino Linotype"/>
          <w:sz w:val="22"/>
          <w:szCs w:val="22"/>
        </w:rPr>
      </w:pPr>
    </w:p>
    <w:p w14:paraId="397C82BE" w14:textId="62299367" w:rsidR="00FC1BA6"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 xml:space="preserve">7. </w:t>
      </w:r>
      <w:r w:rsidR="00FC1BA6" w:rsidRPr="00410F65">
        <w:rPr>
          <w:rFonts w:ascii="Palatino Linotype" w:eastAsia="Palatino Linotype" w:hAnsi="Palatino Linotype" w:cs="Palatino Linotype"/>
          <w:b/>
          <w:sz w:val="22"/>
          <w:szCs w:val="22"/>
        </w:rPr>
        <w:t>Ampliación del término para resolver</w:t>
      </w:r>
      <w:r w:rsidR="00FC1BA6" w:rsidRPr="00410F65">
        <w:rPr>
          <w:rFonts w:ascii="Palatino Linotype" w:eastAsia="Palatino Linotype" w:hAnsi="Palatino Linotype" w:cs="Palatino Linotype"/>
          <w:sz w:val="22"/>
          <w:szCs w:val="22"/>
        </w:rPr>
        <w:t xml:space="preserve">. El </w:t>
      </w:r>
      <w:r w:rsidR="00FC1BA6" w:rsidRPr="00410F65">
        <w:rPr>
          <w:rFonts w:ascii="Palatino Linotype" w:eastAsia="Palatino Linotype" w:hAnsi="Palatino Linotype" w:cs="Palatino Linotype"/>
          <w:b/>
          <w:sz w:val="22"/>
          <w:szCs w:val="22"/>
        </w:rPr>
        <w:t>veinti</w:t>
      </w:r>
      <w:r w:rsidR="00E46FF6" w:rsidRPr="00410F65">
        <w:rPr>
          <w:rFonts w:ascii="Palatino Linotype" w:eastAsia="Palatino Linotype" w:hAnsi="Palatino Linotype" w:cs="Palatino Linotype"/>
          <w:b/>
          <w:sz w:val="22"/>
          <w:szCs w:val="22"/>
        </w:rPr>
        <w:t xml:space="preserve">ocho </w:t>
      </w:r>
      <w:r w:rsidR="00FC1BA6" w:rsidRPr="00410F65">
        <w:rPr>
          <w:rFonts w:ascii="Palatino Linotype" w:eastAsia="Palatino Linotype" w:hAnsi="Palatino Linotype" w:cs="Palatino Linotype"/>
          <w:b/>
          <w:sz w:val="22"/>
          <w:szCs w:val="22"/>
        </w:rPr>
        <w:t>de enero de dos mil veintiséis</w:t>
      </w:r>
      <w:r w:rsidR="00FC1BA6" w:rsidRPr="00410F65">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78B0860A" w14:textId="77777777" w:rsidR="00FC1BA6" w:rsidRPr="00410F65" w:rsidRDefault="00FC1BA6" w:rsidP="00101CE8">
      <w:pPr>
        <w:spacing w:line="360" w:lineRule="auto"/>
        <w:jc w:val="both"/>
        <w:rPr>
          <w:rFonts w:ascii="Palatino Linotype" w:eastAsia="Palatino Linotype" w:hAnsi="Palatino Linotype" w:cs="Palatino Linotype"/>
          <w:b/>
          <w:sz w:val="22"/>
          <w:szCs w:val="22"/>
        </w:rPr>
      </w:pPr>
    </w:p>
    <w:p w14:paraId="271337BA" w14:textId="77777777" w:rsidR="00FC1BA6" w:rsidRPr="00410F65" w:rsidRDefault="00FC1BA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74DAB6B" w14:textId="77777777" w:rsidR="00FC1BA6" w:rsidRPr="00410F65" w:rsidRDefault="00FC1BA6" w:rsidP="00101CE8">
      <w:pPr>
        <w:spacing w:line="360" w:lineRule="auto"/>
        <w:jc w:val="both"/>
        <w:rPr>
          <w:rFonts w:ascii="Palatino Linotype" w:eastAsia="Palatino Linotype" w:hAnsi="Palatino Linotype" w:cs="Palatino Linotype"/>
          <w:sz w:val="22"/>
          <w:szCs w:val="22"/>
        </w:rPr>
      </w:pPr>
    </w:p>
    <w:p w14:paraId="69B60155" w14:textId="77777777" w:rsidR="00FC1BA6" w:rsidRPr="00410F65" w:rsidRDefault="00FC1BA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 en los elementos para medir la razonabilidad de asuntos conforme a los parámetros establecidos por diversos órganos jurisdiccionales federales, aplicables también en procedimientos análogos, como el que nos ocupa.</w:t>
      </w:r>
    </w:p>
    <w:p w14:paraId="065E1571" w14:textId="77777777" w:rsidR="00FC1BA6" w:rsidRPr="00410F65" w:rsidRDefault="00FC1BA6" w:rsidP="00101CE8">
      <w:pPr>
        <w:spacing w:line="360" w:lineRule="auto"/>
        <w:jc w:val="both"/>
        <w:rPr>
          <w:rFonts w:ascii="Palatino Linotype" w:eastAsia="Palatino Linotype" w:hAnsi="Palatino Linotype" w:cs="Palatino Linotype"/>
          <w:sz w:val="22"/>
          <w:szCs w:val="22"/>
        </w:rPr>
      </w:pPr>
    </w:p>
    <w:p w14:paraId="62693151" w14:textId="77777777" w:rsidR="00FC1BA6" w:rsidRPr="00410F65" w:rsidRDefault="00FC1BA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895E323" w14:textId="77777777" w:rsidR="00FC1BA6" w:rsidRPr="00410F65" w:rsidRDefault="00FC1BA6" w:rsidP="00101CE8">
      <w:pPr>
        <w:spacing w:line="360" w:lineRule="auto"/>
        <w:jc w:val="both"/>
        <w:rPr>
          <w:rFonts w:ascii="Palatino Linotype" w:eastAsia="Palatino Linotype" w:hAnsi="Palatino Linotype" w:cs="Palatino Linotype"/>
          <w:sz w:val="22"/>
          <w:szCs w:val="22"/>
        </w:rPr>
      </w:pPr>
    </w:p>
    <w:p w14:paraId="2937B971" w14:textId="77777777" w:rsidR="00FC1BA6" w:rsidRPr="00410F65" w:rsidRDefault="00FC1BA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9D1E41D" w14:textId="77777777" w:rsidR="00FC1BA6" w:rsidRPr="00410F65" w:rsidRDefault="00FC1BA6" w:rsidP="00101CE8">
      <w:pPr>
        <w:spacing w:line="360" w:lineRule="auto"/>
        <w:jc w:val="both"/>
        <w:rPr>
          <w:rFonts w:ascii="Palatino Linotype" w:eastAsia="Palatino Linotype" w:hAnsi="Palatino Linotype" w:cs="Palatino Linotype"/>
          <w:sz w:val="22"/>
          <w:szCs w:val="22"/>
        </w:rPr>
      </w:pPr>
    </w:p>
    <w:p w14:paraId="642911FC" w14:textId="77777777" w:rsidR="00FC1BA6" w:rsidRPr="00410F65" w:rsidRDefault="00FC1BA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Por ello, excepcionalmente, si un asunto es resuelto con posterioridad a los plazos señalados por la norma debe analizarse la razonabilidad del tiempo necesario para su resolución atentos a los siguientes criterios:</w:t>
      </w:r>
    </w:p>
    <w:p w14:paraId="16A3EE81" w14:textId="77777777" w:rsidR="00FC1BA6" w:rsidRPr="00410F65" w:rsidRDefault="00FC1BA6" w:rsidP="00101CE8">
      <w:pPr>
        <w:spacing w:line="360" w:lineRule="auto"/>
        <w:jc w:val="both"/>
        <w:rPr>
          <w:rFonts w:ascii="Palatino Linotype" w:eastAsia="Palatino Linotype" w:hAnsi="Palatino Linotype" w:cs="Palatino Linotype"/>
          <w:strike/>
          <w:sz w:val="22"/>
          <w:szCs w:val="22"/>
        </w:rPr>
      </w:pPr>
    </w:p>
    <w:p w14:paraId="2A018B4E" w14:textId="77777777" w:rsidR="00FC1BA6" w:rsidRPr="00410F65" w:rsidRDefault="00FC1BA6" w:rsidP="00101CE8">
      <w:pPr>
        <w:numPr>
          <w:ilvl w:val="0"/>
          <w:numId w:val="19"/>
        </w:numPr>
        <w:tabs>
          <w:tab w:val="left" w:pos="993"/>
        </w:tabs>
        <w:spacing w:line="360" w:lineRule="auto"/>
        <w:ind w:left="567" w:right="900" w:firstLine="0"/>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Complejidad del Asunto:</w:t>
      </w:r>
      <w:r w:rsidRPr="00410F65">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1849EAE8" w14:textId="77777777" w:rsidR="00FC1BA6" w:rsidRPr="00410F65" w:rsidRDefault="00FC1BA6" w:rsidP="00101CE8">
      <w:pPr>
        <w:numPr>
          <w:ilvl w:val="0"/>
          <w:numId w:val="19"/>
        </w:numPr>
        <w:tabs>
          <w:tab w:val="left" w:pos="993"/>
        </w:tabs>
        <w:spacing w:line="360" w:lineRule="auto"/>
        <w:ind w:left="567" w:right="900" w:firstLine="0"/>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Actividad Procesal del interesado</w:t>
      </w:r>
      <w:r w:rsidRPr="00410F65">
        <w:rPr>
          <w:rFonts w:ascii="Palatino Linotype" w:eastAsia="Palatino Linotype" w:hAnsi="Palatino Linotype" w:cs="Palatino Linotype"/>
          <w:sz w:val="22"/>
          <w:szCs w:val="22"/>
        </w:rPr>
        <w:t>. Acciones u omisiones del interesado.</w:t>
      </w:r>
    </w:p>
    <w:p w14:paraId="66C58944" w14:textId="77777777" w:rsidR="00FC1BA6" w:rsidRPr="00410F65" w:rsidRDefault="00FC1BA6" w:rsidP="00101CE8">
      <w:pPr>
        <w:numPr>
          <w:ilvl w:val="0"/>
          <w:numId w:val="19"/>
        </w:numPr>
        <w:tabs>
          <w:tab w:val="left" w:pos="993"/>
        </w:tabs>
        <w:spacing w:line="360" w:lineRule="auto"/>
        <w:ind w:left="567" w:right="900" w:firstLine="0"/>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Conducta de la Autoridad:</w:t>
      </w:r>
      <w:r w:rsidRPr="00410F65">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432FDE61" w14:textId="77777777" w:rsidR="00FC1BA6" w:rsidRPr="00410F65" w:rsidRDefault="00FC1BA6" w:rsidP="00101CE8">
      <w:pPr>
        <w:numPr>
          <w:ilvl w:val="0"/>
          <w:numId w:val="19"/>
        </w:numPr>
        <w:tabs>
          <w:tab w:val="left" w:pos="993"/>
        </w:tabs>
        <w:spacing w:line="360" w:lineRule="auto"/>
        <w:ind w:left="567" w:right="900" w:firstLine="0"/>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La afectación generada en la situación jurídica de la persona involucrada en el proceso:</w:t>
      </w:r>
      <w:r w:rsidRPr="00410F65">
        <w:rPr>
          <w:rFonts w:ascii="Palatino Linotype" w:eastAsia="Palatino Linotype" w:hAnsi="Palatino Linotype" w:cs="Palatino Linotype"/>
          <w:sz w:val="22"/>
          <w:szCs w:val="22"/>
        </w:rPr>
        <w:t xml:space="preserve"> Violación a sus derechos humanos.</w:t>
      </w:r>
    </w:p>
    <w:p w14:paraId="1E72FF90" w14:textId="77777777" w:rsidR="00FC1BA6" w:rsidRPr="00410F65" w:rsidRDefault="00FC1BA6" w:rsidP="00101CE8">
      <w:pPr>
        <w:spacing w:line="360" w:lineRule="auto"/>
        <w:jc w:val="both"/>
        <w:rPr>
          <w:rFonts w:ascii="Palatino Linotype" w:eastAsia="Palatino Linotype" w:hAnsi="Palatino Linotype" w:cs="Palatino Linotype"/>
          <w:sz w:val="22"/>
          <w:szCs w:val="22"/>
        </w:rPr>
      </w:pPr>
    </w:p>
    <w:p w14:paraId="3CC3065D" w14:textId="77777777" w:rsidR="00FC1BA6" w:rsidRPr="00410F65" w:rsidRDefault="00FC1BA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0D7E977" w14:textId="77777777" w:rsidR="00FC1BA6" w:rsidRPr="00410F65" w:rsidRDefault="00FC1BA6" w:rsidP="00101CE8">
      <w:pPr>
        <w:spacing w:line="360" w:lineRule="auto"/>
        <w:jc w:val="both"/>
        <w:rPr>
          <w:rFonts w:ascii="Palatino Linotype" w:eastAsia="Palatino Linotype" w:hAnsi="Palatino Linotype" w:cs="Palatino Linotype"/>
          <w:sz w:val="22"/>
          <w:szCs w:val="22"/>
        </w:rPr>
      </w:pPr>
    </w:p>
    <w:p w14:paraId="16243F3E" w14:textId="77777777" w:rsidR="00FC1BA6" w:rsidRPr="00410F65" w:rsidRDefault="00FC1BA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410F65">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410F65">
        <w:rPr>
          <w:rFonts w:ascii="Palatino Linotype" w:eastAsia="Palatino Linotype" w:hAnsi="Palatino Linotype" w:cs="Palatino Linotype"/>
          <w:sz w:val="22"/>
          <w:szCs w:val="22"/>
        </w:rPr>
        <w:t>, visible en la Gaceta del Seminario Judicial de la Federación con el registro digital 205635.</w:t>
      </w:r>
    </w:p>
    <w:p w14:paraId="079AEC2B" w14:textId="77777777" w:rsidR="00FC1BA6" w:rsidRPr="00410F65" w:rsidRDefault="00FC1BA6" w:rsidP="00101CE8">
      <w:pPr>
        <w:spacing w:line="360" w:lineRule="auto"/>
        <w:jc w:val="both"/>
        <w:rPr>
          <w:rFonts w:ascii="Palatino Linotype" w:eastAsia="Palatino Linotype" w:hAnsi="Palatino Linotype" w:cs="Palatino Linotype"/>
          <w:b/>
          <w:sz w:val="22"/>
          <w:szCs w:val="22"/>
        </w:rPr>
      </w:pPr>
    </w:p>
    <w:p w14:paraId="5D62DB67" w14:textId="77777777" w:rsidR="00FC1BA6" w:rsidRPr="00410F65" w:rsidRDefault="00FC1BA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487D795" w14:textId="77777777" w:rsidR="00FC1BA6" w:rsidRPr="00410F65" w:rsidRDefault="00FC1BA6" w:rsidP="00101CE8">
      <w:pPr>
        <w:spacing w:line="360" w:lineRule="auto"/>
        <w:jc w:val="both"/>
        <w:rPr>
          <w:rFonts w:ascii="Palatino Linotype" w:eastAsia="Palatino Linotype" w:hAnsi="Palatino Linotype" w:cs="Palatino Linotype"/>
          <w:sz w:val="22"/>
          <w:szCs w:val="22"/>
        </w:rPr>
      </w:pPr>
    </w:p>
    <w:p w14:paraId="5A664ED0" w14:textId="77777777" w:rsidR="00FC1BA6" w:rsidRPr="00410F65" w:rsidRDefault="00FC1BA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21EA59AE" w14:textId="77777777" w:rsidR="00FC1BA6" w:rsidRPr="00410F65" w:rsidRDefault="00FC1BA6" w:rsidP="00101CE8">
      <w:pPr>
        <w:spacing w:line="360" w:lineRule="auto"/>
        <w:ind w:left="851" w:right="900"/>
        <w:jc w:val="both"/>
        <w:rPr>
          <w:rFonts w:ascii="Palatino Linotype" w:eastAsia="Palatino Linotype" w:hAnsi="Palatino Linotype" w:cs="Palatino Linotype"/>
          <w:sz w:val="22"/>
          <w:szCs w:val="22"/>
        </w:rPr>
      </w:pPr>
    </w:p>
    <w:p w14:paraId="367F3311" w14:textId="77777777" w:rsidR="00FC1BA6" w:rsidRPr="00410F65" w:rsidRDefault="00FC1BA6" w:rsidP="00101CE8">
      <w:pP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 </w:t>
      </w:r>
      <w:r w:rsidRPr="00410F65">
        <w:rPr>
          <w:rFonts w:ascii="Palatino Linotype" w:eastAsia="Palatino Linotype" w:hAnsi="Palatino Linotype" w:cs="Palatino Linotype"/>
          <w:b/>
          <w:i/>
          <w:sz w:val="22"/>
          <w:szCs w:val="22"/>
        </w:rPr>
        <w:t>“PLAZO RAZONABLE PARA RESOLVER. DIMENSIÓN Y EFECTOS DE ESTE CONCEPTO CUANDO SE ADUCE EXCESIVA CARGA DE TRABAJO</w:t>
      </w:r>
      <w:r w:rsidRPr="00410F65">
        <w:rPr>
          <w:rFonts w:ascii="Palatino Linotype" w:eastAsia="Palatino Linotype" w:hAnsi="Palatino Linotype" w:cs="Palatino Linotype"/>
          <w:i/>
          <w:sz w:val="22"/>
          <w:szCs w:val="22"/>
        </w:rPr>
        <w:t>.”</w:t>
      </w:r>
      <w:r w:rsidRPr="00410F65">
        <w:rPr>
          <w:rFonts w:ascii="Palatino Linotype" w:eastAsia="Palatino Linotype" w:hAnsi="Palatino Linotype" w:cs="Palatino Linotype"/>
          <w:sz w:val="22"/>
          <w:szCs w:val="22"/>
        </w:rPr>
        <w:t xml:space="preserve"> consultable en el Seminario Judicial de la Federación y su gaceta, con el registro digital 2002351.</w:t>
      </w:r>
    </w:p>
    <w:p w14:paraId="48D6D842" w14:textId="77777777" w:rsidR="00FC1BA6" w:rsidRPr="00410F65" w:rsidRDefault="00FC1BA6" w:rsidP="00101CE8">
      <w:pPr>
        <w:spacing w:line="276" w:lineRule="auto"/>
        <w:ind w:left="851" w:right="616"/>
        <w:jc w:val="both"/>
        <w:rPr>
          <w:rFonts w:ascii="Palatino Linotype" w:eastAsia="Palatino Linotype" w:hAnsi="Palatino Linotype" w:cs="Palatino Linotype"/>
          <w:sz w:val="22"/>
          <w:szCs w:val="22"/>
        </w:rPr>
      </w:pPr>
    </w:p>
    <w:p w14:paraId="753347F2" w14:textId="77777777" w:rsidR="00FC1BA6" w:rsidRPr="00410F65" w:rsidRDefault="00FC1BA6" w:rsidP="00101CE8">
      <w:pP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410F65">
        <w:rPr>
          <w:rFonts w:ascii="Palatino Linotype" w:eastAsia="Palatino Linotype" w:hAnsi="Palatino Linotype" w:cs="Palatino Linotype"/>
          <w:sz w:val="22"/>
          <w:szCs w:val="22"/>
        </w:rPr>
        <w:t>, visible en el Seminario Judicial de la Federación y su gaceta, con el registro digital 2002350.</w:t>
      </w:r>
    </w:p>
    <w:p w14:paraId="4B5C054D" w14:textId="77777777" w:rsidR="00FC1BA6" w:rsidRPr="00410F65" w:rsidRDefault="00FC1BA6" w:rsidP="00101CE8">
      <w:pPr>
        <w:spacing w:line="360" w:lineRule="auto"/>
        <w:ind w:left="851" w:right="900"/>
        <w:jc w:val="both"/>
        <w:rPr>
          <w:rFonts w:ascii="Palatino Linotype" w:eastAsia="Palatino Linotype" w:hAnsi="Palatino Linotype" w:cs="Palatino Linotype"/>
          <w:sz w:val="22"/>
          <w:szCs w:val="22"/>
        </w:rPr>
      </w:pPr>
    </w:p>
    <w:p w14:paraId="24443484" w14:textId="77777777" w:rsidR="00FC1BA6" w:rsidRPr="00410F65" w:rsidRDefault="00FC1BA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79F61C0" w14:textId="77777777" w:rsidR="00FC1BA6" w:rsidRPr="00410F65" w:rsidRDefault="00FC1BA6" w:rsidP="00101CE8">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6875EC9F" w14:textId="04ACD8C6" w:rsidR="000B189A" w:rsidRPr="00410F65" w:rsidRDefault="00FC1BA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 xml:space="preserve">8. </w:t>
      </w:r>
      <w:r w:rsidR="00527D5F" w:rsidRPr="00410F65">
        <w:rPr>
          <w:rFonts w:ascii="Palatino Linotype" w:eastAsia="Palatino Linotype" w:hAnsi="Palatino Linotype" w:cs="Palatino Linotype"/>
          <w:b/>
          <w:sz w:val="22"/>
          <w:szCs w:val="22"/>
        </w:rPr>
        <w:t xml:space="preserve">Cierre de instrucción. </w:t>
      </w:r>
      <w:r w:rsidR="00527D5F" w:rsidRPr="00410F65">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8B6BC8" w:rsidRPr="00410F65">
        <w:rPr>
          <w:rFonts w:ascii="Palatino Linotype" w:eastAsia="Palatino Linotype" w:hAnsi="Palatino Linotype" w:cs="Palatino Linotype"/>
          <w:b/>
          <w:sz w:val="22"/>
          <w:szCs w:val="22"/>
        </w:rPr>
        <w:t>cinco</w:t>
      </w:r>
      <w:r w:rsidR="00C83841" w:rsidRPr="00410F65">
        <w:rPr>
          <w:rFonts w:ascii="Palatino Linotype" w:eastAsia="Palatino Linotype" w:hAnsi="Palatino Linotype" w:cs="Palatino Linotype"/>
          <w:b/>
          <w:sz w:val="22"/>
          <w:szCs w:val="22"/>
        </w:rPr>
        <w:t xml:space="preserve"> </w:t>
      </w:r>
      <w:r w:rsidR="00CA6DD8" w:rsidRPr="00410F65">
        <w:rPr>
          <w:rFonts w:ascii="Palatino Linotype" w:eastAsia="Palatino Linotype" w:hAnsi="Palatino Linotype" w:cs="Palatino Linotype"/>
          <w:b/>
          <w:sz w:val="22"/>
          <w:szCs w:val="22"/>
        </w:rPr>
        <w:t>de febrero</w:t>
      </w:r>
      <w:r w:rsidR="004D593C" w:rsidRPr="00410F65">
        <w:rPr>
          <w:rFonts w:ascii="Palatino Linotype" w:eastAsia="Palatino Linotype" w:hAnsi="Palatino Linotype" w:cs="Palatino Linotype"/>
          <w:b/>
          <w:sz w:val="22"/>
          <w:szCs w:val="22"/>
        </w:rPr>
        <w:t xml:space="preserve"> de dos mil veintiséis</w:t>
      </w:r>
      <w:r w:rsidR="00527D5F" w:rsidRPr="00410F65">
        <w:rPr>
          <w:rFonts w:ascii="Palatino Linotype" w:eastAsia="Palatino Linotype" w:hAnsi="Palatino Linotype" w:cs="Palatino Linotype"/>
          <w:b/>
          <w:sz w:val="22"/>
          <w:szCs w:val="22"/>
        </w:rPr>
        <w:t xml:space="preserve">, </w:t>
      </w:r>
      <w:r w:rsidR="00527D5F" w:rsidRPr="00410F65">
        <w:rPr>
          <w:rFonts w:ascii="Palatino Linotype" w:eastAsia="Palatino Linotype" w:hAnsi="Palatino Linotype" w:cs="Palatino Linotype"/>
          <w:sz w:val="22"/>
          <w:szCs w:val="22"/>
        </w:rPr>
        <w:t>la Comisionada Ponente determinó el cierre de instrucción en términos de la fracción VI del artículo 185 de la Ley de Transparencia y Acceso a la Información Pública del Estado de México y Municipios.</w:t>
      </w:r>
    </w:p>
    <w:p w14:paraId="0F0382DB" w14:textId="77777777" w:rsidR="000B189A" w:rsidRPr="00410F65" w:rsidRDefault="000B189A" w:rsidP="00101CE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4BFBF0A" w14:textId="77777777" w:rsidR="000B189A" w:rsidRPr="00410F65" w:rsidRDefault="00527D5F" w:rsidP="00101CE8">
      <w:pPr>
        <w:spacing w:line="360" w:lineRule="auto"/>
        <w:rPr>
          <w:rFonts w:ascii="Palatino Linotype" w:eastAsia="Palatino Linotype" w:hAnsi="Palatino Linotype" w:cs="Palatino Linotype"/>
          <w:b/>
          <w:sz w:val="22"/>
          <w:szCs w:val="22"/>
        </w:rPr>
      </w:pPr>
      <w:r w:rsidRPr="00410F65">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1B108DF2" w14:textId="77777777" w:rsidR="000B189A" w:rsidRPr="00410F65" w:rsidRDefault="00527D5F" w:rsidP="00101CE8">
      <w:pPr>
        <w:widowControl w:val="0"/>
        <w:spacing w:line="360" w:lineRule="auto"/>
        <w:jc w:val="center"/>
        <w:rPr>
          <w:rFonts w:ascii="Palatino Linotype" w:eastAsia="Palatino Linotype" w:hAnsi="Palatino Linotype" w:cs="Palatino Linotype"/>
          <w:b/>
          <w:sz w:val="22"/>
          <w:szCs w:val="22"/>
        </w:rPr>
      </w:pPr>
      <w:r w:rsidRPr="00410F65">
        <w:rPr>
          <w:rFonts w:ascii="Palatino Linotype" w:eastAsia="Palatino Linotype" w:hAnsi="Palatino Linotype" w:cs="Palatino Linotype"/>
          <w:b/>
          <w:sz w:val="22"/>
          <w:szCs w:val="22"/>
        </w:rPr>
        <w:t>II. C O N S I D E R A N D O S</w:t>
      </w:r>
    </w:p>
    <w:p w14:paraId="65222FF0" w14:textId="77777777" w:rsidR="000B189A" w:rsidRPr="00410F65" w:rsidRDefault="000B189A" w:rsidP="00101CE8">
      <w:pPr>
        <w:widowControl w:val="0"/>
        <w:spacing w:line="360" w:lineRule="auto"/>
        <w:jc w:val="center"/>
        <w:rPr>
          <w:rFonts w:ascii="Palatino Linotype" w:eastAsia="Palatino Linotype" w:hAnsi="Palatino Linotype" w:cs="Palatino Linotype"/>
          <w:b/>
          <w:sz w:val="22"/>
          <w:szCs w:val="22"/>
        </w:rPr>
      </w:pPr>
    </w:p>
    <w:p w14:paraId="6B95FEC6"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Primero. Competencia.</w:t>
      </w:r>
      <w:r w:rsidRPr="00410F6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4D593C" w:rsidRPr="00410F65">
        <w:rPr>
          <w:rFonts w:ascii="Palatino Linotype" w:eastAsia="Palatino Linotype" w:hAnsi="Palatino Linotype" w:cs="Palatino Linotype"/>
          <w:sz w:val="22"/>
          <w:szCs w:val="22"/>
        </w:rPr>
        <w:t>cuadragésimo cuarto, cuadragésimo quinto y cuadragésimo sexto, fracciones IV y V de la Constitución Política del Estado Libre y Soberano de México; Transitorio Cuarto, párrafo segundo del Decreto número 198 de la “LXII” Legislatura del Estado de México;</w:t>
      </w:r>
      <w:r w:rsidRPr="00410F65">
        <w:rPr>
          <w:rFonts w:ascii="Palatino Linotype" w:eastAsia="Palatino Linotype" w:hAnsi="Palatino Linotype" w:cs="Palatino Linotype"/>
          <w:sz w:val="22"/>
          <w:szCs w:val="22"/>
        </w:rPr>
        <w:t xml:space="preserve">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45BE40B" w14:textId="77777777" w:rsidR="000B189A" w:rsidRPr="00410F65" w:rsidRDefault="000B189A" w:rsidP="00101CE8">
      <w:pPr>
        <w:spacing w:line="360" w:lineRule="auto"/>
        <w:jc w:val="both"/>
        <w:rPr>
          <w:rFonts w:ascii="Palatino Linotype" w:eastAsia="Palatino Linotype" w:hAnsi="Palatino Linotype" w:cs="Palatino Linotype"/>
          <w:sz w:val="22"/>
          <w:szCs w:val="22"/>
        </w:rPr>
      </w:pPr>
    </w:p>
    <w:p w14:paraId="04486C6A"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410F65">
        <w:rPr>
          <w:rFonts w:ascii="Palatino Linotype" w:eastAsia="Palatino Linotype" w:hAnsi="Palatino Linotype" w:cs="Palatino Linotype"/>
          <w:b/>
          <w:sz w:val="22"/>
          <w:szCs w:val="22"/>
        </w:rPr>
        <w:t>Segundo. Oportunidad y Procedibilidad del Recurso de Revisión</w:t>
      </w:r>
      <w:r w:rsidRPr="00410F65">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973E011" w14:textId="77777777" w:rsidR="000B189A" w:rsidRPr="00410F65" w:rsidRDefault="000B189A" w:rsidP="00101CE8">
      <w:pPr>
        <w:spacing w:line="360" w:lineRule="auto"/>
        <w:jc w:val="both"/>
        <w:rPr>
          <w:rFonts w:ascii="Palatino Linotype" w:eastAsia="Palatino Linotype" w:hAnsi="Palatino Linotype" w:cs="Palatino Linotype"/>
          <w:sz w:val="22"/>
          <w:szCs w:val="22"/>
        </w:rPr>
      </w:pPr>
    </w:p>
    <w:p w14:paraId="1D67E9E8"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410F65">
        <w:rPr>
          <w:rFonts w:ascii="Palatino Linotype" w:eastAsia="Palatino Linotype" w:hAnsi="Palatino Linotype" w:cs="Palatino Linotype"/>
          <w:b/>
          <w:sz w:val="22"/>
          <w:szCs w:val="22"/>
        </w:rPr>
        <w:t xml:space="preserve">Sujeto Obligado </w:t>
      </w:r>
      <w:r w:rsidRPr="00410F65">
        <w:rPr>
          <w:rFonts w:ascii="Palatino Linotype" w:eastAsia="Palatino Linotype" w:hAnsi="Palatino Linotype" w:cs="Palatino Linotype"/>
          <w:sz w:val="22"/>
          <w:szCs w:val="22"/>
        </w:rPr>
        <w:t xml:space="preserve">remitió la respuesta a la solicitud de información el día </w:t>
      </w:r>
      <w:r w:rsidR="00EB0B4E" w:rsidRPr="00410F65">
        <w:rPr>
          <w:rFonts w:ascii="Palatino Linotype" w:eastAsia="Palatino Linotype" w:hAnsi="Palatino Linotype" w:cs="Palatino Linotype"/>
          <w:b/>
          <w:sz w:val="22"/>
          <w:szCs w:val="22"/>
        </w:rPr>
        <w:t>once</w:t>
      </w:r>
      <w:r w:rsidR="00CA6DD8" w:rsidRPr="00410F65">
        <w:rPr>
          <w:rFonts w:ascii="Palatino Linotype" w:eastAsia="Palatino Linotype" w:hAnsi="Palatino Linotype" w:cs="Palatino Linotype"/>
          <w:b/>
          <w:sz w:val="22"/>
          <w:szCs w:val="22"/>
        </w:rPr>
        <w:t xml:space="preserve"> de agosto</w:t>
      </w:r>
      <w:r w:rsidR="00871E20" w:rsidRPr="00410F65">
        <w:rPr>
          <w:rFonts w:ascii="Palatino Linotype" w:eastAsia="Palatino Linotype" w:hAnsi="Palatino Linotype" w:cs="Palatino Linotype"/>
          <w:b/>
          <w:sz w:val="22"/>
          <w:szCs w:val="22"/>
        </w:rPr>
        <w:t xml:space="preserve"> de dos mil veinticinco</w:t>
      </w:r>
      <w:r w:rsidRPr="00410F65">
        <w:rPr>
          <w:rFonts w:ascii="Palatino Linotype" w:eastAsia="Palatino Linotype" w:hAnsi="Palatino Linotype" w:cs="Palatino Linotype"/>
          <w:b/>
          <w:sz w:val="22"/>
          <w:szCs w:val="22"/>
        </w:rPr>
        <w:t xml:space="preserve">, </w:t>
      </w:r>
      <w:r w:rsidRPr="00410F65">
        <w:rPr>
          <w:rFonts w:ascii="Palatino Linotype" w:eastAsia="Palatino Linotype" w:hAnsi="Palatino Linotype" w:cs="Palatino Linotype"/>
          <w:sz w:val="22"/>
          <w:szCs w:val="22"/>
        </w:rPr>
        <w:t xml:space="preserve">mientras que el recurso de revisión interpuesto por la parte </w:t>
      </w:r>
      <w:r w:rsidRPr="00410F65">
        <w:rPr>
          <w:rFonts w:ascii="Palatino Linotype" w:eastAsia="Palatino Linotype" w:hAnsi="Palatino Linotype" w:cs="Palatino Linotype"/>
          <w:b/>
          <w:sz w:val="22"/>
          <w:szCs w:val="22"/>
        </w:rPr>
        <w:t>Recurrente</w:t>
      </w:r>
      <w:r w:rsidRPr="00410F65">
        <w:rPr>
          <w:rFonts w:ascii="Palatino Linotype" w:eastAsia="Palatino Linotype" w:hAnsi="Palatino Linotype" w:cs="Palatino Linotype"/>
          <w:sz w:val="22"/>
          <w:szCs w:val="22"/>
        </w:rPr>
        <w:t xml:space="preserve">, se tuvo por presentado el día </w:t>
      </w:r>
      <w:r w:rsidR="00CA6DD8" w:rsidRPr="00410F65">
        <w:rPr>
          <w:rFonts w:ascii="Palatino Linotype" w:eastAsia="Palatino Linotype" w:hAnsi="Palatino Linotype" w:cs="Palatino Linotype"/>
          <w:b/>
          <w:sz w:val="22"/>
          <w:szCs w:val="22"/>
        </w:rPr>
        <w:t>diecinueve de agosto</w:t>
      </w:r>
      <w:r w:rsidR="00871E20" w:rsidRPr="00410F65">
        <w:rPr>
          <w:rFonts w:ascii="Palatino Linotype" w:eastAsia="Palatino Linotype" w:hAnsi="Palatino Linotype" w:cs="Palatino Linotype"/>
          <w:b/>
          <w:sz w:val="22"/>
          <w:szCs w:val="22"/>
        </w:rPr>
        <w:t xml:space="preserve"> de dos mil veinticinco</w:t>
      </w:r>
      <w:r w:rsidRPr="00410F65">
        <w:rPr>
          <w:rFonts w:ascii="Palatino Linotype" w:eastAsia="Palatino Linotype" w:hAnsi="Palatino Linotype" w:cs="Palatino Linotype"/>
          <w:sz w:val="22"/>
          <w:szCs w:val="22"/>
        </w:rPr>
        <w:t xml:space="preserve">, esto es, </w:t>
      </w:r>
      <w:r w:rsidR="00EB0B4E" w:rsidRPr="00410F65">
        <w:rPr>
          <w:rFonts w:ascii="Palatino Linotype" w:eastAsia="Palatino Linotype" w:hAnsi="Palatino Linotype" w:cs="Palatino Linotype"/>
          <w:sz w:val="22"/>
          <w:szCs w:val="22"/>
        </w:rPr>
        <w:t xml:space="preserve">al sexto </w:t>
      </w:r>
      <w:r w:rsidRPr="00410F65">
        <w:rPr>
          <w:rFonts w:ascii="Palatino Linotype" w:eastAsia="Palatino Linotype" w:hAnsi="Palatino Linotype" w:cs="Palatino Linotype"/>
          <w:sz w:val="22"/>
          <w:szCs w:val="22"/>
        </w:rPr>
        <w:t>día en que tuvo conocimiento de la respuesta impugnada.</w:t>
      </w:r>
    </w:p>
    <w:p w14:paraId="36853B2E" w14:textId="77777777" w:rsidR="000B189A" w:rsidRPr="00410F65" w:rsidRDefault="000B189A" w:rsidP="00101CE8">
      <w:pPr>
        <w:spacing w:line="360" w:lineRule="auto"/>
        <w:jc w:val="both"/>
        <w:rPr>
          <w:rFonts w:ascii="Palatino Linotype" w:eastAsia="Palatino Linotype" w:hAnsi="Palatino Linotype" w:cs="Palatino Linotype"/>
          <w:sz w:val="22"/>
          <w:szCs w:val="22"/>
        </w:rPr>
      </w:pPr>
      <w:bookmarkStart w:id="5" w:name="_heading=h.3znysh7" w:colFirst="0" w:colLast="0"/>
      <w:bookmarkEnd w:id="5"/>
    </w:p>
    <w:p w14:paraId="303C1BA5" w14:textId="77777777" w:rsidR="00EB0B4E" w:rsidRPr="00410F65" w:rsidRDefault="00EB0B4E"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Por cuanto hace a la procedibilidad del recurso de revisión, es de suma importancia señalar que la parte </w:t>
      </w:r>
      <w:r w:rsidRPr="00410F65">
        <w:rPr>
          <w:rFonts w:ascii="Palatino Linotype" w:eastAsia="Palatino Linotype" w:hAnsi="Palatino Linotype" w:cs="Palatino Linotype"/>
          <w:b/>
          <w:sz w:val="22"/>
          <w:szCs w:val="22"/>
        </w:rPr>
        <w:t>Recurrente</w:t>
      </w:r>
      <w:r w:rsidRPr="00410F65">
        <w:rPr>
          <w:rFonts w:ascii="Palatino Linotype" w:eastAsia="Palatino Linotype" w:hAnsi="Palatino Linotype" w:cs="Palatino Linotype"/>
          <w:sz w:val="22"/>
          <w:szCs w:val="22"/>
        </w:rPr>
        <w:t>, no proporcionó su nombre</w:t>
      </w:r>
      <w:r w:rsidRPr="00410F65">
        <w:rPr>
          <w:rFonts w:ascii="Palatino Linotype" w:eastAsia="Palatino Linotype" w:hAnsi="Palatino Linotype" w:cs="Palatino Linotype"/>
          <w:b/>
          <w:sz w:val="22"/>
          <w:szCs w:val="22"/>
        </w:rPr>
        <w:t>,</w:t>
      </w:r>
      <w:r w:rsidRPr="00410F65">
        <w:rPr>
          <w:rFonts w:ascii="Palatino Linotype" w:eastAsia="Palatino Linotype" w:hAnsi="Palatino Linotype" w:cs="Palatino Linotype"/>
          <w:sz w:val="22"/>
          <w:szCs w:val="22"/>
        </w:rPr>
        <w:t xml:space="preserve"> como se advierte en el detalle de seguimiento del SAIMEX,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CFD4ACF" w14:textId="77777777" w:rsidR="00EB0B4E" w:rsidRPr="00410F65" w:rsidRDefault="00EB0B4E" w:rsidP="00101CE8">
      <w:pPr>
        <w:spacing w:line="360" w:lineRule="auto"/>
        <w:jc w:val="both"/>
        <w:rPr>
          <w:rFonts w:ascii="Palatino Linotype" w:eastAsia="Palatino Linotype" w:hAnsi="Palatino Linotype" w:cs="Palatino Linotype"/>
          <w:sz w:val="22"/>
          <w:szCs w:val="22"/>
        </w:rPr>
      </w:pPr>
    </w:p>
    <w:p w14:paraId="6C2B8DB6" w14:textId="77777777" w:rsidR="00EB0B4E" w:rsidRPr="00410F65" w:rsidRDefault="00EB0B4E" w:rsidP="00101CE8">
      <w:pPr>
        <w:spacing w:line="276" w:lineRule="auto"/>
        <w:ind w:left="851" w:right="902"/>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r w:rsidRPr="00410F65">
        <w:rPr>
          <w:rFonts w:ascii="Palatino Linotype" w:eastAsia="Palatino Linotype" w:hAnsi="Palatino Linotype" w:cs="Palatino Linotype"/>
          <w:b/>
          <w:i/>
          <w:sz w:val="22"/>
          <w:szCs w:val="22"/>
        </w:rPr>
        <w:t xml:space="preserve">Las solicitudes </w:t>
      </w:r>
      <w:r w:rsidRPr="00410F65">
        <w:rPr>
          <w:rFonts w:ascii="Palatino Linotype" w:eastAsia="Palatino Linotype" w:hAnsi="Palatino Linotype" w:cs="Palatino Linotype"/>
          <w:i/>
          <w:sz w:val="22"/>
          <w:szCs w:val="22"/>
        </w:rPr>
        <w:t xml:space="preserve">anónimas, con </w:t>
      </w:r>
      <w:r w:rsidRPr="00410F65">
        <w:rPr>
          <w:rFonts w:ascii="Palatino Linotype" w:eastAsia="Palatino Linotype" w:hAnsi="Palatino Linotype" w:cs="Palatino Linotype"/>
          <w:b/>
          <w:i/>
          <w:sz w:val="22"/>
          <w:szCs w:val="22"/>
        </w:rPr>
        <w:t>nombre incompleto o seudónimo</w:t>
      </w:r>
      <w:r w:rsidRPr="00410F65">
        <w:rPr>
          <w:rFonts w:ascii="Palatino Linotype" w:eastAsia="Palatino Linotype" w:hAnsi="Palatino Linotype" w:cs="Palatino Linotype"/>
          <w:i/>
          <w:sz w:val="22"/>
          <w:szCs w:val="22"/>
        </w:rPr>
        <w:t xml:space="preserve"> </w:t>
      </w:r>
      <w:r w:rsidRPr="00410F65">
        <w:rPr>
          <w:rFonts w:ascii="Palatino Linotype" w:eastAsia="Palatino Linotype" w:hAnsi="Palatino Linotype" w:cs="Palatino Linotype"/>
          <w:b/>
          <w:i/>
          <w:sz w:val="22"/>
          <w:szCs w:val="22"/>
        </w:rPr>
        <w:t>serán procedentes para su trámite por parte del sujeto obligado ante quien se presente</w:t>
      </w:r>
      <w:r w:rsidRPr="00410F65">
        <w:rPr>
          <w:rFonts w:ascii="Palatino Linotype" w:eastAsia="Palatino Linotype" w:hAnsi="Palatino Linotype" w:cs="Palatino Linotype"/>
          <w:i/>
          <w:sz w:val="22"/>
          <w:szCs w:val="22"/>
        </w:rPr>
        <w:t>. No podrá requerirse información adicional con motivo del nombre proporcionado por el solicitante."(Sic)</w:t>
      </w:r>
    </w:p>
    <w:p w14:paraId="5DE866E4" w14:textId="77777777" w:rsidR="00EB0B4E" w:rsidRPr="00410F65" w:rsidRDefault="00EB0B4E" w:rsidP="00101CE8">
      <w:pPr>
        <w:spacing w:line="360" w:lineRule="auto"/>
        <w:jc w:val="both"/>
        <w:rPr>
          <w:rFonts w:ascii="Palatino Linotype" w:eastAsia="Palatino Linotype" w:hAnsi="Palatino Linotype" w:cs="Palatino Linotype"/>
          <w:sz w:val="22"/>
          <w:szCs w:val="22"/>
        </w:rPr>
      </w:pPr>
    </w:p>
    <w:p w14:paraId="37C028B2"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410F65">
        <w:rPr>
          <w:rFonts w:ascii="Palatino Linotype" w:eastAsia="Palatino Linotype" w:hAnsi="Palatino Linotype" w:cs="Palatino Linotype"/>
          <w:b/>
          <w:sz w:val="22"/>
          <w:szCs w:val="22"/>
        </w:rPr>
        <w:t>Recurrente</w:t>
      </w:r>
      <w:r w:rsidRPr="00410F65">
        <w:rPr>
          <w:rFonts w:ascii="Palatino Linotype" w:eastAsia="Palatino Linotype" w:hAnsi="Palatino Linotype" w:cs="Palatino Linotype"/>
          <w:sz w:val="22"/>
          <w:szCs w:val="22"/>
        </w:rPr>
        <w:t>, por lo que, en el presente caso, al haber sido presentado el recurso de revisión vía SAIMEX, dicho requisito resulta innecesario.</w:t>
      </w:r>
    </w:p>
    <w:p w14:paraId="61E615C5" w14:textId="77777777" w:rsidR="000B189A" w:rsidRPr="00410F65" w:rsidRDefault="000B189A" w:rsidP="00101CE8">
      <w:pPr>
        <w:spacing w:line="360" w:lineRule="auto"/>
        <w:jc w:val="both"/>
        <w:rPr>
          <w:rFonts w:ascii="Palatino Linotype" w:eastAsia="Palatino Linotype" w:hAnsi="Palatino Linotype" w:cs="Palatino Linotype"/>
          <w:sz w:val="22"/>
          <w:szCs w:val="22"/>
        </w:rPr>
      </w:pPr>
    </w:p>
    <w:p w14:paraId="52DE0FFD"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410F65">
        <w:rPr>
          <w:rFonts w:ascii="Palatino Linotype" w:eastAsia="Palatino Linotype" w:hAnsi="Palatino Linotype" w:cs="Palatino Linotype"/>
          <w:b/>
          <w:sz w:val="22"/>
          <w:szCs w:val="22"/>
        </w:rPr>
        <w:t>Recurrente</w:t>
      </w:r>
      <w:r w:rsidRPr="00410F65">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190E281F" w14:textId="77777777" w:rsidR="00C83841" w:rsidRPr="00410F65" w:rsidRDefault="00C83841" w:rsidP="00101CE8">
      <w:pPr>
        <w:spacing w:line="276" w:lineRule="auto"/>
        <w:ind w:left="851" w:right="616"/>
        <w:jc w:val="both"/>
        <w:rPr>
          <w:rFonts w:ascii="Palatino Linotype" w:eastAsia="Palatino Linotype" w:hAnsi="Palatino Linotype" w:cs="Palatino Linotype"/>
          <w:i/>
          <w:sz w:val="22"/>
          <w:szCs w:val="22"/>
        </w:rPr>
      </w:pPr>
    </w:p>
    <w:p w14:paraId="2C184C8E" w14:textId="20E8ABA9"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r w:rsidRPr="00410F65">
        <w:rPr>
          <w:rFonts w:ascii="Palatino Linotype" w:eastAsia="Palatino Linotype" w:hAnsi="Palatino Linotype" w:cs="Palatino Linotype"/>
          <w:b/>
          <w:i/>
          <w:sz w:val="22"/>
          <w:szCs w:val="22"/>
        </w:rPr>
        <w:t>Artículo 179.</w:t>
      </w:r>
      <w:r w:rsidRPr="00410F65">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B3DAFCA"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I. La negativa a la información solicitada</w:t>
      </w:r>
      <w:r w:rsidRPr="00410F65">
        <w:rPr>
          <w:rFonts w:ascii="Palatino Linotype" w:eastAsia="Palatino Linotype" w:hAnsi="Palatino Linotype" w:cs="Palatino Linotype"/>
          <w:i/>
          <w:sz w:val="22"/>
          <w:szCs w:val="22"/>
        </w:rPr>
        <w:t>;…”</w:t>
      </w:r>
    </w:p>
    <w:p w14:paraId="488DA7CE" w14:textId="77777777" w:rsidR="000B189A" w:rsidRPr="00410F65" w:rsidRDefault="000B189A" w:rsidP="00101CE8">
      <w:pPr>
        <w:spacing w:line="360" w:lineRule="auto"/>
        <w:jc w:val="both"/>
        <w:rPr>
          <w:rFonts w:ascii="Palatino Linotype" w:eastAsia="Palatino Linotype" w:hAnsi="Palatino Linotype" w:cs="Palatino Linotype"/>
          <w:b/>
          <w:sz w:val="22"/>
          <w:szCs w:val="22"/>
        </w:rPr>
      </w:pPr>
    </w:p>
    <w:p w14:paraId="7D6B785A"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 xml:space="preserve">Tercero. Materia de la revisión. </w:t>
      </w:r>
      <w:r w:rsidRPr="00410F65">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410F65">
        <w:rPr>
          <w:rFonts w:ascii="Palatino Linotype" w:eastAsia="Palatino Linotype" w:hAnsi="Palatino Linotype" w:cs="Palatino Linotype"/>
          <w:b/>
          <w:sz w:val="22"/>
          <w:szCs w:val="22"/>
        </w:rPr>
        <w:t xml:space="preserve">verificar si la información proporcionada en respuesta por el Sujeto Obligado es adecuada y suficiente para satisfacer el derecho de acceso a la información pública </w:t>
      </w:r>
      <w:r w:rsidRPr="00410F65">
        <w:rPr>
          <w:rFonts w:ascii="Palatino Linotype" w:eastAsia="Palatino Linotype" w:hAnsi="Palatino Linotype" w:cs="Palatino Linotype"/>
          <w:sz w:val="22"/>
          <w:szCs w:val="22"/>
        </w:rPr>
        <w:t xml:space="preserve">de la parte </w:t>
      </w:r>
      <w:r w:rsidRPr="00410F65">
        <w:rPr>
          <w:rFonts w:ascii="Palatino Linotype" w:eastAsia="Palatino Linotype" w:hAnsi="Palatino Linotype" w:cs="Palatino Linotype"/>
          <w:b/>
          <w:sz w:val="22"/>
          <w:szCs w:val="22"/>
        </w:rPr>
        <w:t>Recurrente</w:t>
      </w:r>
      <w:r w:rsidRPr="00410F65">
        <w:rPr>
          <w:rFonts w:ascii="Palatino Linotype" w:eastAsia="Palatino Linotype" w:hAnsi="Palatino Linotype" w:cs="Palatino Linotype"/>
          <w:sz w:val="22"/>
          <w:szCs w:val="22"/>
        </w:rPr>
        <w:t>, o en su defecto, en caso de ser procedente, ordenar la entrega de información oportuna.</w:t>
      </w:r>
    </w:p>
    <w:p w14:paraId="1EF511D4" w14:textId="77777777" w:rsidR="000B189A" w:rsidRPr="00410F65" w:rsidRDefault="000B189A" w:rsidP="00101CE8">
      <w:pPr>
        <w:spacing w:line="360" w:lineRule="auto"/>
        <w:jc w:val="both"/>
        <w:rPr>
          <w:rFonts w:ascii="Palatino Linotype" w:eastAsia="Palatino Linotype" w:hAnsi="Palatino Linotype" w:cs="Palatino Linotype"/>
          <w:b/>
          <w:sz w:val="22"/>
          <w:szCs w:val="22"/>
        </w:rPr>
      </w:pPr>
    </w:p>
    <w:p w14:paraId="3AB9B2AE"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bookmarkStart w:id="6" w:name="_heading=h.2et92p0" w:colFirst="0" w:colLast="0"/>
      <w:bookmarkEnd w:id="6"/>
      <w:r w:rsidRPr="00410F65">
        <w:rPr>
          <w:rFonts w:ascii="Palatino Linotype" w:eastAsia="Palatino Linotype" w:hAnsi="Palatino Linotype" w:cs="Palatino Linotype"/>
          <w:b/>
          <w:sz w:val="22"/>
          <w:szCs w:val="22"/>
        </w:rPr>
        <w:t xml:space="preserve">Cuarto. Estudio del asunto. </w:t>
      </w:r>
      <w:r w:rsidRPr="00410F65">
        <w:rPr>
          <w:rFonts w:ascii="Palatino Linotype" w:eastAsia="Palatino Linotype" w:hAnsi="Palatino Linotype" w:cs="Palatino Linotype"/>
          <w:sz w:val="22"/>
          <w:szCs w:val="22"/>
        </w:rPr>
        <w:t xml:space="preserve">En principio, es conveniente analizar si la respuesta del </w:t>
      </w:r>
      <w:r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1088DB0" w14:textId="77777777" w:rsidR="000B189A" w:rsidRPr="00410F65" w:rsidRDefault="000B189A" w:rsidP="00101CE8">
      <w:pPr>
        <w:spacing w:line="360" w:lineRule="auto"/>
        <w:jc w:val="both"/>
        <w:rPr>
          <w:rFonts w:ascii="Palatino Linotype" w:eastAsia="Palatino Linotype" w:hAnsi="Palatino Linotype" w:cs="Palatino Linotype"/>
          <w:sz w:val="22"/>
          <w:szCs w:val="22"/>
        </w:rPr>
      </w:pPr>
    </w:p>
    <w:p w14:paraId="40304F8F"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r w:rsidRPr="00410F65">
        <w:rPr>
          <w:rFonts w:ascii="Palatino Linotype" w:eastAsia="Palatino Linotype" w:hAnsi="Palatino Linotype" w:cs="Palatino Linotype"/>
          <w:b/>
          <w:i/>
          <w:sz w:val="22"/>
          <w:szCs w:val="22"/>
        </w:rPr>
        <w:t>Artículo 4</w:t>
      </w:r>
      <w:r w:rsidRPr="00410F6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8690AC0"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10F6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0CE38FA"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10F65">
        <w:rPr>
          <w:rFonts w:ascii="Palatino Linotype" w:eastAsia="Palatino Linotype" w:hAnsi="Palatino Linotype" w:cs="Palatino Linotype"/>
          <w:i/>
          <w:sz w:val="22"/>
          <w:szCs w:val="22"/>
        </w:rPr>
        <w:t>.”</w:t>
      </w:r>
    </w:p>
    <w:p w14:paraId="526C7E66" w14:textId="77777777" w:rsidR="000B189A" w:rsidRPr="00410F65" w:rsidRDefault="000B189A" w:rsidP="00101CE8">
      <w:pPr>
        <w:spacing w:line="360" w:lineRule="auto"/>
        <w:jc w:val="both"/>
        <w:rPr>
          <w:rFonts w:ascii="Palatino Linotype" w:eastAsia="Palatino Linotype" w:hAnsi="Palatino Linotype" w:cs="Palatino Linotype"/>
          <w:sz w:val="22"/>
          <w:szCs w:val="22"/>
        </w:rPr>
      </w:pPr>
    </w:p>
    <w:p w14:paraId="2739F602"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59F743A" w14:textId="77777777" w:rsidR="000B189A" w:rsidRPr="00410F65" w:rsidRDefault="000B189A" w:rsidP="00101CE8">
      <w:pPr>
        <w:spacing w:line="360" w:lineRule="auto"/>
        <w:jc w:val="both"/>
        <w:rPr>
          <w:rFonts w:ascii="Palatino Linotype" w:eastAsia="Palatino Linotype" w:hAnsi="Palatino Linotype" w:cs="Palatino Linotype"/>
          <w:sz w:val="22"/>
          <w:szCs w:val="22"/>
        </w:rPr>
      </w:pPr>
    </w:p>
    <w:p w14:paraId="013ADC8B"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r w:rsidRPr="00410F65">
        <w:rPr>
          <w:rFonts w:ascii="Palatino Linotype" w:eastAsia="Palatino Linotype" w:hAnsi="Palatino Linotype" w:cs="Palatino Linotype"/>
          <w:b/>
          <w:i/>
          <w:sz w:val="22"/>
          <w:szCs w:val="22"/>
        </w:rPr>
        <w:t>Artículo 12.-</w:t>
      </w:r>
      <w:r w:rsidRPr="00410F6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A2B838E" w14:textId="77777777" w:rsidR="000B189A" w:rsidRPr="00410F65" w:rsidRDefault="000B189A" w:rsidP="00101CE8">
      <w:pPr>
        <w:spacing w:line="276" w:lineRule="auto"/>
        <w:ind w:left="851" w:right="616"/>
        <w:jc w:val="both"/>
        <w:rPr>
          <w:rFonts w:ascii="Palatino Linotype" w:eastAsia="Palatino Linotype" w:hAnsi="Palatino Linotype" w:cs="Palatino Linotype"/>
          <w:i/>
          <w:sz w:val="22"/>
          <w:szCs w:val="22"/>
        </w:rPr>
      </w:pPr>
    </w:p>
    <w:p w14:paraId="0262CE3C"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10F65">
        <w:rPr>
          <w:rFonts w:ascii="Palatino Linotype" w:eastAsia="Palatino Linotype" w:hAnsi="Palatino Linotype" w:cs="Palatino Linotype"/>
          <w:i/>
          <w:sz w:val="22"/>
          <w:szCs w:val="22"/>
        </w:rPr>
        <w:t xml:space="preserve">. </w:t>
      </w:r>
      <w:r w:rsidRPr="00410F65">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238E851A" w14:textId="77777777" w:rsidR="000B189A" w:rsidRPr="00410F65" w:rsidRDefault="000B189A" w:rsidP="00101CE8">
      <w:pPr>
        <w:spacing w:line="360" w:lineRule="auto"/>
        <w:ind w:right="-93"/>
        <w:jc w:val="both"/>
        <w:rPr>
          <w:rFonts w:ascii="Palatino Linotype" w:eastAsia="Palatino Linotype" w:hAnsi="Palatino Linotype" w:cs="Palatino Linotype"/>
          <w:sz w:val="22"/>
          <w:szCs w:val="22"/>
        </w:rPr>
      </w:pPr>
    </w:p>
    <w:p w14:paraId="2D94FDDB" w14:textId="77777777" w:rsidR="000B189A" w:rsidRPr="00410F65" w:rsidRDefault="00527D5F" w:rsidP="00101CE8">
      <w:pPr>
        <w:spacing w:line="360" w:lineRule="auto"/>
        <w:ind w:right="-93"/>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47DB8902" w14:textId="77777777" w:rsidR="000B189A" w:rsidRPr="00410F65" w:rsidRDefault="000B189A" w:rsidP="00101CE8">
      <w:pPr>
        <w:spacing w:line="360" w:lineRule="auto"/>
        <w:ind w:right="-93"/>
        <w:jc w:val="both"/>
        <w:rPr>
          <w:rFonts w:ascii="Palatino Linotype" w:eastAsia="Palatino Linotype" w:hAnsi="Palatino Linotype" w:cs="Palatino Linotype"/>
          <w:sz w:val="22"/>
          <w:szCs w:val="22"/>
        </w:rPr>
      </w:pPr>
    </w:p>
    <w:p w14:paraId="4C23F262" w14:textId="77777777" w:rsidR="000B189A" w:rsidRPr="00410F65" w:rsidRDefault="00527D5F" w:rsidP="00101CE8">
      <w:pPr>
        <w:spacing w:line="360" w:lineRule="auto"/>
        <w:ind w:right="-93"/>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410F65">
        <w:rPr>
          <w:rFonts w:ascii="Palatino Linotype" w:eastAsia="Palatino Linotype" w:hAnsi="Palatino Linotype" w:cs="Palatino Linotype"/>
          <w:b/>
          <w:sz w:val="22"/>
          <w:szCs w:val="22"/>
        </w:rPr>
        <w:t xml:space="preserve"> </w:t>
      </w:r>
    </w:p>
    <w:p w14:paraId="1A167F95"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r w:rsidRPr="00410F65">
        <w:rPr>
          <w:rFonts w:ascii="Palatino Linotype" w:eastAsia="Palatino Linotype" w:hAnsi="Palatino Linotype" w:cs="Palatino Linotype"/>
          <w:b/>
          <w:i/>
          <w:sz w:val="22"/>
          <w:szCs w:val="22"/>
        </w:rPr>
        <w:t>No existe obligación de elaborar documentos ad hoc para atender las solicitudes de acceso a la información.</w:t>
      </w:r>
      <w:r w:rsidRPr="00410F6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C2932C5" w14:textId="77777777" w:rsidR="000B189A" w:rsidRPr="00410F65" w:rsidRDefault="000B189A" w:rsidP="00101CE8">
      <w:pPr>
        <w:spacing w:line="360" w:lineRule="auto"/>
        <w:ind w:right="-93"/>
        <w:jc w:val="both"/>
        <w:rPr>
          <w:rFonts w:ascii="Palatino Linotype" w:eastAsia="Palatino Linotype" w:hAnsi="Palatino Linotype" w:cs="Palatino Linotype"/>
          <w:sz w:val="22"/>
          <w:szCs w:val="22"/>
        </w:rPr>
      </w:pPr>
    </w:p>
    <w:p w14:paraId="038D9FE3"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B3B85BA" w14:textId="77777777" w:rsidR="000B189A" w:rsidRPr="00410F65" w:rsidRDefault="000B189A" w:rsidP="00101CE8">
      <w:pPr>
        <w:spacing w:line="360" w:lineRule="auto"/>
        <w:jc w:val="both"/>
        <w:rPr>
          <w:rFonts w:ascii="Palatino Linotype" w:eastAsia="Palatino Linotype" w:hAnsi="Palatino Linotype" w:cs="Palatino Linotype"/>
          <w:sz w:val="22"/>
          <w:szCs w:val="22"/>
        </w:rPr>
      </w:pPr>
    </w:p>
    <w:p w14:paraId="65862E99" w14:textId="77777777" w:rsidR="000B189A" w:rsidRPr="00410F65" w:rsidRDefault="00527D5F" w:rsidP="00101CE8">
      <w:pPr>
        <w:spacing w:line="360" w:lineRule="auto"/>
        <w:ind w:right="49"/>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7B69180" w14:textId="77777777" w:rsidR="000B189A" w:rsidRPr="00410F65" w:rsidRDefault="000B189A" w:rsidP="00101CE8">
      <w:pPr>
        <w:spacing w:line="360" w:lineRule="auto"/>
        <w:ind w:right="49"/>
        <w:jc w:val="both"/>
        <w:rPr>
          <w:rFonts w:ascii="Palatino Linotype" w:eastAsia="Palatino Linotype" w:hAnsi="Palatino Linotype" w:cs="Palatino Linotype"/>
          <w:sz w:val="22"/>
          <w:szCs w:val="22"/>
        </w:rPr>
      </w:pPr>
    </w:p>
    <w:p w14:paraId="61F8C73F"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0009D5F" w14:textId="77777777" w:rsidR="000B189A" w:rsidRPr="00410F65" w:rsidRDefault="000B189A" w:rsidP="00101CE8">
      <w:pPr>
        <w:spacing w:line="360" w:lineRule="auto"/>
        <w:ind w:left="567" w:right="616"/>
        <w:jc w:val="both"/>
        <w:rPr>
          <w:rFonts w:ascii="Palatino Linotype" w:eastAsia="Palatino Linotype" w:hAnsi="Palatino Linotype" w:cs="Palatino Linotype"/>
          <w:i/>
          <w:sz w:val="22"/>
          <w:szCs w:val="22"/>
        </w:rPr>
      </w:pPr>
    </w:p>
    <w:p w14:paraId="52A2050D"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r w:rsidRPr="00410F65">
        <w:rPr>
          <w:rFonts w:ascii="Palatino Linotype" w:eastAsia="Palatino Linotype" w:hAnsi="Palatino Linotype" w:cs="Palatino Linotype"/>
          <w:b/>
          <w:i/>
          <w:sz w:val="22"/>
          <w:szCs w:val="22"/>
        </w:rPr>
        <w:t xml:space="preserve">Artículo 3. </w:t>
      </w:r>
      <w:r w:rsidRPr="00410F65">
        <w:rPr>
          <w:rFonts w:ascii="Palatino Linotype" w:eastAsia="Palatino Linotype" w:hAnsi="Palatino Linotype" w:cs="Palatino Linotype"/>
          <w:i/>
          <w:sz w:val="22"/>
          <w:szCs w:val="22"/>
        </w:rPr>
        <w:t>Para los efectos de la presente Ley se entenderá por:</w:t>
      </w:r>
    </w:p>
    <w:p w14:paraId="2CA89EC3"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p>
    <w:p w14:paraId="5BDF6CEA"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XI. Documento:</w:t>
      </w:r>
      <w:r w:rsidRPr="00410F65">
        <w:rPr>
          <w:rFonts w:ascii="Palatino Linotype" w:eastAsia="Palatino Linotype" w:hAnsi="Palatino Linotype" w:cs="Palatino Linotype"/>
          <w:i/>
          <w:sz w:val="22"/>
          <w:szCs w:val="22"/>
        </w:rPr>
        <w:t xml:space="preserve"> Los expedientes, reportes, estudios, actas</w:t>
      </w:r>
      <w:r w:rsidRPr="00410F65">
        <w:rPr>
          <w:rFonts w:ascii="Palatino Linotype" w:eastAsia="Palatino Linotype" w:hAnsi="Palatino Linotype" w:cs="Palatino Linotype"/>
          <w:b/>
          <w:i/>
          <w:sz w:val="22"/>
          <w:szCs w:val="22"/>
        </w:rPr>
        <w:t>,</w:t>
      </w:r>
      <w:r w:rsidRPr="00410F6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5623130" w14:textId="77777777" w:rsidR="000B189A" w:rsidRPr="00410F65" w:rsidRDefault="000B189A" w:rsidP="00101CE8">
      <w:pPr>
        <w:spacing w:line="360" w:lineRule="auto"/>
        <w:ind w:left="851" w:right="899"/>
        <w:jc w:val="both"/>
        <w:rPr>
          <w:rFonts w:ascii="Palatino Linotype" w:eastAsia="Palatino Linotype" w:hAnsi="Palatino Linotype" w:cs="Palatino Linotype"/>
          <w:sz w:val="22"/>
          <w:szCs w:val="22"/>
        </w:rPr>
      </w:pPr>
    </w:p>
    <w:p w14:paraId="4305D2A8"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16F572A" w14:textId="77777777" w:rsidR="000B189A" w:rsidRPr="00410F65" w:rsidRDefault="000B189A" w:rsidP="00101CE8">
      <w:pPr>
        <w:spacing w:line="360" w:lineRule="auto"/>
        <w:jc w:val="both"/>
        <w:rPr>
          <w:rFonts w:ascii="Palatino Linotype" w:eastAsia="Palatino Linotype" w:hAnsi="Palatino Linotype" w:cs="Palatino Linotype"/>
          <w:sz w:val="22"/>
          <w:szCs w:val="22"/>
        </w:rPr>
      </w:pPr>
    </w:p>
    <w:p w14:paraId="376FC1D2" w14:textId="77777777" w:rsidR="000B189A" w:rsidRPr="00410F65" w:rsidRDefault="00527D5F" w:rsidP="00101CE8">
      <w:pPr>
        <w:spacing w:line="276" w:lineRule="auto"/>
        <w:ind w:left="851" w:right="616"/>
        <w:jc w:val="both"/>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b/>
          <w:sz w:val="22"/>
          <w:szCs w:val="22"/>
        </w:rPr>
        <w:t>“</w:t>
      </w:r>
      <w:r w:rsidRPr="00410F65">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410F6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56B6DC7"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55F58FE"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5E5B8C2" w14:textId="77777777" w:rsidR="000B189A" w:rsidRPr="00410F65" w:rsidRDefault="00527D5F" w:rsidP="00101CE8">
      <w:pPr>
        <w:spacing w:line="276" w:lineRule="auto"/>
        <w:ind w:left="851" w:right="616"/>
        <w:jc w:val="both"/>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8ED8B98" w14:textId="77777777" w:rsidR="000B189A" w:rsidRPr="00410F65" w:rsidRDefault="00527D5F" w:rsidP="00101CE8">
      <w:pPr>
        <w:spacing w:line="276" w:lineRule="auto"/>
        <w:ind w:left="851" w:right="616"/>
        <w:jc w:val="both"/>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2C112B00" w14:textId="77777777" w:rsidR="000B189A" w:rsidRPr="00410F65" w:rsidRDefault="000B189A" w:rsidP="00101CE8">
      <w:pPr>
        <w:spacing w:line="360" w:lineRule="auto"/>
        <w:ind w:right="-93"/>
        <w:jc w:val="both"/>
        <w:rPr>
          <w:rFonts w:ascii="Palatino Linotype" w:eastAsia="Palatino Linotype" w:hAnsi="Palatino Linotype" w:cs="Palatino Linotype"/>
          <w:sz w:val="22"/>
          <w:szCs w:val="22"/>
        </w:rPr>
      </w:pPr>
    </w:p>
    <w:p w14:paraId="29AB5E3E" w14:textId="77777777" w:rsidR="000B189A" w:rsidRPr="00410F65" w:rsidRDefault="00527D5F" w:rsidP="00101CE8">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Dicho lo anterior, se procede al análisis de los agravios hechos valer por la parte </w:t>
      </w:r>
      <w:r w:rsidRPr="00410F65">
        <w:rPr>
          <w:rFonts w:ascii="Palatino Linotype" w:eastAsia="Palatino Linotype" w:hAnsi="Palatino Linotype" w:cs="Palatino Linotype"/>
          <w:b/>
          <w:bCs/>
          <w:sz w:val="22"/>
          <w:szCs w:val="22"/>
        </w:rPr>
        <w:t>Recurrente</w:t>
      </w:r>
      <w:r w:rsidRPr="00410F65">
        <w:rPr>
          <w:rFonts w:ascii="Palatino Linotype" w:eastAsia="Palatino Linotype" w:hAnsi="Palatino Linotype" w:cs="Palatino Linotype"/>
          <w:sz w:val="22"/>
          <w:szCs w:val="22"/>
        </w:rPr>
        <w:t xml:space="preserve"> que actualizan la causal de procedencia prevista en la fracción I del artículo 179 de la Ley de Transparencia y Acceso a la Información del Estado de México y Municipios, relativa a la negativa de la información.</w:t>
      </w:r>
    </w:p>
    <w:p w14:paraId="2E4B2FB0" w14:textId="77777777" w:rsidR="000B189A" w:rsidRPr="00410F65" w:rsidRDefault="000B189A" w:rsidP="00101CE8">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5715180" w14:textId="6C706FE0" w:rsidR="000B189A" w:rsidRPr="00410F65" w:rsidRDefault="00527D5F" w:rsidP="00101CE8">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En principio, resulta conveniente recordar que la pretensión del </w:t>
      </w:r>
      <w:r w:rsidRPr="00410F65">
        <w:rPr>
          <w:rFonts w:ascii="Palatino Linotype" w:eastAsia="Palatino Linotype" w:hAnsi="Palatino Linotype" w:cs="Palatino Linotype"/>
          <w:b/>
          <w:sz w:val="22"/>
          <w:szCs w:val="22"/>
        </w:rPr>
        <w:t>Recurrente</w:t>
      </w:r>
      <w:r w:rsidRPr="00410F65">
        <w:rPr>
          <w:rFonts w:ascii="Palatino Linotype" w:eastAsia="Palatino Linotype" w:hAnsi="Palatino Linotype" w:cs="Palatino Linotype"/>
          <w:sz w:val="22"/>
          <w:szCs w:val="22"/>
        </w:rPr>
        <w:t xml:space="preserve"> es accede</w:t>
      </w:r>
      <w:r w:rsidR="004D0851" w:rsidRPr="00410F65">
        <w:rPr>
          <w:rFonts w:ascii="Palatino Linotype" w:eastAsia="Palatino Linotype" w:hAnsi="Palatino Linotype" w:cs="Palatino Linotype"/>
          <w:sz w:val="22"/>
          <w:szCs w:val="22"/>
        </w:rPr>
        <w:t xml:space="preserve">r a la información del personal dado de baja, </w:t>
      </w:r>
      <w:r w:rsidR="00F504F7" w:rsidRPr="00410F65">
        <w:rPr>
          <w:rFonts w:ascii="Palatino Linotype" w:eastAsia="Palatino Linotype" w:hAnsi="Palatino Linotype" w:cs="Palatino Linotype"/>
          <w:sz w:val="22"/>
          <w:szCs w:val="22"/>
        </w:rPr>
        <w:t xml:space="preserve">consistente en </w:t>
      </w:r>
      <w:r w:rsidR="004D0851" w:rsidRPr="00410F65">
        <w:rPr>
          <w:rFonts w:ascii="Palatino Linotype" w:eastAsia="Palatino Linotype" w:hAnsi="Palatino Linotype" w:cs="Palatino Linotype"/>
          <w:sz w:val="22"/>
          <w:szCs w:val="22"/>
        </w:rPr>
        <w:t>l</w:t>
      </w:r>
      <w:r w:rsidRPr="00410F65">
        <w:rPr>
          <w:rFonts w:ascii="Palatino Linotype" w:eastAsia="Palatino Linotype" w:hAnsi="Palatino Linotype" w:cs="Palatino Linotype"/>
          <w:sz w:val="22"/>
          <w:szCs w:val="22"/>
        </w:rPr>
        <w:t>o siguiente:</w:t>
      </w:r>
    </w:p>
    <w:p w14:paraId="375057D1" w14:textId="77777777" w:rsidR="000B189A" w:rsidRPr="00410F65" w:rsidRDefault="000B189A" w:rsidP="00101CE8">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045CF3C" w14:textId="77777777" w:rsidR="004D0851" w:rsidRPr="00410F65" w:rsidRDefault="004D0851" w:rsidP="00101CE8">
      <w:pPr>
        <w:numPr>
          <w:ilvl w:val="0"/>
          <w:numId w:val="1"/>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F</w:t>
      </w:r>
      <w:r w:rsidR="00EB0B4E" w:rsidRPr="00410F65">
        <w:rPr>
          <w:rFonts w:ascii="Palatino Linotype" w:eastAsia="Palatino Linotype" w:hAnsi="Palatino Linotype" w:cs="Palatino Linotype"/>
          <w:b/>
          <w:sz w:val="22"/>
          <w:szCs w:val="22"/>
        </w:rPr>
        <w:t xml:space="preserve">ump </w:t>
      </w:r>
    </w:p>
    <w:p w14:paraId="312BF043" w14:textId="77777777" w:rsidR="004D0851" w:rsidRPr="00410F65" w:rsidRDefault="004D0851" w:rsidP="00101CE8">
      <w:pPr>
        <w:numPr>
          <w:ilvl w:val="0"/>
          <w:numId w:val="1"/>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CV</w:t>
      </w:r>
    </w:p>
    <w:p w14:paraId="7DAD0E68" w14:textId="3080E088" w:rsidR="004D0851" w:rsidRPr="00410F65" w:rsidRDefault="004D0851" w:rsidP="00101CE8">
      <w:pPr>
        <w:numPr>
          <w:ilvl w:val="0"/>
          <w:numId w:val="1"/>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Renuncia</w:t>
      </w:r>
      <w:r w:rsidR="00EB0B4E" w:rsidRPr="00410F65">
        <w:rPr>
          <w:rFonts w:ascii="Palatino Linotype" w:eastAsia="Palatino Linotype" w:hAnsi="Palatino Linotype" w:cs="Palatino Linotype"/>
          <w:b/>
          <w:sz w:val="22"/>
          <w:szCs w:val="22"/>
        </w:rPr>
        <w:t xml:space="preserve"> firmada </w:t>
      </w:r>
    </w:p>
    <w:p w14:paraId="730EA457" w14:textId="77777777" w:rsidR="004D0851" w:rsidRPr="00410F65" w:rsidRDefault="004D0851" w:rsidP="00101CE8">
      <w:pPr>
        <w:numPr>
          <w:ilvl w:val="0"/>
          <w:numId w:val="1"/>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C</w:t>
      </w:r>
      <w:r w:rsidR="00EB0B4E" w:rsidRPr="00410F65">
        <w:rPr>
          <w:rFonts w:ascii="Palatino Linotype" w:eastAsia="Palatino Linotype" w:hAnsi="Palatino Linotype" w:cs="Palatino Linotype"/>
          <w:b/>
          <w:sz w:val="22"/>
          <w:szCs w:val="22"/>
        </w:rPr>
        <w:t xml:space="preserve">uantos demandaron y en que estatus esta la demanda y </w:t>
      </w:r>
    </w:p>
    <w:p w14:paraId="13C3817D" w14:textId="77777777" w:rsidR="000D118E" w:rsidRPr="00410F65" w:rsidRDefault="004D0851" w:rsidP="00101CE8">
      <w:pPr>
        <w:numPr>
          <w:ilvl w:val="0"/>
          <w:numId w:val="1"/>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C</w:t>
      </w:r>
      <w:r w:rsidR="00EB0B4E" w:rsidRPr="00410F65">
        <w:rPr>
          <w:rFonts w:ascii="Palatino Linotype" w:eastAsia="Palatino Linotype" w:hAnsi="Palatino Linotype" w:cs="Palatino Linotype"/>
          <w:b/>
          <w:sz w:val="22"/>
          <w:szCs w:val="22"/>
        </w:rPr>
        <w:t xml:space="preserve">uantos laudos se han </w:t>
      </w:r>
      <w:r w:rsidRPr="00410F65">
        <w:rPr>
          <w:rFonts w:ascii="Palatino Linotype" w:eastAsia="Palatino Linotype" w:hAnsi="Palatino Linotype" w:cs="Palatino Linotype"/>
          <w:b/>
          <w:sz w:val="22"/>
          <w:szCs w:val="22"/>
        </w:rPr>
        <w:t>pagado</w:t>
      </w:r>
      <w:r w:rsidR="00EB0B4E" w:rsidRPr="00410F65">
        <w:rPr>
          <w:rFonts w:ascii="Palatino Linotype" w:eastAsia="Palatino Linotype" w:hAnsi="Palatino Linotype" w:cs="Palatino Linotype"/>
          <w:b/>
          <w:sz w:val="22"/>
          <w:szCs w:val="22"/>
        </w:rPr>
        <w:t xml:space="preserve"> con la resolución y el mont</w:t>
      </w:r>
      <w:r w:rsidRPr="00410F65">
        <w:rPr>
          <w:rFonts w:ascii="Palatino Linotype" w:eastAsia="Palatino Linotype" w:hAnsi="Palatino Linotype" w:cs="Palatino Linotype"/>
          <w:b/>
          <w:sz w:val="22"/>
          <w:szCs w:val="22"/>
        </w:rPr>
        <w:t>o pagado.</w:t>
      </w:r>
    </w:p>
    <w:p w14:paraId="4E4B50D5" w14:textId="77777777" w:rsidR="000B189A" w:rsidRPr="00410F65" w:rsidRDefault="000B189A" w:rsidP="00101CE8">
      <w:pPr>
        <w:widowControl w:val="0"/>
        <w:spacing w:line="360" w:lineRule="auto"/>
        <w:jc w:val="both"/>
        <w:rPr>
          <w:rFonts w:ascii="Palatino Linotype" w:eastAsia="Palatino Linotype" w:hAnsi="Palatino Linotype" w:cs="Palatino Linotype"/>
          <w:sz w:val="22"/>
          <w:szCs w:val="22"/>
        </w:rPr>
      </w:pPr>
    </w:p>
    <w:p w14:paraId="3A68CC9A" w14:textId="77777777" w:rsidR="004D0851" w:rsidRPr="00410F65" w:rsidRDefault="00527D5F" w:rsidP="00101CE8">
      <w:pPr>
        <w:widowControl w:val="0"/>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En respuesta, el </w:t>
      </w:r>
      <w:r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a través de la Tesorería Municipa</w:t>
      </w:r>
      <w:r w:rsidR="00871E20" w:rsidRPr="00410F65">
        <w:rPr>
          <w:rFonts w:ascii="Palatino Linotype" w:eastAsia="Palatino Linotype" w:hAnsi="Palatino Linotype" w:cs="Palatino Linotype"/>
          <w:sz w:val="22"/>
          <w:szCs w:val="22"/>
        </w:rPr>
        <w:t xml:space="preserve">l informó </w:t>
      </w:r>
      <w:r w:rsidR="004D0851" w:rsidRPr="00410F65">
        <w:rPr>
          <w:rFonts w:ascii="Palatino Linotype" w:eastAsia="Palatino Linotype" w:hAnsi="Palatino Linotype" w:cs="Palatino Linotype"/>
          <w:sz w:val="22"/>
          <w:szCs w:val="22"/>
        </w:rPr>
        <w:t xml:space="preserve">la entrega del Estado Analítico del Ejercicio del Presupuesto de Egresos correspondiente al primer trimestre de ejercicio 2025, de conformidad con el calendario de entrega de los informes trimestrales al OSFEM, los trimestres segundo y tercero se encuentran en proceso de integración, sin que se adjuntara documento alguno. </w:t>
      </w:r>
    </w:p>
    <w:p w14:paraId="617E05E3" w14:textId="77777777" w:rsidR="004D0851" w:rsidRPr="00410F65" w:rsidRDefault="004D0851" w:rsidP="00101CE8">
      <w:pPr>
        <w:widowControl w:val="0"/>
        <w:spacing w:line="360" w:lineRule="auto"/>
        <w:jc w:val="both"/>
        <w:rPr>
          <w:rFonts w:ascii="Palatino Linotype" w:eastAsia="Palatino Linotype" w:hAnsi="Palatino Linotype" w:cs="Palatino Linotype"/>
          <w:sz w:val="22"/>
          <w:szCs w:val="22"/>
        </w:rPr>
      </w:pPr>
    </w:p>
    <w:p w14:paraId="3AB4BC6B" w14:textId="77777777" w:rsidR="00A81AF3" w:rsidRPr="00410F65" w:rsidRDefault="004D0851" w:rsidP="00101CE8">
      <w:pPr>
        <w:widowControl w:val="0"/>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Por su parte, la Directora de Recursos Humanos adscrita a la Dirección General de Administración informó que la información la podrá consultar en la siguiente página de internet: </w:t>
      </w:r>
      <w:r w:rsidRPr="00410F65">
        <w:rPr>
          <w:rFonts w:ascii="Palatino Linotype" w:eastAsia="Palatino Linotype" w:hAnsi="Palatino Linotype" w:cs="Palatino Linotype"/>
          <w:noProof/>
          <w:sz w:val="22"/>
          <w:szCs w:val="22"/>
        </w:rPr>
        <w:drawing>
          <wp:inline distT="0" distB="0" distL="0" distR="0" wp14:anchorId="422BF340" wp14:editId="2B1FC2E1">
            <wp:extent cx="4242298" cy="19050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0932" cy="223668"/>
                    </a:xfrm>
                    <a:prstGeom prst="rect">
                      <a:avLst/>
                    </a:prstGeom>
                  </pic:spPr>
                </pic:pic>
              </a:graphicData>
            </a:graphic>
          </wp:inline>
        </w:drawing>
      </w:r>
    </w:p>
    <w:p w14:paraId="42AD1E60" w14:textId="77777777" w:rsidR="000B189A" w:rsidRPr="00410F65" w:rsidRDefault="000B189A" w:rsidP="00101CE8">
      <w:pPr>
        <w:spacing w:line="360" w:lineRule="auto"/>
        <w:jc w:val="both"/>
        <w:rPr>
          <w:rFonts w:ascii="Palatino Linotype" w:eastAsia="Palatino Linotype" w:hAnsi="Palatino Linotype" w:cs="Palatino Linotype"/>
          <w:sz w:val="22"/>
          <w:szCs w:val="22"/>
        </w:rPr>
      </w:pPr>
    </w:p>
    <w:p w14:paraId="067329FC" w14:textId="77777777" w:rsidR="004D0851" w:rsidRPr="00410F65" w:rsidRDefault="004D0851"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Al no estar conforme con los términos de la respuesta otorgada a su solicitud, la persona solicitante interpuso el recurso de revisión que ahora nos ocupa, en el que señaló como motivo de inconformidad la negativa a la entrega de la información.</w:t>
      </w:r>
    </w:p>
    <w:p w14:paraId="0B1E6B9C" w14:textId="77777777" w:rsidR="004D0851" w:rsidRPr="00410F65" w:rsidRDefault="004D0851" w:rsidP="00101CE8">
      <w:pPr>
        <w:spacing w:line="360" w:lineRule="auto"/>
        <w:jc w:val="both"/>
        <w:rPr>
          <w:rFonts w:ascii="Palatino Linotype" w:eastAsia="Palatino Linotype" w:hAnsi="Palatino Linotype" w:cs="Palatino Linotype"/>
          <w:sz w:val="22"/>
          <w:szCs w:val="22"/>
        </w:rPr>
      </w:pPr>
    </w:p>
    <w:p w14:paraId="291308F4" w14:textId="77777777" w:rsidR="004D0851"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Durante el periodo de manifestaciones el </w:t>
      </w:r>
      <w:r w:rsidRPr="00410F65">
        <w:rPr>
          <w:rFonts w:ascii="Palatino Linotype" w:eastAsia="Palatino Linotype" w:hAnsi="Palatino Linotype" w:cs="Palatino Linotype"/>
          <w:b/>
          <w:sz w:val="22"/>
          <w:szCs w:val="22"/>
        </w:rPr>
        <w:t xml:space="preserve">Sujeto Obligado </w:t>
      </w:r>
      <w:r w:rsidR="00A81AF3" w:rsidRPr="00410F65">
        <w:rPr>
          <w:rFonts w:ascii="Palatino Linotype" w:eastAsia="Palatino Linotype" w:hAnsi="Palatino Linotype" w:cs="Palatino Linotype"/>
          <w:sz w:val="22"/>
          <w:szCs w:val="22"/>
        </w:rPr>
        <w:t xml:space="preserve">rindió su informe justificado en el que </w:t>
      </w:r>
      <w:r w:rsidR="004D0851" w:rsidRPr="00410F65">
        <w:rPr>
          <w:rFonts w:ascii="Palatino Linotype" w:eastAsia="Palatino Linotype" w:hAnsi="Palatino Linotype" w:cs="Palatino Linotype"/>
          <w:sz w:val="22"/>
          <w:szCs w:val="22"/>
        </w:rPr>
        <w:t xml:space="preserve">ratifico la respuesta inicial de la Dirección General de Administración y Tesorería Municipal; mientras que la Consejería Jurídica informó que </w:t>
      </w:r>
      <w:r w:rsidR="00084E63" w:rsidRPr="00410F65">
        <w:rPr>
          <w:rFonts w:ascii="Palatino Linotype" w:eastAsia="Palatino Linotype" w:hAnsi="Palatino Linotype" w:cs="Palatino Linotype"/>
          <w:sz w:val="22"/>
          <w:szCs w:val="22"/>
        </w:rPr>
        <w:t>no cuenta con la información solicitada, toda vez que dentro de sus atribuciones no está la de generar, poseer o administrar información laboral de servidores públicos del Ayuntamiento, tal como refiere el artículo 3.15 del Código Reglamentario Municipal.</w:t>
      </w:r>
    </w:p>
    <w:p w14:paraId="5A4B44D7" w14:textId="77777777" w:rsidR="00A81AF3" w:rsidRPr="00410F65" w:rsidRDefault="00A81AF3" w:rsidP="00101CE8">
      <w:pPr>
        <w:spacing w:line="360" w:lineRule="auto"/>
        <w:jc w:val="both"/>
        <w:rPr>
          <w:rFonts w:ascii="Palatino Linotype" w:eastAsia="Palatino Linotype" w:hAnsi="Palatino Linotype" w:cs="Palatino Linotype"/>
          <w:sz w:val="22"/>
          <w:szCs w:val="22"/>
        </w:rPr>
      </w:pPr>
    </w:p>
    <w:p w14:paraId="149CE1E5" w14:textId="77777777" w:rsidR="000B189A" w:rsidRPr="00410F65" w:rsidRDefault="00A81AF3"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Mientras que l</w:t>
      </w:r>
      <w:r w:rsidR="00527D5F" w:rsidRPr="00410F65">
        <w:rPr>
          <w:rFonts w:ascii="Palatino Linotype" w:eastAsia="Palatino Linotype" w:hAnsi="Palatino Linotype" w:cs="Palatino Linotype"/>
          <w:sz w:val="22"/>
          <w:szCs w:val="22"/>
        </w:rPr>
        <w:t xml:space="preserve">a parte </w:t>
      </w:r>
      <w:r w:rsidR="00527D5F" w:rsidRPr="00410F65">
        <w:rPr>
          <w:rFonts w:ascii="Palatino Linotype" w:eastAsia="Palatino Linotype" w:hAnsi="Palatino Linotype" w:cs="Palatino Linotype"/>
          <w:b/>
          <w:sz w:val="22"/>
          <w:szCs w:val="22"/>
        </w:rPr>
        <w:t xml:space="preserve">Recurrente </w:t>
      </w:r>
      <w:r w:rsidR="00527D5F" w:rsidRPr="00410F65">
        <w:rPr>
          <w:rFonts w:ascii="Palatino Linotype" w:eastAsia="Palatino Linotype" w:hAnsi="Palatino Linotype" w:cs="Palatino Linotype"/>
          <w:sz w:val="22"/>
          <w:szCs w:val="22"/>
        </w:rPr>
        <w:t>fue omisa en hacer valer manifestaciones o rendir alegatos que conforme a derecho resultaran procedentes, por lo tanto, se tiene por precluido su derecho.</w:t>
      </w:r>
    </w:p>
    <w:p w14:paraId="6192D658" w14:textId="77777777" w:rsidR="000B189A" w:rsidRPr="00410F65" w:rsidRDefault="000B189A" w:rsidP="00101CE8">
      <w:pPr>
        <w:spacing w:line="360" w:lineRule="auto"/>
        <w:jc w:val="both"/>
        <w:rPr>
          <w:rFonts w:ascii="Palatino Linotype" w:eastAsia="Palatino Linotype" w:hAnsi="Palatino Linotype" w:cs="Palatino Linotype"/>
          <w:sz w:val="22"/>
          <w:szCs w:val="22"/>
        </w:rPr>
      </w:pPr>
    </w:p>
    <w:p w14:paraId="5935EB19" w14:textId="0D6ED16F" w:rsidR="00BE3C6A" w:rsidRPr="00410F65" w:rsidRDefault="0020150E"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Expuesto lo anterior, este Organismo Garante considera oportuno puntualizar que de la solicitud de información no se advierte que la parte </w:t>
      </w:r>
      <w:r w:rsidRPr="00410F65">
        <w:rPr>
          <w:rFonts w:ascii="Palatino Linotype" w:eastAsia="Palatino Linotype" w:hAnsi="Palatino Linotype" w:cs="Palatino Linotype"/>
          <w:b/>
          <w:sz w:val="22"/>
          <w:szCs w:val="22"/>
        </w:rPr>
        <w:t>Recurrente</w:t>
      </w:r>
      <w:r w:rsidRPr="00410F65">
        <w:rPr>
          <w:rFonts w:ascii="Palatino Linotype" w:eastAsia="Palatino Linotype" w:hAnsi="Palatino Linotype" w:cs="Palatino Linotype"/>
          <w:sz w:val="22"/>
          <w:szCs w:val="22"/>
        </w:rPr>
        <w:t xml:space="preserve"> precisara temporalidad de la información solicitada, </w:t>
      </w:r>
      <w:r w:rsidR="00BE3C6A" w:rsidRPr="00410F65">
        <w:rPr>
          <w:rFonts w:ascii="Palatino Linotype" w:eastAsia="Palatino Linotype" w:hAnsi="Palatino Linotype" w:cs="Palatino Linotype"/>
          <w:sz w:val="22"/>
          <w:szCs w:val="22"/>
        </w:rPr>
        <w:t xml:space="preserve">por lo que resulta aplicable el criterio de interpretación 03/19 emitido por el entonces Instituto Nacional de Transparencia, Acceso a la Información Y Protección de Datos Personales, el cual refiere lo siguiente: </w:t>
      </w:r>
      <w:r w:rsidR="00BE3C6A" w:rsidRPr="00410F65">
        <w:rPr>
          <w:rFonts w:ascii="Palatino Linotype" w:eastAsia="Palatino Linotype" w:hAnsi="Palatino Linotype" w:cs="Palatino Linotype"/>
          <w:i/>
          <w:sz w:val="22"/>
          <w:szCs w:val="22"/>
        </w:rPr>
        <w:t>“Periodo de búsqueda de la información. Cuando la persona solicitante no señale el periodo respecto del cual requiere la información se considerará que el requerimiento se refiere al año inmediato anterior, contado a partir de la fecha de recepción de la solicitud.”</w:t>
      </w:r>
      <w:r w:rsidR="00BE3C6A" w:rsidRPr="00410F65">
        <w:rPr>
          <w:rFonts w:ascii="Palatino Linotype" w:eastAsia="Palatino Linotype" w:hAnsi="Palatino Linotype" w:cs="Palatino Linotype"/>
          <w:sz w:val="22"/>
          <w:szCs w:val="22"/>
        </w:rPr>
        <w:t xml:space="preserve">. De manera </w:t>
      </w:r>
      <w:r w:rsidR="00F504F7" w:rsidRPr="00410F65">
        <w:rPr>
          <w:rFonts w:ascii="Palatino Linotype" w:eastAsia="Palatino Linotype" w:hAnsi="Palatino Linotype" w:cs="Palatino Linotype"/>
          <w:sz w:val="22"/>
          <w:szCs w:val="22"/>
        </w:rPr>
        <w:t>que,</w:t>
      </w:r>
      <w:r w:rsidR="00BE3C6A" w:rsidRPr="00410F65">
        <w:rPr>
          <w:rFonts w:ascii="Palatino Linotype" w:eastAsia="Palatino Linotype" w:hAnsi="Palatino Linotype" w:cs="Palatino Linotype"/>
          <w:sz w:val="22"/>
          <w:szCs w:val="22"/>
        </w:rPr>
        <w:t xml:space="preserve"> ante la omisión por parte del solicitante, la información que es susceptible de entrega, en su caso, corresponde a la que el </w:t>
      </w:r>
      <w:r w:rsidR="00BE3C6A" w:rsidRPr="00410F65">
        <w:rPr>
          <w:rFonts w:ascii="Palatino Linotype" w:eastAsia="Palatino Linotype" w:hAnsi="Palatino Linotype" w:cs="Palatino Linotype"/>
          <w:b/>
          <w:sz w:val="22"/>
          <w:szCs w:val="22"/>
        </w:rPr>
        <w:t>Sujeto Obligado</w:t>
      </w:r>
      <w:r w:rsidR="00BE3C6A" w:rsidRPr="00410F65">
        <w:rPr>
          <w:rFonts w:ascii="Palatino Linotype" w:eastAsia="Palatino Linotype" w:hAnsi="Palatino Linotype" w:cs="Palatino Linotype"/>
          <w:sz w:val="22"/>
          <w:szCs w:val="22"/>
        </w:rPr>
        <w:t xml:space="preserve"> hubiera generado, administrado o poseído en el año inmediato anterior contado a partir de la fecha de presentación de la solicitud, es decir, del siete de julio de dos mil veinticuatro al siete de julio de dos mil veinticinco. </w:t>
      </w:r>
    </w:p>
    <w:p w14:paraId="048904F6" w14:textId="77777777" w:rsidR="00BE3C6A" w:rsidRPr="00410F65" w:rsidRDefault="00BE3C6A" w:rsidP="00101CE8">
      <w:pPr>
        <w:spacing w:line="360" w:lineRule="auto"/>
        <w:jc w:val="both"/>
        <w:rPr>
          <w:rFonts w:ascii="Palatino Linotype" w:eastAsia="Palatino Linotype" w:hAnsi="Palatino Linotype" w:cs="Palatino Linotype"/>
          <w:sz w:val="22"/>
          <w:szCs w:val="22"/>
        </w:rPr>
      </w:pPr>
    </w:p>
    <w:p w14:paraId="179013E8" w14:textId="77777777" w:rsidR="0020150E" w:rsidRPr="00410F65" w:rsidRDefault="0020150E" w:rsidP="00101CE8">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Previo al análisis de la respuesta es necesario precisar que el artículo 90 del Bando Municipal del Ayuntamiento de Toluca vigente, establece que, para el despacho, estudio y planeación de los diversos asuntos de la administración municipal, el </w:t>
      </w:r>
      <w:r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xml:space="preserve"> contará con una Secretaría del Ayuntamiento, Tesorería Municipal y Dirección General de Administración, tal y como se muestra a continuación: </w:t>
      </w:r>
    </w:p>
    <w:p w14:paraId="0D586A26" w14:textId="77777777" w:rsidR="0020150E" w:rsidRPr="00410F65" w:rsidRDefault="0020150E" w:rsidP="00101C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3ECF67E" w14:textId="77777777" w:rsidR="0020150E" w:rsidRPr="00410F65" w:rsidRDefault="0020150E" w:rsidP="00101CE8">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r w:rsidRPr="00410F65">
        <w:rPr>
          <w:rFonts w:ascii="Palatino Linotype" w:eastAsia="Palatino Linotype" w:hAnsi="Palatino Linotype" w:cs="Palatino Linotype"/>
          <w:b/>
          <w:i/>
          <w:sz w:val="22"/>
          <w:szCs w:val="22"/>
        </w:rPr>
        <w:t xml:space="preserve">Artículo 90. </w:t>
      </w:r>
      <w:r w:rsidRPr="00410F65">
        <w:rPr>
          <w:rFonts w:ascii="Palatino Linotype" w:eastAsia="Palatino Linotype" w:hAnsi="Palatino Linotype" w:cs="Palatino Linotype"/>
          <w:i/>
          <w:sz w:val="22"/>
          <w:szCs w:val="22"/>
        </w:rPr>
        <w:t>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14:paraId="04B90C94" w14:textId="77777777" w:rsidR="0020150E" w:rsidRPr="00410F65" w:rsidRDefault="0020150E" w:rsidP="00101CE8">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 DEPENDENCIAS:</w:t>
      </w:r>
    </w:p>
    <w:p w14:paraId="4A244436" w14:textId="77777777" w:rsidR="0020150E" w:rsidRPr="00410F65" w:rsidRDefault="0020150E" w:rsidP="00101CE8">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b/>
          <w:i/>
          <w:sz w:val="22"/>
          <w:szCs w:val="22"/>
          <w:u w:val="single"/>
        </w:rPr>
      </w:pPr>
      <w:r w:rsidRPr="00410F65">
        <w:rPr>
          <w:rFonts w:ascii="Palatino Linotype" w:eastAsia="Palatino Linotype" w:hAnsi="Palatino Linotype" w:cs="Palatino Linotype"/>
          <w:b/>
          <w:i/>
          <w:sz w:val="22"/>
          <w:szCs w:val="22"/>
          <w:u w:val="single"/>
        </w:rPr>
        <w:t>1. Secretaría del Ayuntamiento;</w:t>
      </w:r>
    </w:p>
    <w:p w14:paraId="6C59992A" w14:textId="77777777" w:rsidR="0020150E" w:rsidRPr="00410F65" w:rsidRDefault="0020150E" w:rsidP="00101CE8">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b/>
          <w:i/>
          <w:sz w:val="22"/>
          <w:szCs w:val="22"/>
          <w:u w:val="single"/>
        </w:rPr>
      </w:pPr>
      <w:r w:rsidRPr="00410F65">
        <w:rPr>
          <w:rFonts w:ascii="Palatino Linotype" w:eastAsia="Palatino Linotype" w:hAnsi="Palatino Linotype" w:cs="Palatino Linotype"/>
          <w:b/>
          <w:i/>
          <w:sz w:val="22"/>
          <w:szCs w:val="22"/>
          <w:u w:val="single"/>
        </w:rPr>
        <w:t>2. Tesorería Municipal;</w:t>
      </w:r>
    </w:p>
    <w:p w14:paraId="4455E063" w14:textId="77777777" w:rsidR="0020150E" w:rsidRPr="00410F65" w:rsidRDefault="0020150E" w:rsidP="00101CE8">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3. Órgano Interno de Control;</w:t>
      </w:r>
    </w:p>
    <w:p w14:paraId="2D8E00D2" w14:textId="77777777" w:rsidR="0020150E" w:rsidRPr="00410F65" w:rsidRDefault="0020150E" w:rsidP="00101CE8">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4. Dirección General de Gobierno;</w:t>
      </w:r>
    </w:p>
    <w:p w14:paraId="3BC23D60" w14:textId="77777777" w:rsidR="0020150E" w:rsidRPr="00410F65" w:rsidRDefault="0020150E" w:rsidP="00101CE8">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5. Dirección General de Seguridad y Protección;</w:t>
      </w:r>
    </w:p>
    <w:p w14:paraId="25B9517C" w14:textId="77777777" w:rsidR="0020150E" w:rsidRPr="00410F65" w:rsidRDefault="0020150E" w:rsidP="00101CE8">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b/>
          <w:i/>
          <w:sz w:val="22"/>
          <w:szCs w:val="22"/>
          <w:u w:val="single"/>
        </w:rPr>
      </w:pPr>
      <w:r w:rsidRPr="00410F65">
        <w:rPr>
          <w:rFonts w:ascii="Palatino Linotype" w:eastAsia="Palatino Linotype" w:hAnsi="Palatino Linotype" w:cs="Palatino Linotype"/>
          <w:b/>
          <w:i/>
          <w:sz w:val="22"/>
          <w:szCs w:val="22"/>
          <w:u w:val="single"/>
        </w:rPr>
        <w:t>6. Dirección General de Administración;</w:t>
      </w:r>
    </w:p>
    <w:p w14:paraId="5177D212" w14:textId="77777777" w:rsidR="0020150E" w:rsidRPr="00410F65" w:rsidRDefault="0020150E" w:rsidP="00101CE8">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7. Dirección General de Medio Ambiente;</w:t>
      </w:r>
    </w:p>
    <w:p w14:paraId="7CC2D613" w14:textId="77777777" w:rsidR="0020150E" w:rsidRPr="00410F65" w:rsidRDefault="0020150E" w:rsidP="00101CE8">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8. Dirección General de Servicios Públicos;</w:t>
      </w:r>
    </w:p>
    <w:p w14:paraId="599B996D" w14:textId="77777777" w:rsidR="0020150E" w:rsidRPr="00410F65" w:rsidRDefault="0020150E" w:rsidP="00101CE8">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9. Dirección General de Innovación, Planeación y Gestión Urbana;</w:t>
      </w:r>
    </w:p>
    <w:p w14:paraId="4159D49F" w14:textId="77777777" w:rsidR="0020150E" w:rsidRPr="00410F65" w:rsidRDefault="0020150E" w:rsidP="00101CE8">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10. Dirección General de Obras Públicas;</w:t>
      </w:r>
    </w:p>
    <w:p w14:paraId="2E3EB26D" w14:textId="77777777" w:rsidR="0020150E" w:rsidRPr="00410F65" w:rsidRDefault="0020150E" w:rsidP="00101CE8">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11. Dirección General de Desarrollo Económico;</w:t>
      </w:r>
    </w:p>
    <w:p w14:paraId="364FD132" w14:textId="77777777" w:rsidR="0020150E" w:rsidRPr="00410F65" w:rsidRDefault="0020150E" w:rsidP="00101CE8">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12. Dirección General de Bienestar; y</w:t>
      </w:r>
    </w:p>
    <w:p w14:paraId="2F193D96" w14:textId="77777777" w:rsidR="0020150E" w:rsidRPr="00410F65" w:rsidRDefault="0020150E" w:rsidP="00101CE8">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13.Dirección General de Educación, Cultura y Turismo…”</w:t>
      </w:r>
    </w:p>
    <w:p w14:paraId="765C75D6" w14:textId="77777777" w:rsidR="0020150E" w:rsidRPr="00410F65" w:rsidRDefault="0020150E" w:rsidP="00101CE8">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(Énfasis Añadido)</w:t>
      </w:r>
    </w:p>
    <w:p w14:paraId="5421847C" w14:textId="77777777" w:rsidR="0020150E" w:rsidRPr="00410F65" w:rsidRDefault="0020150E" w:rsidP="00101CE8">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sz w:val="22"/>
          <w:szCs w:val="22"/>
        </w:rPr>
      </w:pPr>
    </w:p>
    <w:p w14:paraId="24E458B3" w14:textId="647B638F" w:rsidR="0020150E" w:rsidRPr="00410F65" w:rsidRDefault="0020150E" w:rsidP="00101C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En esa tesitura, </w:t>
      </w:r>
      <w:r w:rsidR="00F504F7" w:rsidRPr="00410F65">
        <w:rPr>
          <w:rFonts w:ascii="Palatino Linotype" w:eastAsia="Palatino Linotype" w:hAnsi="Palatino Linotype" w:cs="Palatino Linotype"/>
          <w:sz w:val="22"/>
          <w:szCs w:val="22"/>
        </w:rPr>
        <w:t>los artículo</w:t>
      </w:r>
      <w:r w:rsidR="00876FDE" w:rsidRPr="00410F65">
        <w:rPr>
          <w:rFonts w:ascii="Palatino Linotype" w:eastAsia="Palatino Linotype" w:hAnsi="Palatino Linotype" w:cs="Palatino Linotype"/>
          <w:sz w:val="22"/>
          <w:szCs w:val="22"/>
        </w:rPr>
        <w:t>s</w:t>
      </w:r>
      <w:r w:rsidR="00F504F7" w:rsidRPr="00410F65">
        <w:rPr>
          <w:rFonts w:ascii="Palatino Linotype" w:eastAsia="Palatino Linotype" w:hAnsi="Palatino Linotype" w:cs="Palatino Linotype"/>
          <w:sz w:val="22"/>
          <w:szCs w:val="22"/>
        </w:rPr>
        <w:t xml:space="preserve"> 3.14, 3.15, 3.21, </w:t>
      </w:r>
      <w:r w:rsidRPr="00410F65">
        <w:rPr>
          <w:rFonts w:ascii="Palatino Linotype" w:eastAsia="Palatino Linotype" w:hAnsi="Palatino Linotype" w:cs="Palatino Linotype"/>
          <w:sz w:val="22"/>
          <w:szCs w:val="22"/>
        </w:rPr>
        <w:t>3.31</w:t>
      </w:r>
      <w:r w:rsidR="00F504F7" w:rsidRPr="00410F65">
        <w:rPr>
          <w:rFonts w:ascii="Palatino Linotype" w:eastAsia="Palatino Linotype" w:hAnsi="Palatino Linotype" w:cs="Palatino Linotype"/>
          <w:sz w:val="22"/>
          <w:szCs w:val="22"/>
        </w:rPr>
        <w:t>, 3.32 y 3.33</w:t>
      </w:r>
      <w:r w:rsidRPr="00410F65">
        <w:rPr>
          <w:rFonts w:ascii="Palatino Linotype" w:eastAsia="Palatino Linotype" w:hAnsi="Palatino Linotype" w:cs="Palatino Linotype"/>
          <w:sz w:val="22"/>
          <w:szCs w:val="22"/>
        </w:rPr>
        <w:t xml:space="preserve"> del Código Reglamentario Municipal de Toluca refiere</w:t>
      </w:r>
      <w:r w:rsidR="00F504F7" w:rsidRPr="00410F65">
        <w:rPr>
          <w:rFonts w:ascii="Palatino Linotype" w:eastAsia="Palatino Linotype" w:hAnsi="Palatino Linotype" w:cs="Palatino Linotype"/>
          <w:sz w:val="22"/>
          <w:szCs w:val="22"/>
        </w:rPr>
        <w:t xml:space="preserve">n que dichas dependencias </w:t>
      </w:r>
      <w:r w:rsidRPr="00410F65">
        <w:rPr>
          <w:rFonts w:ascii="Palatino Linotype" w:eastAsia="Palatino Linotype" w:hAnsi="Palatino Linotype" w:cs="Palatino Linotype"/>
          <w:sz w:val="22"/>
          <w:szCs w:val="22"/>
        </w:rPr>
        <w:t xml:space="preserve">tiene las siguientes atribuciones: </w:t>
      </w:r>
    </w:p>
    <w:p w14:paraId="672B81B9" w14:textId="77777777" w:rsidR="0020150E" w:rsidRPr="00410F65" w:rsidRDefault="0020150E" w:rsidP="00101C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B1C86FA" w14:textId="77777777" w:rsidR="002749C7" w:rsidRPr="00410F65" w:rsidRDefault="0020150E"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r w:rsidR="002749C7" w:rsidRPr="00410F65">
        <w:rPr>
          <w:rFonts w:ascii="Palatino Linotype" w:eastAsia="Palatino Linotype" w:hAnsi="Palatino Linotype" w:cs="Palatino Linotype"/>
          <w:i/>
          <w:sz w:val="22"/>
          <w:szCs w:val="22"/>
        </w:rPr>
        <w:t xml:space="preserve">Artículo 3.14. </w:t>
      </w:r>
      <w:r w:rsidR="002749C7" w:rsidRPr="00410F65">
        <w:rPr>
          <w:rFonts w:ascii="Palatino Linotype" w:eastAsia="Palatino Linotype" w:hAnsi="Palatino Linotype" w:cs="Palatino Linotype"/>
          <w:b/>
          <w:i/>
          <w:sz w:val="22"/>
          <w:szCs w:val="22"/>
        </w:rPr>
        <w:t xml:space="preserve">La Secretaría del Ayuntamiento, para el cumplimiento de sus atribuciones, se auxiliará de </w:t>
      </w:r>
      <w:r w:rsidR="002749C7" w:rsidRPr="00410F65">
        <w:rPr>
          <w:rFonts w:ascii="Palatino Linotype" w:eastAsia="Palatino Linotype" w:hAnsi="Palatino Linotype" w:cs="Palatino Linotype"/>
          <w:i/>
          <w:sz w:val="22"/>
          <w:szCs w:val="22"/>
        </w:rPr>
        <w:t xml:space="preserve">una Coordinación de Apoyo Técnico; una Delegación Administrativa; una Coordinación de Apoyo al Sistema Municipal Anticorrupción; </w:t>
      </w:r>
      <w:r w:rsidR="002749C7" w:rsidRPr="00410F65">
        <w:rPr>
          <w:rFonts w:ascii="Palatino Linotype" w:eastAsia="Palatino Linotype" w:hAnsi="Palatino Linotype" w:cs="Palatino Linotype"/>
          <w:b/>
          <w:i/>
          <w:sz w:val="22"/>
          <w:szCs w:val="22"/>
        </w:rPr>
        <w:t>una Consejería Jurídica</w:t>
      </w:r>
      <w:r w:rsidR="002749C7" w:rsidRPr="00410F65">
        <w:rPr>
          <w:rFonts w:ascii="Palatino Linotype" w:eastAsia="Palatino Linotype" w:hAnsi="Palatino Linotype" w:cs="Palatino Linotype"/>
          <w:i/>
          <w:sz w:val="22"/>
          <w:szCs w:val="22"/>
        </w:rPr>
        <w:t>; un Coordinación de Apoyo a Cabildo; un Departamento de Patrimonio Municipal; un Departamento de Constancias de Vecindad y Certificaciones; una Preceptoría Juvenil Regional de Reintegración Social; una Unidad de Transparencia; una Coordinación de Atención Ciudadana y Correspondencia; una Coordinación de Protección Civil y Bomberos y las demás Unidades Administrativas necesarias para el cumplimiento de sus atribuciones.</w:t>
      </w:r>
    </w:p>
    <w:p w14:paraId="6072E675" w14:textId="77777777" w:rsidR="002749C7" w:rsidRPr="00410F65" w:rsidRDefault="002749C7"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2FFF4D7" w14:textId="77777777" w:rsidR="002749C7" w:rsidRPr="00410F65" w:rsidRDefault="002749C7"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b/>
          <w:i/>
          <w:sz w:val="22"/>
          <w:szCs w:val="22"/>
        </w:rPr>
        <w:t>Artículo 3.15.</w:t>
      </w:r>
      <w:r w:rsidRPr="00410F65">
        <w:rPr>
          <w:rFonts w:ascii="Palatino Linotype" w:eastAsia="Palatino Linotype" w:hAnsi="Palatino Linotype" w:cs="Palatino Linotype"/>
          <w:i/>
          <w:sz w:val="22"/>
          <w:szCs w:val="22"/>
        </w:rPr>
        <w:t xml:space="preserve"> La o el titular de </w:t>
      </w:r>
      <w:r w:rsidRPr="00410F65">
        <w:rPr>
          <w:rFonts w:ascii="Palatino Linotype" w:eastAsia="Palatino Linotype" w:hAnsi="Palatino Linotype" w:cs="Palatino Linotype"/>
          <w:b/>
          <w:i/>
          <w:sz w:val="22"/>
          <w:szCs w:val="22"/>
        </w:rPr>
        <w:t>la Consejería Jurídica tiene las siguientes atribuciones:</w:t>
      </w:r>
    </w:p>
    <w:p w14:paraId="2060A9E2" w14:textId="77777777" w:rsidR="002749C7" w:rsidRPr="00410F65" w:rsidRDefault="002749C7"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 xml:space="preserve">I. Fungir como apoderado jurídico del H. Ayuntamiento de Toluca, </w:t>
      </w:r>
      <w:r w:rsidRPr="00410F65">
        <w:rPr>
          <w:rFonts w:ascii="Palatino Linotype" w:eastAsia="Palatino Linotype" w:hAnsi="Palatino Linotype" w:cs="Palatino Linotype"/>
          <w:i/>
          <w:sz w:val="22"/>
          <w:szCs w:val="22"/>
        </w:rPr>
        <w:t>de la Presidenta o del Presidente Municipal y de la Administración Pública Municipal Centralizada;</w:t>
      </w:r>
    </w:p>
    <w:p w14:paraId="37620B69" w14:textId="77777777" w:rsidR="002749C7" w:rsidRPr="00410F65" w:rsidRDefault="002749C7"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II. Coadyuvar con los Síndicos Municipales e</w:t>
      </w:r>
    </w:p>
    <w:p w14:paraId="475C797C" w14:textId="77777777" w:rsidR="002749C7" w:rsidRPr="00410F65" w:rsidRDefault="002749C7"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n los procedimientos que por disposición de ley deban conocer, tramitar y resolver;</w:t>
      </w:r>
    </w:p>
    <w:p w14:paraId="41AD68AE" w14:textId="77777777" w:rsidR="002749C7" w:rsidRPr="00410F65" w:rsidRDefault="002749C7"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III. Desahogar las consultas y las asesorías jurídicas</w:t>
      </w:r>
      <w:r w:rsidRPr="00410F65">
        <w:rPr>
          <w:rFonts w:ascii="Palatino Linotype" w:eastAsia="Palatino Linotype" w:hAnsi="Palatino Linotype" w:cs="Palatino Linotype"/>
          <w:i/>
          <w:sz w:val="22"/>
          <w:szCs w:val="22"/>
        </w:rPr>
        <w:t>, así como brindar apoyo técnico jurídico a las y los integrantes del Ayuntamiento y las dependencias municipales, con excepción de las de carácter fiscal;</w:t>
      </w:r>
    </w:p>
    <w:p w14:paraId="3495C4DC" w14:textId="77777777" w:rsidR="002749C7" w:rsidRPr="00410F65" w:rsidRDefault="002749C7"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IV. Recuperar bienes del dominio público o privado del municipio mediante el procedimiento establecido en el artículo 27 Bis de la Ley de Bienes del Estado de México y sus Municipios, con la colaboración de las áreas del Ayuntamiento que de acuerdo a sus atribuciones considere necesarias, en términos del artículo 136 del Bando Municipal;</w:t>
      </w:r>
    </w:p>
    <w:p w14:paraId="70AE0A1B" w14:textId="77777777" w:rsidR="002749C7" w:rsidRPr="00410F65" w:rsidRDefault="002749C7"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V. Atender los asuntos jurídicos de los que la o el Presidente, Síndicos y la Administración Pública Municipal sean parte; y</w:t>
      </w:r>
    </w:p>
    <w:p w14:paraId="5FC69402" w14:textId="77777777" w:rsidR="002749C7" w:rsidRPr="00410F65" w:rsidRDefault="002749C7"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VI. Las demás que le asignen otros ordenamientos, la Presidenta o Presidente Municipal y la o el Secretario del Ayuntamiento.</w:t>
      </w:r>
    </w:p>
    <w:p w14:paraId="602907A3" w14:textId="77777777" w:rsidR="002749C7" w:rsidRPr="00410F65" w:rsidRDefault="008674C7"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p>
    <w:p w14:paraId="2116DC2C" w14:textId="77777777" w:rsidR="008674C7" w:rsidRPr="00410F65" w:rsidRDefault="008674C7"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i/>
          <w:sz w:val="22"/>
          <w:szCs w:val="22"/>
        </w:rPr>
        <w:t xml:space="preserve">Artículo 3.21. La o el titular de </w:t>
      </w:r>
      <w:r w:rsidRPr="00410F65">
        <w:rPr>
          <w:rFonts w:ascii="Palatino Linotype" w:eastAsia="Palatino Linotype" w:hAnsi="Palatino Linotype" w:cs="Palatino Linotype"/>
          <w:b/>
          <w:i/>
          <w:sz w:val="22"/>
          <w:szCs w:val="22"/>
        </w:rPr>
        <w:t>la Tesorería Municipal tendrá las siguientes atribuciones:</w:t>
      </w:r>
    </w:p>
    <w:p w14:paraId="0509434D" w14:textId="77777777" w:rsidR="008674C7" w:rsidRPr="00410F65" w:rsidRDefault="008674C7"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 xml:space="preserve">… </w:t>
      </w:r>
    </w:p>
    <w:p w14:paraId="4F67A71B" w14:textId="77777777" w:rsidR="008674C7" w:rsidRPr="00410F65" w:rsidRDefault="008674C7"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VII. Supervisar el registro y control de las operaciones financieras</w:t>
      </w:r>
      <w:r w:rsidRPr="00410F65">
        <w:rPr>
          <w:rFonts w:ascii="Palatino Linotype" w:eastAsia="Palatino Linotype" w:hAnsi="Palatino Linotype" w:cs="Palatino Linotype"/>
          <w:i/>
          <w:sz w:val="22"/>
          <w:szCs w:val="22"/>
        </w:rPr>
        <w:t xml:space="preserve"> presupuestales y contables, revisar y autorizar la integración de los informes mensuales y la cuenta pública anual del Municipio para que se entregue de manera oportuna y con apego a los lineamientos establecidos en los ordenamientos jurídicos aplicables;</w:t>
      </w:r>
    </w:p>
    <w:p w14:paraId="5682913F" w14:textId="77777777" w:rsidR="008674C7" w:rsidRPr="00410F65" w:rsidRDefault="008674C7"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VIII. Coadyuvar con la o el presidente municipal en los juicios de carácter fiscal que se tramiten ante cualquier tribunal</w:t>
      </w:r>
      <w:r w:rsidRPr="00410F65">
        <w:rPr>
          <w:rFonts w:ascii="Palatino Linotype" w:eastAsia="Palatino Linotype" w:hAnsi="Palatino Linotype" w:cs="Palatino Linotype"/>
          <w:i/>
          <w:sz w:val="22"/>
          <w:szCs w:val="22"/>
        </w:rPr>
        <w:t>, cuando tenga interés la hacienda pública municipal, así como en la tramitación de los recursos administrativos de inconformidad en materia fiscal interpuestos por los contribuyentes;</w:t>
      </w:r>
    </w:p>
    <w:p w14:paraId="6A0B00F1" w14:textId="77777777" w:rsidR="008674C7" w:rsidRPr="00410F65" w:rsidRDefault="00D05ADC"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p>
    <w:p w14:paraId="432FFC56" w14:textId="77777777" w:rsidR="00D05ADC" w:rsidRPr="00410F65" w:rsidRDefault="00D05ADC"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XXII. Analizar las solicitudes de asignación presupuestaria entregadas por las áreas y, en su caso emitir las notificaciones correspondientes;</w:t>
      </w:r>
    </w:p>
    <w:p w14:paraId="22F04077" w14:textId="77777777" w:rsidR="00D05ADC" w:rsidRPr="00410F65" w:rsidRDefault="00D05ADC"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XXIII. Presentar ante el Ayuntamiento el informe anual de las finanzas públicas;</w:t>
      </w:r>
    </w:p>
    <w:p w14:paraId="75E5EB2C" w14:textId="77777777" w:rsidR="00D05ADC" w:rsidRPr="00410F65" w:rsidRDefault="00D05ADC"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XXIV. Expedir copias certificadas de los documentos que acrediten el pago de las obligaciones fiscales y la documentación presentada ante el Órgano Superior de Fiscalización del Estado de México;</w:t>
      </w:r>
    </w:p>
    <w:p w14:paraId="107BDDF0" w14:textId="77777777" w:rsidR="008674C7" w:rsidRPr="00410F65" w:rsidRDefault="00D05ADC"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XXV. Pagar la nómina mediante depósito bancario o bajo la modalidad convenida por el Sindicato que mayor seguridad brinde a las y los servidores públicos en días y horas hábiles, en el lugar más cercano al centro de trabajo del servidor público los días quince y último de cada mes o el día hábil inmediato anterior, si no fueran laborables esas fechas;</w:t>
      </w:r>
    </w:p>
    <w:p w14:paraId="7AFE09D7" w14:textId="77777777" w:rsidR="00D05ADC" w:rsidRPr="00410F65" w:rsidRDefault="00D05ADC"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p>
    <w:p w14:paraId="7ECC6C25" w14:textId="77777777" w:rsidR="0020150E" w:rsidRPr="00410F65" w:rsidRDefault="0020150E"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Artículo 3.31.</w:t>
      </w:r>
      <w:r w:rsidRPr="00410F65">
        <w:rPr>
          <w:rFonts w:ascii="Palatino Linotype" w:eastAsia="Palatino Linotype" w:hAnsi="Palatino Linotype" w:cs="Palatino Linotype"/>
          <w:i/>
          <w:sz w:val="22"/>
          <w:szCs w:val="22"/>
        </w:rPr>
        <w:t xml:space="preserve"> La o el titular de la </w:t>
      </w:r>
      <w:r w:rsidRPr="00410F65">
        <w:rPr>
          <w:rFonts w:ascii="Palatino Linotype" w:eastAsia="Palatino Linotype" w:hAnsi="Palatino Linotype" w:cs="Palatino Linotype"/>
          <w:b/>
          <w:i/>
          <w:sz w:val="22"/>
          <w:szCs w:val="22"/>
        </w:rPr>
        <w:t>Dirección General de Administración</w:t>
      </w:r>
      <w:r w:rsidRPr="00410F65">
        <w:rPr>
          <w:rFonts w:ascii="Palatino Linotype" w:eastAsia="Palatino Linotype" w:hAnsi="Palatino Linotype" w:cs="Palatino Linotype"/>
          <w:i/>
          <w:sz w:val="22"/>
          <w:szCs w:val="22"/>
        </w:rPr>
        <w:t>, tiene las siguientes atribuciones:</w:t>
      </w:r>
    </w:p>
    <w:p w14:paraId="035DCF24" w14:textId="77777777" w:rsidR="0020150E" w:rsidRPr="00410F65" w:rsidRDefault="0020150E"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sz w:val="22"/>
          <w:szCs w:val="22"/>
        </w:rPr>
      </w:pPr>
      <w:r w:rsidRPr="00410F65">
        <w:rPr>
          <w:rFonts w:ascii="Palatino Linotype" w:eastAsia="Palatino Linotype" w:hAnsi="Palatino Linotype" w:cs="Palatino Linotype"/>
          <w:b/>
          <w:bCs/>
          <w:i/>
          <w:sz w:val="22"/>
          <w:szCs w:val="22"/>
        </w:rPr>
        <w:t>I. Coordinar y dirigir los sistemas de reclutamiento, selección, contratación e inducción y desarrollo de personal;</w:t>
      </w:r>
    </w:p>
    <w:p w14:paraId="40E049C1" w14:textId="77777777" w:rsidR="0020150E" w:rsidRPr="00410F65" w:rsidRDefault="0020150E"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bCs/>
          <w:i/>
          <w:sz w:val="22"/>
          <w:szCs w:val="22"/>
        </w:rPr>
        <w:t>III</w:t>
      </w:r>
      <w:r w:rsidRPr="00410F65">
        <w:rPr>
          <w:rFonts w:ascii="Palatino Linotype" w:eastAsia="Palatino Linotype" w:hAnsi="Palatino Linotype" w:cs="Palatino Linotype"/>
          <w:i/>
          <w:sz w:val="22"/>
          <w:szCs w:val="22"/>
        </w:rPr>
        <w:t>. Autorizar las altas, bajas, cambios, permisos, licencias, comisiones del personal, entre otras, para su trámite y efectos;</w:t>
      </w:r>
    </w:p>
    <w:p w14:paraId="777A5B5C" w14:textId="77777777" w:rsidR="0020150E" w:rsidRPr="00410F65" w:rsidRDefault="0020150E"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Cs/>
          <w:i/>
          <w:sz w:val="22"/>
          <w:szCs w:val="22"/>
        </w:rPr>
        <w:t>IV. Autorizar la elaboración y distribución oportuna de la nómina al personal que labora en el Ayuntamiento</w:t>
      </w:r>
      <w:r w:rsidRPr="00410F65">
        <w:rPr>
          <w:rFonts w:ascii="Palatino Linotype" w:eastAsia="Palatino Linotype" w:hAnsi="Palatino Linotype" w:cs="Palatino Linotype"/>
          <w:i/>
          <w:sz w:val="22"/>
          <w:szCs w:val="22"/>
        </w:rPr>
        <w:t>, apegándose a la normatividad en la materia y al presupuesto autorizado;</w:t>
      </w:r>
    </w:p>
    <w:p w14:paraId="2C0FC7FE" w14:textId="77777777" w:rsidR="0020150E" w:rsidRPr="00410F65" w:rsidRDefault="0020150E"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p>
    <w:p w14:paraId="74782094" w14:textId="77777777" w:rsidR="0020150E" w:rsidRPr="00410F65" w:rsidRDefault="0020150E"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Artículo 3.32.</w:t>
      </w:r>
      <w:r w:rsidRPr="00410F65">
        <w:rPr>
          <w:rFonts w:ascii="Palatino Linotype" w:eastAsia="Palatino Linotype" w:hAnsi="Palatino Linotype" w:cs="Palatino Linotype"/>
          <w:i/>
          <w:sz w:val="22"/>
          <w:szCs w:val="22"/>
        </w:rPr>
        <w:t xml:space="preserve"> La Dirección General de Administración, para el cumplimiento de sus atribuciones, </w:t>
      </w:r>
      <w:r w:rsidRPr="00410F65">
        <w:rPr>
          <w:rFonts w:ascii="Palatino Linotype" w:eastAsia="Palatino Linotype" w:hAnsi="Palatino Linotype" w:cs="Palatino Linotype"/>
          <w:b/>
          <w:i/>
          <w:sz w:val="22"/>
          <w:szCs w:val="22"/>
        </w:rPr>
        <w:t xml:space="preserve">se auxiliará de </w:t>
      </w:r>
      <w:r w:rsidRPr="00410F65">
        <w:rPr>
          <w:rFonts w:ascii="Palatino Linotype" w:eastAsia="Palatino Linotype" w:hAnsi="Palatino Linotype" w:cs="Palatino Linotype"/>
          <w:i/>
          <w:sz w:val="22"/>
          <w:szCs w:val="22"/>
        </w:rPr>
        <w:t>una</w:t>
      </w:r>
      <w:r w:rsidRPr="00410F65">
        <w:rPr>
          <w:rFonts w:ascii="Palatino Linotype" w:eastAsia="Palatino Linotype" w:hAnsi="Palatino Linotype" w:cs="Palatino Linotype"/>
          <w:b/>
          <w:i/>
          <w:sz w:val="22"/>
          <w:szCs w:val="22"/>
        </w:rPr>
        <w:t xml:space="preserve"> </w:t>
      </w:r>
      <w:r w:rsidRPr="00410F65">
        <w:rPr>
          <w:rFonts w:ascii="Palatino Linotype" w:eastAsia="Palatino Linotype" w:hAnsi="Palatino Linotype" w:cs="Palatino Linotype"/>
          <w:i/>
          <w:sz w:val="22"/>
          <w:szCs w:val="22"/>
        </w:rPr>
        <w:t xml:space="preserve">Coordinación de Apoyo Técnico; una Coordinación de Delegaciones Administrativas; una Dirección de Recursos Materiales; </w:t>
      </w:r>
      <w:r w:rsidRPr="00410F65">
        <w:rPr>
          <w:rFonts w:ascii="Palatino Linotype" w:eastAsia="Palatino Linotype" w:hAnsi="Palatino Linotype" w:cs="Palatino Linotype"/>
          <w:b/>
          <w:i/>
          <w:sz w:val="22"/>
          <w:szCs w:val="22"/>
        </w:rPr>
        <w:t>una Dirección de Recursos Humanos</w:t>
      </w:r>
      <w:r w:rsidRPr="00410F65">
        <w:rPr>
          <w:rFonts w:ascii="Palatino Linotype" w:eastAsia="Palatino Linotype" w:hAnsi="Palatino Linotype" w:cs="Palatino Linotype"/>
          <w:i/>
          <w:sz w:val="22"/>
          <w:szCs w:val="22"/>
        </w:rPr>
        <w:t>; una Dirección de Servicios Generales; una Dirección de Innovación y Gobierno Digital, y las demás Unidades Administrativas necesarias para el cumplimiento de sus atribuciones.</w:t>
      </w:r>
    </w:p>
    <w:p w14:paraId="3F86CEA5" w14:textId="77777777" w:rsidR="008674C7" w:rsidRPr="00410F65" w:rsidRDefault="008674C7"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1B2539A" w14:textId="77777777" w:rsidR="008674C7" w:rsidRPr="00410F65" w:rsidRDefault="008674C7"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Artículo 3.33. La o el titular de la Dirección de Recursos Humanos cuenta con las siguientes atribuciones:</w:t>
      </w:r>
    </w:p>
    <w:p w14:paraId="213E159C" w14:textId="77777777" w:rsidR="008674C7" w:rsidRPr="00410F65" w:rsidRDefault="008674C7"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p>
    <w:p w14:paraId="65CFD344" w14:textId="77777777" w:rsidR="008674C7" w:rsidRPr="00410F65" w:rsidRDefault="008674C7"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V</w:t>
      </w:r>
      <w:r w:rsidRPr="00410F65">
        <w:rPr>
          <w:rFonts w:ascii="Palatino Linotype" w:eastAsia="Palatino Linotype" w:hAnsi="Palatino Linotype" w:cs="Palatino Linotype"/>
          <w:b/>
          <w:i/>
          <w:sz w:val="22"/>
          <w:szCs w:val="22"/>
        </w:rPr>
        <w:t>. Registrar, controlar y dar seguimiento a los movimientos de personal como, altas, reingresos, bajas, remociones, renuncias,</w:t>
      </w:r>
      <w:r w:rsidRPr="00410F65">
        <w:rPr>
          <w:rFonts w:ascii="Palatino Linotype" w:eastAsia="Palatino Linotype" w:hAnsi="Palatino Linotype" w:cs="Palatino Linotype"/>
          <w:i/>
          <w:sz w:val="22"/>
          <w:szCs w:val="22"/>
        </w:rPr>
        <w:t xml:space="preserve"> retiro, cambios de categoría y adscripción, promociones, comisiones, entre otras;</w:t>
      </w:r>
    </w:p>
    <w:p w14:paraId="70E8D07C" w14:textId="77777777" w:rsidR="008674C7" w:rsidRPr="00410F65" w:rsidRDefault="008674C7"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 xml:space="preserve">VI. Coadyuvar con la Tesorería Municipal en la elaboración y distribución oportuna de </w:t>
      </w:r>
      <w:r w:rsidRPr="00410F65">
        <w:rPr>
          <w:rFonts w:ascii="Palatino Linotype" w:eastAsia="Palatino Linotype" w:hAnsi="Palatino Linotype" w:cs="Palatino Linotype"/>
          <w:i/>
          <w:sz w:val="22"/>
          <w:szCs w:val="22"/>
        </w:rPr>
        <w:t xml:space="preserve">la nómina para </w:t>
      </w:r>
      <w:r w:rsidRPr="00410F65">
        <w:rPr>
          <w:rFonts w:ascii="Palatino Linotype" w:eastAsia="Palatino Linotype" w:hAnsi="Palatino Linotype" w:cs="Palatino Linotype"/>
          <w:b/>
          <w:i/>
          <w:sz w:val="22"/>
          <w:szCs w:val="22"/>
        </w:rPr>
        <w:t>el pago al personal</w:t>
      </w:r>
      <w:r w:rsidRPr="00410F65">
        <w:rPr>
          <w:rFonts w:ascii="Palatino Linotype" w:eastAsia="Palatino Linotype" w:hAnsi="Palatino Linotype" w:cs="Palatino Linotype"/>
          <w:i/>
          <w:sz w:val="22"/>
          <w:szCs w:val="22"/>
        </w:rPr>
        <w:t xml:space="preserve"> que labora en el Ayuntamiento, </w:t>
      </w:r>
      <w:r w:rsidRPr="00410F65">
        <w:rPr>
          <w:rFonts w:ascii="Palatino Linotype" w:eastAsia="Palatino Linotype" w:hAnsi="Palatino Linotype" w:cs="Palatino Linotype"/>
          <w:b/>
          <w:i/>
          <w:sz w:val="22"/>
          <w:szCs w:val="22"/>
        </w:rPr>
        <w:t>por concepto</w:t>
      </w:r>
      <w:r w:rsidRPr="00410F65">
        <w:rPr>
          <w:rFonts w:ascii="Palatino Linotype" w:eastAsia="Palatino Linotype" w:hAnsi="Palatino Linotype" w:cs="Palatino Linotype"/>
          <w:i/>
          <w:sz w:val="22"/>
          <w:szCs w:val="22"/>
        </w:rPr>
        <w:t xml:space="preserve"> de sueldos, prestaciones, </w:t>
      </w:r>
      <w:r w:rsidRPr="00410F65">
        <w:rPr>
          <w:rFonts w:ascii="Palatino Linotype" w:eastAsia="Palatino Linotype" w:hAnsi="Palatino Linotype" w:cs="Palatino Linotype"/>
          <w:b/>
          <w:i/>
          <w:sz w:val="22"/>
          <w:szCs w:val="22"/>
        </w:rPr>
        <w:t>liquidaciones y finiquitos</w:t>
      </w:r>
      <w:r w:rsidRPr="00410F65">
        <w:rPr>
          <w:rFonts w:ascii="Palatino Linotype" w:eastAsia="Palatino Linotype" w:hAnsi="Palatino Linotype" w:cs="Palatino Linotype"/>
          <w:i/>
          <w:sz w:val="22"/>
          <w:szCs w:val="22"/>
        </w:rPr>
        <w:t xml:space="preserve"> apegándose al presupuesto autorizado aplicado a través del capítulo 1000; así como en lo relativo a las determinaciones de los impuestos y la emisión de los CFDI correspondientes una vez realizado el pago;…”</w:t>
      </w:r>
    </w:p>
    <w:p w14:paraId="2E931DC2" w14:textId="77777777" w:rsidR="008674C7" w:rsidRPr="00410F65" w:rsidRDefault="008674C7"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5CE966EE" w14:textId="77777777" w:rsidR="00143F32" w:rsidRPr="00410F65" w:rsidRDefault="0020150E"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Por lo anteriormente expuesto, se advierte que la unidad administrativa que cuenta con atribuciones para</w:t>
      </w:r>
      <w:r w:rsidR="00D05ADC" w:rsidRPr="00410F65">
        <w:rPr>
          <w:rFonts w:ascii="Palatino Linotype" w:eastAsia="Palatino Linotype" w:hAnsi="Palatino Linotype" w:cs="Palatino Linotype"/>
          <w:sz w:val="22"/>
          <w:szCs w:val="22"/>
        </w:rPr>
        <w:t xml:space="preserve"> fungir como apoderado jurídico del</w:t>
      </w:r>
      <w:r w:rsidR="00143F32" w:rsidRPr="00410F65">
        <w:rPr>
          <w:rFonts w:ascii="Palatino Linotype" w:eastAsia="Palatino Linotype" w:hAnsi="Palatino Linotype" w:cs="Palatino Linotype"/>
          <w:sz w:val="22"/>
          <w:szCs w:val="22"/>
        </w:rPr>
        <w:t xml:space="preserve"> </w:t>
      </w:r>
      <w:r w:rsidR="00D05ADC" w:rsidRPr="00410F65">
        <w:rPr>
          <w:rFonts w:ascii="Palatino Linotype" w:eastAsia="Palatino Linotype" w:hAnsi="Palatino Linotype" w:cs="Palatino Linotype"/>
          <w:sz w:val="22"/>
          <w:szCs w:val="22"/>
        </w:rPr>
        <w:t>Ayuntamiento de Toluca</w:t>
      </w:r>
      <w:r w:rsidR="00143F32" w:rsidRPr="00410F65">
        <w:rPr>
          <w:rFonts w:ascii="Palatino Linotype" w:eastAsia="Palatino Linotype" w:hAnsi="Palatino Linotype" w:cs="Palatino Linotype"/>
          <w:sz w:val="22"/>
          <w:szCs w:val="22"/>
        </w:rPr>
        <w:t xml:space="preserve"> es la Consejería Jurídica, mientras que la Dirección General de Administración es la encargada de </w:t>
      </w:r>
      <w:r w:rsidRPr="00410F65">
        <w:rPr>
          <w:rFonts w:ascii="Palatino Linotype" w:eastAsia="Palatino Linotype" w:hAnsi="Palatino Linotype" w:cs="Palatino Linotype"/>
          <w:sz w:val="22"/>
          <w:szCs w:val="22"/>
        </w:rPr>
        <w:t>integrar el expediente personal y laboral de los servidores públicos que labora</w:t>
      </w:r>
      <w:r w:rsidR="00143F32" w:rsidRPr="00410F65">
        <w:rPr>
          <w:rFonts w:ascii="Palatino Linotype" w:eastAsia="Palatino Linotype" w:hAnsi="Palatino Linotype" w:cs="Palatino Linotype"/>
          <w:sz w:val="22"/>
          <w:szCs w:val="22"/>
        </w:rPr>
        <w:t>n</w:t>
      </w:r>
      <w:r w:rsidRPr="00410F65">
        <w:rPr>
          <w:rFonts w:ascii="Palatino Linotype" w:eastAsia="Palatino Linotype" w:hAnsi="Palatino Linotype" w:cs="Palatino Linotype"/>
          <w:sz w:val="22"/>
          <w:szCs w:val="22"/>
        </w:rPr>
        <w:t xml:space="preserve"> en el Ayuntamiento, </w:t>
      </w:r>
      <w:r w:rsidR="00143F32" w:rsidRPr="00410F65">
        <w:rPr>
          <w:rFonts w:ascii="Palatino Linotype" w:eastAsia="Palatino Linotype" w:hAnsi="Palatino Linotype" w:cs="Palatino Linotype"/>
          <w:sz w:val="22"/>
          <w:szCs w:val="22"/>
        </w:rPr>
        <w:t xml:space="preserve">así como registrar, controlar y dar seguimiento a los movimientos de personal como bajas, remociones y renuncias, y finalmente la Tesorería Municipal será la encargada de supervisar el registro y control de las operaciones financieras y coadyuvar con la Dirección de Administración para la elaboración y distribución oportuna del pago por concepto de liquidaciones y finiquitos. </w:t>
      </w:r>
    </w:p>
    <w:p w14:paraId="011E8EEF" w14:textId="77777777" w:rsidR="0020150E" w:rsidRPr="00410F65" w:rsidRDefault="0020150E" w:rsidP="00101CE8">
      <w:pPr>
        <w:spacing w:line="360" w:lineRule="auto"/>
        <w:jc w:val="both"/>
        <w:rPr>
          <w:rFonts w:ascii="Palatino Linotype" w:eastAsia="Palatino Linotype" w:hAnsi="Palatino Linotype" w:cs="Palatino Linotype"/>
          <w:sz w:val="22"/>
          <w:szCs w:val="22"/>
        </w:rPr>
      </w:pPr>
    </w:p>
    <w:p w14:paraId="0C5E0B78" w14:textId="77777777" w:rsidR="0020150E" w:rsidRPr="00410F65" w:rsidRDefault="0020150E"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De este modo se advierte que el </w:t>
      </w:r>
      <w:r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xml:space="preserve"> turnó la solicitud de información a la</w:t>
      </w:r>
      <w:r w:rsidR="00143F32" w:rsidRPr="00410F65">
        <w:rPr>
          <w:rFonts w:ascii="Palatino Linotype" w:eastAsia="Palatino Linotype" w:hAnsi="Palatino Linotype" w:cs="Palatino Linotype"/>
          <w:sz w:val="22"/>
          <w:szCs w:val="22"/>
        </w:rPr>
        <w:t xml:space="preserve">s unidades </w:t>
      </w:r>
      <w:r w:rsidRPr="00410F65">
        <w:rPr>
          <w:rFonts w:ascii="Palatino Linotype" w:eastAsia="Palatino Linotype" w:hAnsi="Palatino Linotype" w:cs="Palatino Linotype"/>
          <w:sz w:val="22"/>
          <w:szCs w:val="22"/>
        </w:rPr>
        <w:t>administrativa</w:t>
      </w:r>
      <w:r w:rsidR="00143F32" w:rsidRPr="00410F65">
        <w:rPr>
          <w:rFonts w:ascii="Palatino Linotype" w:eastAsia="Palatino Linotype" w:hAnsi="Palatino Linotype" w:cs="Palatino Linotype"/>
          <w:sz w:val="22"/>
          <w:szCs w:val="22"/>
        </w:rPr>
        <w:t>s</w:t>
      </w:r>
      <w:r w:rsidRPr="00410F65">
        <w:rPr>
          <w:rFonts w:ascii="Palatino Linotype" w:eastAsia="Palatino Linotype" w:hAnsi="Palatino Linotype" w:cs="Palatino Linotype"/>
          <w:sz w:val="22"/>
          <w:szCs w:val="22"/>
        </w:rPr>
        <w:t xml:space="preserve"> competente</w:t>
      </w:r>
      <w:r w:rsidR="00143F32" w:rsidRPr="00410F65">
        <w:rPr>
          <w:rFonts w:ascii="Palatino Linotype" w:eastAsia="Palatino Linotype" w:hAnsi="Palatino Linotype" w:cs="Palatino Linotype"/>
          <w:sz w:val="22"/>
          <w:szCs w:val="22"/>
        </w:rPr>
        <w:t>s</w:t>
      </w:r>
      <w:r w:rsidRPr="00410F65">
        <w:rPr>
          <w:rFonts w:ascii="Palatino Linotype" w:eastAsia="Palatino Linotype" w:hAnsi="Palatino Linotype" w:cs="Palatino Linotype"/>
          <w:sz w:val="22"/>
          <w:szCs w:val="22"/>
        </w:rPr>
        <w:t>, de modo que,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0EEAA741" w14:textId="77777777" w:rsidR="0020150E" w:rsidRPr="00410F65" w:rsidRDefault="0020150E" w:rsidP="00101CE8">
      <w:pPr>
        <w:spacing w:line="360" w:lineRule="auto"/>
        <w:rPr>
          <w:rFonts w:ascii="Palatino Linotype" w:eastAsia="Palatino Linotype" w:hAnsi="Palatino Linotype" w:cs="Palatino Linotype"/>
          <w:sz w:val="22"/>
          <w:szCs w:val="22"/>
        </w:rPr>
      </w:pPr>
    </w:p>
    <w:p w14:paraId="5B1F317B" w14:textId="77777777" w:rsidR="0020150E" w:rsidRPr="00410F65" w:rsidRDefault="0020150E" w:rsidP="00101CE8">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56BA1B1B" w14:textId="77777777" w:rsidR="0020150E" w:rsidRPr="00410F65" w:rsidRDefault="0020150E" w:rsidP="00101CE8">
      <w:pPr>
        <w:numPr>
          <w:ilvl w:val="0"/>
          <w:numId w:val="2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Los sujetos obligados otorgarán acceso a los documentos que se encuentren en sus archivos o que estén obligados a documentar de acuerdo con sus facultades, competencias o funciones, en el formato en que el solicitante manifieste, de entre aquellos formatos existentes.</w:t>
      </w:r>
    </w:p>
    <w:p w14:paraId="3CAEADAE" w14:textId="77777777" w:rsidR="0020150E" w:rsidRPr="00410F65" w:rsidRDefault="0020150E" w:rsidP="00101CE8">
      <w:pPr>
        <w:tabs>
          <w:tab w:val="left" w:pos="4962"/>
        </w:tabs>
        <w:spacing w:line="360" w:lineRule="auto"/>
        <w:ind w:right="-28"/>
        <w:jc w:val="both"/>
        <w:rPr>
          <w:rFonts w:ascii="Palatino Linotype" w:eastAsia="Palatino Linotype" w:hAnsi="Palatino Linotype" w:cs="Palatino Linotype"/>
          <w:sz w:val="22"/>
          <w:szCs w:val="22"/>
        </w:rPr>
      </w:pPr>
    </w:p>
    <w:p w14:paraId="1449C202" w14:textId="77777777" w:rsidR="0020150E" w:rsidRPr="00410F65" w:rsidRDefault="0020150E"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De tal circunstancia, se logra colegir que el </w:t>
      </w:r>
      <w:r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xml:space="preserve"> cumplió con el procedimiento de búsqueda establecido en el artículo 162 de la Ley de Transparencia y Acceso a la Información Pública del Estado de México y Municipios, toda vez que turnó la solicitud a </w:t>
      </w:r>
      <w:r w:rsidR="00143F32" w:rsidRPr="00410F65">
        <w:rPr>
          <w:rFonts w:ascii="Palatino Linotype" w:eastAsia="Palatino Linotype" w:hAnsi="Palatino Linotype" w:cs="Palatino Linotype"/>
          <w:sz w:val="22"/>
          <w:szCs w:val="22"/>
        </w:rPr>
        <w:t xml:space="preserve">las </w:t>
      </w:r>
      <w:r w:rsidRPr="00410F65">
        <w:rPr>
          <w:rFonts w:ascii="Palatino Linotype" w:eastAsia="Palatino Linotype" w:hAnsi="Palatino Linotype" w:cs="Palatino Linotype"/>
          <w:sz w:val="22"/>
          <w:szCs w:val="22"/>
        </w:rPr>
        <w:t>unidad</w:t>
      </w:r>
      <w:r w:rsidR="00143F32" w:rsidRPr="00410F65">
        <w:rPr>
          <w:rFonts w:ascii="Palatino Linotype" w:eastAsia="Palatino Linotype" w:hAnsi="Palatino Linotype" w:cs="Palatino Linotype"/>
          <w:sz w:val="22"/>
          <w:szCs w:val="22"/>
        </w:rPr>
        <w:t>es</w:t>
      </w:r>
      <w:r w:rsidRPr="00410F65">
        <w:rPr>
          <w:rFonts w:ascii="Palatino Linotype" w:eastAsia="Palatino Linotype" w:hAnsi="Palatino Linotype" w:cs="Palatino Linotype"/>
          <w:sz w:val="22"/>
          <w:szCs w:val="22"/>
        </w:rPr>
        <w:t xml:space="preserve"> administrativa</w:t>
      </w:r>
      <w:r w:rsidR="00143F32" w:rsidRPr="00410F65">
        <w:rPr>
          <w:rFonts w:ascii="Palatino Linotype" w:eastAsia="Palatino Linotype" w:hAnsi="Palatino Linotype" w:cs="Palatino Linotype"/>
          <w:sz w:val="22"/>
          <w:szCs w:val="22"/>
        </w:rPr>
        <w:t>s</w:t>
      </w:r>
      <w:r w:rsidRPr="00410F65">
        <w:rPr>
          <w:rFonts w:ascii="Palatino Linotype" w:eastAsia="Palatino Linotype" w:hAnsi="Palatino Linotype" w:cs="Palatino Linotype"/>
          <w:sz w:val="22"/>
          <w:szCs w:val="22"/>
        </w:rPr>
        <w:t xml:space="preserve"> que </w:t>
      </w:r>
      <w:r w:rsidR="00143F32" w:rsidRPr="00410F65">
        <w:rPr>
          <w:rFonts w:ascii="Palatino Linotype" w:eastAsia="Palatino Linotype" w:hAnsi="Palatino Linotype" w:cs="Palatino Linotype"/>
          <w:sz w:val="22"/>
          <w:szCs w:val="22"/>
        </w:rPr>
        <w:t xml:space="preserve">cuentan con atribuciones para conocer de la información solicitada. </w:t>
      </w:r>
    </w:p>
    <w:p w14:paraId="6CA47960" w14:textId="77777777" w:rsidR="00143F32" w:rsidRPr="00410F65" w:rsidRDefault="00143F32" w:rsidP="00101CE8">
      <w:pPr>
        <w:spacing w:line="360" w:lineRule="auto"/>
        <w:jc w:val="both"/>
        <w:rPr>
          <w:rFonts w:ascii="Palatino Linotype" w:eastAsia="Palatino Linotype" w:hAnsi="Palatino Linotype" w:cs="Palatino Linotype"/>
          <w:sz w:val="22"/>
          <w:szCs w:val="22"/>
        </w:rPr>
      </w:pPr>
    </w:p>
    <w:p w14:paraId="7CD14FFB" w14:textId="77777777" w:rsidR="0020150E" w:rsidRPr="00410F65" w:rsidRDefault="0020150E" w:rsidP="00101CE8">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Expuesto lo anterior, se procede al análisis pormenorizado de los requerimientos de información, a efecto de determinar si con la información remitida en respuesta, el </w:t>
      </w:r>
      <w:r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xml:space="preserve"> colmó el derecho a de acceso a la información de la parte </w:t>
      </w:r>
      <w:r w:rsidRPr="00410F65">
        <w:rPr>
          <w:rFonts w:ascii="Palatino Linotype" w:eastAsia="Palatino Linotype" w:hAnsi="Palatino Linotype" w:cs="Palatino Linotype"/>
          <w:b/>
          <w:sz w:val="22"/>
          <w:szCs w:val="22"/>
        </w:rPr>
        <w:t>Recurrente</w:t>
      </w:r>
      <w:r w:rsidRPr="00410F65">
        <w:rPr>
          <w:rFonts w:ascii="Palatino Linotype" w:eastAsia="Palatino Linotype" w:hAnsi="Palatino Linotype" w:cs="Palatino Linotype"/>
          <w:sz w:val="22"/>
          <w:szCs w:val="22"/>
        </w:rPr>
        <w:t xml:space="preserve"> o en su defecto ordenar su entrega. </w:t>
      </w:r>
    </w:p>
    <w:p w14:paraId="04F656FC" w14:textId="77777777" w:rsidR="0020150E" w:rsidRPr="00410F65" w:rsidRDefault="0020150E" w:rsidP="00101CE8">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7973AC54" w14:textId="77777777" w:rsidR="00143F32" w:rsidRPr="00410F65" w:rsidRDefault="00143F32" w:rsidP="00101CE8">
      <w:pPr>
        <w:numPr>
          <w:ilvl w:val="0"/>
          <w:numId w:val="24"/>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10F65">
        <w:rPr>
          <w:rFonts w:ascii="Palatino Linotype" w:eastAsia="Palatino Linotype" w:hAnsi="Palatino Linotype" w:cs="Palatino Linotype"/>
          <w:b/>
          <w:sz w:val="22"/>
          <w:szCs w:val="22"/>
        </w:rPr>
        <w:t xml:space="preserve">Formato Único de Movimientos de Personal de alta y baja. </w:t>
      </w:r>
    </w:p>
    <w:p w14:paraId="65A707DA" w14:textId="77777777" w:rsidR="00143F32" w:rsidRPr="00410F65" w:rsidRDefault="00143F32"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Referente a este punto, resulta necesario traer a colación lo que establece la Ley de Trabajo de los Servidores Públicos del Estado y Municipios, la cual en su cuerpo normativo precisa que: </w:t>
      </w:r>
    </w:p>
    <w:p w14:paraId="53E5216B" w14:textId="77777777" w:rsidR="00143F32" w:rsidRPr="00410F65" w:rsidRDefault="00143F32"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r w:rsidRPr="00410F65">
        <w:rPr>
          <w:rFonts w:ascii="Palatino Linotype" w:eastAsia="Palatino Linotype" w:hAnsi="Palatino Linotype" w:cs="Palatino Linotype"/>
          <w:b/>
          <w:i/>
          <w:sz w:val="22"/>
          <w:szCs w:val="22"/>
        </w:rPr>
        <w:t>ARTÍCULO 4.</w:t>
      </w:r>
      <w:r w:rsidRPr="00410F65">
        <w:rPr>
          <w:rFonts w:ascii="Palatino Linotype" w:eastAsia="Palatino Linotype" w:hAnsi="Palatino Linotype" w:cs="Palatino Linotype"/>
          <w:i/>
          <w:sz w:val="22"/>
          <w:szCs w:val="22"/>
        </w:rPr>
        <w:t xml:space="preserve"> Para efectos de esta ley se entiende</w:t>
      </w:r>
    </w:p>
    <w:p w14:paraId="183FDCF1" w14:textId="77777777" w:rsidR="00143F32" w:rsidRPr="00410F65" w:rsidRDefault="00143F32"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p>
    <w:p w14:paraId="650BBF92" w14:textId="77777777" w:rsidR="00143F32" w:rsidRPr="00410F65" w:rsidRDefault="00143F32"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VI. Servidor Público: A toda persona física que preste a una institución pública un trabajo personal subordinado de carácter material o intelectual, o de ambos géneros, mediante el pago de un sueldo.</w:t>
      </w:r>
    </w:p>
    <w:p w14:paraId="0EC142D2" w14:textId="77777777" w:rsidR="00143F32" w:rsidRPr="00410F65" w:rsidRDefault="00143F32"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p>
    <w:p w14:paraId="272D32A8" w14:textId="77777777" w:rsidR="00143F32" w:rsidRPr="00410F65" w:rsidRDefault="00143F32"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ARTÍCULO 5.-</w:t>
      </w:r>
      <w:r w:rsidRPr="00410F65">
        <w:rPr>
          <w:rFonts w:ascii="Palatino Linotype" w:eastAsia="Palatino Linotype" w:hAnsi="Palatino Linotype" w:cs="Palatino Linotype"/>
          <w:i/>
          <w:sz w:val="22"/>
          <w:szCs w:val="22"/>
        </w:rPr>
        <w:t xml:space="preserve"> La </w:t>
      </w:r>
      <w:r w:rsidRPr="00410F65">
        <w:rPr>
          <w:rFonts w:ascii="Palatino Linotype" w:eastAsia="Palatino Linotype" w:hAnsi="Palatino Linotype" w:cs="Palatino Linotype"/>
          <w:b/>
          <w:i/>
          <w:sz w:val="22"/>
          <w:szCs w:val="22"/>
        </w:rPr>
        <w:t>relación de trabajo entre las instituciones públicas y sus servidores públicos se entiende establecida mediante</w:t>
      </w:r>
      <w:r w:rsidRPr="00410F65">
        <w:rPr>
          <w:rFonts w:ascii="Palatino Linotype" w:eastAsia="Palatino Linotype" w:hAnsi="Palatino Linotype" w:cs="Palatino Linotype"/>
          <w:i/>
          <w:sz w:val="22"/>
          <w:szCs w:val="22"/>
        </w:rPr>
        <w:t xml:space="preserve"> </w:t>
      </w:r>
      <w:r w:rsidRPr="00410F65">
        <w:rPr>
          <w:rFonts w:ascii="Palatino Linotype" w:eastAsia="Palatino Linotype" w:hAnsi="Palatino Linotype" w:cs="Palatino Linotype"/>
          <w:b/>
          <w:i/>
          <w:sz w:val="22"/>
          <w:szCs w:val="22"/>
        </w:rPr>
        <w:t>nombramiento</w:t>
      </w:r>
      <w:r w:rsidRPr="00410F65">
        <w:rPr>
          <w:rFonts w:ascii="Palatino Linotype" w:eastAsia="Palatino Linotype" w:hAnsi="Palatino Linotype" w:cs="Palatino Linotype"/>
          <w:b/>
          <w:i/>
          <w:sz w:val="22"/>
          <w:szCs w:val="22"/>
          <w:u w:val="single"/>
        </w:rPr>
        <w:t>, formato único de movimiento de personal,</w:t>
      </w:r>
      <w:r w:rsidRPr="00410F65">
        <w:rPr>
          <w:rFonts w:ascii="Palatino Linotype" w:eastAsia="Palatino Linotype" w:hAnsi="Palatino Linotype" w:cs="Palatino Linotype"/>
          <w:i/>
          <w:sz w:val="22"/>
          <w:szCs w:val="22"/>
        </w:rPr>
        <w:t xml:space="preserve"> contrato o por cualquier otro acto que tenga como consecuencia la prestación personal subordinada del servicio y la percepción de un sueldo. </w:t>
      </w:r>
    </w:p>
    <w:p w14:paraId="0BFD0BA2" w14:textId="77777777" w:rsidR="00143F32" w:rsidRPr="00410F65" w:rsidRDefault="00143F32"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Para los efectos de esta ley, las instituciones públicas estarán representadas por sus titulares.</w:t>
      </w:r>
    </w:p>
    <w:p w14:paraId="05B40CF6" w14:textId="77777777" w:rsidR="00143F32" w:rsidRPr="00410F65" w:rsidRDefault="00143F32" w:rsidP="00101CE8">
      <w:pP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i/>
          <w:sz w:val="22"/>
          <w:szCs w:val="22"/>
        </w:rPr>
        <w:t>…</w:t>
      </w:r>
    </w:p>
    <w:p w14:paraId="6761FB4D" w14:textId="77777777" w:rsidR="00143F32" w:rsidRPr="00410F65" w:rsidRDefault="00143F32"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ARTÍCULO 49.-</w:t>
      </w:r>
      <w:r w:rsidRPr="00410F65">
        <w:rPr>
          <w:rFonts w:ascii="Palatino Linotype" w:eastAsia="Palatino Linotype" w:hAnsi="Palatino Linotype" w:cs="Palatino Linotype"/>
          <w:i/>
          <w:sz w:val="22"/>
          <w:szCs w:val="22"/>
        </w:rPr>
        <w:t xml:space="preserve"> Los nombramientos, contratos o </w:t>
      </w:r>
      <w:r w:rsidRPr="00410F65">
        <w:rPr>
          <w:rFonts w:ascii="Palatino Linotype" w:eastAsia="Palatino Linotype" w:hAnsi="Palatino Linotype" w:cs="Palatino Linotype"/>
          <w:b/>
          <w:i/>
          <w:sz w:val="22"/>
          <w:szCs w:val="22"/>
          <w:u w:val="single"/>
        </w:rPr>
        <w:t>formato único de Movimientos de Personal</w:t>
      </w:r>
      <w:r w:rsidRPr="00410F65">
        <w:rPr>
          <w:rFonts w:ascii="Palatino Linotype" w:eastAsia="Palatino Linotype" w:hAnsi="Palatino Linotype" w:cs="Palatino Linotype"/>
          <w:i/>
          <w:sz w:val="22"/>
          <w:szCs w:val="22"/>
        </w:rPr>
        <w:t xml:space="preserve"> de los servidores públicos deberán contener:</w:t>
      </w:r>
    </w:p>
    <w:p w14:paraId="34F2B32F" w14:textId="77777777" w:rsidR="00143F32" w:rsidRPr="00410F65" w:rsidRDefault="00143F32"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 Nombre completo del servidor público;</w:t>
      </w:r>
    </w:p>
    <w:p w14:paraId="5DD0CF5D" w14:textId="77777777" w:rsidR="00143F32" w:rsidRPr="00410F65" w:rsidRDefault="00143F32"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b/>
          <w:i/>
          <w:sz w:val="22"/>
          <w:szCs w:val="22"/>
        </w:rPr>
        <w:t xml:space="preserve">II. Cargo para el que es designado, </w:t>
      </w:r>
      <w:r w:rsidRPr="00410F65">
        <w:rPr>
          <w:rFonts w:ascii="Palatino Linotype" w:eastAsia="Palatino Linotype" w:hAnsi="Palatino Linotype" w:cs="Palatino Linotype"/>
          <w:b/>
          <w:i/>
          <w:sz w:val="22"/>
          <w:szCs w:val="22"/>
          <w:u w:val="single"/>
        </w:rPr>
        <w:t>fecha de inicio de sus servicios</w:t>
      </w:r>
      <w:r w:rsidRPr="00410F65">
        <w:rPr>
          <w:rFonts w:ascii="Palatino Linotype" w:eastAsia="Palatino Linotype" w:hAnsi="Palatino Linotype" w:cs="Palatino Linotype"/>
          <w:b/>
          <w:i/>
          <w:sz w:val="22"/>
          <w:szCs w:val="22"/>
        </w:rPr>
        <w:t xml:space="preserve"> y </w:t>
      </w:r>
      <w:r w:rsidRPr="00410F65">
        <w:rPr>
          <w:rFonts w:ascii="Palatino Linotype" w:eastAsia="Palatino Linotype" w:hAnsi="Palatino Linotype" w:cs="Palatino Linotype"/>
          <w:b/>
          <w:i/>
          <w:sz w:val="22"/>
          <w:szCs w:val="22"/>
          <w:u w:val="single"/>
        </w:rPr>
        <w:t>lugar de adscripción</w:t>
      </w:r>
      <w:r w:rsidRPr="00410F65">
        <w:rPr>
          <w:rFonts w:ascii="Palatino Linotype" w:eastAsia="Palatino Linotype" w:hAnsi="Palatino Linotype" w:cs="Palatino Linotype"/>
          <w:b/>
          <w:i/>
          <w:sz w:val="22"/>
          <w:szCs w:val="22"/>
        </w:rPr>
        <w:t xml:space="preserve">; </w:t>
      </w:r>
    </w:p>
    <w:p w14:paraId="2EB012F4" w14:textId="77777777" w:rsidR="00143F32" w:rsidRPr="00410F65" w:rsidRDefault="00143F32"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 xml:space="preserve">III. </w:t>
      </w:r>
      <w:r w:rsidRPr="00410F65">
        <w:rPr>
          <w:rFonts w:ascii="Palatino Linotype" w:eastAsia="Palatino Linotype" w:hAnsi="Palatino Linotype" w:cs="Palatino Linotype"/>
          <w:b/>
          <w:i/>
          <w:sz w:val="22"/>
          <w:szCs w:val="22"/>
        </w:rPr>
        <w:t>Carácter del nombramiento, ya sea de servidores públicos generales o de confianza</w:t>
      </w:r>
      <w:r w:rsidRPr="00410F65">
        <w:rPr>
          <w:rFonts w:ascii="Palatino Linotype" w:eastAsia="Palatino Linotype" w:hAnsi="Palatino Linotype" w:cs="Palatino Linotype"/>
          <w:i/>
          <w:sz w:val="22"/>
          <w:szCs w:val="22"/>
        </w:rPr>
        <w:t xml:space="preserve">, así como la temporalidad del mismo; </w:t>
      </w:r>
    </w:p>
    <w:p w14:paraId="33D3F142" w14:textId="77777777" w:rsidR="00143F32" w:rsidRPr="00410F65" w:rsidRDefault="00143F32"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 xml:space="preserve">IV. Remuneración correspondiente al puesto; </w:t>
      </w:r>
    </w:p>
    <w:p w14:paraId="64DB49EA" w14:textId="77777777" w:rsidR="00143F32" w:rsidRPr="00410F65" w:rsidRDefault="00143F32"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 xml:space="preserve">V. Jornada de trabajo; </w:t>
      </w:r>
    </w:p>
    <w:p w14:paraId="4BAF8726" w14:textId="77777777" w:rsidR="00143F32" w:rsidRPr="00410F65" w:rsidRDefault="00143F32"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 xml:space="preserve">VI. Derogada; </w:t>
      </w:r>
    </w:p>
    <w:p w14:paraId="27E0A149" w14:textId="77777777" w:rsidR="00143F32" w:rsidRPr="00410F65" w:rsidRDefault="00143F32"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VII. Firma del servidor público autorizado para emitir el nombramiento, contrato o formato único de Movimientos de Personal, así como el fundamento legal de esa atribución.”</w:t>
      </w:r>
    </w:p>
    <w:p w14:paraId="6F98373F" w14:textId="77777777" w:rsidR="00143F32" w:rsidRPr="00410F65" w:rsidRDefault="00143F32"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(Énfasis Añadido)</w:t>
      </w:r>
    </w:p>
    <w:p w14:paraId="3D8C61E6" w14:textId="77777777" w:rsidR="00143F32" w:rsidRPr="00410F65" w:rsidRDefault="00143F32" w:rsidP="00101CE8">
      <w:pPr>
        <w:spacing w:line="360" w:lineRule="auto"/>
        <w:jc w:val="both"/>
        <w:rPr>
          <w:rFonts w:ascii="Palatino Linotype" w:eastAsia="Palatino Linotype" w:hAnsi="Palatino Linotype" w:cs="Palatino Linotype"/>
          <w:sz w:val="22"/>
          <w:szCs w:val="22"/>
        </w:rPr>
      </w:pPr>
    </w:p>
    <w:p w14:paraId="4D9491B1" w14:textId="77777777" w:rsidR="00143F32" w:rsidRPr="00410F65" w:rsidRDefault="00143F32" w:rsidP="00101C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Es así que, para que un servidor público entre en funciones debe tener un nombramiento, contrato </w:t>
      </w:r>
      <w:r w:rsidRPr="00410F65">
        <w:rPr>
          <w:rFonts w:ascii="Palatino Linotype" w:eastAsia="Palatino Linotype" w:hAnsi="Palatino Linotype" w:cs="Palatino Linotype"/>
          <w:b/>
          <w:sz w:val="22"/>
          <w:szCs w:val="22"/>
        </w:rPr>
        <w:t>o formato único de movimientos de personal</w:t>
      </w:r>
      <w:r w:rsidRPr="00410F65">
        <w:rPr>
          <w:rFonts w:ascii="Palatino Linotype" w:eastAsia="Palatino Linotype" w:hAnsi="Palatino Linotype" w:cs="Palatino Linotype"/>
          <w:sz w:val="22"/>
          <w:szCs w:val="22"/>
        </w:rPr>
        <w:t xml:space="preserve">, el cual debe obrar en el expediente correspondiente. </w:t>
      </w:r>
    </w:p>
    <w:p w14:paraId="57A604AC" w14:textId="77777777" w:rsidR="00143F32" w:rsidRPr="00410F65" w:rsidRDefault="00143F32" w:rsidP="00101C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70E1E5E" w14:textId="77777777" w:rsidR="00143F32" w:rsidRPr="00410F65" w:rsidRDefault="00143F32" w:rsidP="00101CE8">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sz w:val="22"/>
          <w:szCs w:val="22"/>
        </w:rPr>
        <w:t xml:space="preserve">Sobre el expediente del personal de los Sujetos Obligados, es que resulta oportuno traer a contexto el contenido del artículo 98 fracción XVII, de la Ley anteriormente mencionada, que refiere que son obligaciones de las instituciones públicas (entre ellas los municipios), el </w:t>
      </w:r>
      <w:r w:rsidRPr="00410F65">
        <w:rPr>
          <w:rFonts w:ascii="Palatino Linotype" w:eastAsia="Palatino Linotype" w:hAnsi="Palatino Linotype" w:cs="Palatino Linotype"/>
          <w:b/>
          <w:sz w:val="22"/>
          <w:szCs w:val="22"/>
          <w:u w:val="single"/>
        </w:rPr>
        <w:t>integrar los expedientes de los servidores públicos</w:t>
      </w:r>
      <w:r w:rsidRPr="00410F65">
        <w:rPr>
          <w:rFonts w:ascii="Palatino Linotype" w:eastAsia="Palatino Linotype" w:hAnsi="Palatino Linotype" w:cs="Palatino Linotype"/>
          <w:sz w:val="22"/>
          <w:szCs w:val="22"/>
        </w:rPr>
        <w:t xml:space="preserve"> y proporcionar las constancias que éstos soliciten para el trámite de los asuntos de su interés en los términos que señalen los ordenamientos respectivos, artículo del cual se inserta su contenido para mejor entendimiento:</w:t>
      </w:r>
    </w:p>
    <w:p w14:paraId="13AFB47F" w14:textId="77777777" w:rsidR="00143F32" w:rsidRPr="00410F65" w:rsidRDefault="00143F32" w:rsidP="00101CE8">
      <w:pPr>
        <w:pBdr>
          <w:top w:val="nil"/>
          <w:left w:val="nil"/>
          <w:bottom w:val="nil"/>
          <w:right w:val="nil"/>
          <w:between w:val="nil"/>
        </w:pBdr>
        <w:ind w:left="851" w:right="616"/>
        <w:jc w:val="center"/>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b/>
          <w:i/>
          <w:sz w:val="22"/>
          <w:szCs w:val="22"/>
        </w:rPr>
        <w:t>De las Obligaciones de las Instituciones Públicas</w:t>
      </w:r>
    </w:p>
    <w:p w14:paraId="56AC3664" w14:textId="77777777" w:rsidR="00143F32" w:rsidRPr="00410F65" w:rsidRDefault="00143F32" w:rsidP="00101CE8">
      <w:pPr>
        <w:pBdr>
          <w:top w:val="nil"/>
          <w:left w:val="nil"/>
          <w:bottom w:val="nil"/>
          <w:right w:val="nil"/>
          <w:between w:val="nil"/>
        </w:pBdr>
        <w:ind w:left="851" w:right="616"/>
        <w:jc w:val="center"/>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b/>
          <w:i/>
          <w:sz w:val="22"/>
          <w:szCs w:val="22"/>
        </w:rPr>
        <w:t>CAPITULO I</w:t>
      </w:r>
    </w:p>
    <w:p w14:paraId="27AF7465" w14:textId="77777777" w:rsidR="00143F32" w:rsidRPr="00410F65" w:rsidRDefault="00143F32" w:rsidP="00101CE8">
      <w:pPr>
        <w:pBdr>
          <w:top w:val="nil"/>
          <w:left w:val="nil"/>
          <w:bottom w:val="nil"/>
          <w:right w:val="nil"/>
          <w:between w:val="nil"/>
        </w:pBdr>
        <w:ind w:left="851" w:right="616"/>
        <w:jc w:val="center"/>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b/>
          <w:i/>
          <w:sz w:val="22"/>
          <w:szCs w:val="22"/>
        </w:rPr>
        <w:t>De las Obligaciones en General</w:t>
      </w:r>
    </w:p>
    <w:p w14:paraId="111106E8" w14:textId="77777777" w:rsidR="00143F32" w:rsidRPr="00410F65" w:rsidRDefault="00143F32" w:rsidP="00101CE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ARTÍCULO 98. Son obligaciones de las instituciones públicas:</w:t>
      </w:r>
    </w:p>
    <w:p w14:paraId="5542BF4E" w14:textId="77777777" w:rsidR="00143F32" w:rsidRPr="00410F65" w:rsidRDefault="00143F32" w:rsidP="00101CE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p>
    <w:p w14:paraId="7CB2090B" w14:textId="77777777" w:rsidR="00143F32" w:rsidRPr="00410F65" w:rsidRDefault="00143F32" w:rsidP="00101CE8">
      <w:pPr>
        <w:pBdr>
          <w:top w:val="nil"/>
          <w:left w:val="nil"/>
          <w:bottom w:val="nil"/>
          <w:right w:val="nil"/>
          <w:between w:val="nil"/>
        </w:pBdr>
        <w:ind w:left="851" w:right="616"/>
        <w:jc w:val="both"/>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i/>
          <w:sz w:val="22"/>
          <w:szCs w:val="22"/>
        </w:rPr>
        <w:t xml:space="preserve">XVII. Integrar los expedientes de los servidores públicos y </w:t>
      </w:r>
      <w:r w:rsidRPr="00410F65">
        <w:rPr>
          <w:rFonts w:ascii="Palatino Linotype" w:eastAsia="Palatino Linotype" w:hAnsi="Palatino Linotype" w:cs="Palatino Linotype"/>
          <w:b/>
          <w:i/>
          <w:sz w:val="22"/>
          <w:szCs w:val="22"/>
        </w:rPr>
        <w:t>proporcionar las constancias que éstos soliciten para el trámite de los asuntos de su interés en los términos que señalen los ordenamientos respectivos.</w:t>
      </w:r>
    </w:p>
    <w:p w14:paraId="5511F8E9" w14:textId="77777777" w:rsidR="00143F32" w:rsidRPr="00410F65" w:rsidRDefault="00143F32" w:rsidP="00101CE8">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sz w:val="22"/>
          <w:szCs w:val="22"/>
          <w:u w:val="single"/>
        </w:rPr>
      </w:pPr>
    </w:p>
    <w:p w14:paraId="2D86DDAF" w14:textId="77777777" w:rsidR="00143F32" w:rsidRPr="00410F65" w:rsidRDefault="00143F32" w:rsidP="00101CE8">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sz w:val="22"/>
          <w:szCs w:val="22"/>
          <w:u w:val="single"/>
        </w:rPr>
      </w:pPr>
      <w:r w:rsidRPr="00410F65">
        <w:rPr>
          <w:rFonts w:ascii="Palatino Linotype" w:eastAsia="Palatino Linotype" w:hAnsi="Palatino Linotype" w:cs="Palatino Linotype"/>
          <w:b/>
          <w:sz w:val="22"/>
          <w:szCs w:val="22"/>
          <w:u w:val="single"/>
        </w:rPr>
        <w:t xml:space="preserve">En conclusión, el FUMP (Formato Único de Movimientos de Personal) es el documento que evidencia los movimientos de </w:t>
      </w:r>
      <w:r w:rsidRPr="00410F65">
        <w:rPr>
          <w:rFonts w:ascii="Palatino Linotype" w:eastAsia="Palatino Linotype" w:hAnsi="Palatino Linotype" w:cs="Palatino Linotype"/>
          <w:b/>
          <w:sz w:val="22"/>
          <w:szCs w:val="22"/>
        </w:rPr>
        <w:t>alta,</w:t>
      </w:r>
      <w:r w:rsidRPr="00410F65">
        <w:rPr>
          <w:rFonts w:ascii="Palatino Linotype" w:eastAsia="Palatino Linotype" w:hAnsi="Palatino Linotype" w:cs="Palatino Linotype"/>
          <w:b/>
          <w:sz w:val="22"/>
          <w:szCs w:val="22"/>
          <w:u w:val="single"/>
        </w:rPr>
        <w:t xml:space="preserve"> baja, </w:t>
      </w:r>
      <w:r w:rsidRPr="00410F65">
        <w:rPr>
          <w:rFonts w:ascii="Palatino Linotype" w:eastAsia="Palatino Linotype" w:hAnsi="Palatino Linotype" w:cs="Palatino Linotype"/>
          <w:b/>
          <w:sz w:val="22"/>
          <w:szCs w:val="22"/>
        </w:rPr>
        <w:t>transferencia, promoción, democión y licencia</w:t>
      </w:r>
      <w:r w:rsidRPr="00410F65">
        <w:rPr>
          <w:rFonts w:ascii="Palatino Linotype" w:eastAsia="Palatino Linotype" w:hAnsi="Palatino Linotype" w:cs="Palatino Linotype"/>
          <w:b/>
          <w:sz w:val="22"/>
          <w:szCs w:val="22"/>
          <w:u w:val="single"/>
        </w:rPr>
        <w:t xml:space="preserve"> de los servidores públicos, es decir, es el documento oficial en el que se establece </w:t>
      </w:r>
      <w:r w:rsidRPr="00410F65">
        <w:rPr>
          <w:rFonts w:ascii="Palatino Linotype" w:eastAsia="Palatino Linotype" w:hAnsi="Palatino Linotype" w:cs="Palatino Linotype"/>
          <w:b/>
          <w:sz w:val="22"/>
          <w:szCs w:val="22"/>
        </w:rPr>
        <w:t>la relación laboral,</w:t>
      </w:r>
      <w:r w:rsidRPr="00410F65">
        <w:rPr>
          <w:rFonts w:ascii="Palatino Linotype" w:eastAsia="Palatino Linotype" w:hAnsi="Palatino Linotype" w:cs="Palatino Linotype"/>
          <w:b/>
          <w:sz w:val="22"/>
          <w:szCs w:val="22"/>
          <w:u w:val="single"/>
        </w:rPr>
        <w:t xml:space="preserve"> el término de la misma </w:t>
      </w:r>
      <w:r w:rsidRPr="00410F65">
        <w:rPr>
          <w:rFonts w:ascii="Palatino Linotype" w:eastAsia="Palatino Linotype" w:hAnsi="Palatino Linotype" w:cs="Palatino Linotype"/>
          <w:b/>
          <w:sz w:val="22"/>
          <w:szCs w:val="22"/>
        </w:rPr>
        <w:t>o el cambio de adscripción de los servidores públicos.</w:t>
      </w:r>
    </w:p>
    <w:p w14:paraId="29F350A7" w14:textId="77777777" w:rsidR="00143F32" w:rsidRPr="00410F65" w:rsidRDefault="00143F32" w:rsidP="00101CE8">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p>
    <w:p w14:paraId="7669D47B" w14:textId="77777777" w:rsidR="00143F32" w:rsidRPr="00410F65" w:rsidRDefault="00143F32"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En ese sentido, de conformidad con el Manual de Organización de la Dirección General de Administración, se establece como una de sus atribuciones de la Dirección de Recursos Humanos, el supervisar y validar los movimientos administrativos, altas, reingresos, </w:t>
      </w:r>
      <w:r w:rsidRPr="00410F65">
        <w:rPr>
          <w:rFonts w:ascii="Palatino Linotype" w:eastAsia="Palatino Linotype" w:hAnsi="Palatino Linotype" w:cs="Palatino Linotype"/>
          <w:b/>
          <w:sz w:val="22"/>
          <w:szCs w:val="22"/>
          <w:u w:val="single"/>
        </w:rPr>
        <w:t>bajas</w:t>
      </w:r>
      <w:r w:rsidRPr="00410F65">
        <w:rPr>
          <w:rFonts w:ascii="Palatino Linotype" w:eastAsia="Palatino Linotype" w:hAnsi="Palatino Linotype" w:cs="Palatino Linotype"/>
          <w:sz w:val="22"/>
          <w:szCs w:val="22"/>
          <w:u w:val="single"/>
        </w:rPr>
        <w:t>,</w:t>
      </w:r>
      <w:r w:rsidRPr="00410F65">
        <w:rPr>
          <w:rFonts w:ascii="Palatino Linotype" w:eastAsia="Palatino Linotype" w:hAnsi="Palatino Linotype" w:cs="Palatino Linotype"/>
          <w:sz w:val="22"/>
          <w:szCs w:val="22"/>
        </w:rPr>
        <w:t xml:space="preserve"> licencias, cambios de categoría y adscripción, permisos, registro de incidencias del personal, entre otros; así como, integrar su expediente personal y laboral, el cual se concentrará dentro de sus archivos. </w:t>
      </w:r>
    </w:p>
    <w:p w14:paraId="55096D44" w14:textId="77777777" w:rsidR="00143F32" w:rsidRPr="00410F65" w:rsidRDefault="00143F32" w:rsidP="00101CE8">
      <w:pPr>
        <w:spacing w:line="360" w:lineRule="auto"/>
        <w:jc w:val="both"/>
        <w:rPr>
          <w:rFonts w:ascii="Palatino Linotype" w:eastAsia="Palatino Linotype" w:hAnsi="Palatino Linotype" w:cs="Palatino Linotype"/>
          <w:sz w:val="22"/>
          <w:szCs w:val="22"/>
        </w:rPr>
      </w:pPr>
    </w:p>
    <w:p w14:paraId="65B1A9D6" w14:textId="77777777" w:rsidR="00143F32" w:rsidRPr="00410F65" w:rsidRDefault="00143F32"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De lo anterior, se colige que, el </w:t>
      </w:r>
      <w:r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xml:space="preserve"> cuenta con facultades, atribuciones y competencia, para generar, administrar y poseer la información requerida; no obstante, la Direc</w:t>
      </w:r>
      <w:r w:rsidR="00482FEA" w:rsidRPr="00410F65">
        <w:rPr>
          <w:rFonts w:ascii="Palatino Linotype" w:eastAsia="Palatino Linotype" w:hAnsi="Palatino Linotype" w:cs="Palatino Linotype"/>
          <w:sz w:val="22"/>
          <w:szCs w:val="22"/>
        </w:rPr>
        <w:t>ción General de Administración</w:t>
      </w:r>
      <w:r w:rsidRPr="00410F65">
        <w:rPr>
          <w:rFonts w:ascii="Palatino Linotype" w:eastAsia="Palatino Linotype" w:hAnsi="Palatino Linotype" w:cs="Palatino Linotype"/>
          <w:sz w:val="22"/>
          <w:szCs w:val="22"/>
        </w:rPr>
        <w:t xml:space="preserve"> en respuesta </w:t>
      </w:r>
      <w:r w:rsidR="00482FEA" w:rsidRPr="00410F65">
        <w:rPr>
          <w:rFonts w:ascii="Palatino Linotype" w:eastAsia="Palatino Linotype" w:hAnsi="Palatino Linotype" w:cs="Palatino Linotype"/>
          <w:sz w:val="22"/>
          <w:szCs w:val="22"/>
        </w:rPr>
        <w:t>fue omisa en emitir algún pronunciamiento al respecto</w:t>
      </w:r>
      <w:r w:rsidRPr="00410F65">
        <w:rPr>
          <w:rFonts w:ascii="Palatino Linotype" w:eastAsia="Palatino Linotype" w:hAnsi="Palatino Linotype" w:cs="Palatino Linotype"/>
          <w:sz w:val="22"/>
          <w:szCs w:val="22"/>
        </w:rPr>
        <w:t>;</w:t>
      </w:r>
      <w:r w:rsidR="00482FEA" w:rsidRPr="00410F65">
        <w:rPr>
          <w:rFonts w:ascii="Palatino Linotype" w:eastAsia="Palatino Linotype" w:hAnsi="Palatino Linotype" w:cs="Palatino Linotype"/>
          <w:sz w:val="22"/>
          <w:szCs w:val="22"/>
        </w:rPr>
        <w:t xml:space="preserve"> sin embargo, </w:t>
      </w:r>
      <w:r w:rsidRPr="00410F65">
        <w:rPr>
          <w:rFonts w:ascii="Palatino Linotype" w:eastAsia="Palatino Linotype" w:hAnsi="Palatino Linotype" w:cs="Palatino Linotype"/>
          <w:sz w:val="22"/>
          <w:szCs w:val="22"/>
        </w:rPr>
        <w:t xml:space="preserve">como ya se precisó en párrafos anteriores el Formato Único de Movimientos de Personal es el documento oficial en el que se formaliza la relación laboral entre el Ayuntamiento y los servidores públicos; así como el término de la misma, por lo que </w:t>
      </w:r>
      <w:r w:rsidR="00482FEA" w:rsidRPr="00410F65">
        <w:rPr>
          <w:rFonts w:ascii="Palatino Linotype" w:eastAsia="Palatino Linotype" w:hAnsi="Palatino Linotype" w:cs="Palatino Linotype"/>
          <w:sz w:val="22"/>
          <w:szCs w:val="22"/>
        </w:rPr>
        <w:t xml:space="preserve">es información que obra en los archivos del Sujeto Obligado; por lo que resulta procedente </w:t>
      </w:r>
      <w:r w:rsidR="00E3019F" w:rsidRPr="00410F65">
        <w:rPr>
          <w:rFonts w:ascii="Palatino Linotype" w:eastAsia="Palatino Linotype" w:hAnsi="Palatino Linotype" w:cs="Palatino Linotype"/>
          <w:sz w:val="22"/>
          <w:szCs w:val="22"/>
        </w:rPr>
        <w:t xml:space="preserve">la </w:t>
      </w:r>
      <w:r w:rsidR="00482FEA" w:rsidRPr="00410F65">
        <w:rPr>
          <w:rFonts w:ascii="Palatino Linotype" w:eastAsia="Palatino Linotype" w:hAnsi="Palatino Linotype" w:cs="Palatino Linotype"/>
          <w:sz w:val="22"/>
          <w:szCs w:val="22"/>
        </w:rPr>
        <w:t xml:space="preserve">entrega, </w:t>
      </w:r>
      <w:r w:rsidR="00E3019F" w:rsidRPr="00410F65">
        <w:rPr>
          <w:rFonts w:ascii="Palatino Linotype" w:eastAsia="Palatino Linotype" w:hAnsi="Palatino Linotype" w:cs="Palatino Linotype"/>
          <w:sz w:val="22"/>
          <w:szCs w:val="22"/>
        </w:rPr>
        <w:t>del Formato Único de Movimientos de Personal de los servidores públicos dados de baja del siete de julio de dos mil veinticuatro al siete de julio de dos mil veinticinco, en versión pública</w:t>
      </w:r>
      <w:r w:rsidR="0054593C" w:rsidRPr="00410F65">
        <w:rPr>
          <w:rFonts w:ascii="Palatino Linotype" w:eastAsia="Palatino Linotype" w:hAnsi="Palatino Linotype" w:cs="Palatino Linotype"/>
          <w:sz w:val="22"/>
          <w:szCs w:val="22"/>
        </w:rPr>
        <w:t xml:space="preserve"> en términos del considerando quinto</w:t>
      </w:r>
      <w:r w:rsidR="00E3019F" w:rsidRPr="00410F65">
        <w:rPr>
          <w:rFonts w:ascii="Palatino Linotype" w:eastAsia="Palatino Linotype" w:hAnsi="Palatino Linotype" w:cs="Palatino Linotype"/>
          <w:sz w:val="22"/>
          <w:szCs w:val="22"/>
        </w:rPr>
        <w:t>.</w:t>
      </w:r>
    </w:p>
    <w:p w14:paraId="6BCD524D" w14:textId="77777777" w:rsidR="00482FEA" w:rsidRPr="00410F65" w:rsidRDefault="00482FEA" w:rsidP="00101CE8">
      <w:pPr>
        <w:widowControl w:val="0"/>
        <w:pBdr>
          <w:top w:val="nil"/>
          <w:left w:val="nil"/>
          <w:bottom w:val="nil"/>
          <w:right w:val="nil"/>
          <w:between w:val="nil"/>
        </w:pBdr>
        <w:tabs>
          <w:tab w:val="left" w:pos="1701"/>
          <w:tab w:val="left" w:pos="1843"/>
        </w:tabs>
        <w:spacing w:line="360" w:lineRule="auto"/>
        <w:ind w:left="720"/>
        <w:jc w:val="both"/>
        <w:rPr>
          <w:rFonts w:ascii="Palatino Linotype" w:eastAsia="Palatino Linotype" w:hAnsi="Palatino Linotype" w:cs="Palatino Linotype"/>
          <w:b/>
          <w:sz w:val="22"/>
          <w:szCs w:val="22"/>
        </w:rPr>
      </w:pPr>
    </w:p>
    <w:p w14:paraId="3EDB52D4" w14:textId="77777777" w:rsidR="0020150E" w:rsidRPr="00410F65" w:rsidRDefault="0020150E" w:rsidP="00101CE8">
      <w:pPr>
        <w:widowControl w:val="0"/>
        <w:numPr>
          <w:ilvl w:val="0"/>
          <w:numId w:val="21"/>
        </w:numPr>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b/>
          <w:sz w:val="22"/>
          <w:szCs w:val="22"/>
        </w:rPr>
      </w:pPr>
      <w:r w:rsidRPr="00410F65">
        <w:rPr>
          <w:rFonts w:ascii="Palatino Linotype" w:eastAsia="Palatino Linotype" w:hAnsi="Palatino Linotype" w:cs="Palatino Linotype"/>
          <w:b/>
          <w:sz w:val="22"/>
          <w:szCs w:val="22"/>
        </w:rPr>
        <w:t xml:space="preserve">Currículum Vitae </w:t>
      </w:r>
    </w:p>
    <w:p w14:paraId="7F05566B" w14:textId="77777777" w:rsidR="0020150E" w:rsidRPr="00410F65" w:rsidRDefault="0020150E" w:rsidP="00101C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En lo que respecta al </w:t>
      </w:r>
      <w:r w:rsidRPr="00410F65">
        <w:rPr>
          <w:rFonts w:ascii="Palatino Linotype" w:eastAsia="Palatino Linotype" w:hAnsi="Palatino Linotype" w:cs="Palatino Linotype"/>
          <w:b/>
          <w:sz w:val="22"/>
          <w:szCs w:val="22"/>
        </w:rPr>
        <w:t>currículum vítae</w:t>
      </w:r>
      <w:r w:rsidRPr="00410F65">
        <w:rPr>
          <w:rFonts w:ascii="Palatino Linotype" w:eastAsia="Palatino Linotype" w:hAnsi="Palatino Linotype" w:cs="Palatino Linotype"/>
          <w:sz w:val="22"/>
          <w:szCs w:val="22"/>
        </w:rPr>
        <w:t xml:space="preserve"> este es aquel que contiene la información relacionada con la trayectoria académica, profesional y laboral de un Servidor Público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 del cual se desprende el último cargo que ocupó.</w:t>
      </w:r>
    </w:p>
    <w:p w14:paraId="0AD14B0C" w14:textId="77777777" w:rsidR="0020150E" w:rsidRPr="00410F65" w:rsidRDefault="0020150E" w:rsidP="00101C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A38CEB9" w14:textId="77777777" w:rsidR="0020150E" w:rsidRPr="00410F65" w:rsidRDefault="0020150E" w:rsidP="00101CE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En ese orden de ideas, si bien, el documento referido es elaborado por cada persona sin ninguna validez oficial, el cual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el </w:t>
      </w:r>
      <w:r w:rsidRPr="00410F65">
        <w:rPr>
          <w:rFonts w:ascii="Palatino Linotype" w:eastAsia="Palatino Linotype" w:hAnsi="Palatino Linotype" w:cs="Palatino Linotype"/>
          <w:b/>
          <w:sz w:val="22"/>
          <w:szCs w:val="22"/>
        </w:rPr>
        <w:t> Sujeto Obligado</w:t>
      </w:r>
      <w:r w:rsidRPr="00410F65">
        <w:rPr>
          <w:rFonts w:ascii="Palatino Linotype" w:eastAsia="Palatino Linotype" w:hAnsi="Palatino Linotype" w:cs="Palatino Linotype"/>
          <w:sz w:val="22"/>
          <w:szCs w:val="22"/>
        </w:rPr>
        <w:t xml:space="preserve"> cuenta con las capacidades, conocimientos y experiencia necesaria para el cabal cumplimiento de sus funciones. </w:t>
      </w:r>
    </w:p>
    <w:p w14:paraId="105F4E00" w14:textId="77777777" w:rsidR="0020150E" w:rsidRPr="00410F65" w:rsidRDefault="0020150E" w:rsidP="00101CE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34011B8" w14:textId="77777777" w:rsidR="0020150E" w:rsidRPr="00410F65" w:rsidRDefault="0020150E" w:rsidP="00101CE8">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Lo que se sustenta, con lo señalado por el entonces Instituto Nacional de Acceso a la Información y Protección de Datos Personales, en su criterio orientador 03/2009 que indica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3BF490C4" w14:textId="77777777" w:rsidR="0020150E" w:rsidRPr="00410F65" w:rsidRDefault="0020150E" w:rsidP="00101CE8">
      <w:pPr>
        <w:pBdr>
          <w:top w:val="nil"/>
          <w:left w:val="nil"/>
          <w:bottom w:val="nil"/>
          <w:right w:val="nil"/>
          <w:between w:val="nil"/>
        </w:pBdr>
        <w:spacing w:line="276" w:lineRule="auto"/>
        <w:ind w:left="851" w:right="618"/>
        <w:jc w:val="both"/>
        <w:rPr>
          <w:rFonts w:ascii="Palatino Linotype" w:eastAsia="Palatino Linotype" w:hAnsi="Palatino Linotype" w:cs="Palatino Linotype"/>
          <w:i/>
          <w:sz w:val="22"/>
          <w:szCs w:val="22"/>
        </w:rPr>
      </w:pPr>
    </w:p>
    <w:p w14:paraId="30628FA3" w14:textId="77777777" w:rsidR="0020150E" w:rsidRPr="00410F65" w:rsidRDefault="0020150E" w:rsidP="00101CE8">
      <w:pPr>
        <w:pBdr>
          <w:top w:val="nil"/>
          <w:left w:val="nil"/>
          <w:bottom w:val="nil"/>
          <w:right w:val="nil"/>
          <w:between w:val="nil"/>
        </w:pBdr>
        <w:spacing w:line="276" w:lineRule="auto"/>
        <w:ind w:left="851" w:right="618"/>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i/>
          <w:sz w:val="22"/>
          <w:szCs w:val="22"/>
        </w:rPr>
        <w:t>“</w:t>
      </w:r>
      <w:r w:rsidRPr="00410F65">
        <w:rPr>
          <w:rFonts w:ascii="Palatino Linotype" w:eastAsia="Palatino Linotype" w:hAnsi="Palatino Linotype" w:cs="Palatino Linotype"/>
          <w:b/>
          <w:i/>
          <w:sz w:val="22"/>
          <w:szCs w:val="22"/>
        </w:rPr>
        <w:t xml:space="preserve">Curriculum Vitae de servidores públicos. Es obligación de los sujetos obligados otorgar acceso a versiones públicas de los mismos ante una solicitud de acceso. </w:t>
      </w:r>
      <w:r w:rsidRPr="00410F65">
        <w:rPr>
          <w:rFonts w:ascii="Palatino Linotype" w:eastAsia="Palatino Linotype" w:hAnsi="Palatino Linotype" w:cs="Palatino Linotype"/>
          <w:i/>
          <w:sz w:val="22"/>
          <w:szCs w:val="22"/>
        </w:rPr>
        <w:t>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502D3149" w14:textId="77777777" w:rsidR="0020150E" w:rsidRPr="00410F65" w:rsidRDefault="0020150E" w:rsidP="00101C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0C8ABE3" w14:textId="77777777" w:rsidR="0020150E" w:rsidRPr="00410F65" w:rsidRDefault="0020150E" w:rsidP="00101C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En esa tesitura, debe apuntarse que esta constituye una obligación de transparencia, pues el </w:t>
      </w:r>
      <w:r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5D7712A8" w14:textId="77777777" w:rsidR="0020150E" w:rsidRPr="00410F65" w:rsidRDefault="0020150E"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C13A627" w14:textId="77777777" w:rsidR="0020150E" w:rsidRPr="00410F65" w:rsidRDefault="0020150E"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i/>
          <w:sz w:val="22"/>
          <w:szCs w:val="22"/>
        </w:rPr>
        <w:t>“</w:t>
      </w:r>
      <w:r w:rsidRPr="00410F65">
        <w:rPr>
          <w:rFonts w:ascii="Palatino Linotype" w:eastAsia="Palatino Linotype" w:hAnsi="Palatino Linotype" w:cs="Palatino Linotype"/>
          <w:b/>
          <w:i/>
          <w:sz w:val="22"/>
          <w:szCs w:val="22"/>
        </w:rPr>
        <w:t>Artículo 92</w:t>
      </w:r>
      <w:r w:rsidRPr="00410F65">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8D9E7F4" w14:textId="77777777" w:rsidR="0020150E" w:rsidRPr="00410F65" w:rsidRDefault="0020150E"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i/>
          <w:sz w:val="22"/>
          <w:szCs w:val="22"/>
        </w:rPr>
        <w:t>...</w:t>
      </w:r>
    </w:p>
    <w:p w14:paraId="3AA467EA" w14:textId="77777777" w:rsidR="0020150E" w:rsidRPr="00410F65" w:rsidRDefault="0020150E"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XXI. La información curricular, desde el nivel de jefe de departamento o equivalente, hasta el titular del sujeto obligado</w:t>
      </w:r>
      <w:r w:rsidRPr="00410F65">
        <w:rPr>
          <w:rFonts w:ascii="Palatino Linotype" w:eastAsia="Palatino Linotype" w:hAnsi="Palatino Linotype" w:cs="Palatino Linotype"/>
          <w:i/>
          <w:sz w:val="22"/>
          <w:szCs w:val="22"/>
        </w:rPr>
        <w:t xml:space="preserve">, así como, en su caso, las sanciones administrativas de que haya sido objeto” </w:t>
      </w:r>
    </w:p>
    <w:p w14:paraId="5033418A" w14:textId="77777777" w:rsidR="0020150E" w:rsidRPr="00410F65" w:rsidRDefault="0020150E"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(Énfasis añadido)</w:t>
      </w:r>
    </w:p>
    <w:p w14:paraId="59663A8D" w14:textId="77777777" w:rsidR="0020150E" w:rsidRPr="00410F65" w:rsidRDefault="0020150E" w:rsidP="00101CE8">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p>
    <w:p w14:paraId="41E110E2" w14:textId="77777777" w:rsidR="0020150E" w:rsidRPr="00410F65" w:rsidRDefault="0020150E" w:rsidP="00101CE8">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Como se aprecia en el dispositivo legal citado, lo sujetos obligados deben publicar la información curricular de los(as) servidores(as) públicos(as) y/o personas que desempeñen actualmente un empleo, cargo o comisión y/o ejerzan actos de autoridad en el </w:t>
      </w:r>
      <w:r w:rsidRPr="00410F65">
        <w:rPr>
          <w:rFonts w:ascii="Palatino Linotype" w:eastAsia="Palatino Linotype" w:hAnsi="Palatino Linotype" w:cs="Palatino Linotype"/>
          <w:b/>
          <w:sz w:val="22"/>
          <w:szCs w:val="22"/>
        </w:rPr>
        <w:t xml:space="preserve">Sujeto Obligado, </w:t>
      </w:r>
      <w:r w:rsidRPr="00410F65">
        <w:rPr>
          <w:rFonts w:ascii="Palatino Linotype" w:eastAsia="Palatino Linotype" w:hAnsi="Palatino Linotype" w:cs="Palatino Linotype"/>
          <w:sz w:val="22"/>
          <w:szCs w:val="22"/>
        </w:rPr>
        <w:t>debe precisarse que dicha circunstancia no es</w:t>
      </w:r>
      <w:r w:rsidRPr="00410F65">
        <w:rPr>
          <w:rFonts w:ascii="Palatino Linotype" w:eastAsia="Palatino Linotype" w:hAnsi="Palatino Linotype" w:cs="Palatino Linotype"/>
          <w:b/>
          <w:sz w:val="22"/>
          <w:szCs w:val="22"/>
        </w:rPr>
        <w:t xml:space="preserve"> </w:t>
      </w:r>
      <w:r w:rsidRPr="00410F65">
        <w:rPr>
          <w:rFonts w:ascii="Palatino Linotype" w:eastAsia="Palatino Linotype" w:hAnsi="Palatino Linotype" w:cs="Palatino Linotype"/>
          <w:sz w:val="22"/>
          <w:szCs w:val="22"/>
        </w:rPr>
        <w:t>óbice para que se encuentre impedido a contar con dicha información respecto de todos los servidores públicos con los que tenga una relación laboral.</w:t>
      </w:r>
    </w:p>
    <w:p w14:paraId="725189E3" w14:textId="77777777" w:rsidR="0020150E" w:rsidRPr="00410F65" w:rsidRDefault="0020150E" w:rsidP="00101CE8">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3D23B6DC" w14:textId="77777777" w:rsidR="0020150E" w:rsidRPr="00410F65" w:rsidRDefault="0020150E" w:rsidP="00101CE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De lo anterior, se desprende que una de las formas en que los ciudadanos pueden evaluar las aptitudes para desempeñar un cargo público determinado, es mediante la publicidad de ciertos datos contenidos en la ficha curricular, tales como: la trayectoria académica, profesional, laboral, así como todos aquellos que acrediten su capacidad, habilidades y pericia para ocupar el puesto público. Lo anterior, para favorecer la rendición de cuentas, pues la publicidad de lo anterior tiene como fin verificar el correcto desempeño de los sujetos obligados; por lo que se advierte que el </w:t>
      </w:r>
      <w:r w:rsidRPr="00410F65">
        <w:rPr>
          <w:rFonts w:ascii="Palatino Linotype" w:eastAsia="Palatino Linotype" w:hAnsi="Palatino Linotype" w:cs="Palatino Linotype"/>
          <w:b/>
          <w:bCs/>
          <w:sz w:val="22"/>
          <w:szCs w:val="22"/>
        </w:rPr>
        <w:t>Sujeto Obligado</w:t>
      </w:r>
      <w:r w:rsidRPr="00410F65">
        <w:rPr>
          <w:rFonts w:ascii="Palatino Linotype" w:eastAsia="Palatino Linotype" w:hAnsi="Palatino Linotype" w:cs="Palatino Linotype"/>
          <w:sz w:val="22"/>
          <w:szCs w:val="22"/>
        </w:rPr>
        <w:t xml:space="preserve"> cuenta con facultades y atribuciones para contar con dicha información. </w:t>
      </w:r>
    </w:p>
    <w:p w14:paraId="1E2AF742" w14:textId="77777777" w:rsidR="0020150E" w:rsidRPr="00410F65" w:rsidRDefault="0020150E" w:rsidP="00101CE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15C5094" w14:textId="77777777" w:rsidR="0020150E" w:rsidRPr="00410F65" w:rsidRDefault="0020150E" w:rsidP="00101CE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Expuesto lo anterior, conviene recordar que en respuesta el </w:t>
      </w:r>
      <w:r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xml:space="preserve"> informó que la información consistente a información curricular, podrá consultarse en la siguiente liga electrónica:</w:t>
      </w:r>
      <w:r w:rsidRPr="00410F65">
        <w:rPr>
          <w:rFonts w:ascii="Palatino Linotype" w:hAnsi="Palatino Linotype"/>
          <w:sz w:val="22"/>
          <w:szCs w:val="22"/>
        </w:rPr>
        <w:t xml:space="preserve"> </w:t>
      </w:r>
    </w:p>
    <w:p w14:paraId="7D8C210B" w14:textId="77777777" w:rsidR="0020150E" w:rsidRPr="00410F65" w:rsidRDefault="0020150E" w:rsidP="00101CE8">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03DC96C4" w14:textId="77777777" w:rsidR="0020150E" w:rsidRPr="00410F65" w:rsidRDefault="00E3019F" w:rsidP="00101CE8">
      <w:pPr>
        <w:spacing w:line="360" w:lineRule="auto"/>
        <w:ind w:right="49"/>
        <w:jc w:val="both"/>
        <w:rPr>
          <w:rFonts w:ascii="Palatino Linotype" w:eastAsia="Palatino Linotype" w:hAnsi="Palatino Linotype" w:cs="Palatino Linotype"/>
          <w:b/>
          <w:sz w:val="22"/>
          <w:szCs w:val="22"/>
        </w:rPr>
      </w:pPr>
      <w:r w:rsidRPr="00410F65">
        <w:rPr>
          <w:rFonts w:ascii="Palatino Linotype" w:eastAsia="Palatino Linotype" w:hAnsi="Palatino Linotype" w:cs="Palatino Linotype"/>
          <w:b/>
          <w:noProof/>
          <w:sz w:val="22"/>
          <w:szCs w:val="22"/>
        </w:rPr>
        <w:drawing>
          <wp:inline distT="0" distB="0" distL="0" distR="0" wp14:anchorId="7C840967" wp14:editId="7069A22F">
            <wp:extent cx="5506218" cy="219106"/>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6218" cy="219106"/>
                    </a:xfrm>
                    <a:prstGeom prst="rect">
                      <a:avLst/>
                    </a:prstGeom>
                  </pic:spPr>
                </pic:pic>
              </a:graphicData>
            </a:graphic>
          </wp:inline>
        </w:drawing>
      </w:r>
    </w:p>
    <w:p w14:paraId="409082BE" w14:textId="77777777" w:rsidR="0020150E" w:rsidRPr="00410F65" w:rsidRDefault="0020150E" w:rsidP="00101CE8">
      <w:pPr>
        <w:spacing w:line="360" w:lineRule="auto"/>
        <w:jc w:val="both"/>
        <w:rPr>
          <w:rFonts w:ascii="Palatino Linotype" w:eastAsia="Palatino Linotype" w:hAnsi="Palatino Linotype" w:cs="Palatino Linotype"/>
          <w:sz w:val="22"/>
          <w:szCs w:val="22"/>
        </w:rPr>
      </w:pPr>
    </w:p>
    <w:p w14:paraId="02F48CF1" w14:textId="77777777" w:rsidR="0020150E" w:rsidRPr="00410F65" w:rsidRDefault="0020150E"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Liga que como puede advertirse se encuentra en formato cerrado, es decir, que no se puede copiar y pegar para tener acceso; sobre el tema, Trujillo, Humberto (2019), en el “Diccionario de Transparencia y Acceso a la Información Pública”, precisa que cuando un </w:t>
      </w:r>
      <w:r w:rsidRPr="00410F65">
        <w:rPr>
          <w:rFonts w:ascii="Palatino Linotype" w:eastAsia="Palatino Linotype" w:hAnsi="Palatino Linotype" w:cs="Palatino Linotype"/>
          <w:b/>
          <w:sz w:val="22"/>
          <w:szCs w:val="22"/>
        </w:rPr>
        <w:t xml:space="preserve">Sujeto Obligado </w:t>
      </w:r>
      <w:r w:rsidRPr="00410F65">
        <w:rPr>
          <w:rFonts w:ascii="Palatino Linotype" w:eastAsia="Palatino Linotype" w:hAnsi="Palatino Linotype" w:cs="Palatino Linotype"/>
          <w:sz w:val="22"/>
          <w:szCs w:val="22"/>
        </w:rPr>
        <w:t>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7ACFABD3" w14:textId="77777777" w:rsidR="0020150E" w:rsidRPr="00410F65" w:rsidRDefault="0020150E" w:rsidP="00101CE8">
      <w:pPr>
        <w:spacing w:line="360" w:lineRule="auto"/>
        <w:jc w:val="both"/>
        <w:rPr>
          <w:rFonts w:ascii="Palatino Linotype" w:eastAsia="Palatino Linotype" w:hAnsi="Palatino Linotype" w:cs="Palatino Linotype"/>
          <w:sz w:val="22"/>
          <w:szCs w:val="22"/>
        </w:rPr>
      </w:pPr>
    </w:p>
    <w:p w14:paraId="0BFFB94A" w14:textId="77777777" w:rsidR="0020150E" w:rsidRPr="00410F65" w:rsidRDefault="0020150E"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Asimismo, establece que al proporcionar información pública es necesario que sea en un formato que no tenga ninguna restricción en el acceso o reutilización, por lo que, es necesario que los datos digitales (como ligas electrónicas), se proporcionen en un formato abierto. </w:t>
      </w:r>
    </w:p>
    <w:p w14:paraId="6C740B32" w14:textId="77777777" w:rsidR="0020150E" w:rsidRPr="00410F65" w:rsidRDefault="0020150E" w:rsidP="00101CE8">
      <w:pPr>
        <w:spacing w:line="360" w:lineRule="auto"/>
        <w:jc w:val="both"/>
        <w:rPr>
          <w:rFonts w:ascii="Palatino Linotype" w:eastAsia="Palatino Linotype" w:hAnsi="Palatino Linotype" w:cs="Palatino Linotype"/>
          <w:sz w:val="22"/>
          <w:szCs w:val="22"/>
        </w:rPr>
      </w:pPr>
    </w:p>
    <w:p w14:paraId="3ADE69A9" w14:textId="77777777" w:rsidR="0020150E" w:rsidRPr="00410F65" w:rsidRDefault="0020150E"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018852D6" w14:textId="77777777" w:rsidR="0020150E" w:rsidRPr="00410F65" w:rsidRDefault="0020150E"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 </w:t>
      </w:r>
    </w:p>
    <w:p w14:paraId="65DE986F" w14:textId="77777777" w:rsidR="0020150E" w:rsidRPr="00410F65" w:rsidRDefault="0020150E" w:rsidP="00101CE8">
      <w:pPr>
        <w:pStyle w:val="Prrafodelista"/>
        <w:numPr>
          <w:ilvl w:val="0"/>
          <w:numId w:val="23"/>
        </w:numPr>
        <w:spacing w:line="360" w:lineRule="auto"/>
        <w:contextualSpacing w:val="0"/>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Dato abierto:</w:t>
      </w:r>
      <w:r w:rsidRPr="00410F65">
        <w:rPr>
          <w:rFonts w:ascii="Palatino Linotype" w:eastAsia="Palatino Linotype" w:hAnsi="Palatino Linotype" w:cs="Palatino Linotype"/>
          <w:sz w:val="22"/>
          <w:szCs w:val="22"/>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278AB91D" w14:textId="77777777" w:rsidR="0020150E" w:rsidRPr="00410F65" w:rsidRDefault="0020150E" w:rsidP="00101CE8">
      <w:pPr>
        <w:spacing w:line="360" w:lineRule="auto"/>
        <w:ind w:firstLine="60"/>
        <w:jc w:val="both"/>
        <w:rPr>
          <w:rFonts w:ascii="Palatino Linotype" w:eastAsia="Palatino Linotype" w:hAnsi="Palatino Linotype" w:cs="Palatino Linotype"/>
          <w:sz w:val="22"/>
          <w:szCs w:val="22"/>
        </w:rPr>
      </w:pPr>
    </w:p>
    <w:p w14:paraId="0FEC43DD" w14:textId="77777777" w:rsidR="0020150E" w:rsidRPr="00410F65" w:rsidRDefault="0020150E" w:rsidP="00101CE8">
      <w:pPr>
        <w:pStyle w:val="Prrafodelista"/>
        <w:numPr>
          <w:ilvl w:val="0"/>
          <w:numId w:val="23"/>
        </w:numPr>
        <w:spacing w:line="360" w:lineRule="auto"/>
        <w:contextualSpacing w:val="0"/>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 xml:space="preserve">Formato accesible: </w:t>
      </w:r>
      <w:r w:rsidRPr="00410F65">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75F41CD8" w14:textId="77777777" w:rsidR="0020150E" w:rsidRPr="00410F65" w:rsidRDefault="0020150E" w:rsidP="00101CE8">
      <w:pPr>
        <w:spacing w:line="360" w:lineRule="auto"/>
        <w:jc w:val="both"/>
        <w:rPr>
          <w:rFonts w:ascii="Palatino Linotype" w:eastAsia="Palatino Linotype" w:hAnsi="Palatino Linotype" w:cs="Palatino Linotype"/>
          <w:sz w:val="22"/>
          <w:szCs w:val="22"/>
        </w:rPr>
      </w:pPr>
    </w:p>
    <w:p w14:paraId="31038713" w14:textId="77777777" w:rsidR="0020150E" w:rsidRPr="00410F65" w:rsidRDefault="0020150E"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Conforme a lo anterior, se considera que en el caso de que la información peticionada obre en ligas electrónicas, el </w:t>
      </w:r>
      <w:r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xml:space="preserve"> deberá privilegiar la entrega de estas, en datos abiertos, es decir, en un formato que permita la accesibilidad y facilidad a los Particulares, para obtener la información contenida en estas.</w:t>
      </w:r>
    </w:p>
    <w:p w14:paraId="6F61C070" w14:textId="77777777" w:rsidR="0020150E" w:rsidRPr="00410F65" w:rsidRDefault="0020150E" w:rsidP="00101CE8">
      <w:pPr>
        <w:spacing w:line="360" w:lineRule="auto"/>
        <w:jc w:val="both"/>
        <w:rPr>
          <w:rFonts w:ascii="Palatino Linotype" w:eastAsia="Palatino Linotype" w:hAnsi="Palatino Linotype" w:cs="Palatino Linotype"/>
          <w:sz w:val="22"/>
          <w:szCs w:val="22"/>
        </w:rPr>
      </w:pPr>
    </w:p>
    <w:p w14:paraId="14206F0B" w14:textId="77777777" w:rsidR="0020150E" w:rsidRPr="00410F65" w:rsidRDefault="0020150E"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Al respecto, el artículo 161 de la Ley de Transparencia y Acceso a la Información Pública del Estado de México y Municipios, establece que cuando la documentación peticionada ya se encuentre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3B50B145" w14:textId="77777777" w:rsidR="0020150E" w:rsidRPr="00410F65" w:rsidRDefault="0020150E" w:rsidP="00101CE8">
      <w:pPr>
        <w:spacing w:line="360" w:lineRule="auto"/>
        <w:jc w:val="both"/>
        <w:rPr>
          <w:rFonts w:ascii="Palatino Linotype" w:eastAsia="Palatino Linotype" w:hAnsi="Palatino Linotype" w:cs="Palatino Linotype"/>
          <w:sz w:val="22"/>
          <w:szCs w:val="22"/>
        </w:rPr>
      </w:pPr>
    </w:p>
    <w:p w14:paraId="21AD675B" w14:textId="77777777" w:rsidR="0020150E" w:rsidRPr="00410F65" w:rsidRDefault="0020150E"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Como se logra observar, el </w:t>
      </w:r>
      <w:r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xml:space="preserve"> si bien </w:t>
      </w:r>
      <w:r w:rsidR="00E3019F" w:rsidRPr="00410F65">
        <w:rPr>
          <w:rFonts w:ascii="Palatino Linotype" w:eastAsia="Palatino Linotype" w:hAnsi="Palatino Linotype" w:cs="Palatino Linotype"/>
          <w:sz w:val="22"/>
          <w:szCs w:val="22"/>
        </w:rPr>
        <w:t xml:space="preserve">asume que cuenta con la información al </w:t>
      </w:r>
      <w:r w:rsidRPr="00410F65">
        <w:rPr>
          <w:rFonts w:ascii="Palatino Linotype" w:eastAsia="Palatino Linotype" w:hAnsi="Palatino Linotype" w:cs="Palatino Linotype"/>
          <w:sz w:val="22"/>
          <w:szCs w:val="22"/>
        </w:rPr>
        <w:t>señal</w:t>
      </w:r>
      <w:r w:rsidR="00E3019F" w:rsidRPr="00410F65">
        <w:rPr>
          <w:rFonts w:ascii="Palatino Linotype" w:eastAsia="Palatino Linotype" w:hAnsi="Palatino Linotype" w:cs="Palatino Linotype"/>
          <w:sz w:val="22"/>
          <w:szCs w:val="22"/>
        </w:rPr>
        <w:t xml:space="preserve">ar </w:t>
      </w:r>
      <w:r w:rsidRPr="00410F65">
        <w:rPr>
          <w:rFonts w:ascii="Palatino Linotype" w:eastAsia="Palatino Linotype" w:hAnsi="Palatino Linotype" w:cs="Palatino Linotype"/>
          <w:sz w:val="22"/>
          <w:szCs w:val="22"/>
        </w:rPr>
        <w:t>una página electrónica, omitió proporcionarla en formato abierto; lo cual implica la dificultad de acceder a la misma, pues se traduce al hecho de que el particular tendría que colocar cada dígito alfanumérico, y cuya equivocación implicaría no acceder a la infor</w:t>
      </w:r>
      <w:r w:rsidR="00E3019F" w:rsidRPr="00410F65">
        <w:rPr>
          <w:rFonts w:ascii="Palatino Linotype" w:eastAsia="Palatino Linotype" w:hAnsi="Palatino Linotype" w:cs="Palatino Linotype"/>
          <w:sz w:val="22"/>
          <w:szCs w:val="22"/>
        </w:rPr>
        <w:t>mación contenida en las mismas;</w:t>
      </w:r>
      <w:r w:rsidRPr="00410F65">
        <w:rPr>
          <w:rFonts w:ascii="Palatino Linotype" w:eastAsia="Palatino Linotype" w:hAnsi="Palatino Linotype" w:cs="Palatino Linotype"/>
          <w:sz w:val="22"/>
          <w:szCs w:val="22"/>
        </w:rPr>
        <w:t xml:space="preserve"> por lo que, este Organismo Garante considera oportuno ordenar al </w:t>
      </w:r>
      <w:r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xml:space="preserve"> la entrega, d</w:t>
      </w:r>
      <w:bookmarkStart w:id="7" w:name="_Hlk208360296"/>
      <w:r w:rsidR="00E3019F" w:rsidRPr="00410F65">
        <w:rPr>
          <w:rFonts w:ascii="Palatino Linotype" w:eastAsia="Palatino Linotype" w:hAnsi="Palatino Linotype" w:cs="Palatino Linotype"/>
          <w:sz w:val="22"/>
          <w:szCs w:val="22"/>
        </w:rPr>
        <w:t>el Currículum Vitae del personal dado de baja del siete de julio de dos mil veinticuatro al siete de julio de dos mil veinticinco</w:t>
      </w:r>
      <w:bookmarkEnd w:id="7"/>
      <w:r w:rsidR="00E3019F" w:rsidRPr="00410F65">
        <w:rPr>
          <w:rFonts w:ascii="Palatino Linotype" w:eastAsia="Palatino Linotype" w:hAnsi="Palatino Linotype" w:cs="Palatino Linotype"/>
          <w:sz w:val="22"/>
          <w:szCs w:val="22"/>
        </w:rPr>
        <w:t xml:space="preserve">, de ser procedente en versión pública. </w:t>
      </w:r>
    </w:p>
    <w:p w14:paraId="1462C5E2" w14:textId="77777777" w:rsidR="0020150E" w:rsidRPr="00410F65" w:rsidRDefault="0020150E" w:rsidP="00101CE8">
      <w:pPr>
        <w:spacing w:line="360" w:lineRule="auto"/>
        <w:jc w:val="both"/>
        <w:rPr>
          <w:rFonts w:ascii="Palatino Linotype" w:eastAsia="Palatino Linotype" w:hAnsi="Palatino Linotype" w:cs="Palatino Linotype"/>
          <w:sz w:val="22"/>
          <w:szCs w:val="22"/>
        </w:rPr>
      </w:pPr>
    </w:p>
    <w:p w14:paraId="2C4E2EF1" w14:textId="77777777" w:rsidR="0020150E" w:rsidRPr="00410F65" w:rsidRDefault="009D4544" w:rsidP="00101CE8">
      <w:pPr>
        <w:pStyle w:val="Prrafodelista"/>
        <w:numPr>
          <w:ilvl w:val="0"/>
          <w:numId w:val="25"/>
        </w:num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 xml:space="preserve">Renuncia </w:t>
      </w:r>
    </w:p>
    <w:p w14:paraId="4E6BA419" w14:textId="77777777" w:rsidR="007B29E7" w:rsidRPr="00410F65" w:rsidRDefault="007B29E7"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Referente a este punto de análisis, conviene precisar que </w:t>
      </w:r>
      <w:r w:rsidRPr="00410F65">
        <w:rPr>
          <w:rFonts w:ascii="Palatino Linotype" w:eastAsia="Palatino Linotype" w:hAnsi="Palatino Linotype" w:cs="Palatino Linotype"/>
          <w:b/>
          <w:sz w:val="22"/>
          <w:szCs w:val="22"/>
        </w:rPr>
        <w:t>sobre la renuncia requerida</w:t>
      </w:r>
      <w:r w:rsidRPr="00410F65">
        <w:rPr>
          <w:rFonts w:ascii="Palatino Linotype" w:eastAsia="Palatino Linotype" w:hAnsi="Palatino Linotype" w:cs="Palatino Linotype"/>
          <w:sz w:val="22"/>
          <w:szCs w:val="22"/>
        </w:rPr>
        <w:t>, el diccionario de la real academia española lo define como:</w:t>
      </w:r>
    </w:p>
    <w:p w14:paraId="1283370A" w14:textId="77777777" w:rsidR="007B29E7" w:rsidRPr="00410F65" w:rsidRDefault="007B29E7" w:rsidP="00101CE8">
      <w:pPr>
        <w:spacing w:line="360" w:lineRule="auto"/>
        <w:jc w:val="both"/>
        <w:rPr>
          <w:rFonts w:ascii="Palatino Linotype" w:eastAsia="Palatino Linotype" w:hAnsi="Palatino Linotype" w:cs="Palatino Linotype"/>
          <w:sz w:val="22"/>
          <w:szCs w:val="22"/>
        </w:rPr>
      </w:pPr>
    </w:p>
    <w:p w14:paraId="4EE339F2" w14:textId="77777777" w:rsidR="007B29E7" w:rsidRPr="00410F65" w:rsidRDefault="007B29E7" w:rsidP="00F504F7">
      <w:pPr>
        <w:spacing w:line="276" w:lineRule="auto"/>
        <w:ind w:left="851" w:right="616"/>
        <w:jc w:val="both"/>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i/>
          <w:sz w:val="22"/>
          <w:szCs w:val="22"/>
        </w:rPr>
        <w:t>“</w:t>
      </w:r>
      <w:r w:rsidRPr="00410F65">
        <w:rPr>
          <w:rFonts w:ascii="Palatino Linotype" w:eastAsia="Palatino Linotype" w:hAnsi="Palatino Linotype" w:cs="Palatino Linotype"/>
          <w:b/>
          <w:i/>
          <w:sz w:val="22"/>
          <w:szCs w:val="22"/>
        </w:rPr>
        <w:t>Renuncia:</w:t>
      </w:r>
    </w:p>
    <w:p w14:paraId="7E32E568" w14:textId="77777777" w:rsidR="007B29E7" w:rsidRPr="00410F65" w:rsidRDefault="007B29E7"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Terminación del contrato de trabajo por decisión unilateral del trabajador” (Sic)</w:t>
      </w:r>
    </w:p>
    <w:p w14:paraId="57E7A08E" w14:textId="77777777" w:rsidR="00F504F7" w:rsidRPr="00410F65" w:rsidRDefault="00F504F7" w:rsidP="00101CE8">
      <w:pPr>
        <w:ind w:left="567" w:right="616"/>
        <w:jc w:val="both"/>
        <w:rPr>
          <w:rFonts w:ascii="Palatino Linotype" w:eastAsia="Palatino Linotype" w:hAnsi="Palatino Linotype" w:cs="Palatino Linotype"/>
          <w:i/>
          <w:sz w:val="22"/>
          <w:szCs w:val="22"/>
        </w:rPr>
      </w:pPr>
    </w:p>
    <w:p w14:paraId="0197C796" w14:textId="77777777" w:rsidR="007B29E7" w:rsidRPr="00410F65" w:rsidRDefault="007B29E7"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Esto es, que la conclusión de una relación laboral se puede dar por renuncia del trabajador por una decisión unilateral de este.</w:t>
      </w:r>
    </w:p>
    <w:p w14:paraId="35140A7B" w14:textId="77777777" w:rsidR="00F504F7" w:rsidRPr="00410F65" w:rsidRDefault="00F504F7" w:rsidP="00101CE8">
      <w:pPr>
        <w:spacing w:line="360" w:lineRule="auto"/>
        <w:jc w:val="both"/>
        <w:rPr>
          <w:rFonts w:ascii="Palatino Linotype" w:eastAsia="Palatino Linotype" w:hAnsi="Palatino Linotype" w:cs="Palatino Linotype"/>
          <w:sz w:val="22"/>
          <w:szCs w:val="22"/>
        </w:rPr>
      </w:pPr>
    </w:p>
    <w:p w14:paraId="36D08243" w14:textId="77777777" w:rsidR="007B29E7" w:rsidRPr="00410F65" w:rsidRDefault="007B29E7"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Lo que conveniente traer a colación lo señalado por el artículo 89 de la Ley del Trabajo de los Servidores Públicos del Estado y Municipios, en donde se establece que la terminación de la relación laboral, se puede dar por diversas razones las cuales son: </w:t>
      </w:r>
      <w:r w:rsidRPr="00410F65">
        <w:rPr>
          <w:rFonts w:ascii="Palatino Linotype" w:eastAsia="Palatino Linotype" w:hAnsi="Palatino Linotype" w:cs="Palatino Linotype"/>
          <w:b/>
          <w:sz w:val="22"/>
          <w:szCs w:val="22"/>
        </w:rPr>
        <w:t>I. La renuncia del servidor público</w:t>
      </w:r>
      <w:r w:rsidRPr="00410F65">
        <w:rPr>
          <w:rFonts w:ascii="Palatino Linotype" w:eastAsia="Palatino Linotype" w:hAnsi="Palatino Linotype" w:cs="Palatino Linotype"/>
          <w:sz w:val="22"/>
          <w:szCs w:val="22"/>
        </w:rPr>
        <w:t>; II. El mutuo consentimiento de las partes; III. El vencimiento del término o conclusión de la obra determinantes de la contratación; IV. La muerte del servidor público; y V. La incapacidad permanente del servidor público que le impida el desempeño de sus labores.</w:t>
      </w:r>
    </w:p>
    <w:p w14:paraId="0837C943" w14:textId="77777777" w:rsidR="00F504F7" w:rsidRPr="00410F65" w:rsidRDefault="00F504F7" w:rsidP="00101CE8">
      <w:pPr>
        <w:spacing w:line="360" w:lineRule="auto"/>
        <w:jc w:val="both"/>
        <w:rPr>
          <w:rFonts w:ascii="Palatino Linotype" w:eastAsia="Palatino Linotype" w:hAnsi="Palatino Linotype" w:cs="Palatino Linotype"/>
          <w:sz w:val="22"/>
          <w:szCs w:val="22"/>
        </w:rPr>
      </w:pPr>
    </w:p>
    <w:p w14:paraId="782203BA" w14:textId="374BCC84" w:rsidR="007B29E7" w:rsidRPr="00410F65" w:rsidRDefault="007B29E7"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Asimismo, la Guía técnica 07. La administración del personal municipal del Instituto Nacional de Administración Pública (consultable en: </w:t>
      </w:r>
      <w:hyperlink r:id="rId11">
        <w:r w:rsidRPr="00410F65">
          <w:rPr>
            <w:rFonts w:ascii="Palatino Linotype" w:eastAsia="Palatino Linotype" w:hAnsi="Palatino Linotype" w:cs="Palatino Linotype"/>
            <w:sz w:val="22"/>
            <w:szCs w:val="22"/>
          </w:rPr>
          <w:t>https://biblio.juridicas.unam.mx/bjv/resultados?ti=guia+tecnica</w:t>
        </w:r>
      </w:hyperlink>
      <w:r w:rsidRPr="00410F65">
        <w:rPr>
          <w:rFonts w:ascii="Palatino Linotype" w:eastAsia="Palatino Linotype" w:hAnsi="Palatino Linotype" w:cs="Palatino Linotype"/>
          <w:sz w:val="22"/>
          <w:szCs w:val="22"/>
        </w:rPr>
        <w:t xml:space="preserve">) se estable </w:t>
      </w:r>
      <w:r w:rsidR="00F504F7" w:rsidRPr="00410F65">
        <w:rPr>
          <w:rFonts w:ascii="Palatino Linotype" w:eastAsia="Palatino Linotype" w:hAnsi="Palatino Linotype" w:cs="Palatino Linotype"/>
          <w:sz w:val="22"/>
          <w:szCs w:val="22"/>
        </w:rPr>
        <w:t>que,</w:t>
      </w:r>
      <w:r w:rsidRPr="00410F65">
        <w:rPr>
          <w:rFonts w:ascii="Palatino Linotype" w:eastAsia="Palatino Linotype" w:hAnsi="Palatino Linotype" w:cs="Palatino Linotype"/>
          <w:sz w:val="22"/>
          <w:szCs w:val="22"/>
        </w:rPr>
        <w:t xml:space="preserve"> dentro de las actividades básicas de la administración de personal, tal como lo es la terminación de la relación laboral. Esta actividad es definida de la siguiente manera: </w:t>
      </w:r>
    </w:p>
    <w:p w14:paraId="4BF5F580" w14:textId="77777777" w:rsidR="007B29E7" w:rsidRPr="00410F65" w:rsidRDefault="007B29E7" w:rsidP="00101CE8">
      <w:pPr>
        <w:spacing w:line="360" w:lineRule="auto"/>
        <w:rPr>
          <w:rFonts w:ascii="Palatino Linotype" w:hAnsi="Palatino Linotype"/>
          <w:sz w:val="22"/>
          <w:szCs w:val="22"/>
        </w:rPr>
      </w:pPr>
    </w:p>
    <w:p w14:paraId="35D7FDF3" w14:textId="77777777" w:rsidR="007B29E7" w:rsidRPr="00410F65" w:rsidRDefault="007B29E7" w:rsidP="00101CE8">
      <w:pPr>
        <w:spacing w:line="276" w:lineRule="auto"/>
        <w:ind w:left="851" w:right="618"/>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“Terminación de la relación laboral</w:t>
      </w:r>
      <w:r w:rsidRPr="00410F65">
        <w:rPr>
          <w:rFonts w:ascii="Palatino Linotype" w:eastAsia="Palatino Linotype" w:hAnsi="Palatino Linotype" w:cs="Palatino Linotype"/>
          <w:i/>
          <w:sz w:val="22"/>
          <w:szCs w:val="22"/>
        </w:rPr>
        <w:t xml:space="preserve">: </w:t>
      </w:r>
      <w:r w:rsidRPr="00410F65">
        <w:rPr>
          <w:rFonts w:ascii="Palatino Linotype" w:eastAsia="Palatino Linotype" w:hAnsi="Palatino Linotype" w:cs="Palatino Linotype"/>
          <w:b/>
          <w:i/>
          <w:sz w:val="22"/>
          <w:szCs w:val="22"/>
        </w:rPr>
        <w:t>Un empleado puede dejar de prestar sus servicios al municipio por diferentes casusas, como son</w:t>
      </w:r>
      <w:r w:rsidRPr="00410F65">
        <w:rPr>
          <w:rFonts w:ascii="Palatino Linotype" w:eastAsia="Palatino Linotype" w:hAnsi="Palatino Linotype" w:cs="Palatino Linotype"/>
          <w:i/>
          <w:sz w:val="22"/>
          <w:szCs w:val="22"/>
        </w:rPr>
        <w:t xml:space="preserve">: jubilación, </w:t>
      </w:r>
      <w:r w:rsidRPr="00410F65">
        <w:rPr>
          <w:rFonts w:ascii="Palatino Linotype" w:eastAsia="Palatino Linotype" w:hAnsi="Palatino Linotype" w:cs="Palatino Linotype"/>
          <w:b/>
          <w:i/>
          <w:sz w:val="22"/>
          <w:szCs w:val="22"/>
        </w:rPr>
        <w:t>renuncia</w:t>
      </w:r>
      <w:r w:rsidRPr="00410F65">
        <w:rPr>
          <w:rFonts w:ascii="Palatino Linotype" w:eastAsia="Palatino Linotype" w:hAnsi="Palatino Linotype" w:cs="Palatino Linotype"/>
          <w:i/>
          <w:sz w:val="22"/>
          <w:szCs w:val="22"/>
        </w:rPr>
        <w:t>, terminación, suspensión o rescisión del contrato.” (Sic)</w:t>
      </w:r>
    </w:p>
    <w:p w14:paraId="3A3633EF" w14:textId="77777777" w:rsidR="007B29E7" w:rsidRPr="00410F65" w:rsidRDefault="007B29E7" w:rsidP="00101CE8">
      <w:pPr>
        <w:spacing w:line="360" w:lineRule="auto"/>
        <w:ind w:right="-93"/>
        <w:jc w:val="both"/>
        <w:rPr>
          <w:rFonts w:ascii="Palatino Linotype" w:eastAsia="Palatino Linotype" w:hAnsi="Palatino Linotype" w:cs="Palatino Linotype"/>
          <w:sz w:val="22"/>
          <w:szCs w:val="22"/>
        </w:rPr>
      </w:pPr>
    </w:p>
    <w:p w14:paraId="4C733DCD" w14:textId="77777777" w:rsidR="007B29E7" w:rsidRPr="00410F65" w:rsidRDefault="007B29E7"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En donde se establece que la terminación de la relación laboral de los Servidores Públicos con el </w:t>
      </w:r>
      <w:r w:rsidR="002611B9"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xml:space="preserve">, se puede dar por consentimiento unilateral del Servidor Público mediante la renuncia presentada por este último. </w:t>
      </w:r>
    </w:p>
    <w:p w14:paraId="7C16C37A" w14:textId="77777777" w:rsidR="007B29E7" w:rsidRPr="00410F65" w:rsidRDefault="007B29E7" w:rsidP="00101CE8">
      <w:pPr>
        <w:spacing w:line="360" w:lineRule="auto"/>
        <w:jc w:val="both"/>
        <w:rPr>
          <w:rFonts w:ascii="Palatino Linotype" w:eastAsia="Palatino Linotype" w:hAnsi="Palatino Linotype" w:cs="Palatino Linotype"/>
          <w:sz w:val="22"/>
          <w:szCs w:val="22"/>
        </w:rPr>
      </w:pPr>
    </w:p>
    <w:p w14:paraId="10560FA4" w14:textId="77777777" w:rsidR="007B29E7" w:rsidRPr="00410F65" w:rsidRDefault="007B29E7"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Sobre esta circunstancia, tiene relevancias traer al estudio, lo previsto en el artículo 24, fracción XXII, de la Ley de Transparencia y Acceso a la Información Pública del Estado de México y Municipios, el cual establece que los sujetos obligados deberán documentar todo acto que derive del ejercicio de sus facultades, competencias o funciones. </w:t>
      </w:r>
    </w:p>
    <w:p w14:paraId="50A2C4D8" w14:textId="77777777" w:rsidR="007B29E7" w:rsidRPr="00410F65" w:rsidRDefault="007B29E7" w:rsidP="00101CE8">
      <w:pPr>
        <w:spacing w:line="360" w:lineRule="auto"/>
        <w:jc w:val="both"/>
        <w:rPr>
          <w:rFonts w:ascii="Palatino Linotype" w:eastAsia="Palatino Linotype" w:hAnsi="Palatino Linotype" w:cs="Palatino Linotype"/>
          <w:sz w:val="22"/>
          <w:szCs w:val="22"/>
        </w:rPr>
      </w:pPr>
    </w:p>
    <w:p w14:paraId="0F666A23" w14:textId="77777777" w:rsidR="007B29E7" w:rsidRPr="00410F65" w:rsidRDefault="007B29E7" w:rsidP="00101CE8">
      <w:pPr>
        <w:spacing w:line="360" w:lineRule="auto"/>
        <w:ind w:right="-93"/>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Adiciona</w:t>
      </w:r>
      <w:r w:rsidR="002611B9" w:rsidRPr="00410F65">
        <w:rPr>
          <w:rFonts w:ascii="Palatino Linotype" w:eastAsia="Palatino Linotype" w:hAnsi="Palatino Linotype" w:cs="Palatino Linotype"/>
          <w:sz w:val="22"/>
          <w:szCs w:val="22"/>
        </w:rPr>
        <w:t xml:space="preserve">lmente que sirve como analogía el criterio 004/2006 y </w:t>
      </w:r>
      <w:r w:rsidRPr="00410F65">
        <w:rPr>
          <w:rFonts w:ascii="Palatino Linotype" w:eastAsia="Palatino Linotype" w:hAnsi="Palatino Linotype" w:cs="Palatino Linotype"/>
          <w:sz w:val="22"/>
          <w:szCs w:val="22"/>
        </w:rPr>
        <w:t>15/2006 del Comité de Información emitido por el Poder Judicial sobre la publicidad de la información de los expedientes laborales de los servidores públicos que señala lo siguiente:</w:t>
      </w:r>
    </w:p>
    <w:p w14:paraId="6702881F" w14:textId="77777777" w:rsidR="007B29E7" w:rsidRPr="00410F65" w:rsidRDefault="007B29E7" w:rsidP="00101CE8">
      <w:pPr>
        <w:spacing w:line="360" w:lineRule="auto"/>
        <w:ind w:right="-162"/>
        <w:jc w:val="both"/>
        <w:rPr>
          <w:rFonts w:ascii="Palatino Linotype" w:eastAsia="Palatino Linotype" w:hAnsi="Palatino Linotype" w:cs="Palatino Linotype"/>
          <w:sz w:val="22"/>
          <w:szCs w:val="22"/>
        </w:rPr>
      </w:pPr>
    </w:p>
    <w:p w14:paraId="672CEB12" w14:textId="77777777" w:rsidR="007B29E7" w:rsidRPr="00410F65" w:rsidRDefault="007B29E7" w:rsidP="00F504F7">
      <w:pPr>
        <w:spacing w:line="276" w:lineRule="auto"/>
        <w:ind w:left="851" w:right="616"/>
        <w:jc w:val="both"/>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b/>
          <w:i/>
          <w:sz w:val="22"/>
          <w:szCs w:val="22"/>
        </w:rPr>
        <w:t>Criterio 04/2006</w:t>
      </w:r>
    </w:p>
    <w:p w14:paraId="4142FB43" w14:textId="77777777" w:rsidR="007B29E7" w:rsidRPr="00410F65" w:rsidRDefault="007B29E7" w:rsidP="00F504F7">
      <w:pPr>
        <w:spacing w:line="276" w:lineRule="auto"/>
        <w:ind w:left="851" w:right="616"/>
        <w:jc w:val="both"/>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i/>
          <w:sz w:val="22"/>
          <w:szCs w:val="22"/>
        </w:rPr>
        <w:t>NOMBRAMIENTOS Y</w:t>
      </w:r>
      <w:r w:rsidRPr="00410F65">
        <w:rPr>
          <w:rFonts w:ascii="Palatino Linotype" w:eastAsia="Palatino Linotype" w:hAnsi="Palatino Linotype" w:cs="Palatino Linotype"/>
          <w:b/>
          <w:i/>
          <w:sz w:val="22"/>
          <w:szCs w:val="22"/>
        </w:rPr>
        <w:t xml:space="preserve"> AVISOS DE BAJA DE LOS SERVIDORES PÚBLICOS DE LA SUPREMA CORTE DE JUSTICIA DE LA NACIÓN. EL DOCUMENTO EN EL QUE CONSTEN ES PÚBLICO, CON EXCEPCIÓN DE LOS DATOS PERSONALES QUE CONTENGAN, LOS QUE CONSTITUYEN INFORMACIÓN CONFIDENCIAL QUE DEBE SUPRIMIRSE DE LA VERSIÓN PÚBLICA QUE SE GENERE. </w:t>
      </w:r>
    </w:p>
    <w:p w14:paraId="41AE1E7E" w14:textId="77777777" w:rsidR="007B29E7" w:rsidRPr="00410F65" w:rsidRDefault="007B29E7" w:rsidP="00F504F7">
      <w:pPr>
        <w:spacing w:line="276" w:lineRule="auto"/>
        <w:ind w:left="851" w:right="616"/>
        <w:jc w:val="both"/>
        <w:rPr>
          <w:rFonts w:ascii="Palatino Linotype" w:eastAsia="Palatino Linotype" w:hAnsi="Palatino Linotype" w:cs="Palatino Linotype"/>
          <w:b/>
          <w:i/>
          <w:sz w:val="22"/>
          <w:szCs w:val="22"/>
          <w:u w:val="single"/>
        </w:rPr>
      </w:pPr>
      <w:r w:rsidRPr="00410F65">
        <w:rPr>
          <w:rFonts w:ascii="Palatino Linotype" w:eastAsia="Palatino Linotype" w:hAnsi="Palatino Linotype" w:cs="Palatino Linotype"/>
          <w:b/>
          <w:i/>
          <w:sz w:val="22"/>
          <w:szCs w:val="22"/>
          <w:u w:val="single"/>
        </w:rPr>
        <w:t xml:space="preserve">Los documentos </w:t>
      </w:r>
      <w:r w:rsidRPr="00410F65">
        <w:rPr>
          <w:rFonts w:ascii="Palatino Linotype" w:eastAsia="Palatino Linotype" w:hAnsi="Palatino Linotype" w:cs="Palatino Linotype"/>
          <w:b/>
          <w:i/>
          <w:sz w:val="22"/>
          <w:szCs w:val="22"/>
        </w:rPr>
        <w:t>relativos a los nombramientos y</w:t>
      </w:r>
      <w:r w:rsidRPr="00410F65">
        <w:rPr>
          <w:rFonts w:ascii="Palatino Linotype" w:eastAsia="Palatino Linotype" w:hAnsi="Palatino Linotype" w:cs="Palatino Linotype"/>
          <w:b/>
          <w:i/>
          <w:sz w:val="22"/>
          <w:szCs w:val="22"/>
          <w:u w:val="single"/>
        </w:rPr>
        <w:t xml:space="preserve"> avisos de baja de los servidores públicos de la Suprema Corte de Justicia de la Nación constituyen información pública, toda vez que se trata de actos administrativos relativos al manejo de su personal y, por ende, justifican parte del ejercicio del presupuesto público asignado.</w:t>
      </w:r>
      <w:r w:rsidRPr="00410F65">
        <w:rPr>
          <w:rFonts w:ascii="Palatino Linotype" w:eastAsia="Palatino Linotype" w:hAnsi="Palatino Linotype" w:cs="Palatino Linotype"/>
          <w:i/>
          <w:sz w:val="22"/>
          <w:szCs w:val="22"/>
        </w:rPr>
        <w:t xml:space="preserve"> En este sentido, si bien se trata de información de</w:t>
      </w:r>
      <w:r w:rsidRPr="00410F65">
        <w:rPr>
          <w:rFonts w:ascii="Palatino Linotype" w:eastAsia="Palatino Linotype" w:hAnsi="Palatino Linotype" w:cs="Palatino Linotype"/>
          <w:b/>
          <w:i/>
          <w:sz w:val="22"/>
          <w:szCs w:val="22"/>
        </w:rPr>
        <w:t xml:space="preserve"> </w:t>
      </w:r>
      <w:r w:rsidRPr="00410F65">
        <w:rPr>
          <w:rFonts w:ascii="Palatino Linotype" w:eastAsia="Palatino Linotype" w:hAnsi="Palatino Linotype" w:cs="Palatino Linotype"/>
          <w:i/>
          <w:sz w:val="22"/>
          <w:szCs w:val="22"/>
        </w:rPr>
        <w:t>naturaleza pública, lo cierto es que en acatamiento a lo dispuesto</w:t>
      </w:r>
      <w:r w:rsidRPr="00410F65">
        <w:rPr>
          <w:rFonts w:ascii="Palatino Linotype" w:eastAsia="Palatino Linotype" w:hAnsi="Palatino Linotype" w:cs="Palatino Linotype"/>
          <w:b/>
          <w:i/>
          <w:sz w:val="22"/>
          <w:szCs w:val="22"/>
        </w:rPr>
        <w:t xml:space="preserve"> </w:t>
      </w:r>
      <w:r w:rsidRPr="00410F65">
        <w:rPr>
          <w:rFonts w:ascii="Palatino Linotype" w:eastAsia="Palatino Linotype" w:hAnsi="Palatino Linotype" w:cs="Palatino Linotype"/>
          <w:i/>
          <w:sz w:val="22"/>
          <w:szCs w:val="22"/>
        </w:rPr>
        <w:t>en la Ley Federal de Transparencia y Acceso a la Información</w:t>
      </w:r>
      <w:r w:rsidRPr="00410F65">
        <w:rPr>
          <w:rFonts w:ascii="Palatino Linotype" w:eastAsia="Palatino Linotype" w:hAnsi="Palatino Linotype" w:cs="Palatino Linotype"/>
          <w:b/>
          <w:i/>
          <w:sz w:val="22"/>
          <w:szCs w:val="22"/>
        </w:rPr>
        <w:t xml:space="preserve"> </w:t>
      </w:r>
      <w:r w:rsidRPr="00410F65">
        <w:rPr>
          <w:rFonts w:ascii="Palatino Linotype" w:eastAsia="Palatino Linotype" w:hAnsi="Palatino Linotype" w:cs="Palatino Linotype"/>
          <w:i/>
          <w:sz w:val="22"/>
          <w:szCs w:val="22"/>
        </w:rPr>
        <w:t xml:space="preserve">Pública Gubernamental </w:t>
      </w:r>
      <w:r w:rsidRPr="00410F65">
        <w:rPr>
          <w:rFonts w:ascii="Palatino Linotype" w:eastAsia="Palatino Linotype" w:hAnsi="Palatino Linotype" w:cs="Palatino Linotype"/>
          <w:i/>
          <w:sz w:val="22"/>
          <w:szCs w:val="22"/>
          <w:u w:val="single"/>
        </w:rPr>
        <w:t>para dar acceso a los referidos</w:t>
      </w:r>
      <w:r w:rsidRPr="00410F65">
        <w:rPr>
          <w:rFonts w:ascii="Palatino Linotype" w:eastAsia="Palatino Linotype" w:hAnsi="Palatino Linotype" w:cs="Palatino Linotype"/>
          <w:b/>
          <w:i/>
          <w:sz w:val="22"/>
          <w:szCs w:val="22"/>
          <w:u w:val="single"/>
        </w:rPr>
        <w:t xml:space="preserve"> </w:t>
      </w:r>
      <w:r w:rsidRPr="00410F65">
        <w:rPr>
          <w:rFonts w:ascii="Palatino Linotype" w:eastAsia="Palatino Linotype" w:hAnsi="Palatino Linotype" w:cs="Palatino Linotype"/>
          <w:i/>
          <w:sz w:val="22"/>
          <w:szCs w:val="22"/>
          <w:u w:val="single"/>
        </w:rPr>
        <w:t>documentos es necesario generar una versión pública de la</w:t>
      </w:r>
      <w:r w:rsidRPr="00410F65">
        <w:rPr>
          <w:rFonts w:ascii="Palatino Linotype" w:eastAsia="Palatino Linotype" w:hAnsi="Palatino Linotype" w:cs="Palatino Linotype"/>
          <w:b/>
          <w:i/>
          <w:sz w:val="22"/>
          <w:szCs w:val="22"/>
          <w:u w:val="single"/>
        </w:rPr>
        <w:t xml:space="preserve"> </w:t>
      </w:r>
      <w:r w:rsidRPr="00410F65">
        <w:rPr>
          <w:rFonts w:ascii="Palatino Linotype" w:eastAsia="Palatino Linotype" w:hAnsi="Palatino Linotype" w:cs="Palatino Linotype"/>
          <w:i/>
          <w:sz w:val="22"/>
          <w:szCs w:val="22"/>
          <w:u w:val="single"/>
        </w:rPr>
        <w:t>que se supriman los datos confidenciales que contengan, como</w:t>
      </w:r>
      <w:r w:rsidRPr="00410F65">
        <w:rPr>
          <w:rFonts w:ascii="Palatino Linotype" w:eastAsia="Palatino Linotype" w:hAnsi="Palatino Linotype" w:cs="Palatino Linotype"/>
          <w:b/>
          <w:i/>
          <w:sz w:val="22"/>
          <w:szCs w:val="22"/>
          <w:u w:val="single"/>
        </w:rPr>
        <w:t xml:space="preserve"> </w:t>
      </w:r>
      <w:r w:rsidRPr="00410F65">
        <w:rPr>
          <w:rFonts w:ascii="Palatino Linotype" w:eastAsia="Palatino Linotype" w:hAnsi="Palatino Linotype" w:cs="Palatino Linotype"/>
          <w:i/>
          <w:sz w:val="22"/>
          <w:szCs w:val="22"/>
          <w:u w:val="single"/>
        </w:rPr>
        <w:t>pueden ser el domicilio, el estado civil o el teléfono particular</w:t>
      </w:r>
      <w:r w:rsidRPr="00410F65">
        <w:rPr>
          <w:rFonts w:ascii="Palatino Linotype" w:eastAsia="Palatino Linotype" w:hAnsi="Palatino Linotype" w:cs="Palatino Linotype"/>
          <w:b/>
          <w:i/>
          <w:sz w:val="22"/>
          <w:szCs w:val="22"/>
          <w:u w:val="single"/>
        </w:rPr>
        <w:t xml:space="preserve"> </w:t>
      </w:r>
      <w:r w:rsidRPr="00410F65">
        <w:rPr>
          <w:rFonts w:ascii="Palatino Linotype" w:eastAsia="Palatino Linotype" w:hAnsi="Palatino Linotype" w:cs="Palatino Linotype"/>
          <w:i/>
          <w:sz w:val="22"/>
          <w:szCs w:val="22"/>
          <w:u w:val="single"/>
        </w:rPr>
        <w:t>del servidor público respectivo.</w:t>
      </w:r>
    </w:p>
    <w:p w14:paraId="4FD4A9DB" w14:textId="77777777" w:rsidR="007B29E7" w:rsidRPr="00410F65" w:rsidRDefault="007B29E7" w:rsidP="00F504F7">
      <w:pPr>
        <w:spacing w:line="276" w:lineRule="auto"/>
        <w:ind w:left="851" w:right="616"/>
        <w:jc w:val="both"/>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b/>
          <w:i/>
          <w:sz w:val="22"/>
          <w:szCs w:val="22"/>
        </w:rPr>
        <w:t xml:space="preserve">Clasificación de Información 10/2006-A, </w:t>
      </w:r>
      <w:r w:rsidRPr="00410F65">
        <w:rPr>
          <w:rFonts w:ascii="Palatino Linotype" w:eastAsia="Palatino Linotype" w:hAnsi="Palatino Linotype" w:cs="Palatino Linotype"/>
          <w:i/>
          <w:sz w:val="22"/>
          <w:szCs w:val="22"/>
        </w:rPr>
        <w:t>derivada de la solicitud</w:t>
      </w:r>
      <w:r w:rsidRPr="00410F65">
        <w:rPr>
          <w:rFonts w:ascii="Palatino Linotype" w:eastAsia="Palatino Linotype" w:hAnsi="Palatino Linotype" w:cs="Palatino Linotype"/>
          <w:b/>
          <w:i/>
          <w:sz w:val="22"/>
          <w:szCs w:val="22"/>
        </w:rPr>
        <w:t xml:space="preserve"> </w:t>
      </w:r>
      <w:r w:rsidRPr="00410F65">
        <w:rPr>
          <w:rFonts w:ascii="Palatino Linotype" w:eastAsia="Palatino Linotype" w:hAnsi="Palatino Linotype" w:cs="Palatino Linotype"/>
          <w:i/>
          <w:sz w:val="22"/>
          <w:szCs w:val="22"/>
        </w:rPr>
        <w:t>de acceso a la información presentada por Aldo González</w:t>
      </w:r>
      <w:r w:rsidRPr="00410F65">
        <w:rPr>
          <w:rFonts w:ascii="Palatino Linotype" w:eastAsia="Palatino Linotype" w:hAnsi="Palatino Linotype" w:cs="Palatino Linotype"/>
          <w:b/>
          <w:i/>
          <w:sz w:val="22"/>
          <w:szCs w:val="22"/>
        </w:rPr>
        <w:t xml:space="preserve"> </w:t>
      </w:r>
      <w:r w:rsidRPr="00410F65">
        <w:rPr>
          <w:rFonts w:ascii="Palatino Linotype" w:eastAsia="Palatino Linotype" w:hAnsi="Palatino Linotype" w:cs="Palatino Linotype"/>
          <w:i/>
          <w:sz w:val="22"/>
          <w:szCs w:val="22"/>
        </w:rPr>
        <w:t>Gutiérrez.- 11 de abril de 2006.- Unanimidad de votos.</w:t>
      </w:r>
    </w:p>
    <w:p w14:paraId="2C85077C" w14:textId="77777777" w:rsidR="007B29E7" w:rsidRPr="00410F65" w:rsidRDefault="007B29E7" w:rsidP="00101CE8">
      <w:pPr>
        <w:spacing w:line="360" w:lineRule="auto"/>
        <w:jc w:val="both"/>
        <w:rPr>
          <w:rFonts w:ascii="Palatino Linotype" w:eastAsia="Palatino Linotype" w:hAnsi="Palatino Linotype" w:cs="Palatino Linotype"/>
          <w:sz w:val="22"/>
          <w:szCs w:val="22"/>
        </w:rPr>
      </w:pPr>
    </w:p>
    <w:p w14:paraId="067CDA1F" w14:textId="77777777" w:rsidR="00851411" w:rsidRPr="00410F65" w:rsidRDefault="007B29E7" w:rsidP="00101CE8">
      <w:pPr>
        <w:spacing w:line="360" w:lineRule="auto"/>
        <w:ind w:right="-93"/>
        <w:jc w:val="both"/>
        <w:rPr>
          <w:rFonts w:ascii="Palatino Linotype" w:eastAsia="Palatino Linotype" w:hAnsi="Palatino Linotype" w:cs="Palatino Linotype"/>
          <w:b/>
          <w:sz w:val="22"/>
          <w:szCs w:val="22"/>
        </w:rPr>
      </w:pPr>
      <w:r w:rsidRPr="00410F65">
        <w:rPr>
          <w:rFonts w:ascii="Palatino Linotype" w:eastAsia="Palatino Linotype" w:hAnsi="Palatino Linotype" w:cs="Palatino Linotype"/>
          <w:sz w:val="22"/>
          <w:szCs w:val="22"/>
        </w:rPr>
        <w:t>Por lo que este Instituto, no quiere dejar de indicar que el documento soporte solicitado, se trata de información pública, ya que nada impide que los interesados obtengan acceso a la información que por definición legal es pública, como aquellos documentos que deban generarse en virtud de las disposiciones que regulan el presupuesto asignado, su ejecución y las contrataciones, siempre que la misma se encuentre en posesión de los sujetos obligados. Toda vez que la Ley de Transparencia y Acceso a la Información Pública del Estado de México y Municipios, establece expresamente entre sus objetivos proveer lo necesario para que toda persona pueda tener acceso a la información mediante procedimientos sencillos y expeditos, transparentar la gestión pública mediante la difusión de la información y favorecer la r</w:t>
      </w:r>
      <w:r w:rsidR="00A80710" w:rsidRPr="00410F65">
        <w:rPr>
          <w:rFonts w:ascii="Palatino Linotype" w:eastAsia="Palatino Linotype" w:hAnsi="Palatino Linotype" w:cs="Palatino Linotype"/>
          <w:sz w:val="22"/>
          <w:szCs w:val="22"/>
        </w:rPr>
        <w:t>endición de cuentas; por lo que, r</w:t>
      </w:r>
      <w:r w:rsidR="00851411" w:rsidRPr="00410F65">
        <w:rPr>
          <w:rFonts w:ascii="Palatino Linotype" w:eastAsia="Palatino Linotype" w:hAnsi="Palatino Linotype" w:cs="Palatino Linotype"/>
          <w:sz w:val="22"/>
          <w:szCs w:val="22"/>
        </w:rPr>
        <w:t xml:space="preserve">egresando con la respuesta si bien, fue proporcionada por la Dirección General de Administración, como el área competente de generar, administrar y/o poseer la información que es del interés de la persona solicitante, debe puntualizarse que de la misma se advierte que el servidor público habilitado se limitó a realizar </w:t>
      </w:r>
      <w:r w:rsidR="00C46B1A" w:rsidRPr="00410F65">
        <w:rPr>
          <w:rFonts w:ascii="Palatino Linotype" w:eastAsia="Palatino Linotype" w:hAnsi="Palatino Linotype" w:cs="Palatino Linotype"/>
          <w:sz w:val="22"/>
          <w:szCs w:val="22"/>
        </w:rPr>
        <w:t xml:space="preserve">el análisis de la información solicitada, sin que se realizara </w:t>
      </w:r>
      <w:r w:rsidR="00851411" w:rsidRPr="00410F65">
        <w:rPr>
          <w:rFonts w:ascii="Palatino Linotype" w:eastAsia="Palatino Linotype" w:hAnsi="Palatino Linotype" w:cs="Palatino Linotype"/>
          <w:sz w:val="22"/>
          <w:szCs w:val="22"/>
        </w:rPr>
        <w:t xml:space="preserve">la búsqueda </w:t>
      </w:r>
      <w:r w:rsidR="00C46B1A" w:rsidRPr="00410F65">
        <w:rPr>
          <w:rFonts w:ascii="Palatino Linotype" w:eastAsia="Palatino Linotype" w:hAnsi="Palatino Linotype" w:cs="Palatino Linotype"/>
          <w:sz w:val="22"/>
          <w:szCs w:val="22"/>
        </w:rPr>
        <w:t xml:space="preserve">de la misma en sus </w:t>
      </w:r>
      <w:r w:rsidR="00851411" w:rsidRPr="00410F65">
        <w:rPr>
          <w:rFonts w:ascii="Palatino Linotype" w:eastAsia="Palatino Linotype" w:hAnsi="Palatino Linotype" w:cs="Palatino Linotype"/>
          <w:sz w:val="22"/>
          <w:szCs w:val="22"/>
        </w:rPr>
        <w:t xml:space="preserve">archivos, ya que no </w:t>
      </w:r>
      <w:r w:rsidR="00851411" w:rsidRPr="00410F65">
        <w:rPr>
          <w:rFonts w:ascii="Palatino Linotype" w:eastAsia="Palatino Linotype" w:hAnsi="Palatino Linotype" w:cs="Palatino Linotype"/>
          <w:b/>
          <w:sz w:val="22"/>
          <w:szCs w:val="22"/>
        </w:rPr>
        <w:t xml:space="preserve">proporciono elementos mediante los cuales acreditara que </w:t>
      </w:r>
      <w:r w:rsidR="00C46B1A" w:rsidRPr="00410F65">
        <w:rPr>
          <w:rFonts w:ascii="Palatino Linotype" w:eastAsia="Palatino Linotype" w:hAnsi="Palatino Linotype" w:cs="Palatino Linotype"/>
          <w:b/>
          <w:sz w:val="22"/>
          <w:szCs w:val="22"/>
        </w:rPr>
        <w:t>dicha labor se instauró</w:t>
      </w:r>
      <w:r w:rsidR="00851411" w:rsidRPr="00410F65">
        <w:rPr>
          <w:rFonts w:ascii="Palatino Linotype" w:eastAsia="Palatino Linotype" w:hAnsi="Palatino Linotype" w:cs="Palatino Linotype"/>
          <w:b/>
          <w:sz w:val="22"/>
          <w:szCs w:val="22"/>
        </w:rPr>
        <w:t>, es decir, no acreditó de manera fehaciente la búsqueda exhaustiva del soporte documental que diera cuenta de lo solicitado.</w:t>
      </w:r>
    </w:p>
    <w:p w14:paraId="7EC881F8" w14:textId="77777777" w:rsidR="00851411" w:rsidRPr="00410F65" w:rsidRDefault="00851411" w:rsidP="00101CE8">
      <w:pPr>
        <w:spacing w:line="360" w:lineRule="auto"/>
        <w:contextualSpacing/>
        <w:jc w:val="both"/>
        <w:rPr>
          <w:rFonts w:ascii="Palatino Linotype" w:eastAsia="Palatino Linotype" w:hAnsi="Palatino Linotype" w:cs="Palatino Linotype"/>
          <w:b/>
          <w:sz w:val="22"/>
          <w:szCs w:val="22"/>
        </w:rPr>
      </w:pPr>
    </w:p>
    <w:p w14:paraId="6D2EF576" w14:textId="77777777" w:rsidR="00851411" w:rsidRPr="00410F65" w:rsidRDefault="00851411" w:rsidP="00101CE8">
      <w:pPr>
        <w:spacing w:line="360" w:lineRule="auto"/>
        <w:contextualSpacing/>
        <w:jc w:val="both"/>
        <w:rPr>
          <w:rFonts w:ascii="Palatino Linotype" w:eastAsia="Palatino Linotype" w:hAnsi="Palatino Linotype" w:cs="Palatino Linotype"/>
          <w:b/>
          <w:sz w:val="22"/>
          <w:szCs w:val="22"/>
        </w:rPr>
      </w:pPr>
      <w:r w:rsidRPr="00410F65">
        <w:rPr>
          <w:rFonts w:ascii="Palatino Linotype" w:eastAsia="Palatino Linotype" w:hAnsi="Palatino Linotype" w:cs="Palatino Linotype"/>
          <w:sz w:val="22"/>
          <w:szCs w:val="22"/>
        </w:rPr>
        <w:t>De conformidad con lo anterior, debe mencionarse que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3D8B9F23" w14:textId="77777777" w:rsidR="00851411" w:rsidRPr="00410F65" w:rsidRDefault="00851411" w:rsidP="00101CE8">
      <w:pPr>
        <w:spacing w:line="360" w:lineRule="auto"/>
        <w:ind w:right="51"/>
        <w:contextualSpacing/>
        <w:jc w:val="both"/>
        <w:rPr>
          <w:rFonts w:ascii="Palatino Linotype" w:eastAsia="Palatino Linotype" w:hAnsi="Palatino Linotype" w:cs="Palatino Linotype"/>
          <w:sz w:val="22"/>
          <w:szCs w:val="22"/>
        </w:rPr>
      </w:pPr>
    </w:p>
    <w:p w14:paraId="3064D184" w14:textId="77777777" w:rsidR="00851411" w:rsidRPr="00410F65" w:rsidRDefault="00851411" w:rsidP="00101CE8">
      <w:pPr>
        <w:spacing w:line="360" w:lineRule="auto"/>
        <w:ind w:right="51"/>
        <w:contextualSpacing/>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En el mismo tenor, de conformidad con los criterios 12/10 y 04/19, emitidos por el</w:t>
      </w:r>
      <w:r w:rsidR="004370A6" w:rsidRPr="00410F65">
        <w:rPr>
          <w:rFonts w:ascii="Palatino Linotype" w:eastAsia="Palatino Linotype" w:hAnsi="Palatino Linotype" w:cs="Palatino Linotype"/>
          <w:sz w:val="22"/>
          <w:szCs w:val="22"/>
        </w:rPr>
        <w:t xml:space="preserve"> entonces </w:t>
      </w:r>
      <w:r w:rsidRPr="00410F65">
        <w:rPr>
          <w:rFonts w:ascii="Palatino Linotype" w:eastAsia="Palatino Linotype" w:hAnsi="Palatino Linotype" w:cs="Palatino Linotype"/>
          <w:sz w:val="22"/>
          <w:szCs w:val="22"/>
        </w:rPr>
        <w:t>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26C67997" w14:textId="77777777" w:rsidR="00851411" w:rsidRPr="00410F65" w:rsidRDefault="00851411" w:rsidP="00101CE8">
      <w:pPr>
        <w:spacing w:line="360" w:lineRule="auto"/>
        <w:ind w:right="51"/>
        <w:contextualSpacing/>
        <w:jc w:val="both"/>
        <w:rPr>
          <w:rFonts w:ascii="Palatino Linotype" w:eastAsia="Palatino Linotype" w:hAnsi="Palatino Linotype" w:cs="Palatino Linotype"/>
          <w:sz w:val="22"/>
          <w:szCs w:val="22"/>
        </w:rPr>
      </w:pPr>
    </w:p>
    <w:p w14:paraId="27335805" w14:textId="77777777" w:rsidR="00851411" w:rsidRPr="00410F65" w:rsidRDefault="00851411" w:rsidP="00101CE8">
      <w:pPr>
        <w:spacing w:line="360" w:lineRule="auto"/>
        <w:ind w:right="51"/>
        <w:contextualSpacing/>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w:t>
      </w:r>
      <w:r w:rsidRPr="00410F65">
        <w:rPr>
          <w:rFonts w:ascii="Palatino Linotype" w:eastAsia="Palatino Linotype" w:hAnsi="Palatino Linotype" w:cs="Palatino Linotype"/>
          <w:sz w:val="22"/>
          <w:szCs w:val="22"/>
        </w:rPr>
        <w:tab/>
        <w:t>Motivación por las que se buscó la información, en determinadas unidades administrativas;</w:t>
      </w:r>
    </w:p>
    <w:p w14:paraId="77C47A33" w14:textId="77777777" w:rsidR="00851411" w:rsidRPr="00410F65" w:rsidRDefault="00851411" w:rsidP="00101CE8">
      <w:pPr>
        <w:spacing w:line="360" w:lineRule="auto"/>
        <w:ind w:right="51"/>
        <w:contextualSpacing/>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w:t>
      </w:r>
      <w:r w:rsidRPr="00410F65">
        <w:rPr>
          <w:rFonts w:ascii="Palatino Linotype" w:eastAsia="Palatino Linotype" w:hAnsi="Palatino Linotype" w:cs="Palatino Linotype"/>
          <w:sz w:val="22"/>
          <w:szCs w:val="22"/>
        </w:rPr>
        <w:tab/>
        <w:t>Los criterios de búsqueda utilizados, y</w:t>
      </w:r>
    </w:p>
    <w:p w14:paraId="4790F42F" w14:textId="77777777" w:rsidR="00851411" w:rsidRPr="00410F65" w:rsidRDefault="00851411" w:rsidP="00101CE8">
      <w:pPr>
        <w:spacing w:line="360" w:lineRule="auto"/>
        <w:ind w:right="51"/>
        <w:contextualSpacing/>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w:t>
      </w:r>
      <w:r w:rsidRPr="00410F65">
        <w:rPr>
          <w:rFonts w:ascii="Palatino Linotype" w:eastAsia="Palatino Linotype" w:hAnsi="Palatino Linotype" w:cs="Palatino Linotype"/>
          <w:sz w:val="22"/>
          <w:szCs w:val="22"/>
        </w:rPr>
        <w:tab/>
        <w:t>Las circunstancias que fueron tomadas en cuenta.</w:t>
      </w:r>
    </w:p>
    <w:p w14:paraId="1EF47A14" w14:textId="77777777" w:rsidR="00851411" w:rsidRPr="00410F65" w:rsidRDefault="00851411" w:rsidP="00101CE8">
      <w:pPr>
        <w:spacing w:line="360" w:lineRule="auto"/>
        <w:ind w:right="51"/>
        <w:contextualSpacing/>
        <w:jc w:val="both"/>
        <w:rPr>
          <w:rFonts w:ascii="Palatino Linotype" w:eastAsia="Palatino Linotype" w:hAnsi="Palatino Linotype" w:cs="Palatino Linotype"/>
          <w:sz w:val="22"/>
          <w:szCs w:val="22"/>
        </w:rPr>
      </w:pPr>
    </w:p>
    <w:p w14:paraId="23FC244A" w14:textId="77777777" w:rsidR="00851411" w:rsidRPr="00410F65" w:rsidRDefault="00851411" w:rsidP="00101CE8">
      <w:pPr>
        <w:spacing w:line="360" w:lineRule="auto"/>
        <w:ind w:right="51"/>
        <w:contextualSpacing/>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De tales circunstancias, se considera que para que los Sujetos Obligado justifiquen que realizaron una búsqueda exhaustiva y razonable, deben indicar de manera clara, lo siguiente:</w:t>
      </w:r>
    </w:p>
    <w:p w14:paraId="1B08E840" w14:textId="77777777" w:rsidR="00851411" w:rsidRPr="00410F65" w:rsidRDefault="00851411" w:rsidP="00101CE8">
      <w:pPr>
        <w:spacing w:line="360" w:lineRule="auto"/>
        <w:ind w:right="51"/>
        <w:contextualSpacing/>
        <w:jc w:val="both"/>
        <w:rPr>
          <w:rFonts w:ascii="Palatino Linotype" w:eastAsia="Palatino Linotype" w:hAnsi="Palatino Linotype" w:cs="Palatino Linotype"/>
          <w:sz w:val="22"/>
          <w:szCs w:val="22"/>
        </w:rPr>
      </w:pPr>
    </w:p>
    <w:p w14:paraId="3FC2B006" w14:textId="77777777" w:rsidR="00851411" w:rsidRPr="00410F65" w:rsidRDefault="00851411" w:rsidP="00101CE8">
      <w:pPr>
        <w:spacing w:line="360" w:lineRule="auto"/>
        <w:ind w:right="51"/>
        <w:contextualSpacing/>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w:t>
      </w:r>
      <w:r w:rsidRPr="00410F65">
        <w:rPr>
          <w:rFonts w:ascii="Palatino Linotype" w:eastAsia="Palatino Linotype" w:hAnsi="Palatino Linotype" w:cs="Palatino Linotype"/>
          <w:sz w:val="22"/>
          <w:szCs w:val="22"/>
        </w:rPr>
        <w:tab/>
        <w:t>Las áreas donde se buscó la información;</w:t>
      </w:r>
    </w:p>
    <w:p w14:paraId="2AE7A8AD" w14:textId="77777777" w:rsidR="00851411" w:rsidRPr="00410F65" w:rsidRDefault="00851411" w:rsidP="00101CE8">
      <w:pPr>
        <w:spacing w:line="360" w:lineRule="auto"/>
        <w:ind w:right="51"/>
        <w:contextualSpacing/>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w:t>
      </w:r>
      <w:r w:rsidRPr="00410F65">
        <w:rPr>
          <w:rFonts w:ascii="Palatino Linotype" w:eastAsia="Palatino Linotype" w:hAnsi="Palatino Linotype" w:cs="Palatino Linotype"/>
          <w:sz w:val="22"/>
          <w:szCs w:val="22"/>
        </w:rPr>
        <w:tab/>
        <w:t>Tipo de archivos buscados (físicos o electrónicos);</w:t>
      </w:r>
    </w:p>
    <w:p w14:paraId="143ECE2A" w14:textId="77777777" w:rsidR="00851411" w:rsidRPr="00410F65" w:rsidRDefault="00851411" w:rsidP="00101CE8">
      <w:pPr>
        <w:spacing w:line="360" w:lineRule="auto"/>
        <w:ind w:right="51"/>
        <w:contextualSpacing/>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w:t>
      </w:r>
      <w:r w:rsidRPr="00410F65">
        <w:rPr>
          <w:rFonts w:ascii="Palatino Linotype" w:eastAsia="Palatino Linotype" w:hAnsi="Palatino Linotype" w:cs="Palatino Linotype"/>
          <w:sz w:val="22"/>
          <w:szCs w:val="22"/>
        </w:rPr>
        <w:tab/>
        <w:t xml:space="preserve">Los criterios de búsqueda utilizados, y </w:t>
      </w:r>
    </w:p>
    <w:p w14:paraId="4877E884" w14:textId="77777777" w:rsidR="00851411" w:rsidRPr="00410F65" w:rsidRDefault="00851411" w:rsidP="00101CE8">
      <w:pPr>
        <w:spacing w:line="360" w:lineRule="auto"/>
        <w:ind w:right="51"/>
        <w:contextualSpacing/>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w:t>
      </w:r>
      <w:r w:rsidRPr="00410F65">
        <w:rPr>
          <w:rFonts w:ascii="Palatino Linotype" w:eastAsia="Palatino Linotype" w:hAnsi="Palatino Linotype" w:cs="Palatino Linotype"/>
          <w:sz w:val="22"/>
          <w:szCs w:val="22"/>
        </w:rPr>
        <w:tab/>
        <w:t>Las circunstancias que fueron tomadas en cuenta.</w:t>
      </w:r>
      <w:r w:rsidRPr="00410F65">
        <w:rPr>
          <w:rFonts w:ascii="Palatino Linotype" w:eastAsia="Palatino Linotype" w:hAnsi="Palatino Linotype" w:cs="Palatino Linotype"/>
          <w:sz w:val="22"/>
          <w:szCs w:val="22"/>
        </w:rPr>
        <w:tab/>
      </w:r>
    </w:p>
    <w:p w14:paraId="3B1FDFD4" w14:textId="77777777" w:rsidR="00851411" w:rsidRPr="00410F65" w:rsidRDefault="00851411" w:rsidP="00101CE8">
      <w:pPr>
        <w:spacing w:line="360" w:lineRule="auto"/>
        <w:ind w:right="51"/>
        <w:contextualSpacing/>
        <w:jc w:val="both"/>
        <w:rPr>
          <w:rFonts w:ascii="Palatino Linotype" w:eastAsia="Palatino Linotype" w:hAnsi="Palatino Linotype" w:cs="Palatino Linotype"/>
          <w:sz w:val="22"/>
          <w:szCs w:val="22"/>
        </w:rPr>
      </w:pPr>
    </w:p>
    <w:p w14:paraId="50DA939E" w14:textId="77777777" w:rsidR="00851411" w:rsidRPr="00410F65" w:rsidRDefault="00851411" w:rsidP="00101CE8">
      <w:pPr>
        <w:spacing w:line="360" w:lineRule="auto"/>
        <w:ind w:right="51"/>
        <w:contextualSpacing/>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Conforme a lo anterior, este Instituto considera que el Ayuntamiento de </w:t>
      </w:r>
      <w:r w:rsidR="00C46B1A" w:rsidRPr="00410F65">
        <w:rPr>
          <w:rFonts w:ascii="Palatino Linotype" w:eastAsia="Palatino Linotype" w:hAnsi="Palatino Linotype" w:cs="Palatino Linotype"/>
          <w:sz w:val="22"/>
          <w:szCs w:val="22"/>
        </w:rPr>
        <w:t>Toluca</w:t>
      </w:r>
      <w:r w:rsidRPr="00410F65">
        <w:rPr>
          <w:rFonts w:ascii="Palatino Linotype" w:eastAsia="Palatino Linotype" w:hAnsi="Palatino Linotype" w:cs="Palatino Linotype"/>
          <w:sz w:val="22"/>
          <w:szCs w:val="22"/>
        </w:rPr>
        <w:t xml:space="preserve"> no cumplió con ninguno de los requisitos previamente señalados, por lo siguiente no se logró advertir que se haya realizado una indagación de lo requerido en documentos físicos o electrónicos, así como tampoco los criterios d</w:t>
      </w:r>
      <w:r w:rsidR="00C46B1A" w:rsidRPr="00410F65">
        <w:rPr>
          <w:rFonts w:ascii="Palatino Linotype" w:eastAsia="Palatino Linotype" w:hAnsi="Palatino Linotype" w:cs="Palatino Linotype"/>
          <w:sz w:val="22"/>
          <w:szCs w:val="22"/>
        </w:rPr>
        <w:t>e búsqueda utilizados, dado que</w:t>
      </w:r>
      <w:r w:rsidRPr="00410F65">
        <w:rPr>
          <w:rFonts w:ascii="Palatino Linotype" w:eastAsia="Palatino Linotype" w:hAnsi="Palatino Linotype" w:cs="Palatino Linotype"/>
          <w:sz w:val="22"/>
          <w:szCs w:val="22"/>
        </w:rPr>
        <w:t xml:space="preserve"> no precisó cómo realizó misma, reiterando que la búsqueda exhaustiva y razonable de la información requerida debe estar sustentada con los respectivos criterios de búsqueda que el </w:t>
      </w:r>
      <w:r w:rsidR="00A80710" w:rsidRPr="00410F65">
        <w:rPr>
          <w:rFonts w:ascii="Palatino Linotype" w:eastAsia="Palatino Linotype" w:hAnsi="Palatino Linotype" w:cs="Palatino Linotype"/>
          <w:b/>
          <w:sz w:val="22"/>
          <w:szCs w:val="22"/>
        </w:rPr>
        <w:t>Sujeto Obligado</w:t>
      </w:r>
      <w:r w:rsidR="00A80710" w:rsidRPr="00410F65">
        <w:rPr>
          <w:rFonts w:ascii="Palatino Linotype" w:eastAsia="Palatino Linotype" w:hAnsi="Palatino Linotype" w:cs="Palatino Linotype"/>
          <w:sz w:val="22"/>
          <w:szCs w:val="22"/>
        </w:rPr>
        <w:t xml:space="preserve"> </w:t>
      </w:r>
      <w:r w:rsidRPr="00410F65">
        <w:rPr>
          <w:rFonts w:ascii="Palatino Linotype" w:eastAsia="Palatino Linotype" w:hAnsi="Palatino Linotype" w:cs="Palatino Linotype"/>
          <w:sz w:val="22"/>
          <w:szCs w:val="22"/>
        </w:rPr>
        <w:t>utilizó.</w:t>
      </w:r>
    </w:p>
    <w:p w14:paraId="6C5DF8CD" w14:textId="77777777" w:rsidR="00851411" w:rsidRPr="00410F65" w:rsidRDefault="00851411" w:rsidP="00101CE8">
      <w:pPr>
        <w:spacing w:line="360" w:lineRule="auto"/>
        <w:ind w:right="-232"/>
        <w:contextualSpacing/>
        <w:jc w:val="both"/>
        <w:rPr>
          <w:rFonts w:ascii="Palatino Linotype" w:eastAsia="Palatino Linotype" w:hAnsi="Palatino Linotype" w:cs="Palatino Linotype"/>
          <w:sz w:val="22"/>
          <w:szCs w:val="22"/>
        </w:rPr>
      </w:pPr>
    </w:p>
    <w:p w14:paraId="6C1EB998" w14:textId="77777777" w:rsidR="00851411" w:rsidRPr="00410F65" w:rsidRDefault="00851411" w:rsidP="00101CE8">
      <w:pPr>
        <w:spacing w:line="360" w:lineRule="auto"/>
        <w:ind w:right="-232"/>
        <w:contextualSpacing/>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Por ello que se insiste que no hay pronunciamiento que otorgue certeza al particular que si se realizó una efectiva búsqueda exhaustiva y razonable en los archivos del </w:t>
      </w:r>
      <w:r w:rsidR="00A80710"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de ahí que cobre importancia el ordenar que se efectúe una nueva búsqueda de las renuncia</w:t>
      </w:r>
      <w:r w:rsidR="00C46B1A" w:rsidRPr="00410F65">
        <w:rPr>
          <w:rFonts w:ascii="Palatino Linotype" w:eastAsia="Palatino Linotype" w:hAnsi="Palatino Linotype" w:cs="Palatino Linotype"/>
          <w:sz w:val="22"/>
          <w:szCs w:val="22"/>
        </w:rPr>
        <w:t xml:space="preserve">s firmadas </w:t>
      </w:r>
      <w:r w:rsidR="004370A6" w:rsidRPr="00410F65">
        <w:rPr>
          <w:rFonts w:ascii="Palatino Linotype" w:eastAsia="Palatino Linotype" w:hAnsi="Palatino Linotype" w:cs="Palatino Linotype"/>
          <w:sz w:val="22"/>
          <w:szCs w:val="22"/>
        </w:rPr>
        <w:t>del siete de julio de</w:t>
      </w:r>
      <w:r w:rsidRPr="00410F65">
        <w:rPr>
          <w:rFonts w:ascii="Palatino Linotype" w:eastAsia="Palatino Linotype" w:hAnsi="Palatino Linotype" w:cs="Palatino Linotype"/>
          <w:sz w:val="22"/>
          <w:szCs w:val="22"/>
        </w:rPr>
        <w:t xml:space="preserve"> dos mil</w:t>
      </w:r>
      <w:r w:rsidR="004370A6" w:rsidRPr="00410F65">
        <w:rPr>
          <w:rFonts w:ascii="Palatino Linotype" w:eastAsia="Palatino Linotype" w:hAnsi="Palatino Linotype" w:cs="Palatino Linotype"/>
          <w:sz w:val="22"/>
          <w:szCs w:val="22"/>
        </w:rPr>
        <w:t xml:space="preserve"> veinticuatro</w:t>
      </w:r>
      <w:r w:rsidRPr="00410F65">
        <w:rPr>
          <w:rFonts w:ascii="Palatino Linotype" w:eastAsia="Palatino Linotype" w:hAnsi="Palatino Linotype" w:cs="Palatino Linotype"/>
          <w:sz w:val="22"/>
          <w:szCs w:val="22"/>
        </w:rPr>
        <w:t xml:space="preserve"> al </w:t>
      </w:r>
      <w:r w:rsidR="004370A6" w:rsidRPr="00410F65">
        <w:rPr>
          <w:rFonts w:ascii="Palatino Linotype" w:eastAsia="Palatino Linotype" w:hAnsi="Palatino Linotype" w:cs="Palatino Linotype"/>
          <w:sz w:val="22"/>
          <w:szCs w:val="22"/>
        </w:rPr>
        <w:t>siete de julio de dos mil veinticinco</w:t>
      </w:r>
      <w:r w:rsidRPr="00410F65">
        <w:rPr>
          <w:rFonts w:ascii="Palatino Linotype" w:eastAsia="Palatino Linotype" w:hAnsi="Palatino Linotype" w:cs="Palatino Linotype"/>
          <w:sz w:val="22"/>
          <w:szCs w:val="22"/>
        </w:rPr>
        <w:t>, procediendo a la entrega del soporte documental correspondiente en versión pública, en términos del considerando quinto de la presente resolución.</w:t>
      </w:r>
    </w:p>
    <w:p w14:paraId="71C2F66D" w14:textId="77777777" w:rsidR="007B29E7" w:rsidRPr="00410F65" w:rsidRDefault="007B29E7" w:rsidP="00101CE8">
      <w:pPr>
        <w:spacing w:line="360" w:lineRule="auto"/>
        <w:ind w:right="-93"/>
        <w:jc w:val="both"/>
        <w:rPr>
          <w:rFonts w:ascii="Palatino Linotype" w:eastAsia="Palatino Linotype" w:hAnsi="Palatino Linotype" w:cs="Palatino Linotype"/>
          <w:sz w:val="22"/>
          <w:szCs w:val="22"/>
        </w:rPr>
      </w:pPr>
    </w:p>
    <w:p w14:paraId="5F749753" w14:textId="77777777" w:rsidR="007B29E7" w:rsidRPr="00410F65" w:rsidRDefault="004370A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No obstante, </w:t>
      </w:r>
      <w:r w:rsidR="007B29E7" w:rsidRPr="00410F65">
        <w:rPr>
          <w:rFonts w:ascii="Palatino Linotype" w:eastAsia="Palatino Linotype" w:hAnsi="Palatino Linotype" w:cs="Palatino Linotype"/>
          <w:sz w:val="22"/>
          <w:szCs w:val="22"/>
        </w:rPr>
        <w:t>debe precisarse que respecto del documento que evidencie la</w:t>
      </w:r>
      <w:r w:rsidR="00C46B1A" w:rsidRPr="00410F65">
        <w:rPr>
          <w:rFonts w:ascii="Palatino Linotype" w:eastAsia="Palatino Linotype" w:hAnsi="Palatino Linotype" w:cs="Palatino Linotype"/>
          <w:sz w:val="22"/>
          <w:szCs w:val="22"/>
        </w:rPr>
        <w:t>s</w:t>
      </w:r>
      <w:r w:rsidR="007B29E7" w:rsidRPr="00410F65">
        <w:rPr>
          <w:rFonts w:ascii="Palatino Linotype" w:eastAsia="Palatino Linotype" w:hAnsi="Palatino Linotype" w:cs="Palatino Linotype"/>
          <w:sz w:val="22"/>
          <w:szCs w:val="22"/>
        </w:rPr>
        <w:t xml:space="preserve"> renuncia</w:t>
      </w:r>
      <w:r w:rsidR="00C46B1A" w:rsidRPr="00410F65">
        <w:rPr>
          <w:rFonts w:ascii="Palatino Linotype" w:eastAsia="Palatino Linotype" w:hAnsi="Palatino Linotype" w:cs="Palatino Linotype"/>
          <w:sz w:val="22"/>
          <w:szCs w:val="22"/>
        </w:rPr>
        <w:t>s</w:t>
      </w:r>
      <w:r w:rsidR="007B29E7" w:rsidRPr="00410F65">
        <w:rPr>
          <w:rFonts w:ascii="Palatino Linotype" w:eastAsia="Palatino Linotype" w:hAnsi="Palatino Linotype" w:cs="Palatino Linotype"/>
          <w:sz w:val="22"/>
          <w:szCs w:val="22"/>
        </w:rPr>
        <w:t xml:space="preserve"> este Organismo Garante ha señalado que debe tenerse especial cuidado respecto de su contenido, toda vez que en los motivos o causas que les dieron origen, podrían desprenderse información relativa a la vida privada de las personas, o bien, podría contener argumentos que le conciernen en esencia al interesado, y que por tal motivo, dicha información es susceptible de clasificarse como confidencial, a través de la versión pública que deje a la vista el resto de la información requerida, en términos de lo señalado por el considerando quinto del presente fallo.</w:t>
      </w:r>
    </w:p>
    <w:p w14:paraId="16DE425E" w14:textId="77777777" w:rsidR="007B29E7" w:rsidRPr="00410F65" w:rsidRDefault="007B29E7" w:rsidP="00101CE8">
      <w:pPr>
        <w:spacing w:line="360" w:lineRule="auto"/>
        <w:ind w:right="-93"/>
        <w:jc w:val="both"/>
        <w:rPr>
          <w:rFonts w:ascii="Palatino Linotype" w:eastAsia="Palatino Linotype" w:hAnsi="Palatino Linotype" w:cs="Palatino Linotype"/>
          <w:sz w:val="22"/>
          <w:szCs w:val="22"/>
        </w:rPr>
      </w:pPr>
    </w:p>
    <w:p w14:paraId="67A4C33F" w14:textId="77777777" w:rsidR="00C46B1A" w:rsidRPr="00410F65" w:rsidRDefault="00C46B1A" w:rsidP="00101CE8">
      <w:pPr>
        <w:pStyle w:val="Prrafodelista"/>
        <w:numPr>
          <w:ilvl w:val="0"/>
          <w:numId w:val="25"/>
        </w:numPr>
        <w:spacing w:line="360" w:lineRule="auto"/>
        <w:jc w:val="both"/>
        <w:rPr>
          <w:rFonts w:ascii="Palatino Linotype" w:eastAsia="Palatino Linotype" w:hAnsi="Palatino Linotype" w:cs="Palatino Linotype"/>
          <w:b/>
          <w:sz w:val="22"/>
          <w:szCs w:val="22"/>
        </w:rPr>
      </w:pPr>
      <w:r w:rsidRPr="00410F65">
        <w:rPr>
          <w:rFonts w:ascii="Palatino Linotype" w:eastAsia="Palatino Linotype" w:hAnsi="Palatino Linotype" w:cs="Palatino Linotype"/>
          <w:b/>
          <w:sz w:val="22"/>
          <w:szCs w:val="22"/>
        </w:rPr>
        <w:t xml:space="preserve">Cuantos demandaron y en que estatus esta la demanda, </w:t>
      </w:r>
    </w:p>
    <w:p w14:paraId="36E34372" w14:textId="77777777" w:rsidR="0020150E" w:rsidRPr="00410F65" w:rsidRDefault="00C46B1A" w:rsidP="00101CE8">
      <w:pPr>
        <w:pStyle w:val="Prrafodelista"/>
        <w:numPr>
          <w:ilvl w:val="0"/>
          <w:numId w:val="25"/>
        </w:numPr>
        <w:spacing w:line="360" w:lineRule="auto"/>
        <w:jc w:val="both"/>
        <w:rPr>
          <w:rFonts w:ascii="Palatino Linotype" w:eastAsia="Palatino Linotype" w:hAnsi="Palatino Linotype" w:cs="Palatino Linotype"/>
          <w:b/>
          <w:sz w:val="22"/>
          <w:szCs w:val="22"/>
        </w:rPr>
      </w:pPr>
      <w:r w:rsidRPr="00410F65">
        <w:rPr>
          <w:rFonts w:ascii="Palatino Linotype" w:eastAsia="Palatino Linotype" w:hAnsi="Palatino Linotype" w:cs="Palatino Linotype"/>
          <w:b/>
          <w:sz w:val="22"/>
          <w:szCs w:val="22"/>
        </w:rPr>
        <w:t>Cuantos laudos se han pagado con la resolución y el monto pagado.</w:t>
      </w:r>
    </w:p>
    <w:p w14:paraId="479F340C" w14:textId="77777777" w:rsidR="0020150E" w:rsidRPr="00410F65" w:rsidRDefault="0020150E" w:rsidP="00101CE8">
      <w:pPr>
        <w:spacing w:line="360" w:lineRule="auto"/>
        <w:jc w:val="both"/>
        <w:rPr>
          <w:rFonts w:ascii="Palatino Linotype" w:eastAsia="Palatino Linotype" w:hAnsi="Palatino Linotype" w:cs="Palatino Linotype"/>
          <w:sz w:val="22"/>
          <w:szCs w:val="22"/>
        </w:rPr>
      </w:pPr>
    </w:p>
    <w:p w14:paraId="419C7CB6" w14:textId="77777777" w:rsidR="00C46B1A" w:rsidRPr="00410F65" w:rsidRDefault="00C46B1A" w:rsidP="00101CE8">
      <w:pPr>
        <w:spacing w:line="360" w:lineRule="auto"/>
        <w:ind w:right="49"/>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En relación con estos puntos de análisis, resulta necesario contextualizar la información solicitada, para ello, en lo que respecta a las </w:t>
      </w:r>
      <w:r w:rsidRPr="00410F65">
        <w:rPr>
          <w:rFonts w:ascii="Palatino Linotype" w:eastAsia="Palatino Linotype" w:hAnsi="Palatino Linotype" w:cs="Palatino Linotype"/>
          <w:b/>
          <w:sz w:val="22"/>
          <w:szCs w:val="22"/>
          <w:u w:val="single"/>
        </w:rPr>
        <w:t>demandas</w:t>
      </w:r>
      <w:r w:rsidRPr="00410F65">
        <w:rPr>
          <w:rFonts w:ascii="Palatino Linotype" w:eastAsia="Palatino Linotype" w:hAnsi="Palatino Linotype" w:cs="Palatino Linotype"/>
          <w:sz w:val="22"/>
          <w:szCs w:val="22"/>
        </w:rPr>
        <w:t>, es conveniente traer a contexto los artículos 89, 92, 94, 95, 96 y 97 de la Ley de Trabajo de los Servidores Públicos del Estado y Municipios, establecen lo siguiente:</w:t>
      </w:r>
    </w:p>
    <w:p w14:paraId="2B692F7B" w14:textId="77777777" w:rsidR="00C46B1A" w:rsidRPr="00410F65" w:rsidRDefault="00C46B1A" w:rsidP="00101CE8">
      <w:pPr>
        <w:spacing w:line="276" w:lineRule="auto"/>
        <w:ind w:left="567" w:right="539"/>
        <w:jc w:val="both"/>
        <w:rPr>
          <w:rFonts w:ascii="Palatino Linotype" w:eastAsia="Palatino Linotype" w:hAnsi="Palatino Linotype" w:cs="Palatino Linotype"/>
          <w:b/>
          <w:i/>
          <w:sz w:val="22"/>
          <w:szCs w:val="22"/>
        </w:rPr>
      </w:pPr>
    </w:p>
    <w:p w14:paraId="7D4F4198"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“ARTÍCULO 89.</w:t>
      </w:r>
      <w:r w:rsidRPr="00410F65">
        <w:rPr>
          <w:rFonts w:ascii="Palatino Linotype" w:eastAsia="Palatino Linotype" w:hAnsi="Palatino Linotype" w:cs="Palatino Linotype"/>
          <w:i/>
          <w:sz w:val="22"/>
          <w:szCs w:val="22"/>
        </w:rPr>
        <w:t xml:space="preserve"> Son </w:t>
      </w:r>
      <w:r w:rsidRPr="00410F65">
        <w:rPr>
          <w:rFonts w:ascii="Palatino Linotype" w:eastAsia="Palatino Linotype" w:hAnsi="Palatino Linotype" w:cs="Palatino Linotype"/>
          <w:b/>
          <w:i/>
          <w:sz w:val="22"/>
          <w:szCs w:val="22"/>
        </w:rPr>
        <w:t>causas de terminación de la relación laboral</w:t>
      </w:r>
      <w:r w:rsidRPr="00410F65">
        <w:rPr>
          <w:rFonts w:ascii="Palatino Linotype" w:eastAsia="Palatino Linotype" w:hAnsi="Palatino Linotype" w:cs="Palatino Linotype"/>
          <w:i/>
          <w:sz w:val="22"/>
          <w:szCs w:val="22"/>
        </w:rPr>
        <w:t xml:space="preserve"> sin responsabilidad para las instituciones públicas: </w:t>
      </w:r>
    </w:p>
    <w:p w14:paraId="64946219"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I.</w:t>
      </w:r>
      <w:r w:rsidRPr="00410F65">
        <w:rPr>
          <w:rFonts w:ascii="Palatino Linotype" w:eastAsia="Palatino Linotype" w:hAnsi="Palatino Linotype" w:cs="Palatino Linotype"/>
          <w:i/>
          <w:sz w:val="22"/>
          <w:szCs w:val="22"/>
        </w:rPr>
        <w:t xml:space="preserve"> La renuncia del servidor público; </w:t>
      </w:r>
    </w:p>
    <w:p w14:paraId="2B8438EB"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II.</w:t>
      </w:r>
      <w:r w:rsidRPr="00410F65">
        <w:rPr>
          <w:rFonts w:ascii="Palatino Linotype" w:eastAsia="Palatino Linotype" w:hAnsi="Palatino Linotype" w:cs="Palatino Linotype"/>
          <w:i/>
          <w:sz w:val="22"/>
          <w:szCs w:val="22"/>
        </w:rPr>
        <w:t xml:space="preserve"> El mutuo consentimiento de las partes; </w:t>
      </w:r>
    </w:p>
    <w:p w14:paraId="0A884F10"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III.</w:t>
      </w:r>
      <w:r w:rsidRPr="00410F65">
        <w:rPr>
          <w:rFonts w:ascii="Palatino Linotype" w:eastAsia="Palatino Linotype" w:hAnsi="Palatino Linotype" w:cs="Palatino Linotype"/>
          <w:i/>
          <w:sz w:val="22"/>
          <w:szCs w:val="22"/>
        </w:rPr>
        <w:t xml:space="preserve"> El vencimiento del término o conclusión de la obra determinantes de la contratación; </w:t>
      </w:r>
    </w:p>
    <w:p w14:paraId="2A4DDB6D"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IV.</w:t>
      </w:r>
      <w:r w:rsidRPr="00410F65">
        <w:rPr>
          <w:rFonts w:ascii="Palatino Linotype" w:eastAsia="Palatino Linotype" w:hAnsi="Palatino Linotype" w:cs="Palatino Linotype"/>
          <w:i/>
          <w:sz w:val="22"/>
          <w:szCs w:val="22"/>
        </w:rPr>
        <w:t xml:space="preserve"> El término o conclusión de la administración en la cual fue contratado el servidor público a que se refiere el artículo 8 de ésta Ley; </w:t>
      </w:r>
    </w:p>
    <w:p w14:paraId="07E7AA6F"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V.</w:t>
      </w:r>
      <w:r w:rsidRPr="00410F65">
        <w:rPr>
          <w:rFonts w:ascii="Palatino Linotype" w:eastAsia="Palatino Linotype" w:hAnsi="Palatino Linotype" w:cs="Palatino Linotype"/>
          <w:i/>
          <w:sz w:val="22"/>
          <w:szCs w:val="22"/>
        </w:rPr>
        <w:t xml:space="preserve"> La muerte del servidor público; y </w:t>
      </w:r>
    </w:p>
    <w:p w14:paraId="5D8222E3"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VI.</w:t>
      </w:r>
      <w:r w:rsidRPr="00410F65">
        <w:rPr>
          <w:rFonts w:ascii="Palatino Linotype" w:eastAsia="Palatino Linotype" w:hAnsi="Palatino Linotype" w:cs="Palatino Linotype"/>
          <w:i/>
          <w:sz w:val="22"/>
          <w:szCs w:val="22"/>
        </w:rPr>
        <w:t xml:space="preserve"> La incapacidad permanente del servidor público que le impida el desempeño de sus labores.</w:t>
      </w:r>
    </w:p>
    <w:p w14:paraId="64815201"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p>
    <w:p w14:paraId="5033CDA6" w14:textId="77777777" w:rsidR="00C46B1A" w:rsidRPr="00410F65" w:rsidRDefault="00C46B1A" w:rsidP="00F504F7">
      <w:pPr>
        <w:spacing w:line="276" w:lineRule="auto"/>
        <w:ind w:left="851" w:right="616"/>
        <w:jc w:val="both"/>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b/>
          <w:i/>
          <w:sz w:val="22"/>
          <w:szCs w:val="22"/>
        </w:rPr>
        <w:t>ARTÍCULO 92.</w:t>
      </w:r>
      <w:r w:rsidRPr="00410F65">
        <w:rPr>
          <w:rFonts w:ascii="Palatino Linotype" w:eastAsia="Palatino Linotype" w:hAnsi="Palatino Linotype" w:cs="Palatino Linotype"/>
          <w:i/>
          <w:sz w:val="22"/>
          <w:szCs w:val="22"/>
        </w:rPr>
        <w:t xml:space="preserve"> </w:t>
      </w:r>
      <w:r w:rsidRPr="00410F65">
        <w:rPr>
          <w:rFonts w:ascii="Palatino Linotype" w:eastAsia="Palatino Linotype" w:hAnsi="Palatino Linotype" w:cs="Palatino Linotype"/>
          <w:b/>
          <w:i/>
          <w:sz w:val="22"/>
          <w:szCs w:val="22"/>
        </w:rPr>
        <w:t xml:space="preserve">El servidor público o la institución pública podrán rescindir en cualquier tiempo, por causa justificada, la relación laboral. </w:t>
      </w:r>
    </w:p>
    <w:p w14:paraId="6E65389C" w14:textId="77777777" w:rsidR="00C46B1A" w:rsidRPr="00410F65" w:rsidRDefault="00C46B1A" w:rsidP="00F504F7">
      <w:pPr>
        <w:spacing w:line="276" w:lineRule="auto"/>
        <w:ind w:left="851" w:right="616"/>
        <w:jc w:val="both"/>
        <w:rPr>
          <w:rFonts w:ascii="Palatino Linotype" w:eastAsia="Palatino Linotype" w:hAnsi="Palatino Linotype" w:cs="Palatino Linotype"/>
          <w:b/>
          <w:i/>
          <w:sz w:val="22"/>
          <w:szCs w:val="22"/>
        </w:rPr>
      </w:pPr>
    </w:p>
    <w:p w14:paraId="3C39BAAC"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ARTÍCULO 94.</w:t>
      </w:r>
      <w:r w:rsidRPr="00410F65">
        <w:rPr>
          <w:rFonts w:ascii="Palatino Linotype" w:eastAsia="Palatino Linotype" w:hAnsi="Palatino Linotype" w:cs="Palatino Linotype"/>
          <w:i/>
          <w:sz w:val="22"/>
          <w:szCs w:val="22"/>
        </w:rPr>
        <w:t xml:space="preserve"> La </w:t>
      </w:r>
      <w:r w:rsidRPr="00410F65">
        <w:rPr>
          <w:rFonts w:ascii="Palatino Linotype" w:eastAsia="Palatino Linotype" w:hAnsi="Palatino Linotype" w:cs="Palatino Linotype"/>
          <w:b/>
          <w:i/>
          <w:sz w:val="22"/>
          <w:szCs w:val="22"/>
        </w:rPr>
        <w:t>institución pública deberá dar aviso por escrito al servidor público de manera personal, de la fecha y causa o causas de la rescisión de la relación laboral.</w:t>
      </w:r>
      <w:r w:rsidRPr="00410F65">
        <w:rPr>
          <w:rFonts w:ascii="Palatino Linotype" w:eastAsia="Palatino Linotype" w:hAnsi="Palatino Linotype" w:cs="Palatino Linotype"/>
          <w:i/>
          <w:sz w:val="22"/>
          <w:szCs w:val="22"/>
        </w:rPr>
        <w:t xml:space="preserve"> </w:t>
      </w:r>
    </w:p>
    <w:p w14:paraId="0DBB3805"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w:t>
      </w:r>
    </w:p>
    <w:p w14:paraId="6260E1FE"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La falta de aviso al servidor público, al Tribunal o a la Sala por sí sola bastará para considerar que el despido fue injustificado.</w:t>
      </w:r>
    </w:p>
    <w:p w14:paraId="39CAC6BC"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p>
    <w:p w14:paraId="3336DEA2"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ARTÍCULO 95.</w:t>
      </w:r>
      <w:r w:rsidRPr="00410F65">
        <w:rPr>
          <w:rFonts w:ascii="Palatino Linotype" w:eastAsia="Palatino Linotype" w:hAnsi="Palatino Linotype" w:cs="Palatino Linotype"/>
          <w:i/>
          <w:sz w:val="22"/>
          <w:szCs w:val="22"/>
        </w:rPr>
        <w:t xml:space="preserve"> Son </w:t>
      </w:r>
      <w:r w:rsidRPr="00410F65">
        <w:rPr>
          <w:rFonts w:ascii="Palatino Linotype" w:eastAsia="Palatino Linotype" w:hAnsi="Palatino Linotype" w:cs="Palatino Linotype"/>
          <w:b/>
          <w:i/>
          <w:sz w:val="22"/>
          <w:szCs w:val="22"/>
        </w:rPr>
        <w:t>causas de rescisión de la relación laboral</w:t>
      </w:r>
      <w:r w:rsidRPr="00410F65">
        <w:rPr>
          <w:rFonts w:ascii="Palatino Linotype" w:eastAsia="Palatino Linotype" w:hAnsi="Palatino Linotype" w:cs="Palatino Linotype"/>
          <w:i/>
          <w:sz w:val="22"/>
          <w:szCs w:val="22"/>
        </w:rPr>
        <w:t>, sin responsabilidad para el servidor público:</w:t>
      </w:r>
    </w:p>
    <w:p w14:paraId="5B07B980"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w:t>
      </w:r>
    </w:p>
    <w:p w14:paraId="52645CBC"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 xml:space="preserve">En estos casos, </w:t>
      </w:r>
      <w:r w:rsidRPr="00410F65">
        <w:rPr>
          <w:rFonts w:ascii="Palatino Linotype" w:eastAsia="Palatino Linotype" w:hAnsi="Palatino Linotype" w:cs="Palatino Linotype"/>
          <w:b/>
          <w:i/>
          <w:sz w:val="22"/>
          <w:szCs w:val="22"/>
        </w:rPr>
        <w:t xml:space="preserve">el servidor público podrá separarse de su trabajo dentro de los treinta días siguientes a la fecha en que se dé cualquiera de las causas y tendrá derecho a que la institución pública </w:t>
      </w:r>
      <w:r w:rsidRPr="00410F65">
        <w:rPr>
          <w:rFonts w:ascii="Palatino Linotype" w:eastAsia="Palatino Linotype" w:hAnsi="Palatino Linotype" w:cs="Palatino Linotype"/>
          <w:b/>
          <w:i/>
          <w:sz w:val="22"/>
          <w:szCs w:val="22"/>
          <w:u w:val="single"/>
        </w:rPr>
        <w:t>lo indemnice con el importe de tres meses de sueldo base, veinte días por cada año devengado y cubriéndole las prestaciones a que tenga derecho, así como los salarios vencidos desde la fecha en que el Servidor Público se haya separado de su trabajo hasta por un periodo máximo de doce meses o hasta que el servidor público se incorpore</w:t>
      </w:r>
      <w:r w:rsidRPr="00410F65">
        <w:rPr>
          <w:rFonts w:ascii="Palatino Linotype" w:eastAsia="Palatino Linotype" w:hAnsi="Palatino Linotype" w:cs="Palatino Linotype"/>
          <w:i/>
          <w:sz w:val="22"/>
          <w:szCs w:val="22"/>
        </w:rPr>
        <w:t xml:space="preserve"> a laborar en un municipio o institución pública de los poderes del Estado o cualquier organismo estatal, siempre y cuando esto último ocurra en un plazo no mayor a los doce meses antes mencionados, independientemente del tiempo que dure el proceso.</w:t>
      </w:r>
    </w:p>
    <w:p w14:paraId="6F466E16"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w:t>
      </w:r>
    </w:p>
    <w:p w14:paraId="7BFA415E"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p>
    <w:p w14:paraId="4AAAAB42"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ARTÍCULO 96.-</w:t>
      </w:r>
      <w:r w:rsidRPr="00410F65">
        <w:rPr>
          <w:rFonts w:ascii="Palatino Linotype" w:eastAsia="Palatino Linotype" w:hAnsi="Palatino Linotype" w:cs="Palatino Linotype"/>
          <w:i/>
          <w:sz w:val="22"/>
          <w:szCs w:val="22"/>
        </w:rPr>
        <w:t xml:space="preserve"> El servidor público podrá solicitar ante el Tribunal o la Sala correspondiente, que se le reinstale en el trabajo que desempeñaba, o que se le indemnice. </w:t>
      </w:r>
      <w:r w:rsidRPr="00410F65">
        <w:rPr>
          <w:rFonts w:ascii="Palatino Linotype" w:eastAsia="Palatino Linotype" w:hAnsi="Palatino Linotype" w:cs="Palatino Linotype"/>
          <w:b/>
          <w:i/>
          <w:sz w:val="22"/>
          <w:szCs w:val="22"/>
        </w:rPr>
        <w:t>Cuando el servidor público considere injustificada la causa de rescisión de la relación laboral, o bien lo injustificado del despido podrá demandar ante el Tribunal o en la Sala que se le cubra la indemnización de tres meses de su salario base, así como los salarios vencidos desde la fecha del despido hasta por un periodo máximo de doce meses o que se le reinstale en el trabajo que desempeñaba con el pago de los salarios vencidos desde la fecha del despido hasta por un periodo máximo de doce meses, independientemente del tiempo que , dure el proceso.</w:t>
      </w:r>
      <w:r w:rsidRPr="00410F65">
        <w:rPr>
          <w:rFonts w:ascii="Palatino Linotype" w:eastAsia="Palatino Linotype" w:hAnsi="Palatino Linotype" w:cs="Palatino Linotype"/>
          <w:i/>
          <w:sz w:val="22"/>
          <w:szCs w:val="22"/>
        </w:rPr>
        <w:t xml:space="preserve"> </w:t>
      </w:r>
    </w:p>
    <w:p w14:paraId="1078E36A"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 xml:space="preserve">No se considerará en el pago de salarios vencidos los aguinaldos e incrementos que se otorguen en el salario de los servidores públicos mientras dure el proceso para objeto de las indemnizaciones a que se refieren los artículos 95, 96 y 97 de esta ley. </w:t>
      </w:r>
    </w:p>
    <w:p w14:paraId="08B90438"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Cuando el servidor público ejercite la acción de reinstalación en el trabajo que desempeñaba, será procedente el pago proporcional de sus prestaciones a que tenga derecho con los incrementos que sufra su salario en el periodo que dure el proceso, con excepción de los salarios vencidos ya que únicamente se aplicará esta disposición en el máximo de doce meses de pago de los mismos, en caso de ser procedentes.</w:t>
      </w:r>
    </w:p>
    <w:p w14:paraId="3CE3A05A"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En cualquier estado del procedimiento el demandado podrá pagar todo o en parte lo reclamado por el actor exhibiendo la cantidad líquida en moneda nacional o en cheque certificado a nombre de éste</w:t>
      </w:r>
      <w:r w:rsidRPr="00410F65">
        <w:rPr>
          <w:rFonts w:ascii="Palatino Linotype" w:eastAsia="Palatino Linotype" w:hAnsi="Palatino Linotype" w:cs="Palatino Linotype"/>
          <w:i/>
          <w:sz w:val="22"/>
          <w:szCs w:val="22"/>
        </w:rPr>
        <w:t xml:space="preserve">, previa cuantificación que haga el Tribunal o la Sala de que las cantidades cubren las prestaciones señaladas en la demanda y que se encuentren ajustadas a derecho, hasta la fecha en que se exhiba. En el primer supuesto se dará por terminado el juicio liberando a la institución pública de la acción principal y sus accesorias. </w:t>
      </w:r>
    </w:p>
    <w:p w14:paraId="038B6588"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 xml:space="preserve">El Tribunal o la Sala aprobará la consignación de pago y pondrá a disposición del actor la cantidad depositada a su favor, apercibiéndolo de que para el supuesto de no aceptar la cantidad base de su reclamación, los salarios vencidos dejarán de correr, caso contrario se ordenará el archivo del expediente como asunto total y definitivamente concluido. </w:t>
      </w:r>
    </w:p>
    <w:p w14:paraId="15C2B4CD"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 xml:space="preserve">Excepcionalmente para el efecto de que la cantidad exhibida por la parte demandada sea menor a la que le corresponda al actor, el Tribunal o la Sala le requerirá, para que en un término de cinco días hábiles, contados a partir de que surta sus efectos de notificación el acuerdo que recaiga, deposite la cantidad faltante y hecho lo anterior se tendrá por satisfecha la acción legal ejercitada. </w:t>
      </w:r>
    </w:p>
    <w:p w14:paraId="699EDE42"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 xml:space="preserve">Para la hipótesis de que la demandada sólo exhiba la cantidad por indemnizaciones y sus prestaciones accesorias dejarán de correr los salarios caídos, continuándose con el procedimiento por las prestaciones pendientes de pago. </w:t>
      </w:r>
    </w:p>
    <w:p w14:paraId="0EC17640"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En caso de muerte del trabajador, dejarán de computarse los salarios vencidos como parte del conflicto.</w:t>
      </w:r>
    </w:p>
    <w:p w14:paraId="2EE23AC9"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p>
    <w:p w14:paraId="37F5FA13"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ARTÍCULO 97.-</w:t>
      </w:r>
      <w:r w:rsidRPr="00410F65">
        <w:rPr>
          <w:rFonts w:ascii="Palatino Linotype" w:eastAsia="Palatino Linotype" w:hAnsi="Palatino Linotype" w:cs="Palatino Linotype"/>
          <w:i/>
          <w:sz w:val="22"/>
          <w:szCs w:val="22"/>
        </w:rPr>
        <w:t xml:space="preserve"> Las </w:t>
      </w:r>
      <w:r w:rsidRPr="00410F65">
        <w:rPr>
          <w:rFonts w:ascii="Palatino Linotype" w:eastAsia="Palatino Linotype" w:hAnsi="Palatino Linotype" w:cs="Palatino Linotype"/>
          <w:b/>
          <w:i/>
          <w:sz w:val="22"/>
          <w:szCs w:val="22"/>
        </w:rPr>
        <w:t>instituciones públicas</w:t>
      </w:r>
      <w:r w:rsidRPr="00410F65">
        <w:rPr>
          <w:rFonts w:ascii="Palatino Linotype" w:eastAsia="Palatino Linotype" w:hAnsi="Palatino Linotype" w:cs="Palatino Linotype"/>
          <w:i/>
          <w:sz w:val="22"/>
          <w:szCs w:val="22"/>
        </w:rPr>
        <w:t xml:space="preserve"> o dependencias no estarán </w:t>
      </w:r>
      <w:r w:rsidRPr="00410F65">
        <w:rPr>
          <w:rFonts w:ascii="Palatino Linotype" w:eastAsia="Palatino Linotype" w:hAnsi="Palatino Linotype" w:cs="Palatino Linotype"/>
          <w:b/>
          <w:i/>
          <w:sz w:val="22"/>
          <w:szCs w:val="22"/>
        </w:rPr>
        <w:t>obligadas</w:t>
      </w:r>
      <w:r w:rsidRPr="00410F65">
        <w:rPr>
          <w:rFonts w:ascii="Palatino Linotype" w:eastAsia="Palatino Linotype" w:hAnsi="Palatino Linotype" w:cs="Palatino Linotype"/>
          <w:i/>
          <w:sz w:val="22"/>
          <w:szCs w:val="22"/>
        </w:rPr>
        <w:t xml:space="preserve"> a reinstalar al servidor público, pero sí </w:t>
      </w:r>
      <w:r w:rsidRPr="00410F65">
        <w:rPr>
          <w:rFonts w:ascii="Palatino Linotype" w:eastAsia="Palatino Linotype" w:hAnsi="Palatino Linotype" w:cs="Palatino Linotype"/>
          <w:b/>
          <w:i/>
          <w:sz w:val="22"/>
          <w:szCs w:val="22"/>
        </w:rPr>
        <w:t>a cubrirle la indemnización de tres meses de salario base, veinte días por cada año de servicios en términos del artículo 95 párrafo segundo de esta ley y cubrirle las prestaciones a que tenga derecho, así como los salarios vencidos desde la fecha del despido hasta por un periodo máximo de doce meses,</w:t>
      </w:r>
      <w:r w:rsidRPr="00410F65">
        <w:rPr>
          <w:rFonts w:ascii="Palatino Linotype" w:eastAsia="Palatino Linotype" w:hAnsi="Palatino Linotype" w:cs="Palatino Linotype"/>
          <w:i/>
          <w:sz w:val="22"/>
          <w:szCs w:val="22"/>
        </w:rPr>
        <w:t xml:space="preserve"> independientemente del tiempo que dure el proceso, exhibiendo la totalidad de la cantidad liquida en moneda nacional o mediante cheque certificado al momento de la negativa de reinstalar al actor.”</w:t>
      </w:r>
    </w:p>
    <w:p w14:paraId="7287888F" w14:textId="77777777" w:rsidR="00C46B1A" w:rsidRPr="00410F65" w:rsidRDefault="00C46B1A" w:rsidP="00F504F7">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(Énfasis Añadido)</w:t>
      </w:r>
    </w:p>
    <w:p w14:paraId="548ED819" w14:textId="77777777" w:rsidR="00C46B1A" w:rsidRPr="00410F65" w:rsidRDefault="00C46B1A" w:rsidP="00101CE8">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0705248E" w14:textId="77777777" w:rsidR="00C46B1A" w:rsidRPr="00410F65" w:rsidRDefault="00C46B1A" w:rsidP="00101CE8">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De lo anterior, podemos advertir la existencia de dos supuestos, la terminación de la relación laboral y la rescisión laboral, ello sin dejar de lado la figura enmarcada en el artículo 94 tratándose del despido, o aquéllas derivadas de una sanción administrativa, además, se prevén los supuestos de rescisión laboral sin responsabilidad para los servidores públicos, el plazo en que éste debe separarse del trabajo cuando se actualice; asimismo, señala que en la existencia de alguno de esos supuestos, el servidor público tendrá derecho a que la institución pública lo indemnice con tres meses de sueldo base, veinte días por cada año devengado y a cubrirle las prestaciones a que tenga derecho, así como los salarios vencidos desde la fecha en que el servidor público se haya separado de su trabajo hasta que se cumplimente el laudo, o hasta que el servidor público se incorpore a laborar en un municipio o institución pública de los poderes del Estado, independientemente del tiempo que dure el proceso.</w:t>
      </w:r>
    </w:p>
    <w:p w14:paraId="6B581D85" w14:textId="77777777" w:rsidR="00C46B1A" w:rsidRPr="00410F65" w:rsidRDefault="00C46B1A" w:rsidP="00101CE8">
      <w:pPr>
        <w:spacing w:line="360" w:lineRule="auto"/>
        <w:ind w:right="49"/>
        <w:jc w:val="both"/>
        <w:rPr>
          <w:rFonts w:ascii="Palatino Linotype" w:eastAsia="Palatino Linotype" w:hAnsi="Palatino Linotype" w:cs="Palatino Linotype"/>
          <w:sz w:val="22"/>
          <w:szCs w:val="22"/>
        </w:rPr>
      </w:pPr>
    </w:p>
    <w:p w14:paraId="2E717187" w14:textId="77777777" w:rsidR="00C46B1A" w:rsidRPr="00410F65" w:rsidRDefault="00C46B1A" w:rsidP="00101CE8">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Por su parte, el artículo 96 del ordenamiento legal en cita, contempla el derecho que le asiste al servidor público para solicitar ante el Tribunal o la Sala Auxiliar correspondiente, que se le reinstale en el trabajo que desempeñaba, o que se le indemnice.</w:t>
      </w:r>
    </w:p>
    <w:p w14:paraId="511D0569" w14:textId="77777777" w:rsidR="00C46B1A" w:rsidRPr="00410F65" w:rsidRDefault="00C46B1A" w:rsidP="00101CE8">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61655DEA" w14:textId="77777777" w:rsidR="00C46B1A" w:rsidRPr="00410F65" w:rsidRDefault="00C46B1A" w:rsidP="00101CE8">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Asimismo, se señala que el servidor público debe o puede optar por la indemnización, ésta será por el equivalente a tres meses de su salario base, del mismo modo que los salarios vencidos desde la fecha del despido hasta que se cumplimente el laudo o que se le reinstale en el trabajo que desempeñaba con el pago de los salarios vencidos desde la fecha del despido hasta que se cumplimente el laudo, o hasta que el servidor público se incorpore a laborar en un municipio o institución pública de los poderes del Estado, independientemente del tiempo que dure el proceso.</w:t>
      </w:r>
    </w:p>
    <w:p w14:paraId="08D0D2DF" w14:textId="77777777" w:rsidR="00C46B1A" w:rsidRPr="00410F65" w:rsidRDefault="00C46B1A" w:rsidP="00101CE8">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4E3667F6" w14:textId="77777777" w:rsidR="00C46B1A" w:rsidRPr="00410F65" w:rsidRDefault="00C46B1A" w:rsidP="00101CE8">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Finalmente, se establece que las instituciones públicas o dependencias no estarán obligadas a reinstalar al servidor público, cuando se actualicen los supuestos previstos en el mismo precepto legal, pero sí tienen la obligación de cubrir una indemnización por tres meses de salario base, veinte días por cada año de servicios en términos del artículo 95 párrafo segundo de la ley en cita y cubrir las prestaciones a que tenga derecho, así como los salarios vencidos desde la fecha del despido hasta que se cumplimente el laudo, o hasta que el servidor público se incorpore a laborar en un municipio o institución pública de los poderes del Estado, independientemente del tiempo que dure el proceso.</w:t>
      </w:r>
    </w:p>
    <w:p w14:paraId="183F35FD" w14:textId="77777777" w:rsidR="00C46B1A" w:rsidRPr="00410F65" w:rsidRDefault="00C46B1A" w:rsidP="00101CE8">
      <w:pPr>
        <w:spacing w:line="360" w:lineRule="auto"/>
        <w:ind w:right="49"/>
        <w:jc w:val="both"/>
        <w:rPr>
          <w:rFonts w:ascii="Palatino Linotype" w:eastAsia="Palatino Linotype" w:hAnsi="Palatino Linotype" w:cs="Palatino Linotype"/>
          <w:sz w:val="22"/>
          <w:szCs w:val="22"/>
        </w:rPr>
      </w:pPr>
    </w:p>
    <w:p w14:paraId="4C06FAC9" w14:textId="77777777" w:rsidR="00C46B1A" w:rsidRPr="00410F65" w:rsidRDefault="00C46B1A" w:rsidP="00101CE8">
      <w:pPr>
        <w:spacing w:line="360" w:lineRule="auto"/>
        <w:ind w:right="49"/>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Por lo tanto, para la terminación o rescisión laboral, originado por renuncias o juicios ante órganos jurisdiccionales en materia laboral, de los que derivaran laudos condenando al pago de las prestaciones previstas en ese ordenamiento legal (que se traduce en finiquitos), el </w:t>
      </w:r>
      <w:r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xml:space="preserve"> debe efectuar el pago de dichas prestaciones generando necesariamente un soporte documental.</w:t>
      </w:r>
    </w:p>
    <w:p w14:paraId="42CFBC9F" w14:textId="77777777" w:rsidR="00C46B1A" w:rsidRPr="00410F65" w:rsidRDefault="00C46B1A" w:rsidP="00101CE8">
      <w:pPr>
        <w:spacing w:line="360" w:lineRule="auto"/>
        <w:ind w:right="49"/>
        <w:jc w:val="both"/>
        <w:rPr>
          <w:rFonts w:ascii="Palatino Linotype" w:eastAsia="Palatino Linotype" w:hAnsi="Palatino Linotype" w:cs="Palatino Linotype"/>
          <w:sz w:val="22"/>
          <w:szCs w:val="22"/>
        </w:rPr>
      </w:pPr>
    </w:p>
    <w:p w14:paraId="3684042B" w14:textId="55566C36" w:rsidR="00C46B1A" w:rsidRPr="00410F65" w:rsidRDefault="00C46B1A" w:rsidP="00101CE8">
      <w:pPr>
        <w:spacing w:line="360" w:lineRule="auto"/>
        <w:ind w:right="49"/>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Por otro lado, </w:t>
      </w:r>
      <w:r w:rsidR="00C80CBE" w:rsidRPr="00410F65">
        <w:rPr>
          <w:rFonts w:ascii="Palatino Linotype" w:eastAsia="Palatino Linotype" w:hAnsi="Palatino Linotype" w:cs="Palatino Linotype"/>
          <w:sz w:val="22"/>
          <w:szCs w:val="22"/>
        </w:rPr>
        <w:t xml:space="preserve">derivado de que la parte </w:t>
      </w:r>
      <w:r w:rsidR="00C80CBE" w:rsidRPr="00410F65">
        <w:rPr>
          <w:rFonts w:ascii="Palatino Linotype" w:eastAsia="Palatino Linotype" w:hAnsi="Palatino Linotype" w:cs="Palatino Linotype"/>
          <w:b/>
          <w:sz w:val="22"/>
          <w:szCs w:val="22"/>
        </w:rPr>
        <w:t>Recurrente</w:t>
      </w:r>
      <w:r w:rsidR="00C80CBE" w:rsidRPr="00410F65">
        <w:rPr>
          <w:rFonts w:ascii="Palatino Linotype" w:eastAsia="Palatino Linotype" w:hAnsi="Palatino Linotype" w:cs="Palatino Linotype"/>
          <w:sz w:val="22"/>
          <w:szCs w:val="22"/>
        </w:rPr>
        <w:t xml:space="preserve"> solicitó conocer información estadística, resulta importante </w:t>
      </w:r>
      <w:r w:rsidR="004E19B8" w:rsidRPr="00410F65">
        <w:rPr>
          <w:rFonts w:ascii="Palatino Linotype" w:eastAsia="Palatino Linotype" w:hAnsi="Palatino Linotype" w:cs="Palatino Linotype"/>
          <w:sz w:val="22"/>
          <w:szCs w:val="22"/>
        </w:rPr>
        <w:t xml:space="preserve">traer a contexto </w:t>
      </w:r>
      <w:r w:rsidR="00B8634C" w:rsidRPr="00410F65">
        <w:rPr>
          <w:rFonts w:ascii="Palatino Linotype" w:eastAsia="Palatino Linotype" w:hAnsi="Palatino Linotype" w:cs="Palatino Linotype"/>
          <w:sz w:val="22"/>
          <w:szCs w:val="22"/>
        </w:rPr>
        <w:t>que,</w:t>
      </w:r>
      <w:r w:rsidR="004E19B8" w:rsidRPr="00410F65">
        <w:rPr>
          <w:rFonts w:ascii="Palatino Linotype" w:eastAsia="Palatino Linotype" w:hAnsi="Palatino Linotype" w:cs="Palatino Linotype"/>
          <w:sz w:val="22"/>
          <w:szCs w:val="22"/>
        </w:rPr>
        <w:t xml:space="preserve"> de </w:t>
      </w:r>
      <w:r w:rsidRPr="00410F65">
        <w:rPr>
          <w:rFonts w:ascii="Palatino Linotype" w:eastAsia="Palatino Linotype" w:hAnsi="Palatino Linotype" w:cs="Palatino Linotype"/>
          <w:sz w:val="22"/>
          <w:szCs w:val="22"/>
        </w:rPr>
        <w:t>los Lineamientos para la entrega del Informe Trimestral emitidos por el Órgano Superior de Fiscalización del Estado de México, se advierte lo siguiente:</w:t>
      </w:r>
    </w:p>
    <w:p w14:paraId="0B688B60" w14:textId="77777777" w:rsidR="00C46B1A" w:rsidRPr="00410F65" w:rsidRDefault="00C46B1A" w:rsidP="00101CE8">
      <w:pPr>
        <w:spacing w:line="360" w:lineRule="auto"/>
        <w:ind w:right="49"/>
        <w:jc w:val="center"/>
        <w:rPr>
          <w:rFonts w:ascii="Palatino Linotype" w:eastAsia="Palatino Linotype" w:hAnsi="Palatino Linotype" w:cs="Palatino Linotype"/>
          <w:sz w:val="22"/>
          <w:szCs w:val="22"/>
        </w:rPr>
      </w:pPr>
      <w:r w:rsidRPr="00410F65">
        <w:rPr>
          <w:rFonts w:ascii="Palatino Linotype" w:eastAsia="Palatino Linotype" w:hAnsi="Palatino Linotype" w:cs="Palatino Linotype"/>
          <w:noProof/>
          <w:sz w:val="22"/>
          <w:szCs w:val="22"/>
        </w:rPr>
        <w:drawing>
          <wp:inline distT="0" distB="0" distL="0" distR="0" wp14:anchorId="1F7FE953" wp14:editId="3966B933">
            <wp:extent cx="3896139" cy="3792772"/>
            <wp:effectExtent l="0" t="0" r="0" b="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942587" cy="3837988"/>
                    </a:xfrm>
                    <a:prstGeom prst="rect">
                      <a:avLst/>
                    </a:prstGeom>
                    <a:ln/>
                  </pic:spPr>
                </pic:pic>
              </a:graphicData>
            </a:graphic>
          </wp:inline>
        </w:drawing>
      </w:r>
    </w:p>
    <w:p w14:paraId="05E7B148" w14:textId="77777777" w:rsidR="00B8634C" w:rsidRPr="00410F65" w:rsidRDefault="00B8634C" w:rsidP="00101CE8">
      <w:pPr>
        <w:spacing w:line="360" w:lineRule="auto"/>
        <w:ind w:right="49"/>
        <w:jc w:val="center"/>
        <w:rPr>
          <w:rFonts w:ascii="Palatino Linotype" w:eastAsia="Palatino Linotype" w:hAnsi="Palatino Linotype" w:cs="Palatino Linotype"/>
          <w:sz w:val="22"/>
          <w:szCs w:val="22"/>
        </w:rPr>
      </w:pPr>
    </w:p>
    <w:p w14:paraId="44B79833" w14:textId="77777777" w:rsidR="00C46B1A" w:rsidRPr="00410F65" w:rsidRDefault="00BA526B" w:rsidP="00101CE8">
      <w:pPr>
        <w:spacing w:line="360" w:lineRule="auto"/>
        <w:ind w:right="49"/>
        <w:jc w:val="both"/>
        <w:rPr>
          <w:rFonts w:ascii="Palatino Linotype" w:eastAsia="Palatino Linotype" w:hAnsi="Palatino Linotype" w:cs="Palatino Linotype"/>
          <w:sz w:val="22"/>
          <w:szCs w:val="22"/>
        </w:rPr>
      </w:pPr>
      <w:r w:rsidRPr="00410F65">
        <w:rPr>
          <w:rFonts w:ascii="Palatino Linotype" w:hAnsi="Palatino Linotype"/>
          <w:noProof/>
          <w:sz w:val="22"/>
          <w:szCs w:val="22"/>
        </w:rPr>
        <mc:AlternateContent>
          <mc:Choice Requires="wps">
            <w:drawing>
              <wp:anchor distT="0" distB="0" distL="114300" distR="114300" simplePos="0" relativeHeight="251661312" behindDoc="0" locked="0" layoutInCell="1" hidden="0" allowOverlap="1" wp14:anchorId="335B3296" wp14:editId="4CB082D4">
                <wp:simplePos x="0" y="0"/>
                <wp:positionH relativeFrom="column">
                  <wp:posOffset>100965</wp:posOffset>
                </wp:positionH>
                <wp:positionV relativeFrom="paragraph">
                  <wp:posOffset>1808480</wp:posOffset>
                </wp:positionV>
                <wp:extent cx="3457575" cy="447675"/>
                <wp:effectExtent l="0" t="0" r="28575" b="28575"/>
                <wp:wrapNone/>
                <wp:docPr id="45" name="Rectángulo 45"/>
                <wp:cNvGraphicFramePr/>
                <a:graphic xmlns:a="http://schemas.openxmlformats.org/drawingml/2006/main">
                  <a:graphicData uri="http://schemas.microsoft.com/office/word/2010/wordprocessingShape">
                    <wps:wsp>
                      <wps:cNvSpPr/>
                      <wps:spPr>
                        <a:xfrm>
                          <a:off x="0" y="0"/>
                          <a:ext cx="3457575" cy="447675"/>
                        </a:xfrm>
                        <a:prstGeom prst="rect">
                          <a:avLst/>
                        </a:prstGeom>
                        <a:noFill/>
                        <a:ln w="19050" cap="flat" cmpd="sng">
                          <a:solidFill>
                            <a:srgbClr val="FF0000"/>
                          </a:solidFill>
                          <a:prstDash val="solid"/>
                          <a:miter lim="800000"/>
                          <a:headEnd type="none" w="sm" len="sm"/>
                          <a:tailEnd type="none" w="sm" len="sm"/>
                        </a:ln>
                      </wps:spPr>
                      <wps:txbx>
                        <w:txbxContent>
                          <w:p w14:paraId="1A5C62FC" w14:textId="77777777" w:rsidR="00876FDE" w:rsidRDefault="00876FDE" w:rsidP="00C46B1A">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35B3296" id="Rectángulo 45" o:spid="_x0000_s1026" style="position:absolute;left:0;text-align:left;margin-left:7.95pt;margin-top:142.4pt;width:272.2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" filled="f" strokecolor="red" strokeweight="1.5pt">
                <v:stroke startarrowwidth="narrow" startarrowlength="short" endarrowwidth="narrow" endarrowlength="short"/>
                <v:textbox inset="2.53958mm,2.53958mm,2.53958mm,2.53958mm">
                  <w:txbxContent>
                    <w:p w14:paraId="1A5C62FC" w14:textId="77777777" w:rsidR="00876FDE" w:rsidRDefault="00876FDE" w:rsidP="00C46B1A">
                      <w:pPr>
                        <w:textDirection w:val="btLr"/>
                      </w:pPr>
                    </w:p>
                  </w:txbxContent>
                </v:textbox>
              </v:rect>
            </w:pict>
          </mc:Fallback>
        </mc:AlternateContent>
      </w:r>
      <w:r w:rsidR="00C46B1A" w:rsidRPr="00410F65">
        <w:rPr>
          <w:rFonts w:ascii="Palatino Linotype" w:eastAsia="Palatino Linotype" w:hAnsi="Palatino Linotype" w:cs="Palatino Linotype"/>
          <w:noProof/>
          <w:sz w:val="22"/>
          <w:szCs w:val="22"/>
        </w:rPr>
        <w:drawing>
          <wp:inline distT="0" distB="0" distL="0" distR="0" wp14:anchorId="2A97CCCB" wp14:editId="1C98500E">
            <wp:extent cx="5612130" cy="3979545"/>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612130" cy="3979545"/>
                    </a:xfrm>
                    <a:prstGeom prst="rect">
                      <a:avLst/>
                    </a:prstGeom>
                    <a:ln/>
                  </pic:spPr>
                </pic:pic>
              </a:graphicData>
            </a:graphic>
          </wp:inline>
        </w:drawing>
      </w:r>
      <w:r w:rsidR="00C46B1A" w:rsidRPr="00410F65">
        <w:rPr>
          <w:rFonts w:ascii="Palatino Linotype" w:hAnsi="Palatino Linotype"/>
          <w:noProof/>
          <w:sz w:val="22"/>
          <w:szCs w:val="22"/>
        </w:rPr>
        <mc:AlternateContent>
          <mc:Choice Requires="wps">
            <w:drawing>
              <wp:anchor distT="0" distB="0" distL="114300" distR="114300" simplePos="0" relativeHeight="251659264" behindDoc="0" locked="0" layoutInCell="1" hidden="0" allowOverlap="1" wp14:anchorId="1A43E76E" wp14:editId="3A121F3C">
                <wp:simplePos x="0" y="0"/>
                <wp:positionH relativeFrom="column">
                  <wp:posOffset>88901</wp:posOffset>
                </wp:positionH>
                <wp:positionV relativeFrom="paragraph">
                  <wp:posOffset>342900</wp:posOffset>
                </wp:positionV>
                <wp:extent cx="4152900" cy="161925"/>
                <wp:effectExtent l="0" t="0" r="0" b="0"/>
                <wp:wrapNone/>
                <wp:docPr id="42" name="Rectángulo 42"/>
                <wp:cNvGraphicFramePr/>
                <a:graphic xmlns:a="http://schemas.openxmlformats.org/drawingml/2006/main">
                  <a:graphicData uri="http://schemas.microsoft.com/office/word/2010/wordprocessingShape">
                    <wps:wsp>
                      <wps:cNvSpPr/>
                      <wps:spPr>
                        <a:xfrm>
                          <a:off x="3279075" y="3708563"/>
                          <a:ext cx="4133850" cy="142875"/>
                        </a:xfrm>
                        <a:prstGeom prst="rect">
                          <a:avLst/>
                        </a:prstGeom>
                        <a:noFill/>
                        <a:ln w="19050" cap="flat" cmpd="sng">
                          <a:solidFill>
                            <a:srgbClr val="FF0000"/>
                          </a:solidFill>
                          <a:prstDash val="solid"/>
                          <a:miter lim="800000"/>
                          <a:headEnd type="none" w="sm" len="sm"/>
                          <a:tailEnd type="none" w="sm" len="sm"/>
                        </a:ln>
                      </wps:spPr>
                      <wps:txbx>
                        <w:txbxContent>
                          <w:p w14:paraId="034E128C" w14:textId="77777777" w:rsidR="00876FDE" w:rsidRDefault="00876FDE" w:rsidP="00C46B1A">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A43E76E" id="Rectángulo 42" o:spid="_x0000_s1027" style="position:absolute;left:0;text-align:left;margin-left:7pt;margin-top:27pt;width:327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" filled="f" strokecolor="red" strokeweight="1.5pt">
                <v:stroke startarrowwidth="narrow" startarrowlength="short" endarrowwidth="narrow" endarrowlength="short"/>
                <v:textbox inset="2.53958mm,2.53958mm,2.53958mm,2.53958mm">
                  <w:txbxContent>
                    <w:p w14:paraId="034E128C" w14:textId="77777777" w:rsidR="00876FDE" w:rsidRDefault="00876FDE" w:rsidP="00C46B1A">
                      <w:pPr>
                        <w:textDirection w:val="btLr"/>
                      </w:pPr>
                    </w:p>
                  </w:txbxContent>
                </v:textbox>
              </v:rect>
            </w:pict>
          </mc:Fallback>
        </mc:AlternateContent>
      </w:r>
      <w:r w:rsidR="00C46B1A" w:rsidRPr="00410F65">
        <w:rPr>
          <w:rFonts w:ascii="Palatino Linotype" w:hAnsi="Palatino Linotype"/>
          <w:noProof/>
          <w:sz w:val="22"/>
          <w:szCs w:val="22"/>
        </w:rPr>
        <mc:AlternateContent>
          <mc:Choice Requires="wps">
            <w:drawing>
              <wp:anchor distT="0" distB="0" distL="114300" distR="114300" simplePos="0" relativeHeight="251660288" behindDoc="0" locked="0" layoutInCell="1" hidden="0" allowOverlap="1" wp14:anchorId="64450415" wp14:editId="46BA77D0">
                <wp:simplePos x="0" y="0"/>
                <wp:positionH relativeFrom="column">
                  <wp:posOffset>114300</wp:posOffset>
                </wp:positionH>
                <wp:positionV relativeFrom="paragraph">
                  <wp:posOffset>990600</wp:posOffset>
                </wp:positionV>
                <wp:extent cx="4953000" cy="152400"/>
                <wp:effectExtent l="0" t="0" r="0" b="0"/>
                <wp:wrapNone/>
                <wp:docPr id="46" name="Rectángulo 46"/>
                <wp:cNvGraphicFramePr/>
                <a:graphic xmlns:a="http://schemas.openxmlformats.org/drawingml/2006/main">
                  <a:graphicData uri="http://schemas.microsoft.com/office/word/2010/wordprocessingShape">
                    <wps:wsp>
                      <wps:cNvSpPr/>
                      <wps:spPr>
                        <a:xfrm>
                          <a:off x="2879025" y="3713325"/>
                          <a:ext cx="4933950" cy="133350"/>
                        </a:xfrm>
                        <a:prstGeom prst="rect">
                          <a:avLst/>
                        </a:prstGeom>
                        <a:noFill/>
                        <a:ln w="19050" cap="flat" cmpd="sng">
                          <a:solidFill>
                            <a:srgbClr val="FF0000"/>
                          </a:solidFill>
                          <a:prstDash val="solid"/>
                          <a:miter lim="800000"/>
                          <a:headEnd type="none" w="sm" len="sm"/>
                          <a:tailEnd type="none" w="sm" len="sm"/>
                        </a:ln>
                      </wps:spPr>
                      <wps:txbx>
                        <w:txbxContent>
                          <w:p w14:paraId="20E81F99" w14:textId="77777777" w:rsidR="00876FDE" w:rsidRDefault="00876FDE" w:rsidP="00C46B1A">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4450415" id="Rectángulo 46" o:spid="_x0000_s1028" style="position:absolute;left:0;text-align:left;margin-left:9pt;margin-top:78pt;width:390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" filled="f" strokecolor="red" strokeweight="1.5pt">
                <v:stroke startarrowwidth="narrow" startarrowlength="short" endarrowwidth="narrow" endarrowlength="short"/>
                <v:textbox inset="2.53958mm,2.53958mm,2.53958mm,2.53958mm">
                  <w:txbxContent>
                    <w:p w14:paraId="20E81F99" w14:textId="77777777" w:rsidR="00876FDE" w:rsidRDefault="00876FDE" w:rsidP="00C46B1A">
                      <w:pPr>
                        <w:textDirection w:val="btLr"/>
                      </w:pPr>
                    </w:p>
                  </w:txbxContent>
                </v:textbox>
              </v:rect>
            </w:pict>
          </mc:Fallback>
        </mc:AlternateContent>
      </w:r>
    </w:p>
    <w:p w14:paraId="5256B5F4" w14:textId="77777777" w:rsidR="00C46B1A" w:rsidRPr="00410F65" w:rsidRDefault="00C46B1A" w:rsidP="00101CE8">
      <w:pPr>
        <w:spacing w:line="360" w:lineRule="auto"/>
        <w:ind w:right="49"/>
        <w:jc w:val="both"/>
        <w:rPr>
          <w:rFonts w:ascii="Palatino Linotype" w:eastAsia="Palatino Linotype" w:hAnsi="Palatino Linotype" w:cs="Palatino Linotype"/>
          <w:sz w:val="22"/>
          <w:szCs w:val="22"/>
        </w:rPr>
      </w:pPr>
    </w:p>
    <w:p w14:paraId="0BB20A79" w14:textId="0EE64034" w:rsidR="00C46B1A" w:rsidRPr="00410F65" w:rsidRDefault="00C46B1A" w:rsidP="00B8634C">
      <w:pPr>
        <w:spacing w:line="360" w:lineRule="auto"/>
        <w:ind w:right="49"/>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De lo anterior, se prevé que contrario con lo referido por el </w:t>
      </w:r>
      <w:r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xml:space="preserve"> </w:t>
      </w:r>
      <w:r w:rsidR="00BA526B" w:rsidRPr="00410F65">
        <w:rPr>
          <w:rFonts w:ascii="Palatino Linotype" w:eastAsia="Palatino Linotype" w:hAnsi="Palatino Linotype" w:cs="Palatino Linotype"/>
          <w:sz w:val="22"/>
          <w:szCs w:val="22"/>
        </w:rPr>
        <w:t xml:space="preserve">en informe justificado </w:t>
      </w:r>
      <w:r w:rsidRPr="00410F65">
        <w:rPr>
          <w:rFonts w:ascii="Palatino Linotype" w:eastAsia="Palatino Linotype" w:hAnsi="Palatino Linotype" w:cs="Palatino Linotype"/>
          <w:sz w:val="22"/>
          <w:szCs w:val="22"/>
        </w:rPr>
        <w:t xml:space="preserve">a través del Consejero jurídico, este si cuenta con atribuciones para generar, poseer y administrar la información requerida por la parte </w:t>
      </w:r>
      <w:r w:rsidRPr="00410F65">
        <w:rPr>
          <w:rFonts w:ascii="Palatino Linotype" w:eastAsia="Palatino Linotype" w:hAnsi="Palatino Linotype" w:cs="Palatino Linotype"/>
          <w:b/>
          <w:sz w:val="22"/>
          <w:szCs w:val="22"/>
        </w:rPr>
        <w:t>Recurrente</w:t>
      </w:r>
      <w:r w:rsidRPr="00410F65">
        <w:rPr>
          <w:rFonts w:ascii="Palatino Linotype" w:eastAsia="Palatino Linotype" w:hAnsi="Palatino Linotype" w:cs="Palatino Linotype"/>
          <w:sz w:val="22"/>
          <w:szCs w:val="22"/>
        </w:rPr>
        <w:t xml:space="preserve">, puesto que tal y como se refirió en párrafos que anteceden, es la unidad administrativa competente para recibir, registrar y atender las demandas laborales interpuestas ante el Tribunal estatal de Conciliación y Arbitraje y continuar los juicios en todas sus etapas hasta su culminación. </w:t>
      </w:r>
      <w:r w:rsidR="004E19B8" w:rsidRPr="00410F65">
        <w:rPr>
          <w:rFonts w:ascii="Palatino Linotype" w:eastAsia="Palatino Linotype" w:hAnsi="Palatino Linotype" w:cs="Palatino Linotype"/>
          <w:sz w:val="22"/>
          <w:szCs w:val="22"/>
        </w:rPr>
        <w:t xml:space="preserve">Aunado a que es </w:t>
      </w:r>
      <w:r w:rsidR="00980541" w:rsidRPr="00410F65">
        <w:rPr>
          <w:rFonts w:ascii="Palatino Linotype" w:eastAsia="Palatino Linotype" w:hAnsi="Palatino Linotype" w:cs="Palatino Linotype"/>
          <w:sz w:val="22"/>
          <w:szCs w:val="22"/>
        </w:rPr>
        <w:t xml:space="preserve">el documento que de manera enunciativa más no limitativa puede atender lo requerido por la parte </w:t>
      </w:r>
      <w:r w:rsidR="00980541" w:rsidRPr="00410F65">
        <w:rPr>
          <w:rFonts w:ascii="Palatino Linotype" w:eastAsia="Palatino Linotype" w:hAnsi="Palatino Linotype" w:cs="Palatino Linotype"/>
          <w:b/>
          <w:sz w:val="22"/>
          <w:szCs w:val="22"/>
        </w:rPr>
        <w:t>Recurrente</w:t>
      </w:r>
      <w:r w:rsidR="00980541" w:rsidRPr="00410F65">
        <w:rPr>
          <w:rFonts w:ascii="Palatino Linotype" w:eastAsia="Palatino Linotype" w:hAnsi="Palatino Linotype" w:cs="Palatino Linotype"/>
          <w:sz w:val="22"/>
          <w:szCs w:val="22"/>
        </w:rPr>
        <w:t>, pues de este se advierte el número de demandas y el status en el que se encuentran</w:t>
      </w:r>
      <w:r w:rsidR="00B8634C" w:rsidRPr="00410F65">
        <w:rPr>
          <w:rFonts w:ascii="Palatino Linotype" w:eastAsia="Palatino Linotype" w:hAnsi="Palatino Linotype" w:cs="Palatino Linotype"/>
          <w:sz w:val="22"/>
          <w:szCs w:val="22"/>
        </w:rPr>
        <w:t xml:space="preserve">; por lo que resulta procedente ordenar previa búsqueda exhaustiva y razonable, la entrega del </w:t>
      </w:r>
      <w:r w:rsidR="00C80CBE" w:rsidRPr="00410F65">
        <w:rPr>
          <w:rFonts w:ascii="Palatino Linotype" w:eastAsia="Palatino Linotype" w:hAnsi="Palatino Linotype" w:cs="Palatino Linotype"/>
          <w:sz w:val="22"/>
          <w:szCs w:val="22"/>
        </w:rPr>
        <w:t>documento que dé cuenta del número de demandas</w:t>
      </w:r>
      <w:r w:rsidR="002B3A03" w:rsidRPr="00410F65">
        <w:rPr>
          <w:rFonts w:ascii="Palatino Linotype" w:eastAsia="Palatino Linotype" w:hAnsi="Palatino Linotype" w:cs="Palatino Linotype"/>
          <w:sz w:val="22"/>
          <w:szCs w:val="22"/>
        </w:rPr>
        <w:t xml:space="preserve"> laborales</w:t>
      </w:r>
      <w:r w:rsidR="00C80CBE" w:rsidRPr="00410F65">
        <w:rPr>
          <w:rFonts w:ascii="Palatino Linotype" w:eastAsia="Palatino Linotype" w:hAnsi="Palatino Linotype" w:cs="Palatino Linotype"/>
          <w:sz w:val="22"/>
          <w:szCs w:val="22"/>
        </w:rPr>
        <w:t xml:space="preserve"> interpuestas por el personal dado de baja; así como el estatus en el que este se encuentre</w:t>
      </w:r>
      <w:r w:rsidRPr="00410F65">
        <w:rPr>
          <w:rFonts w:ascii="Palatino Linotype" w:eastAsia="Palatino Linotype" w:hAnsi="Palatino Linotype" w:cs="Palatino Linotype"/>
          <w:sz w:val="22"/>
          <w:szCs w:val="22"/>
        </w:rPr>
        <w:t xml:space="preserve">, del </w:t>
      </w:r>
      <w:r w:rsidR="00C80CBE" w:rsidRPr="00410F65">
        <w:rPr>
          <w:rFonts w:ascii="Palatino Linotype" w:eastAsia="Palatino Linotype" w:hAnsi="Palatino Linotype" w:cs="Palatino Linotype"/>
          <w:sz w:val="22"/>
          <w:szCs w:val="22"/>
        </w:rPr>
        <w:t>siete de julio de dos mil veinticuatro al siete de julio de dos mil veinticinco</w:t>
      </w:r>
      <w:r w:rsidRPr="00410F65">
        <w:rPr>
          <w:rFonts w:ascii="Palatino Linotype" w:eastAsia="Palatino Linotype" w:hAnsi="Palatino Linotype" w:cs="Palatino Linotype"/>
          <w:sz w:val="22"/>
          <w:szCs w:val="22"/>
        </w:rPr>
        <w:t xml:space="preserve">. </w:t>
      </w:r>
    </w:p>
    <w:p w14:paraId="48488A17" w14:textId="77777777" w:rsidR="00C46B1A" w:rsidRPr="00410F65" w:rsidRDefault="00C46B1A" w:rsidP="00101C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1E66ECC" w14:textId="77777777" w:rsidR="00C46B1A" w:rsidRPr="00410F65" w:rsidRDefault="00C46B1A" w:rsidP="00101CE8">
      <w:pPr>
        <w:spacing w:line="360" w:lineRule="auto"/>
        <w:ind w:right="49"/>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En lo que respecta a los </w:t>
      </w:r>
      <w:r w:rsidRPr="00410F65">
        <w:rPr>
          <w:rFonts w:ascii="Palatino Linotype" w:eastAsia="Palatino Linotype" w:hAnsi="Palatino Linotype" w:cs="Palatino Linotype"/>
          <w:b/>
          <w:sz w:val="22"/>
          <w:szCs w:val="22"/>
          <w:u w:val="single"/>
        </w:rPr>
        <w:t>laudos y convenios laborales</w:t>
      </w:r>
      <w:r w:rsidRPr="00410F65">
        <w:rPr>
          <w:rFonts w:ascii="Palatino Linotype" w:eastAsia="Palatino Linotype" w:hAnsi="Palatino Linotype" w:cs="Palatino Linotype"/>
          <w:sz w:val="22"/>
          <w:szCs w:val="22"/>
        </w:rPr>
        <w:t xml:space="preserve">, resulta conveniente invocar el contenido del artículo 123 apartado A, fracción XX de la Constitución Política de los Estados Unidos Mexicanos que establece que las diferencias o conflictos entre trabajadores y patrones estarán a cargo de los Tribunales Laborales del Poder Judicial de la Federación o de las entidades federativas según corresponda, debiendo sus sentencias y resoluciones observar los principios de legalidad, imparcialidad, transparencia, autonomía e independencia. </w:t>
      </w:r>
    </w:p>
    <w:p w14:paraId="6289FC06" w14:textId="77777777" w:rsidR="00B8634C" w:rsidRPr="00410F65" w:rsidRDefault="00B8634C" w:rsidP="00101CE8">
      <w:pPr>
        <w:spacing w:line="360" w:lineRule="auto"/>
        <w:ind w:right="49"/>
        <w:jc w:val="both"/>
        <w:rPr>
          <w:rFonts w:ascii="Palatino Linotype" w:eastAsia="Palatino Linotype" w:hAnsi="Palatino Linotype" w:cs="Palatino Linotype"/>
          <w:sz w:val="22"/>
          <w:szCs w:val="22"/>
        </w:rPr>
      </w:pPr>
    </w:p>
    <w:p w14:paraId="203544CE" w14:textId="77777777" w:rsidR="00C46B1A" w:rsidRPr="00410F65" w:rsidRDefault="00C46B1A"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En el mismo sentido, es preciso abordar el marco normativo aplicable al tema de la solicitud de información, a partir de lo que dispone la Ley Federal del Trabajo: </w:t>
      </w:r>
    </w:p>
    <w:p w14:paraId="3D0015B1" w14:textId="77777777" w:rsidR="00B8634C" w:rsidRPr="00410F65" w:rsidRDefault="00B8634C" w:rsidP="00101CE8">
      <w:pPr>
        <w:spacing w:line="276" w:lineRule="auto"/>
        <w:ind w:left="851" w:right="616"/>
        <w:jc w:val="center"/>
        <w:rPr>
          <w:rFonts w:ascii="Palatino Linotype" w:eastAsia="Palatino Linotype" w:hAnsi="Palatino Linotype" w:cs="Palatino Linotype"/>
          <w:i/>
          <w:sz w:val="22"/>
          <w:szCs w:val="22"/>
        </w:rPr>
      </w:pPr>
    </w:p>
    <w:p w14:paraId="369D4B42" w14:textId="629659CE" w:rsidR="00C46B1A" w:rsidRPr="00410F65" w:rsidRDefault="00C46B1A" w:rsidP="00101CE8">
      <w:pPr>
        <w:spacing w:line="276" w:lineRule="auto"/>
        <w:ind w:left="851" w:right="616"/>
        <w:jc w:val="center"/>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i/>
          <w:sz w:val="22"/>
          <w:szCs w:val="22"/>
        </w:rPr>
        <w:t>“</w:t>
      </w:r>
      <w:r w:rsidRPr="00410F65">
        <w:rPr>
          <w:rFonts w:ascii="Palatino Linotype" w:eastAsia="Palatino Linotype" w:hAnsi="Palatino Linotype" w:cs="Palatino Linotype"/>
          <w:b/>
          <w:i/>
          <w:sz w:val="22"/>
          <w:szCs w:val="22"/>
        </w:rPr>
        <w:t>CAPITULO XIII</w:t>
      </w:r>
    </w:p>
    <w:p w14:paraId="4B5CF433" w14:textId="77777777" w:rsidR="00C46B1A" w:rsidRPr="00410F65" w:rsidRDefault="00C46B1A" w:rsidP="00101CE8">
      <w:pPr>
        <w:spacing w:line="276" w:lineRule="auto"/>
        <w:ind w:left="851" w:right="616"/>
        <w:jc w:val="center"/>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De las Resoluciones Laborales</w:t>
      </w:r>
    </w:p>
    <w:p w14:paraId="48111E78" w14:textId="77777777" w:rsidR="00C46B1A" w:rsidRPr="00410F65" w:rsidRDefault="00C46B1A"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Artículo 837.-</w:t>
      </w:r>
      <w:r w:rsidRPr="00410F65">
        <w:rPr>
          <w:rFonts w:ascii="Palatino Linotype" w:eastAsia="Palatino Linotype" w:hAnsi="Palatino Linotype" w:cs="Palatino Linotype"/>
          <w:i/>
          <w:sz w:val="22"/>
          <w:szCs w:val="22"/>
        </w:rPr>
        <w:t xml:space="preserve"> Las resoluciones de los tribunales laborales son:</w:t>
      </w:r>
    </w:p>
    <w:p w14:paraId="53CAC88B" w14:textId="77777777" w:rsidR="00C46B1A" w:rsidRPr="00410F65" w:rsidRDefault="00C46B1A"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 Acuerdos: si se refieren a simples determinaciones de trámite o cuando decidan cualquier cuestión dentro del negocio;</w:t>
      </w:r>
    </w:p>
    <w:p w14:paraId="257C6C5E" w14:textId="77777777" w:rsidR="00C46B1A" w:rsidRPr="00410F65" w:rsidRDefault="00C46B1A"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II. Autos incidentales o resoluciones interlocutorias: cuando resuelvan dentro o fuera de juicio un incidente; y</w:t>
      </w:r>
    </w:p>
    <w:p w14:paraId="31560CE5" w14:textId="77777777" w:rsidR="00C46B1A" w:rsidRPr="00410F65" w:rsidRDefault="00C46B1A"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III. Sentencias: cuando decidan sobre el fondo del conflicto</w:t>
      </w:r>
      <w:r w:rsidRPr="00410F65">
        <w:rPr>
          <w:rFonts w:ascii="Palatino Linotype" w:eastAsia="Palatino Linotype" w:hAnsi="Palatino Linotype" w:cs="Palatino Linotype"/>
          <w:i/>
          <w:sz w:val="22"/>
          <w:szCs w:val="22"/>
        </w:rPr>
        <w:t>.</w:t>
      </w:r>
    </w:p>
    <w:p w14:paraId="4D397040" w14:textId="77777777" w:rsidR="00C46B1A" w:rsidRPr="00410F65" w:rsidRDefault="00C46B1A"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 xml:space="preserve">… </w:t>
      </w:r>
    </w:p>
    <w:p w14:paraId="2F9436E5" w14:textId="77777777" w:rsidR="00C46B1A" w:rsidRPr="00410F65" w:rsidRDefault="00C46B1A" w:rsidP="00101CE8">
      <w:pPr>
        <w:spacing w:line="276" w:lineRule="auto"/>
        <w:ind w:left="851" w:right="616"/>
        <w:jc w:val="both"/>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b/>
          <w:i/>
          <w:sz w:val="22"/>
          <w:szCs w:val="22"/>
        </w:rPr>
        <w:t>Artículo 840.- El sentencia contendrá:</w:t>
      </w:r>
    </w:p>
    <w:p w14:paraId="640ABB64" w14:textId="77777777" w:rsidR="00C46B1A" w:rsidRPr="00410F65" w:rsidRDefault="00C46B1A"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 Lugar, fecha y Junta que lo pronuncie;</w:t>
      </w:r>
    </w:p>
    <w:p w14:paraId="0AC3E11E" w14:textId="77777777" w:rsidR="00C46B1A" w:rsidRPr="00410F65" w:rsidRDefault="00C46B1A"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II. Nombres y domicilios de las partes y de sus representantes;</w:t>
      </w:r>
    </w:p>
    <w:p w14:paraId="17A0040F" w14:textId="77777777" w:rsidR="00C46B1A" w:rsidRPr="00410F65" w:rsidRDefault="00C46B1A"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III. Extracto de la demanda y su contestación; réplica y contrarréplica y, en su caso, de la reconvención y contestación a la misma, que deberá contener con claridad y concisión las peticiones de las partes y los hechos controvertidos;</w:t>
      </w:r>
    </w:p>
    <w:p w14:paraId="70C863DA" w14:textId="77777777" w:rsidR="00C46B1A" w:rsidRPr="00410F65" w:rsidRDefault="00C46B1A"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IV. Enumeración de las pruebas admitidas y desahogadas y su apreciación en conciencia, señalando los hechos que deban considerarse probados;</w:t>
      </w:r>
    </w:p>
    <w:p w14:paraId="52AB8912" w14:textId="77777777" w:rsidR="00C46B1A" w:rsidRPr="00410F65" w:rsidRDefault="00C46B1A"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V. Extracto de los alegatos;</w:t>
      </w:r>
    </w:p>
    <w:p w14:paraId="19B66084" w14:textId="77777777" w:rsidR="00C46B1A" w:rsidRPr="00410F65" w:rsidRDefault="00C46B1A"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VI. Las razones legales o de equidad, la jurisprudencia y doctrina que les sirva de fundamento; y</w:t>
      </w:r>
    </w:p>
    <w:p w14:paraId="04A16DCA" w14:textId="77777777" w:rsidR="00C46B1A" w:rsidRPr="00410F65" w:rsidRDefault="00C46B1A" w:rsidP="00101CE8">
      <w:pPr>
        <w:spacing w:line="276" w:lineRule="auto"/>
        <w:ind w:left="851" w:right="616"/>
        <w:jc w:val="both"/>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i/>
          <w:sz w:val="22"/>
          <w:szCs w:val="22"/>
        </w:rPr>
        <w:t>VII. Los puntos resolutivos”</w:t>
      </w:r>
    </w:p>
    <w:p w14:paraId="71794501" w14:textId="77777777" w:rsidR="00B8634C" w:rsidRPr="00410F65" w:rsidRDefault="00B8634C" w:rsidP="00101CE8">
      <w:pPr>
        <w:spacing w:line="360" w:lineRule="auto"/>
        <w:jc w:val="both"/>
        <w:rPr>
          <w:rFonts w:ascii="Palatino Linotype" w:eastAsia="Palatino Linotype" w:hAnsi="Palatino Linotype" w:cs="Palatino Linotype"/>
          <w:sz w:val="22"/>
          <w:szCs w:val="22"/>
        </w:rPr>
      </w:pPr>
    </w:p>
    <w:p w14:paraId="3FFD9CF3" w14:textId="474D09AE" w:rsidR="00C46B1A" w:rsidRPr="00410F65" w:rsidRDefault="00C46B1A"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De manera que, los laudos son resoluciones de los Tribunales que deciden sobre el fondo del conflicto, de ahí que deban contener nombre y domicilio de las partes, extracto de la demanda y su contestación, replica y contra replica, enumeración de las pruebas admitidas, desahogadas y su apreciación, extracto de los alegatos, las razones legales o de equidad, doctrina, jurisprudencia que sirva de fundamento y los puntos resolutivos. </w:t>
      </w:r>
    </w:p>
    <w:p w14:paraId="7C3A187D" w14:textId="77777777" w:rsidR="00B8634C" w:rsidRPr="00410F65" w:rsidRDefault="00B8634C" w:rsidP="00101CE8">
      <w:pPr>
        <w:spacing w:line="360" w:lineRule="auto"/>
        <w:jc w:val="both"/>
        <w:rPr>
          <w:rFonts w:ascii="Palatino Linotype" w:eastAsia="Palatino Linotype" w:hAnsi="Palatino Linotype" w:cs="Palatino Linotype"/>
          <w:sz w:val="22"/>
          <w:szCs w:val="22"/>
        </w:rPr>
      </w:pPr>
    </w:p>
    <w:p w14:paraId="7F7AE373" w14:textId="77777777" w:rsidR="00C46B1A" w:rsidRPr="00410F65" w:rsidRDefault="00C46B1A" w:rsidP="00101CE8">
      <w:pPr>
        <w:tabs>
          <w:tab w:val="left" w:pos="4962"/>
        </w:tabs>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Aunado a ello, la Ley del Trabajo de los Servidores Públicos del Estado y Municipios, establece lo siguiente:</w:t>
      </w:r>
    </w:p>
    <w:p w14:paraId="2874B66E" w14:textId="77777777" w:rsidR="00C46B1A" w:rsidRPr="00410F65" w:rsidRDefault="00C46B1A" w:rsidP="00101CE8">
      <w:pPr>
        <w:tabs>
          <w:tab w:val="left" w:pos="4962"/>
        </w:tabs>
        <w:spacing w:line="360" w:lineRule="auto"/>
        <w:jc w:val="both"/>
        <w:rPr>
          <w:rFonts w:ascii="Palatino Linotype" w:eastAsia="Palatino Linotype" w:hAnsi="Palatino Linotype" w:cs="Palatino Linotype"/>
          <w:sz w:val="22"/>
          <w:szCs w:val="22"/>
        </w:rPr>
      </w:pPr>
    </w:p>
    <w:p w14:paraId="208752FC"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r w:rsidRPr="00410F65">
        <w:rPr>
          <w:rFonts w:ascii="Palatino Linotype" w:eastAsia="Palatino Linotype" w:hAnsi="Palatino Linotype" w:cs="Palatino Linotype"/>
          <w:b/>
          <w:i/>
          <w:sz w:val="22"/>
          <w:szCs w:val="22"/>
        </w:rPr>
        <w:t xml:space="preserve">ARTÍCULO 98. </w:t>
      </w:r>
      <w:r w:rsidRPr="00410F65">
        <w:rPr>
          <w:rFonts w:ascii="Palatino Linotype" w:eastAsia="Palatino Linotype" w:hAnsi="Palatino Linotype" w:cs="Palatino Linotype"/>
          <w:i/>
          <w:sz w:val="22"/>
          <w:szCs w:val="22"/>
        </w:rPr>
        <w:t>Son obligaciones de las instituciones públicas:</w:t>
      </w:r>
    </w:p>
    <w:p w14:paraId="028749CB"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p>
    <w:p w14:paraId="1B26A5B9"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VI. Cumplir oportunamente los laudos que dicte el Tribunal o la Sala, y pagar el monto de las indemnizaciones y demás prestaciones a que tenga derecho el servidor público;</w:t>
      </w:r>
    </w:p>
    <w:p w14:paraId="34B06DCC"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p>
    <w:p w14:paraId="6F70EF71"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ARTÍCULO 214.</w:t>
      </w:r>
      <w:r w:rsidRPr="00410F65">
        <w:rPr>
          <w:rFonts w:ascii="Palatino Linotype" w:eastAsia="Palatino Linotype" w:hAnsi="Palatino Linotype" w:cs="Palatino Linotype"/>
          <w:i/>
          <w:sz w:val="22"/>
          <w:szCs w:val="22"/>
        </w:rPr>
        <w:t xml:space="preserve"> Se harán personalmente las notificaciones siguientes:</w:t>
      </w:r>
    </w:p>
    <w:p w14:paraId="5A9EB510"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 a VII…</w:t>
      </w:r>
    </w:p>
    <w:p w14:paraId="15952020"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b/>
          <w:i/>
          <w:sz w:val="22"/>
          <w:szCs w:val="22"/>
        </w:rPr>
        <w:t>VIII. El laudo;</w:t>
      </w:r>
    </w:p>
    <w:p w14:paraId="14FE2207"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IX a XIV…</w:t>
      </w:r>
    </w:p>
    <w:p w14:paraId="746C1512" w14:textId="77777777" w:rsidR="00C46B1A" w:rsidRPr="00410F65" w:rsidRDefault="00C46B1A" w:rsidP="00101CE8">
      <w:pPr>
        <w:tabs>
          <w:tab w:val="left" w:pos="4962"/>
        </w:tabs>
        <w:spacing w:line="276" w:lineRule="auto"/>
        <w:ind w:left="851" w:right="616"/>
        <w:jc w:val="center"/>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b/>
          <w:i/>
          <w:sz w:val="22"/>
          <w:szCs w:val="22"/>
        </w:rPr>
        <w:t xml:space="preserve">CAPITULO X </w:t>
      </w:r>
    </w:p>
    <w:p w14:paraId="71714C05" w14:textId="77777777" w:rsidR="00C46B1A" w:rsidRPr="00410F65" w:rsidRDefault="00C46B1A" w:rsidP="00101CE8">
      <w:pPr>
        <w:tabs>
          <w:tab w:val="left" w:pos="4962"/>
        </w:tabs>
        <w:spacing w:line="276" w:lineRule="auto"/>
        <w:ind w:left="851" w:right="616"/>
        <w:jc w:val="center"/>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b/>
          <w:i/>
          <w:sz w:val="22"/>
          <w:szCs w:val="22"/>
        </w:rPr>
        <w:t>Del Procedimiento Laboral</w:t>
      </w:r>
    </w:p>
    <w:p w14:paraId="227E5F05"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ARTÍCULO 225.</w:t>
      </w:r>
      <w:r w:rsidRPr="00410F65">
        <w:rPr>
          <w:rFonts w:ascii="Palatino Linotype" w:eastAsia="Palatino Linotype" w:hAnsi="Palatino Linotype" w:cs="Palatino Linotype"/>
          <w:i/>
          <w:sz w:val="22"/>
          <w:szCs w:val="22"/>
        </w:rPr>
        <w:t xml:space="preserve"> Las disposiciones de este capítulo rigen la tramitación y resolución de los conflictos individuales y colectivos, con excepción de la huelga cuya tramitación se sujetará al procedimiento especial que en esta ley se contempla. </w:t>
      </w:r>
    </w:p>
    <w:p w14:paraId="650FF863"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b/>
          <w:i/>
          <w:sz w:val="22"/>
          <w:szCs w:val="22"/>
        </w:rPr>
      </w:pPr>
    </w:p>
    <w:p w14:paraId="30B8E94C"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ARTÍCULO 226</w:t>
      </w:r>
      <w:r w:rsidRPr="00410F65">
        <w:rPr>
          <w:rFonts w:ascii="Palatino Linotype" w:eastAsia="Palatino Linotype" w:hAnsi="Palatino Linotype" w:cs="Palatino Linotype"/>
          <w:i/>
          <w:sz w:val="22"/>
          <w:szCs w:val="22"/>
        </w:rPr>
        <w:t>. El procedimiento se iniciará con la presentación del escrito de demanda ante la Oficialía de Partes del Tribunal o la Sala que lo turnará a la Sala oral o mesa de audiencia según le corresponda el mismo día antes de que concluyan las labores…</w:t>
      </w:r>
    </w:p>
    <w:p w14:paraId="40DAE1B3"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p>
    <w:p w14:paraId="281168BF"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ARTÍCULO 232.-</w:t>
      </w:r>
      <w:r w:rsidRPr="00410F65">
        <w:rPr>
          <w:rFonts w:ascii="Palatino Linotype" w:eastAsia="Palatino Linotype" w:hAnsi="Palatino Linotype" w:cs="Palatino Linotype"/>
          <w:i/>
          <w:sz w:val="22"/>
          <w:szCs w:val="22"/>
        </w:rPr>
        <w:t xml:space="preserve"> La audiencia a que se refiere el artículo 229 de esta ley constará de tres etapas</w:t>
      </w:r>
    </w:p>
    <w:p w14:paraId="3EEC1D43"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 De conciliación; y</w:t>
      </w:r>
    </w:p>
    <w:p w14:paraId="032B5DD3"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II. De depuración procesal;</w:t>
      </w:r>
    </w:p>
    <w:p w14:paraId="31BB09E5"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III. De ofrecimiento y admisión de pruebas.</w:t>
      </w:r>
    </w:p>
    <w:p w14:paraId="6F777068"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La audiencia se iniciará con o sin la comparecencia de las partes. Las ausentes podrán intervenir cuando se presenten; sin embargo, tendrán por precluido el derecho para hacer valer las manifestaciones y demás actos referentes a las actuaciones ya celebradas y siempre que el Tribunal o la Sala no haya emitido el acuerdo correspondiente.</w:t>
      </w:r>
    </w:p>
    <w:p w14:paraId="54202AEF"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p>
    <w:p w14:paraId="711BF50D"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ARTÍCULO 233</w:t>
      </w:r>
      <w:r w:rsidRPr="00410F65">
        <w:rPr>
          <w:rFonts w:ascii="Palatino Linotype" w:eastAsia="Palatino Linotype" w:hAnsi="Palatino Linotype" w:cs="Palatino Linotype"/>
          <w:i/>
          <w:sz w:val="22"/>
          <w:szCs w:val="22"/>
        </w:rPr>
        <w:t xml:space="preserve">. La </w:t>
      </w:r>
      <w:r w:rsidRPr="00410F65">
        <w:rPr>
          <w:rFonts w:ascii="Palatino Linotype" w:eastAsia="Palatino Linotype" w:hAnsi="Palatino Linotype" w:cs="Palatino Linotype"/>
          <w:b/>
          <w:i/>
          <w:sz w:val="22"/>
          <w:szCs w:val="22"/>
        </w:rPr>
        <w:t xml:space="preserve">etapa conciliatoria se desarrollará </w:t>
      </w:r>
      <w:r w:rsidRPr="00410F65">
        <w:rPr>
          <w:rFonts w:ascii="Palatino Linotype" w:eastAsia="Palatino Linotype" w:hAnsi="Palatino Linotype" w:cs="Palatino Linotype"/>
          <w:i/>
          <w:sz w:val="22"/>
          <w:szCs w:val="22"/>
        </w:rPr>
        <w:t>en la siguiente forma:</w:t>
      </w:r>
    </w:p>
    <w:p w14:paraId="5894F8F2"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 Las partes podrán comparecer ante el Tribunal o la Sala personalmente o por medio de su apoderado o representante legal;</w:t>
      </w:r>
    </w:p>
    <w:p w14:paraId="661F3441"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II. El Tribunal o la Sala intervendrán para la celebración de pláticas entre las partes y las exhortarán, para que procuren llegar a un arreglo conciliatorio;</w:t>
      </w:r>
    </w:p>
    <w:p w14:paraId="5624815F"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b/>
          <w:i/>
          <w:sz w:val="22"/>
          <w:szCs w:val="22"/>
          <w:u w:val="single"/>
        </w:rPr>
      </w:pPr>
      <w:r w:rsidRPr="00410F65">
        <w:rPr>
          <w:rFonts w:ascii="Palatino Linotype" w:eastAsia="Palatino Linotype" w:hAnsi="Palatino Linotype" w:cs="Palatino Linotype"/>
          <w:b/>
          <w:i/>
          <w:sz w:val="22"/>
          <w:szCs w:val="22"/>
          <w:u w:val="single"/>
        </w:rPr>
        <w:t>III. Si las partes llegan a un acuerdo, se dará por terminado el conflicto. El convenio respectivo, aprobado por el Tribunal o la Sala, producirá todos los efectos jurídicos inherentes a un laudo;</w:t>
      </w:r>
    </w:p>
    <w:p w14:paraId="5183F898"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IV a VI…</w:t>
      </w:r>
    </w:p>
    <w:p w14:paraId="4EE4CC50"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p>
    <w:p w14:paraId="3A7F04E3"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 xml:space="preserve">ARTÍCULO 244.- </w:t>
      </w:r>
      <w:r w:rsidRPr="00410F65">
        <w:rPr>
          <w:rFonts w:ascii="Palatino Linotype" w:eastAsia="Palatino Linotype" w:hAnsi="Palatino Linotype" w:cs="Palatino Linotype"/>
          <w:i/>
          <w:sz w:val="22"/>
          <w:szCs w:val="22"/>
        </w:rPr>
        <w:t xml:space="preserve">Si la propuesta fuere aprobada, sin adiciones ni modificaciones, </w:t>
      </w:r>
      <w:r w:rsidRPr="00410F65">
        <w:rPr>
          <w:rFonts w:ascii="Palatino Linotype" w:eastAsia="Palatino Linotype" w:hAnsi="Palatino Linotype" w:cs="Palatino Linotype"/>
          <w:b/>
          <w:i/>
          <w:sz w:val="22"/>
          <w:szCs w:val="22"/>
        </w:rPr>
        <w:t>se elevará a la categoría de laudo</w:t>
      </w:r>
      <w:r w:rsidRPr="00410F65">
        <w:rPr>
          <w:rFonts w:ascii="Palatino Linotype" w:eastAsia="Palatino Linotype" w:hAnsi="Palatino Linotype" w:cs="Palatino Linotype"/>
          <w:i/>
          <w:sz w:val="22"/>
          <w:szCs w:val="22"/>
        </w:rPr>
        <w:t xml:space="preserve"> y se firmará de inmediato por los miembros del Tribunal o de la Sala. Si se le hicieran modificaciones o adiciones, se harán constar en el acta y el Presidente ordenará que de inmediato se redacte el laudo, de acuerdo con lo aprobado.</w:t>
      </w:r>
    </w:p>
    <w:p w14:paraId="35EB3A8D"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Una vez firmado el laudo, se turnará el expediente al actuario, para que de inmediato lo notifique personalmente a las partes.</w:t>
      </w:r>
    </w:p>
    <w:p w14:paraId="1C321502"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 xml:space="preserve">ARTÍCULO 249.- </w:t>
      </w:r>
      <w:r w:rsidRPr="00410F65">
        <w:rPr>
          <w:rFonts w:ascii="Palatino Linotype" w:eastAsia="Palatino Linotype" w:hAnsi="Palatino Linotype" w:cs="Palatino Linotype"/>
          <w:i/>
          <w:sz w:val="22"/>
          <w:szCs w:val="22"/>
        </w:rPr>
        <w:t>Contra el laudo dictado por el Tribunal o la Sala, no procede recurso alguno.</w:t>
      </w:r>
    </w:p>
    <w:p w14:paraId="485CA2C7"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p>
    <w:p w14:paraId="24DD76D9"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 xml:space="preserve">ARTÍCULO 251.- </w:t>
      </w:r>
      <w:r w:rsidRPr="00410F65">
        <w:rPr>
          <w:rFonts w:ascii="Palatino Linotype" w:eastAsia="Palatino Linotype" w:hAnsi="Palatino Linotype" w:cs="Palatino Linotype"/>
          <w:i/>
          <w:sz w:val="22"/>
          <w:szCs w:val="22"/>
        </w:rPr>
        <w:t>Siempre que en ejecución de un laudo o convenio, deba entregarse una suma de dinero o el cumplimiento de un derecho al servidor público, el Presidente cuidará que se le otorgue personalmente.</w:t>
      </w:r>
    </w:p>
    <w:p w14:paraId="5F253268"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p>
    <w:p w14:paraId="310B95E0" w14:textId="77777777" w:rsidR="00C46B1A" w:rsidRPr="00410F65" w:rsidRDefault="00C46B1A" w:rsidP="00101CE8">
      <w:pPr>
        <w:tabs>
          <w:tab w:val="left" w:pos="4962"/>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Los titulares de las instituciones o dependencias</w:t>
      </w:r>
      <w:r w:rsidRPr="00410F65">
        <w:rPr>
          <w:rFonts w:ascii="Palatino Linotype" w:eastAsia="Palatino Linotype" w:hAnsi="Palatino Linotype" w:cs="Palatino Linotype"/>
          <w:i/>
          <w:sz w:val="22"/>
          <w:szCs w:val="22"/>
        </w:rPr>
        <w:t xml:space="preserve"> </w:t>
      </w:r>
      <w:r w:rsidRPr="00410F65">
        <w:rPr>
          <w:rFonts w:ascii="Palatino Linotype" w:eastAsia="Palatino Linotype" w:hAnsi="Palatino Linotype" w:cs="Palatino Linotype"/>
          <w:b/>
          <w:i/>
          <w:sz w:val="22"/>
          <w:szCs w:val="22"/>
        </w:rPr>
        <w:t>y los sujetos a esta ley, se atendrán a lo dispuesto por los laudos y convenios</w:t>
      </w:r>
      <w:r w:rsidRPr="00410F65">
        <w:rPr>
          <w:rFonts w:ascii="Palatino Linotype" w:eastAsia="Palatino Linotype" w:hAnsi="Palatino Linotype" w:cs="Palatino Linotype"/>
          <w:i/>
          <w:sz w:val="22"/>
          <w:szCs w:val="22"/>
        </w:rPr>
        <w:t xml:space="preserve">, </w:t>
      </w:r>
      <w:r w:rsidRPr="00410F65">
        <w:rPr>
          <w:rFonts w:ascii="Palatino Linotype" w:eastAsia="Palatino Linotype" w:hAnsi="Palatino Linotype" w:cs="Palatino Linotype"/>
          <w:b/>
          <w:i/>
          <w:sz w:val="22"/>
          <w:szCs w:val="22"/>
        </w:rPr>
        <w:t xml:space="preserve">ordenando, en su caso el pago de las indemnizaciones sueldos o cualquier prestación en dinero que se determine en ellos, </w:t>
      </w:r>
      <w:r w:rsidRPr="00410F65">
        <w:rPr>
          <w:rFonts w:ascii="Palatino Linotype" w:eastAsia="Palatino Linotype" w:hAnsi="Palatino Linotype" w:cs="Palatino Linotype"/>
          <w:b/>
          <w:i/>
          <w:sz w:val="22"/>
          <w:szCs w:val="22"/>
          <w:u w:val="single"/>
        </w:rPr>
        <w:t>previo el establecimiento de una partida presupuestal específica para la liquidación respectiva</w:t>
      </w:r>
      <w:r w:rsidRPr="00410F65">
        <w:rPr>
          <w:rFonts w:ascii="Palatino Linotype" w:eastAsia="Palatino Linotype" w:hAnsi="Palatino Linotype" w:cs="Palatino Linotype"/>
          <w:i/>
          <w:sz w:val="22"/>
          <w:szCs w:val="22"/>
        </w:rPr>
        <w:t>.”</w:t>
      </w:r>
    </w:p>
    <w:p w14:paraId="248180E7" w14:textId="77777777" w:rsidR="00C46B1A" w:rsidRPr="00410F65" w:rsidRDefault="00C46B1A" w:rsidP="00101CE8">
      <w:pPr>
        <w:tabs>
          <w:tab w:val="left" w:pos="4962"/>
        </w:tabs>
        <w:spacing w:line="360" w:lineRule="auto"/>
        <w:ind w:left="567" w:right="539"/>
        <w:jc w:val="both"/>
        <w:rPr>
          <w:rFonts w:ascii="Palatino Linotype" w:eastAsia="Palatino Linotype" w:hAnsi="Palatino Linotype" w:cs="Palatino Linotype"/>
          <w:i/>
          <w:sz w:val="22"/>
          <w:szCs w:val="22"/>
        </w:rPr>
      </w:pPr>
    </w:p>
    <w:p w14:paraId="173ADF2F" w14:textId="77777777" w:rsidR="00C46B1A" w:rsidRPr="00410F65" w:rsidRDefault="00C46B1A" w:rsidP="00101CE8">
      <w:pPr>
        <w:spacing w:line="360" w:lineRule="auto"/>
        <w:ind w:right="-93"/>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Así de la normatividad citada, se desprende que los laudos emitidos por el Tribunal Estatal de Conciliación y Arbitraje y/o convenios celebrados ante el mismo, no admiten recurso alguno en su contra y una vez notificados por el personal adscrito al Tribunal en comento, deben ser cumplidos por las instituciones públicas sin excepción alguna; conforme a ello, podemos presumir que en los archivos del Sujeto Obligado se pueden encontrar documentos relacionados con la pretensión de la parte </w:t>
      </w:r>
      <w:r w:rsidRPr="00410F65">
        <w:rPr>
          <w:rFonts w:ascii="Palatino Linotype" w:eastAsia="Palatino Linotype" w:hAnsi="Palatino Linotype" w:cs="Palatino Linotype"/>
          <w:b/>
          <w:sz w:val="22"/>
          <w:szCs w:val="22"/>
        </w:rPr>
        <w:t>Recurrente</w:t>
      </w:r>
      <w:r w:rsidRPr="00410F65">
        <w:rPr>
          <w:rFonts w:ascii="Palatino Linotype" w:eastAsia="Palatino Linotype" w:hAnsi="Palatino Linotype" w:cs="Palatino Linotype"/>
          <w:sz w:val="22"/>
          <w:szCs w:val="22"/>
        </w:rPr>
        <w:t xml:space="preserve">. </w:t>
      </w:r>
    </w:p>
    <w:p w14:paraId="4890C991" w14:textId="77777777" w:rsidR="00C46B1A" w:rsidRPr="00410F65" w:rsidRDefault="00C46B1A" w:rsidP="00101CE8">
      <w:pPr>
        <w:spacing w:line="360" w:lineRule="auto"/>
        <w:ind w:right="-93"/>
        <w:jc w:val="both"/>
        <w:rPr>
          <w:rFonts w:ascii="Palatino Linotype" w:eastAsia="Palatino Linotype" w:hAnsi="Palatino Linotype" w:cs="Palatino Linotype"/>
          <w:sz w:val="22"/>
          <w:szCs w:val="22"/>
        </w:rPr>
      </w:pPr>
    </w:p>
    <w:p w14:paraId="7591A20E" w14:textId="77777777" w:rsidR="00C46B1A" w:rsidRPr="00410F65" w:rsidRDefault="00C46B1A" w:rsidP="00101CE8">
      <w:pPr>
        <w:spacing w:line="360" w:lineRule="auto"/>
        <w:ind w:right="-93"/>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Ahora bien, no pasa desapercibido para este Órgano Garante precisar que la información solicitada, se encuentra listada dentro de las obligaciones comunes de transparencia que deben mantener de manera permanente y actualizada los Sujetos Obligados en los medios digitales que así corresponda, esto, conforme al artículo 92, fracción XL de la Ley de Transparencia y Acceso a la Información Pública del Estado de México y Municipios, que a la letra, refiere lo siguiente:</w:t>
      </w:r>
    </w:p>
    <w:p w14:paraId="6F02DFE1" w14:textId="77777777" w:rsidR="00C46B1A" w:rsidRPr="00410F65" w:rsidRDefault="00C46B1A" w:rsidP="00101CE8">
      <w:pPr>
        <w:spacing w:line="360" w:lineRule="auto"/>
        <w:ind w:right="-93"/>
        <w:jc w:val="both"/>
        <w:rPr>
          <w:rFonts w:ascii="Palatino Linotype" w:eastAsia="Palatino Linotype" w:hAnsi="Palatino Linotype" w:cs="Palatino Linotype"/>
          <w:sz w:val="22"/>
          <w:szCs w:val="22"/>
        </w:rPr>
      </w:pPr>
    </w:p>
    <w:p w14:paraId="5C53B10C" w14:textId="77777777" w:rsidR="00C46B1A" w:rsidRPr="00410F65" w:rsidRDefault="00C46B1A"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r w:rsidRPr="00410F65">
        <w:rPr>
          <w:rFonts w:ascii="Palatino Linotype" w:eastAsia="Palatino Linotype" w:hAnsi="Palatino Linotype" w:cs="Palatino Linotype"/>
          <w:b/>
          <w:i/>
          <w:sz w:val="22"/>
          <w:szCs w:val="22"/>
        </w:rPr>
        <w:t>Artículo 92.</w:t>
      </w:r>
      <w:r w:rsidRPr="00410F65">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1BC125F" w14:textId="77777777" w:rsidR="00C46B1A" w:rsidRPr="00410F65" w:rsidRDefault="00C46B1A"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p>
    <w:p w14:paraId="77198766" w14:textId="77777777" w:rsidR="00C46B1A" w:rsidRPr="00410F65" w:rsidRDefault="00C46B1A"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XL.</w:t>
      </w:r>
      <w:r w:rsidRPr="00410F65">
        <w:rPr>
          <w:rFonts w:ascii="Palatino Linotype" w:eastAsia="Palatino Linotype" w:hAnsi="Palatino Linotype" w:cs="Palatino Linotype"/>
          <w:i/>
          <w:sz w:val="22"/>
          <w:szCs w:val="22"/>
        </w:rPr>
        <w:t xml:space="preserve"> </w:t>
      </w:r>
      <w:r w:rsidRPr="00410F65">
        <w:rPr>
          <w:rFonts w:ascii="Palatino Linotype" w:eastAsia="Palatino Linotype" w:hAnsi="Palatino Linotype" w:cs="Palatino Linotype"/>
          <w:b/>
          <w:i/>
          <w:sz w:val="22"/>
          <w:szCs w:val="22"/>
        </w:rPr>
        <w:t>Las resoluciones y laudos que se emitan en procesos o procedimientos seguidos en forma de juicio</w:t>
      </w:r>
      <w:r w:rsidRPr="00410F65">
        <w:rPr>
          <w:rFonts w:ascii="Palatino Linotype" w:eastAsia="Palatino Linotype" w:hAnsi="Palatino Linotype" w:cs="Palatino Linotype"/>
          <w:i/>
          <w:sz w:val="22"/>
          <w:szCs w:val="22"/>
        </w:rPr>
        <w:t>;</w:t>
      </w:r>
    </w:p>
    <w:p w14:paraId="296C396F" w14:textId="77777777" w:rsidR="00C46B1A" w:rsidRPr="00410F65" w:rsidRDefault="00C46B1A"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p>
    <w:p w14:paraId="79853073" w14:textId="77777777" w:rsidR="00B8634C" w:rsidRPr="00410F65" w:rsidRDefault="00B8634C" w:rsidP="00101CE8">
      <w:pPr>
        <w:spacing w:line="360" w:lineRule="auto"/>
        <w:jc w:val="both"/>
        <w:rPr>
          <w:rFonts w:ascii="Palatino Linotype" w:eastAsia="Palatino Linotype" w:hAnsi="Palatino Linotype" w:cs="Palatino Linotype"/>
          <w:sz w:val="22"/>
          <w:szCs w:val="22"/>
        </w:rPr>
      </w:pPr>
    </w:p>
    <w:p w14:paraId="37E42806" w14:textId="17FDAA91" w:rsidR="00C46B1A" w:rsidRPr="00410F65" w:rsidRDefault="00C46B1A"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Es entonces que, respecto al artículo invocado, se advierte la competencia del Ayuntamiento de Toluca para dar atención al requerimiento del particular conforme a lo previsto por los artículos 12, 24 último párrafo y 160 de la Ley de Transparencia y Acceso a la Información Pública del Estado de México y Municipios y en tal virtud, debemos agregar que uno de los objetivos de la Ley es proveer lo necesario para garantizar a toda persona el derecho de acceso a la información pública.</w:t>
      </w:r>
    </w:p>
    <w:p w14:paraId="7D26CE34" w14:textId="77777777" w:rsidR="00B8634C" w:rsidRPr="00410F65" w:rsidRDefault="00B8634C" w:rsidP="00101CE8">
      <w:pPr>
        <w:spacing w:line="360" w:lineRule="auto"/>
        <w:jc w:val="both"/>
        <w:rPr>
          <w:rFonts w:ascii="Palatino Linotype" w:eastAsia="Palatino Linotype" w:hAnsi="Palatino Linotype" w:cs="Palatino Linotype"/>
          <w:sz w:val="22"/>
          <w:szCs w:val="22"/>
        </w:rPr>
      </w:pPr>
    </w:p>
    <w:p w14:paraId="6E4AF502" w14:textId="77777777" w:rsidR="004A1CAB" w:rsidRPr="00410F65" w:rsidRDefault="00C46B1A" w:rsidP="00101CE8">
      <w:pPr>
        <w:spacing w:line="360" w:lineRule="auto"/>
        <w:jc w:val="both"/>
        <w:rPr>
          <w:rFonts w:ascii="Palatino Linotype" w:eastAsia="Palatino Linotype" w:hAnsi="Palatino Linotype" w:cs="Palatino Linotype"/>
          <w:sz w:val="22"/>
          <w:szCs w:val="22"/>
        </w:rPr>
      </w:pPr>
      <w:bookmarkStart w:id="8" w:name="_heading=h.4274zcjiellf" w:colFirst="0" w:colLast="0"/>
      <w:bookmarkEnd w:id="8"/>
      <w:r w:rsidRPr="00410F65">
        <w:rPr>
          <w:rFonts w:ascii="Palatino Linotype" w:eastAsia="Palatino Linotype" w:hAnsi="Palatino Linotype" w:cs="Palatino Linotype"/>
          <w:sz w:val="22"/>
          <w:szCs w:val="22"/>
        </w:rPr>
        <w:t xml:space="preserve">De este modo se advierte que el Ayuntamiento de Toluca si cuenta con atribuciones para generar, poseer y/o administrar la información solicitada; sin embargo, </w:t>
      </w:r>
      <w:r w:rsidR="00B8634C" w:rsidRPr="00410F65">
        <w:rPr>
          <w:rFonts w:ascii="Palatino Linotype" w:eastAsia="Palatino Linotype" w:hAnsi="Palatino Linotype" w:cs="Palatino Linotype"/>
          <w:sz w:val="22"/>
          <w:szCs w:val="22"/>
        </w:rPr>
        <w:t xml:space="preserve">en un primer momento, el Tesorero Municipal informó la entrega del Estado Analítico del Ejercicio del Presupuesto de Egresos correspondiente al primer trimestre de ejercicio 2025, sin que se adjuntara documento alguno, mientras que en informe justificado la Consejería Jurídica </w:t>
      </w:r>
      <w:r w:rsidRPr="00410F65">
        <w:rPr>
          <w:rFonts w:ascii="Palatino Linotype" w:eastAsia="Palatino Linotype" w:hAnsi="Palatino Linotype" w:cs="Palatino Linotype"/>
          <w:sz w:val="22"/>
          <w:szCs w:val="22"/>
        </w:rPr>
        <w:t xml:space="preserve">se limitó a informar que </w:t>
      </w:r>
      <w:r w:rsidR="008A2E09" w:rsidRPr="00410F65">
        <w:rPr>
          <w:rFonts w:ascii="Palatino Linotype" w:eastAsia="Palatino Linotype" w:hAnsi="Palatino Linotype" w:cs="Palatino Linotype"/>
          <w:sz w:val="22"/>
          <w:szCs w:val="22"/>
        </w:rPr>
        <w:t>no cuenta con la información solicitada, toda vez que dentro de sus atribuciones no está la de generar, poseer o administrar información laboral de servidores públicos del Ayuntamiento</w:t>
      </w:r>
      <w:r w:rsidRPr="00410F65">
        <w:rPr>
          <w:rFonts w:ascii="Palatino Linotype" w:eastAsia="Palatino Linotype" w:hAnsi="Palatino Linotype" w:cs="Palatino Linotype"/>
          <w:sz w:val="22"/>
          <w:szCs w:val="22"/>
        </w:rPr>
        <w:t xml:space="preserve">; sin embargo, </w:t>
      </w:r>
      <w:r w:rsidR="008A2E09" w:rsidRPr="00410F65">
        <w:rPr>
          <w:rFonts w:ascii="Palatino Linotype" w:eastAsia="Palatino Linotype" w:hAnsi="Palatino Linotype" w:cs="Palatino Linotype"/>
          <w:sz w:val="22"/>
          <w:szCs w:val="22"/>
        </w:rPr>
        <w:t>la</w:t>
      </w:r>
      <w:r w:rsidRPr="00410F65">
        <w:rPr>
          <w:rFonts w:ascii="Palatino Linotype" w:eastAsia="Palatino Linotype" w:hAnsi="Palatino Linotype" w:cs="Palatino Linotype"/>
          <w:sz w:val="22"/>
          <w:szCs w:val="22"/>
        </w:rPr>
        <w:t xml:space="preserve"> Consejería Jurídica a través del Departamento de Asuntos Administrativos se encarga de recibir, registrar y atender las demandas laborales interpuestas ante el Tribunal estatal de Conciliación y Arbitraje y continuar los juicios en todas sus etapas hasta su culminación; así como, celebrar convenios a nombre del ayuntamiento ante el Tribunal Estatal de Conciliación y Arbitraje, con las y los trabajadores que deciden dar por terminada la relación laboral y elaborar el informe mensual de los casos de terminación y recisión de las relaciones laborales que se presenten independientemente de su causa, así como de las acciones que al respecto se deban tener para evitar los conflictos laborales,</w:t>
      </w:r>
      <w:r w:rsidR="002B3A03" w:rsidRPr="00410F65">
        <w:rPr>
          <w:rFonts w:ascii="Palatino Linotype" w:eastAsia="Palatino Linotype" w:hAnsi="Palatino Linotype" w:cs="Palatino Linotype"/>
          <w:sz w:val="22"/>
          <w:szCs w:val="22"/>
        </w:rPr>
        <w:t xml:space="preserve"> de conformidad con el Manual de Organización de la Secretaría del Ayuntamiento; </w:t>
      </w:r>
      <w:r w:rsidRPr="00410F65">
        <w:rPr>
          <w:rFonts w:ascii="Palatino Linotype" w:eastAsia="Palatino Linotype" w:hAnsi="Palatino Linotype" w:cs="Palatino Linotype"/>
          <w:sz w:val="22"/>
          <w:szCs w:val="22"/>
        </w:rPr>
        <w:t>por lo que</w:t>
      </w:r>
      <w:r w:rsidR="002B3A03" w:rsidRPr="00410F65">
        <w:rPr>
          <w:rFonts w:ascii="Palatino Linotype" w:eastAsia="Palatino Linotype" w:hAnsi="Palatino Linotype" w:cs="Palatino Linotype"/>
          <w:sz w:val="22"/>
          <w:szCs w:val="22"/>
        </w:rPr>
        <w:t xml:space="preserve"> lo manifestado </w:t>
      </w:r>
      <w:r w:rsidR="00B8634C" w:rsidRPr="00410F65">
        <w:rPr>
          <w:rFonts w:ascii="Palatino Linotype" w:eastAsia="Palatino Linotype" w:hAnsi="Palatino Linotype" w:cs="Palatino Linotype"/>
          <w:sz w:val="22"/>
          <w:szCs w:val="22"/>
        </w:rPr>
        <w:t xml:space="preserve">tanto en respuesta como </w:t>
      </w:r>
      <w:r w:rsidR="002B3A03" w:rsidRPr="00410F65">
        <w:rPr>
          <w:rFonts w:ascii="Palatino Linotype" w:eastAsia="Palatino Linotype" w:hAnsi="Palatino Linotype" w:cs="Palatino Linotype"/>
          <w:sz w:val="22"/>
          <w:szCs w:val="22"/>
        </w:rPr>
        <w:t xml:space="preserve">en informe justificado </w:t>
      </w:r>
      <w:r w:rsidRPr="00410F65">
        <w:rPr>
          <w:rFonts w:ascii="Palatino Linotype" w:eastAsia="Palatino Linotype" w:hAnsi="Palatino Linotype" w:cs="Palatino Linotype"/>
          <w:sz w:val="22"/>
          <w:szCs w:val="22"/>
        </w:rPr>
        <w:t xml:space="preserve">no resulta congruente con las atribuciones que le son conferidas de conformidad con la normatividad que lo rige. </w:t>
      </w:r>
    </w:p>
    <w:p w14:paraId="1F56BFD5" w14:textId="77777777" w:rsidR="004A1CAB" w:rsidRPr="00410F65" w:rsidRDefault="004A1CAB" w:rsidP="00101CE8">
      <w:pPr>
        <w:spacing w:line="360" w:lineRule="auto"/>
        <w:jc w:val="both"/>
        <w:rPr>
          <w:rFonts w:ascii="Palatino Linotype" w:eastAsia="Palatino Linotype" w:hAnsi="Palatino Linotype" w:cs="Palatino Linotype"/>
          <w:sz w:val="22"/>
          <w:szCs w:val="22"/>
        </w:rPr>
      </w:pPr>
    </w:p>
    <w:p w14:paraId="36CA0C1B" w14:textId="7B995B1F" w:rsidR="00610F82" w:rsidRPr="00410F65" w:rsidRDefault="004A1CAB"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Ahora bien, este Organismo Garante considera oportuno señalar que referente al monto pagado, se localizó que </w:t>
      </w:r>
      <w:r w:rsidR="00610F82" w:rsidRPr="00410F65">
        <w:rPr>
          <w:rFonts w:ascii="Palatino Linotype" w:eastAsia="Palatino Linotype" w:hAnsi="Palatino Linotype" w:cs="Palatino Linotype"/>
          <w:sz w:val="22"/>
          <w:szCs w:val="22"/>
        </w:rPr>
        <w:t>durante la conferencia de prensa “La Toluqueña”</w:t>
      </w:r>
      <w:r w:rsidR="00610F82" w:rsidRPr="00410F65">
        <w:rPr>
          <w:rStyle w:val="Refdenotaalpie"/>
          <w:rFonts w:ascii="Palatino Linotype" w:eastAsia="Palatino Linotype" w:hAnsi="Palatino Linotype" w:cs="Palatino Linotype"/>
          <w:sz w:val="22"/>
          <w:szCs w:val="22"/>
        </w:rPr>
        <w:footnoteReference w:id="1"/>
      </w:r>
      <w:r w:rsidR="00610F82" w:rsidRPr="00410F65">
        <w:rPr>
          <w:rFonts w:ascii="Palatino Linotype" w:eastAsia="Palatino Linotype" w:hAnsi="Palatino Linotype" w:cs="Palatino Linotype"/>
          <w:sz w:val="22"/>
          <w:szCs w:val="22"/>
        </w:rPr>
        <w:t xml:space="preserve"> realizada </w:t>
      </w:r>
      <w:r w:rsidRPr="00410F65">
        <w:rPr>
          <w:rFonts w:ascii="Palatino Linotype" w:eastAsia="Palatino Linotype" w:hAnsi="Palatino Linotype" w:cs="Palatino Linotype"/>
          <w:sz w:val="22"/>
          <w:szCs w:val="22"/>
        </w:rPr>
        <w:t xml:space="preserve">en fecha veintiocho de mayo </w:t>
      </w:r>
      <w:r w:rsidR="00610F82" w:rsidRPr="00410F65">
        <w:rPr>
          <w:rFonts w:ascii="Palatino Linotype" w:eastAsia="Palatino Linotype" w:hAnsi="Palatino Linotype" w:cs="Palatino Linotype"/>
          <w:sz w:val="22"/>
          <w:szCs w:val="22"/>
        </w:rPr>
        <w:t xml:space="preserve">de dos mil veinticinco, el alcalde municipal dio a conocer que </w:t>
      </w:r>
      <w:r w:rsidRPr="00410F65">
        <w:rPr>
          <w:rFonts w:ascii="Palatino Linotype" w:eastAsia="Palatino Linotype" w:hAnsi="Palatino Linotype" w:cs="Palatino Linotype"/>
          <w:sz w:val="22"/>
          <w:szCs w:val="22"/>
        </w:rPr>
        <w:t xml:space="preserve">el gobierno Municipal de Toluca </w:t>
      </w:r>
      <w:r w:rsidR="00610F82" w:rsidRPr="00410F65">
        <w:rPr>
          <w:rFonts w:ascii="Palatino Linotype" w:eastAsia="Palatino Linotype" w:hAnsi="Palatino Linotype" w:cs="Palatino Linotype"/>
          <w:sz w:val="22"/>
          <w:szCs w:val="22"/>
        </w:rPr>
        <w:t xml:space="preserve">realizó el pago a asuntos laborales del 2016 al 2025 por mas </w:t>
      </w:r>
      <w:r w:rsidRPr="00410F65">
        <w:rPr>
          <w:rFonts w:ascii="Palatino Linotype" w:eastAsia="Palatino Linotype" w:hAnsi="Palatino Linotype" w:cs="Palatino Linotype"/>
          <w:sz w:val="22"/>
          <w:szCs w:val="22"/>
        </w:rPr>
        <w:t>de 7.5 millos de peso</w:t>
      </w:r>
      <w:r w:rsidR="00610F82" w:rsidRPr="00410F65">
        <w:rPr>
          <w:rFonts w:ascii="Palatino Linotype" w:eastAsia="Palatino Linotype" w:hAnsi="Palatino Linotype" w:cs="Palatino Linotype"/>
          <w:sz w:val="22"/>
          <w:szCs w:val="22"/>
        </w:rPr>
        <w:t xml:space="preserve">, distribuidos </w:t>
      </w:r>
      <w:r w:rsidRPr="00410F65">
        <w:rPr>
          <w:rFonts w:ascii="Palatino Linotype" w:eastAsia="Palatino Linotype" w:hAnsi="Palatino Linotype" w:cs="Palatino Linotype"/>
          <w:sz w:val="22"/>
          <w:szCs w:val="22"/>
        </w:rPr>
        <w:t xml:space="preserve">en </w:t>
      </w:r>
      <w:r w:rsidR="00610F82" w:rsidRPr="00410F65">
        <w:rPr>
          <w:rFonts w:ascii="Palatino Linotype" w:eastAsia="Palatino Linotype" w:hAnsi="Palatino Linotype" w:cs="Palatino Linotype"/>
          <w:sz w:val="22"/>
          <w:szCs w:val="22"/>
        </w:rPr>
        <w:t xml:space="preserve">84 </w:t>
      </w:r>
      <w:r w:rsidRPr="00410F65">
        <w:rPr>
          <w:rFonts w:ascii="Palatino Linotype" w:eastAsia="Palatino Linotype" w:hAnsi="Palatino Linotype" w:cs="Palatino Linotype"/>
          <w:sz w:val="22"/>
          <w:szCs w:val="22"/>
        </w:rPr>
        <w:t xml:space="preserve">finiquitos y </w:t>
      </w:r>
      <w:r w:rsidR="00610F82" w:rsidRPr="00410F65">
        <w:rPr>
          <w:rFonts w:ascii="Palatino Linotype" w:eastAsia="Palatino Linotype" w:hAnsi="Palatino Linotype" w:cs="Palatino Linotype"/>
          <w:sz w:val="22"/>
          <w:szCs w:val="22"/>
        </w:rPr>
        <w:t xml:space="preserve">31 </w:t>
      </w:r>
      <w:r w:rsidRPr="00410F65">
        <w:rPr>
          <w:rFonts w:ascii="Palatino Linotype" w:eastAsia="Palatino Linotype" w:hAnsi="Palatino Linotype" w:cs="Palatino Linotype"/>
          <w:sz w:val="22"/>
          <w:szCs w:val="22"/>
        </w:rPr>
        <w:t>laudos laborales,</w:t>
      </w:r>
      <w:r w:rsidR="00610F82" w:rsidRPr="00410F65">
        <w:rPr>
          <w:rFonts w:ascii="Palatino Linotype" w:eastAsia="Palatino Linotype" w:hAnsi="Palatino Linotype" w:cs="Palatino Linotype"/>
          <w:sz w:val="22"/>
          <w:szCs w:val="22"/>
        </w:rPr>
        <w:t xml:space="preserve"> tal y como se muestra a continuación: </w:t>
      </w:r>
    </w:p>
    <w:p w14:paraId="44F27252" w14:textId="596BBEAB" w:rsidR="004A1CAB" w:rsidRPr="00410F65" w:rsidRDefault="00610F82" w:rsidP="00610F82">
      <w:pPr>
        <w:spacing w:line="360" w:lineRule="auto"/>
        <w:jc w:val="center"/>
        <w:rPr>
          <w:rFonts w:ascii="Palatino Linotype" w:eastAsia="Palatino Linotype" w:hAnsi="Palatino Linotype" w:cs="Palatino Linotype"/>
          <w:sz w:val="22"/>
          <w:szCs w:val="22"/>
        </w:rPr>
      </w:pPr>
      <w:r w:rsidRPr="00410F65">
        <w:rPr>
          <w:rFonts w:ascii="Palatino Linotype" w:eastAsia="Palatino Linotype" w:hAnsi="Palatino Linotype" w:cs="Palatino Linotype"/>
          <w:noProof/>
          <w:sz w:val="22"/>
          <w:szCs w:val="22"/>
        </w:rPr>
        <w:drawing>
          <wp:inline distT="0" distB="0" distL="0" distR="0" wp14:anchorId="157E850F" wp14:editId="4661349A">
            <wp:extent cx="3530414" cy="37433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8563" cy="3751965"/>
                    </a:xfrm>
                    <a:prstGeom prst="rect">
                      <a:avLst/>
                    </a:prstGeom>
                  </pic:spPr>
                </pic:pic>
              </a:graphicData>
            </a:graphic>
          </wp:inline>
        </w:drawing>
      </w:r>
    </w:p>
    <w:p w14:paraId="0CE68832" w14:textId="77777777" w:rsidR="004A1CAB" w:rsidRPr="00410F65" w:rsidRDefault="004A1CAB" w:rsidP="00101CE8">
      <w:pPr>
        <w:spacing w:line="360" w:lineRule="auto"/>
        <w:jc w:val="both"/>
        <w:rPr>
          <w:rFonts w:ascii="Palatino Linotype" w:eastAsia="Palatino Linotype" w:hAnsi="Palatino Linotype" w:cs="Palatino Linotype"/>
          <w:sz w:val="22"/>
          <w:szCs w:val="22"/>
        </w:rPr>
      </w:pPr>
    </w:p>
    <w:p w14:paraId="1A2BCB31" w14:textId="455A4A48" w:rsidR="00610F82" w:rsidRPr="00410F65" w:rsidRDefault="00610F82"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noProof/>
          <w:sz w:val="22"/>
          <w:szCs w:val="22"/>
        </w:rPr>
        <w:drawing>
          <wp:inline distT="0" distB="0" distL="0" distR="0" wp14:anchorId="33E0852C" wp14:editId="2F020BD3">
            <wp:extent cx="5612130" cy="5060950"/>
            <wp:effectExtent l="0" t="0" r="762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5060950"/>
                    </a:xfrm>
                    <a:prstGeom prst="rect">
                      <a:avLst/>
                    </a:prstGeom>
                  </pic:spPr>
                </pic:pic>
              </a:graphicData>
            </a:graphic>
          </wp:inline>
        </w:drawing>
      </w:r>
    </w:p>
    <w:p w14:paraId="03039B98" w14:textId="77777777" w:rsidR="004A1CAB" w:rsidRPr="00410F65" w:rsidRDefault="004A1CAB" w:rsidP="00101CE8">
      <w:pPr>
        <w:spacing w:line="360" w:lineRule="auto"/>
        <w:jc w:val="both"/>
        <w:rPr>
          <w:rFonts w:ascii="Palatino Linotype" w:eastAsia="Palatino Linotype" w:hAnsi="Palatino Linotype" w:cs="Palatino Linotype"/>
          <w:sz w:val="22"/>
          <w:szCs w:val="22"/>
        </w:rPr>
      </w:pPr>
    </w:p>
    <w:p w14:paraId="46E039B5" w14:textId="6516572F" w:rsidR="00C46B1A" w:rsidRPr="00410F65" w:rsidRDefault="00610F82"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De lo anteriormente expuesto, se observa la existencia de la información que desea conocer la parte </w:t>
      </w:r>
      <w:r w:rsidRPr="00410F65">
        <w:rPr>
          <w:rFonts w:ascii="Palatino Linotype" w:eastAsia="Palatino Linotype" w:hAnsi="Palatino Linotype" w:cs="Palatino Linotype"/>
          <w:b/>
          <w:sz w:val="22"/>
          <w:szCs w:val="22"/>
        </w:rPr>
        <w:t>Recurrente</w:t>
      </w:r>
      <w:r w:rsidRPr="00410F65">
        <w:rPr>
          <w:rFonts w:ascii="Palatino Linotype" w:eastAsia="Palatino Linotype" w:hAnsi="Palatino Linotype" w:cs="Palatino Linotype"/>
          <w:sz w:val="22"/>
          <w:szCs w:val="22"/>
        </w:rPr>
        <w:t xml:space="preserve">, por lo que, </w:t>
      </w:r>
      <w:r w:rsidR="00C46B1A" w:rsidRPr="00410F65">
        <w:rPr>
          <w:rFonts w:ascii="Palatino Linotype" w:eastAsia="Palatino Linotype" w:hAnsi="Palatino Linotype" w:cs="Palatino Linotype"/>
          <w:sz w:val="22"/>
          <w:szCs w:val="22"/>
        </w:rPr>
        <w:t xml:space="preserve">resulta procedente ordenar previa búsqueda exhaustiva y razonable, la entrega en versión pública, el documento o documentos que den cuenta de lo siguiente: </w:t>
      </w:r>
    </w:p>
    <w:p w14:paraId="3239C45D" w14:textId="77777777" w:rsidR="00876FDE" w:rsidRPr="00410F65" w:rsidRDefault="00876FDE" w:rsidP="00101CE8">
      <w:pPr>
        <w:spacing w:line="360" w:lineRule="auto"/>
        <w:jc w:val="both"/>
        <w:rPr>
          <w:rFonts w:ascii="Palatino Linotype" w:eastAsia="Palatino Linotype" w:hAnsi="Palatino Linotype" w:cs="Palatino Linotype"/>
          <w:sz w:val="22"/>
          <w:szCs w:val="22"/>
        </w:rPr>
      </w:pPr>
    </w:p>
    <w:p w14:paraId="2312B231" w14:textId="77777777" w:rsidR="00C46B1A" w:rsidRPr="00410F65" w:rsidRDefault="00C46B1A" w:rsidP="00101CE8">
      <w:pPr>
        <w:numPr>
          <w:ilvl w:val="0"/>
          <w:numId w:val="2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Número de laudos pagados del</w:t>
      </w:r>
      <w:r w:rsidR="002B3A03" w:rsidRPr="00410F65">
        <w:rPr>
          <w:rFonts w:ascii="Palatino Linotype" w:eastAsia="Palatino Linotype" w:hAnsi="Palatino Linotype" w:cs="Palatino Linotype"/>
          <w:sz w:val="22"/>
          <w:szCs w:val="22"/>
        </w:rPr>
        <w:t xml:space="preserve"> siete de julio de dos mil veinticuatro al siete de julio de dos mil veinticinco</w:t>
      </w:r>
      <w:r w:rsidRPr="00410F65">
        <w:rPr>
          <w:rFonts w:ascii="Palatino Linotype" w:eastAsia="Palatino Linotype" w:hAnsi="Palatino Linotype" w:cs="Palatino Linotype"/>
          <w:sz w:val="22"/>
          <w:szCs w:val="22"/>
        </w:rPr>
        <w:t>.</w:t>
      </w:r>
    </w:p>
    <w:p w14:paraId="1F4AC8AF" w14:textId="77777777" w:rsidR="00C46B1A" w:rsidRPr="00410F65" w:rsidRDefault="00C46B1A" w:rsidP="00101CE8">
      <w:pPr>
        <w:numPr>
          <w:ilvl w:val="0"/>
          <w:numId w:val="2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Monto </w:t>
      </w:r>
      <w:r w:rsidR="002B3A03" w:rsidRPr="00410F65">
        <w:rPr>
          <w:rFonts w:ascii="Palatino Linotype" w:eastAsia="Palatino Linotype" w:hAnsi="Palatino Linotype" w:cs="Palatino Linotype"/>
          <w:sz w:val="22"/>
          <w:szCs w:val="22"/>
        </w:rPr>
        <w:t xml:space="preserve">pagado </w:t>
      </w:r>
      <w:r w:rsidRPr="00410F65">
        <w:rPr>
          <w:rFonts w:ascii="Palatino Linotype" w:eastAsia="Palatino Linotype" w:hAnsi="Palatino Linotype" w:cs="Palatino Linotype"/>
          <w:sz w:val="22"/>
          <w:szCs w:val="22"/>
        </w:rPr>
        <w:t xml:space="preserve">por concepto de laudos </w:t>
      </w:r>
      <w:r w:rsidR="002B3A03" w:rsidRPr="00410F65">
        <w:rPr>
          <w:rFonts w:ascii="Palatino Linotype" w:eastAsia="Palatino Linotype" w:hAnsi="Palatino Linotype" w:cs="Palatino Linotype"/>
          <w:sz w:val="22"/>
          <w:szCs w:val="22"/>
        </w:rPr>
        <w:t>del siete de julio de dos mil veinticuatro al siete de julio de dos mil veinticinco.</w:t>
      </w:r>
    </w:p>
    <w:p w14:paraId="1301B4F9" w14:textId="7AFA04D5" w:rsidR="00A76A79" w:rsidRPr="00410F65" w:rsidRDefault="00A76A79" w:rsidP="00101CE8">
      <w:pPr>
        <w:pStyle w:val="Prrafodelista"/>
        <w:numPr>
          <w:ilvl w:val="0"/>
          <w:numId w:val="27"/>
        </w:numPr>
        <w:spacing w:line="360" w:lineRule="auto"/>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Las sentencias y/o laudos concl</w:t>
      </w:r>
      <w:r w:rsidR="00C437CA" w:rsidRPr="00410F65">
        <w:rPr>
          <w:rFonts w:ascii="Palatino Linotype" w:eastAsia="Palatino Linotype" w:hAnsi="Palatino Linotype" w:cs="Palatino Linotype"/>
          <w:sz w:val="22"/>
          <w:szCs w:val="22"/>
        </w:rPr>
        <w:t>uidos que hayan causado estado</w:t>
      </w:r>
      <w:r w:rsidRPr="00410F65">
        <w:rPr>
          <w:rFonts w:ascii="Palatino Linotype" w:eastAsia="Palatino Linotype" w:hAnsi="Palatino Linotype" w:cs="Palatino Linotype"/>
          <w:sz w:val="22"/>
          <w:szCs w:val="22"/>
        </w:rPr>
        <w:t xml:space="preserve">, del siete de julio de dos mil veinticuatro al siete de julio de dos mil veinticinco. </w:t>
      </w:r>
    </w:p>
    <w:p w14:paraId="645BC33B" w14:textId="77777777" w:rsidR="00C437CA" w:rsidRPr="00410F65" w:rsidRDefault="00C437CA" w:rsidP="00101CE8">
      <w:pPr>
        <w:spacing w:line="360" w:lineRule="auto"/>
        <w:jc w:val="both"/>
        <w:rPr>
          <w:rFonts w:ascii="Palatino Linotype" w:eastAsia="Palatino Linotype" w:hAnsi="Palatino Linotype" w:cs="Palatino Linotype"/>
          <w:sz w:val="22"/>
          <w:szCs w:val="22"/>
        </w:rPr>
      </w:pPr>
    </w:p>
    <w:p w14:paraId="2F5D9C81" w14:textId="77777777" w:rsidR="000B189A" w:rsidRPr="00410F65" w:rsidRDefault="00527D5F" w:rsidP="00101C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 xml:space="preserve">Quinto. Versión pública. </w:t>
      </w:r>
      <w:r w:rsidRPr="00410F65">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410F65">
        <w:rPr>
          <w:rFonts w:ascii="Palatino Linotype" w:eastAsia="Palatino Linotype" w:hAnsi="Palatino Linotype" w:cs="Palatino Linotype"/>
          <w:b/>
          <w:sz w:val="22"/>
          <w:szCs w:val="22"/>
        </w:rPr>
        <w:t>Recurrente</w:t>
      </w:r>
      <w:r w:rsidRPr="00410F65">
        <w:rPr>
          <w:rFonts w:ascii="Palatino Linotype" w:eastAsia="Palatino Linotype" w:hAnsi="Palatino Linotype" w:cs="Palatino Linotype"/>
          <w:sz w:val="22"/>
          <w:szCs w:val="22"/>
        </w:rPr>
        <w:t xml:space="preserve"> sin menoscabar el derecho a la protección de los datos personales de terceros.</w:t>
      </w:r>
    </w:p>
    <w:p w14:paraId="3549D42F" w14:textId="77777777" w:rsidR="000B189A" w:rsidRPr="00410F65" w:rsidRDefault="000B189A" w:rsidP="00101C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C5DE850" w14:textId="77777777" w:rsidR="000B189A" w:rsidRPr="00410F65" w:rsidRDefault="00527D5F" w:rsidP="00101C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69A62BB6" w14:textId="77777777" w:rsidR="00C437CA" w:rsidRPr="00410F65" w:rsidRDefault="00C437CA" w:rsidP="00101C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6E7DFA0" w14:textId="77777777" w:rsidR="000B189A" w:rsidRPr="00410F65" w:rsidRDefault="00527D5F" w:rsidP="00101CE8">
      <w:pPr>
        <w:spacing w:line="276" w:lineRule="auto"/>
        <w:ind w:left="851" w:right="616"/>
        <w:jc w:val="both"/>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b/>
          <w:i/>
          <w:sz w:val="22"/>
          <w:szCs w:val="22"/>
        </w:rPr>
        <w:t xml:space="preserve"> “Artículo 3. Para los efectos de la presente Ley se entenderá por:</w:t>
      </w:r>
    </w:p>
    <w:p w14:paraId="287AD64B"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IX. Datos personales:</w:t>
      </w:r>
      <w:r w:rsidRPr="00410F65">
        <w:rPr>
          <w:rFonts w:ascii="Palatino Linotype" w:eastAsia="Palatino Linotype" w:hAnsi="Palatino Linotype" w:cs="Palatino Linotype"/>
          <w:i/>
          <w:sz w:val="22"/>
          <w:szCs w:val="22"/>
        </w:rPr>
        <w:t xml:space="preserve"> </w:t>
      </w:r>
      <w:r w:rsidRPr="00410F65">
        <w:rPr>
          <w:rFonts w:ascii="Palatino Linotype" w:eastAsia="Palatino Linotype" w:hAnsi="Palatino Linotype" w:cs="Palatino Linotype"/>
          <w:b/>
          <w:i/>
          <w:sz w:val="22"/>
          <w:szCs w:val="22"/>
        </w:rPr>
        <w:t>La información concerniente a una persona, identificada o identificable</w:t>
      </w:r>
      <w:r w:rsidRPr="00410F65">
        <w:rPr>
          <w:rFonts w:ascii="Palatino Linotype" w:eastAsia="Palatino Linotype" w:hAnsi="Palatino Linotype" w:cs="Palatino Linotype"/>
          <w:i/>
          <w:sz w:val="22"/>
          <w:szCs w:val="22"/>
        </w:rPr>
        <w:t xml:space="preserve"> según lo dispuesto por la Ley de Protección de Datos Personales del Estado de México;</w:t>
      </w:r>
    </w:p>
    <w:p w14:paraId="0B7BB492"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XX. Información clasificada:</w:t>
      </w:r>
      <w:r w:rsidRPr="00410F65">
        <w:rPr>
          <w:rFonts w:ascii="Palatino Linotype" w:eastAsia="Palatino Linotype" w:hAnsi="Palatino Linotype" w:cs="Palatino Linotype"/>
          <w:i/>
          <w:sz w:val="22"/>
          <w:szCs w:val="22"/>
        </w:rPr>
        <w:t xml:space="preserve"> Aquella considerada por la presente Ley como reservada o confidencial;</w:t>
      </w:r>
    </w:p>
    <w:p w14:paraId="23CAF6CB"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XXXII. Protección de Datos Personales:</w:t>
      </w:r>
      <w:r w:rsidRPr="00410F65">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3C6A949A"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XLV. Versión pública</w:t>
      </w:r>
      <w:r w:rsidRPr="00410F65">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FD39D07"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“Artículo 6.</w:t>
      </w:r>
      <w:r w:rsidRPr="00410F65">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43C0184" w14:textId="77777777" w:rsidR="000B189A" w:rsidRPr="00410F65" w:rsidRDefault="00527D5F" w:rsidP="00101CE8">
      <w:pPr>
        <w:spacing w:line="276" w:lineRule="auto"/>
        <w:ind w:left="851" w:right="616"/>
        <w:jc w:val="both"/>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b/>
          <w:i/>
          <w:sz w:val="22"/>
          <w:szCs w:val="22"/>
        </w:rPr>
        <w:t>“Artículo 137.</w:t>
      </w:r>
      <w:r w:rsidRPr="00410F65">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D12F4FB"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“Artículo 143</w:t>
      </w:r>
      <w:r w:rsidRPr="00410F6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B4CF45B"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I.</w:t>
      </w:r>
      <w:r w:rsidRPr="00410F65">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52474995"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3DEC328"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 xml:space="preserve">III. La que presenten los particulares a los sujetos obligados, de conformidad con lo dispuesto por las leyes o los tratados internacionales.” </w:t>
      </w:r>
    </w:p>
    <w:p w14:paraId="63F189D4" w14:textId="77777777" w:rsidR="000B189A" w:rsidRPr="00410F65" w:rsidRDefault="000B189A" w:rsidP="00101CE8">
      <w:pPr>
        <w:ind w:left="993" w:right="1041"/>
        <w:jc w:val="both"/>
        <w:rPr>
          <w:rFonts w:ascii="Palatino Linotype" w:eastAsia="Palatino Linotype" w:hAnsi="Palatino Linotype" w:cs="Palatino Linotype"/>
          <w:i/>
          <w:sz w:val="22"/>
          <w:szCs w:val="22"/>
        </w:rPr>
      </w:pPr>
    </w:p>
    <w:p w14:paraId="444181FA" w14:textId="77777777" w:rsidR="000B189A" w:rsidRPr="00410F65" w:rsidRDefault="00527D5F" w:rsidP="00101CE8">
      <w:pPr>
        <w:spacing w:line="360" w:lineRule="auto"/>
        <w:ind w:right="51"/>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xml:space="preserve"> deberá proceder a testar los datos personales que se encuentren contenidos en los documentos a entregar para satisfacer el derecho de acceso a la información pública de la parte </w:t>
      </w:r>
      <w:r w:rsidRPr="00410F65">
        <w:rPr>
          <w:rFonts w:ascii="Palatino Linotype" w:eastAsia="Palatino Linotype" w:hAnsi="Palatino Linotype" w:cs="Palatino Linotype"/>
          <w:b/>
          <w:sz w:val="22"/>
          <w:szCs w:val="22"/>
        </w:rPr>
        <w:t>Recurrente</w:t>
      </w:r>
      <w:r w:rsidRPr="00410F65">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024263E" w14:textId="77777777" w:rsidR="000B189A" w:rsidRPr="00410F65" w:rsidRDefault="000B189A" w:rsidP="00101CE8">
      <w:pPr>
        <w:spacing w:line="360" w:lineRule="auto"/>
        <w:ind w:right="51"/>
        <w:jc w:val="both"/>
        <w:rPr>
          <w:rFonts w:ascii="Palatino Linotype" w:eastAsia="Palatino Linotype" w:hAnsi="Palatino Linotype" w:cs="Palatino Linotype"/>
          <w:sz w:val="22"/>
          <w:szCs w:val="22"/>
        </w:rPr>
      </w:pPr>
    </w:p>
    <w:p w14:paraId="25DBEADF" w14:textId="77777777" w:rsidR="000B189A" w:rsidRPr="00410F65" w:rsidRDefault="00527D5F" w:rsidP="00101CE8">
      <w:pPr>
        <w:spacing w:line="360" w:lineRule="auto"/>
        <w:ind w:right="50"/>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0CE3865" w14:textId="77777777" w:rsidR="000B189A" w:rsidRPr="00410F65" w:rsidRDefault="000B189A" w:rsidP="00101CE8">
      <w:pPr>
        <w:spacing w:line="360" w:lineRule="auto"/>
        <w:ind w:right="51"/>
        <w:jc w:val="both"/>
        <w:rPr>
          <w:rFonts w:ascii="Palatino Linotype" w:eastAsia="Palatino Linotype" w:hAnsi="Palatino Linotype" w:cs="Palatino Linotype"/>
          <w:sz w:val="22"/>
          <w:szCs w:val="22"/>
        </w:rPr>
      </w:pPr>
    </w:p>
    <w:p w14:paraId="025623D5" w14:textId="77777777" w:rsidR="000B189A" w:rsidRPr="00410F65" w:rsidRDefault="00527D5F" w:rsidP="00101CE8">
      <w:pPr>
        <w:spacing w:line="360" w:lineRule="auto"/>
        <w:ind w:right="51"/>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3DA94B24" w14:textId="77777777" w:rsidR="000B189A" w:rsidRPr="00410F65" w:rsidRDefault="000B189A" w:rsidP="00101CE8">
      <w:pPr>
        <w:spacing w:line="360" w:lineRule="auto"/>
        <w:ind w:right="51"/>
        <w:jc w:val="both"/>
        <w:rPr>
          <w:rFonts w:ascii="Palatino Linotype" w:eastAsia="Palatino Linotype" w:hAnsi="Palatino Linotype" w:cs="Palatino Linotype"/>
          <w:sz w:val="22"/>
          <w:szCs w:val="22"/>
        </w:rPr>
      </w:pPr>
    </w:p>
    <w:p w14:paraId="22B4823A"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“Artículo 49.</w:t>
      </w:r>
      <w:r w:rsidRPr="00410F65">
        <w:rPr>
          <w:rFonts w:ascii="Palatino Linotype" w:eastAsia="Palatino Linotype" w:hAnsi="Palatino Linotype" w:cs="Palatino Linotype"/>
          <w:i/>
          <w:sz w:val="22"/>
          <w:szCs w:val="22"/>
        </w:rPr>
        <w:t xml:space="preserve"> </w:t>
      </w:r>
      <w:r w:rsidRPr="00410F65">
        <w:rPr>
          <w:rFonts w:ascii="Palatino Linotype" w:eastAsia="Palatino Linotype" w:hAnsi="Palatino Linotype" w:cs="Palatino Linotype"/>
          <w:b/>
          <w:i/>
          <w:sz w:val="22"/>
          <w:szCs w:val="22"/>
        </w:rPr>
        <w:t>Los Comités de Transparencia</w:t>
      </w:r>
      <w:r w:rsidRPr="00410F65">
        <w:rPr>
          <w:rFonts w:ascii="Palatino Linotype" w:eastAsia="Palatino Linotype" w:hAnsi="Palatino Linotype" w:cs="Palatino Linotype"/>
          <w:i/>
          <w:sz w:val="22"/>
          <w:szCs w:val="22"/>
        </w:rPr>
        <w:t xml:space="preserve"> tendrán las siguientes atribuciones:</w:t>
      </w:r>
    </w:p>
    <w:p w14:paraId="01F4A3A5"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VIII. Aprobar, modificar o revocar la clasificación de la información</w:t>
      </w:r>
      <w:r w:rsidRPr="00410F65">
        <w:rPr>
          <w:rFonts w:ascii="Palatino Linotype" w:eastAsia="Palatino Linotype" w:hAnsi="Palatino Linotype" w:cs="Palatino Linotype"/>
          <w:i/>
          <w:sz w:val="22"/>
          <w:szCs w:val="22"/>
        </w:rPr>
        <w:t>…”</w:t>
      </w:r>
    </w:p>
    <w:p w14:paraId="2136A9BD"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r w:rsidRPr="00410F65">
        <w:rPr>
          <w:rFonts w:ascii="Palatino Linotype" w:eastAsia="Palatino Linotype" w:hAnsi="Palatino Linotype" w:cs="Palatino Linotype"/>
          <w:b/>
          <w:i/>
          <w:sz w:val="22"/>
          <w:szCs w:val="22"/>
        </w:rPr>
        <w:t>Artículo 53.</w:t>
      </w:r>
      <w:r w:rsidRPr="00410F65">
        <w:rPr>
          <w:rFonts w:ascii="Palatino Linotype" w:eastAsia="Palatino Linotype" w:hAnsi="Palatino Linotype" w:cs="Palatino Linotype"/>
          <w:i/>
          <w:sz w:val="22"/>
          <w:szCs w:val="22"/>
        </w:rPr>
        <w:t xml:space="preserve"> Las </w:t>
      </w:r>
      <w:r w:rsidRPr="00410F65">
        <w:rPr>
          <w:rFonts w:ascii="Palatino Linotype" w:eastAsia="Palatino Linotype" w:hAnsi="Palatino Linotype" w:cs="Palatino Linotype"/>
          <w:b/>
          <w:i/>
          <w:sz w:val="22"/>
          <w:szCs w:val="22"/>
        </w:rPr>
        <w:t>Unidades de Transparencia</w:t>
      </w:r>
      <w:r w:rsidRPr="00410F65">
        <w:rPr>
          <w:rFonts w:ascii="Palatino Linotype" w:eastAsia="Palatino Linotype" w:hAnsi="Palatino Linotype" w:cs="Palatino Linotype"/>
          <w:i/>
          <w:sz w:val="22"/>
          <w:szCs w:val="22"/>
        </w:rPr>
        <w:t xml:space="preserve"> tendrán las siguientes </w:t>
      </w:r>
      <w:r w:rsidRPr="00410F65">
        <w:rPr>
          <w:rFonts w:ascii="Palatino Linotype" w:eastAsia="Palatino Linotype" w:hAnsi="Palatino Linotype" w:cs="Palatino Linotype"/>
          <w:b/>
          <w:i/>
          <w:sz w:val="22"/>
          <w:szCs w:val="22"/>
        </w:rPr>
        <w:t>funciones</w:t>
      </w:r>
      <w:r w:rsidRPr="00410F65">
        <w:rPr>
          <w:rFonts w:ascii="Palatino Linotype" w:eastAsia="Palatino Linotype" w:hAnsi="Palatino Linotype" w:cs="Palatino Linotype"/>
          <w:i/>
          <w:sz w:val="22"/>
          <w:szCs w:val="22"/>
        </w:rPr>
        <w:t>:</w:t>
      </w:r>
    </w:p>
    <w:p w14:paraId="491A855D"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X. Presentar ante el Comité, el proyecto de clasificación de información</w:t>
      </w:r>
      <w:r w:rsidRPr="00410F65">
        <w:rPr>
          <w:rFonts w:ascii="Palatino Linotype" w:eastAsia="Palatino Linotype" w:hAnsi="Palatino Linotype" w:cs="Palatino Linotype"/>
          <w:i/>
          <w:sz w:val="22"/>
          <w:szCs w:val="22"/>
        </w:rPr>
        <w:t xml:space="preserve">…” </w:t>
      </w:r>
    </w:p>
    <w:p w14:paraId="197B1921"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“Artículo 59.</w:t>
      </w:r>
      <w:r w:rsidRPr="00410F65">
        <w:rPr>
          <w:rFonts w:ascii="Palatino Linotype" w:eastAsia="Palatino Linotype" w:hAnsi="Palatino Linotype" w:cs="Palatino Linotype"/>
          <w:i/>
          <w:sz w:val="22"/>
          <w:szCs w:val="22"/>
        </w:rPr>
        <w:t xml:space="preserve"> Los </w:t>
      </w:r>
      <w:r w:rsidRPr="00410F65">
        <w:rPr>
          <w:rFonts w:ascii="Palatino Linotype" w:eastAsia="Palatino Linotype" w:hAnsi="Palatino Linotype" w:cs="Palatino Linotype"/>
          <w:b/>
          <w:i/>
          <w:sz w:val="22"/>
          <w:szCs w:val="22"/>
        </w:rPr>
        <w:t>servidores públicos habilitados</w:t>
      </w:r>
      <w:r w:rsidRPr="00410F65">
        <w:rPr>
          <w:rFonts w:ascii="Palatino Linotype" w:eastAsia="Palatino Linotype" w:hAnsi="Palatino Linotype" w:cs="Palatino Linotype"/>
          <w:i/>
          <w:sz w:val="22"/>
          <w:szCs w:val="22"/>
        </w:rPr>
        <w:t xml:space="preserve"> tendrán las </w:t>
      </w:r>
      <w:r w:rsidRPr="00410F65">
        <w:rPr>
          <w:rFonts w:ascii="Palatino Linotype" w:eastAsia="Palatino Linotype" w:hAnsi="Palatino Linotype" w:cs="Palatino Linotype"/>
          <w:b/>
          <w:i/>
          <w:sz w:val="22"/>
          <w:szCs w:val="22"/>
        </w:rPr>
        <w:t>funciones</w:t>
      </w:r>
      <w:r w:rsidRPr="00410F65">
        <w:rPr>
          <w:rFonts w:ascii="Palatino Linotype" w:eastAsia="Palatino Linotype" w:hAnsi="Palatino Linotype" w:cs="Palatino Linotype"/>
          <w:i/>
          <w:sz w:val="22"/>
          <w:szCs w:val="22"/>
        </w:rPr>
        <w:t xml:space="preserve"> siguientes:</w:t>
      </w:r>
    </w:p>
    <w:p w14:paraId="227FC063" w14:textId="77777777" w:rsidR="000B189A" w:rsidRPr="00410F65" w:rsidRDefault="00527D5F" w:rsidP="00101CE8">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410F65">
        <w:rPr>
          <w:rFonts w:ascii="Palatino Linotype" w:eastAsia="Palatino Linotype" w:hAnsi="Palatino Linotype" w:cs="Palatino Linotype"/>
          <w:i/>
          <w:sz w:val="22"/>
          <w:szCs w:val="22"/>
        </w:rPr>
        <w:t xml:space="preserve">, la cual tendrá los fundamentos y argumentos en que se basa dicha propuesta…” </w:t>
      </w:r>
    </w:p>
    <w:p w14:paraId="1A044EB0" w14:textId="77777777" w:rsidR="000B189A" w:rsidRPr="00410F65" w:rsidRDefault="000B189A" w:rsidP="00101CE8">
      <w:pPr>
        <w:spacing w:line="276" w:lineRule="auto"/>
        <w:ind w:left="992" w:right="1043"/>
        <w:jc w:val="both"/>
        <w:rPr>
          <w:rFonts w:ascii="Palatino Linotype" w:eastAsia="Palatino Linotype" w:hAnsi="Palatino Linotype" w:cs="Palatino Linotype"/>
          <w:i/>
          <w:sz w:val="22"/>
          <w:szCs w:val="22"/>
        </w:rPr>
      </w:pPr>
    </w:p>
    <w:p w14:paraId="324B7CAC"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4FA97F2" w14:textId="77777777" w:rsidR="000B189A" w:rsidRPr="00410F65" w:rsidRDefault="000B189A" w:rsidP="00101CE8">
      <w:pPr>
        <w:spacing w:line="360" w:lineRule="auto"/>
        <w:jc w:val="both"/>
        <w:rPr>
          <w:rFonts w:ascii="Palatino Linotype" w:eastAsia="Palatino Linotype" w:hAnsi="Palatino Linotype" w:cs="Palatino Linotype"/>
          <w:sz w:val="22"/>
          <w:szCs w:val="22"/>
        </w:rPr>
      </w:pPr>
    </w:p>
    <w:p w14:paraId="6CA3E100"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65FB9EC8" w14:textId="77777777" w:rsidR="000B189A" w:rsidRPr="00410F65" w:rsidRDefault="000B189A" w:rsidP="00101CE8">
      <w:pPr>
        <w:spacing w:line="360" w:lineRule="auto"/>
        <w:jc w:val="both"/>
        <w:rPr>
          <w:rFonts w:ascii="Palatino Linotype" w:eastAsia="Palatino Linotype" w:hAnsi="Palatino Linotype" w:cs="Palatino Linotype"/>
          <w:sz w:val="22"/>
          <w:szCs w:val="22"/>
        </w:rPr>
      </w:pPr>
    </w:p>
    <w:p w14:paraId="01073A26" w14:textId="77777777" w:rsidR="000B189A" w:rsidRPr="00410F65" w:rsidRDefault="00527D5F" w:rsidP="00101CE8">
      <w:pPr>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r w:rsidRPr="00410F65">
        <w:rPr>
          <w:rFonts w:ascii="Palatino Linotype" w:eastAsia="Palatino Linotype" w:hAnsi="Palatino Linotype" w:cs="Palatino Linotype"/>
          <w:b/>
          <w:i/>
          <w:sz w:val="22"/>
          <w:szCs w:val="22"/>
        </w:rPr>
        <w:t>Artículo 149.</w:t>
      </w:r>
      <w:r w:rsidRPr="00410F65">
        <w:rPr>
          <w:rFonts w:ascii="Palatino Linotype" w:eastAsia="Palatino Linotype" w:hAnsi="Palatino Linotype" w:cs="Palatino Linotype"/>
          <w:i/>
          <w:sz w:val="22"/>
          <w:szCs w:val="22"/>
        </w:rPr>
        <w:t xml:space="preserve"> El </w:t>
      </w:r>
      <w:r w:rsidRPr="00410F65">
        <w:rPr>
          <w:rFonts w:ascii="Palatino Linotype" w:eastAsia="Palatino Linotype" w:hAnsi="Palatino Linotype" w:cs="Palatino Linotype"/>
          <w:b/>
          <w:i/>
          <w:sz w:val="22"/>
          <w:szCs w:val="22"/>
        </w:rPr>
        <w:t>acuerdo que clasifique la información como confidencial</w:t>
      </w:r>
      <w:r w:rsidRPr="00410F65">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0D4E6EF8" w14:textId="77777777" w:rsidR="000B189A" w:rsidRPr="00410F65" w:rsidRDefault="000B189A" w:rsidP="00101CE8">
      <w:pPr>
        <w:spacing w:line="360" w:lineRule="auto"/>
        <w:ind w:right="51"/>
        <w:jc w:val="both"/>
        <w:rPr>
          <w:rFonts w:ascii="Palatino Linotype" w:eastAsia="Palatino Linotype" w:hAnsi="Palatino Linotype" w:cs="Palatino Linotype"/>
          <w:i/>
          <w:sz w:val="22"/>
          <w:szCs w:val="22"/>
        </w:rPr>
      </w:pPr>
    </w:p>
    <w:p w14:paraId="1503C530" w14:textId="77777777" w:rsidR="000B189A" w:rsidRPr="00410F65" w:rsidRDefault="00527D5F" w:rsidP="00101CE8">
      <w:pPr>
        <w:spacing w:line="360" w:lineRule="auto"/>
        <w:ind w:right="51"/>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Es decir, el</w:t>
      </w:r>
      <w:r w:rsidRPr="00410F65">
        <w:rPr>
          <w:rFonts w:ascii="Palatino Linotype" w:eastAsia="Palatino Linotype" w:hAnsi="Palatino Linotype" w:cs="Palatino Linotype"/>
          <w:b/>
          <w:sz w:val="22"/>
          <w:szCs w:val="22"/>
        </w:rPr>
        <w:t xml:space="preserve"> Sujeto Obligado</w:t>
      </w:r>
      <w:r w:rsidRPr="00410F65">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CB07E0B" w14:textId="77777777" w:rsidR="000B189A" w:rsidRPr="00410F65" w:rsidRDefault="000B189A" w:rsidP="00101CE8">
      <w:pPr>
        <w:spacing w:line="360" w:lineRule="auto"/>
        <w:ind w:right="51"/>
        <w:jc w:val="both"/>
        <w:rPr>
          <w:rFonts w:ascii="Palatino Linotype" w:eastAsia="Palatino Linotype" w:hAnsi="Palatino Linotype" w:cs="Palatino Linotype"/>
          <w:sz w:val="22"/>
          <w:szCs w:val="22"/>
        </w:rPr>
      </w:pPr>
    </w:p>
    <w:p w14:paraId="29E045A6" w14:textId="77777777" w:rsidR="009A7226" w:rsidRPr="00410F65" w:rsidRDefault="009A7226" w:rsidP="00101CE8">
      <w:pPr>
        <w:pStyle w:val="Prrafodelista"/>
        <w:numPr>
          <w:ilvl w:val="0"/>
          <w:numId w:val="28"/>
        </w:numPr>
        <w:spacing w:line="360" w:lineRule="auto"/>
        <w:jc w:val="both"/>
        <w:rPr>
          <w:rFonts w:ascii="Palatino Linotype" w:hAnsi="Palatino Linotype"/>
          <w:b/>
          <w:sz w:val="22"/>
          <w:szCs w:val="22"/>
        </w:rPr>
      </w:pPr>
      <w:r w:rsidRPr="00410F65">
        <w:rPr>
          <w:rFonts w:ascii="Palatino Linotype" w:hAnsi="Palatino Linotype"/>
          <w:b/>
          <w:sz w:val="22"/>
          <w:szCs w:val="22"/>
        </w:rPr>
        <w:t>Nombre de actores en juicios laborales que no recibieron recursos públicos.</w:t>
      </w:r>
    </w:p>
    <w:p w14:paraId="1BDCC4C7" w14:textId="77777777" w:rsidR="009A7226" w:rsidRPr="00410F65" w:rsidRDefault="009A7226" w:rsidP="00101CE8">
      <w:pPr>
        <w:spacing w:line="360" w:lineRule="auto"/>
        <w:contextualSpacing/>
        <w:jc w:val="both"/>
        <w:rPr>
          <w:rFonts w:ascii="Palatino Linotype" w:hAnsi="Palatino Linotype"/>
          <w:sz w:val="22"/>
          <w:szCs w:val="22"/>
        </w:rPr>
      </w:pPr>
      <w:r w:rsidRPr="00410F65">
        <w:rPr>
          <w:rFonts w:ascii="Palatino Linotype" w:hAnsi="Palatino Linotype"/>
          <w:sz w:val="22"/>
          <w:szCs w:val="22"/>
        </w:rPr>
        <w:t>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7F75C71A" w14:textId="77777777" w:rsidR="009A7226" w:rsidRPr="00410F65" w:rsidRDefault="009A7226" w:rsidP="00101CE8">
      <w:pPr>
        <w:spacing w:line="360" w:lineRule="auto"/>
        <w:contextualSpacing/>
        <w:jc w:val="both"/>
        <w:rPr>
          <w:rFonts w:ascii="Palatino Linotype" w:hAnsi="Palatino Linotype"/>
          <w:sz w:val="22"/>
          <w:szCs w:val="22"/>
        </w:rPr>
      </w:pPr>
    </w:p>
    <w:p w14:paraId="64643537" w14:textId="77777777" w:rsidR="009A7226" w:rsidRPr="00410F65" w:rsidRDefault="009A7226" w:rsidP="00101CE8">
      <w:pPr>
        <w:spacing w:line="360" w:lineRule="auto"/>
        <w:contextualSpacing/>
        <w:jc w:val="both"/>
        <w:rPr>
          <w:rFonts w:ascii="Palatino Linotype" w:hAnsi="Palatino Linotype"/>
          <w:sz w:val="22"/>
          <w:szCs w:val="22"/>
        </w:rPr>
      </w:pPr>
      <w:r w:rsidRPr="00410F65">
        <w:rPr>
          <w:rFonts w:ascii="Palatino Linotype" w:hAnsi="Palatino Linotype"/>
          <w:sz w:val="22"/>
          <w:szCs w:val="22"/>
        </w:rPr>
        <w:t>Al respecto, cabe precisar que el nombre de la persona que demandó al Sujeto Obligado y que dicha demanda inició un procedimiento del cual no obtuvo algún beneficio, debe ser motivo de protección, ello en atención a que este Órgano Garante debe ofrecer la mayor protección de una persona que al demandar ejercita su derecho a reclamar ante un órgano el cumplimiento de sus derechos laborales, por lo que, dar a conocer su nombre puede hacerlo identificable.</w:t>
      </w:r>
    </w:p>
    <w:p w14:paraId="735A7A16" w14:textId="77777777" w:rsidR="009A7226" w:rsidRPr="00410F65" w:rsidRDefault="009A7226" w:rsidP="00101CE8">
      <w:pPr>
        <w:spacing w:line="360" w:lineRule="auto"/>
        <w:contextualSpacing/>
        <w:jc w:val="both"/>
        <w:rPr>
          <w:rFonts w:ascii="Palatino Linotype" w:hAnsi="Palatino Linotype"/>
          <w:sz w:val="22"/>
          <w:szCs w:val="22"/>
        </w:rPr>
      </w:pPr>
    </w:p>
    <w:p w14:paraId="710A888A" w14:textId="77777777" w:rsidR="009A7226" w:rsidRPr="00410F65" w:rsidRDefault="009A7226" w:rsidP="00101CE8">
      <w:pPr>
        <w:spacing w:line="360" w:lineRule="auto"/>
        <w:contextualSpacing/>
        <w:jc w:val="both"/>
        <w:rPr>
          <w:rFonts w:ascii="Palatino Linotype" w:hAnsi="Palatino Linotype"/>
          <w:sz w:val="22"/>
          <w:szCs w:val="22"/>
        </w:rPr>
      </w:pPr>
      <w:r w:rsidRPr="00410F65">
        <w:rPr>
          <w:rFonts w:ascii="Palatino Linotype" w:hAnsi="Palatino Linotype"/>
          <w:sz w:val="22"/>
          <w:szCs w:val="22"/>
        </w:rPr>
        <w:t>Sin embargo, para el caso específico, en el que la persona o personas que demandaron al Sujeto Obligado, hayan recibido recursos públicos, la naturaleza de la información se modificara debido a su interés público; al respecto el Instituto Nacional de Transparencia, Acceso a la Información y Protección de Datos Personales (INAI), emitió un criterio que robustece dicha situación y que más adelante será analizado a detalle.</w:t>
      </w:r>
    </w:p>
    <w:p w14:paraId="3C24FB5D" w14:textId="77777777" w:rsidR="009A7226" w:rsidRPr="00410F65" w:rsidRDefault="009A7226" w:rsidP="00101CE8">
      <w:pPr>
        <w:spacing w:line="360" w:lineRule="auto"/>
        <w:contextualSpacing/>
        <w:jc w:val="both"/>
        <w:rPr>
          <w:rFonts w:ascii="Palatino Linotype" w:hAnsi="Palatino Linotype"/>
          <w:sz w:val="22"/>
          <w:szCs w:val="22"/>
        </w:rPr>
      </w:pPr>
    </w:p>
    <w:p w14:paraId="71CBE18B" w14:textId="77777777" w:rsidR="009A7226" w:rsidRPr="00410F65" w:rsidRDefault="009A7226" w:rsidP="00101CE8">
      <w:pPr>
        <w:spacing w:line="360" w:lineRule="auto"/>
        <w:contextualSpacing/>
        <w:jc w:val="both"/>
        <w:rPr>
          <w:rFonts w:ascii="Palatino Linotype" w:hAnsi="Palatino Linotype"/>
          <w:sz w:val="22"/>
          <w:szCs w:val="22"/>
        </w:rPr>
      </w:pPr>
      <w:r w:rsidRPr="00410F65">
        <w:rPr>
          <w:rFonts w:ascii="Palatino Linotype" w:hAnsi="Palatino Linotype"/>
          <w:sz w:val="22"/>
          <w:szCs w:val="22"/>
        </w:rPr>
        <w:t>Es preciso señalar que el nombre de una persona corresponde su dato personal; sin embargo, acorde a lo que se solicita, se trata del nombre personas que posiblemente fueron servidores públicos aunque también, es posible que entre los demandantes existan servidores públicos, el punto a destacar es que la decisión de una persona de presentar una demanda en contra de su patrón, porque consideran que se violó alguno de sus derechos, constituye una decisión personal, que no está de ninguna manera vinculada con sus funciones ni con ejercicio de recursos públicos hasta en tanto le sea otorgada alguna cantidad derivada de estos recursos.</w:t>
      </w:r>
    </w:p>
    <w:p w14:paraId="35988BA1" w14:textId="77777777" w:rsidR="009A7226" w:rsidRPr="00410F65" w:rsidRDefault="009A7226" w:rsidP="00101CE8">
      <w:pPr>
        <w:spacing w:line="360" w:lineRule="auto"/>
        <w:contextualSpacing/>
        <w:jc w:val="both"/>
        <w:rPr>
          <w:rFonts w:ascii="Palatino Linotype" w:hAnsi="Palatino Linotype"/>
          <w:sz w:val="22"/>
          <w:szCs w:val="22"/>
        </w:rPr>
      </w:pPr>
    </w:p>
    <w:p w14:paraId="38317C53" w14:textId="77777777" w:rsidR="009A7226" w:rsidRPr="00410F65" w:rsidRDefault="009A7226" w:rsidP="00101CE8">
      <w:pPr>
        <w:spacing w:line="360" w:lineRule="auto"/>
        <w:contextualSpacing/>
        <w:jc w:val="both"/>
        <w:rPr>
          <w:rFonts w:ascii="Palatino Linotype" w:hAnsi="Palatino Linotype"/>
          <w:sz w:val="22"/>
          <w:szCs w:val="22"/>
        </w:rPr>
      </w:pPr>
      <w:r w:rsidRPr="00410F65">
        <w:rPr>
          <w:rFonts w:ascii="Palatino Linotype" w:hAnsi="Palatino Linotype"/>
          <w:sz w:val="22"/>
          <w:szCs w:val="22"/>
        </w:rPr>
        <w:t>En efecto, si una persona presenta una demanda laboral en contra de un sujeto obligado, y no recibe recursos públicos, constituye un dato personal confidencial y debe ser protegido en términos del artículo 143, fracción I de la Ley de Transparencia y Acceso a la Información Pública del Estado de México y Municipios.</w:t>
      </w:r>
    </w:p>
    <w:p w14:paraId="5D7B5803" w14:textId="77777777" w:rsidR="009A7226" w:rsidRPr="00410F65" w:rsidRDefault="009A7226" w:rsidP="00101CE8">
      <w:pPr>
        <w:spacing w:line="360" w:lineRule="auto"/>
        <w:contextualSpacing/>
        <w:jc w:val="both"/>
        <w:rPr>
          <w:rFonts w:ascii="Palatino Linotype" w:hAnsi="Palatino Linotype"/>
          <w:sz w:val="22"/>
          <w:szCs w:val="22"/>
        </w:rPr>
      </w:pPr>
    </w:p>
    <w:p w14:paraId="5FEC5F74" w14:textId="77777777" w:rsidR="009A7226" w:rsidRPr="00410F65" w:rsidRDefault="009A7226" w:rsidP="00101CE8">
      <w:pPr>
        <w:pStyle w:val="Prrafodelista"/>
        <w:numPr>
          <w:ilvl w:val="0"/>
          <w:numId w:val="28"/>
        </w:numPr>
        <w:spacing w:line="360" w:lineRule="auto"/>
        <w:jc w:val="both"/>
        <w:rPr>
          <w:rFonts w:ascii="Palatino Linotype" w:hAnsi="Palatino Linotype"/>
          <w:b/>
          <w:sz w:val="22"/>
          <w:szCs w:val="22"/>
        </w:rPr>
      </w:pPr>
      <w:r w:rsidRPr="00410F65">
        <w:rPr>
          <w:rFonts w:ascii="Palatino Linotype" w:hAnsi="Palatino Linotype"/>
          <w:b/>
          <w:sz w:val="22"/>
          <w:szCs w:val="22"/>
        </w:rPr>
        <w:t>Del nombre de los actores en juicios laborales que recibieron recursos públicos.</w:t>
      </w:r>
    </w:p>
    <w:p w14:paraId="0A16C25B" w14:textId="77777777" w:rsidR="009A7226" w:rsidRPr="00410F65" w:rsidRDefault="009A7226" w:rsidP="00101CE8">
      <w:pPr>
        <w:spacing w:line="360" w:lineRule="auto"/>
        <w:contextualSpacing/>
        <w:jc w:val="both"/>
        <w:rPr>
          <w:rFonts w:ascii="Palatino Linotype" w:hAnsi="Palatino Linotype"/>
          <w:sz w:val="22"/>
          <w:szCs w:val="22"/>
        </w:rPr>
      </w:pPr>
    </w:p>
    <w:p w14:paraId="262ACF0A" w14:textId="77777777" w:rsidR="009A7226" w:rsidRPr="00410F65" w:rsidRDefault="009A7226" w:rsidP="00101CE8">
      <w:pPr>
        <w:spacing w:line="360" w:lineRule="auto"/>
        <w:contextualSpacing/>
        <w:jc w:val="both"/>
        <w:rPr>
          <w:rFonts w:ascii="Palatino Linotype" w:hAnsi="Palatino Linotype"/>
          <w:sz w:val="22"/>
          <w:szCs w:val="22"/>
        </w:rPr>
      </w:pPr>
      <w:r w:rsidRPr="00410F65">
        <w:rPr>
          <w:rFonts w:ascii="Palatino Linotype" w:hAnsi="Palatino Linotype"/>
          <w:sz w:val="22"/>
          <w:szCs w:val="22"/>
        </w:rPr>
        <w:t>Ahora bien, cuando un proceso judicial o cuasi jurisdiccional ha concluido, en la mayoría de los casos, con independencia de la parte a quien el juzgador conceda la razón, se determina el pago de los montos económicos que hayan quedado pendientes al trabajador o los montos que correspondan por haber sido ganador de la controversia o incluso el pago de los montos acordados en conciliación; de tal suerte que si bien, la demanda inicia con la decisión personal una vez que la autoridad competente emite sentencia, cuando se ordena el pago, por cualquier motivo, se actualiza el supuesto del artículo 23, párrafo segundo, de la Ley de Transparencia y Acceso a la Información Pública del Estado de México y Municipios, por tratarse de la entrega de recursos públicos. Esto nos lleva a que la decisión tuvo consecuencias más allá del ámbito personal del demandante y, al haber la entrega de recursos públicos, se trata de información que se debe hacer pública, ya que existe interés público en conocer la forma en que se ejercen los recursos y porque simple y sencillamente existe disposición legal que obliga a la entrega de la información.</w:t>
      </w:r>
    </w:p>
    <w:p w14:paraId="53556C07" w14:textId="77777777" w:rsidR="009A7226" w:rsidRPr="00410F65" w:rsidRDefault="009A7226" w:rsidP="00101CE8">
      <w:pPr>
        <w:spacing w:line="360" w:lineRule="auto"/>
        <w:contextualSpacing/>
        <w:jc w:val="both"/>
        <w:rPr>
          <w:rFonts w:ascii="Palatino Linotype" w:hAnsi="Palatino Linotype"/>
          <w:sz w:val="22"/>
          <w:szCs w:val="22"/>
        </w:rPr>
      </w:pPr>
    </w:p>
    <w:p w14:paraId="0F1E27A1" w14:textId="77777777" w:rsidR="009A7226" w:rsidRPr="00410F65" w:rsidRDefault="009A7226" w:rsidP="00101CE8">
      <w:pPr>
        <w:spacing w:line="360" w:lineRule="auto"/>
        <w:contextualSpacing/>
        <w:jc w:val="both"/>
        <w:rPr>
          <w:rFonts w:ascii="Palatino Linotype" w:hAnsi="Palatino Linotype"/>
          <w:sz w:val="22"/>
          <w:szCs w:val="22"/>
        </w:rPr>
      </w:pPr>
      <w:r w:rsidRPr="00410F65">
        <w:rPr>
          <w:rFonts w:ascii="Palatino Linotype" w:hAnsi="Palatino Linotype"/>
          <w:sz w:val="22"/>
          <w:szCs w:val="22"/>
        </w:rPr>
        <w:t>Asimismo, se advierte que proporcionar el nombre de los actores que ya recibieron recursos públicos con motivo de las demandas interpuestas en contra del Sujeto Obligado, es información, cuya publicidad, puede abonar en la transparencia y rendición de cuentas; por tanto, es necesario, atraer al estudio el criterio 19/13 emitido por el Instituto Nacional de Transparencia, Acceso a la Información y Protección de Datos Personales (INAI), antes IFAI; el cual a la letra precisa:</w:t>
      </w:r>
    </w:p>
    <w:p w14:paraId="12E31239" w14:textId="77777777" w:rsidR="009A7226" w:rsidRPr="00410F65" w:rsidRDefault="009A7226" w:rsidP="00101CE8">
      <w:pPr>
        <w:spacing w:line="360" w:lineRule="auto"/>
        <w:contextualSpacing/>
        <w:jc w:val="both"/>
        <w:rPr>
          <w:rFonts w:ascii="Palatino Linotype" w:hAnsi="Palatino Linotype"/>
          <w:sz w:val="22"/>
          <w:szCs w:val="22"/>
        </w:rPr>
      </w:pPr>
    </w:p>
    <w:p w14:paraId="2C3EDA2B" w14:textId="77777777" w:rsidR="009A7226" w:rsidRPr="00410F65" w:rsidRDefault="009A7226" w:rsidP="00101CE8">
      <w:pPr>
        <w:spacing w:line="276" w:lineRule="auto"/>
        <w:ind w:left="851" w:right="616"/>
        <w:contextualSpacing/>
        <w:jc w:val="both"/>
        <w:rPr>
          <w:rFonts w:ascii="Palatino Linotype" w:hAnsi="Palatino Linotype"/>
          <w:i/>
          <w:sz w:val="22"/>
          <w:szCs w:val="22"/>
        </w:rPr>
      </w:pPr>
      <w:r w:rsidRPr="00410F65">
        <w:rPr>
          <w:rFonts w:ascii="Palatino Linotype" w:hAnsi="Palatino Linotype"/>
          <w:i/>
          <w:sz w:val="22"/>
          <w:szCs w:val="22"/>
        </w:rPr>
        <w:t>“</w:t>
      </w:r>
      <w:r w:rsidRPr="00410F65">
        <w:rPr>
          <w:rFonts w:ascii="Palatino Linotype" w:hAnsi="Palatino Linotype"/>
          <w:b/>
          <w:i/>
          <w:sz w:val="22"/>
          <w:szCs w:val="22"/>
        </w:rPr>
        <w:t>Nombre de actores en juicios laborales constituye, en principio, información confidencial.</w:t>
      </w:r>
      <w:r w:rsidRPr="00410F65">
        <w:rPr>
          <w:rFonts w:ascii="Palatino Linotype" w:hAnsi="Palatino Linotype"/>
          <w:i/>
          <w:sz w:val="22"/>
          <w:szCs w:val="22"/>
        </w:rPr>
        <w:t xml:space="preserve"> El nombre es un atributo de la personalidad y la manifestación principal del derecho a la identidad, en razón de que por sí mismo permite identificar a una persona física. Por lo que respecta al nombre de las personas que han entablado un juicio laboral, éste permite identificar a los actores que presentaron una demanda laboral y participan en un juicio, lo cual constituye una decisión personal que refleja un acto de voluntad de quien lo realiza. En efecto, las acciones legales que emprenden los actores en el ejercicio de sus derechos laborales hacen evidente la posición jurídica en la cual se han colocado por decisión propia, con relación a determinados órganos de gobierno, para la obtención de algunas prestaciones laborales o económicas, lo cual constituye cuestiones de carácter estrictamente privado. </w:t>
      </w:r>
      <w:r w:rsidRPr="00410F65">
        <w:rPr>
          <w:rFonts w:ascii="Palatino Linotype" w:hAnsi="Palatino Linotype"/>
          <w:b/>
          <w:i/>
          <w:sz w:val="22"/>
          <w:szCs w:val="22"/>
        </w:rPr>
        <w:t>En este tenor, el nombre de los actores de los juicios laborales que se encuentran en trámite o que, en su defecto, concluyeron con la emisión de un laudo desfavorable a los intereses personales del actor constituye información confidencial, conforme a lo dispuesto en el artículo 18, fracción II de la Ley Federal de Transparencia y Acceso a la Información Pública Gubernamental. No obstante, procede la entrega del nombre de los actores en juicios laborales cuando, en definitiva, se haya condenado a una dependencia o entidad al pago de las prestaciones económicas reclamadas o la reinstalación del servidor público, en virtud de que el cumplimiento de dicho fallo se realiza necesariamente con recursos públicos a cargo del presupuesto del sujeto obligado, lo cual permite por una parte, dar cumplimiento a las obligaciones de transparencia contenidas en el artículo 7, fracciones III, IV, IX y XVII de la Ley y, por la otra, transparenta la gestión pública y favorece la rendición de cuentas a los ciudadanos, ya que se refiere al ejercicio de los recursos públicos y al cumplimiento que se da a las resoluciones emitidas por alguna autoridad jurisdiccional encargada de dirimir conflictos laborales.</w:t>
      </w:r>
      <w:r w:rsidRPr="00410F65">
        <w:rPr>
          <w:rFonts w:ascii="Palatino Linotype" w:hAnsi="Palatino Linotype"/>
          <w:i/>
          <w:sz w:val="22"/>
          <w:szCs w:val="22"/>
        </w:rPr>
        <w:t>”</w:t>
      </w:r>
    </w:p>
    <w:p w14:paraId="024465B6" w14:textId="77777777" w:rsidR="009A7226" w:rsidRPr="00410F65" w:rsidRDefault="009A7226" w:rsidP="00101CE8">
      <w:pPr>
        <w:spacing w:line="360" w:lineRule="auto"/>
        <w:contextualSpacing/>
        <w:jc w:val="both"/>
        <w:rPr>
          <w:rFonts w:ascii="Palatino Linotype" w:hAnsi="Palatino Linotype"/>
          <w:sz w:val="22"/>
          <w:szCs w:val="22"/>
        </w:rPr>
      </w:pPr>
    </w:p>
    <w:p w14:paraId="14FEB28A" w14:textId="77777777" w:rsidR="009A7226" w:rsidRPr="00410F65" w:rsidRDefault="009A7226" w:rsidP="00101CE8">
      <w:pPr>
        <w:spacing w:line="360" w:lineRule="auto"/>
        <w:jc w:val="both"/>
        <w:rPr>
          <w:rFonts w:ascii="Palatino Linotype" w:eastAsia="Palatino Linotype" w:hAnsi="Palatino Linotype" w:cs="Palatino Linotype"/>
          <w:sz w:val="22"/>
          <w:szCs w:val="22"/>
        </w:rPr>
      </w:pPr>
      <w:r w:rsidRPr="00410F65">
        <w:rPr>
          <w:rFonts w:ascii="Palatino Linotype" w:hAnsi="Palatino Linotype"/>
          <w:sz w:val="22"/>
          <w:szCs w:val="22"/>
        </w:rPr>
        <w:t>En atención al criterio emitido por el Instituto Nacional de Transparencia, Acceso a la Información y Protección de Datos Personales (INAI), se advierte que el nombre de los actores en los procedimientos laborales, que se concluyeran desfavorables a ellos, es un dato personal confidencial; sin embargo, procede su entrega, siempre que culmine con la entrega a favor de los actores de recurso público, pues se favorece la rendición de cuentas y se puede verificar el cumplimiento que el Sujeto Obligado de a las resoluciones o convenios suscritos ante la autoridad laboral.</w:t>
      </w:r>
      <w:r w:rsidRPr="00410F65">
        <w:rPr>
          <w:rFonts w:ascii="Palatino Linotype" w:hAnsi="Palatino Linotype"/>
          <w:sz w:val="22"/>
          <w:szCs w:val="22"/>
        </w:rPr>
        <w:cr/>
      </w:r>
    </w:p>
    <w:p w14:paraId="0A140D30"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3E4AA5A2" w14:textId="77777777" w:rsidR="000B189A" w:rsidRPr="00410F65" w:rsidRDefault="000B189A" w:rsidP="00101CE8">
      <w:pPr>
        <w:spacing w:line="360" w:lineRule="auto"/>
        <w:ind w:right="50"/>
        <w:jc w:val="both"/>
        <w:rPr>
          <w:rFonts w:ascii="Palatino Linotype" w:eastAsia="Palatino Linotype" w:hAnsi="Palatino Linotype" w:cs="Palatino Linotype"/>
          <w:sz w:val="22"/>
          <w:szCs w:val="22"/>
        </w:rPr>
      </w:pPr>
    </w:p>
    <w:p w14:paraId="50C0FE5C" w14:textId="77777777" w:rsidR="000B189A" w:rsidRPr="00410F65" w:rsidRDefault="00527D5F" w:rsidP="00101CE8">
      <w:pPr>
        <w:spacing w:line="360" w:lineRule="auto"/>
        <w:ind w:right="51"/>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16EAE657" w14:textId="77777777" w:rsidR="000B189A" w:rsidRPr="00410F65" w:rsidRDefault="000B189A" w:rsidP="00101CE8">
      <w:pPr>
        <w:spacing w:line="360" w:lineRule="auto"/>
        <w:ind w:right="51"/>
        <w:jc w:val="both"/>
        <w:rPr>
          <w:rFonts w:ascii="Palatino Linotype" w:eastAsia="Palatino Linotype" w:hAnsi="Palatino Linotype" w:cs="Palatino Linotype"/>
          <w:sz w:val="22"/>
          <w:szCs w:val="22"/>
        </w:rPr>
      </w:pPr>
    </w:p>
    <w:p w14:paraId="4C93660E" w14:textId="77777777" w:rsidR="000B189A" w:rsidRPr="00410F65" w:rsidRDefault="00527D5F" w:rsidP="00101CE8">
      <w:pPr>
        <w:spacing w:line="360" w:lineRule="auto"/>
        <w:ind w:right="50"/>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Lo anterior encuentra sustento en el criterio 10/17 emitido por el Instituto Nacional de Transparencia y Acceso a la Información Pública del Estado de México y Municipios, que a la letra dicen:</w:t>
      </w:r>
    </w:p>
    <w:p w14:paraId="4DBF07BE" w14:textId="77777777" w:rsidR="000B189A" w:rsidRPr="00410F65" w:rsidRDefault="000B189A" w:rsidP="00101CE8">
      <w:pPr>
        <w:spacing w:line="360" w:lineRule="auto"/>
        <w:ind w:right="50"/>
        <w:jc w:val="both"/>
        <w:rPr>
          <w:rFonts w:ascii="Palatino Linotype" w:eastAsia="Palatino Linotype" w:hAnsi="Palatino Linotype" w:cs="Palatino Linotype"/>
          <w:sz w:val="22"/>
          <w:szCs w:val="22"/>
        </w:rPr>
      </w:pPr>
    </w:p>
    <w:p w14:paraId="3498EA00" w14:textId="77777777" w:rsidR="000B189A" w:rsidRPr="00410F65" w:rsidRDefault="00527D5F" w:rsidP="00101CE8">
      <w:pPr>
        <w:spacing w:line="276" w:lineRule="auto"/>
        <w:ind w:left="851" w:right="1134"/>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“Cuentas bancarias y/o CLABE interbancaria de personas físicas y morales privadas.</w:t>
      </w:r>
      <w:r w:rsidRPr="00410F65">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955E401" w14:textId="77777777" w:rsidR="000B189A" w:rsidRPr="00410F65" w:rsidRDefault="000B189A" w:rsidP="00101CE8">
      <w:pPr>
        <w:ind w:left="851" w:right="899"/>
        <w:jc w:val="center"/>
        <w:rPr>
          <w:rFonts w:ascii="Palatino Linotype" w:eastAsia="Palatino Linotype" w:hAnsi="Palatino Linotype" w:cs="Palatino Linotype"/>
          <w:b/>
          <w:i/>
          <w:sz w:val="22"/>
          <w:szCs w:val="22"/>
        </w:rPr>
      </w:pPr>
    </w:p>
    <w:p w14:paraId="1F18EAAF" w14:textId="77777777" w:rsidR="000B189A" w:rsidRPr="00410F65" w:rsidRDefault="00527D5F" w:rsidP="00101CE8">
      <w:pPr>
        <w:spacing w:line="360" w:lineRule="auto"/>
        <w:ind w:right="50"/>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19EFF9C4" w14:textId="77777777" w:rsidR="000B189A" w:rsidRPr="00410F65" w:rsidRDefault="000B189A" w:rsidP="00101CE8">
      <w:pPr>
        <w:spacing w:line="360" w:lineRule="auto"/>
        <w:ind w:right="50"/>
        <w:jc w:val="both"/>
        <w:rPr>
          <w:rFonts w:ascii="Palatino Linotype" w:eastAsia="Palatino Linotype" w:hAnsi="Palatino Linotype" w:cs="Palatino Linotype"/>
          <w:sz w:val="22"/>
          <w:szCs w:val="22"/>
        </w:rPr>
      </w:pPr>
    </w:p>
    <w:p w14:paraId="264DA4E7" w14:textId="77777777" w:rsidR="000B189A" w:rsidRPr="00410F65" w:rsidRDefault="00527D5F" w:rsidP="00101CE8">
      <w:pPr>
        <w:spacing w:line="276" w:lineRule="auto"/>
        <w:ind w:left="851" w:right="1134"/>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w:t>
      </w:r>
      <w:r w:rsidRPr="00410F65">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410F65">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0BBBFD73" w14:textId="77777777" w:rsidR="000B189A" w:rsidRPr="00410F65" w:rsidRDefault="000B189A" w:rsidP="00101CE8">
      <w:pPr>
        <w:spacing w:line="360" w:lineRule="auto"/>
        <w:ind w:left="851" w:right="1134"/>
        <w:jc w:val="both"/>
        <w:rPr>
          <w:rFonts w:ascii="Palatino Linotype" w:eastAsia="Palatino Linotype" w:hAnsi="Palatino Linotype" w:cs="Palatino Linotype"/>
          <w:i/>
          <w:sz w:val="22"/>
          <w:szCs w:val="22"/>
        </w:rPr>
      </w:pPr>
    </w:p>
    <w:p w14:paraId="45F6DBD9" w14:textId="77777777" w:rsidR="009A7226" w:rsidRPr="00410F65" w:rsidRDefault="009A722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Por cuanto hace al </w:t>
      </w:r>
      <w:r w:rsidRPr="00410F65">
        <w:rPr>
          <w:rFonts w:ascii="Palatino Linotype" w:eastAsia="Palatino Linotype" w:hAnsi="Palatino Linotype" w:cs="Palatino Linotype"/>
          <w:b/>
          <w:sz w:val="22"/>
          <w:szCs w:val="22"/>
        </w:rPr>
        <w:t>Registro Federal de Contribuyentes, RFC</w:t>
      </w:r>
      <w:r w:rsidRPr="00410F65">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2A5D0114" w14:textId="77777777" w:rsidR="009A7226" w:rsidRPr="00410F65" w:rsidRDefault="009A722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CFF2FA9" w14:textId="77777777" w:rsidR="009A7226" w:rsidRPr="00410F65" w:rsidRDefault="009A722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Lo anterior se apoya del criterio orientador con clave de control SO/019/2017, emitido por el entonces Instituto Nacional de Transparencia, Acceso a la Información y Protección de Datos Personales, INAI, el cual es del tenor literal siguiente:</w:t>
      </w:r>
    </w:p>
    <w:p w14:paraId="214828FD" w14:textId="77777777" w:rsidR="00B8634C" w:rsidRPr="00410F65" w:rsidRDefault="00B8634C" w:rsidP="00101CE8">
      <w:pPr>
        <w:ind w:left="851" w:right="900"/>
        <w:jc w:val="both"/>
        <w:rPr>
          <w:rFonts w:ascii="Palatino Linotype" w:eastAsia="Palatino Linotype" w:hAnsi="Palatino Linotype" w:cs="Palatino Linotype"/>
          <w:b/>
          <w:i/>
          <w:sz w:val="22"/>
          <w:szCs w:val="22"/>
        </w:rPr>
      </w:pPr>
    </w:p>
    <w:p w14:paraId="74D44699" w14:textId="4A971687" w:rsidR="009A7226" w:rsidRPr="00410F65" w:rsidRDefault="009A7226" w:rsidP="00B8634C">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Cs/>
          <w:i/>
          <w:sz w:val="22"/>
          <w:szCs w:val="22"/>
        </w:rPr>
        <w:t>“</w:t>
      </w:r>
      <w:r w:rsidRPr="00410F65">
        <w:rPr>
          <w:rFonts w:ascii="Palatino Linotype" w:eastAsia="Palatino Linotype" w:hAnsi="Palatino Linotype" w:cs="Palatino Linotype"/>
          <w:b/>
          <w:i/>
          <w:sz w:val="22"/>
          <w:szCs w:val="22"/>
        </w:rPr>
        <w:t>Registro Federal de Contribuyentes (RFC) de personas físicas</w:t>
      </w:r>
      <w:r w:rsidRPr="00410F65">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3A903D93" w14:textId="77777777" w:rsidR="00B8634C" w:rsidRPr="00410F65" w:rsidRDefault="00B8634C" w:rsidP="00101CE8">
      <w:pPr>
        <w:ind w:left="851" w:right="900"/>
        <w:jc w:val="both"/>
        <w:rPr>
          <w:rFonts w:ascii="Palatino Linotype" w:eastAsia="Palatino Linotype" w:hAnsi="Palatino Linotype" w:cs="Palatino Linotype"/>
          <w:i/>
          <w:sz w:val="22"/>
          <w:szCs w:val="22"/>
        </w:rPr>
      </w:pPr>
    </w:p>
    <w:p w14:paraId="0EA5647B" w14:textId="77777777" w:rsidR="009A7226" w:rsidRPr="00410F65" w:rsidRDefault="009A722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CCD8CB1" w14:textId="77777777" w:rsidR="00B8634C" w:rsidRPr="00410F65" w:rsidRDefault="00B8634C" w:rsidP="00101CE8">
      <w:pPr>
        <w:spacing w:line="360" w:lineRule="auto"/>
        <w:jc w:val="both"/>
        <w:rPr>
          <w:rFonts w:ascii="Palatino Linotype" w:eastAsia="Palatino Linotype" w:hAnsi="Palatino Linotype" w:cs="Palatino Linotype"/>
          <w:sz w:val="22"/>
          <w:szCs w:val="22"/>
        </w:rPr>
      </w:pPr>
    </w:p>
    <w:p w14:paraId="7A0C70C3" w14:textId="77777777" w:rsidR="009A7226" w:rsidRPr="00410F65" w:rsidRDefault="009A722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De igual manera la </w:t>
      </w:r>
      <w:r w:rsidRPr="00410F65">
        <w:rPr>
          <w:rFonts w:ascii="Palatino Linotype" w:eastAsia="Palatino Linotype" w:hAnsi="Palatino Linotype" w:cs="Palatino Linotype"/>
          <w:b/>
          <w:sz w:val="22"/>
          <w:szCs w:val="22"/>
        </w:rPr>
        <w:t>Clave Única de Registro de Población, CURP</w:t>
      </w:r>
      <w:r w:rsidRPr="00410F65">
        <w:rPr>
          <w:rFonts w:ascii="Palatino Linotype" w:eastAsia="Palatino Linotype" w:hAnsi="Palatino Linotype" w:cs="Palatino Linotype"/>
          <w:sz w:val="22"/>
          <w:szCs w:val="22"/>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77610924" w14:textId="77777777" w:rsidR="00B8634C" w:rsidRPr="00410F65" w:rsidRDefault="00B8634C" w:rsidP="00101CE8">
      <w:pPr>
        <w:spacing w:line="360" w:lineRule="auto"/>
        <w:jc w:val="both"/>
        <w:rPr>
          <w:rFonts w:ascii="Palatino Linotype" w:eastAsia="Palatino Linotype" w:hAnsi="Palatino Linotype" w:cs="Palatino Linotype"/>
          <w:sz w:val="22"/>
          <w:szCs w:val="22"/>
        </w:rPr>
      </w:pPr>
    </w:p>
    <w:p w14:paraId="4A4EDDE1" w14:textId="77777777" w:rsidR="009A7226" w:rsidRPr="00410F65" w:rsidRDefault="009A722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Argumento se apoya del criterio orientador con Clave de control SO/018/2017, emitido por el entonces Instituto Nacional de Transparencia, Acceso a la Información y Protección de Datos Personales, INAI, el cual refiere:</w:t>
      </w:r>
    </w:p>
    <w:p w14:paraId="4EA2D016" w14:textId="77777777" w:rsidR="009A7226" w:rsidRPr="00410F65" w:rsidRDefault="009A7226" w:rsidP="00B8634C">
      <w:pPr>
        <w:spacing w:line="276" w:lineRule="auto"/>
        <w:ind w:left="851" w:right="851"/>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Cs/>
          <w:i/>
          <w:sz w:val="22"/>
          <w:szCs w:val="22"/>
        </w:rPr>
        <w:t>“</w:t>
      </w:r>
      <w:r w:rsidRPr="00410F65">
        <w:rPr>
          <w:rFonts w:ascii="Palatino Linotype" w:eastAsia="Palatino Linotype" w:hAnsi="Palatino Linotype" w:cs="Palatino Linotype"/>
          <w:b/>
          <w:i/>
          <w:sz w:val="22"/>
          <w:szCs w:val="22"/>
        </w:rPr>
        <w:t xml:space="preserve">Clave Única de Registro de Población (CURP). </w:t>
      </w:r>
      <w:r w:rsidRPr="00410F65">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317ACA1" w14:textId="77777777" w:rsidR="00B8634C" w:rsidRPr="00410F65" w:rsidRDefault="00B8634C" w:rsidP="00101CE8">
      <w:pPr>
        <w:spacing w:line="360" w:lineRule="auto"/>
        <w:jc w:val="both"/>
        <w:rPr>
          <w:rFonts w:ascii="Palatino Linotype" w:eastAsia="Palatino Linotype" w:hAnsi="Palatino Linotype" w:cs="Palatino Linotype"/>
          <w:sz w:val="22"/>
          <w:szCs w:val="22"/>
        </w:rPr>
      </w:pPr>
    </w:p>
    <w:p w14:paraId="5715C38B" w14:textId="60A8B43F" w:rsidR="009A7226" w:rsidRPr="00410F65" w:rsidRDefault="009A722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78FB8662" w14:textId="77777777" w:rsidR="009A7226" w:rsidRPr="00410F65" w:rsidRDefault="009A7226" w:rsidP="00101CE8">
      <w:pPr>
        <w:widowControl w:val="0"/>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El </w:t>
      </w:r>
      <w:r w:rsidRPr="00410F65">
        <w:rPr>
          <w:rFonts w:ascii="Palatino Linotype" w:eastAsia="Palatino Linotype" w:hAnsi="Palatino Linotype" w:cs="Palatino Linotype"/>
          <w:b/>
          <w:sz w:val="22"/>
          <w:szCs w:val="22"/>
        </w:rPr>
        <w:t>domicilio particular</w:t>
      </w:r>
      <w:r w:rsidRPr="00410F65">
        <w:rPr>
          <w:rFonts w:ascii="Palatino Linotype" w:eastAsia="Palatino Linotype" w:hAnsi="Palatino Linotype" w:cs="Palatino Linotype"/>
          <w:sz w:val="22"/>
          <w:szCs w:val="22"/>
        </w:rPr>
        <w:t xml:space="preserve">,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73FBF378" w14:textId="77777777" w:rsidR="00B8634C" w:rsidRPr="00410F65" w:rsidRDefault="00B8634C" w:rsidP="00101CE8">
      <w:pPr>
        <w:widowControl w:val="0"/>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645F441A" w14:textId="77777777" w:rsidR="009A7226" w:rsidRPr="00410F65" w:rsidRDefault="009A7226" w:rsidP="00101CE8">
      <w:pPr>
        <w:widowControl w:val="0"/>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sz w:val="22"/>
          <w:szCs w:val="22"/>
        </w:rPr>
      </w:pPr>
      <w:r w:rsidRPr="00410F65">
        <w:rPr>
          <w:rFonts w:ascii="Palatino Linotype" w:eastAsia="Palatino Linotype" w:hAnsi="Palatino Linotype" w:cs="Palatino Linotype"/>
          <w:sz w:val="22"/>
          <w:szCs w:val="22"/>
        </w:rPr>
        <w:t>De la misma manera, lo establece el artículo 29 del Código Civil Federal, al precisar que el domicilio de personas físicas</w:t>
      </w:r>
      <w:r w:rsidRPr="00410F65">
        <w:rPr>
          <w:rFonts w:ascii="Palatino Linotype" w:eastAsia="Palatino Linotype" w:hAnsi="Palatino Linotype" w:cs="Palatino Linotype"/>
          <w:b/>
          <w:sz w:val="22"/>
          <w:szCs w:val="22"/>
        </w:rPr>
        <w:t xml:space="preserve">, </w:t>
      </w:r>
      <w:r w:rsidRPr="00410F65">
        <w:rPr>
          <w:rFonts w:ascii="Palatino Linotype" w:eastAsia="Palatino Linotype" w:hAnsi="Palatino Linotype" w:cs="Palatino Linotype"/>
          <w:sz w:val="22"/>
          <w:szCs w:val="22"/>
        </w:rPr>
        <w:t>es el lugar donde residen habitualmente, el lugar del centro principal de sus negocios, donde residan o el lugar donde se encuentren.</w:t>
      </w:r>
    </w:p>
    <w:p w14:paraId="35C485DE" w14:textId="77777777" w:rsidR="009A7226" w:rsidRPr="00410F65" w:rsidRDefault="009A7226" w:rsidP="00101CE8">
      <w:pPr>
        <w:spacing w:line="360" w:lineRule="auto"/>
        <w:ind w:right="-93"/>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6ED61EA1" w14:textId="77777777" w:rsidR="00B8634C" w:rsidRPr="00410F65" w:rsidRDefault="00B8634C" w:rsidP="00101CE8">
      <w:pPr>
        <w:spacing w:line="360" w:lineRule="auto"/>
        <w:ind w:right="-93"/>
        <w:jc w:val="both"/>
        <w:rPr>
          <w:rFonts w:ascii="Palatino Linotype" w:eastAsia="Palatino Linotype" w:hAnsi="Palatino Linotype" w:cs="Palatino Linotype"/>
          <w:sz w:val="22"/>
          <w:szCs w:val="22"/>
        </w:rPr>
      </w:pPr>
    </w:p>
    <w:p w14:paraId="4F50691E" w14:textId="77777777" w:rsidR="009A7226" w:rsidRPr="00410F65" w:rsidRDefault="009A7226" w:rsidP="00101CE8">
      <w:pPr>
        <w:spacing w:line="360" w:lineRule="auto"/>
        <w:ind w:right="-93"/>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Por lo tanto, se actualiza la clasificación del domicilio y su comprobante, de conformidad con la fracción I, del artículo 143 de la Ley de Transparencia y Acceso a la Información Pública del Estado de México y Municipios.</w:t>
      </w:r>
    </w:p>
    <w:p w14:paraId="75967241" w14:textId="77777777" w:rsidR="00B8634C" w:rsidRPr="00410F65" w:rsidRDefault="00B8634C" w:rsidP="00101CE8">
      <w:pPr>
        <w:spacing w:line="360" w:lineRule="auto"/>
        <w:ind w:right="-93"/>
        <w:jc w:val="both"/>
        <w:rPr>
          <w:rFonts w:ascii="Palatino Linotype" w:eastAsia="Palatino Linotype" w:hAnsi="Palatino Linotype" w:cs="Palatino Linotype"/>
          <w:sz w:val="22"/>
          <w:szCs w:val="22"/>
        </w:rPr>
      </w:pPr>
    </w:p>
    <w:p w14:paraId="5ADD8B13" w14:textId="77777777" w:rsidR="009A7226" w:rsidRPr="00410F65" w:rsidRDefault="009A7226" w:rsidP="00101CE8">
      <w:pPr>
        <w:spacing w:line="360" w:lineRule="auto"/>
        <w:ind w:right="-93"/>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El </w:t>
      </w:r>
      <w:r w:rsidRPr="00410F65">
        <w:rPr>
          <w:rFonts w:ascii="Palatino Linotype" w:eastAsia="Palatino Linotype" w:hAnsi="Palatino Linotype" w:cs="Palatino Linotype"/>
          <w:b/>
          <w:sz w:val="22"/>
          <w:szCs w:val="22"/>
        </w:rPr>
        <w:t>teléfono particular</w:t>
      </w:r>
      <w:r w:rsidRPr="00410F65">
        <w:rPr>
          <w:rFonts w:ascii="Palatino Linotype" w:eastAsia="Palatino Linotype" w:hAnsi="Palatino Linotype" w:cs="Palatino Linotype"/>
          <w:sz w:val="22"/>
          <w:szCs w:val="22"/>
        </w:rPr>
        <w:t>, debido a que se trata de información que le compete únicamente al servidor público, pues es un medio mediante el cual puede ser ubicado, es susceptible de ser clasificado como confidencial de conformidad con la fracción I, del artículo 143 de la Ley de Transparencia y Acceso a la Información Pública del Estado de México y Municipios.</w:t>
      </w:r>
    </w:p>
    <w:p w14:paraId="46E2E1F2" w14:textId="77777777" w:rsidR="00B8634C" w:rsidRPr="00410F65" w:rsidRDefault="00B8634C" w:rsidP="00101CE8">
      <w:pPr>
        <w:spacing w:line="360" w:lineRule="auto"/>
        <w:ind w:right="-93"/>
        <w:jc w:val="both"/>
        <w:rPr>
          <w:rFonts w:ascii="Palatino Linotype" w:eastAsia="Palatino Linotype" w:hAnsi="Palatino Linotype" w:cs="Palatino Linotype"/>
          <w:sz w:val="22"/>
          <w:szCs w:val="22"/>
        </w:rPr>
      </w:pPr>
    </w:p>
    <w:p w14:paraId="002D3651" w14:textId="77777777" w:rsidR="009A7226" w:rsidRPr="00410F65" w:rsidRDefault="009A722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Con relación al </w:t>
      </w:r>
      <w:r w:rsidRPr="00410F65">
        <w:rPr>
          <w:rFonts w:ascii="Palatino Linotype" w:eastAsia="Palatino Linotype" w:hAnsi="Palatino Linotype" w:cs="Palatino Linotype"/>
          <w:b/>
          <w:sz w:val="22"/>
          <w:szCs w:val="22"/>
        </w:rPr>
        <w:t>número de empleado</w:t>
      </w:r>
      <w:r w:rsidRPr="00410F65">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4BEE2289" w14:textId="77777777" w:rsidR="00B8634C" w:rsidRPr="00410F65" w:rsidRDefault="00B8634C" w:rsidP="00101CE8">
      <w:pPr>
        <w:spacing w:line="360" w:lineRule="auto"/>
        <w:jc w:val="both"/>
        <w:rPr>
          <w:rFonts w:ascii="Palatino Linotype" w:eastAsia="Palatino Linotype" w:hAnsi="Palatino Linotype" w:cs="Palatino Linotype"/>
          <w:sz w:val="22"/>
          <w:szCs w:val="22"/>
        </w:rPr>
      </w:pPr>
    </w:p>
    <w:p w14:paraId="61896FCE" w14:textId="77777777" w:rsidR="009A7226" w:rsidRPr="00410F65" w:rsidRDefault="009A722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w:t>
      </w:r>
    </w:p>
    <w:p w14:paraId="38FBDBF8" w14:textId="77777777" w:rsidR="00B8634C" w:rsidRPr="00410F65" w:rsidRDefault="00B8634C" w:rsidP="00101CE8">
      <w:pPr>
        <w:spacing w:line="360" w:lineRule="auto"/>
        <w:jc w:val="both"/>
        <w:rPr>
          <w:rFonts w:ascii="Palatino Linotype" w:eastAsia="Palatino Linotype" w:hAnsi="Palatino Linotype" w:cs="Palatino Linotype"/>
          <w:sz w:val="22"/>
          <w:szCs w:val="22"/>
        </w:rPr>
      </w:pPr>
    </w:p>
    <w:p w14:paraId="70931C62" w14:textId="77777777" w:rsidR="009A7226" w:rsidRPr="00410F65" w:rsidRDefault="009A722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El entonces Instituto Nacional de Transparencia, Acceso a la Información, y Protección de Datos Personales, INAI  se pronunció sobre la publicidad del número de empleado, a través del criterio orientador con clave de control SO/006/2019, que indica lo siguiente:</w:t>
      </w:r>
    </w:p>
    <w:p w14:paraId="3E4CBC63" w14:textId="77777777" w:rsidR="00B8634C" w:rsidRPr="00410F65" w:rsidRDefault="00B8634C" w:rsidP="00101CE8">
      <w:pPr>
        <w:tabs>
          <w:tab w:val="left" w:pos="7655"/>
        </w:tabs>
        <w:ind w:left="993" w:right="992"/>
        <w:jc w:val="both"/>
        <w:rPr>
          <w:rFonts w:ascii="Palatino Linotype" w:eastAsia="Palatino Linotype" w:hAnsi="Palatino Linotype" w:cs="Palatino Linotype"/>
          <w:b/>
          <w:i/>
          <w:sz w:val="22"/>
          <w:szCs w:val="22"/>
        </w:rPr>
      </w:pPr>
    </w:p>
    <w:p w14:paraId="56B4CF11" w14:textId="1A5B5EB3" w:rsidR="009A7226" w:rsidRPr="00410F65" w:rsidRDefault="009A7226" w:rsidP="00B8634C">
      <w:pPr>
        <w:tabs>
          <w:tab w:val="left" w:pos="7655"/>
        </w:tabs>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 xml:space="preserve">“Número de empleado. </w:t>
      </w:r>
      <w:r w:rsidRPr="00410F65">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7BE8503E" w14:textId="77777777" w:rsidR="00B8634C" w:rsidRPr="00410F65" w:rsidRDefault="00B8634C" w:rsidP="00101CE8">
      <w:pPr>
        <w:spacing w:line="360" w:lineRule="auto"/>
        <w:jc w:val="both"/>
        <w:rPr>
          <w:rFonts w:ascii="Palatino Linotype" w:eastAsia="Palatino Linotype" w:hAnsi="Palatino Linotype" w:cs="Palatino Linotype"/>
          <w:sz w:val="22"/>
          <w:szCs w:val="22"/>
        </w:rPr>
      </w:pPr>
    </w:p>
    <w:p w14:paraId="71789591" w14:textId="313290C3" w:rsidR="009A7226" w:rsidRPr="00410F65" w:rsidRDefault="009A7226"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Del criterio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0509589B" w14:textId="77777777" w:rsidR="00B8634C" w:rsidRPr="00410F65" w:rsidRDefault="00B8634C" w:rsidP="00101CE8">
      <w:pPr>
        <w:spacing w:line="360" w:lineRule="auto"/>
        <w:jc w:val="both"/>
        <w:rPr>
          <w:rFonts w:ascii="Palatino Linotype" w:eastAsia="Palatino Linotype" w:hAnsi="Palatino Linotype" w:cs="Palatino Linotype"/>
          <w:sz w:val="22"/>
          <w:szCs w:val="22"/>
        </w:rPr>
      </w:pPr>
    </w:p>
    <w:p w14:paraId="3A0EC613" w14:textId="77777777" w:rsidR="009A7226" w:rsidRPr="00410F65" w:rsidRDefault="009A7226" w:rsidP="00101CE8">
      <w:pPr>
        <w:tabs>
          <w:tab w:val="left" w:pos="4962"/>
        </w:tabs>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En el mismo sentido, por cuanto hace a la </w:t>
      </w:r>
      <w:r w:rsidRPr="00410F65">
        <w:rPr>
          <w:rFonts w:ascii="Palatino Linotype" w:eastAsia="Palatino Linotype" w:hAnsi="Palatino Linotype" w:cs="Palatino Linotype"/>
          <w:b/>
          <w:sz w:val="22"/>
          <w:szCs w:val="22"/>
        </w:rPr>
        <w:t xml:space="preserve">fotografía </w:t>
      </w:r>
      <w:r w:rsidRPr="00410F65">
        <w:rPr>
          <w:rFonts w:ascii="Palatino Linotype" w:eastAsia="Palatino Linotype" w:hAnsi="Palatino Linotype" w:cs="Palatino Linotype"/>
          <w:sz w:val="22"/>
          <w:szCs w:val="22"/>
        </w:rPr>
        <w:t>es de señalar que dicho dato constituye la reproducción fiel de las características físicas de una persona en un momento determinado, además, de que representa un instrumento de identificación, proyección exterior y factor imprescindible para su propio reconocimiento como sujeto individual; por tanto, es considerada por regla general, como un dato personal confidencial susceptible de protegerse en los documentos que lo contengan, en términos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14:paraId="4D21B3CC" w14:textId="77777777" w:rsidR="00B8634C" w:rsidRPr="00410F65" w:rsidRDefault="00B8634C" w:rsidP="00101CE8">
      <w:pPr>
        <w:tabs>
          <w:tab w:val="left" w:pos="4962"/>
        </w:tabs>
        <w:spacing w:line="360" w:lineRule="auto"/>
        <w:jc w:val="both"/>
        <w:rPr>
          <w:rFonts w:ascii="Palatino Linotype" w:eastAsia="Palatino Linotype" w:hAnsi="Palatino Linotype" w:cs="Palatino Linotype"/>
          <w:sz w:val="22"/>
          <w:szCs w:val="22"/>
        </w:rPr>
      </w:pPr>
    </w:p>
    <w:p w14:paraId="63D19E0B" w14:textId="77777777" w:rsidR="009A7226" w:rsidRPr="00410F65" w:rsidRDefault="009A7226" w:rsidP="00101CE8">
      <w:pPr>
        <w:tabs>
          <w:tab w:val="left" w:pos="4962"/>
        </w:tabs>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Sin embargo, en materia de administración pública acreditaría e identificaría a una persona como servidor público, por lo que es posible advertir que existe cierto interés público, cuando la fotografía obra en documentos de servidores públicos vinculados con el cumplimiento de disposiciones legales.</w:t>
      </w:r>
    </w:p>
    <w:p w14:paraId="699DE423" w14:textId="77777777" w:rsidR="00B8634C" w:rsidRPr="00410F65" w:rsidRDefault="00B8634C" w:rsidP="00101CE8">
      <w:pPr>
        <w:tabs>
          <w:tab w:val="left" w:pos="4962"/>
        </w:tabs>
        <w:spacing w:line="360" w:lineRule="auto"/>
        <w:jc w:val="both"/>
        <w:rPr>
          <w:rFonts w:ascii="Palatino Linotype" w:eastAsia="Palatino Linotype" w:hAnsi="Palatino Linotype" w:cs="Palatino Linotype"/>
          <w:sz w:val="22"/>
          <w:szCs w:val="22"/>
        </w:rPr>
      </w:pPr>
    </w:p>
    <w:p w14:paraId="7BA8EF59" w14:textId="77777777" w:rsidR="009A7226" w:rsidRPr="00410F65" w:rsidRDefault="009A7226" w:rsidP="00101CE8">
      <w:pPr>
        <w:tabs>
          <w:tab w:val="left" w:pos="4962"/>
        </w:tabs>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Así, cuando las fotografías de los servidores públicos obran en documentos que dan cuenta del cumplimiento de funciones, requisitos legales o los acredita como servidores públicos, no puede ser un dato que se clasifique como confidencial, pues en este caso, es superado por el interés público de conocer si en realidad la persona que se ostenta en carácter de servidor público, se encuentra en ese encargo, si realiza las funciones o si cumple con los requisitos legales.</w:t>
      </w:r>
    </w:p>
    <w:p w14:paraId="3D59B52F" w14:textId="77777777" w:rsidR="00B8634C" w:rsidRPr="00410F65" w:rsidRDefault="00B8634C" w:rsidP="00101CE8">
      <w:pPr>
        <w:tabs>
          <w:tab w:val="left" w:pos="4962"/>
        </w:tabs>
        <w:spacing w:line="360" w:lineRule="auto"/>
        <w:jc w:val="both"/>
        <w:rPr>
          <w:rFonts w:ascii="Palatino Linotype" w:eastAsia="Palatino Linotype" w:hAnsi="Palatino Linotype" w:cs="Palatino Linotype"/>
          <w:sz w:val="22"/>
          <w:szCs w:val="22"/>
        </w:rPr>
      </w:pPr>
    </w:p>
    <w:p w14:paraId="1AF323FE" w14:textId="77777777" w:rsidR="009A7226" w:rsidRPr="00410F65" w:rsidRDefault="009A7226" w:rsidP="00101CE8">
      <w:pPr>
        <w:tabs>
          <w:tab w:val="left" w:pos="4962"/>
        </w:tabs>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emitan, no podrá clasificarse esa información.</w:t>
      </w:r>
    </w:p>
    <w:p w14:paraId="58517CA9" w14:textId="77777777" w:rsidR="00B8634C" w:rsidRPr="00410F65" w:rsidRDefault="00B8634C" w:rsidP="00101CE8">
      <w:pPr>
        <w:tabs>
          <w:tab w:val="left" w:pos="4962"/>
        </w:tabs>
        <w:spacing w:line="360" w:lineRule="auto"/>
        <w:jc w:val="both"/>
        <w:rPr>
          <w:rFonts w:ascii="Palatino Linotype" w:eastAsia="Palatino Linotype" w:hAnsi="Palatino Linotype" w:cs="Palatino Linotype"/>
          <w:sz w:val="22"/>
          <w:szCs w:val="22"/>
        </w:rPr>
      </w:pPr>
    </w:p>
    <w:p w14:paraId="7CB88815"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Al respecto, se destaca que la versión pública que elabore el </w:t>
      </w:r>
      <w:r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410F65">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410F65">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4E499267" w14:textId="77777777" w:rsidR="000B189A" w:rsidRPr="00410F65" w:rsidRDefault="000B189A" w:rsidP="00101CE8">
      <w:pPr>
        <w:ind w:left="709" w:right="709"/>
        <w:jc w:val="both"/>
        <w:rPr>
          <w:rFonts w:ascii="Palatino Linotype" w:eastAsia="Palatino Linotype" w:hAnsi="Palatino Linotype" w:cs="Palatino Linotype"/>
          <w:b/>
          <w:i/>
          <w:sz w:val="22"/>
          <w:szCs w:val="22"/>
        </w:rPr>
      </w:pPr>
    </w:p>
    <w:p w14:paraId="77824E29"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5CFD6571"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i/>
          <w:sz w:val="22"/>
          <w:szCs w:val="22"/>
        </w:rPr>
        <w:t>“</w:t>
      </w:r>
      <w:r w:rsidRPr="00410F65">
        <w:rPr>
          <w:rFonts w:ascii="Palatino Linotype" w:eastAsia="Palatino Linotype" w:hAnsi="Palatino Linotype" w:cs="Palatino Linotype"/>
          <w:b/>
          <w:i/>
          <w:sz w:val="22"/>
          <w:szCs w:val="22"/>
        </w:rPr>
        <w:t>Segundo.-</w:t>
      </w:r>
      <w:r w:rsidRPr="00410F65">
        <w:rPr>
          <w:rFonts w:ascii="Palatino Linotype" w:eastAsia="Palatino Linotype" w:hAnsi="Palatino Linotype" w:cs="Palatino Linotype"/>
          <w:i/>
          <w:sz w:val="22"/>
          <w:szCs w:val="22"/>
        </w:rPr>
        <w:t xml:space="preserve"> Para efectos de los presentes Lineamientos Generales, se entenderá por:</w:t>
      </w:r>
    </w:p>
    <w:p w14:paraId="00298548"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i/>
          <w:sz w:val="22"/>
          <w:szCs w:val="22"/>
        </w:rPr>
        <w:t>XVIII.</w:t>
      </w:r>
      <w:r w:rsidRPr="00410F65">
        <w:rPr>
          <w:rFonts w:ascii="Palatino Linotype" w:eastAsia="Palatino Linotype" w:hAnsi="Palatino Linotype" w:cs="Palatino Linotype"/>
          <w:i/>
          <w:sz w:val="22"/>
          <w:szCs w:val="22"/>
        </w:rPr>
        <w:t xml:space="preserve"> </w:t>
      </w:r>
      <w:r w:rsidRPr="00410F65">
        <w:rPr>
          <w:rFonts w:ascii="Palatino Linotype" w:eastAsia="Palatino Linotype" w:hAnsi="Palatino Linotype" w:cs="Palatino Linotype"/>
          <w:b/>
          <w:i/>
          <w:sz w:val="22"/>
          <w:szCs w:val="22"/>
        </w:rPr>
        <w:t>Versión pública:</w:t>
      </w:r>
      <w:r w:rsidRPr="00410F65">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410F65">
        <w:rPr>
          <w:rFonts w:ascii="Palatino Linotype" w:eastAsia="Palatino Linotype" w:hAnsi="Palatino Linotype" w:cs="Palatino Linotype"/>
          <w:b/>
          <w:i/>
          <w:sz w:val="22"/>
          <w:szCs w:val="22"/>
          <w:u w:val="single"/>
        </w:rPr>
        <w:t>fundando y motivando la</w:t>
      </w:r>
      <w:r w:rsidRPr="00410F65">
        <w:rPr>
          <w:rFonts w:ascii="Palatino Linotype" w:eastAsia="Palatino Linotype" w:hAnsi="Palatino Linotype" w:cs="Palatino Linotype"/>
          <w:i/>
          <w:sz w:val="22"/>
          <w:szCs w:val="22"/>
        </w:rPr>
        <w:t xml:space="preserve"> reserva o </w:t>
      </w:r>
      <w:r w:rsidRPr="00410F65">
        <w:rPr>
          <w:rFonts w:ascii="Palatino Linotype" w:eastAsia="Palatino Linotype" w:hAnsi="Palatino Linotype" w:cs="Palatino Linotype"/>
          <w:b/>
          <w:i/>
          <w:sz w:val="22"/>
          <w:szCs w:val="22"/>
          <w:u w:val="single"/>
        </w:rPr>
        <w:t>confidencialidad</w:t>
      </w:r>
      <w:r w:rsidRPr="00410F65">
        <w:rPr>
          <w:rFonts w:ascii="Palatino Linotype" w:eastAsia="Palatino Linotype" w:hAnsi="Palatino Linotype" w:cs="Palatino Linotype"/>
          <w:i/>
          <w:sz w:val="22"/>
          <w:szCs w:val="22"/>
        </w:rPr>
        <w:t>, a través de la resolución que para tal efecto emita el Comité de Transparencia.</w:t>
      </w:r>
    </w:p>
    <w:p w14:paraId="53EADDD7"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i/>
          <w:sz w:val="22"/>
          <w:szCs w:val="22"/>
        </w:rPr>
        <w:t>Cuarto.</w:t>
      </w:r>
      <w:r w:rsidRPr="00410F65">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44D7445"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A726A42"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i/>
          <w:sz w:val="22"/>
          <w:szCs w:val="22"/>
        </w:rPr>
        <w:t>Quinto.</w:t>
      </w:r>
      <w:r w:rsidRPr="00410F65">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2635518"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i/>
          <w:sz w:val="22"/>
          <w:szCs w:val="22"/>
        </w:rPr>
        <w:t>…</w:t>
      </w:r>
    </w:p>
    <w:p w14:paraId="67C461DE"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i/>
          <w:sz w:val="22"/>
          <w:szCs w:val="22"/>
        </w:rPr>
        <w:t>Séptimo.</w:t>
      </w:r>
      <w:r w:rsidRPr="00410F65">
        <w:rPr>
          <w:rFonts w:ascii="Palatino Linotype" w:eastAsia="Palatino Linotype" w:hAnsi="Palatino Linotype" w:cs="Palatino Linotype"/>
          <w:i/>
          <w:sz w:val="22"/>
          <w:szCs w:val="22"/>
        </w:rPr>
        <w:t xml:space="preserve"> La clasificación de la información se llevará a cabo en el momento en que:</w:t>
      </w:r>
    </w:p>
    <w:p w14:paraId="73EB6E11"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i/>
          <w:sz w:val="22"/>
          <w:szCs w:val="22"/>
        </w:rPr>
        <w:t>I.</w:t>
      </w:r>
      <w:r w:rsidRPr="00410F65">
        <w:rPr>
          <w:rFonts w:ascii="Palatino Linotype" w:eastAsia="Palatino Linotype" w:hAnsi="Palatino Linotype" w:cs="Palatino Linotype"/>
          <w:i/>
          <w:sz w:val="22"/>
          <w:szCs w:val="22"/>
        </w:rPr>
        <w:t xml:space="preserve"> Se reciba una solicitud de acceso a la información;</w:t>
      </w:r>
    </w:p>
    <w:p w14:paraId="29EA7C03"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II.</w:t>
      </w:r>
      <w:r w:rsidRPr="00410F65">
        <w:rPr>
          <w:rFonts w:ascii="Palatino Linotype" w:eastAsia="Palatino Linotype" w:hAnsi="Palatino Linotype" w:cs="Palatino Linotype"/>
          <w:i/>
          <w:sz w:val="22"/>
          <w:szCs w:val="22"/>
        </w:rPr>
        <w:t xml:space="preserve"> Se  determine mediante resolución del Comité de Transparencia, el órgano garante </w:t>
      </w:r>
    </w:p>
    <w:p w14:paraId="23A4400E"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i/>
          <w:sz w:val="22"/>
          <w:szCs w:val="22"/>
        </w:rPr>
        <w:t>competente, o en cumplimiento a una sentencia del Poder Judicial; o</w:t>
      </w:r>
    </w:p>
    <w:p w14:paraId="6F3A1F11"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i/>
          <w:sz w:val="22"/>
          <w:szCs w:val="22"/>
        </w:rPr>
        <w:t>III.</w:t>
      </w:r>
      <w:r w:rsidRPr="00410F65">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3C6C20B"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B0EE502"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i/>
          <w:sz w:val="22"/>
          <w:szCs w:val="22"/>
        </w:rPr>
        <w:t>Octavo.</w:t>
      </w:r>
      <w:r w:rsidRPr="00410F65">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5743C5E"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73CB64A"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6F2A3469"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i/>
          <w:sz w:val="22"/>
          <w:szCs w:val="22"/>
        </w:rPr>
        <w:t>Noveno.</w:t>
      </w:r>
      <w:r w:rsidRPr="00410F65">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1297FFA"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i/>
          <w:sz w:val="22"/>
          <w:szCs w:val="22"/>
        </w:rPr>
        <w:t>Décimo.</w:t>
      </w:r>
      <w:r w:rsidRPr="00410F65">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01F7FF2"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37C56DC"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Décimo primero.</w:t>
      </w:r>
      <w:r w:rsidRPr="00410F65">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41CF7C8"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i/>
          <w:sz w:val="22"/>
          <w:szCs w:val="22"/>
        </w:rPr>
        <w:t>[…]</w:t>
      </w:r>
    </w:p>
    <w:p w14:paraId="765AA6E5" w14:textId="77777777" w:rsidR="000B189A" w:rsidRPr="00410F65" w:rsidRDefault="00527D5F" w:rsidP="00B8634C">
      <w:pPr>
        <w:pBdr>
          <w:top w:val="nil"/>
          <w:left w:val="nil"/>
          <w:bottom w:val="nil"/>
          <w:right w:val="nil"/>
          <w:between w:val="nil"/>
        </w:pBdr>
        <w:spacing w:line="276" w:lineRule="auto"/>
        <w:ind w:left="851" w:right="616"/>
        <w:jc w:val="center"/>
        <w:rPr>
          <w:rFonts w:ascii="Palatino Linotype" w:eastAsia="Palatino Linotype" w:hAnsi="Palatino Linotype" w:cs="Palatino Linotype"/>
          <w:sz w:val="22"/>
          <w:szCs w:val="22"/>
        </w:rPr>
      </w:pPr>
      <w:r w:rsidRPr="00410F65">
        <w:rPr>
          <w:rFonts w:ascii="Palatino Linotype" w:eastAsia="Palatino Linotype" w:hAnsi="Palatino Linotype" w:cs="Palatino Linotype"/>
          <w:b/>
          <w:i/>
          <w:sz w:val="22"/>
          <w:szCs w:val="22"/>
        </w:rPr>
        <w:t>CAPÍTULO VIII</w:t>
      </w:r>
    </w:p>
    <w:p w14:paraId="0EC186F8" w14:textId="77777777" w:rsidR="000B189A" w:rsidRPr="00410F65" w:rsidRDefault="00527D5F" w:rsidP="00B8634C">
      <w:pPr>
        <w:pBdr>
          <w:top w:val="nil"/>
          <w:left w:val="nil"/>
          <w:bottom w:val="nil"/>
          <w:right w:val="nil"/>
          <w:between w:val="nil"/>
        </w:pBdr>
        <w:spacing w:line="276" w:lineRule="auto"/>
        <w:ind w:left="851" w:right="616"/>
        <w:jc w:val="center"/>
        <w:rPr>
          <w:rFonts w:ascii="Palatino Linotype" w:eastAsia="Palatino Linotype" w:hAnsi="Palatino Linotype" w:cs="Palatino Linotype"/>
          <w:b/>
          <w:i/>
          <w:sz w:val="22"/>
          <w:szCs w:val="22"/>
        </w:rPr>
      </w:pPr>
      <w:r w:rsidRPr="00410F65">
        <w:rPr>
          <w:rFonts w:ascii="Palatino Linotype" w:eastAsia="Palatino Linotype" w:hAnsi="Palatino Linotype" w:cs="Palatino Linotype"/>
          <w:b/>
          <w:i/>
          <w:sz w:val="22"/>
          <w:szCs w:val="22"/>
        </w:rPr>
        <w:t>DE LOS ELEMENTOS PARA LA CLASIFICACIÓN</w:t>
      </w:r>
    </w:p>
    <w:p w14:paraId="3163A19A"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Quincuagésimo</w:t>
      </w:r>
      <w:r w:rsidRPr="00410F65">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563B4BB0"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Quincuagésimo primero</w:t>
      </w:r>
      <w:r w:rsidRPr="00410F65">
        <w:rPr>
          <w:rFonts w:ascii="Palatino Linotype" w:eastAsia="Palatino Linotype" w:hAnsi="Palatino Linotype" w:cs="Palatino Linotype"/>
          <w:i/>
          <w:sz w:val="22"/>
          <w:szCs w:val="22"/>
        </w:rPr>
        <w:t>. Toda acta del Comité de Transparencia deberá contener:</w:t>
      </w:r>
    </w:p>
    <w:p w14:paraId="3BD3885D"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 xml:space="preserve">I. El número de sesión y fecha; </w:t>
      </w:r>
    </w:p>
    <w:p w14:paraId="3D232111"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II. El nombre del área que solicitó la clasificación de información;</w:t>
      </w:r>
    </w:p>
    <w:p w14:paraId="07B85562"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III. La fundamentación legal y motivación correspondiente;</w:t>
      </w:r>
    </w:p>
    <w:p w14:paraId="45B039AA"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IV. La resolución o resoluciones aprobadas; y</w:t>
      </w:r>
    </w:p>
    <w:p w14:paraId="14A0F6EB"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 xml:space="preserve">V. La rúbrica o firma digital de cada integrante del Comité de Transparencia. </w:t>
      </w:r>
    </w:p>
    <w:p w14:paraId="7E2D45C5"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29DAA3CF"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 Los motivos y razonamientos que sustenten la confirmación o modificación de la prueba de daño;</w:t>
      </w:r>
    </w:p>
    <w:p w14:paraId="43CAFED0"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II. Descripción de las partes o secciones reservadas, en caso de clasificación parcial;</w:t>
      </w:r>
    </w:p>
    <w:p w14:paraId="5D9E3765"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III. El periodo por el que mantendrá su clasificación y fecha de expiración; y</w:t>
      </w:r>
    </w:p>
    <w:p w14:paraId="19C0029F"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IV. El nombre del titular y área encargada de realizar la versión pública del documento, en su caso.</w:t>
      </w:r>
    </w:p>
    <w:p w14:paraId="76315AEF"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E7A8679"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D85AF58"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b/>
          <w:i/>
          <w:sz w:val="22"/>
          <w:szCs w:val="22"/>
        </w:rPr>
        <w:t>Quincuagésimo segundo</w:t>
      </w:r>
      <w:r w:rsidRPr="00410F65">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CA47F36"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3DB115F5"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4DA41B97"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2BC3438D"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III. Señalar las personas o instancias autorizadas a acceder a la información clasificada.</w:t>
      </w:r>
    </w:p>
    <w:p w14:paraId="7D034DF0"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2D1E89A"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i/>
          <w:sz w:val="22"/>
          <w:szCs w:val="22"/>
        </w:rPr>
        <w:t>…</w:t>
      </w:r>
    </w:p>
    <w:p w14:paraId="49D50B86"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0D27FAA3" w14:textId="77777777" w:rsidR="000B189A" w:rsidRPr="00410F65" w:rsidRDefault="00527D5F" w:rsidP="00B8634C">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51C6F95C" w14:textId="77777777" w:rsidR="000B189A" w:rsidRPr="00410F65" w:rsidRDefault="000B189A" w:rsidP="00101CE8">
      <w:pPr>
        <w:jc w:val="both"/>
        <w:rPr>
          <w:rFonts w:ascii="Palatino Linotype" w:eastAsia="Palatino Linotype" w:hAnsi="Palatino Linotype" w:cs="Palatino Linotype"/>
          <w:sz w:val="22"/>
          <w:szCs w:val="22"/>
        </w:rPr>
      </w:pPr>
    </w:p>
    <w:p w14:paraId="59591676"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49BF971E" w14:textId="77777777" w:rsidR="000B189A" w:rsidRPr="00410F65" w:rsidRDefault="000B189A" w:rsidP="00101CE8">
      <w:pPr>
        <w:spacing w:line="360" w:lineRule="auto"/>
        <w:jc w:val="both"/>
        <w:rPr>
          <w:rFonts w:ascii="Palatino Linotype" w:eastAsia="Palatino Linotype" w:hAnsi="Palatino Linotype" w:cs="Palatino Linotype"/>
          <w:sz w:val="22"/>
          <w:szCs w:val="22"/>
        </w:rPr>
      </w:pPr>
    </w:p>
    <w:p w14:paraId="5615231A" w14:textId="77777777" w:rsidR="000B189A" w:rsidRPr="00410F65" w:rsidRDefault="00527D5F" w:rsidP="00101CE8">
      <w:pPr>
        <w:shd w:val="clear" w:color="auto" w:fill="FFFFFF"/>
        <w:spacing w:line="360" w:lineRule="auto"/>
        <w:ind w:right="51"/>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410F65">
        <w:rPr>
          <w:rFonts w:ascii="Palatino Linotype" w:eastAsia="Palatino Linotype" w:hAnsi="Palatino Linotype" w:cs="Palatino Linotype"/>
          <w:b/>
          <w:sz w:val="22"/>
          <w:szCs w:val="22"/>
        </w:rPr>
        <w:t>Recurrente</w:t>
      </w:r>
      <w:r w:rsidRPr="00410F65">
        <w:rPr>
          <w:rFonts w:ascii="Palatino Linotype" w:eastAsia="Palatino Linotype" w:hAnsi="Palatino Linotype" w:cs="Palatino Linotype"/>
          <w:sz w:val="22"/>
          <w:szCs w:val="22"/>
        </w:rPr>
        <w:t>.</w:t>
      </w:r>
    </w:p>
    <w:p w14:paraId="03F0880C" w14:textId="77777777" w:rsidR="000B189A" w:rsidRPr="00410F65" w:rsidRDefault="000B189A" w:rsidP="00101CE8">
      <w:pPr>
        <w:spacing w:line="360" w:lineRule="auto"/>
        <w:jc w:val="both"/>
        <w:rPr>
          <w:rFonts w:ascii="Palatino Linotype" w:eastAsia="Palatino Linotype" w:hAnsi="Palatino Linotype" w:cs="Palatino Linotype"/>
          <w:sz w:val="22"/>
          <w:szCs w:val="22"/>
        </w:rPr>
      </w:pPr>
    </w:p>
    <w:p w14:paraId="3D9FE18B"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En mérito de lo expuesto en líneas anteriores resultan fundadas las razones o motivos de inconformidad que arguye la parte</w:t>
      </w:r>
      <w:r w:rsidRPr="00410F65">
        <w:rPr>
          <w:rFonts w:ascii="Palatino Linotype" w:eastAsia="Palatino Linotype" w:hAnsi="Palatino Linotype" w:cs="Palatino Linotype"/>
          <w:b/>
          <w:sz w:val="22"/>
          <w:szCs w:val="22"/>
        </w:rPr>
        <w:t xml:space="preserve"> Recurrente</w:t>
      </w:r>
      <w:r w:rsidRPr="00410F65">
        <w:rPr>
          <w:rFonts w:ascii="Palatino Linotype" w:eastAsia="Palatino Linotype" w:hAnsi="Palatino Linotype" w:cs="Palatino Linotype"/>
          <w:sz w:val="22"/>
          <w:szCs w:val="22"/>
        </w:rPr>
        <w:t xml:space="preserve">, por ello con fundamento en el artículo 124 fracción III de la Ley de Transparencia y Acceso a la Información Pública del Estado de México y Municipios, este Instituto </w:t>
      </w:r>
      <w:r w:rsidR="005232A9" w:rsidRPr="00410F65">
        <w:rPr>
          <w:rFonts w:ascii="Palatino Linotype" w:eastAsia="Palatino Linotype" w:hAnsi="Palatino Linotype" w:cs="Palatino Linotype"/>
          <w:b/>
          <w:sz w:val="22"/>
          <w:szCs w:val="22"/>
        </w:rPr>
        <w:t>Revoca</w:t>
      </w:r>
      <w:r w:rsidRPr="00410F65">
        <w:rPr>
          <w:rFonts w:ascii="Palatino Linotype" w:eastAsia="Palatino Linotype" w:hAnsi="Palatino Linotype" w:cs="Palatino Linotype"/>
          <w:sz w:val="22"/>
          <w:szCs w:val="22"/>
        </w:rPr>
        <w:t xml:space="preserve"> la respuesta a la solicitud de información pública </w:t>
      </w:r>
      <w:r w:rsidR="009A7226" w:rsidRPr="00410F65">
        <w:rPr>
          <w:rFonts w:ascii="Palatino Linotype" w:eastAsia="Palatino Linotype" w:hAnsi="Palatino Linotype" w:cs="Palatino Linotype"/>
          <w:b/>
          <w:sz w:val="22"/>
          <w:szCs w:val="22"/>
        </w:rPr>
        <w:t>03858/TOLUCA/IP/2025</w:t>
      </w:r>
      <w:r w:rsidRPr="00410F65">
        <w:rPr>
          <w:rFonts w:ascii="Palatino Linotype" w:eastAsia="Palatino Linotype" w:hAnsi="Palatino Linotype" w:cs="Palatino Linotype"/>
          <w:sz w:val="22"/>
          <w:szCs w:val="22"/>
        </w:rPr>
        <w:t>,</w:t>
      </w:r>
      <w:r w:rsidRPr="00410F65">
        <w:rPr>
          <w:rFonts w:ascii="Palatino Linotype" w:eastAsia="Palatino Linotype" w:hAnsi="Palatino Linotype" w:cs="Palatino Linotype"/>
          <w:b/>
          <w:sz w:val="22"/>
          <w:szCs w:val="22"/>
        </w:rPr>
        <w:t xml:space="preserve"> </w:t>
      </w:r>
      <w:r w:rsidRPr="00410F65">
        <w:rPr>
          <w:rFonts w:ascii="Palatino Linotype" w:eastAsia="Palatino Linotype" w:hAnsi="Palatino Linotype" w:cs="Palatino Linotype"/>
          <w:sz w:val="22"/>
          <w:szCs w:val="22"/>
        </w:rPr>
        <w:t>que ha sido materia del presente fallo.</w:t>
      </w:r>
    </w:p>
    <w:p w14:paraId="399C5947" w14:textId="77777777" w:rsidR="000B189A" w:rsidRPr="00410F65" w:rsidRDefault="000B189A" w:rsidP="00101CE8">
      <w:pPr>
        <w:spacing w:line="360" w:lineRule="auto"/>
        <w:jc w:val="both"/>
        <w:rPr>
          <w:rFonts w:ascii="Palatino Linotype" w:eastAsia="Palatino Linotype" w:hAnsi="Palatino Linotype" w:cs="Palatino Linotype"/>
          <w:sz w:val="22"/>
          <w:szCs w:val="22"/>
        </w:rPr>
      </w:pPr>
    </w:p>
    <w:p w14:paraId="3E19D315" w14:textId="0CAA46D1"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sz w:val="22"/>
          <w:szCs w:val="22"/>
        </w:rPr>
        <w:t xml:space="preserve">Así, con fundamento en lo prescrito en los artículos 5 párrafos </w:t>
      </w:r>
      <w:r w:rsidR="00044DA0" w:rsidRPr="00410F65">
        <w:rPr>
          <w:rFonts w:ascii="Palatino Linotype" w:eastAsia="Palatino Linotype" w:hAnsi="Palatino Linotype" w:cs="Palatino Linotype"/>
          <w:sz w:val="22"/>
          <w:szCs w:val="22"/>
        </w:rPr>
        <w:t>cuadragésimo cuarto, cuadragésimo quinto y cuadragésimo sexto, fracciones IV y V de la Constitución Política del Estado Libre y Soberano de México; Transitorio Cuarto, párrafo segundo del Decreto número 198 de la “LXII” Legislatura del Estado de México</w:t>
      </w:r>
      <w:r w:rsidRPr="00410F65">
        <w:rPr>
          <w:rFonts w:ascii="Palatino Linotype" w:eastAsia="Palatino Linotype" w:hAnsi="Palatino Linotype" w:cs="Palatino Linotype"/>
          <w:sz w:val="22"/>
          <w:szCs w:val="22"/>
        </w:rPr>
        <w:t>; 2, fracción II; 29, 36 fracciones I y II; 176, 178, 181, 185 de la Ley de Transparencia y Acceso a la Información Pública del Estado de México y Municipios, este Pleno:</w:t>
      </w:r>
    </w:p>
    <w:p w14:paraId="2DB6DC79" w14:textId="77777777" w:rsidR="00044DA0" w:rsidRPr="00410F65" w:rsidRDefault="00044DA0" w:rsidP="00101CE8">
      <w:pPr>
        <w:spacing w:line="360" w:lineRule="auto"/>
        <w:jc w:val="both"/>
        <w:rPr>
          <w:rFonts w:ascii="Palatino Linotype" w:eastAsia="Palatino Linotype" w:hAnsi="Palatino Linotype" w:cs="Palatino Linotype"/>
          <w:sz w:val="22"/>
          <w:szCs w:val="22"/>
        </w:rPr>
      </w:pPr>
    </w:p>
    <w:p w14:paraId="7FC3A1BE" w14:textId="77777777" w:rsidR="000B189A" w:rsidRPr="00410F65" w:rsidRDefault="00527D5F" w:rsidP="00101CE8">
      <w:pPr>
        <w:spacing w:line="360" w:lineRule="auto"/>
        <w:jc w:val="center"/>
        <w:rPr>
          <w:rFonts w:ascii="Palatino Linotype" w:eastAsia="Palatino Linotype" w:hAnsi="Palatino Linotype" w:cs="Palatino Linotype"/>
          <w:b/>
          <w:sz w:val="22"/>
          <w:szCs w:val="22"/>
        </w:rPr>
      </w:pPr>
      <w:r w:rsidRPr="00410F65">
        <w:rPr>
          <w:rFonts w:ascii="Palatino Linotype" w:eastAsia="Palatino Linotype" w:hAnsi="Palatino Linotype" w:cs="Palatino Linotype"/>
          <w:b/>
          <w:sz w:val="22"/>
          <w:szCs w:val="22"/>
        </w:rPr>
        <w:t>R E S U E L V E:</w:t>
      </w:r>
    </w:p>
    <w:p w14:paraId="181A89DF" w14:textId="77777777" w:rsidR="00044DA0" w:rsidRPr="00410F65" w:rsidRDefault="00044DA0" w:rsidP="00101CE8">
      <w:pPr>
        <w:spacing w:line="360" w:lineRule="auto"/>
        <w:jc w:val="center"/>
        <w:rPr>
          <w:rFonts w:ascii="Palatino Linotype" w:eastAsia="Palatino Linotype" w:hAnsi="Palatino Linotype" w:cs="Palatino Linotype"/>
          <w:b/>
          <w:sz w:val="22"/>
          <w:szCs w:val="22"/>
        </w:rPr>
      </w:pPr>
    </w:p>
    <w:p w14:paraId="0F21036B" w14:textId="77777777" w:rsidR="000B189A" w:rsidRPr="00410F65" w:rsidRDefault="00527D5F" w:rsidP="00101CE8">
      <w:pPr>
        <w:spacing w:line="360" w:lineRule="auto"/>
        <w:jc w:val="both"/>
        <w:rPr>
          <w:rFonts w:ascii="Palatino Linotype" w:eastAsia="Palatino Linotype" w:hAnsi="Palatino Linotype" w:cs="Palatino Linotype"/>
          <w:b/>
          <w:sz w:val="22"/>
          <w:szCs w:val="22"/>
        </w:rPr>
      </w:pPr>
      <w:r w:rsidRPr="00410F65">
        <w:rPr>
          <w:rFonts w:ascii="Palatino Linotype" w:eastAsia="Palatino Linotype" w:hAnsi="Palatino Linotype" w:cs="Palatino Linotype"/>
          <w:b/>
          <w:sz w:val="22"/>
          <w:szCs w:val="22"/>
        </w:rPr>
        <w:t xml:space="preserve">Primero. </w:t>
      </w:r>
      <w:r w:rsidRPr="00410F65">
        <w:rPr>
          <w:rFonts w:ascii="Palatino Linotype" w:eastAsia="Palatino Linotype" w:hAnsi="Palatino Linotype" w:cs="Palatino Linotype"/>
          <w:sz w:val="22"/>
          <w:szCs w:val="22"/>
        </w:rPr>
        <w:t xml:space="preserve">Resultan </w:t>
      </w:r>
      <w:r w:rsidRPr="00410F65">
        <w:rPr>
          <w:rFonts w:ascii="Palatino Linotype" w:eastAsia="Palatino Linotype" w:hAnsi="Palatino Linotype" w:cs="Palatino Linotype"/>
          <w:b/>
          <w:sz w:val="22"/>
          <w:szCs w:val="22"/>
        </w:rPr>
        <w:t>fundadas</w:t>
      </w:r>
      <w:r w:rsidRPr="00410F65">
        <w:rPr>
          <w:rFonts w:ascii="Palatino Linotype" w:eastAsia="Palatino Linotype" w:hAnsi="Palatino Linotype" w:cs="Palatino Linotype"/>
          <w:sz w:val="22"/>
          <w:szCs w:val="22"/>
        </w:rPr>
        <w:t xml:space="preserve"> las razones o motivos de inconformidad hechos valer por la parte</w:t>
      </w:r>
      <w:r w:rsidRPr="00410F65">
        <w:rPr>
          <w:rFonts w:ascii="Palatino Linotype" w:eastAsia="Palatino Linotype" w:hAnsi="Palatino Linotype" w:cs="Palatino Linotype"/>
          <w:b/>
          <w:sz w:val="22"/>
          <w:szCs w:val="22"/>
        </w:rPr>
        <w:t xml:space="preserve"> Recurrente</w:t>
      </w:r>
      <w:r w:rsidRPr="00410F65">
        <w:rPr>
          <w:rFonts w:ascii="Palatino Linotype" w:eastAsia="Palatino Linotype" w:hAnsi="Palatino Linotype" w:cs="Palatino Linotype"/>
          <w:sz w:val="22"/>
          <w:szCs w:val="22"/>
        </w:rPr>
        <w:t xml:space="preserve"> en el recurso de revisión </w:t>
      </w:r>
      <w:r w:rsidR="009A7226" w:rsidRPr="00410F65">
        <w:rPr>
          <w:rFonts w:ascii="Palatino Linotype" w:eastAsia="Palatino Linotype" w:hAnsi="Palatino Linotype" w:cs="Palatino Linotype"/>
          <w:b/>
          <w:sz w:val="22"/>
          <w:szCs w:val="22"/>
        </w:rPr>
        <w:t>09749</w:t>
      </w:r>
      <w:r w:rsidRPr="00410F65">
        <w:rPr>
          <w:rFonts w:ascii="Palatino Linotype" w:eastAsia="Palatino Linotype" w:hAnsi="Palatino Linotype" w:cs="Palatino Linotype"/>
          <w:b/>
          <w:sz w:val="22"/>
          <w:szCs w:val="22"/>
        </w:rPr>
        <w:t>/INFOEM/IP/RR/2025</w:t>
      </w:r>
      <w:r w:rsidRPr="00410F65">
        <w:rPr>
          <w:rFonts w:ascii="Palatino Linotype" w:eastAsia="Palatino Linotype" w:hAnsi="Palatino Linotype" w:cs="Palatino Linotype"/>
          <w:sz w:val="22"/>
          <w:szCs w:val="22"/>
        </w:rPr>
        <w:t xml:space="preserve">; por lo que, en términos del </w:t>
      </w:r>
      <w:r w:rsidRPr="00410F65">
        <w:rPr>
          <w:rFonts w:ascii="Palatino Linotype" w:eastAsia="Palatino Linotype" w:hAnsi="Palatino Linotype" w:cs="Palatino Linotype"/>
          <w:b/>
          <w:sz w:val="22"/>
          <w:szCs w:val="22"/>
        </w:rPr>
        <w:t>Considerando</w:t>
      </w:r>
      <w:r w:rsidRPr="00410F65">
        <w:rPr>
          <w:rFonts w:ascii="Palatino Linotype" w:eastAsia="Palatino Linotype" w:hAnsi="Palatino Linotype" w:cs="Palatino Linotype"/>
          <w:sz w:val="22"/>
          <w:szCs w:val="22"/>
        </w:rPr>
        <w:t xml:space="preserve"> </w:t>
      </w:r>
      <w:r w:rsidRPr="00410F65">
        <w:rPr>
          <w:rFonts w:ascii="Palatino Linotype" w:eastAsia="Palatino Linotype" w:hAnsi="Palatino Linotype" w:cs="Palatino Linotype"/>
          <w:b/>
          <w:sz w:val="22"/>
          <w:szCs w:val="22"/>
        </w:rPr>
        <w:t xml:space="preserve">Cuarto </w:t>
      </w:r>
      <w:r w:rsidRPr="00410F65">
        <w:rPr>
          <w:rFonts w:ascii="Palatino Linotype" w:eastAsia="Palatino Linotype" w:hAnsi="Palatino Linotype" w:cs="Palatino Linotype"/>
          <w:sz w:val="22"/>
          <w:szCs w:val="22"/>
        </w:rPr>
        <w:t xml:space="preserve">de esta resolución, se </w:t>
      </w:r>
      <w:r w:rsidR="005232A9" w:rsidRPr="00410F65">
        <w:rPr>
          <w:rFonts w:ascii="Palatino Linotype" w:eastAsia="Palatino Linotype" w:hAnsi="Palatino Linotype" w:cs="Palatino Linotype"/>
          <w:b/>
          <w:sz w:val="22"/>
          <w:szCs w:val="22"/>
        </w:rPr>
        <w:t>Revoca</w:t>
      </w:r>
      <w:r w:rsidRPr="00410F65">
        <w:rPr>
          <w:rFonts w:ascii="Palatino Linotype" w:eastAsia="Palatino Linotype" w:hAnsi="Palatino Linotype" w:cs="Palatino Linotype"/>
          <w:b/>
          <w:sz w:val="22"/>
          <w:szCs w:val="22"/>
        </w:rPr>
        <w:t xml:space="preserve"> </w:t>
      </w:r>
      <w:r w:rsidRPr="00410F65">
        <w:rPr>
          <w:rFonts w:ascii="Palatino Linotype" w:eastAsia="Palatino Linotype" w:hAnsi="Palatino Linotype" w:cs="Palatino Linotype"/>
          <w:sz w:val="22"/>
          <w:szCs w:val="22"/>
        </w:rPr>
        <w:t xml:space="preserve">la respuesta emitida por el </w:t>
      </w:r>
      <w:r w:rsidRPr="00410F65">
        <w:rPr>
          <w:rFonts w:ascii="Palatino Linotype" w:eastAsia="Palatino Linotype" w:hAnsi="Palatino Linotype" w:cs="Palatino Linotype"/>
          <w:b/>
          <w:sz w:val="22"/>
          <w:szCs w:val="22"/>
        </w:rPr>
        <w:t>Sujeto Obligado.</w:t>
      </w:r>
    </w:p>
    <w:p w14:paraId="008CCA0F" w14:textId="77777777" w:rsidR="000B189A" w:rsidRPr="00410F65" w:rsidRDefault="000B189A" w:rsidP="00101CE8">
      <w:pPr>
        <w:spacing w:line="360" w:lineRule="auto"/>
        <w:jc w:val="both"/>
        <w:rPr>
          <w:rFonts w:ascii="Palatino Linotype" w:eastAsia="Palatino Linotype" w:hAnsi="Palatino Linotype" w:cs="Palatino Linotype"/>
          <w:sz w:val="22"/>
          <w:szCs w:val="22"/>
        </w:rPr>
      </w:pPr>
    </w:p>
    <w:p w14:paraId="34305F0B" w14:textId="2499979F" w:rsidR="000B189A" w:rsidRPr="00410F65" w:rsidRDefault="00527D5F" w:rsidP="00101CE8">
      <w:pPr>
        <w:spacing w:line="360" w:lineRule="auto"/>
        <w:jc w:val="both"/>
        <w:rPr>
          <w:rFonts w:ascii="Palatino Linotype" w:eastAsia="Palatino Linotype" w:hAnsi="Palatino Linotype" w:cs="Palatino Linotype"/>
          <w:sz w:val="22"/>
          <w:szCs w:val="22"/>
        </w:rPr>
      </w:pPr>
      <w:bookmarkStart w:id="9" w:name="_heading=h.1fob9te" w:colFirst="0" w:colLast="0"/>
      <w:bookmarkEnd w:id="9"/>
      <w:r w:rsidRPr="00410F65">
        <w:rPr>
          <w:rFonts w:ascii="Palatino Linotype" w:eastAsia="Palatino Linotype" w:hAnsi="Palatino Linotype" w:cs="Palatino Linotype"/>
          <w:b/>
          <w:sz w:val="22"/>
          <w:szCs w:val="22"/>
        </w:rPr>
        <w:t xml:space="preserve">Segundo. </w:t>
      </w:r>
      <w:r w:rsidRPr="00410F65">
        <w:rPr>
          <w:rFonts w:ascii="Palatino Linotype" w:eastAsia="Palatino Linotype" w:hAnsi="Palatino Linotype" w:cs="Palatino Linotype"/>
          <w:sz w:val="22"/>
          <w:szCs w:val="22"/>
        </w:rPr>
        <w:t xml:space="preserve">Se </w:t>
      </w:r>
      <w:r w:rsidRPr="00410F65">
        <w:rPr>
          <w:rFonts w:ascii="Palatino Linotype" w:eastAsia="Palatino Linotype" w:hAnsi="Palatino Linotype" w:cs="Palatino Linotype"/>
          <w:b/>
          <w:sz w:val="22"/>
          <w:szCs w:val="22"/>
        </w:rPr>
        <w:t xml:space="preserve">ordena </w:t>
      </w:r>
      <w:r w:rsidRPr="00410F65">
        <w:rPr>
          <w:rFonts w:ascii="Palatino Linotype" w:eastAsia="Palatino Linotype" w:hAnsi="Palatino Linotype" w:cs="Palatino Linotype"/>
          <w:sz w:val="22"/>
          <w:szCs w:val="22"/>
        </w:rPr>
        <w:t xml:space="preserve">al </w:t>
      </w:r>
      <w:r w:rsidRPr="00410F65">
        <w:rPr>
          <w:rFonts w:ascii="Palatino Linotype" w:eastAsia="Palatino Linotype" w:hAnsi="Palatino Linotype" w:cs="Palatino Linotype"/>
          <w:b/>
          <w:sz w:val="22"/>
          <w:szCs w:val="22"/>
        </w:rPr>
        <w:t>Sujeto Obligado</w:t>
      </w:r>
      <w:r w:rsidR="005232A9" w:rsidRPr="00410F65">
        <w:rPr>
          <w:rFonts w:ascii="Palatino Linotype" w:eastAsia="Palatino Linotype" w:hAnsi="Palatino Linotype" w:cs="Palatino Linotype"/>
          <w:sz w:val="22"/>
          <w:szCs w:val="22"/>
        </w:rPr>
        <w:t xml:space="preserve"> entregue </w:t>
      </w:r>
      <w:r w:rsidRPr="00410F65">
        <w:rPr>
          <w:rFonts w:ascii="Palatino Linotype" w:eastAsia="Palatino Linotype" w:hAnsi="Palatino Linotype" w:cs="Palatino Linotype"/>
          <w:sz w:val="22"/>
          <w:szCs w:val="22"/>
        </w:rPr>
        <w:t>a</w:t>
      </w:r>
      <w:r w:rsidRPr="00410F65">
        <w:rPr>
          <w:rFonts w:ascii="Palatino Linotype" w:eastAsia="Palatino Linotype" w:hAnsi="Palatino Linotype" w:cs="Palatino Linotype"/>
          <w:b/>
          <w:sz w:val="22"/>
          <w:szCs w:val="22"/>
        </w:rPr>
        <w:t xml:space="preserve"> </w:t>
      </w:r>
      <w:r w:rsidRPr="00410F65">
        <w:rPr>
          <w:rFonts w:ascii="Palatino Linotype" w:eastAsia="Palatino Linotype" w:hAnsi="Palatino Linotype" w:cs="Palatino Linotype"/>
          <w:sz w:val="22"/>
          <w:szCs w:val="22"/>
        </w:rPr>
        <w:t xml:space="preserve">la parte </w:t>
      </w:r>
      <w:r w:rsidRPr="00410F65">
        <w:rPr>
          <w:rFonts w:ascii="Palatino Linotype" w:eastAsia="Palatino Linotype" w:hAnsi="Palatino Linotype" w:cs="Palatino Linotype"/>
          <w:b/>
          <w:sz w:val="22"/>
          <w:szCs w:val="22"/>
        </w:rPr>
        <w:t>Recurrente</w:t>
      </w:r>
      <w:r w:rsidRPr="00410F65">
        <w:rPr>
          <w:rFonts w:ascii="Palatino Linotype" w:eastAsia="Palatino Linotype" w:hAnsi="Palatino Linotype" w:cs="Palatino Linotype"/>
          <w:sz w:val="22"/>
          <w:szCs w:val="22"/>
        </w:rPr>
        <w:t>, vía</w:t>
      </w:r>
      <w:r w:rsidRPr="00410F65">
        <w:rPr>
          <w:rFonts w:ascii="Palatino Linotype" w:eastAsia="Palatino Linotype" w:hAnsi="Palatino Linotype" w:cs="Palatino Linotype"/>
          <w:b/>
          <w:sz w:val="22"/>
          <w:szCs w:val="22"/>
        </w:rPr>
        <w:t xml:space="preserve"> SAIMEX, </w:t>
      </w:r>
      <w:r w:rsidRPr="00410F65">
        <w:rPr>
          <w:rFonts w:ascii="Palatino Linotype" w:eastAsia="Palatino Linotype" w:hAnsi="Palatino Linotype" w:cs="Palatino Linotype"/>
          <w:sz w:val="22"/>
          <w:szCs w:val="22"/>
        </w:rPr>
        <w:t>en términos de</w:t>
      </w:r>
      <w:r w:rsidRPr="00410F65">
        <w:rPr>
          <w:rFonts w:ascii="Palatino Linotype" w:eastAsia="Palatino Linotype" w:hAnsi="Palatino Linotype" w:cs="Palatino Linotype"/>
          <w:b/>
          <w:sz w:val="22"/>
          <w:szCs w:val="22"/>
        </w:rPr>
        <w:t>l Considerando</w:t>
      </w:r>
      <w:r w:rsidRPr="00410F65">
        <w:rPr>
          <w:rFonts w:ascii="Palatino Linotype" w:eastAsia="Palatino Linotype" w:hAnsi="Palatino Linotype" w:cs="Palatino Linotype"/>
          <w:sz w:val="22"/>
          <w:szCs w:val="22"/>
        </w:rPr>
        <w:t xml:space="preserve"> </w:t>
      </w:r>
      <w:r w:rsidRPr="00410F65">
        <w:rPr>
          <w:rFonts w:ascii="Palatino Linotype" w:eastAsia="Palatino Linotype" w:hAnsi="Palatino Linotype" w:cs="Palatino Linotype"/>
          <w:b/>
          <w:sz w:val="22"/>
          <w:szCs w:val="22"/>
        </w:rPr>
        <w:t>Cuarto y Quinto</w:t>
      </w:r>
      <w:r w:rsidRPr="00410F65">
        <w:rPr>
          <w:rFonts w:ascii="Palatino Linotype" w:eastAsia="Palatino Linotype" w:hAnsi="Palatino Linotype" w:cs="Palatino Linotype"/>
          <w:sz w:val="22"/>
          <w:szCs w:val="22"/>
        </w:rPr>
        <w:t xml:space="preserve">, de ser procedente en versión pública, </w:t>
      </w:r>
      <w:r w:rsidR="002263BF" w:rsidRPr="00410F65">
        <w:rPr>
          <w:rFonts w:ascii="Palatino Linotype" w:eastAsia="Palatino Linotype" w:hAnsi="Palatino Linotype" w:cs="Palatino Linotype"/>
          <w:b/>
          <w:sz w:val="22"/>
          <w:szCs w:val="22"/>
        </w:rPr>
        <w:t>del personal dado de baja del siete de julio de dos mil veinticuatro al siete de julio de dos mil veinticinco</w:t>
      </w:r>
      <w:r w:rsidR="002263BF" w:rsidRPr="00410F65">
        <w:rPr>
          <w:rFonts w:ascii="Palatino Linotype" w:eastAsia="Palatino Linotype" w:hAnsi="Palatino Linotype" w:cs="Palatino Linotype"/>
          <w:sz w:val="22"/>
          <w:szCs w:val="22"/>
        </w:rPr>
        <w:t xml:space="preserve">, </w:t>
      </w:r>
      <w:r w:rsidR="00044DA0" w:rsidRPr="00410F65">
        <w:rPr>
          <w:rFonts w:ascii="Palatino Linotype" w:eastAsia="Palatino Linotype" w:hAnsi="Palatino Linotype" w:cs="Palatino Linotype"/>
          <w:sz w:val="22"/>
          <w:szCs w:val="22"/>
        </w:rPr>
        <w:t xml:space="preserve">el documento que dé cuenta de </w:t>
      </w:r>
      <w:r w:rsidRPr="00410F65">
        <w:rPr>
          <w:rFonts w:ascii="Palatino Linotype" w:eastAsia="Palatino Linotype" w:hAnsi="Palatino Linotype" w:cs="Palatino Linotype"/>
          <w:sz w:val="22"/>
          <w:szCs w:val="22"/>
        </w:rPr>
        <w:t>lo siguiente:</w:t>
      </w:r>
    </w:p>
    <w:p w14:paraId="3EBAE850" w14:textId="77777777" w:rsidR="000B189A" w:rsidRPr="00410F65" w:rsidRDefault="000B189A" w:rsidP="00101CE8">
      <w:pPr>
        <w:spacing w:line="360" w:lineRule="auto"/>
        <w:jc w:val="both"/>
        <w:rPr>
          <w:rFonts w:ascii="Palatino Linotype" w:eastAsia="Palatino Linotype" w:hAnsi="Palatino Linotype" w:cs="Palatino Linotype"/>
          <w:i/>
          <w:sz w:val="22"/>
          <w:szCs w:val="22"/>
        </w:rPr>
      </w:pPr>
    </w:p>
    <w:p w14:paraId="236F16B3" w14:textId="77777777" w:rsidR="002263BF" w:rsidRPr="00410F65" w:rsidRDefault="002263BF" w:rsidP="00044DA0">
      <w:pPr>
        <w:pStyle w:val="Listaconvietas3"/>
        <w:numPr>
          <w:ilvl w:val="0"/>
          <w:numId w:val="29"/>
        </w:numPr>
        <w:spacing w:line="360" w:lineRule="auto"/>
        <w:ind w:left="851" w:right="616" w:firstLine="0"/>
        <w:jc w:val="both"/>
        <w:rPr>
          <w:rFonts w:ascii="Palatino Linotype" w:eastAsia="Palatino Linotype" w:hAnsi="Palatino Linotype" w:cs="Palatino Linotype"/>
          <w:b/>
          <w:sz w:val="22"/>
          <w:szCs w:val="22"/>
        </w:rPr>
      </w:pPr>
      <w:r w:rsidRPr="00410F65">
        <w:rPr>
          <w:rFonts w:ascii="Palatino Linotype" w:eastAsia="Palatino Linotype" w:hAnsi="Palatino Linotype" w:cs="Palatino Linotype"/>
          <w:b/>
          <w:sz w:val="22"/>
          <w:szCs w:val="22"/>
        </w:rPr>
        <w:t>Formato Único de Movimientos de Personal.</w:t>
      </w:r>
    </w:p>
    <w:p w14:paraId="77C693B6" w14:textId="77777777" w:rsidR="002263BF" w:rsidRPr="00410F65" w:rsidRDefault="002263BF" w:rsidP="00044DA0">
      <w:pPr>
        <w:pStyle w:val="Listaconvietas3"/>
        <w:numPr>
          <w:ilvl w:val="0"/>
          <w:numId w:val="29"/>
        </w:numPr>
        <w:spacing w:line="360" w:lineRule="auto"/>
        <w:ind w:left="851" w:right="616" w:firstLine="0"/>
        <w:jc w:val="both"/>
        <w:rPr>
          <w:rFonts w:ascii="Palatino Linotype" w:eastAsia="Palatino Linotype" w:hAnsi="Palatino Linotype" w:cs="Palatino Linotype"/>
          <w:b/>
          <w:sz w:val="22"/>
          <w:szCs w:val="22"/>
        </w:rPr>
      </w:pPr>
      <w:r w:rsidRPr="00410F65">
        <w:rPr>
          <w:rFonts w:ascii="Palatino Linotype" w:eastAsia="Palatino Linotype" w:hAnsi="Palatino Linotype" w:cs="Palatino Linotype"/>
          <w:b/>
          <w:sz w:val="22"/>
          <w:szCs w:val="22"/>
        </w:rPr>
        <w:t>Currículum Vitae.</w:t>
      </w:r>
    </w:p>
    <w:p w14:paraId="181DA049" w14:textId="0DC50A4B" w:rsidR="002263BF" w:rsidRPr="00410F65" w:rsidRDefault="00044DA0" w:rsidP="00044DA0">
      <w:pPr>
        <w:pStyle w:val="Listaconvietas3"/>
        <w:numPr>
          <w:ilvl w:val="0"/>
          <w:numId w:val="29"/>
        </w:numPr>
        <w:spacing w:line="360" w:lineRule="auto"/>
        <w:ind w:left="851" w:right="616" w:firstLine="0"/>
        <w:jc w:val="both"/>
        <w:rPr>
          <w:rFonts w:ascii="Palatino Linotype" w:eastAsia="Palatino Linotype" w:hAnsi="Palatino Linotype" w:cs="Palatino Linotype"/>
          <w:b/>
          <w:sz w:val="22"/>
          <w:szCs w:val="22"/>
        </w:rPr>
      </w:pPr>
      <w:r w:rsidRPr="00410F65">
        <w:rPr>
          <w:rFonts w:ascii="Palatino Linotype" w:eastAsia="Palatino Linotype" w:hAnsi="Palatino Linotype" w:cs="Palatino Linotype"/>
          <w:b/>
          <w:sz w:val="22"/>
          <w:szCs w:val="22"/>
        </w:rPr>
        <w:t>R</w:t>
      </w:r>
      <w:r w:rsidR="002263BF" w:rsidRPr="00410F65">
        <w:rPr>
          <w:rFonts w:ascii="Palatino Linotype" w:eastAsia="Palatino Linotype" w:hAnsi="Palatino Linotype" w:cs="Palatino Linotype"/>
          <w:b/>
          <w:sz w:val="22"/>
          <w:szCs w:val="22"/>
        </w:rPr>
        <w:t>enuncias firmadas.</w:t>
      </w:r>
    </w:p>
    <w:p w14:paraId="439ACB0A" w14:textId="57ED581D" w:rsidR="002263BF" w:rsidRPr="00410F65" w:rsidRDefault="00044DA0" w:rsidP="00263DA0">
      <w:pPr>
        <w:pStyle w:val="Listaconvietas3"/>
        <w:numPr>
          <w:ilvl w:val="0"/>
          <w:numId w:val="29"/>
        </w:numPr>
        <w:tabs>
          <w:tab w:val="left" w:pos="851"/>
        </w:tabs>
        <w:spacing w:line="360" w:lineRule="auto"/>
        <w:ind w:left="1134" w:right="616" w:hanging="283"/>
        <w:jc w:val="both"/>
        <w:rPr>
          <w:rFonts w:ascii="Palatino Linotype" w:eastAsia="Palatino Linotype" w:hAnsi="Palatino Linotype" w:cs="Palatino Linotype"/>
          <w:b/>
          <w:sz w:val="22"/>
          <w:szCs w:val="22"/>
        </w:rPr>
      </w:pPr>
      <w:r w:rsidRPr="00410F65">
        <w:rPr>
          <w:rFonts w:ascii="Palatino Linotype" w:eastAsia="Palatino Linotype" w:hAnsi="Palatino Linotype" w:cs="Palatino Linotype"/>
          <w:b/>
          <w:sz w:val="22"/>
          <w:szCs w:val="22"/>
        </w:rPr>
        <w:t>N</w:t>
      </w:r>
      <w:r w:rsidR="002263BF" w:rsidRPr="00410F65">
        <w:rPr>
          <w:rFonts w:ascii="Palatino Linotype" w:eastAsia="Palatino Linotype" w:hAnsi="Palatino Linotype" w:cs="Palatino Linotype"/>
          <w:b/>
          <w:sz w:val="22"/>
          <w:szCs w:val="22"/>
        </w:rPr>
        <w:t>úmero de demandas interpuestas; así como el estatus en el que</w:t>
      </w:r>
      <w:r w:rsidRPr="00410F65">
        <w:rPr>
          <w:rFonts w:ascii="Palatino Linotype" w:eastAsia="Palatino Linotype" w:hAnsi="Palatino Linotype" w:cs="Palatino Linotype"/>
          <w:b/>
          <w:sz w:val="22"/>
          <w:szCs w:val="22"/>
        </w:rPr>
        <w:t xml:space="preserve"> </w:t>
      </w:r>
      <w:r w:rsidR="002263BF" w:rsidRPr="00410F65">
        <w:rPr>
          <w:rFonts w:ascii="Palatino Linotype" w:eastAsia="Palatino Linotype" w:hAnsi="Palatino Linotype" w:cs="Palatino Linotype"/>
          <w:b/>
          <w:sz w:val="22"/>
          <w:szCs w:val="22"/>
        </w:rPr>
        <w:t>se encuentre.</w:t>
      </w:r>
    </w:p>
    <w:p w14:paraId="246C1327" w14:textId="77777777" w:rsidR="002263BF" w:rsidRPr="00410F65" w:rsidRDefault="002263BF" w:rsidP="00044DA0">
      <w:pPr>
        <w:pStyle w:val="Listaconvietas3"/>
        <w:numPr>
          <w:ilvl w:val="0"/>
          <w:numId w:val="29"/>
        </w:numPr>
        <w:spacing w:line="360" w:lineRule="auto"/>
        <w:ind w:left="851" w:right="616" w:firstLine="0"/>
        <w:jc w:val="both"/>
        <w:rPr>
          <w:rFonts w:ascii="Palatino Linotype" w:eastAsia="Palatino Linotype" w:hAnsi="Palatino Linotype" w:cs="Palatino Linotype"/>
          <w:b/>
          <w:sz w:val="22"/>
          <w:szCs w:val="22"/>
        </w:rPr>
      </w:pPr>
      <w:r w:rsidRPr="00410F65">
        <w:rPr>
          <w:rFonts w:ascii="Palatino Linotype" w:eastAsia="Palatino Linotype" w:hAnsi="Palatino Linotype" w:cs="Palatino Linotype"/>
          <w:b/>
          <w:sz w:val="22"/>
          <w:szCs w:val="22"/>
        </w:rPr>
        <w:t>Número de laudos pagados.</w:t>
      </w:r>
    </w:p>
    <w:p w14:paraId="612794CF" w14:textId="77777777" w:rsidR="002263BF" w:rsidRPr="00410F65" w:rsidRDefault="002263BF" w:rsidP="00044DA0">
      <w:pPr>
        <w:pStyle w:val="Listaconvietas3"/>
        <w:numPr>
          <w:ilvl w:val="0"/>
          <w:numId w:val="29"/>
        </w:numPr>
        <w:spacing w:line="360" w:lineRule="auto"/>
        <w:ind w:left="851" w:right="616" w:firstLine="0"/>
        <w:jc w:val="both"/>
        <w:rPr>
          <w:rFonts w:ascii="Palatino Linotype" w:eastAsia="Palatino Linotype" w:hAnsi="Palatino Linotype" w:cs="Palatino Linotype"/>
          <w:b/>
          <w:sz w:val="22"/>
          <w:szCs w:val="22"/>
        </w:rPr>
      </w:pPr>
      <w:r w:rsidRPr="00410F65">
        <w:rPr>
          <w:rFonts w:ascii="Palatino Linotype" w:eastAsia="Palatino Linotype" w:hAnsi="Palatino Linotype" w:cs="Palatino Linotype"/>
          <w:b/>
          <w:sz w:val="22"/>
          <w:szCs w:val="22"/>
        </w:rPr>
        <w:t>Monto pagado por concepto de laudos.</w:t>
      </w:r>
    </w:p>
    <w:p w14:paraId="4684BAA4" w14:textId="77777777" w:rsidR="000B189A" w:rsidRPr="00410F65" w:rsidRDefault="002263BF" w:rsidP="00044DA0">
      <w:pPr>
        <w:pStyle w:val="Listaconvietas3"/>
        <w:numPr>
          <w:ilvl w:val="0"/>
          <w:numId w:val="29"/>
        </w:numPr>
        <w:spacing w:line="360" w:lineRule="auto"/>
        <w:ind w:left="851" w:right="616" w:firstLine="0"/>
        <w:jc w:val="both"/>
        <w:rPr>
          <w:rFonts w:ascii="Palatino Linotype" w:eastAsia="Palatino Linotype" w:hAnsi="Palatino Linotype" w:cs="Palatino Linotype"/>
          <w:b/>
          <w:sz w:val="22"/>
          <w:szCs w:val="22"/>
        </w:rPr>
      </w:pPr>
      <w:r w:rsidRPr="00410F65">
        <w:rPr>
          <w:rFonts w:ascii="Palatino Linotype" w:eastAsia="Palatino Linotype" w:hAnsi="Palatino Linotype" w:cs="Palatino Linotype"/>
          <w:b/>
          <w:sz w:val="22"/>
          <w:szCs w:val="22"/>
        </w:rPr>
        <w:t xml:space="preserve">Las sentencias y/o laudos concluidos que hayan causado estado. </w:t>
      </w:r>
    </w:p>
    <w:p w14:paraId="6CF8FF91" w14:textId="77777777" w:rsidR="000B189A" w:rsidRPr="00410F65" w:rsidRDefault="000B189A" w:rsidP="00044DA0">
      <w:pPr>
        <w:spacing w:line="360" w:lineRule="auto"/>
        <w:ind w:left="851" w:right="616"/>
        <w:jc w:val="both"/>
        <w:rPr>
          <w:rFonts w:ascii="Palatino Linotype" w:eastAsia="Palatino Linotype" w:hAnsi="Palatino Linotype" w:cs="Palatino Linotype"/>
          <w:sz w:val="22"/>
          <w:szCs w:val="22"/>
        </w:rPr>
      </w:pPr>
    </w:p>
    <w:p w14:paraId="27713D49" w14:textId="77777777" w:rsidR="000B189A" w:rsidRPr="00410F65" w:rsidRDefault="00527D5F" w:rsidP="00044DA0">
      <w:pPr>
        <w:spacing w:line="276" w:lineRule="auto"/>
        <w:ind w:left="851" w:right="616"/>
        <w:jc w:val="both"/>
        <w:rPr>
          <w:rFonts w:ascii="Palatino Linotype" w:eastAsia="Palatino Linotype" w:hAnsi="Palatino Linotype" w:cs="Palatino Linotype"/>
          <w:i/>
          <w:sz w:val="22"/>
          <w:szCs w:val="22"/>
        </w:rPr>
      </w:pPr>
      <w:r w:rsidRPr="00410F65">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410F65">
        <w:rPr>
          <w:rFonts w:ascii="Palatino Linotype" w:eastAsia="Palatino Linotype" w:hAnsi="Palatino Linotype" w:cs="Palatino Linotype"/>
          <w:b/>
          <w:i/>
          <w:sz w:val="22"/>
          <w:szCs w:val="22"/>
        </w:rPr>
        <w:t>Recurrente</w:t>
      </w:r>
      <w:r w:rsidRPr="00410F65">
        <w:rPr>
          <w:rFonts w:ascii="Palatino Linotype" w:eastAsia="Palatino Linotype" w:hAnsi="Palatino Linotype" w:cs="Palatino Linotype"/>
          <w:i/>
          <w:sz w:val="22"/>
          <w:szCs w:val="22"/>
        </w:rPr>
        <w:t>.</w:t>
      </w:r>
    </w:p>
    <w:p w14:paraId="3E48EAAB" w14:textId="4C6A4EFE" w:rsidR="000B189A" w:rsidRPr="00410F65" w:rsidRDefault="000B189A" w:rsidP="00101CE8">
      <w:pPr>
        <w:spacing w:line="360" w:lineRule="auto"/>
        <w:jc w:val="both"/>
        <w:rPr>
          <w:rFonts w:ascii="Palatino Linotype" w:eastAsia="Palatino Linotype" w:hAnsi="Palatino Linotype" w:cs="Palatino Linotype"/>
          <w:i/>
          <w:sz w:val="22"/>
          <w:szCs w:val="22"/>
        </w:rPr>
      </w:pPr>
    </w:p>
    <w:p w14:paraId="0E5F7119"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 xml:space="preserve">Tercero. Notifíquese </w:t>
      </w:r>
      <w:r w:rsidRPr="00410F65">
        <w:rPr>
          <w:rFonts w:ascii="Palatino Linotype" w:eastAsia="Palatino Linotype" w:hAnsi="Palatino Linotype" w:cs="Palatino Linotype"/>
          <w:sz w:val="22"/>
          <w:szCs w:val="22"/>
        </w:rPr>
        <w:t>vía</w:t>
      </w:r>
      <w:r w:rsidRPr="00410F65">
        <w:rPr>
          <w:rFonts w:ascii="Palatino Linotype" w:eastAsia="Palatino Linotype" w:hAnsi="Palatino Linotype" w:cs="Palatino Linotype"/>
          <w:b/>
          <w:sz w:val="22"/>
          <w:szCs w:val="22"/>
        </w:rPr>
        <w:t xml:space="preserve"> SAIMEX, </w:t>
      </w:r>
      <w:r w:rsidRPr="00410F65">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E8290CA" w14:textId="77777777" w:rsidR="000B189A" w:rsidRPr="00410F65" w:rsidRDefault="000B189A" w:rsidP="00101CE8">
      <w:pPr>
        <w:spacing w:line="360" w:lineRule="auto"/>
        <w:jc w:val="both"/>
        <w:rPr>
          <w:rFonts w:ascii="Palatino Linotype" w:eastAsia="Palatino Linotype" w:hAnsi="Palatino Linotype" w:cs="Palatino Linotype"/>
          <w:sz w:val="22"/>
          <w:szCs w:val="22"/>
        </w:rPr>
      </w:pPr>
    </w:p>
    <w:p w14:paraId="71F984E0"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 xml:space="preserve">Cuarto. </w:t>
      </w:r>
      <w:r w:rsidRPr="00410F65">
        <w:rPr>
          <w:rFonts w:ascii="Palatino Linotype" w:eastAsia="Palatino Linotype" w:hAnsi="Palatino Linotype" w:cs="Palatino Linotype"/>
          <w:sz w:val="22"/>
          <w:szCs w:val="22"/>
        </w:rPr>
        <w:t xml:space="preserve">Notifíquese vía </w:t>
      </w:r>
      <w:r w:rsidRPr="00410F65">
        <w:rPr>
          <w:rFonts w:ascii="Palatino Linotype" w:eastAsia="Palatino Linotype" w:hAnsi="Palatino Linotype" w:cs="Palatino Linotype"/>
          <w:b/>
          <w:sz w:val="22"/>
          <w:szCs w:val="22"/>
        </w:rPr>
        <w:t>SAIMEX</w:t>
      </w:r>
      <w:r w:rsidRPr="00410F65">
        <w:rPr>
          <w:rFonts w:ascii="Palatino Linotype" w:eastAsia="Palatino Linotype" w:hAnsi="Palatino Linotype" w:cs="Palatino Linotype"/>
          <w:sz w:val="22"/>
          <w:szCs w:val="22"/>
        </w:rPr>
        <w:t xml:space="preserve">, al Titular de la Unidad de Transparencia del </w:t>
      </w:r>
      <w:r w:rsidRPr="00410F65">
        <w:rPr>
          <w:rFonts w:ascii="Palatino Linotype" w:eastAsia="Palatino Linotype" w:hAnsi="Palatino Linotype" w:cs="Palatino Linotype"/>
          <w:b/>
          <w:sz w:val="22"/>
          <w:szCs w:val="22"/>
        </w:rPr>
        <w:t>Sujeto Obligado</w:t>
      </w:r>
      <w:r w:rsidRPr="00410F65">
        <w:rPr>
          <w:rFonts w:ascii="Palatino Linotype" w:eastAsia="Palatino Linotype" w:hAnsi="Palatino Linotype" w:cs="Palatino Linotype"/>
          <w:sz w:val="22"/>
          <w:szCs w:val="22"/>
        </w:rPr>
        <w:t>,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0C6B6A02" w14:textId="77777777" w:rsidR="000B189A" w:rsidRPr="00410F65" w:rsidRDefault="000B189A" w:rsidP="00101CE8">
      <w:pPr>
        <w:spacing w:line="360" w:lineRule="auto"/>
        <w:jc w:val="both"/>
        <w:rPr>
          <w:rFonts w:ascii="Palatino Linotype" w:eastAsia="Palatino Linotype" w:hAnsi="Palatino Linotype" w:cs="Palatino Linotype"/>
          <w:sz w:val="22"/>
          <w:szCs w:val="22"/>
        </w:rPr>
      </w:pPr>
    </w:p>
    <w:p w14:paraId="0FCE801C" w14:textId="77777777" w:rsidR="000B189A" w:rsidRPr="00410F65" w:rsidRDefault="00527D5F" w:rsidP="00101CE8">
      <w:pPr>
        <w:spacing w:line="360" w:lineRule="auto"/>
        <w:jc w:val="both"/>
        <w:rPr>
          <w:rFonts w:ascii="Palatino Linotype" w:eastAsia="Palatino Linotype" w:hAnsi="Palatino Linotype" w:cs="Palatino Linotype"/>
          <w:sz w:val="22"/>
          <w:szCs w:val="22"/>
        </w:rPr>
      </w:pPr>
      <w:r w:rsidRPr="00410F65">
        <w:rPr>
          <w:rFonts w:ascii="Palatino Linotype" w:eastAsia="Palatino Linotype" w:hAnsi="Palatino Linotype" w:cs="Palatino Linotype"/>
          <w:b/>
          <w:sz w:val="22"/>
          <w:szCs w:val="22"/>
        </w:rPr>
        <w:t xml:space="preserve">Quinto. Notifíquese, </w:t>
      </w:r>
      <w:r w:rsidRPr="00410F65">
        <w:rPr>
          <w:rFonts w:ascii="Palatino Linotype" w:eastAsia="Palatino Linotype" w:hAnsi="Palatino Linotype" w:cs="Palatino Linotype"/>
          <w:sz w:val="22"/>
          <w:szCs w:val="22"/>
        </w:rPr>
        <w:t xml:space="preserve">vía </w:t>
      </w:r>
      <w:r w:rsidRPr="00410F65">
        <w:rPr>
          <w:rFonts w:ascii="Palatino Linotype" w:eastAsia="Palatino Linotype" w:hAnsi="Palatino Linotype" w:cs="Palatino Linotype"/>
          <w:b/>
          <w:sz w:val="22"/>
          <w:szCs w:val="22"/>
        </w:rPr>
        <w:t>SAIMEX</w:t>
      </w:r>
      <w:r w:rsidRPr="00410F65">
        <w:rPr>
          <w:rFonts w:ascii="Palatino Linotype" w:eastAsia="Palatino Linotype" w:hAnsi="Palatino Linotype" w:cs="Palatino Linotype"/>
          <w:sz w:val="22"/>
          <w:szCs w:val="22"/>
        </w:rPr>
        <w:t>, a la parte</w:t>
      </w:r>
      <w:r w:rsidRPr="00410F65">
        <w:rPr>
          <w:rFonts w:ascii="Palatino Linotype" w:eastAsia="Palatino Linotype" w:hAnsi="Palatino Linotype" w:cs="Palatino Linotype"/>
          <w:b/>
          <w:sz w:val="22"/>
          <w:szCs w:val="22"/>
        </w:rPr>
        <w:t xml:space="preserve"> Recurrente</w:t>
      </w:r>
      <w:r w:rsidRPr="00410F65">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0155A30" w14:textId="77777777" w:rsidR="000B189A" w:rsidRPr="00410F65" w:rsidRDefault="000B189A" w:rsidP="00101CE8">
      <w:pPr>
        <w:spacing w:line="360" w:lineRule="auto"/>
        <w:jc w:val="both"/>
        <w:rPr>
          <w:rFonts w:ascii="Palatino Linotype" w:eastAsia="Palatino Linotype" w:hAnsi="Palatino Linotype" w:cs="Palatino Linotype"/>
          <w:sz w:val="22"/>
          <w:szCs w:val="22"/>
        </w:rPr>
      </w:pPr>
    </w:p>
    <w:p w14:paraId="4E3196C3" w14:textId="475035A7" w:rsidR="000B189A" w:rsidRPr="008B6BC8" w:rsidRDefault="00527D5F" w:rsidP="00101CE8">
      <w:pPr>
        <w:spacing w:line="360" w:lineRule="auto"/>
        <w:jc w:val="both"/>
        <w:rPr>
          <w:rFonts w:ascii="Palatino Linotype" w:eastAsia="Palatino Linotype" w:hAnsi="Palatino Linotype" w:cs="Palatino Linotype"/>
          <w:sz w:val="22"/>
          <w:szCs w:val="22"/>
        </w:rPr>
      </w:pPr>
      <w:bookmarkStart w:id="10" w:name="_heading=h.lnxbz9" w:colFirst="0" w:colLast="0"/>
      <w:bookmarkEnd w:id="10"/>
      <w:r w:rsidRPr="00410F65">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w:t>
      </w:r>
      <w:r w:rsidR="008B6BC8" w:rsidRPr="00410F65">
        <w:rPr>
          <w:rFonts w:ascii="Palatino Linotype" w:eastAsia="Palatino Linotype" w:hAnsi="Palatino Linotype" w:cs="Palatino Linotype"/>
          <w:sz w:val="22"/>
          <w:szCs w:val="22"/>
        </w:rPr>
        <w:t xml:space="preserve">EMITIENDO VOTO PARTICULAR, </w:t>
      </w:r>
      <w:r w:rsidRPr="00410F65">
        <w:rPr>
          <w:rFonts w:ascii="Palatino Linotype" w:eastAsia="Palatino Linotype" w:hAnsi="Palatino Linotype" w:cs="Palatino Linotype"/>
          <w:sz w:val="22"/>
          <w:szCs w:val="22"/>
        </w:rPr>
        <w:t>LUIS GUSTAVO PARRA NORIEGA Y GUADALUPE RAMÍREZ PEÑA</w:t>
      </w:r>
      <w:r w:rsidR="008B6BC8" w:rsidRPr="00410F65">
        <w:rPr>
          <w:rFonts w:ascii="Palatino Linotype" w:eastAsia="Palatino Linotype" w:hAnsi="Palatino Linotype" w:cs="Palatino Linotype"/>
          <w:sz w:val="22"/>
          <w:szCs w:val="22"/>
        </w:rPr>
        <w:t>, EMITIENDO VOTO PARTICULAR</w:t>
      </w:r>
      <w:r w:rsidRPr="00410F65">
        <w:rPr>
          <w:rFonts w:ascii="Palatino Linotype" w:eastAsia="Palatino Linotype" w:hAnsi="Palatino Linotype" w:cs="Palatino Linotype"/>
          <w:sz w:val="22"/>
          <w:szCs w:val="22"/>
        </w:rPr>
        <w:t xml:space="preserve">; EN LA </w:t>
      </w:r>
      <w:r w:rsidR="002263BF" w:rsidRPr="00410F65">
        <w:rPr>
          <w:rFonts w:ascii="Palatino Linotype" w:eastAsia="Palatino Linotype" w:hAnsi="Palatino Linotype" w:cs="Palatino Linotype"/>
          <w:sz w:val="22"/>
          <w:szCs w:val="22"/>
        </w:rPr>
        <w:t xml:space="preserve">CUARTA </w:t>
      </w:r>
      <w:r w:rsidRPr="00410F65">
        <w:rPr>
          <w:rFonts w:ascii="Palatino Linotype" w:eastAsia="Palatino Linotype" w:hAnsi="Palatino Linotype" w:cs="Palatino Linotype"/>
          <w:sz w:val="22"/>
          <w:szCs w:val="22"/>
        </w:rPr>
        <w:t xml:space="preserve">SESIÓN ORDINARIA, CELEBRADA EL </w:t>
      </w:r>
      <w:r w:rsidR="002263BF" w:rsidRPr="00410F65">
        <w:rPr>
          <w:rFonts w:ascii="Palatino Linotype" w:eastAsia="Palatino Linotype" w:hAnsi="Palatino Linotype" w:cs="Palatino Linotype"/>
          <w:sz w:val="22"/>
          <w:szCs w:val="22"/>
        </w:rPr>
        <w:t xml:space="preserve">CINCO DE FEBRERO </w:t>
      </w:r>
      <w:r w:rsidR="0081565D" w:rsidRPr="00410F65">
        <w:rPr>
          <w:rFonts w:ascii="Palatino Linotype" w:eastAsia="Palatino Linotype" w:hAnsi="Palatino Linotype" w:cs="Palatino Linotype"/>
          <w:sz w:val="22"/>
          <w:szCs w:val="22"/>
        </w:rPr>
        <w:t>DE DOS MIL VEINTISÉIS</w:t>
      </w:r>
      <w:r w:rsidRPr="00410F65">
        <w:rPr>
          <w:rFonts w:ascii="Palatino Linotype" w:eastAsia="Palatino Linotype" w:hAnsi="Palatino Linotype" w:cs="Palatino Linotype"/>
          <w:sz w:val="22"/>
          <w:szCs w:val="22"/>
        </w:rPr>
        <w:t>, ANTE EL SECRETARIO TÉCNICO DEL PLENO ALEXIS TAPIA RAMÍREZ.</w:t>
      </w:r>
    </w:p>
    <w:p w14:paraId="5F71A0F0" w14:textId="77777777" w:rsidR="000B189A" w:rsidRPr="008B6BC8" w:rsidRDefault="000B189A" w:rsidP="00101CE8">
      <w:pPr>
        <w:rPr>
          <w:rFonts w:ascii="Palatino Linotype" w:eastAsia="Palatino Linotype" w:hAnsi="Palatino Linotype" w:cs="Palatino Linotype"/>
          <w:sz w:val="22"/>
          <w:szCs w:val="22"/>
        </w:rPr>
      </w:pPr>
    </w:p>
    <w:p w14:paraId="25380675" w14:textId="77777777" w:rsidR="000B189A" w:rsidRPr="008B6BC8" w:rsidRDefault="000B189A" w:rsidP="00101CE8">
      <w:pPr>
        <w:rPr>
          <w:rFonts w:ascii="Palatino Linotype" w:eastAsia="Palatino Linotype" w:hAnsi="Palatino Linotype" w:cs="Palatino Linotype"/>
          <w:sz w:val="22"/>
          <w:szCs w:val="22"/>
        </w:rPr>
      </w:pPr>
    </w:p>
    <w:p w14:paraId="715C863A" w14:textId="77777777" w:rsidR="000B189A" w:rsidRPr="008B6BC8" w:rsidRDefault="000B189A" w:rsidP="00101CE8">
      <w:pPr>
        <w:rPr>
          <w:rFonts w:ascii="Palatino Linotype" w:eastAsia="Palatino Linotype" w:hAnsi="Palatino Linotype" w:cs="Palatino Linotype"/>
          <w:sz w:val="22"/>
          <w:szCs w:val="22"/>
        </w:rPr>
      </w:pPr>
    </w:p>
    <w:p w14:paraId="0596431A" w14:textId="77777777" w:rsidR="000B189A" w:rsidRPr="008B6BC8" w:rsidRDefault="000B189A" w:rsidP="00101CE8">
      <w:pPr>
        <w:rPr>
          <w:rFonts w:ascii="Palatino Linotype" w:eastAsia="Palatino Linotype" w:hAnsi="Palatino Linotype" w:cs="Palatino Linotype"/>
          <w:sz w:val="22"/>
          <w:szCs w:val="22"/>
        </w:rPr>
      </w:pPr>
    </w:p>
    <w:p w14:paraId="709902CD" w14:textId="77777777" w:rsidR="000B189A" w:rsidRPr="008B6BC8" w:rsidRDefault="000B189A" w:rsidP="00101CE8">
      <w:pPr>
        <w:rPr>
          <w:rFonts w:ascii="Palatino Linotype" w:eastAsia="Palatino Linotype" w:hAnsi="Palatino Linotype" w:cs="Palatino Linotype"/>
          <w:sz w:val="22"/>
          <w:szCs w:val="22"/>
        </w:rPr>
      </w:pPr>
    </w:p>
    <w:p w14:paraId="390D61D1" w14:textId="77777777" w:rsidR="000B189A" w:rsidRPr="008B6BC8" w:rsidRDefault="000B189A" w:rsidP="00101CE8">
      <w:pPr>
        <w:rPr>
          <w:rFonts w:ascii="Palatino Linotype" w:eastAsia="Palatino Linotype" w:hAnsi="Palatino Linotype" w:cs="Palatino Linotype"/>
          <w:sz w:val="22"/>
          <w:szCs w:val="22"/>
        </w:rPr>
      </w:pPr>
    </w:p>
    <w:p w14:paraId="516E65C4" w14:textId="77777777" w:rsidR="000B189A" w:rsidRPr="008B6BC8" w:rsidRDefault="000B189A" w:rsidP="00101CE8">
      <w:pPr>
        <w:spacing w:line="360" w:lineRule="auto"/>
        <w:jc w:val="both"/>
        <w:rPr>
          <w:rFonts w:ascii="Palatino Linotype" w:eastAsia="Palatino Linotype" w:hAnsi="Palatino Linotype" w:cs="Palatino Linotype"/>
          <w:sz w:val="22"/>
          <w:szCs w:val="22"/>
        </w:rPr>
      </w:pPr>
      <w:bookmarkStart w:id="11" w:name="_heading=h.3rdcrjn" w:colFirst="0" w:colLast="0"/>
      <w:bookmarkEnd w:id="11"/>
    </w:p>
    <w:p w14:paraId="1342FE0D" w14:textId="77777777" w:rsidR="000B189A" w:rsidRPr="008B6BC8" w:rsidRDefault="000B189A" w:rsidP="00101CE8">
      <w:pPr>
        <w:spacing w:line="360" w:lineRule="auto"/>
        <w:jc w:val="both"/>
        <w:rPr>
          <w:rFonts w:ascii="Palatino Linotype" w:eastAsia="Palatino Linotype" w:hAnsi="Palatino Linotype" w:cs="Palatino Linotype"/>
          <w:sz w:val="22"/>
          <w:szCs w:val="22"/>
        </w:rPr>
      </w:pPr>
    </w:p>
    <w:p w14:paraId="0C18F724" w14:textId="77777777" w:rsidR="000B189A" w:rsidRPr="008B6BC8" w:rsidRDefault="000B189A" w:rsidP="00101CE8">
      <w:pPr>
        <w:spacing w:line="360" w:lineRule="auto"/>
        <w:jc w:val="both"/>
        <w:rPr>
          <w:rFonts w:ascii="Palatino Linotype" w:eastAsia="Palatino Linotype" w:hAnsi="Palatino Linotype" w:cs="Palatino Linotype"/>
          <w:sz w:val="22"/>
          <w:szCs w:val="22"/>
        </w:rPr>
      </w:pPr>
    </w:p>
    <w:p w14:paraId="34CDDF52" w14:textId="77777777" w:rsidR="000B189A" w:rsidRPr="008B6BC8" w:rsidRDefault="000B189A" w:rsidP="00101CE8">
      <w:pPr>
        <w:spacing w:line="360" w:lineRule="auto"/>
        <w:jc w:val="both"/>
        <w:rPr>
          <w:rFonts w:ascii="Palatino Linotype" w:eastAsia="Palatino Linotype" w:hAnsi="Palatino Linotype" w:cs="Palatino Linotype"/>
          <w:sz w:val="22"/>
          <w:szCs w:val="22"/>
        </w:rPr>
      </w:pPr>
      <w:bookmarkStart w:id="12" w:name="_heading=h.1t3h5sf" w:colFirst="0" w:colLast="0"/>
      <w:bookmarkEnd w:id="12"/>
    </w:p>
    <w:p w14:paraId="58FD0BF4" w14:textId="77777777" w:rsidR="000B189A" w:rsidRPr="008B6BC8" w:rsidRDefault="000B189A" w:rsidP="00101CE8">
      <w:pPr>
        <w:spacing w:line="360" w:lineRule="auto"/>
        <w:jc w:val="both"/>
        <w:rPr>
          <w:rFonts w:ascii="Palatino Linotype" w:eastAsia="Palatino Linotype" w:hAnsi="Palatino Linotype" w:cs="Palatino Linotype"/>
          <w:sz w:val="22"/>
          <w:szCs w:val="22"/>
        </w:rPr>
      </w:pPr>
    </w:p>
    <w:p w14:paraId="7EC06E32" w14:textId="77777777" w:rsidR="000B189A" w:rsidRPr="008B6BC8" w:rsidRDefault="000B189A" w:rsidP="00101CE8">
      <w:pPr>
        <w:spacing w:line="360" w:lineRule="auto"/>
        <w:jc w:val="both"/>
        <w:rPr>
          <w:rFonts w:ascii="Palatino Linotype" w:eastAsia="Palatino Linotype" w:hAnsi="Palatino Linotype" w:cs="Palatino Linotype"/>
          <w:sz w:val="22"/>
          <w:szCs w:val="22"/>
        </w:rPr>
      </w:pPr>
    </w:p>
    <w:p w14:paraId="37507D35" w14:textId="77777777" w:rsidR="000B189A" w:rsidRPr="008B6BC8" w:rsidRDefault="000B189A" w:rsidP="00101CE8">
      <w:pPr>
        <w:spacing w:line="360" w:lineRule="auto"/>
        <w:jc w:val="both"/>
        <w:rPr>
          <w:rFonts w:ascii="Palatino Linotype" w:eastAsia="Palatino Linotype" w:hAnsi="Palatino Linotype" w:cs="Palatino Linotype"/>
          <w:sz w:val="22"/>
          <w:szCs w:val="22"/>
        </w:rPr>
      </w:pPr>
    </w:p>
    <w:p w14:paraId="25E03CA3" w14:textId="77777777" w:rsidR="000B189A" w:rsidRPr="008B6BC8" w:rsidRDefault="000B189A" w:rsidP="00101CE8">
      <w:pPr>
        <w:spacing w:line="360" w:lineRule="auto"/>
        <w:jc w:val="both"/>
        <w:rPr>
          <w:rFonts w:ascii="Palatino Linotype" w:eastAsia="Palatino Linotype" w:hAnsi="Palatino Linotype" w:cs="Palatino Linotype"/>
          <w:sz w:val="22"/>
          <w:szCs w:val="22"/>
        </w:rPr>
      </w:pPr>
    </w:p>
    <w:p w14:paraId="2682FFA6" w14:textId="77777777" w:rsidR="000B189A" w:rsidRPr="008B6BC8" w:rsidRDefault="000B189A" w:rsidP="00101CE8">
      <w:pPr>
        <w:spacing w:line="360" w:lineRule="auto"/>
        <w:jc w:val="both"/>
        <w:rPr>
          <w:rFonts w:ascii="Palatino Linotype" w:eastAsia="Palatino Linotype" w:hAnsi="Palatino Linotype" w:cs="Palatino Linotype"/>
          <w:sz w:val="22"/>
          <w:szCs w:val="22"/>
        </w:rPr>
      </w:pPr>
    </w:p>
    <w:p w14:paraId="0A965342" w14:textId="1D0A9585" w:rsidR="000B189A" w:rsidRPr="008B6BC8" w:rsidRDefault="000B189A" w:rsidP="00101CE8">
      <w:pPr>
        <w:spacing w:line="360" w:lineRule="auto"/>
        <w:jc w:val="both"/>
        <w:rPr>
          <w:rFonts w:ascii="Palatino Linotype" w:eastAsia="Palatino Linotype" w:hAnsi="Palatino Linotype" w:cs="Palatino Linotype"/>
          <w:sz w:val="22"/>
          <w:szCs w:val="22"/>
        </w:rPr>
      </w:pPr>
    </w:p>
    <w:p w14:paraId="3A16DDEB" w14:textId="1A4C489B" w:rsidR="008B6BC8" w:rsidRPr="008B6BC8" w:rsidRDefault="008B6BC8" w:rsidP="00101CE8">
      <w:pPr>
        <w:spacing w:line="360" w:lineRule="auto"/>
        <w:jc w:val="both"/>
        <w:rPr>
          <w:rFonts w:ascii="Palatino Linotype" w:eastAsia="Palatino Linotype" w:hAnsi="Palatino Linotype" w:cs="Palatino Linotype"/>
          <w:sz w:val="22"/>
          <w:szCs w:val="22"/>
        </w:rPr>
      </w:pPr>
    </w:p>
    <w:p w14:paraId="7B8A19AD" w14:textId="7C080AF7" w:rsidR="008B6BC8" w:rsidRPr="008B6BC8" w:rsidRDefault="008B6BC8" w:rsidP="00101CE8">
      <w:pPr>
        <w:spacing w:line="360" w:lineRule="auto"/>
        <w:jc w:val="both"/>
        <w:rPr>
          <w:rFonts w:ascii="Palatino Linotype" w:eastAsia="Palatino Linotype" w:hAnsi="Palatino Linotype" w:cs="Palatino Linotype"/>
          <w:sz w:val="22"/>
          <w:szCs w:val="22"/>
        </w:rPr>
      </w:pPr>
    </w:p>
    <w:p w14:paraId="5B998F27" w14:textId="2D15BAE3" w:rsidR="008B6BC8" w:rsidRPr="008B6BC8" w:rsidRDefault="008B6BC8" w:rsidP="00101CE8">
      <w:pPr>
        <w:spacing w:line="360" w:lineRule="auto"/>
        <w:jc w:val="both"/>
        <w:rPr>
          <w:rFonts w:ascii="Palatino Linotype" w:eastAsia="Palatino Linotype" w:hAnsi="Palatino Linotype" w:cs="Palatino Linotype"/>
          <w:sz w:val="22"/>
          <w:szCs w:val="22"/>
        </w:rPr>
      </w:pPr>
    </w:p>
    <w:p w14:paraId="35AF69A3" w14:textId="25745D85" w:rsidR="008B6BC8" w:rsidRPr="008B6BC8" w:rsidRDefault="008B6BC8" w:rsidP="00101CE8">
      <w:pPr>
        <w:spacing w:line="360" w:lineRule="auto"/>
        <w:jc w:val="both"/>
        <w:rPr>
          <w:rFonts w:ascii="Palatino Linotype" w:eastAsia="Palatino Linotype" w:hAnsi="Palatino Linotype" w:cs="Palatino Linotype"/>
          <w:sz w:val="22"/>
          <w:szCs w:val="22"/>
        </w:rPr>
      </w:pPr>
    </w:p>
    <w:p w14:paraId="7C347FD8" w14:textId="05197B15" w:rsidR="008B6BC8" w:rsidRPr="008B6BC8" w:rsidRDefault="008B6BC8" w:rsidP="00101CE8">
      <w:pPr>
        <w:spacing w:line="360" w:lineRule="auto"/>
        <w:jc w:val="both"/>
        <w:rPr>
          <w:rFonts w:ascii="Palatino Linotype" w:eastAsia="Palatino Linotype" w:hAnsi="Palatino Linotype" w:cs="Palatino Linotype"/>
          <w:sz w:val="22"/>
          <w:szCs w:val="22"/>
        </w:rPr>
      </w:pPr>
    </w:p>
    <w:p w14:paraId="3D93809D" w14:textId="5EB9D269" w:rsidR="008B6BC8" w:rsidRPr="008B6BC8" w:rsidRDefault="008B6BC8" w:rsidP="00101CE8">
      <w:pPr>
        <w:spacing w:line="360" w:lineRule="auto"/>
        <w:jc w:val="both"/>
        <w:rPr>
          <w:rFonts w:ascii="Palatino Linotype" w:eastAsia="Palatino Linotype" w:hAnsi="Palatino Linotype" w:cs="Palatino Linotype"/>
          <w:sz w:val="22"/>
          <w:szCs w:val="22"/>
        </w:rPr>
      </w:pPr>
    </w:p>
    <w:p w14:paraId="19C9FC02" w14:textId="77777777" w:rsidR="008B6BC8" w:rsidRPr="008B6BC8" w:rsidRDefault="008B6BC8" w:rsidP="00101CE8">
      <w:pPr>
        <w:spacing w:line="360" w:lineRule="auto"/>
        <w:jc w:val="both"/>
        <w:rPr>
          <w:rFonts w:ascii="Palatino Linotype" w:eastAsia="Palatino Linotype" w:hAnsi="Palatino Linotype" w:cs="Palatino Linotype"/>
          <w:sz w:val="22"/>
          <w:szCs w:val="22"/>
        </w:rPr>
      </w:pPr>
    </w:p>
    <w:p w14:paraId="4404B72F" w14:textId="77777777" w:rsidR="000B189A" w:rsidRPr="008B6BC8" w:rsidRDefault="000B189A" w:rsidP="00101CE8">
      <w:pPr>
        <w:spacing w:line="360" w:lineRule="auto"/>
        <w:jc w:val="both"/>
        <w:rPr>
          <w:rFonts w:ascii="Palatino Linotype" w:eastAsia="Palatino Linotype" w:hAnsi="Palatino Linotype" w:cs="Palatino Linotype"/>
          <w:sz w:val="22"/>
          <w:szCs w:val="22"/>
        </w:rPr>
      </w:pPr>
    </w:p>
    <w:p w14:paraId="03F4665C" w14:textId="77777777" w:rsidR="000B189A" w:rsidRPr="008B6BC8" w:rsidRDefault="000B189A" w:rsidP="00101CE8">
      <w:pPr>
        <w:spacing w:line="360" w:lineRule="auto"/>
        <w:jc w:val="both"/>
        <w:rPr>
          <w:rFonts w:ascii="Palatino Linotype" w:eastAsia="Palatino Linotype" w:hAnsi="Palatino Linotype" w:cs="Palatino Linotype"/>
          <w:sz w:val="22"/>
          <w:szCs w:val="22"/>
        </w:rPr>
      </w:pPr>
    </w:p>
    <w:p w14:paraId="52079A8F" w14:textId="77777777" w:rsidR="000B189A" w:rsidRPr="008B6BC8" w:rsidRDefault="000B189A" w:rsidP="00101CE8">
      <w:pPr>
        <w:spacing w:line="360" w:lineRule="auto"/>
        <w:jc w:val="both"/>
        <w:rPr>
          <w:rFonts w:ascii="Palatino Linotype" w:eastAsia="Palatino Linotype" w:hAnsi="Palatino Linotype" w:cs="Palatino Linotype"/>
          <w:sz w:val="22"/>
          <w:szCs w:val="22"/>
        </w:rPr>
      </w:pPr>
    </w:p>
    <w:p w14:paraId="08C13033" w14:textId="77777777" w:rsidR="000B189A" w:rsidRPr="008B6BC8" w:rsidRDefault="000B189A" w:rsidP="00101CE8">
      <w:pPr>
        <w:spacing w:line="360" w:lineRule="auto"/>
        <w:jc w:val="both"/>
        <w:rPr>
          <w:rFonts w:ascii="Palatino Linotype" w:eastAsia="Palatino Linotype" w:hAnsi="Palatino Linotype" w:cs="Palatino Linotype"/>
          <w:sz w:val="22"/>
          <w:szCs w:val="22"/>
        </w:rPr>
      </w:pPr>
    </w:p>
    <w:p w14:paraId="7662DC9B" w14:textId="77777777" w:rsidR="000B189A" w:rsidRPr="008B6BC8" w:rsidRDefault="000B189A" w:rsidP="00101CE8">
      <w:pPr>
        <w:spacing w:line="360" w:lineRule="auto"/>
        <w:jc w:val="both"/>
        <w:rPr>
          <w:rFonts w:ascii="Palatino Linotype" w:eastAsia="Palatino Linotype" w:hAnsi="Palatino Linotype" w:cs="Palatino Linotype"/>
          <w:sz w:val="22"/>
          <w:szCs w:val="22"/>
        </w:rPr>
      </w:pPr>
    </w:p>
    <w:sectPr w:rsidR="000B189A" w:rsidRPr="008B6BC8">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D44B4" w14:textId="77777777" w:rsidR="00DC000F" w:rsidRDefault="00DC000F">
      <w:r>
        <w:separator/>
      </w:r>
    </w:p>
  </w:endnote>
  <w:endnote w:type="continuationSeparator" w:id="0">
    <w:p w14:paraId="4B309E61" w14:textId="77777777" w:rsidR="00DC000F" w:rsidRDefault="00DC0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DC9FC" w14:textId="795E3484" w:rsidR="00876FDE" w:rsidRDefault="00876FD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B4E89">
      <w:rPr>
        <w:rFonts w:ascii="Palatino Linotype" w:eastAsia="Palatino Linotype" w:hAnsi="Palatino Linotype" w:cs="Palatino Linotype"/>
        <w:b/>
        <w:noProof/>
        <w:color w:val="000000"/>
        <w:sz w:val="20"/>
        <w:szCs w:val="20"/>
      </w:rPr>
      <w:t>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B4E89">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p>
  <w:p w14:paraId="685A9259" w14:textId="77777777" w:rsidR="00876FDE" w:rsidRDefault="00876FD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278D4" w14:textId="1D5B8E88" w:rsidR="00876FDE" w:rsidRDefault="00876FD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B4E8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B4E89">
      <w:rPr>
        <w:rFonts w:ascii="Palatino Linotype" w:eastAsia="Palatino Linotype" w:hAnsi="Palatino Linotype" w:cs="Palatino Linotype"/>
        <w:b/>
        <w:noProof/>
        <w:color w:val="000000"/>
        <w:sz w:val="20"/>
        <w:szCs w:val="20"/>
      </w:rPr>
      <w:t>4</w:t>
    </w:r>
    <w:r>
      <w:rPr>
        <w:rFonts w:ascii="Palatino Linotype" w:eastAsia="Palatino Linotype" w:hAnsi="Palatino Linotype" w:cs="Palatino Linotype"/>
        <w:b/>
        <w:color w:val="000000"/>
        <w:sz w:val="20"/>
        <w:szCs w:val="20"/>
      </w:rPr>
      <w:fldChar w:fldCharType="end"/>
    </w:r>
  </w:p>
  <w:p w14:paraId="30622F70" w14:textId="77777777" w:rsidR="00876FDE" w:rsidRDefault="00876FD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A7770" w14:textId="77777777" w:rsidR="00DC000F" w:rsidRDefault="00DC000F">
      <w:r>
        <w:separator/>
      </w:r>
    </w:p>
  </w:footnote>
  <w:footnote w:type="continuationSeparator" w:id="0">
    <w:p w14:paraId="3839CF62" w14:textId="77777777" w:rsidR="00DC000F" w:rsidRDefault="00DC000F">
      <w:r>
        <w:continuationSeparator/>
      </w:r>
    </w:p>
  </w:footnote>
  <w:footnote w:id="1">
    <w:p w14:paraId="4549BEF4" w14:textId="06252836" w:rsidR="00610F82" w:rsidRPr="00610F82" w:rsidRDefault="00610F82" w:rsidP="00610F82">
      <w:pPr>
        <w:pStyle w:val="Textonotapie"/>
        <w:jc w:val="both"/>
        <w:rPr>
          <w:rFonts w:ascii="Palatino Linotype" w:hAnsi="Palatino Linotype"/>
        </w:rPr>
      </w:pPr>
      <w:r>
        <w:rPr>
          <w:rStyle w:val="Refdenotaalpie"/>
        </w:rPr>
        <w:footnoteRef/>
      </w:r>
      <w:r>
        <w:t xml:space="preserve"> </w:t>
      </w:r>
      <w:r w:rsidRPr="00610F82">
        <w:rPr>
          <w:rFonts w:ascii="Palatino Linotype" w:hAnsi="Palatino Linotype"/>
        </w:rPr>
        <w:t xml:space="preserve">Consultable en: </w:t>
      </w:r>
      <w:hyperlink r:id="rId1" w:history="1">
        <w:r w:rsidRPr="00610F82">
          <w:rPr>
            <w:rStyle w:val="Hipervnculo"/>
            <w:rFonts w:ascii="Palatino Linotype" w:hAnsi="Palatino Linotype"/>
          </w:rPr>
          <w:t>https://www2.toluca.gob.mx/paga-gobierno-municipal-mas-de-7-5-millones-de-pesos-en-finiquitos-y-laudos-laborales/</w:t>
        </w:r>
      </w:hyperlink>
      <w:r w:rsidRPr="00610F82">
        <w:rPr>
          <w:rFonts w:ascii="Palatino Linotype" w:hAnsi="Palatino Linotype"/>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46966" w14:textId="77777777" w:rsidR="00876FDE" w:rsidRDefault="00876FDE">
    <w:pPr>
      <w:rPr>
        <w:rFonts w:ascii="Cambria" w:eastAsia="Cambria" w:hAnsi="Cambria" w:cs="Cambria"/>
        <w:color w:val="000000"/>
      </w:rPr>
    </w:pPr>
    <w:r>
      <w:rPr>
        <w:noProof/>
      </w:rPr>
      <w:drawing>
        <wp:anchor distT="0" distB="0" distL="0" distR="0" simplePos="0" relativeHeight="251658240" behindDoc="1" locked="0" layoutInCell="1" hidden="0" allowOverlap="1" wp14:anchorId="36F161CE" wp14:editId="6541EAF5">
          <wp:simplePos x="0" y="0"/>
          <wp:positionH relativeFrom="column">
            <wp:posOffset>-1080116</wp:posOffset>
          </wp:positionH>
          <wp:positionV relativeFrom="paragraph">
            <wp:posOffset>-488294</wp:posOffset>
          </wp:positionV>
          <wp:extent cx="7809865" cy="10165715"/>
          <wp:effectExtent l="0" t="0" r="0" b="0"/>
          <wp:wrapNone/>
          <wp:docPr id="21286493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953" w:type="dxa"/>
      <w:tblInd w:w="3261" w:type="dxa"/>
      <w:tblLayout w:type="fixed"/>
      <w:tblLook w:val="0400" w:firstRow="0" w:lastRow="0" w:firstColumn="0" w:lastColumn="0" w:noHBand="0" w:noVBand="1"/>
    </w:tblPr>
    <w:tblGrid>
      <w:gridCol w:w="2489"/>
      <w:gridCol w:w="3464"/>
    </w:tblGrid>
    <w:tr w:rsidR="00876FDE" w14:paraId="481C66E1" w14:textId="77777777">
      <w:tc>
        <w:tcPr>
          <w:tcW w:w="2489" w:type="dxa"/>
        </w:tcPr>
        <w:p w14:paraId="69EC2AF8" w14:textId="77777777" w:rsidR="00876FDE" w:rsidRDefault="00876FD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24395FC9" w14:textId="77777777" w:rsidR="00876FDE" w:rsidRDefault="00876FDE" w:rsidP="00CD32C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09749/INFOEM/IP/RR/2025</w:t>
          </w:r>
        </w:p>
      </w:tc>
    </w:tr>
    <w:tr w:rsidR="00876FDE" w14:paraId="4A5BCE1F" w14:textId="77777777">
      <w:trPr>
        <w:trHeight w:val="228"/>
      </w:trPr>
      <w:tc>
        <w:tcPr>
          <w:tcW w:w="2489" w:type="dxa"/>
          <w:vAlign w:val="center"/>
        </w:tcPr>
        <w:p w14:paraId="04A39CCF" w14:textId="77777777" w:rsidR="00876FDE" w:rsidRDefault="00876FD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13C3673A" w14:textId="77777777" w:rsidR="00876FDE" w:rsidRDefault="00876FDE">
          <w:pPr>
            <w:ind w:left="-45" w:right="176"/>
            <w:jc w:val="both"/>
            <w:rPr>
              <w:rFonts w:ascii="Palatino Linotype" w:eastAsia="Palatino Linotype" w:hAnsi="Palatino Linotype" w:cs="Palatino Linotype"/>
              <w:b/>
              <w:sz w:val="22"/>
              <w:szCs w:val="22"/>
            </w:rPr>
          </w:pPr>
          <w:r w:rsidRPr="00CD32C6">
            <w:rPr>
              <w:rFonts w:ascii="Palatino Linotype" w:eastAsia="Palatino Linotype" w:hAnsi="Palatino Linotype" w:cs="Palatino Linotype"/>
              <w:b/>
              <w:sz w:val="22"/>
              <w:szCs w:val="22"/>
            </w:rPr>
            <w:t>Ayuntamiento de Toluca</w:t>
          </w:r>
        </w:p>
      </w:tc>
    </w:tr>
    <w:tr w:rsidR="00876FDE" w14:paraId="65D7B57B" w14:textId="77777777">
      <w:tc>
        <w:tcPr>
          <w:tcW w:w="2489" w:type="dxa"/>
          <w:vAlign w:val="center"/>
        </w:tcPr>
        <w:p w14:paraId="3EFF61FD" w14:textId="77777777" w:rsidR="00876FDE" w:rsidRDefault="00876FD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665F01DF" w14:textId="77777777" w:rsidR="00876FDE" w:rsidRDefault="00876FD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F5A17FC" w14:textId="77777777" w:rsidR="00876FDE" w:rsidRDefault="00876FD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19F01" w14:textId="77777777" w:rsidR="00876FDE" w:rsidRDefault="00876FD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CDFB204" wp14:editId="1CBD0458">
          <wp:simplePos x="0" y="0"/>
          <wp:positionH relativeFrom="column">
            <wp:posOffset>-708025</wp:posOffset>
          </wp:positionH>
          <wp:positionV relativeFrom="paragraph">
            <wp:posOffset>-424180</wp:posOffset>
          </wp:positionV>
          <wp:extent cx="7809865" cy="10165715"/>
          <wp:effectExtent l="0" t="0" r="0" b="0"/>
          <wp:wrapNone/>
          <wp:docPr id="21286493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8"/>
      <w:tblW w:w="5670" w:type="dxa"/>
      <w:tblInd w:w="3261" w:type="dxa"/>
      <w:tblLayout w:type="fixed"/>
      <w:tblLook w:val="0400" w:firstRow="0" w:lastRow="0" w:firstColumn="0" w:lastColumn="0" w:noHBand="0" w:noVBand="1"/>
    </w:tblPr>
    <w:tblGrid>
      <w:gridCol w:w="2551"/>
      <w:gridCol w:w="3119"/>
    </w:tblGrid>
    <w:tr w:rsidR="00876FDE" w14:paraId="73997A91" w14:textId="77777777">
      <w:tc>
        <w:tcPr>
          <w:tcW w:w="2551" w:type="dxa"/>
          <w:vAlign w:val="center"/>
        </w:tcPr>
        <w:p w14:paraId="689DB437" w14:textId="77777777" w:rsidR="00876FDE" w:rsidRDefault="00876FD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05178D6E" w14:textId="77777777" w:rsidR="00876FDE" w:rsidRDefault="00876FDE" w:rsidP="00CD32C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09749/INFOEM/IP/RR/2025</w:t>
          </w:r>
        </w:p>
      </w:tc>
    </w:tr>
    <w:tr w:rsidR="00876FDE" w14:paraId="643796DB" w14:textId="77777777">
      <w:trPr>
        <w:trHeight w:val="130"/>
      </w:trPr>
      <w:tc>
        <w:tcPr>
          <w:tcW w:w="2551" w:type="dxa"/>
          <w:vAlign w:val="center"/>
        </w:tcPr>
        <w:p w14:paraId="62000310" w14:textId="77777777" w:rsidR="00876FDE" w:rsidRDefault="00876FD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3582565A" w14:textId="77777777" w:rsidR="00876FDE" w:rsidRDefault="00876FDE">
          <w:pPr>
            <w:ind w:left="-45"/>
            <w:jc w:val="both"/>
            <w:rPr>
              <w:rFonts w:ascii="Palatino Linotype" w:eastAsia="Palatino Linotype" w:hAnsi="Palatino Linotype" w:cs="Palatino Linotype"/>
              <w:b/>
              <w:sz w:val="22"/>
              <w:szCs w:val="22"/>
            </w:rPr>
          </w:pPr>
        </w:p>
      </w:tc>
    </w:tr>
    <w:tr w:rsidR="00876FDE" w14:paraId="7676E08F" w14:textId="77777777">
      <w:trPr>
        <w:trHeight w:val="228"/>
      </w:trPr>
      <w:tc>
        <w:tcPr>
          <w:tcW w:w="2551" w:type="dxa"/>
          <w:vAlign w:val="center"/>
        </w:tcPr>
        <w:p w14:paraId="43A3396F" w14:textId="77777777" w:rsidR="00876FDE" w:rsidRDefault="00876FD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67DF240C" w14:textId="77777777" w:rsidR="00876FDE" w:rsidRDefault="00876FDE">
          <w:pPr>
            <w:ind w:left="-45" w:right="176"/>
            <w:jc w:val="both"/>
            <w:rPr>
              <w:rFonts w:ascii="Palatino Linotype" w:eastAsia="Palatino Linotype" w:hAnsi="Palatino Linotype" w:cs="Palatino Linotype"/>
              <w:b/>
              <w:sz w:val="22"/>
              <w:szCs w:val="22"/>
            </w:rPr>
          </w:pPr>
          <w:r w:rsidRPr="00CD32C6">
            <w:rPr>
              <w:rFonts w:ascii="Palatino Linotype" w:eastAsia="Palatino Linotype" w:hAnsi="Palatino Linotype" w:cs="Palatino Linotype"/>
              <w:b/>
              <w:sz w:val="22"/>
              <w:szCs w:val="22"/>
            </w:rPr>
            <w:t>Ayuntamiento de Toluca</w:t>
          </w:r>
        </w:p>
      </w:tc>
    </w:tr>
    <w:tr w:rsidR="00876FDE" w14:paraId="5CA5DE27" w14:textId="77777777">
      <w:tc>
        <w:tcPr>
          <w:tcW w:w="2551" w:type="dxa"/>
          <w:vAlign w:val="center"/>
        </w:tcPr>
        <w:p w14:paraId="4991C5FC" w14:textId="77777777" w:rsidR="00876FDE" w:rsidRDefault="00876FD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78652E15" w14:textId="77777777" w:rsidR="00876FDE" w:rsidRDefault="00876FD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2486831" w14:textId="77777777" w:rsidR="00876FDE" w:rsidRDefault="00876FD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A1E2D"/>
    <w:multiLevelType w:val="multilevel"/>
    <w:tmpl w:val="A93E50DA"/>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 w15:restartNumberingAfterBreak="0">
    <w:nsid w:val="02F64F21"/>
    <w:multiLevelType w:val="multilevel"/>
    <w:tmpl w:val="BD0AD5B4"/>
    <w:lvl w:ilvl="0">
      <w:start w:val="1"/>
      <w:numFmt w:val="bullet"/>
      <w:pStyle w:val="Listaconvietas3"/>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 w15:restartNumberingAfterBreak="0">
    <w:nsid w:val="08393136"/>
    <w:multiLevelType w:val="multilevel"/>
    <w:tmpl w:val="64BE4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845A2A"/>
    <w:multiLevelType w:val="hybridMultilevel"/>
    <w:tmpl w:val="A52E3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43127B"/>
    <w:multiLevelType w:val="multilevel"/>
    <w:tmpl w:val="5B1242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26B4071"/>
    <w:multiLevelType w:val="multilevel"/>
    <w:tmpl w:val="EA149646"/>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6" w15:restartNumberingAfterBreak="0">
    <w:nsid w:val="1E8E5400"/>
    <w:multiLevelType w:val="hybridMultilevel"/>
    <w:tmpl w:val="9F2858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0879F9"/>
    <w:multiLevelType w:val="hybridMultilevel"/>
    <w:tmpl w:val="432EB5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5521FB"/>
    <w:multiLevelType w:val="hybridMultilevel"/>
    <w:tmpl w:val="5F443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74106B"/>
    <w:multiLevelType w:val="multilevel"/>
    <w:tmpl w:val="07EC6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1D66653"/>
    <w:multiLevelType w:val="hybridMultilevel"/>
    <w:tmpl w:val="7488E80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79449DE"/>
    <w:multiLevelType w:val="hybridMultilevel"/>
    <w:tmpl w:val="E45EA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DE1738F"/>
    <w:multiLevelType w:val="hybridMultilevel"/>
    <w:tmpl w:val="D430D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B775C9"/>
    <w:multiLevelType w:val="multilevel"/>
    <w:tmpl w:val="CD84BF58"/>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4" w15:restartNumberingAfterBreak="0">
    <w:nsid w:val="51A44A99"/>
    <w:multiLevelType w:val="multilevel"/>
    <w:tmpl w:val="39C22C56"/>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5" w15:restartNumberingAfterBreak="0">
    <w:nsid w:val="537F7964"/>
    <w:multiLevelType w:val="hybridMultilevel"/>
    <w:tmpl w:val="FE627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460389"/>
    <w:multiLevelType w:val="multilevel"/>
    <w:tmpl w:val="A81813D4"/>
    <w:lvl w:ilvl="0">
      <w:start w:val="1"/>
      <w:numFmt w:val="lowerRoman"/>
      <w:lvlText w:val="%1."/>
      <w:lvlJc w:val="right"/>
      <w:pPr>
        <w:ind w:left="720" w:hanging="360"/>
      </w:pPr>
      <w:rPr>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A682114"/>
    <w:multiLevelType w:val="hybridMultilevel"/>
    <w:tmpl w:val="75D257B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626934DD"/>
    <w:multiLevelType w:val="hybridMultilevel"/>
    <w:tmpl w:val="2D905F68"/>
    <w:lvl w:ilvl="0" w:tplc="9DB6C96E">
      <w:start w:val="2"/>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6A3E1238"/>
    <w:multiLevelType w:val="multilevel"/>
    <w:tmpl w:val="7A6277FA"/>
    <w:lvl w:ilvl="0">
      <w:start w:val="1"/>
      <w:numFmt w:val="upperLetter"/>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0" w15:restartNumberingAfterBreak="0">
    <w:nsid w:val="6F3335B7"/>
    <w:multiLevelType w:val="multilevel"/>
    <w:tmpl w:val="C8167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F345B31"/>
    <w:multiLevelType w:val="multilevel"/>
    <w:tmpl w:val="6B2C040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4CB6906"/>
    <w:multiLevelType w:val="multilevel"/>
    <w:tmpl w:val="A35EB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D522AB"/>
    <w:multiLevelType w:val="multilevel"/>
    <w:tmpl w:val="3FBC9BC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4" w15:restartNumberingAfterBreak="0">
    <w:nsid w:val="7EED2453"/>
    <w:multiLevelType w:val="hybridMultilevel"/>
    <w:tmpl w:val="58366C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7"/>
  </w:num>
  <w:num w:numId="4">
    <w:abstractNumId w:val="0"/>
  </w:num>
  <w:num w:numId="5">
    <w:abstractNumId w:val="13"/>
  </w:num>
  <w:num w:numId="6">
    <w:abstractNumId w:val="5"/>
  </w:num>
  <w:num w:numId="7">
    <w:abstractNumId w:val="14"/>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3"/>
  </w:num>
  <w:num w:numId="15">
    <w:abstractNumId w:val="6"/>
  </w:num>
  <w:num w:numId="16">
    <w:abstractNumId w:val="17"/>
  </w:num>
  <w:num w:numId="17">
    <w:abstractNumId w:val="10"/>
  </w:num>
  <w:num w:numId="18">
    <w:abstractNumId w:val="18"/>
  </w:num>
  <w:num w:numId="19">
    <w:abstractNumId w:val="23"/>
  </w:num>
  <w:num w:numId="20">
    <w:abstractNumId w:val="24"/>
  </w:num>
  <w:num w:numId="21">
    <w:abstractNumId w:val="20"/>
  </w:num>
  <w:num w:numId="22">
    <w:abstractNumId w:val="21"/>
  </w:num>
  <w:num w:numId="23">
    <w:abstractNumId w:val="15"/>
  </w:num>
  <w:num w:numId="24">
    <w:abstractNumId w:val="9"/>
  </w:num>
  <w:num w:numId="25">
    <w:abstractNumId w:val="11"/>
  </w:num>
  <w:num w:numId="26">
    <w:abstractNumId w:val="2"/>
  </w:num>
  <w:num w:numId="27">
    <w:abstractNumId w:val="16"/>
  </w:num>
  <w:num w:numId="28">
    <w:abstractNumId w:val="12"/>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89A"/>
    <w:rsid w:val="00044DA0"/>
    <w:rsid w:val="0004555A"/>
    <w:rsid w:val="00084E63"/>
    <w:rsid w:val="000B189A"/>
    <w:rsid w:val="000B256C"/>
    <w:rsid w:val="000D118E"/>
    <w:rsid w:val="00101CE8"/>
    <w:rsid w:val="00115260"/>
    <w:rsid w:val="0012482D"/>
    <w:rsid w:val="00143F32"/>
    <w:rsid w:val="00145846"/>
    <w:rsid w:val="00151C4B"/>
    <w:rsid w:val="00152704"/>
    <w:rsid w:val="00183E2A"/>
    <w:rsid w:val="001869E9"/>
    <w:rsid w:val="001D53D7"/>
    <w:rsid w:val="0020150E"/>
    <w:rsid w:val="002263BF"/>
    <w:rsid w:val="002611B9"/>
    <w:rsid w:val="00263DA0"/>
    <w:rsid w:val="002749C7"/>
    <w:rsid w:val="00276A54"/>
    <w:rsid w:val="002B3A03"/>
    <w:rsid w:val="003C647E"/>
    <w:rsid w:val="00406537"/>
    <w:rsid w:val="00410F65"/>
    <w:rsid w:val="004370A6"/>
    <w:rsid w:val="00471CF6"/>
    <w:rsid w:val="00482FEA"/>
    <w:rsid w:val="004A1CAB"/>
    <w:rsid w:val="004B2EAE"/>
    <w:rsid w:val="004D0851"/>
    <w:rsid w:val="004D1275"/>
    <w:rsid w:val="004D593C"/>
    <w:rsid w:val="004E19B8"/>
    <w:rsid w:val="005232A9"/>
    <w:rsid w:val="00527D5F"/>
    <w:rsid w:val="005418C3"/>
    <w:rsid w:val="0054593C"/>
    <w:rsid w:val="00610F82"/>
    <w:rsid w:val="00657DB7"/>
    <w:rsid w:val="006821B4"/>
    <w:rsid w:val="006A7A47"/>
    <w:rsid w:val="006E226B"/>
    <w:rsid w:val="006F2EF4"/>
    <w:rsid w:val="007B29E7"/>
    <w:rsid w:val="007C053F"/>
    <w:rsid w:val="0081565D"/>
    <w:rsid w:val="0083591D"/>
    <w:rsid w:val="00851411"/>
    <w:rsid w:val="008674C7"/>
    <w:rsid w:val="00871E20"/>
    <w:rsid w:val="00876FDE"/>
    <w:rsid w:val="00891D61"/>
    <w:rsid w:val="008A2E09"/>
    <w:rsid w:val="008A4723"/>
    <w:rsid w:val="008B6BC8"/>
    <w:rsid w:val="008F59FB"/>
    <w:rsid w:val="009644A5"/>
    <w:rsid w:val="00972D24"/>
    <w:rsid w:val="00980541"/>
    <w:rsid w:val="009A7226"/>
    <w:rsid w:val="009D4544"/>
    <w:rsid w:val="00A501E1"/>
    <w:rsid w:val="00A57944"/>
    <w:rsid w:val="00A65F2E"/>
    <w:rsid w:val="00A71DB7"/>
    <w:rsid w:val="00A76A79"/>
    <w:rsid w:val="00A80710"/>
    <w:rsid w:val="00A81AF3"/>
    <w:rsid w:val="00B8634C"/>
    <w:rsid w:val="00BA526B"/>
    <w:rsid w:val="00BE3C6A"/>
    <w:rsid w:val="00C43383"/>
    <w:rsid w:val="00C437CA"/>
    <w:rsid w:val="00C46B1A"/>
    <w:rsid w:val="00C80CBE"/>
    <w:rsid w:val="00C83841"/>
    <w:rsid w:val="00CA6DD8"/>
    <w:rsid w:val="00CB6406"/>
    <w:rsid w:val="00CC70DB"/>
    <w:rsid w:val="00CD32C6"/>
    <w:rsid w:val="00CF34F8"/>
    <w:rsid w:val="00D05ADC"/>
    <w:rsid w:val="00D460A0"/>
    <w:rsid w:val="00D762A9"/>
    <w:rsid w:val="00DB42F7"/>
    <w:rsid w:val="00DB4481"/>
    <w:rsid w:val="00DC000F"/>
    <w:rsid w:val="00DE5EE7"/>
    <w:rsid w:val="00DE718E"/>
    <w:rsid w:val="00E3019F"/>
    <w:rsid w:val="00E46FF6"/>
    <w:rsid w:val="00E601CB"/>
    <w:rsid w:val="00E60A8E"/>
    <w:rsid w:val="00E76777"/>
    <w:rsid w:val="00EB0B4E"/>
    <w:rsid w:val="00EB4E89"/>
    <w:rsid w:val="00F11585"/>
    <w:rsid w:val="00F504F7"/>
    <w:rsid w:val="00F55C13"/>
    <w:rsid w:val="00FC1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E5E3C"/>
  <w15:docId w15:val="{B69966FD-4ABB-4B5C-98A0-C2EAD7E5E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0">
    <w:name w:val="Table Normal8"/>
    <w:tblPr>
      <w:tblCellMar>
        <w:top w:w="0" w:type="dxa"/>
        <w:left w:w="0" w:type="dxa"/>
        <w:bottom w:w="0" w:type="dxa"/>
        <w:right w:w="0" w:type="dxa"/>
      </w:tblCellMar>
    </w:tblPr>
  </w:style>
  <w:style w:type="table" w:customStyle="1" w:styleId="TableNormal70">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uiPriority w:val="9"/>
    <w:semiHidden/>
    <w:rsid w:val="003B73CD"/>
    <w:rPr>
      <w:b/>
      <w:bCs/>
      <w:sz w:val="28"/>
      <w:szCs w:val="28"/>
      <w:lang w:val="en-US" w:eastAsia="en-US"/>
    </w:rPr>
  </w:style>
  <w:style w:type="character" w:customStyle="1" w:styleId="Ttulo5Car">
    <w:name w:val="Título 5 Car"/>
    <w:basedOn w:val="Fuentedeprrafopredeter"/>
    <w:uiPriority w:val="9"/>
    <w:semiHidden/>
    <w:rsid w:val="003B73CD"/>
    <w:rPr>
      <w:b/>
      <w:bCs/>
      <w:i/>
      <w:iCs/>
      <w:sz w:val="26"/>
      <w:szCs w:val="26"/>
      <w:lang w:val="en-US" w:eastAsia="en-US"/>
    </w:rPr>
  </w:style>
  <w:style w:type="character" w:customStyle="1" w:styleId="Ttulo6Car">
    <w:name w:val="Título 6 Car"/>
    <w:basedOn w:val="Fuentedeprrafopredeter"/>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0"/>
    <w:tblPr>
      <w:tblStyleRowBandSize w:val="1"/>
      <w:tblStyleColBandSize w:val="1"/>
      <w:tblCellMar>
        <w:left w:w="115" w:type="dxa"/>
        <w:right w:w="115" w:type="dxa"/>
      </w:tblCellMar>
    </w:tblPr>
  </w:style>
  <w:style w:type="table" w:customStyle="1" w:styleId="19">
    <w:name w:val="19"/>
    <w:basedOn w:val="TableNormal40"/>
    <w:tblPr>
      <w:tblStyleRowBandSize w:val="1"/>
      <w:tblStyleColBandSize w:val="1"/>
      <w:tblCellMar>
        <w:left w:w="115" w:type="dxa"/>
        <w:right w:w="115" w:type="dxa"/>
      </w:tblCellMar>
    </w:tblPr>
  </w:style>
  <w:style w:type="table" w:customStyle="1" w:styleId="18">
    <w:name w:val="18"/>
    <w:basedOn w:val="TableNormal50"/>
    <w:tblPr>
      <w:tblStyleRowBandSize w:val="1"/>
      <w:tblStyleColBandSize w:val="1"/>
      <w:tblCellMar>
        <w:left w:w="115" w:type="dxa"/>
        <w:right w:w="115"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60"/>
    <w:tblPr>
      <w:tblStyleRowBandSize w:val="1"/>
      <w:tblStyleColBandSize w:val="1"/>
      <w:tblCellMar>
        <w:left w:w="115" w:type="dxa"/>
        <w:right w:w="115" w:type="dxa"/>
      </w:tblCellMar>
    </w:tblPr>
  </w:style>
  <w:style w:type="table" w:customStyle="1" w:styleId="15">
    <w:name w:val="15"/>
    <w:basedOn w:val="TableNormal60"/>
    <w:tblPr>
      <w:tblStyleRowBandSize w:val="1"/>
      <w:tblStyleColBandSize w:val="1"/>
      <w:tblCellMar>
        <w:left w:w="115" w:type="dxa"/>
        <w:right w:w="115" w:type="dxa"/>
      </w:tblCellMar>
    </w:tblPr>
  </w:style>
  <w:style w:type="table" w:customStyle="1" w:styleId="14">
    <w:name w:val="14"/>
    <w:basedOn w:val="TableNormal70"/>
    <w:tblPr>
      <w:tblStyleRowBandSize w:val="1"/>
      <w:tblStyleColBandSize w:val="1"/>
      <w:tblCellMar>
        <w:left w:w="115" w:type="dxa"/>
        <w:right w:w="115" w:type="dxa"/>
      </w:tblCellMar>
    </w:tblPr>
  </w:style>
  <w:style w:type="table" w:customStyle="1" w:styleId="13">
    <w:name w:val="13"/>
    <w:basedOn w:val="TableNormal70"/>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0"/>
    <w:tblPr>
      <w:tblStyleRowBandSize w:val="1"/>
      <w:tblStyleColBandSize w:val="1"/>
      <w:tblCellMar>
        <w:left w:w="115" w:type="dxa"/>
        <w:right w:w="115" w:type="dxa"/>
      </w:tblCellMar>
    </w:tblPr>
  </w:style>
  <w:style w:type="table" w:customStyle="1" w:styleId="10">
    <w:name w:val="10"/>
    <w:basedOn w:val="TableNormal80"/>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a">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table" w:customStyle="1" w:styleId="a3">
    <w:basedOn w:val="TableNormal7"/>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7"/>
    <w:tblPr>
      <w:tblStyleRowBandSize w:val="1"/>
      <w:tblStyleColBandSize w:val="1"/>
      <w:tblCellMar>
        <w:left w:w="115" w:type="dxa"/>
        <w:right w:w="115" w:type="dxa"/>
      </w:tblCellMar>
    </w:tblPr>
  </w:style>
  <w:style w:type="table" w:customStyle="1" w:styleId="a5">
    <w:basedOn w:val="TableNormal7"/>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6"/>
    <w:tblPr>
      <w:tblStyleRowBandSize w:val="1"/>
      <w:tblStyleColBandSize w:val="1"/>
      <w:tblCellMar>
        <w:left w:w="115" w:type="dxa"/>
        <w:right w:w="115" w:type="dxa"/>
      </w:tblCellMar>
    </w:tblPr>
  </w:style>
  <w:style w:type="table" w:customStyle="1" w:styleId="a8">
    <w:basedOn w:val="TableNormal6"/>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a9">
    <w:basedOn w:val="TableNormal5"/>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E47E56"/>
  </w:style>
  <w:style w:type="character" w:customStyle="1" w:styleId="SaludoCar">
    <w:name w:val="Saludo Car"/>
    <w:basedOn w:val="Fuentedeprrafopredeter"/>
    <w:link w:val="Saludo"/>
    <w:uiPriority w:val="99"/>
    <w:rsid w:val="00E47E56"/>
  </w:style>
  <w:style w:type="paragraph" w:styleId="Listaconvietas">
    <w:name w:val="List Bullet"/>
    <w:basedOn w:val="Normal"/>
    <w:uiPriority w:val="99"/>
    <w:unhideWhenUsed/>
    <w:rsid w:val="00E47E56"/>
    <w:pPr>
      <w:tabs>
        <w:tab w:val="num" w:pos="720"/>
      </w:tabs>
      <w:ind w:left="720" w:hanging="720"/>
      <w:contextualSpacing/>
    </w:pPr>
  </w:style>
  <w:style w:type="paragraph" w:styleId="Listaconvietas2">
    <w:name w:val="List Bullet 2"/>
    <w:basedOn w:val="Normal"/>
    <w:uiPriority w:val="99"/>
    <w:unhideWhenUsed/>
    <w:rsid w:val="00E47E56"/>
    <w:pPr>
      <w:tabs>
        <w:tab w:val="num" w:pos="720"/>
      </w:tabs>
      <w:ind w:left="720" w:hanging="720"/>
      <w:contextualSpacing/>
    </w:pPr>
  </w:style>
  <w:style w:type="paragraph" w:styleId="Descripcin">
    <w:name w:val="caption"/>
    <w:basedOn w:val="Normal"/>
    <w:next w:val="Normal"/>
    <w:uiPriority w:val="35"/>
    <w:unhideWhenUsed/>
    <w:qFormat/>
    <w:rsid w:val="00E47E56"/>
    <w:pPr>
      <w:spacing w:after="200"/>
    </w:pPr>
    <w:rPr>
      <w:i/>
      <w:iCs/>
      <w:color w:val="1F497D" w:themeColor="text2"/>
      <w:sz w:val="18"/>
      <w:szCs w:val="18"/>
    </w:rPr>
  </w:style>
  <w:style w:type="table" w:customStyle="1" w:styleId="ac">
    <w:basedOn w:val="TableNormal4"/>
    <w:tblPr>
      <w:tblStyleRowBandSize w:val="1"/>
      <w:tblStyleColBandSize w:val="1"/>
      <w:tblCellMar>
        <w:left w:w="108" w:type="dxa"/>
        <w:right w:w="108" w:type="dxa"/>
      </w:tblCellMar>
    </w:tblPr>
  </w:style>
  <w:style w:type="table" w:customStyle="1" w:styleId="ad">
    <w:basedOn w:val="TableNormal4"/>
    <w:tblPr>
      <w:tblStyleRowBandSize w:val="1"/>
      <w:tblStyleColBandSize w:val="1"/>
      <w:tblCellMar>
        <w:left w:w="108" w:type="dxa"/>
        <w:right w:w="108" w:type="dxa"/>
      </w:tblCellMar>
    </w:tblPr>
  </w:style>
  <w:style w:type="table" w:customStyle="1" w:styleId="ae">
    <w:basedOn w:val="TableNormal4"/>
    <w:tblPr>
      <w:tblStyleRowBandSize w:val="1"/>
      <w:tblStyleColBandSize w:val="1"/>
      <w:tblCellMar>
        <w:left w:w="108" w:type="dxa"/>
        <w:right w:w="108" w:type="dxa"/>
      </w:tblCellMar>
    </w:tbl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character" w:customStyle="1" w:styleId="Mencinsinresolver5">
    <w:name w:val="Mención sin resolver5"/>
    <w:basedOn w:val="Fuentedeprrafopredeter"/>
    <w:uiPriority w:val="99"/>
    <w:semiHidden/>
    <w:unhideWhenUsed/>
    <w:rsid w:val="00C70AEE"/>
    <w:rPr>
      <w:color w:val="605E5C"/>
      <w:shd w:val="clear" w:color="auto" w:fill="E1DFDD"/>
    </w:r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blio.juridicas.unam.mx/bjv/resultados?ti=guia+tecnica"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2.toluca.gob.mx/paga-gobierno-municipal-mas-de-7-5-millones-de-pesos-en-finiquitos-y-laudos-labora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Bv2FpjogZRJpvcLh2eYZ574Y3g==">CgMxLjAyCWguM2R5NnZrbTIJaC4zMGowemxsMgloLjJzOGV5bzEyCGgudHlqY3d0MgloLjN6bnlzaDcyCWguMmV0OTJwMDIJaC4xN2RwOHZ1MgloLjFmb2I5dGUyCGgubG54Yno5MgloLjNyZGNyam4yCWguMXQzaDVzZjgAciExS3dRTGlKcE1hVXN3NnlPeEN1ZEVsa01nOUFrY1Q5NVc=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7327FFD-EAF6-41F6-A81E-5F398E8D6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18473</Words>
  <Characters>101603</Characters>
  <Application>Microsoft Office Word</Application>
  <DocSecurity>0</DocSecurity>
  <Lines>846</Lines>
  <Paragraphs>239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Villagómez Martínez</cp:lastModifiedBy>
  <cp:revision>2</cp:revision>
  <cp:lastPrinted>2026-02-09T16:36:00Z</cp:lastPrinted>
  <dcterms:created xsi:type="dcterms:W3CDTF">2026-03-24T17:35:00Z</dcterms:created>
  <dcterms:modified xsi:type="dcterms:W3CDTF">2026-03-24T17:35:00Z</dcterms:modified>
</cp:coreProperties>
</file>