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9F6" w:rsidRPr="002B3E9A" w:rsidRDefault="00353053">
      <w:pPr>
        <w:pBdr>
          <w:top w:val="nil"/>
          <w:left w:val="nil"/>
          <w:bottom w:val="nil"/>
          <w:right w:val="nil"/>
          <w:between w:val="nil"/>
        </w:pBdr>
        <w:spacing w:line="360" w:lineRule="auto"/>
        <w:ind w:right="-1417"/>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fecha </w:t>
      </w:r>
      <w:r w:rsidRPr="002B3E9A">
        <w:rPr>
          <w:rFonts w:ascii="Palatino Linotype" w:eastAsia="Palatino Linotype" w:hAnsi="Palatino Linotype" w:cs="Palatino Linotype"/>
          <w:b/>
          <w:bCs/>
          <w:color w:val="000000"/>
        </w:rPr>
        <w:t>veinte (20) de mayo de dos mil veintiséis</w:t>
      </w:r>
      <w:r w:rsidRPr="002B3E9A">
        <w:rPr>
          <w:rFonts w:ascii="Palatino Linotype" w:eastAsia="Palatino Linotype" w:hAnsi="Palatino Linotype" w:cs="Palatino Linotype"/>
          <w:color w:val="000000"/>
        </w:rPr>
        <w:t>.</w:t>
      </w:r>
    </w:p>
    <w:p w:rsidR="003539F6" w:rsidRPr="002B3E9A" w:rsidRDefault="003539F6">
      <w:pPr>
        <w:pBdr>
          <w:top w:val="nil"/>
          <w:left w:val="nil"/>
          <w:bottom w:val="nil"/>
          <w:right w:val="nil"/>
          <w:between w:val="nil"/>
        </w:pBdr>
        <w:spacing w:line="360" w:lineRule="auto"/>
        <w:ind w:right="-1417"/>
        <w:jc w:val="both"/>
        <w:rPr>
          <w:rFonts w:ascii="Palatino Linotype" w:eastAsia="Palatino Linotype" w:hAnsi="Palatino Linotype" w:cs="Palatino Linotype"/>
          <w:color w:val="000000"/>
        </w:rPr>
      </w:pPr>
    </w:p>
    <w:p w:rsidR="003539F6" w:rsidRPr="002B3E9A" w:rsidRDefault="00353053">
      <w:pPr>
        <w:pBdr>
          <w:top w:val="nil"/>
          <w:left w:val="nil"/>
          <w:bottom w:val="nil"/>
          <w:right w:val="nil"/>
          <w:between w:val="nil"/>
        </w:pBdr>
        <w:spacing w:line="360" w:lineRule="auto"/>
        <w:ind w:right="-1417"/>
        <w:jc w:val="both"/>
        <w:rPr>
          <w:rFonts w:ascii="Palatino Linotype" w:eastAsia="Palatino Linotype" w:hAnsi="Palatino Linotype" w:cs="Palatino Linotype"/>
          <w:color w:val="000000"/>
        </w:rPr>
      </w:pPr>
      <w:bookmarkStart w:id="0" w:name="_heading=h.gjdgxs" w:colFirst="0" w:colLast="0"/>
      <w:bookmarkEnd w:id="0"/>
      <w:r w:rsidRPr="002B3E9A">
        <w:rPr>
          <w:rFonts w:ascii="Palatino Linotype" w:eastAsia="Palatino Linotype" w:hAnsi="Palatino Linotype" w:cs="Palatino Linotype"/>
          <w:b/>
          <w:color w:val="000000"/>
        </w:rPr>
        <w:t>VISTO</w:t>
      </w:r>
      <w:r w:rsidRPr="002B3E9A">
        <w:rPr>
          <w:rFonts w:ascii="Palatino Linotype" w:eastAsia="Palatino Linotype" w:hAnsi="Palatino Linotype" w:cs="Palatino Linotype"/>
          <w:color w:val="000000"/>
        </w:rPr>
        <w:t xml:space="preserve"> el expediente electrónico formado con motivo del Recurso de Revisión </w:t>
      </w:r>
      <w:r w:rsidRPr="002B3E9A">
        <w:rPr>
          <w:rFonts w:ascii="Palatino Linotype" w:eastAsia="Palatino Linotype" w:hAnsi="Palatino Linotype" w:cs="Palatino Linotype"/>
          <w:b/>
          <w:bCs/>
          <w:color w:val="000000"/>
        </w:rPr>
        <w:t xml:space="preserve">14123/INFOEM/IP/RR/2025 </w:t>
      </w:r>
      <w:r w:rsidRPr="002B3E9A">
        <w:rPr>
          <w:rFonts w:ascii="Palatino Linotype" w:eastAsia="Palatino Linotype" w:hAnsi="Palatino Linotype" w:cs="Palatino Linotype"/>
          <w:color w:val="000000"/>
        </w:rPr>
        <w:t xml:space="preserve">promovido por </w:t>
      </w:r>
      <w:r w:rsidR="00B454C8">
        <w:rPr>
          <w:rFonts w:ascii="Palatino Linotype" w:eastAsia="Palatino Linotype" w:hAnsi="Palatino Linotype" w:cs="Palatino Linotype"/>
          <w:b/>
          <w:bCs/>
        </w:rPr>
        <w:t>XXXX</w:t>
      </w:r>
      <w:r w:rsidRPr="002B3E9A">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2B3E9A">
        <w:rPr>
          <w:rFonts w:ascii="Palatino Linotype" w:eastAsia="Palatino Linotype" w:hAnsi="Palatino Linotype" w:cs="Palatino Linotype"/>
          <w:b/>
          <w:bCs/>
          <w:color w:val="000000"/>
        </w:rPr>
        <w:t>EL RECURRENTE</w:t>
      </w:r>
      <w:r w:rsidR="0082544B" w:rsidRPr="002B3E9A">
        <w:rPr>
          <w:rFonts w:ascii="Palatino Linotype" w:eastAsia="Palatino Linotype" w:hAnsi="Palatino Linotype" w:cs="Palatino Linotype"/>
          <w:color w:val="000000"/>
        </w:rPr>
        <w:t>, en contra de la respuesta</w:t>
      </w:r>
      <w:r w:rsidRPr="002B3E9A">
        <w:rPr>
          <w:rFonts w:ascii="Palatino Linotype" w:eastAsia="Palatino Linotype" w:hAnsi="Palatino Linotype" w:cs="Palatino Linotype"/>
          <w:color w:val="000000"/>
        </w:rPr>
        <w:t xml:space="preserve"> del </w:t>
      </w:r>
      <w:r w:rsidRPr="002B3E9A">
        <w:rPr>
          <w:rFonts w:ascii="Palatino Linotype" w:eastAsia="Palatino Linotype" w:hAnsi="Palatino Linotype" w:cs="Palatino Linotype"/>
          <w:b/>
          <w:bCs/>
          <w:color w:val="000000"/>
        </w:rPr>
        <w:t>Ayuntamiento de  Nezahualcóyotl</w:t>
      </w:r>
      <w:r w:rsidRPr="002B3E9A">
        <w:rPr>
          <w:rFonts w:ascii="Palatino Linotype" w:eastAsia="Palatino Linotype" w:hAnsi="Palatino Linotype" w:cs="Palatino Linotype"/>
          <w:color w:val="000000"/>
        </w:rPr>
        <w:t xml:space="preserve">, en </w:t>
      </w:r>
      <w:r w:rsidRPr="002B3E9A">
        <w:rPr>
          <w:rFonts w:ascii="Palatino Linotype" w:eastAsia="Palatino Linotype" w:hAnsi="Palatino Linotype" w:cs="Palatino Linotype"/>
        </w:rPr>
        <w:t>adelante</w:t>
      </w:r>
      <w:r w:rsidRPr="002B3E9A">
        <w:rPr>
          <w:rFonts w:ascii="Palatino Linotype" w:eastAsia="Palatino Linotype" w:hAnsi="Palatino Linotype" w:cs="Palatino Linotype"/>
          <w:color w:val="000000"/>
        </w:rPr>
        <w:t xml:space="preserve"> </w:t>
      </w:r>
      <w:r w:rsidRPr="002B3E9A">
        <w:rPr>
          <w:rFonts w:ascii="Palatino Linotype" w:eastAsia="Palatino Linotype" w:hAnsi="Palatino Linotype" w:cs="Palatino Linotype"/>
          <w:b/>
          <w:bCs/>
          <w:color w:val="000000"/>
        </w:rPr>
        <w:t>EL SUJETO OBLIGADO</w:t>
      </w:r>
      <w:r w:rsidRPr="002B3E9A">
        <w:rPr>
          <w:rFonts w:ascii="Palatino Linotype" w:eastAsia="Palatino Linotype" w:hAnsi="Palatino Linotype" w:cs="Palatino Linotype"/>
          <w:color w:val="000000"/>
        </w:rPr>
        <w:t>, se procede a dictar la presente resolución, con base en los siguientes:</w:t>
      </w:r>
    </w:p>
    <w:p w:rsidR="003539F6" w:rsidRPr="002B3E9A" w:rsidRDefault="003539F6">
      <w:pPr>
        <w:pBdr>
          <w:top w:val="nil"/>
          <w:left w:val="nil"/>
          <w:bottom w:val="nil"/>
          <w:right w:val="nil"/>
          <w:between w:val="nil"/>
        </w:pBdr>
        <w:spacing w:line="360" w:lineRule="auto"/>
        <w:ind w:right="-1417"/>
        <w:jc w:val="both"/>
        <w:rPr>
          <w:rFonts w:ascii="Palatino Linotype" w:eastAsia="Palatino Linotype" w:hAnsi="Palatino Linotype" w:cs="Palatino Linotype"/>
          <w:color w:val="000000"/>
        </w:rPr>
      </w:pPr>
      <w:bookmarkStart w:id="1" w:name="_GoBack"/>
      <w:bookmarkEnd w:id="1"/>
    </w:p>
    <w:p w:rsidR="003539F6" w:rsidRPr="002B3E9A" w:rsidRDefault="00353053">
      <w:pPr>
        <w:pBdr>
          <w:top w:val="nil"/>
          <w:left w:val="nil"/>
          <w:bottom w:val="nil"/>
          <w:right w:val="nil"/>
          <w:between w:val="nil"/>
        </w:pBdr>
        <w:spacing w:line="360" w:lineRule="auto"/>
        <w:ind w:right="-1417"/>
        <w:jc w:val="center"/>
        <w:rPr>
          <w:rFonts w:ascii="Palatino Linotype" w:eastAsia="Palatino Linotype" w:hAnsi="Palatino Linotype" w:cs="Palatino Linotype"/>
          <w:b/>
          <w:bCs/>
          <w:color w:val="000000"/>
        </w:rPr>
      </w:pPr>
      <w:r w:rsidRPr="002B3E9A">
        <w:rPr>
          <w:rFonts w:ascii="Palatino Linotype" w:eastAsia="Palatino Linotype" w:hAnsi="Palatino Linotype" w:cs="Palatino Linotype"/>
          <w:b/>
          <w:bCs/>
          <w:color w:val="000000"/>
        </w:rPr>
        <w:t>A N T E C E D E N T E S</w:t>
      </w:r>
    </w:p>
    <w:p w:rsidR="003539F6" w:rsidRPr="002B3E9A" w:rsidRDefault="003539F6">
      <w:pPr>
        <w:spacing w:line="360" w:lineRule="auto"/>
        <w:ind w:right="-1417"/>
        <w:rPr>
          <w:rFonts w:ascii="Palatino Linotype" w:eastAsia="Palatino Linotype" w:hAnsi="Palatino Linotype" w:cs="Palatino Linotype"/>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rPr>
      </w:pPr>
      <w:r w:rsidRPr="002B3E9A">
        <w:rPr>
          <w:rFonts w:ascii="Palatino Linotype" w:eastAsia="Palatino Linotype" w:hAnsi="Palatino Linotype" w:cs="Palatino Linotype"/>
          <w:color w:val="000000"/>
        </w:rPr>
        <w:t xml:space="preserve">El </w:t>
      </w:r>
      <w:r w:rsidRPr="002B3E9A">
        <w:rPr>
          <w:rFonts w:ascii="Palatino Linotype" w:eastAsia="Palatino Linotype" w:hAnsi="Palatino Linotype" w:cs="Palatino Linotype"/>
          <w:b/>
          <w:bCs/>
          <w:color w:val="000000"/>
        </w:rPr>
        <w:t xml:space="preserve">seis de noviembre de dos mil veinticinco, </w:t>
      </w:r>
      <w:r w:rsidRPr="002B3E9A">
        <w:rPr>
          <w:rFonts w:ascii="Palatino Linotype" w:eastAsia="Palatino Linotype" w:hAnsi="Palatino Linotype" w:cs="Palatino Linotype"/>
          <w:color w:val="000000"/>
        </w:rPr>
        <w:t xml:space="preserve">el solicitante ingreso la solicitud de información, que quedó registrada con el número </w:t>
      </w:r>
      <w:r w:rsidRPr="002B3E9A">
        <w:rPr>
          <w:rFonts w:ascii="Palatino Linotype" w:eastAsia="Palatino Linotype" w:hAnsi="Palatino Linotype" w:cs="Palatino Linotype"/>
          <w:b/>
          <w:bCs/>
          <w:color w:val="000000"/>
        </w:rPr>
        <w:t xml:space="preserve"> 00425/NEZA/IP/2025, </w:t>
      </w:r>
      <w:r w:rsidRPr="002B3E9A">
        <w:rPr>
          <w:rFonts w:ascii="Palatino Linotype" w:eastAsia="Palatino Linotype" w:hAnsi="Palatino Linotype" w:cs="Palatino Linotype"/>
          <w:color w:val="000000"/>
        </w:rPr>
        <w:t xml:space="preserve">la solicitud de información consistió en obtener la siguiente información. </w:t>
      </w:r>
    </w:p>
    <w:p w:rsidR="003539F6" w:rsidRPr="002B3E9A" w:rsidRDefault="003539F6">
      <w:pPr>
        <w:pBdr>
          <w:top w:val="nil"/>
          <w:left w:val="nil"/>
          <w:bottom w:val="nil"/>
          <w:right w:val="nil"/>
          <w:between w:val="nil"/>
        </w:pBdr>
        <w:spacing w:line="360" w:lineRule="auto"/>
        <w:ind w:right="-1417"/>
        <w:jc w:val="both"/>
        <w:rPr>
          <w:rFonts w:ascii="Palatino Linotype" w:eastAsia="Palatino Linotype" w:hAnsi="Palatino Linotype" w:cs="Palatino Linotype"/>
          <w:i/>
          <w:iCs/>
        </w:rPr>
      </w:pPr>
    </w:p>
    <w:p w:rsidR="003539F6" w:rsidRPr="002B3E9A" w:rsidRDefault="00353053">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sidRPr="002B3E9A">
        <w:rPr>
          <w:rFonts w:ascii="Palatino Linotype" w:eastAsia="Palatino Linotype" w:hAnsi="Palatino Linotype" w:cs="Palatino Linotype"/>
          <w:i/>
          <w:iCs/>
          <w:color w:val="000000"/>
        </w:rPr>
        <w:t>“SOLICITO COPIA SIMPLE DIGITALIZADA A TRAVÉS DEL SISTEMA ELECTRÓNICO SAIMEX DE LAS FACTURAS PAGADAS Y EN PROCESO DE PAGO CON FECHA DEL 1 DE ENERO AL 31 DE OCTUBRE DE 2025 CORRESPONDIENTES A LA PARTIDA PRESUPUESTAL 3611.”</w:t>
      </w:r>
    </w:p>
    <w:p w:rsidR="003539F6" w:rsidRDefault="003539F6">
      <w:pPr>
        <w:pBdr>
          <w:top w:val="nil"/>
          <w:left w:val="nil"/>
          <w:bottom w:val="nil"/>
          <w:right w:val="nil"/>
          <w:between w:val="nil"/>
        </w:pBdr>
        <w:spacing w:line="360" w:lineRule="auto"/>
        <w:ind w:left="1134" w:right="-1417"/>
        <w:jc w:val="both"/>
        <w:rPr>
          <w:rFonts w:ascii="Palatino Linotype" w:eastAsia="Palatino Linotype" w:hAnsi="Palatino Linotype" w:cs="Palatino Linotype"/>
          <w:i/>
          <w:iCs/>
        </w:rPr>
      </w:pPr>
    </w:p>
    <w:p w:rsidR="002B3E9A" w:rsidRPr="002B3E9A" w:rsidRDefault="002B3E9A">
      <w:pPr>
        <w:pBdr>
          <w:top w:val="nil"/>
          <w:left w:val="nil"/>
          <w:bottom w:val="nil"/>
          <w:right w:val="nil"/>
          <w:between w:val="nil"/>
        </w:pBdr>
        <w:spacing w:line="360" w:lineRule="auto"/>
        <w:ind w:left="1134" w:right="-1417"/>
        <w:jc w:val="both"/>
        <w:rPr>
          <w:rFonts w:ascii="Palatino Linotype" w:eastAsia="Palatino Linotype" w:hAnsi="Palatino Linotype" w:cs="Palatino Linotype"/>
          <w:i/>
          <w:iCs/>
        </w:rPr>
      </w:pPr>
    </w:p>
    <w:p w:rsidR="003539F6" w:rsidRPr="002B3E9A" w:rsidRDefault="00353053">
      <w:pPr>
        <w:numPr>
          <w:ilvl w:val="0"/>
          <w:numId w:val="1"/>
        </w:numPr>
        <w:pBdr>
          <w:top w:val="nil"/>
          <w:left w:val="nil"/>
          <w:bottom w:val="nil"/>
          <w:right w:val="nil"/>
          <w:between w:val="nil"/>
        </w:pBdr>
        <w:spacing w:line="360" w:lineRule="auto"/>
        <w:ind w:left="709" w:right="-1417"/>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b/>
          <w:bCs/>
          <w:color w:val="000000"/>
        </w:rPr>
        <w:t>Modalidad de entrega</w:t>
      </w:r>
      <w:r w:rsidRPr="002B3E9A">
        <w:rPr>
          <w:rFonts w:ascii="Palatino Linotype" w:eastAsia="Palatino Linotype" w:hAnsi="Palatino Linotype" w:cs="Palatino Linotype"/>
          <w:color w:val="000000"/>
        </w:rPr>
        <w:t>: Sistema de Acceso a la Información (SAIMEX)</w:t>
      </w:r>
    </w:p>
    <w:p w:rsidR="003539F6" w:rsidRPr="002B3E9A" w:rsidRDefault="003539F6">
      <w:pPr>
        <w:pBdr>
          <w:top w:val="nil"/>
          <w:left w:val="nil"/>
          <w:bottom w:val="nil"/>
          <w:right w:val="nil"/>
          <w:between w:val="nil"/>
        </w:pBdr>
        <w:ind w:right="-1417"/>
        <w:jc w:val="both"/>
        <w:rPr>
          <w:rFonts w:ascii="Palatino Linotype" w:eastAsia="Palatino Linotype" w:hAnsi="Palatino Linotype" w:cs="Palatino Linotype"/>
          <w:i/>
          <w:iCs/>
          <w:color w:val="000000"/>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lastRenderedPageBreak/>
        <w:t xml:space="preserve">El </w:t>
      </w:r>
      <w:r w:rsidRPr="002B3E9A">
        <w:rPr>
          <w:rFonts w:ascii="Palatino Linotype" w:eastAsia="Palatino Linotype" w:hAnsi="Palatino Linotype" w:cs="Palatino Linotype"/>
          <w:b/>
          <w:bCs/>
          <w:color w:val="000000"/>
        </w:rPr>
        <w:t xml:space="preserve">seis de noviembre de dos mil veinticinco, </w:t>
      </w:r>
      <w:r w:rsidRPr="002B3E9A">
        <w:rPr>
          <w:rFonts w:ascii="Palatino Linotype" w:eastAsia="Palatino Linotype" w:hAnsi="Palatino Linotype" w:cs="Palatino Linotype"/>
          <w:color w:val="000000"/>
        </w:rPr>
        <w:t xml:space="preserve">el </w:t>
      </w:r>
      <w:r w:rsidRPr="002B3E9A">
        <w:rPr>
          <w:rFonts w:ascii="Palatino Linotype" w:eastAsia="Palatino Linotype" w:hAnsi="Palatino Linotype" w:cs="Palatino Linotype"/>
          <w:b/>
          <w:bCs/>
          <w:color w:val="000000"/>
        </w:rPr>
        <w:t xml:space="preserve">SUJETO OBLIGADO </w:t>
      </w:r>
      <w:r w:rsidRPr="002B3E9A">
        <w:rPr>
          <w:rFonts w:ascii="Palatino Linotype" w:eastAsia="Palatino Linotype" w:hAnsi="Palatino Linotype" w:cs="Palatino Linotype"/>
          <w:color w:val="000000"/>
        </w:rPr>
        <w:t xml:space="preserve">giro el requerimiento de información para que fuera atendida la solicitud de información </w:t>
      </w:r>
      <w:r w:rsidRPr="002B3E9A">
        <w:rPr>
          <w:rFonts w:ascii="Palatino Linotype" w:eastAsia="Palatino Linotype" w:hAnsi="Palatino Linotype" w:cs="Palatino Linotype"/>
          <w:b/>
          <w:bCs/>
          <w:color w:val="000000"/>
        </w:rPr>
        <w:t xml:space="preserve"> 00425/NEZA/IP/2025. </w:t>
      </w:r>
    </w:p>
    <w:p w:rsidR="003539F6" w:rsidRPr="002B3E9A" w:rsidRDefault="003539F6">
      <w:pPr>
        <w:pBdr>
          <w:top w:val="nil"/>
          <w:left w:val="nil"/>
          <w:bottom w:val="nil"/>
          <w:right w:val="nil"/>
          <w:between w:val="nil"/>
        </w:pBdr>
        <w:spacing w:line="360" w:lineRule="auto"/>
        <w:ind w:right="-1417"/>
        <w:jc w:val="both"/>
        <w:rPr>
          <w:rFonts w:ascii="Palatino Linotype" w:eastAsia="Palatino Linotype" w:hAnsi="Palatino Linotype" w:cs="Palatino Linotype"/>
          <w:color w:val="000000"/>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El </w:t>
      </w:r>
      <w:r w:rsidRPr="002B3E9A">
        <w:rPr>
          <w:rFonts w:ascii="Palatino Linotype" w:eastAsia="Palatino Linotype" w:hAnsi="Palatino Linotype" w:cs="Palatino Linotype"/>
          <w:b/>
          <w:bCs/>
          <w:color w:val="000000"/>
        </w:rPr>
        <w:t xml:space="preserve">veintisiete de noviembre de dos mil veinticinco, </w:t>
      </w:r>
      <w:r w:rsidRPr="002B3E9A">
        <w:rPr>
          <w:rFonts w:ascii="Palatino Linotype" w:eastAsia="Palatino Linotype" w:hAnsi="Palatino Linotype" w:cs="Palatino Linotype"/>
          <w:color w:val="000000"/>
        </w:rPr>
        <w:t xml:space="preserve">el </w:t>
      </w:r>
      <w:r w:rsidRPr="002B3E9A">
        <w:rPr>
          <w:rFonts w:ascii="Palatino Linotype" w:eastAsia="Palatino Linotype" w:hAnsi="Palatino Linotype" w:cs="Palatino Linotype"/>
          <w:b/>
          <w:bCs/>
          <w:color w:val="000000"/>
        </w:rPr>
        <w:t xml:space="preserve">SUJETO OBLIGADO </w:t>
      </w:r>
      <w:r w:rsidRPr="002B3E9A">
        <w:rPr>
          <w:rFonts w:ascii="Palatino Linotype" w:eastAsia="Palatino Linotype" w:hAnsi="Palatino Linotype" w:cs="Palatino Linotype"/>
          <w:color w:val="000000"/>
        </w:rPr>
        <w:t xml:space="preserve">dio respuesta por medio de dos archivos electrónicos en formato pdf, cuyo contenido grosso modo es el siguiente. </w:t>
      </w:r>
    </w:p>
    <w:p w:rsidR="003539F6" w:rsidRPr="002B3E9A" w:rsidRDefault="00353053">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sidRPr="002B3E9A">
        <w:rPr>
          <w:rFonts w:ascii="Palatino Linotype" w:eastAsia="Palatino Linotype" w:hAnsi="Palatino Linotype" w:cs="Palatino Linotype"/>
          <w:b/>
          <w:bCs/>
          <w:i/>
          <w:iCs/>
          <w:color w:val="000000"/>
        </w:rPr>
        <w:t xml:space="preserve">425-25-COMPLETAA.pdf: </w:t>
      </w:r>
      <w:r w:rsidRPr="002B3E9A">
        <w:rPr>
          <w:rFonts w:ascii="Palatino Linotype" w:eastAsia="Palatino Linotype" w:hAnsi="Palatino Linotype" w:cs="Palatino Linotype"/>
          <w:i/>
          <w:iCs/>
          <w:color w:val="000000"/>
        </w:rPr>
        <w:t xml:space="preserve">oficio de la Tesorera Municipal, mediante el cual propone el cambio de modalidad a consulta directa, toda vez que las facturas solicitadas sobre pasan la cantidad de hojas, dando un total de 30,894. </w:t>
      </w:r>
    </w:p>
    <w:p w:rsidR="003539F6" w:rsidRPr="002B3E9A" w:rsidRDefault="00353053">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sidRPr="002B3E9A">
        <w:rPr>
          <w:rFonts w:ascii="Palatino Linotype" w:eastAsia="Palatino Linotype" w:hAnsi="Palatino Linotype" w:cs="Palatino Linotype"/>
          <w:b/>
          <w:bCs/>
          <w:i/>
          <w:iCs/>
          <w:color w:val="000000"/>
        </w:rPr>
        <w:t xml:space="preserve">(38) ACT-CT-NEZA-EXT-XXXVIII-2025.pdf: </w:t>
      </w:r>
      <w:r w:rsidRPr="002B3E9A">
        <w:rPr>
          <w:rFonts w:ascii="Palatino Linotype" w:eastAsia="Palatino Linotype" w:hAnsi="Palatino Linotype" w:cs="Palatino Linotype"/>
          <w:i/>
          <w:iCs/>
          <w:color w:val="000000"/>
        </w:rPr>
        <w:t xml:space="preserve">Acta del Comité de Transparencia mediante la cual se aprueba el cambio de modalidad a consulta directa, refiriendo que fue notificado al Director de Informática de este Órgano Garante, la imposibilidad para entregar la información. </w:t>
      </w:r>
    </w:p>
    <w:p w:rsidR="003539F6" w:rsidRPr="002B3E9A" w:rsidRDefault="003539F6">
      <w:pPr>
        <w:pBdr>
          <w:top w:val="nil"/>
          <w:left w:val="nil"/>
          <w:bottom w:val="nil"/>
          <w:right w:val="nil"/>
          <w:between w:val="nil"/>
        </w:pBdr>
        <w:ind w:left="720" w:right="-1417"/>
        <w:jc w:val="both"/>
        <w:rPr>
          <w:rFonts w:ascii="Palatino Linotype" w:eastAsia="Palatino Linotype" w:hAnsi="Palatino Linotype" w:cs="Palatino Linotype"/>
          <w:color w:val="000000"/>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El </w:t>
      </w:r>
      <w:r w:rsidRPr="002B3E9A">
        <w:rPr>
          <w:rFonts w:ascii="Palatino Linotype" w:eastAsia="Palatino Linotype" w:hAnsi="Palatino Linotype" w:cs="Palatino Linotype"/>
          <w:b/>
          <w:bCs/>
          <w:color w:val="000000"/>
        </w:rPr>
        <w:t>once de diciembre de dos mil veinticinco</w:t>
      </w:r>
      <w:r w:rsidRPr="002B3E9A">
        <w:rPr>
          <w:rFonts w:ascii="Palatino Linotype" w:eastAsia="Palatino Linotype" w:hAnsi="Palatino Linotype" w:cs="Palatino Linotype"/>
          <w:color w:val="000000"/>
        </w:rPr>
        <w:t xml:space="preserve">, el solicitante interpuso recurso de revisión en contra de la respuesta emitida por el </w:t>
      </w:r>
      <w:r w:rsidRPr="002B3E9A">
        <w:rPr>
          <w:rFonts w:ascii="Palatino Linotype" w:eastAsia="Palatino Linotype" w:hAnsi="Palatino Linotype" w:cs="Palatino Linotype"/>
          <w:b/>
          <w:bCs/>
          <w:color w:val="000000"/>
        </w:rPr>
        <w:t>SUJETO OBLIGADO</w:t>
      </w:r>
      <w:r w:rsidRPr="002B3E9A">
        <w:rPr>
          <w:rFonts w:ascii="Palatino Linotype" w:eastAsia="Palatino Linotype" w:hAnsi="Palatino Linotype" w:cs="Palatino Linotype"/>
          <w:color w:val="000000"/>
        </w:rPr>
        <w:t>, señalando las siguientes razones o motivos de inconformidad:</w:t>
      </w:r>
    </w:p>
    <w:p w:rsidR="003539F6" w:rsidRPr="002B3E9A" w:rsidRDefault="003539F6">
      <w:pPr>
        <w:pBdr>
          <w:top w:val="nil"/>
          <w:left w:val="nil"/>
          <w:bottom w:val="nil"/>
          <w:right w:val="nil"/>
          <w:between w:val="nil"/>
        </w:pBdr>
        <w:spacing w:line="360" w:lineRule="auto"/>
        <w:ind w:left="360" w:right="-1417"/>
        <w:jc w:val="both"/>
        <w:rPr>
          <w:rFonts w:ascii="Palatino Linotype" w:eastAsia="Palatino Linotype" w:hAnsi="Palatino Linotype" w:cs="Palatino Linotype"/>
        </w:rPr>
      </w:pPr>
    </w:p>
    <w:p w:rsidR="003539F6" w:rsidRPr="002B3E9A" w:rsidRDefault="00353053">
      <w:pPr>
        <w:numPr>
          <w:ilvl w:val="0"/>
          <w:numId w:val="5"/>
        </w:numPr>
        <w:pBdr>
          <w:top w:val="nil"/>
          <w:left w:val="nil"/>
          <w:bottom w:val="nil"/>
          <w:right w:val="nil"/>
          <w:between w:val="nil"/>
        </w:pBdr>
        <w:ind w:left="1134" w:right="-1417" w:firstLine="0"/>
        <w:jc w:val="both"/>
        <w:rPr>
          <w:rFonts w:ascii="Palatino Linotype" w:eastAsia="Palatino Linotype" w:hAnsi="Palatino Linotype" w:cs="Palatino Linotype"/>
          <w:color w:val="000000"/>
        </w:rPr>
      </w:pPr>
      <w:bookmarkStart w:id="2" w:name="_heading=h.1fob9te" w:colFirst="0" w:colLast="0"/>
      <w:bookmarkEnd w:id="2"/>
      <w:r w:rsidRPr="002B3E9A">
        <w:rPr>
          <w:rFonts w:ascii="Palatino Linotype" w:eastAsia="Palatino Linotype" w:hAnsi="Palatino Linotype" w:cs="Palatino Linotype"/>
          <w:b/>
          <w:bCs/>
          <w:color w:val="000000"/>
        </w:rPr>
        <w:t xml:space="preserve">Acto impugnado: </w:t>
      </w:r>
      <w:r w:rsidRPr="002B3E9A">
        <w:rPr>
          <w:rFonts w:ascii="Palatino Linotype" w:eastAsia="Palatino Linotype" w:hAnsi="Palatino Linotype" w:cs="Palatino Linotype"/>
          <w:i/>
          <w:iCs/>
          <w:color w:val="000000"/>
        </w:rPr>
        <w:t>“RESPUESTA A LA SOLICITUD 00425/NEZA/IP/2025.”</w:t>
      </w:r>
    </w:p>
    <w:p w:rsidR="003539F6" w:rsidRPr="002B3E9A" w:rsidRDefault="003539F6">
      <w:pPr>
        <w:pBdr>
          <w:top w:val="nil"/>
          <w:left w:val="nil"/>
          <w:bottom w:val="nil"/>
          <w:right w:val="nil"/>
          <w:between w:val="nil"/>
        </w:pBdr>
        <w:ind w:left="1134" w:right="-1417"/>
        <w:jc w:val="both"/>
        <w:rPr>
          <w:rFonts w:ascii="Palatino Linotype" w:eastAsia="Palatino Linotype" w:hAnsi="Palatino Linotype" w:cs="Palatino Linotype"/>
          <w:color w:val="000000"/>
        </w:rPr>
      </w:pPr>
    </w:p>
    <w:p w:rsidR="003539F6" w:rsidRPr="002B3E9A" w:rsidRDefault="00353053">
      <w:pPr>
        <w:numPr>
          <w:ilvl w:val="0"/>
          <w:numId w:val="5"/>
        </w:numPr>
        <w:pBdr>
          <w:top w:val="nil"/>
          <w:left w:val="nil"/>
          <w:bottom w:val="nil"/>
          <w:right w:val="nil"/>
          <w:between w:val="nil"/>
        </w:pBdr>
        <w:ind w:left="1134" w:right="-1417" w:firstLine="0"/>
        <w:jc w:val="both"/>
        <w:rPr>
          <w:rFonts w:ascii="Palatino Linotype" w:eastAsia="Palatino Linotype" w:hAnsi="Palatino Linotype" w:cs="Palatino Linotype"/>
          <w:color w:val="000000"/>
        </w:rPr>
      </w:pPr>
      <w:bookmarkStart w:id="3" w:name="_heading=h.3znysh7" w:colFirst="0" w:colLast="0"/>
      <w:bookmarkEnd w:id="3"/>
      <w:r w:rsidRPr="002B3E9A">
        <w:rPr>
          <w:rFonts w:ascii="Palatino Linotype" w:eastAsia="Palatino Linotype" w:hAnsi="Palatino Linotype" w:cs="Palatino Linotype"/>
          <w:b/>
          <w:bCs/>
          <w:color w:val="000000"/>
        </w:rPr>
        <w:t xml:space="preserve">Razones o Motivos de inconformidad: </w:t>
      </w:r>
      <w:r w:rsidRPr="002B3E9A">
        <w:rPr>
          <w:rFonts w:ascii="Palatino Linotype" w:eastAsia="Palatino Linotype" w:hAnsi="Palatino Linotype" w:cs="Palatino Linotype"/>
          <w:i/>
          <w:iCs/>
          <w:color w:val="000000"/>
        </w:rPr>
        <w:t xml:space="preserve">“EL SUJETO OBLIGADO MODIFICA DE MANERA ARBITRARIA E INFUNDADA LA MODALIDAD DE ENTREGA. EN LA RESPUESTA, EL SERVIDOR PÚBLICO HABILITADO INDICA: "Al respecto informo que las facturas pagadas y en proceso en proceso de pago con fecha 1 de enero al 31 de octubre de 2025 correspondiente a la partida presupuestal 3611, sobrepasan la cantidad de fojas que se pueden subir al sistema, siendo aproximadamente 30,894 fojas es por ello que solicito cambio de modalidad "IN SITU", LO CUAL ES UN DATO BURDO Y FALSO, FUERA DE TODA LÓGICA RAZONABLE. CON ESTE ARGUMJENTO, EL SUJETO OBLIGADO ACEPTA CONTAR CON LA INFORMACIÓN SOLICITADA, PERO NO HABER REALIZADO LA BÚSQUEDA </w:t>
      </w:r>
      <w:r w:rsidRPr="002B3E9A">
        <w:rPr>
          <w:rFonts w:ascii="Palatino Linotype" w:eastAsia="Palatino Linotype" w:hAnsi="Palatino Linotype" w:cs="Palatino Linotype"/>
          <w:i/>
          <w:iCs/>
          <w:color w:val="000000"/>
        </w:rPr>
        <w:lastRenderedPageBreak/>
        <w:t>EXHAUSTIVA DE LA MISMA QUE ESTABLECE LA LEY, CON LO CUAL EN LA PRAXIS ES OMISO PARA ENTREGAR LA INFORMACIÓN PÚBLICA SOLICITADA. POR LO ANTERIOR, SOLICITO SE REVOQUE EL CAMBIO EN LA MODALIDAD DE ENTREGA Y SE ORDENE AL SUJETO OBLIGADO HACER ENTREGA DE LA INFORMACION A TRAVES DEL SISTEMA ELECTRÓNIUCO SAIMEX..”</w:t>
      </w:r>
    </w:p>
    <w:p w:rsidR="003539F6" w:rsidRPr="002B3E9A" w:rsidRDefault="003539F6">
      <w:pPr>
        <w:ind w:right="-1417"/>
        <w:jc w:val="both"/>
        <w:rPr>
          <w:rFonts w:ascii="Palatino Linotype" w:eastAsia="Palatino Linotype" w:hAnsi="Palatino Linotype" w:cs="Palatino Linotype"/>
          <w:b/>
          <w:bCs/>
          <w:i/>
          <w:iCs/>
          <w:color w:val="000000"/>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Consecutivamente</w:t>
      </w:r>
      <w:r w:rsidRPr="002B3E9A">
        <w:rPr>
          <w:rFonts w:ascii="Palatino Linotype" w:eastAsia="Palatino Linotype" w:hAnsi="Palatino Linotype" w:cs="Palatino Linotype"/>
          <w:i/>
          <w:iCs/>
          <w:color w:val="000000"/>
        </w:rPr>
        <w:t xml:space="preserve">, </w:t>
      </w:r>
      <w:r w:rsidRPr="002B3E9A">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2B3E9A">
        <w:rPr>
          <w:rFonts w:ascii="Palatino Linotype" w:eastAsia="Palatino Linotype" w:hAnsi="Palatino Linotype" w:cs="Palatino Linotype"/>
          <w:b/>
          <w:bCs/>
          <w:color w:val="000000"/>
        </w:rPr>
        <w:t>Comisionada</w:t>
      </w:r>
      <w:r w:rsidRPr="002B3E9A">
        <w:rPr>
          <w:rFonts w:ascii="Palatino Linotype" w:eastAsia="Palatino Linotype" w:hAnsi="Palatino Linotype" w:cs="Palatino Linotype"/>
          <w:color w:val="000000"/>
        </w:rPr>
        <w:t xml:space="preserve"> </w:t>
      </w:r>
      <w:r w:rsidRPr="002B3E9A">
        <w:rPr>
          <w:rFonts w:ascii="Palatino Linotype" w:eastAsia="Palatino Linotype" w:hAnsi="Palatino Linotype" w:cs="Palatino Linotype"/>
          <w:b/>
          <w:bCs/>
          <w:color w:val="000000"/>
        </w:rPr>
        <w:t>María del Rosario Mejía Ayala</w:t>
      </w:r>
      <w:r w:rsidRPr="002B3E9A">
        <w:rPr>
          <w:rFonts w:ascii="Palatino Linotype" w:eastAsia="Palatino Linotype" w:hAnsi="Palatino Linotype" w:cs="Palatino Linotype"/>
          <w:color w:val="000000"/>
        </w:rPr>
        <w:t>,</w:t>
      </w:r>
      <w:r w:rsidRPr="002B3E9A">
        <w:rPr>
          <w:rFonts w:ascii="Palatino Linotype" w:eastAsia="Palatino Linotype" w:hAnsi="Palatino Linotype" w:cs="Palatino Linotype"/>
          <w:b/>
          <w:bCs/>
          <w:color w:val="000000"/>
        </w:rPr>
        <w:t xml:space="preserve"> </w:t>
      </w:r>
      <w:r w:rsidRPr="002B3E9A">
        <w:rPr>
          <w:rFonts w:ascii="Palatino Linotype" w:eastAsia="Palatino Linotype" w:hAnsi="Palatino Linotype" w:cs="Palatino Linotype"/>
          <w:color w:val="000000"/>
        </w:rPr>
        <w:t>con el objeto de su análisis.</w:t>
      </w:r>
    </w:p>
    <w:p w:rsidR="003539F6" w:rsidRPr="002B3E9A" w:rsidRDefault="003539F6">
      <w:pPr>
        <w:pBdr>
          <w:top w:val="nil"/>
          <w:left w:val="nil"/>
          <w:bottom w:val="nil"/>
          <w:right w:val="nil"/>
          <w:between w:val="nil"/>
        </w:pBdr>
        <w:spacing w:line="360" w:lineRule="auto"/>
        <w:ind w:right="-1417"/>
        <w:jc w:val="both"/>
        <w:rPr>
          <w:rFonts w:ascii="Palatino Linotype" w:eastAsia="Palatino Linotype" w:hAnsi="Palatino Linotype" w:cs="Palatino Linotype"/>
          <w:color w:val="000000"/>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2B3E9A">
        <w:rPr>
          <w:rFonts w:ascii="Palatino Linotype" w:eastAsia="Palatino Linotype" w:hAnsi="Palatino Linotype" w:cs="Palatino Linotype"/>
          <w:b/>
          <w:bCs/>
          <w:color w:val="000000"/>
        </w:rPr>
        <w:t xml:space="preserve">acuerdo de admisión </w:t>
      </w:r>
      <w:r w:rsidRPr="002B3E9A">
        <w:rPr>
          <w:rFonts w:ascii="Palatino Linotype" w:eastAsia="Palatino Linotype" w:hAnsi="Palatino Linotype" w:cs="Palatino Linotype"/>
          <w:color w:val="000000"/>
        </w:rPr>
        <w:t xml:space="preserve">del </w:t>
      </w:r>
      <w:r w:rsidRPr="002B3E9A">
        <w:rPr>
          <w:rFonts w:ascii="Palatino Linotype" w:eastAsia="Palatino Linotype" w:hAnsi="Palatino Linotype" w:cs="Palatino Linotype"/>
          <w:b/>
          <w:bCs/>
          <w:color w:val="000000"/>
        </w:rPr>
        <w:t xml:space="preserve">doce de diciembre de dos mil veinticinco, </w:t>
      </w:r>
      <w:r w:rsidRPr="002B3E9A">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2B3E9A">
        <w:rPr>
          <w:rFonts w:ascii="Palatino Linotype" w:eastAsia="Palatino Linotype" w:hAnsi="Palatino Linotype" w:cs="Palatino Linotype"/>
        </w:rPr>
        <w:t>manifestara</w:t>
      </w:r>
      <w:r w:rsidRPr="002B3E9A">
        <w:rPr>
          <w:rFonts w:ascii="Palatino Linotype" w:eastAsia="Palatino Linotype" w:hAnsi="Palatino Linotype" w:cs="Palatino Linotype"/>
          <w:color w:val="000000"/>
        </w:rPr>
        <w:t xml:space="preserve"> lo que a su derecho conviniera, </w:t>
      </w:r>
      <w:r w:rsidRPr="002B3E9A">
        <w:rPr>
          <w:rFonts w:ascii="Palatino Linotype" w:eastAsia="Palatino Linotype" w:hAnsi="Palatino Linotype" w:cs="Palatino Linotype"/>
        </w:rPr>
        <w:t>ofreciera</w:t>
      </w:r>
      <w:r w:rsidRPr="002B3E9A">
        <w:rPr>
          <w:rFonts w:ascii="Palatino Linotype" w:eastAsia="Palatino Linotype" w:hAnsi="Palatino Linotype" w:cs="Palatino Linotype"/>
          <w:color w:val="000000"/>
        </w:rPr>
        <w:t xml:space="preserve"> pruebas y alegatos según corresponda al caso concreto, de esta forma para que el </w:t>
      </w:r>
      <w:r w:rsidRPr="002B3E9A">
        <w:rPr>
          <w:rFonts w:ascii="Palatino Linotype" w:eastAsia="Palatino Linotype" w:hAnsi="Palatino Linotype" w:cs="Palatino Linotype"/>
          <w:b/>
          <w:bCs/>
          <w:color w:val="000000"/>
        </w:rPr>
        <w:t xml:space="preserve">SUJETO OBLIGADO </w:t>
      </w:r>
      <w:r w:rsidRPr="002B3E9A">
        <w:rPr>
          <w:rFonts w:ascii="Palatino Linotype" w:eastAsia="Palatino Linotype" w:hAnsi="Palatino Linotype" w:cs="Palatino Linotype"/>
        </w:rPr>
        <w:t>presentará</w:t>
      </w:r>
      <w:r w:rsidRPr="002B3E9A">
        <w:rPr>
          <w:rFonts w:ascii="Palatino Linotype" w:eastAsia="Palatino Linotype" w:hAnsi="Palatino Linotype" w:cs="Palatino Linotype"/>
          <w:color w:val="000000"/>
        </w:rPr>
        <w:t xml:space="preserve"> el Informe Justificado procedente.</w:t>
      </w:r>
    </w:p>
    <w:p w:rsidR="003539F6" w:rsidRPr="002B3E9A" w:rsidRDefault="003539F6">
      <w:pPr>
        <w:pBdr>
          <w:top w:val="nil"/>
          <w:left w:val="nil"/>
          <w:bottom w:val="nil"/>
          <w:right w:val="nil"/>
          <w:between w:val="nil"/>
        </w:pBdr>
        <w:ind w:left="708" w:right="-1417"/>
        <w:rPr>
          <w:rFonts w:ascii="Palatino Linotype" w:eastAsia="Palatino Linotype" w:hAnsi="Palatino Linotype" w:cs="Palatino Linotype"/>
          <w:color w:val="000000"/>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En esa línea, tal y como se observa en el expediente electrónico el </w:t>
      </w:r>
      <w:r w:rsidRPr="002B3E9A">
        <w:rPr>
          <w:rFonts w:ascii="Palatino Linotype" w:eastAsia="Palatino Linotype" w:hAnsi="Palatino Linotype" w:cs="Palatino Linotype"/>
          <w:b/>
          <w:bCs/>
          <w:color w:val="000000"/>
        </w:rPr>
        <w:t xml:space="preserve">SUJETO OBLIGADO </w:t>
      </w:r>
      <w:r w:rsidRPr="002B3E9A">
        <w:rPr>
          <w:rFonts w:ascii="Palatino Linotype" w:eastAsia="Palatino Linotype" w:hAnsi="Palatino Linotype" w:cs="Palatino Linotype"/>
          <w:color w:val="000000"/>
        </w:rPr>
        <w:t xml:space="preserve">el </w:t>
      </w:r>
      <w:r w:rsidRPr="002B3E9A">
        <w:rPr>
          <w:rFonts w:ascii="Palatino Linotype" w:eastAsia="Palatino Linotype" w:hAnsi="Palatino Linotype" w:cs="Palatino Linotype"/>
          <w:b/>
          <w:bCs/>
          <w:color w:val="000000"/>
        </w:rPr>
        <w:t xml:space="preserve">diecinueve de diciembre de dos mil veinticinco </w:t>
      </w:r>
      <w:r w:rsidRPr="002B3E9A">
        <w:rPr>
          <w:rFonts w:ascii="Palatino Linotype" w:eastAsia="Palatino Linotype" w:hAnsi="Palatino Linotype" w:cs="Palatino Linotype"/>
        </w:rPr>
        <w:t>agregó</w:t>
      </w:r>
      <w:r w:rsidRPr="002B3E9A">
        <w:rPr>
          <w:rFonts w:ascii="Palatino Linotype" w:eastAsia="Palatino Linotype" w:hAnsi="Palatino Linotype" w:cs="Palatino Linotype"/>
          <w:color w:val="000000"/>
        </w:rPr>
        <w:t xml:space="preserve"> un archivo electrónico en formato pdf, cuyo contenido grosso modo es el siguiente. </w:t>
      </w:r>
    </w:p>
    <w:p w:rsidR="003539F6" w:rsidRPr="002B3E9A" w:rsidRDefault="003539F6">
      <w:pPr>
        <w:pBdr>
          <w:top w:val="nil"/>
          <w:left w:val="nil"/>
          <w:bottom w:val="nil"/>
          <w:right w:val="nil"/>
          <w:between w:val="nil"/>
        </w:pBdr>
        <w:ind w:left="1134" w:right="-1417"/>
        <w:jc w:val="both"/>
        <w:rPr>
          <w:rFonts w:ascii="Palatino Linotype" w:eastAsia="Palatino Linotype" w:hAnsi="Palatino Linotype" w:cs="Palatino Linotype"/>
          <w:color w:val="000000"/>
        </w:rPr>
      </w:pPr>
    </w:p>
    <w:p w:rsidR="003539F6" w:rsidRPr="002B3E9A" w:rsidRDefault="00353053">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sidRPr="002B3E9A">
        <w:rPr>
          <w:rFonts w:ascii="Palatino Linotype" w:eastAsia="Palatino Linotype" w:hAnsi="Palatino Linotype" w:cs="Palatino Linotype"/>
          <w:b/>
          <w:bCs/>
          <w:i/>
          <w:iCs/>
          <w:color w:val="000000"/>
        </w:rPr>
        <w:t xml:space="preserve">SOL-00425-NEZA-IP-2025.pdf: </w:t>
      </w:r>
      <w:r w:rsidRPr="002B3E9A">
        <w:rPr>
          <w:rFonts w:ascii="Palatino Linotype" w:eastAsia="Palatino Linotype" w:hAnsi="Palatino Linotype" w:cs="Palatino Linotype"/>
          <w:i/>
          <w:iCs/>
          <w:color w:val="000000"/>
        </w:rPr>
        <w:t xml:space="preserve">Informe Justificado mediante el cual se ratifica respuesta inicial y se anexan actas circunstanciadas de que el </w:t>
      </w:r>
      <w:r w:rsidRPr="002B3E9A">
        <w:rPr>
          <w:rFonts w:ascii="Palatino Linotype" w:eastAsia="Palatino Linotype" w:hAnsi="Palatino Linotype" w:cs="Palatino Linotype"/>
          <w:b/>
          <w:bCs/>
          <w:i/>
          <w:iCs/>
          <w:color w:val="000000"/>
        </w:rPr>
        <w:t xml:space="preserve">RECURRENTE </w:t>
      </w:r>
      <w:r w:rsidRPr="002B3E9A">
        <w:rPr>
          <w:rFonts w:ascii="Palatino Linotype" w:eastAsia="Palatino Linotype" w:hAnsi="Palatino Linotype" w:cs="Palatino Linotype"/>
          <w:i/>
          <w:iCs/>
          <w:color w:val="000000"/>
        </w:rPr>
        <w:t xml:space="preserve">no asistió a consultar la información solicitada. </w:t>
      </w:r>
    </w:p>
    <w:p w:rsidR="003539F6" w:rsidRPr="002B3E9A" w:rsidRDefault="003539F6">
      <w:pPr>
        <w:pBdr>
          <w:top w:val="nil"/>
          <w:left w:val="nil"/>
          <w:bottom w:val="nil"/>
          <w:right w:val="nil"/>
          <w:between w:val="nil"/>
        </w:pBdr>
        <w:ind w:right="-1417"/>
        <w:jc w:val="both"/>
        <w:rPr>
          <w:rFonts w:ascii="Palatino Linotype" w:eastAsia="Palatino Linotype" w:hAnsi="Palatino Linotype" w:cs="Palatino Linotype"/>
          <w:i/>
          <w:iCs/>
          <w:color w:val="000000"/>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Por su parte el </w:t>
      </w:r>
      <w:r w:rsidRPr="002B3E9A">
        <w:rPr>
          <w:rFonts w:ascii="Palatino Linotype" w:eastAsia="Palatino Linotype" w:hAnsi="Palatino Linotype" w:cs="Palatino Linotype"/>
          <w:b/>
          <w:bCs/>
          <w:color w:val="000000"/>
        </w:rPr>
        <w:t xml:space="preserve">RECURRENTE </w:t>
      </w:r>
      <w:r w:rsidRPr="002B3E9A">
        <w:rPr>
          <w:rFonts w:ascii="Palatino Linotype" w:eastAsia="Palatino Linotype" w:hAnsi="Palatino Linotype" w:cs="Palatino Linotype"/>
          <w:color w:val="000000"/>
        </w:rPr>
        <w:t xml:space="preserve">dejo de realizar manifestaciones que a su derecho conviniera y asistiera. </w:t>
      </w:r>
    </w:p>
    <w:p w:rsidR="003539F6" w:rsidRPr="002B3E9A" w:rsidRDefault="00353053">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sidRPr="002B3E9A">
        <w:rPr>
          <w:rFonts w:ascii="Palatino Linotype" w:eastAsia="Palatino Linotype" w:hAnsi="Palatino Linotype" w:cs="Palatino Linotype"/>
          <w:b/>
          <w:bCs/>
          <w:i/>
          <w:iCs/>
          <w:color w:val="000000"/>
        </w:rPr>
        <w:lastRenderedPageBreak/>
        <w:tab/>
      </w: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bookmarkStart w:id="4" w:name="_heading=h.2et92p0" w:colFirst="0" w:colLast="0"/>
      <w:bookmarkEnd w:id="4"/>
      <w:r w:rsidRPr="002B3E9A">
        <w:rPr>
          <w:rFonts w:ascii="Palatino Linotype" w:eastAsia="Palatino Linotype" w:hAnsi="Palatino Linotype" w:cs="Palatino Linotype"/>
          <w:color w:val="000000"/>
        </w:rPr>
        <w:t xml:space="preserve">El </w:t>
      </w:r>
      <w:r w:rsidRPr="002B3E9A">
        <w:rPr>
          <w:rFonts w:ascii="Palatino Linotype" w:eastAsia="Palatino Linotype" w:hAnsi="Palatino Linotype" w:cs="Palatino Linotype"/>
          <w:b/>
          <w:bCs/>
          <w:color w:val="000000"/>
        </w:rPr>
        <w:t>catorce de mayo de dos mil veinticinco</w:t>
      </w:r>
      <w:r w:rsidRPr="002B3E9A">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del Estado de México y Municipios.</w:t>
      </w:r>
    </w:p>
    <w:p w:rsidR="003539F6" w:rsidRPr="002B3E9A" w:rsidRDefault="003539F6">
      <w:pPr>
        <w:pBdr>
          <w:top w:val="nil"/>
          <w:left w:val="nil"/>
          <w:bottom w:val="nil"/>
          <w:right w:val="nil"/>
          <w:between w:val="nil"/>
        </w:pBdr>
        <w:ind w:left="720" w:right="-1417"/>
        <w:rPr>
          <w:rFonts w:ascii="Palatino Linotype" w:eastAsia="Palatino Linotype" w:hAnsi="Palatino Linotype" w:cs="Palatino Linotype"/>
          <w:color w:val="000000"/>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Finalmente, la Comisionada Ponente mediante acuerdo de fecha</w:t>
      </w:r>
      <w:r w:rsidRPr="002B3E9A">
        <w:rPr>
          <w:rFonts w:ascii="Palatino Linotype" w:eastAsia="Palatino Linotype" w:hAnsi="Palatino Linotype" w:cs="Palatino Linotype"/>
          <w:b/>
          <w:bCs/>
          <w:color w:val="000000"/>
        </w:rPr>
        <w:t xml:space="preserve"> </w:t>
      </w:r>
      <w:r w:rsidRPr="002B3E9A">
        <w:rPr>
          <w:rFonts w:ascii="Palatino Linotype" w:eastAsia="Palatino Linotype" w:hAnsi="Palatino Linotype" w:cs="Palatino Linotype"/>
          <w:b/>
          <w:bCs/>
          <w:color w:val="000000"/>
          <w:highlight w:val="white"/>
        </w:rPr>
        <w:t>veinte de mayo de mayo de dos mil veinticinco</w:t>
      </w:r>
      <w:r w:rsidRPr="002B3E9A">
        <w:rPr>
          <w:rFonts w:ascii="Palatino Linotype" w:eastAsia="Palatino Linotype" w:hAnsi="Palatino Linotype" w:cs="Palatino Linotype"/>
          <w:color w:val="000000"/>
          <w:highlight w:val="white"/>
        </w:rPr>
        <w:t>, decretó el cierre de instrucción d</w:t>
      </w:r>
      <w:r w:rsidRPr="002B3E9A">
        <w:rPr>
          <w:rFonts w:ascii="Palatino Linotype" w:eastAsia="Palatino Linotype" w:hAnsi="Palatino Linotype" w:cs="Palatino Linotype"/>
          <w:color w:val="000000"/>
        </w:rPr>
        <w:t>e los expedientes, por lo que no habiendo más que hacer constar, y</w:t>
      </w:r>
    </w:p>
    <w:p w:rsidR="003539F6" w:rsidRPr="002B3E9A" w:rsidRDefault="003539F6">
      <w:pPr>
        <w:spacing w:line="360" w:lineRule="auto"/>
        <w:ind w:right="-1417"/>
        <w:rPr>
          <w:rFonts w:ascii="Palatino Linotype" w:eastAsia="Palatino Linotype" w:hAnsi="Palatino Linotype" w:cs="Palatino Linotype"/>
          <w:b/>
          <w:bCs/>
          <w:color w:val="000000"/>
        </w:rPr>
      </w:pPr>
    </w:p>
    <w:p w:rsidR="003539F6" w:rsidRPr="002B3E9A" w:rsidRDefault="00353053">
      <w:pPr>
        <w:pBdr>
          <w:top w:val="nil"/>
          <w:left w:val="nil"/>
          <w:bottom w:val="nil"/>
          <w:right w:val="nil"/>
          <w:between w:val="nil"/>
        </w:pBdr>
        <w:spacing w:line="360" w:lineRule="auto"/>
        <w:ind w:right="-1417"/>
        <w:jc w:val="center"/>
        <w:rPr>
          <w:rFonts w:ascii="Palatino Linotype" w:eastAsia="Palatino Linotype" w:hAnsi="Palatino Linotype" w:cs="Palatino Linotype"/>
          <w:b/>
          <w:bCs/>
          <w:color w:val="000000"/>
        </w:rPr>
      </w:pPr>
      <w:r w:rsidRPr="002B3E9A">
        <w:rPr>
          <w:rFonts w:ascii="Palatino Linotype" w:eastAsia="Palatino Linotype" w:hAnsi="Palatino Linotype" w:cs="Palatino Linotype"/>
          <w:b/>
          <w:bCs/>
          <w:color w:val="000000"/>
        </w:rPr>
        <w:t xml:space="preserve">C O N S I D E R A N D O </w:t>
      </w:r>
    </w:p>
    <w:p w:rsidR="003539F6" w:rsidRPr="002B3E9A" w:rsidRDefault="00353053">
      <w:pPr>
        <w:pStyle w:val="Ttulo2"/>
        <w:spacing w:before="0" w:line="360" w:lineRule="auto"/>
        <w:ind w:right="-1417"/>
        <w:rPr>
          <w:rFonts w:ascii="Palatino Linotype" w:eastAsia="Palatino Linotype" w:hAnsi="Palatino Linotype" w:cs="Palatino Linotype"/>
          <w:b/>
          <w:bCs/>
          <w:color w:val="000000"/>
          <w:sz w:val="24"/>
          <w:szCs w:val="24"/>
        </w:rPr>
      </w:pPr>
      <w:bookmarkStart w:id="5" w:name="_heading=h.tyjcwt" w:colFirst="0" w:colLast="0"/>
      <w:bookmarkEnd w:id="5"/>
      <w:r w:rsidRPr="002B3E9A">
        <w:rPr>
          <w:rFonts w:ascii="Palatino Linotype" w:eastAsia="Palatino Linotype" w:hAnsi="Palatino Linotype" w:cs="Palatino Linotype"/>
          <w:b/>
          <w:bCs/>
          <w:color w:val="000000"/>
          <w:sz w:val="24"/>
          <w:szCs w:val="24"/>
        </w:rPr>
        <w:t>PRIMERO. De la competencia</w:t>
      </w: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3539F6" w:rsidRPr="002B3E9A" w:rsidRDefault="003539F6">
      <w:pPr>
        <w:pBdr>
          <w:top w:val="nil"/>
          <w:left w:val="nil"/>
          <w:bottom w:val="nil"/>
          <w:right w:val="nil"/>
          <w:between w:val="nil"/>
        </w:pBdr>
        <w:tabs>
          <w:tab w:val="left" w:pos="426"/>
        </w:tabs>
        <w:spacing w:line="360" w:lineRule="auto"/>
        <w:ind w:right="-1417"/>
        <w:jc w:val="both"/>
        <w:rPr>
          <w:rFonts w:ascii="Palatino Linotype" w:eastAsia="Palatino Linotype" w:hAnsi="Palatino Linotype" w:cs="Palatino Linotype"/>
          <w:b/>
          <w:bCs/>
          <w:color w:val="000000"/>
        </w:rPr>
      </w:pPr>
      <w:bookmarkStart w:id="6" w:name="_heading=h.3dy6vkm" w:colFirst="0" w:colLast="0"/>
      <w:bookmarkEnd w:id="6"/>
    </w:p>
    <w:p w:rsidR="003539F6" w:rsidRPr="002B3E9A" w:rsidRDefault="00353053">
      <w:pPr>
        <w:pBdr>
          <w:top w:val="nil"/>
          <w:left w:val="nil"/>
          <w:bottom w:val="nil"/>
          <w:right w:val="nil"/>
          <w:between w:val="nil"/>
        </w:pBdr>
        <w:tabs>
          <w:tab w:val="left" w:pos="426"/>
        </w:tabs>
        <w:spacing w:line="360" w:lineRule="auto"/>
        <w:ind w:right="-1417"/>
        <w:jc w:val="both"/>
        <w:rPr>
          <w:rFonts w:ascii="Palatino Linotype" w:eastAsia="Palatino Linotype" w:hAnsi="Palatino Linotype" w:cs="Palatino Linotype"/>
          <w:b/>
          <w:bCs/>
          <w:color w:val="000000"/>
        </w:rPr>
      </w:pPr>
      <w:bookmarkStart w:id="7" w:name="_heading=h.1t3h5sf" w:colFirst="0" w:colLast="0"/>
      <w:bookmarkEnd w:id="7"/>
      <w:r w:rsidRPr="002B3E9A">
        <w:rPr>
          <w:rFonts w:ascii="Palatino Linotype" w:eastAsia="Palatino Linotype" w:hAnsi="Palatino Linotype" w:cs="Palatino Linotype"/>
          <w:b/>
          <w:bCs/>
          <w:color w:val="000000"/>
        </w:rPr>
        <w:t>SEGUNDO. De la oportunidad y procedencia.</w:t>
      </w: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bookmarkStart w:id="8" w:name="_heading=h.4d34og8" w:colFirst="0" w:colLast="0"/>
      <w:bookmarkEnd w:id="8"/>
      <w:r w:rsidRPr="002B3E9A">
        <w:rPr>
          <w:rFonts w:ascii="Palatino Linotype" w:eastAsia="Palatino Linotype" w:hAnsi="Palatino Linotype" w:cs="Palatino Linotype"/>
          <w:color w:val="000000"/>
        </w:rPr>
        <w:t xml:space="preserve">Los medios de impugnación fueron presentados a través del </w:t>
      </w:r>
      <w:r w:rsidRPr="002B3E9A">
        <w:rPr>
          <w:rFonts w:ascii="Palatino Linotype" w:eastAsia="Palatino Linotype" w:hAnsi="Palatino Linotype" w:cs="Palatino Linotype"/>
          <w:b/>
          <w:bCs/>
          <w:color w:val="000000"/>
        </w:rPr>
        <w:t>SAIMEX,</w:t>
      </w:r>
      <w:r w:rsidRPr="002B3E9A">
        <w:rPr>
          <w:rFonts w:ascii="Palatino Linotype" w:eastAsia="Palatino Linotype" w:hAnsi="Palatino Linotype" w:cs="Palatino Linotype"/>
          <w:color w:val="000000"/>
        </w:rPr>
        <w:t xml:space="preserve"> en el formato previamente aprobado para tal efecto y dentro del plazo legal de quince días hábiles </w:t>
      </w:r>
      <w:r w:rsidRPr="002B3E9A">
        <w:rPr>
          <w:rFonts w:ascii="Palatino Linotype" w:eastAsia="Palatino Linotype" w:hAnsi="Palatino Linotype" w:cs="Palatino Linotype"/>
          <w:color w:val="000000"/>
        </w:rPr>
        <w:lastRenderedPageBreak/>
        <w:t xml:space="preserve">otorgados; para el caso en particular es de señalar que el </w:t>
      </w:r>
      <w:r w:rsidRPr="002B3E9A">
        <w:rPr>
          <w:rFonts w:ascii="Palatino Linotype" w:eastAsia="Palatino Linotype" w:hAnsi="Palatino Linotype" w:cs="Palatino Linotype"/>
          <w:b/>
          <w:bCs/>
          <w:color w:val="000000"/>
        </w:rPr>
        <w:t>SUJETO OBLIGADO</w:t>
      </w:r>
      <w:r w:rsidRPr="002B3E9A">
        <w:rPr>
          <w:rFonts w:ascii="Palatino Linotype" w:eastAsia="Palatino Linotype" w:hAnsi="Palatino Linotype" w:cs="Palatino Linotype"/>
          <w:color w:val="000000"/>
        </w:rPr>
        <w:t xml:space="preserve"> entregó su respuesta el </w:t>
      </w:r>
      <w:r w:rsidRPr="002B3E9A">
        <w:rPr>
          <w:rFonts w:ascii="Palatino Linotype" w:eastAsia="Palatino Linotype" w:hAnsi="Palatino Linotype" w:cs="Palatino Linotype"/>
          <w:b/>
          <w:bCs/>
          <w:color w:val="000000"/>
        </w:rPr>
        <w:t>veintisiete de noviembre de dos mil veinticinco</w:t>
      </w:r>
      <w:r w:rsidRPr="002B3E9A">
        <w:rPr>
          <w:rFonts w:ascii="Palatino Linotype" w:eastAsia="Palatino Linotype" w:hAnsi="Palatino Linotype" w:cs="Palatino Linotype"/>
          <w:color w:val="000000"/>
        </w:rPr>
        <w:t xml:space="preserve">, de tal forma que el plazo para interponer el recurso de revisión transcurrió del día </w:t>
      </w:r>
      <w:r w:rsidRPr="002B3E9A">
        <w:rPr>
          <w:rFonts w:ascii="Palatino Linotype" w:eastAsia="Palatino Linotype" w:hAnsi="Palatino Linotype" w:cs="Palatino Linotype"/>
          <w:b/>
          <w:bCs/>
          <w:color w:val="000000"/>
        </w:rPr>
        <w:t>veintiocho de noviembre al dieciocho de diciembre de dos mil veinticinco</w:t>
      </w:r>
      <w:r w:rsidRPr="002B3E9A">
        <w:rPr>
          <w:rFonts w:ascii="Palatino Linotype" w:eastAsia="Palatino Linotype" w:hAnsi="Palatino Linotype" w:cs="Palatino Linotype"/>
          <w:color w:val="000000"/>
        </w:rPr>
        <w:t xml:space="preserve">; en consecuencia, el ahora </w:t>
      </w:r>
      <w:r w:rsidRPr="002B3E9A">
        <w:rPr>
          <w:rFonts w:ascii="Palatino Linotype" w:eastAsia="Palatino Linotype" w:hAnsi="Palatino Linotype" w:cs="Palatino Linotype"/>
          <w:b/>
          <w:bCs/>
          <w:color w:val="000000"/>
        </w:rPr>
        <w:t>RECURRENTE</w:t>
      </w:r>
      <w:r w:rsidRPr="002B3E9A">
        <w:rPr>
          <w:rFonts w:ascii="Palatino Linotype" w:eastAsia="Palatino Linotype" w:hAnsi="Palatino Linotype" w:cs="Palatino Linotype"/>
          <w:color w:val="000000"/>
        </w:rPr>
        <w:t xml:space="preserve"> presentó su inconformidad el día </w:t>
      </w:r>
      <w:r w:rsidRPr="002B3E9A">
        <w:rPr>
          <w:rFonts w:ascii="Palatino Linotype" w:eastAsia="Palatino Linotype" w:hAnsi="Palatino Linotype" w:cs="Palatino Linotype"/>
          <w:b/>
          <w:bCs/>
          <w:color w:val="000000"/>
        </w:rPr>
        <w:t>once de diciembre de dos mil veinticinco</w:t>
      </w:r>
      <w:r w:rsidRPr="002B3E9A">
        <w:rPr>
          <w:rFonts w:ascii="Palatino Linotype" w:eastAsia="Palatino Linotype" w:hAnsi="Palatino Linotype" w:cs="Palatino Linotype"/>
          <w:color w:val="000000"/>
        </w:rPr>
        <w:t>; es decir dentro del lapso legalmente establecido para tal efecto.</w:t>
      </w:r>
    </w:p>
    <w:p w:rsidR="003539F6" w:rsidRPr="002B3E9A" w:rsidRDefault="003539F6">
      <w:pPr>
        <w:pBdr>
          <w:top w:val="nil"/>
          <w:left w:val="nil"/>
          <w:bottom w:val="nil"/>
          <w:right w:val="nil"/>
          <w:between w:val="nil"/>
        </w:pBdr>
        <w:ind w:left="720" w:right="-1417"/>
        <w:rPr>
          <w:rFonts w:ascii="Palatino Linotype" w:eastAsia="Palatino Linotype" w:hAnsi="Palatino Linotype" w:cs="Palatino Linotype"/>
          <w:color w:val="000000"/>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3539F6" w:rsidRPr="002B3E9A" w:rsidRDefault="003539F6">
      <w:pPr>
        <w:pBdr>
          <w:top w:val="nil"/>
          <w:left w:val="nil"/>
          <w:bottom w:val="nil"/>
          <w:right w:val="nil"/>
          <w:between w:val="nil"/>
        </w:pBdr>
        <w:spacing w:line="360" w:lineRule="auto"/>
        <w:ind w:right="-1417"/>
        <w:jc w:val="both"/>
        <w:rPr>
          <w:rFonts w:ascii="Palatino Linotype" w:eastAsia="Palatino Linotype" w:hAnsi="Palatino Linotype" w:cs="Palatino Linotype"/>
          <w:color w:val="000000"/>
        </w:rPr>
      </w:pPr>
    </w:p>
    <w:p w:rsidR="003539F6" w:rsidRPr="002B3E9A" w:rsidRDefault="00353053">
      <w:pPr>
        <w:pStyle w:val="Ttulo1"/>
        <w:spacing w:before="0" w:line="360" w:lineRule="auto"/>
        <w:ind w:right="-1417"/>
        <w:rPr>
          <w:rFonts w:ascii="Palatino Linotype" w:eastAsia="Palatino Linotype" w:hAnsi="Palatino Linotype" w:cs="Palatino Linotype"/>
          <w:b/>
          <w:bCs/>
          <w:color w:val="000000"/>
          <w:sz w:val="24"/>
          <w:szCs w:val="24"/>
        </w:rPr>
      </w:pPr>
      <w:bookmarkStart w:id="9" w:name="_heading=h.2s8eyo1" w:colFirst="0" w:colLast="0"/>
      <w:bookmarkEnd w:id="9"/>
      <w:r w:rsidRPr="002B3E9A">
        <w:rPr>
          <w:rFonts w:ascii="Palatino Linotype" w:eastAsia="Palatino Linotype" w:hAnsi="Palatino Linotype" w:cs="Palatino Linotype"/>
          <w:b/>
          <w:bCs/>
          <w:color w:val="000000"/>
          <w:sz w:val="24"/>
          <w:szCs w:val="24"/>
        </w:rPr>
        <w:t xml:space="preserve">TERCERO. Del planteamiento de la </w:t>
      </w:r>
      <w:r w:rsidRPr="002B3E9A">
        <w:rPr>
          <w:rFonts w:ascii="Palatino Linotype" w:eastAsia="Palatino Linotype" w:hAnsi="Palatino Linotype" w:cs="Palatino Linotype"/>
          <w:b/>
          <w:bCs/>
          <w:i/>
          <w:iCs/>
          <w:color w:val="000000"/>
          <w:sz w:val="24"/>
          <w:szCs w:val="24"/>
        </w:rPr>
        <w:t>Litis</w:t>
      </w:r>
      <w:r w:rsidRPr="002B3E9A">
        <w:rPr>
          <w:rFonts w:ascii="Palatino Linotype" w:eastAsia="Palatino Linotype" w:hAnsi="Palatino Linotype" w:cs="Palatino Linotype"/>
          <w:b/>
          <w:bCs/>
          <w:color w:val="000000"/>
          <w:sz w:val="24"/>
          <w:szCs w:val="24"/>
        </w:rPr>
        <w:t>.</w:t>
      </w: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b/>
          <w:bCs/>
          <w:color w:val="000000"/>
        </w:rPr>
      </w:pPr>
      <w:r w:rsidRPr="002B3E9A">
        <w:rPr>
          <w:rFonts w:ascii="Palatino Linotype" w:eastAsia="Palatino Linotype" w:hAnsi="Palatino Linotype" w:cs="Palatino Linotype"/>
          <w:color w:val="000000"/>
        </w:rPr>
        <w:t>De las constancias en el expediente al rubro indicado, se desprende que el particular solicitó la información que a continuación se desagrega:</w:t>
      </w:r>
    </w:p>
    <w:p w:rsidR="003539F6" w:rsidRPr="002B3E9A" w:rsidRDefault="003539F6">
      <w:pPr>
        <w:pBdr>
          <w:top w:val="nil"/>
          <w:left w:val="nil"/>
          <w:bottom w:val="nil"/>
          <w:right w:val="nil"/>
          <w:between w:val="nil"/>
        </w:pBdr>
        <w:spacing w:line="360" w:lineRule="auto"/>
        <w:ind w:right="-1417"/>
        <w:jc w:val="both"/>
        <w:rPr>
          <w:rFonts w:ascii="Palatino Linotype" w:eastAsia="Palatino Linotype" w:hAnsi="Palatino Linotype" w:cs="Palatino Linotype"/>
          <w:b/>
          <w:bCs/>
          <w:color w:val="000000"/>
        </w:rPr>
      </w:pPr>
    </w:p>
    <w:p w:rsidR="003539F6" w:rsidRPr="002B3E9A" w:rsidRDefault="00353053">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r w:rsidRPr="002B3E9A">
        <w:rPr>
          <w:rFonts w:ascii="Palatino Linotype" w:eastAsia="Palatino Linotype" w:hAnsi="Palatino Linotype" w:cs="Palatino Linotype"/>
          <w:b/>
          <w:bCs/>
          <w:i/>
          <w:iCs/>
          <w:color w:val="000000"/>
        </w:rPr>
        <w:t xml:space="preserve">1.- Copia simple digitalizada a través del sistema electrónico saimex de las facturas pagadas y en proceso de pago con fecha del 1 de enero al 31 de octubre de 2025 correspondientes a la partida presupuestal 3611. </w:t>
      </w:r>
    </w:p>
    <w:p w:rsidR="003539F6" w:rsidRPr="002B3E9A" w:rsidRDefault="003539F6">
      <w:pPr>
        <w:pBdr>
          <w:top w:val="nil"/>
          <w:left w:val="nil"/>
          <w:bottom w:val="nil"/>
          <w:right w:val="nil"/>
          <w:between w:val="nil"/>
        </w:pBdr>
        <w:ind w:left="1134" w:right="-1417"/>
        <w:jc w:val="both"/>
        <w:rPr>
          <w:rFonts w:ascii="Palatino Linotype" w:eastAsia="Palatino Linotype" w:hAnsi="Palatino Linotype" w:cs="Palatino Linotype"/>
          <w:b/>
          <w:bCs/>
          <w:i/>
          <w:iCs/>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En respuesta, el </w:t>
      </w:r>
      <w:r w:rsidRPr="002B3E9A">
        <w:rPr>
          <w:rFonts w:ascii="Palatino Linotype" w:eastAsia="Palatino Linotype" w:hAnsi="Palatino Linotype" w:cs="Palatino Linotype"/>
          <w:b/>
          <w:bCs/>
          <w:color w:val="000000"/>
        </w:rPr>
        <w:t xml:space="preserve">SUJETO OBLIGADO </w:t>
      </w:r>
      <w:r w:rsidRPr="002B3E9A">
        <w:rPr>
          <w:rFonts w:ascii="Palatino Linotype" w:eastAsia="Palatino Linotype" w:hAnsi="Palatino Linotype" w:cs="Palatino Linotype"/>
          <w:color w:val="000000"/>
        </w:rPr>
        <w:t>por medio de  la Tesorería Municipal</w:t>
      </w:r>
      <w:r w:rsidRPr="002B3E9A">
        <w:rPr>
          <w:rFonts w:ascii="Palatino Linotype" w:eastAsia="Palatino Linotype" w:hAnsi="Palatino Linotype" w:cs="Palatino Linotype"/>
          <w:b/>
          <w:bCs/>
          <w:i/>
          <w:iCs/>
          <w:color w:val="000000"/>
        </w:rPr>
        <w:t xml:space="preserve">, </w:t>
      </w:r>
      <w:r w:rsidRPr="002B3E9A">
        <w:rPr>
          <w:rFonts w:ascii="Palatino Linotype" w:eastAsia="Palatino Linotype" w:hAnsi="Palatino Linotype" w:cs="Palatino Linotype"/>
          <w:color w:val="000000"/>
        </w:rPr>
        <w:t xml:space="preserve">informo que la información sobrepasaba las capacidades técnicas del sistema, toda vez que la información se integra por 30, 894 fojas, por lo que, puso a disposición la información por medio de consulta directa. </w:t>
      </w:r>
    </w:p>
    <w:p w:rsidR="003539F6" w:rsidRPr="002B3E9A" w:rsidRDefault="003539F6">
      <w:pPr>
        <w:pBdr>
          <w:top w:val="nil"/>
          <w:left w:val="nil"/>
          <w:bottom w:val="nil"/>
          <w:right w:val="nil"/>
          <w:between w:val="nil"/>
        </w:pBdr>
        <w:spacing w:line="360" w:lineRule="auto"/>
        <w:ind w:right="-1417"/>
        <w:jc w:val="both"/>
        <w:rPr>
          <w:rFonts w:ascii="Palatino Linotype" w:eastAsia="Palatino Linotype" w:hAnsi="Palatino Linotype" w:cs="Palatino Linotype"/>
          <w:i/>
          <w:iCs/>
          <w:color w:val="000000"/>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lastRenderedPageBreak/>
        <w:t xml:space="preserve">En dichas condiciones, la </w:t>
      </w:r>
      <w:r w:rsidRPr="002B3E9A">
        <w:rPr>
          <w:rFonts w:ascii="Palatino Linotype" w:eastAsia="Palatino Linotype" w:hAnsi="Palatino Linotype" w:cs="Palatino Linotype"/>
          <w:i/>
          <w:iCs/>
          <w:color w:val="000000"/>
        </w:rPr>
        <w:t>Litis</w:t>
      </w:r>
      <w:r w:rsidRPr="002B3E9A">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sidRPr="002B3E9A">
        <w:rPr>
          <w:rFonts w:ascii="Palatino Linotype" w:eastAsia="Palatino Linotype" w:hAnsi="Palatino Linotype" w:cs="Palatino Linotype"/>
          <w:b/>
          <w:bCs/>
          <w:color w:val="000000"/>
        </w:rPr>
        <w:t xml:space="preserve">fracción VIII </w:t>
      </w:r>
      <w:r w:rsidRPr="002B3E9A">
        <w:rPr>
          <w:rFonts w:ascii="Palatino Linotype" w:eastAsia="Palatino Linotype" w:hAnsi="Palatino Linotype" w:cs="Palatino Linotype"/>
          <w:color w:val="000000"/>
        </w:rPr>
        <w:t>de la Ley</w:t>
      </w:r>
      <w:r w:rsidRPr="002B3E9A">
        <w:rPr>
          <w:rFonts w:ascii="Palatino Linotype" w:eastAsia="Palatino Linotype" w:hAnsi="Palatino Linotype" w:cs="Palatino Linotype"/>
          <w:b/>
          <w:bCs/>
          <w:color w:val="000000"/>
        </w:rPr>
        <w:t xml:space="preserve"> de Transparencia y Acceso a la Información Pública del Estado de </w:t>
      </w:r>
      <w:r w:rsidRPr="002B3E9A">
        <w:rPr>
          <w:rFonts w:ascii="Palatino Linotype" w:eastAsia="Palatino Linotype" w:hAnsi="Palatino Linotype" w:cs="Palatino Linotype"/>
          <w:color w:val="000000"/>
        </w:rPr>
        <w:t>México</w:t>
      </w:r>
      <w:r w:rsidRPr="002B3E9A">
        <w:rPr>
          <w:rFonts w:ascii="Palatino Linotype" w:eastAsia="Palatino Linotype" w:hAnsi="Palatino Linotype" w:cs="Palatino Linotype"/>
          <w:b/>
          <w:bCs/>
          <w:color w:val="000000"/>
        </w:rPr>
        <w:t xml:space="preserve"> y Municipios</w:t>
      </w:r>
      <w:r w:rsidRPr="002B3E9A">
        <w:rPr>
          <w:rFonts w:ascii="Palatino Linotype" w:eastAsia="Palatino Linotype" w:hAnsi="Palatino Linotype" w:cs="Palatino Linotype"/>
          <w:color w:val="000000"/>
        </w:rPr>
        <w:t xml:space="preserve">; fracción que determina la hipótesis jurídica relativa a la notificación, entrega o puesta a disposición de información en una modalidad o formato distinto al solicitado; contexto del cual se dolió </w:t>
      </w:r>
      <w:r w:rsidRPr="002B3E9A">
        <w:rPr>
          <w:rFonts w:ascii="Palatino Linotype" w:eastAsia="Palatino Linotype" w:hAnsi="Palatino Linotype" w:cs="Palatino Linotype"/>
          <w:b/>
          <w:bCs/>
          <w:color w:val="000000"/>
        </w:rPr>
        <w:t xml:space="preserve">EL RECURRENTE </w:t>
      </w:r>
      <w:r w:rsidRPr="002B3E9A">
        <w:rPr>
          <w:rFonts w:ascii="Palatino Linotype" w:eastAsia="Palatino Linotype" w:hAnsi="Palatino Linotype" w:cs="Palatino Linotype"/>
          <w:color w:val="000000"/>
        </w:rPr>
        <w:t>al momento de interponer su inconformidad.</w:t>
      </w:r>
    </w:p>
    <w:p w:rsidR="003539F6" w:rsidRPr="002B3E9A" w:rsidRDefault="003539F6">
      <w:pPr>
        <w:pBdr>
          <w:top w:val="nil"/>
          <w:left w:val="nil"/>
          <w:bottom w:val="nil"/>
          <w:right w:val="nil"/>
          <w:between w:val="nil"/>
        </w:pBdr>
        <w:spacing w:line="360" w:lineRule="auto"/>
        <w:ind w:right="-1417"/>
        <w:jc w:val="both"/>
        <w:rPr>
          <w:rFonts w:ascii="Palatino Linotype" w:eastAsia="Palatino Linotype" w:hAnsi="Palatino Linotype" w:cs="Palatino Linotype"/>
          <w:color w:val="000000"/>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De modo tal que el presente recurso de revisión se </w:t>
      </w:r>
      <w:r w:rsidRPr="002B3E9A">
        <w:rPr>
          <w:rFonts w:ascii="Palatino Linotype" w:eastAsia="Palatino Linotype" w:hAnsi="Palatino Linotype" w:cs="Palatino Linotype"/>
        </w:rPr>
        <w:t>abocara</w:t>
      </w:r>
      <w:r w:rsidRPr="002B3E9A">
        <w:rPr>
          <w:rFonts w:ascii="Palatino Linotype" w:eastAsia="Palatino Linotype" w:hAnsi="Palatino Linotype" w:cs="Palatino Linotype"/>
          <w:color w:val="000000"/>
        </w:rPr>
        <w:t xml:space="preserve"> en determinar si el </w:t>
      </w:r>
      <w:r w:rsidRPr="002B3E9A">
        <w:rPr>
          <w:rFonts w:ascii="Palatino Linotype" w:eastAsia="Palatino Linotype" w:hAnsi="Palatino Linotype" w:cs="Palatino Linotype"/>
          <w:b/>
          <w:bCs/>
          <w:color w:val="000000"/>
        </w:rPr>
        <w:t>SUJETO OBLIGADO</w:t>
      </w:r>
      <w:r w:rsidRPr="002B3E9A">
        <w:rPr>
          <w:rFonts w:ascii="Palatino Linotype" w:eastAsia="Palatino Linotype" w:hAnsi="Palatino Linotype" w:cs="Palatino Linotype"/>
          <w:color w:val="000000"/>
        </w:rPr>
        <w:t xml:space="preserve"> con su respuesta ciertamente actualiza la causal de procedencia</w:t>
      </w:r>
      <w:r w:rsidRPr="002B3E9A">
        <w:rPr>
          <w:rFonts w:ascii="Palatino Linotype" w:eastAsia="Palatino Linotype" w:hAnsi="Palatino Linotype" w:cs="Palatino Linotype"/>
          <w:b/>
          <w:bCs/>
          <w:color w:val="000000"/>
        </w:rPr>
        <w:t xml:space="preserve"> </w:t>
      </w:r>
      <w:r w:rsidRPr="002B3E9A">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3539F6" w:rsidRPr="002B3E9A" w:rsidRDefault="003539F6">
      <w:pPr>
        <w:pBdr>
          <w:top w:val="nil"/>
          <w:left w:val="nil"/>
          <w:bottom w:val="nil"/>
          <w:right w:val="nil"/>
          <w:between w:val="nil"/>
        </w:pBdr>
        <w:spacing w:line="360" w:lineRule="auto"/>
        <w:ind w:left="709" w:right="-1417"/>
        <w:rPr>
          <w:rFonts w:ascii="Palatino Linotype" w:eastAsia="Palatino Linotype" w:hAnsi="Palatino Linotype" w:cs="Palatino Linotype"/>
          <w:color w:val="000000"/>
        </w:rPr>
      </w:pPr>
    </w:p>
    <w:p w:rsidR="003539F6" w:rsidRPr="002B3E9A" w:rsidRDefault="00353053">
      <w:pPr>
        <w:keepNext/>
        <w:keepLines/>
        <w:spacing w:line="360" w:lineRule="auto"/>
        <w:ind w:right="-1417"/>
        <w:rPr>
          <w:rFonts w:ascii="Palatino Linotype" w:eastAsia="Palatino Linotype" w:hAnsi="Palatino Linotype" w:cs="Palatino Linotype"/>
          <w:b/>
          <w:bCs/>
          <w:color w:val="000000"/>
        </w:rPr>
      </w:pPr>
      <w:r w:rsidRPr="002B3E9A">
        <w:rPr>
          <w:rFonts w:ascii="Palatino Linotype" w:eastAsia="Palatino Linotype" w:hAnsi="Palatino Linotype" w:cs="Palatino Linotype"/>
          <w:b/>
          <w:bCs/>
          <w:color w:val="000000"/>
        </w:rPr>
        <w:t>CUARTO. Del estudio y resolución del estudio.</w:t>
      </w:r>
    </w:p>
    <w:p w:rsidR="003539F6" w:rsidRPr="002B3E9A" w:rsidRDefault="00353053">
      <w:pPr>
        <w:keepNext/>
        <w:keepLines/>
        <w:numPr>
          <w:ilvl w:val="0"/>
          <w:numId w:val="4"/>
        </w:numPr>
        <w:spacing w:after="240" w:line="360" w:lineRule="auto"/>
        <w:ind w:left="786" w:right="-1417"/>
        <w:rPr>
          <w:rFonts w:ascii="Palatino Linotype" w:eastAsia="Palatino Linotype" w:hAnsi="Palatino Linotype" w:cs="Palatino Linotype"/>
          <w:b/>
          <w:bCs/>
          <w:color w:val="000000"/>
        </w:rPr>
      </w:pPr>
      <w:bookmarkStart w:id="10" w:name="_heading=h.17dp8vu" w:colFirst="0" w:colLast="0"/>
      <w:bookmarkEnd w:id="10"/>
      <w:r w:rsidRPr="002B3E9A">
        <w:rPr>
          <w:rFonts w:ascii="Palatino Linotype" w:eastAsia="Palatino Linotype" w:hAnsi="Palatino Linotype" w:cs="Palatino Linotype"/>
          <w:b/>
          <w:bCs/>
          <w:color w:val="000000"/>
        </w:rPr>
        <w:t>Del derecho de acceso a la información.</w:t>
      </w: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3539F6" w:rsidRPr="002B3E9A" w:rsidRDefault="00353053">
      <w:pPr>
        <w:numPr>
          <w:ilvl w:val="0"/>
          <w:numId w:val="3"/>
        </w:numPr>
        <w:spacing w:before="240" w:line="360" w:lineRule="auto"/>
        <w:ind w:left="0" w:right="-1417" w:firstLine="0"/>
        <w:jc w:val="both"/>
        <w:rPr>
          <w:rFonts w:ascii="Palatino Linotype" w:eastAsia="Palatino Linotype" w:hAnsi="Palatino Linotype" w:cs="Palatino Linotype"/>
        </w:rPr>
      </w:pPr>
      <w:r w:rsidRPr="002B3E9A">
        <w:rPr>
          <w:rFonts w:ascii="Palatino Linotype" w:eastAsia="Palatino Linotype" w:hAnsi="Palatino Linotype" w:cs="Palatino Linotype"/>
        </w:rPr>
        <w:lastRenderedPageBreak/>
        <w:t xml:space="preserve">Definiendo el Derecho de Acceso a la Información Pública como: </w:t>
      </w:r>
      <w:r w:rsidRPr="002B3E9A">
        <w:rPr>
          <w:rFonts w:ascii="Palatino Linotype" w:eastAsia="Palatino Linotype" w:hAnsi="Palatino Linotype" w:cs="Palatino Linotype"/>
          <w:i/>
          <w:iCs/>
          <w:color w:val="000000"/>
        </w:rPr>
        <w:t>La igualdad de oportunidades para recibir, buscar e impartir información</w:t>
      </w:r>
      <w:r w:rsidRPr="002B3E9A">
        <w:rPr>
          <w:rFonts w:ascii="Palatino Linotype" w:eastAsia="Palatino Linotype" w:hAnsi="Palatino Linotype" w:cs="Palatino Linotype"/>
          <w:i/>
          <w:iCs/>
          <w:vertAlign w:val="superscript"/>
        </w:rPr>
        <w:footnoteReference w:id="1"/>
      </w:r>
      <w:r w:rsidRPr="002B3E9A">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2B3E9A">
        <w:rPr>
          <w:rFonts w:ascii="Palatino Linotype" w:eastAsia="Palatino Linotype" w:hAnsi="Palatino Linotype" w:cs="Palatino Linotype"/>
          <w:i/>
          <w:iCs/>
          <w:vertAlign w:val="superscript"/>
        </w:rPr>
        <w:footnoteReference w:id="2"/>
      </w:r>
      <w:r w:rsidRPr="002B3E9A">
        <w:rPr>
          <w:rFonts w:ascii="Palatino Linotype" w:eastAsia="Palatino Linotype" w:hAnsi="Palatino Linotype" w:cs="Palatino Linotype"/>
          <w:color w:val="000000"/>
        </w:rPr>
        <w:t>que se constituye como una herramienta fundamental para ejercer</w:t>
      </w:r>
      <w:r w:rsidRPr="002B3E9A">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2B3E9A">
        <w:rPr>
          <w:rFonts w:ascii="Palatino Linotype" w:eastAsia="Palatino Linotype" w:hAnsi="Palatino Linotype" w:cs="Palatino Linotype"/>
          <w:i/>
          <w:iCs/>
          <w:vertAlign w:val="superscript"/>
        </w:rPr>
        <w:footnoteReference w:id="3"/>
      </w:r>
      <w:r w:rsidRPr="002B3E9A">
        <w:rPr>
          <w:rFonts w:ascii="Palatino Linotype" w:eastAsia="Palatino Linotype" w:hAnsi="Palatino Linotype" w:cs="Palatino Linotype"/>
          <w:color w:val="000000"/>
        </w:rPr>
        <w:t>fomentando</w:t>
      </w:r>
      <w:r w:rsidRPr="002B3E9A">
        <w:rPr>
          <w:rFonts w:ascii="Palatino Linotype" w:eastAsia="Palatino Linotype" w:hAnsi="Palatino Linotype" w:cs="Palatino Linotype"/>
          <w:i/>
          <w:iCs/>
          <w:color w:val="000000"/>
        </w:rPr>
        <w:t xml:space="preserve"> la transparencia de las actividades estatales y </w:t>
      </w:r>
      <w:r w:rsidRPr="002B3E9A">
        <w:rPr>
          <w:rFonts w:ascii="Palatino Linotype" w:eastAsia="Palatino Linotype" w:hAnsi="Palatino Linotype" w:cs="Palatino Linotype"/>
          <w:color w:val="000000"/>
        </w:rPr>
        <w:t>promoviendo</w:t>
      </w:r>
      <w:r w:rsidRPr="002B3E9A">
        <w:rPr>
          <w:rFonts w:ascii="Palatino Linotype" w:eastAsia="Palatino Linotype" w:hAnsi="Palatino Linotype" w:cs="Palatino Linotype"/>
          <w:i/>
          <w:iCs/>
          <w:color w:val="000000"/>
        </w:rPr>
        <w:t xml:space="preserve"> la responsabilidad de los funcionarios sobre su gestión pública,</w:t>
      </w:r>
      <w:r w:rsidRPr="002B3E9A">
        <w:rPr>
          <w:rFonts w:ascii="Palatino Linotype" w:eastAsia="Palatino Linotype" w:hAnsi="Palatino Linotype" w:cs="Palatino Linotype"/>
          <w:i/>
          <w:iCs/>
          <w:vertAlign w:val="superscript"/>
        </w:rPr>
        <w:footnoteReference w:id="4"/>
      </w:r>
      <w:r w:rsidRPr="002B3E9A">
        <w:rPr>
          <w:rFonts w:ascii="Palatino Linotype" w:eastAsia="Palatino Linotype" w:hAnsi="Palatino Linotype" w:cs="Palatino Linotype"/>
          <w:color w:val="000000"/>
        </w:rPr>
        <w:t>que permite</w:t>
      </w:r>
      <w:r w:rsidRPr="002B3E9A">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3539F6" w:rsidRPr="002B3E9A" w:rsidRDefault="003539F6">
      <w:pPr>
        <w:spacing w:line="360" w:lineRule="auto"/>
        <w:ind w:right="-1417"/>
        <w:jc w:val="both"/>
        <w:rPr>
          <w:rFonts w:ascii="Palatino Linotype" w:eastAsia="Palatino Linotype" w:hAnsi="Palatino Linotype" w:cs="Palatino Linotype"/>
        </w:rPr>
      </w:pPr>
    </w:p>
    <w:p w:rsidR="003539F6" w:rsidRPr="002B3E9A" w:rsidRDefault="00353053">
      <w:pPr>
        <w:numPr>
          <w:ilvl w:val="0"/>
          <w:numId w:val="3"/>
        </w:numPr>
        <w:spacing w:line="360" w:lineRule="auto"/>
        <w:ind w:left="0" w:right="-1417" w:firstLine="0"/>
        <w:jc w:val="both"/>
        <w:rPr>
          <w:rFonts w:ascii="Palatino Linotype" w:eastAsia="Palatino Linotype" w:hAnsi="Palatino Linotype" w:cs="Palatino Linotype"/>
        </w:rPr>
      </w:pPr>
      <w:r w:rsidRPr="002B3E9A">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w:t>
      </w:r>
      <w:r w:rsidRPr="002B3E9A">
        <w:rPr>
          <w:rFonts w:ascii="Palatino Linotype" w:eastAsia="Palatino Linotype" w:hAnsi="Palatino Linotype" w:cs="Palatino Linotype"/>
          <w:b/>
          <w:bCs/>
          <w:i/>
          <w:iCs/>
        </w:rPr>
        <w:t>Artículo 1.-</w:t>
      </w:r>
      <w:r w:rsidRPr="002B3E9A">
        <w:rPr>
          <w:rFonts w:ascii="Palatino Linotype" w:eastAsia="Palatino Linotype" w:hAnsi="Palatino Linotype" w:cs="Palatino Linotype"/>
          <w:i/>
          <w:iCs/>
        </w:rPr>
        <w:t xml:space="preserve"> </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Todas las</w:t>
      </w:r>
      <w:r w:rsidRPr="002B3E9A">
        <w:rPr>
          <w:rFonts w:ascii="Palatino Linotype" w:eastAsia="Palatino Linotype" w:hAnsi="Palatino Linotype" w:cs="Palatino Linotype"/>
        </w:rPr>
        <w:t xml:space="preserve"> </w:t>
      </w:r>
      <w:r w:rsidRPr="002B3E9A">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3539F6" w:rsidRPr="002B3E9A" w:rsidRDefault="00353053">
      <w:pPr>
        <w:ind w:left="1134" w:right="-1417"/>
        <w:jc w:val="both"/>
        <w:rPr>
          <w:rFonts w:ascii="Palatino Linotype" w:eastAsia="Palatino Linotype" w:hAnsi="Palatino Linotype" w:cs="Palatino Linotype"/>
        </w:rPr>
      </w:pPr>
      <w:r w:rsidRPr="002B3E9A">
        <w:rPr>
          <w:rFonts w:ascii="Palatino Linotype" w:eastAsia="Palatino Linotype" w:hAnsi="Palatino Linotype" w:cs="Palatino Linotype"/>
          <w:i/>
          <w:iCs/>
        </w:rPr>
        <w:t>(…)</w:t>
      </w:r>
      <w:r w:rsidRPr="002B3E9A">
        <w:rPr>
          <w:rFonts w:ascii="Palatino Linotype" w:eastAsia="Palatino Linotype" w:hAnsi="Palatino Linotype" w:cs="Palatino Linotype"/>
        </w:rPr>
        <w:t>”.</w:t>
      </w:r>
    </w:p>
    <w:p w:rsidR="003539F6" w:rsidRPr="002B3E9A" w:rsidRDefault="003539F6">
      <w:pPr>
        <w:ind w:right="-1417"/>
        <w:jc w:val="both"/>
        <w:rPr>
          <w:rFonts w:ascii="Palatino Linotype" w:eastAsia="Palatino Linotype" w:hAnsi="Palatino Linotype" w:cs="Palatino Linotype"/>
          <w:b/>
          <w:bCs/>
        </w:rPr>
      </w:pPr>
    </w:p>
    <w:p w:rsidR="003539F6" w:rsidRPr="002B3E9A" w:rsidRDefault="00353053">
      <w:pPr>
        <w:numPr>
          <w:ilvl w:val="0"/>
          <w:numId w:val="3"/>
        </w:numPr>
        <w:spacing w:line="360" w:lineRule="auto"/>
        <w:ind w:left="0" w:right="-1417" w:firstLine="0"/>
        <w:jc w:val="both"/>
        <w:rPr>
          <w:rFonts w:ascii="Palatino Linotype" w:eastAsia="Palatino Linotype" w:hAnsi="Palatino Linotype" w:cs="Palatino Linotype"/>
        </w:rPr>
      </w:pPr>
      <w:r w:rsidRPr="002B3E9A">
        <w:rPr>
          <w:rFonts w:ascii="Palatino Linotype" w:eastAsia="Palatino Linotype" w:hAnsi="Palatino Linotype" w:cs="Palatino Linotype"/>
        </w:rPr>
        <w:lastRenderedPageBreak/>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3539F6" w:rsidRPr="002B3E9A" w:rsidRDefault="003539F6">
      <w:pPr>
        <w:spacing w:line="360" w:lineRule="auto"/>
        <w:ind w:right="-1417"/>
        <w:jc w:val="both"/>
        <w:rPr>
          <w:rFonts w:ascii="Palatino Linotype" w:eastAsia="Palatino Linotype" w:hAnsi="Palatino Linotype" w:cs="Palatino Linotype"/>
        </w:rPr>
      </w:pPr>
    </w:p>
    <w:p w:rsidR="003539F6" w:rsidRPr="002B3E9A" w:rsidRDefault="00353053">
      <w:pPr>
        <w:numPr>
          <w:ilvl w:val="0"/>
          <w:numId w:val="3"/>
        </w:numPr>
        <w:spacing w:line="360" w:lineRule="auto"/>
        <w:ind w:left="0" w:right="-1417" w:firstLine="0"/>
        <w:jc w:val="both"/>
        <w:rPr>
          <w:rFonts w:ascii="Palatino Linotype" w:eastAsia="Palatino Linotype" w:hAnsi="Palatino Linotype" w:cs="Palatino Linotype"/>
        </w:rPr>
      </w:pPr>
      <w:r w:rsidRPr="002B3E9A">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3539F6" w:rsidRPr="002B3E9A" w:rsidRDefault="00353053">
      <w:pPr>
        <w:spacing w:after="240"/>
        <w:ind w:left="1134" w:right="-1417"/>
        <w:jc w:val="both"/>
        <w:rPr>
          <w:rFonts w:ascii="Palatino Linotype" w:eastAsia="Palatino Linotype" w:hAnsi="Palatino Linotype" w:cs="Palatino Linotype"/>
          <w:b/>
          <w:bCs/>
          <w:i/>
          <w:iCs/>
        </w:rPr>
      </w:pPr>
      <w:r w:rsidRPr="002B3E9A">
        <w:rPr>
          <w:rFonts w:ascii="Palatino Linotype" w:eastAsia="Palatino Linotype" w:hAnsi="Palatino Linotype" w:cs="Palatino Linotype"/>
          <w:b/>
          <w:bCs/>
          <w:i/>
          <w:iCs/>
        </w:rPr>
        <w:t>Constitución Política de los Estados Unidos Mexicanos</w:t>
      </w:r>
    </w:p>
    <w:p w:rsidR="003539F6" w:rsidRPr="002B3E9A" w:rsidRDefault="00353053">
      <w:pPr>
        <w:spacing w:before="240" w:after="240"/>
        <w:ind w:left="1134" w:right="-1417"/>
        <w:jc w:val="both"/>
        <w:rPr>
          <w:rFonts w:ascii="Palatino Linotype" w:eastAsia="Palatino Linotype" w:hAnsi="Palatino Linotype" w:cs="Palatino Linotype"/>
          <w:b/>
          <w:bCs/>
          <w:i/>
          <w:iCs/>
        </w:rPr>
      </w:pPr>
      <w:r w:rsidRPr="002B3E9A">
        <w:rPr>
          <w:rFonts w:ascii="Palatino Linotype" w:eastAsia="Palatino Linotype" w:hAnsi="Palatino Linotype" w:cs="Palatino Linotype"/>
          <w:b/>
          <w:bCs/>
          <w:i/>
          <w:iCs/>
        </w:rPr>
        <w:t>“Artículo 6.</w:t>
      </w:r>
    </w:p>
    <w:p w:rsidR="003539F6" w:rsidRPr="002B3E9A" w:rsidRDefault="00353053">
      <w:pPr>
        <w:spacing w:before="240" w:after="240"/>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w:t>
      </w:r>
    </w:p>
    <w:p w:rsidR="003539F6" w:rsidRPr="002B3E9A" w:rsidRDefault="00353053">
      <w:pPr>
        <w:spacing w:before="240" w:after="240"/>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Para efectos de lo dispuesto en el presente artículo se observará lo siguiente:</w:t>
      </w:r>
    </w:p>
    <w:p w:rsidR="003539F6" w:rsidRPr="002B3E9A" w:rsidRDefault="00353053">
      <w:pPr>
        <w:spacing w:before="240" w:after="240"/>
        <w:ind w:left="1134" w:right="-1417"/>
        <w:jc w:val="both"/>
        <w:rPr>
          <w:rFonts w:ascii="Palatino Linotype" w:eastAsia="Palatino Linotype" w:hAnsi="Palatino Linotype" w:cs="Palatino Linotype"/>
          <w:b/>
          <w:bCs/>
          <w:i/>
          <w:iCs/>
        </w:rPr>
      </w:pPr>
      <w:r w:rsidRPr="002B3E9A">
        <w:rPr>
          <w:rFonts w:ascii="Palatino Linotype" w:eastAsia="Palatino Linotype" w:hAnsi="Palatino Linotype" w:cs="Palatino Linotype"/>
          <w:b/>
          <w:bCs/>
          <w:i/>
          <w:iCs/>
        </w:rPr>
        <w:t>A</w:t>
      </w:r>
      <w:r w:rsidRPr="002B3E9A">
        <w:rPr>
          <w:rFonts w:ascii="Palatino Linotype" w:eastAsia="Palatino Linotype" w:hAnsi="Palatino Linotype" w:cs="Palatino Linotype"/>
          <w:i/>
          <w:iCs/>
        </w:rPr>
        <w:t xml:space="preserve">. </w:t>
      </w:r>
      <w:r w:rsidRPr="002B3E9A">
        <w:rPr>
          <w:rFonts w:ascii="Palatino Linotype" w:eastAsia="Palatino Linotype" w:hAnsi="Palatino Linotype" w:cs="Palatino Linotype"/>
          <w:b/>
          <w:bCs/>
          <w:i/>
          <w:iCs/>
        </w:rPr>
        <w:t>Para el ejercicio del derecho de acceso a la información</w:t>
      </w:r>
      <w:r w:rsidRPr="002B3E9A">
        <w:rPr>
          <w:rFonts w:ascii="Palatino Linotype" w:eastAsia="Palatino Linotype" w:hAnsi="Palatino Linotype" w:cs="Palatino Linotype"/>
          <w:i/>
          <w:iCs/>
        </w:rPr>
        <w:t xml:space="preserve">, la Federación y </w:t>
      </w:r>
      <w:r w:rsidRPr="002B3E9A">
        <w:rPr>
          <w:rFonts w:ascii="Palatino Linotype" w:eastAsia="Palatino Linotype" w:hAnsi="Palatino Linotype" w:cs="Palatino Linotype"/>
          <w:b/>
          <w:bCs/>
          <w:i/>
          <w:iCs/>
        </w:rPr>
        <w:t>las entidades federativas, en el ámbito de sus respectivas competencias, se regirán por los siguientes principios y bases:</w:t>
      </w:r>
    </w:p>
    <w:p w:rsidR="003539F6" w:rsidRPr="002B3E9A" w:rsidRDefault="00353053">
      <w:pPr>
        <w:spacing w:before="240" w:after="240"/>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b/>
          <w:bCs/>
          <w:i/>
          <w:iCs/>
        </w:rPr>
        <w:t xml:space="preserve">I. </w:t>
      </w:r>
      <w:r w:rsidRPr="002B3E9A">
        <w:rPr>
          <w:rFonts w:ascii="Palatino Linotype" w:eastAsia="Palatino Linotype" w:hAnsi="Palatino Linotype" w:cs="Palatino Linotype"/>
          <w:b/>
          <w:bCs/>
          <w:i/>
          <w:iCs/>
        </w:rPr>
        <w:tab/>
        <w:t>Toda la información en posesión de cualquier</w:t>
      </w:r>
      <w:r w:rsidRPr="002B3E9A">
        <w:rPr>
          <w:rFonts w:ascii="Palatino Linotype" w:eastAsia="Palatino Linotype" w:hAnsi="Palatino Linotype" w:cs="Palatino Linotype"/>
          <w:i/>
          <w:iCs/>
        </w:rPr>
        <w:t xml:space="preserve"> </w:t>
      </w:r>
      <w:r w:rsidRPr="002B3E9A">
        <w:rPr>
          <w:rFonts w:ascii="Palatino Linotype" w:eastAsia="Palatino Linotype" w:hAnsi="Palatino Linotype" w:cs="Palatino Linotype"/>
          <w:b/>
          <w:bCs/>
          <w:i/>
          <w:iCs/>
        </w:rPr>
        <w:t>autoridad</w:t>
      </w:r>
      <w:r w:rsidRPr="002B3E9A">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2B3E9A">
        <w:rPr>
          <w:rFonts w:ascii="Palatino Linotype" w:eastAsia="Palatino Linotype" w:hAnsi="Palatino Linotype" w:cs="Palatino Linotype"/>
          <w:b/>
          <w:bCs/>
          <w:i/>
          <w:iCs/>
        </w:rPr>
        <w:t>municipal</w:t>
      </w:r>
      <w:r w:rsidRPr="002B3E9A">
        <w:rPr>
          <w:rFonts w:ascii="Palatino Linotype" w:eastAsia="Palatino Linotype" w:hAnsi="Palatino Linotype" w:cs="Palatino Linotype"/>
          <w:i/>
          <w:iCs/>
        </w:rPr>
        <w:t xml:space="preserve">, </w:t>
      </w:r>
      <w:r w:rsidRPr="002B3E9A">
        <w:rPr>
          <w:rFonts w:ascii="Palatino Linotype" w:eastAsia="Palatino Linotype" w:hAnsi="Palatino Linotype" w:cs="Palatino Linotype"/>
          <w:b/>
          <w:bCs/>
          <w:i/>
          <w:iCs/>
        </w:rPr>
        <w:t>es pública</w:t>
      </w:r>
      <w:r w:rsidRPr="002B3E9A">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2B3E9A">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2B3E9A">
        <w:rPr>
          <w:rFonts w:ascii="Palatino Linotype" w:eastAsia="Palatino Linotype" w:hAnsi="Palatino Linotype" w:cs="Palatino Linotype"/>
          <w:i/>
          <w:iCs/>
        </w:rPr>
        <w:t xml:space="preserve">, la ley determinará los </w:t>
      </w:r>
      <w:r w:rsidRPr="002B3E9A">
        <w:rPr>
          <w:rFonts w:ascii="Palatino Linotype" w:eastAsia="Palatino Linotype" w:hAnsi="Palatino Linotype" w:cs="Palatino Linotype"/>
          <w:i/>
          <w:iCs/>
        </w:rPr>
        <w:lastRenderedPageBreak/>
        <w:t>supuestos específicos bajo los cuales procederá la declaración de inexistencia de la información.”</w:t>
      </w:r>
    </w:p>
    <w:p w:rsidR="003539F6" w:rsidRPr="002B3E9A" w:rsidRDefault="00353053">
      <w:pPr>
        <w:spacing w:before="240" w:after="240"/>
        <w:ind w:left="1134" w:right="-1417"/>
        <w:jc w:val="both"/>
        <w:rPr>
          <w:rFonts w:ascii="Palatino Linotype" w:eastAsia="Palatino Linotype" w:hAnsi="Palatino Linotype" w:cs="Palatino Linotype"/>
          <w:b/>
          <w:bCs/>
          <w:i/>
          <w:iCs/>
        </w:rPr>
      </w:pPr>
      <w:r w:rsidRPr="002B3E9A">
        <w:rPr>
          <w:rFonts w:ascii="Palatino Linotype" w:eastAsia="Palatino Linotype" w:hAnsi="Palatino Linotype" w:cs="Palatino Linotype"/>
          <w:b/>
          <w:bCs/>
          <w:i/>
          <w:iCs/>
        </w:rPr>
        <w:t>Constitución Política del Estado Libre y Soberano de México</w:t>
      </w:r>
    </w:p>
    <w:p w:rsidR="003539F6" w:rsidRPr="002B3E9A" w:rsidRDefault="00353053">
      <w:pPr>
        <w:spacing w:before="240" w:after="240"/>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b/>
          <w:bCs/>
          <w:i/>
          <w:iCs/>
        </w:rPr>
        <w:t>“Artículo 5</w:t>
      </w:r>
      <w:r w:rsidRPr="002B3E9A">
        <w:rPr>
          <w:rFonts w:ascii="Palatino Linotype" w:eastAsia="Palatino Linotype" w:hAnsi="Palatino Linotype" w:cs="Palatino Linotype"/>
          <w:i/>
          <w:iCs/>
        </w:rPr>
        <w:t xml:space="preserve">.- </w:t>
      </w:r>
    </w:p>
    <w:p w:rsidR="003539F6" w:rsidRPr="002B3E9A" w:rsidRDefault="00353053">
      <w:pPr>
        <w:spacing w:before="240" w:after="240"/>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w:t>
      </w:r>
    </w:p>
    <w:p w:rsidR="003539F6" w:rsidRPr="002B3E9A" w:rsidRDefault="00353053">
      <w:pPr>
        <w:spacing w:before="240" w:after="240"/>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2B3E9A">
        <w:rPr>
          <w:rFonts w:ascii="Palatino Linotype" w:eastAsia="Palatino Linotype" w:hAnsi="Palatino Linotype" w:cs="Palatino Linotype"/>
          <w:i/>
          <w:iCs/>
        </w:rPr>
        <w:t>.</w:t>
      </w:r>
    </w:p>
    <w:p w:rsidR="003539F6" w:rsidRPr="002B3E9A" w:rsidRDefault="00353053">
      <w:pPr>
        <w:spacing w:before="240" w:after="240"/>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3539F6" w:rsidRPr="002B3E9A" w:rsidRDefault="00353053">
      <w:pPr>
        <w:spacing w:before="240" w:after="240"/>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b/>
          <w:bCs/>
          <w:i/>
          <w:iCs/>
        </w:rPr>
        <w:t>Este derecho se regirá por los principios y bases siguientes</w:t>
      </w:r>
      <w:r w:rsidRPr="002B3E9A">
        <w:rPr>
          <w:rFonts w:ascii="Palatino Linotype" w:eastAsia="Palatino Linotype" w:hAnsi="Palatino Linotype" w:cs="Palatino Linotype"/>
          <w:i/>
          <w:iCs/>
        </w:rPr>
        <w:t>:</w:t>
      </w:r>
    </w:p>
    <w:p w:rsidR="003539F6" w:rsidRPr="002B3E9A" w:rsidRDefault="00353053">
      <w:pPr>
        <w:spacing w:before="240" w:after="240"/>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b/>
          <w:bCs/>
          <w:i/>
          <w:iCs/>
        </w:rPr>
        <w:t>I. Toda la información en posesión de cualquier autoridad, entidad, órgano y organismos de los</w:t>
      </w:r>
      <w:r w:rsidRPr="002B3E9A">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2B3E9A">
        <w:rPr>
          <w:rFonts w:ascii="Palatino Linotype" w:eastAsia="Palatino Linotype" w:hAnsi="Palatino Linotype" w:cs="Palatino Linotype"/>
          <w:b/>
          <w:bCs/>
          <w:i/>
          <w:iCs/>
        </w:rPr>
        <w:t>municipales</w:t>
      </w:r>
      <w:r w:rsidRPr="002B3E9A">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2B3E9A">
        <w:rPr>
          <w:rFonts w:ascii="Palatino Linotype" w:eastAsia="Palatino Linotype" w:hAnsi="Palatino Linotype" w:cs="Palatino Linotype"/>
          <w:b/>
          <w:bCs/>
          <w:i/>
          <w:iCs/>
        </w:rPr>
        <w:t>es pública</w:t>
      </w:r>
      <w:r w:rsidRPr="002B3E9A">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2B3E9A">
        <w:rPr>
          <w:rFonts w:ascii="Palatino Linotype" w:eastAsia="Palatino Linotype" w:hAnsi="Palatino Linotype" w:cs="Palatino Linotype"/>
          <w:b/>
          <w:bCs/>
          <w:i/>
          <w:iCs/>
        </w:rPr>
        <w:t>En la interpretación de este derecho deberá prevalecer el principio de máxima publicidad</w:t>
      </w:r>
      <w:r w:rsidRPr="002B3E9A">
        <w:rPr>
          <w:rFonts w:ascii="Palatino Linotype" w:eastAsia="Palatino Linotype" w:hAnsi="Palatino Linotype" w:cs="Palatino Linotype"/>
          <w:i/>
          <w:iCs/>
        </w:rPr>
        <w:t xml:space="preserve">. </w:t>
      </w:r>
      <w:r w:rsidRPr="002B3E9A">
        <w:rPr>
          <w:rFonts w:ascii="Palatino Linotype" w:eastAsia="Palatino Linotype" w:hAnsi="Palatino Linotype" w:cs="Palatino Linotype"/>
          <w:b/>
          <w:bCs/>
          <w:i/>
          <w:iCs/>
        </w:rPr>
        <w:t>Los sujetos obligados deberán documentar todo acto que derive del ejercicio de sus facultades, competencias o funciones</w:t>
      </w:r>
      <w:r w:rsidRPr="002B3E9A">
        <w:rPr>
          <w:rFonts w:ascii="Palatino Linotype" w:eastAsia="Palatino Linotype" w:hAnsi="Palatino Linotype" w:cs="Palatino Linotype"/>
          <w:i/>
          <w:iCs/>
        </w:rPr>
        <w:t>, la ley determinará los supuestos específicos bajo los cuales procederá la declaración de inexistencia de la información.”</w:t>
      </w:r>
    </w:p>
    <w:p w:rsidR="003539F6" w:rsidRPr="002B3E9A" w:rsidRDefault="003539F6">
      <w:pPr>
        <w:tabs>
          <w:tab w:val="left" w:pos="567"/>
        </w:tabs>
        <w:spacing w:before="240" w:after="240"/>
        <w:ind w:right="-1417"/>
        <w:jc w:val="both"/>
        <w:rPr>
          <w:rFonts w:ascii="Palatino Linotype" w:eastAsia="Palatino Linotype" w:hAnsi="Palatino Linotype" w:cs="Palatino Linotype"/>
          <w:b/>
          <w:bCs/>
          <w:i/>
          <w:iCs/>
        </w:rPr>
      </w:pPr>
    </w:p>
    <w:p w:rsidR="003539F6" w:rsidRPr="002B3E9A" w:rsidRDefault="00353053">
      <w:pPr>
        <w:numPr>
          <w:ilvl w:val="0"/>
          <w:numId w:val="3"/>
        </w:numPr>
        <w:spacing w:before="240" w:line="360" w:lineRule="auto"/>
        <w:ind w:left="0" w:right="-1417" w:firstLine="0"/>
        <w:jc w:val="both"/>
        <w:rPr>
          <w:rFonts w:ascii="Palatino Linotype" w:eastAsia="Palatino Linotype" w:hAnsi="Palatino Linotype" w:cs="Palatino Linotype"/>
        </w:rPr>
      </w:pPr>
      <w:r w:rsidRPr="002B3E9A">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2B3E9A">
        <w:rPr>
          <w:rFonts w:ascii="Palatino Linotype" w:eastAsia="Palatino Linotype" w:hAnsi="Palatino Linotype" w:cs="Palatino Linotype"/>
          <w:i/>
          <w:iCs/>
        </w:rPr>
        <w:t xml:space="preserve">por los </w:t>
      </w:r>
      <w:r w:rsidRPr="002B3E9A">
        <w:rPr>
          <w:rFonts w:ascii="Palatino Linotype" w:eastAsia="Palatino Linotype" w:hAnsi="Palatino Linotype" w:cs="Palatino Linotype"/>
          <w:i/>
          <w:iCs/>
        </w:rPr>
        <w:lastRenderedPageBreak/>
        <w:t>principios de simplicidad, rapidez gratuidad del procedimiento, auxilio y orientación a los particulares</w:t>
      </w:r>
      <w:r w:rsidRPr="002B3E9A">
        <w:rPr>
          <w:rFonts w:ascii="Palatino Linotype" w:eastAsia="Palatino Linotype" w:hAnsi="Palatino Linotype" w:cs="Palatino Linotype"/>
        </w:rPr>
        <w:t>, contemplando el derecho de las personas con discapacidad y hablantes de lengua indígena.</w:t>
      </w:r>
    </w:p>
    <w:p w:rsidR="003539F6" w:rsidRPr="002B3E9A" w:rsidRDefault="003539F6">
      <w:pPr>
        <w:spacing w:line="360" w:lineRule="auto"/>
        <w:ind w:right="-1417"/>
        <w:jc w:val="both"/>
        <w:rPr>
          <w:rFonts w:ascii="Palatino Linotype" w:eastAsia="Palatino Linotype" w:hAnsi="Palatino Linotype" w:cs="Palatino Linotype"/>
        </w:rPr>
      </w:pPr>
    </w:p>
    <w:p w:rsidR="003539F6" w:rsidRPr="002B3E9A" w:rsidRDefault="00353053">
      <w:pPr>
        <w:numPr>
          <w:ilvl w:val="0"/>
          <w:numId w:val="3"/>
        </w:numPr>
        <w:spacing w:line="360" w:lineRule="auto"/>
        <w:ind w:left="0" w:right="-1417" w:firstLine="0"/>
        <w:jc w:val="both"/>
        <w:rPr>
          <w:rFonts w:ascii="Palatino Linotype" w:eastAsia="Palatino Linotype" w:hAnsi="Palatino Linotype" w:cs="Palatino Linotype"/>
        </w:rPr>
      </w:pPr>
      <w:r w:rsidRPr="002B3E9A">
        <w:rPr>
          <w:rFonts w:ascii="Palatino Linotype" w:eastAsia="Palatino Linotype" w:hAnsi="Palatino Linotype" w:cs="Palatino Linotype"/>
        </w:rPr>
        <w:t xml:space="preserve">El Derecho de Acceso a la Información se garantiza y respeta oportunamente, y según lo que dispone la Ley, las </w:t>
      </w:r>
      <w:r w:rsidRPr="002B3E9A">
        <w:rPr>
          <w:rFonts w:ascii="Palatino Linotype" w:eastAsia="Palatino Linotype" w:hAnsi="Palatino Linotype" w:cs="Palatino Linotype"/>
          <w:i/>
          <w:iCs/>
        </w:rPr>
        <w:t>solicitudes de acceso a la información</w:t>
      </w:r>
      <w:r w:rsidRPr="002B3E9A">
        <w:rPr>
          <w:rFonts w:ascii="Palatino Linotype" w:eastAsia="Palatino Linotype" w:hAnsi="Palatino Linotype" w:cs="Palatino Linotype"/>
        </w:rPr>
        <w:t>.</w:t>
      </w:r>
    </w:p>
    <w:p w:rsidR="003539F6" w:rsidRPr="002B3E9A" w:rsidRDefault="003539F6">
      <w:pPr>
        <w:spacing w:line="360" w:lineRule="auto"/>
        <w:ind w:right="-1417"/>
        <w:jc w:val="both"/>
        <w:rPr>
          <w:rFonts w:ascii="Palatino Linotype" w:eastAsia="Palatino Linotype" w:hAnsi="Palatino Linotype" w:cs="Palatino Linotype"/>
        </w:rPr>
      </w:pPr>
    </w:p>
    <w:p w:rsidR="003539F6" w:rsidRPr="002B3E9A" w:rsidRDefault="00353053">
      <w:pPr>
        <w:numPr>
          <w:ilvl w:val="0"/>
          <w:numId w:val="3"/>
        </w:numPr>
        <w:spacing w:line="360" w:lineRule="auto"/>
        <w:ind w:left="0" w:right="-1417" w:firstLine="0"/>
        <w:jc w:val="both"/>
        <w:rPr>
          <w:rFonts w:ascii="Palatino Linotype" w:eastAsia="Palatino Linotype" w:hAnsi="Palatino Linotype" w:cs="Palatino Linotype"/>
        </w:rPr>
      </w:pPr>
      <w:bookmarkStart w:id="11" w:name="_heading=h.3rdcrjn" w:colFirst="0" w:colLast="0"/>
      <w:bookmarkEnd w:id="11"/>
      <w:r w:rsidRPr="002B3E9A">
        <w:rPr>
          <w:rFonts w:ascii="Palatino Linotype" w:eastAsia="Palatino Linotype" w:hAnsi="Palatino Linotype" w:cs="Palatino Linotype"/>
        </w:rPr>
        <w:t xml:space="preserve">Así entonces, se procede analizar, en primer lugar, si el </w:t>
      </w:r>
      <w:r w:rsidRPr="002B3E9A">
        <w:rPr>
          <w:rFonts w:ascii="Palatino Linotype" w:eastAsia="Palatino Linotype" w:hAnsi="Palatino Linotype" w:cs="Palatino Linotype"/>
          <w:b/>
          <w:bCs/>
        </w:rPr>
        <w:t>SUJETO OBLIGADO</w:t>
      </w:r>
      <w:r w:rsidRPr="002B3E9A">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3539F6" w:rsidRPr="002B3E9A" w:rsidRDefault="003539F6">
      <w:pPr>
        <w:spacing w:line="360" w:lineRule="auto"/>
        <w:ind w:right="-1417"/>
        <w:jc w:val="both"/>
        <w:rPr>
          <w:rFonts w:ascii="Palatino Linotype" w:eastAsia="Palatino Linotype" w:hAnsi="Palatino Linotype" w:cs="Palatino Linotype"/>
        </w:rPr>
      </w:pPr>
    </w:p>
    <w:p w:rsidR="003539F6" w:rsidRPr="002B3E9A" w:rsidRDefault="00353053">
      <w:pPr>
        <w:pStyle w:val="Ttulo1"/>
        <w:spacing w:before="0" w:after="240" w:line="360" w:lineRule="auto"/>
        <w:ind w:right="-1417"/>
        <w:rPr>
          <w:rFonts w:ascii="Palatino Linotype" w:eastAsia="Palatino Linotype" w:hAnsi="Palatino Linotype" w:cs="Palatino Linotype"/>
          <w:b/>
          <w:bCs/>
          <w:color w:val="000000"/>
          <w:sz w:val="24"/>
          <w:szCs w:val="24"/>
        </w:rPr>
      </w:pPr>
      <w:bookmarkStart w:id="12" w:name="_heading=h.26in1rg" w:colFirst="0" w:colLast="0"/>
      <w:bookmarkEnd w:id="12"/>
      <w:r w:rsidRPr="002B3E9A">
        <w:rPr>
          <w:rFonts w:ascii="Palatino Linotype" w:eastAsia="Palatino Linotype" w:hAnsi="Palatino Linotype" w:cs="Palatino Linotype"/>
          <w:b/>
          <w:bCs/>
          <w:color w:val="000000"/>
          <w:sz w:val="24"/>
          <w:szCs w:val="24"/>
        </w:rPr>
        <w:t>II. De la información solicitada y la respuesta del SUJETO OBLIGADO</w:t>
      </w:r>
    </w:p>
    <w:p w:rsidR="003539F6" w:rsidRPr="002B3E9A" w:rsidRDefault="00353053">
      <w:pPr>
        <w:numPr>
          <w:ilvl w:val="0"/>
          <w:numId w:val="3"/>
        </w:numPr>
        <w:spacing w:line="360" w:lineRule="auto"/>
        <w:ind w:left="0" w:right="-1417" w:firstLine="0"/>
        <w:jc w:val="both"/>
        <w:rPr>
          <w:rFonts w:ascii="Palatino Linotype" w:eastAsia="Palatino Linotype" w:hAnsi="Palatino Linotype" w:cs="Palatino Linotype"/>
        </w:rPr>
      </w:pPr>
      <w:r w:rsidRPr="002B3E9A">
        <w:rPr>
          <w:rFonts w:ascii="Palatino Linotype" w:eastAsia="Palatino Linotype" w:hAnsi="Palatino Linotype" w:cs="Palatino Linotype"/>
          <w:color w:val="000000"/>
        </w:rPr>
        <w:t xml:space="preserve">Acotada la </w:t>
      </w:r>
      <w:r w:rsidRPr="002B3E9A">
        <w:rPr>
          <w:rFonts w:ascii="Palatino Linotype" w:eastAsia="Palatino Linotype" w:hAnsi="Palatino Linotype" w:cs="Palatino Linotype"/>
          <w:i/>
          <w:iCs/>
          <w:color w:val="000000"/>
        </w:rPr>
        <w:t>Litis</w:t>
      </w:r>
      <w:r w:rsidRPr="002B3E9A">
        <w:rPr>
          <w:rFonts w:ascii="Palatino Linotype" w:eastAsia="Palatino Linotype" w:hAnsi="Palatino Linotype" w:cs="Palatino Linotype"/>
          <w:color w:val="000000"/>
        </w:rPr>
        <w:t xml:space="preserve"> del presente asunto, primeramente es menester precisar que del escrito de inconformidad, se observa que el particular se duele por la negativa de la información solicitada. </w:t>
      </w:r>
    </w:p>
    <w:p w:rsidR="003539F6" w:rsidRPr="002B3E9A" w:rsidRDefault="003539F6">
      <w:pPr>
        <w:spacing w:line="360" w:lineRule="auto"/>
        <w:ind w:right="-1417"/>
        <w:jc w:val="both"/>
        <w:rPr>
          <w:rFonts w:ascii="Palatino Linotype" w:eastAsia="Palatino Linotype" w:hAnsi="Palatino Linotype" w:cs="Palatino Linotype"/>
        </w:rPr>
      </w:pPr>
    </w:p>
    <w:p w:rsidR="003539F6" w:rsidRPr="002B3E9A" w:rsidRDefault="00353053">
      <w:pPr>
        <w:numPr>
          <w:ilvl w:val="0"/>
          <w:numId w:val="3"/>
        </w:numPr>
        <w:spacing w:line="360" w:lineRule="auto"/>
        <w:ind w:left="0" w:right="-1417" w:firstLine="0"/>
        <w:jc w:val="both"/>
        <w:rPr>
          <w:rFonts w:ascii="Palatino Linotype" w:eastAsia="Palatino Linotype" w:hAnsi="Palatino Linotype" w:cs="Palatino Linotype"/>
        </w:rPr>
      </w:pPr>
      <w:r w:rsidRPr="002B3E9A">
        <w:rPr>
          <w:rFonts w:ascii="Palatino Linotype" w:eastAsia="Palatino Linotype" w:hAnsi="Palatino Linotype" w:cs="Palatino Linotype"/>
        </w:rPr>
        <w:t xml:space="preserve">En ese sentido, es importante recordar la información que fue solicitada por el </w:t>
      </w:r>
      <w:r w:rsidRPr="002B3E9A">
        <w:rPr>
          <w:rFonts w:ascii="Palatino Linotype" w:eastAsia="Palatino Linotype" w:hAnsi="Palatino Linotype" w:cs="Palatino Linotype"/>
          <w:b/>
          <w:bCs/>
        </w:rPr>
        <w:t xml:space="preserve">RECURRENTE </w:t>
      </w:r>
      <w:r w:rsidRPr="002B3E9A">
        <w:rPr>
          <w:rFonts w:ascii="Palatino Linotype" w:eastAsia="Palatino Linotype" w:hAnsi="Palatino Linotype" w:cs="Palatino Linotype"/>
        </w:rPr>
        <w:t xml:space="preserve">así como la información proporcionada por el </w:t>
      </w:r>
      <w:r w:rsidRPr="002B3E9A">
        <w:rPr>
          <w:rFonts w:ascii="Palatino Linotype" w:eastAsia="Palatino Linotype" w:hAnsi="Palatino Linotype" w:cs="Palatino Linotype"/>
          <w:b/>
          <w:bCs/>
        </w:rPr>
        <w:t xml:space="preserve">SUJETO OBLIGADO. </w:t>
      </w:r>
    </w:p>
    <w:p w:rsidR="003539F6" w:rsidRPr="002B3E9A" w:rsidRDefault="003539F6">
      <w:pPr>
        <w:pBdr>
          <w:top w:val="nil"/>
          <w:left w:val="nil"/>
          <w:bottom w:val="nil"/>
          <w:right w:val="nil"/>
          <w:between w:val="nil"/>
        </w:pBdr>
        <w:ind w:left="1134" w:right="-1417"/>
        <w:rPr>
          <w:rFonts w:ascii="Palatino Linotype" w:eastAsia="Palatino Linotype" w:hAnsi="Palatino Linotype" w:cs="Palatino Linotype"/>
          <w:b/>
          <w:bCs/>
          <w:i/>
          <w:iCs/>
          <w:color w:val="000000"/>
        </w:rPr>
      </w:pPr>
    </w:p>
    <w:p w:rsidR="003539F6" w:rsidRPr="002B3E9A" w:rsidRDefault="003539F6">
      <w:pPr>
        <w:pBdr>
          <w:top w:val="nil"/>
          <w:left w:val="nil"/>
          <w:bottom w:val="nil"/>
          <w:right w:val="nil"/>
          <w:between w:val="nil"/>
        </w:pBdr>
        <w:ind w:left="786" w:right="-1417" w:firstLine="654"/>
        <w:rPr>
          <w:rFonts w:ascii="Palatino Linotype" w:eastAsia="Palatino Linotype" w:hAnsi="Palatino Linotype" w:cs="Palatino Linotype"/>
          <w:b/>
          <w:bCs/>
          <w:i/>
          <w:iCs/>
          <w:color w:val="000000"/>
        </w:rPr>
      </w:pPr>
    </w:p>
    <w:tbl>
      <w:tblPr>
        <w:tblStyle w:val="a"/>
        <w:tblpPr w:leftFromText="141" w:rightFromText="141" w:vertAnchor="text" w:tblpY="168"/>
        <w:tblW w:w="988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805"/>
        <w:gridCol w:w="2835"/>
        <w:gridCol w:w="2293"/>
        <w:gridCol w:w="1952"/>
      </w:tblGrid>
      <w:tr w:rsidR="003539F6" w:rsidRPr="002B3E9A" w:rsidTr="00AB1B15">
        <w:trPr>
          <w:trHeight w:val="308"/>
        </w:trPr>
        <w:tc>
          <w:tcPr>
            <w:tcW w:w="2805" w:type="dxa"/>
          </w:tcPr>
          <w:p w:rsidR="003539F6" w:rsidRPr="002B3E9A" w:rsidRDefault="00353053">
            <w:pPr>
              <w:ind w:right="7"/>
              <w:jc w:val="center"/>
              <w:rPr>
                <w:rFonts w:ascii="Palatino Linotype" w:eastAsia="Palatino Linotype" w:hAnsi="Palatino Linotype" w:cs="Palatino Linotype"/>
                <w:i/>
                <w:iCs/>
              </w:rPr>
            </w:pPr>
            <w:r w:rsidRPr="002B3E9A">
              <w:rPr>
                <w:rFonts w:ascii="Palatino Linotype" w:eastAsia="Palatino Linotype" w:hAnsi="Palatino Linotype" w:cs="Palatino Linotype"/>
                <w:i/>
                <w:iCs/>
              </w:rPr>
              <w:t>Información solicitada</w:t>
            </w:r>
          </w:p>
        </w:tc>
        <w:tc>
          <w:tcPr>
            <w:tcW w:w="2835" w:type="dxa"/>
          </w:tcPr>
          <w:p w:rsidR="003539F6" w:rsidRPr="002B3E9A" w:rsidRDefault="00353053">
            <w:pPr>
              <w:ind w:right="7"/>
              <w:jc w:val="center"/>
              <w:rPr>
                <w:rFonts w:ascii="Palatino Linotype" w:eastAsia="Palatino Linotype" w:hAnsi="Palatino Linotype" w:cs="Palatino Linotype"/>
                <w:i/>
                <w:iCs/>
              </w:rPr>
            </w:pPr>
            <w:r w:rsidRPr="002B3E9A">
              <w:rPr>
                <w:rFonts w:ascii="Palatino Linotype" w:eastAsia="Palatino Linotype" w:hAnsi="Palatino Linotype" w:cs="Palatino Linotype"/>
                <w:i/>
                <w:iCs/>
              </w:rPr>
              <w:t>Respuesta</w:t>
            </w:r>
          </w:p>
        </w:tc>
        <w:tc>
          <w:tcPr>
            <w:tcW w:w="2293" w:type="dxa"/>
          </w:tcPr>
          <w:p w:rsidR="003539F6" w:rsidRPr="002B3E9A" w:rsidRDefault="00353053">
            <w:pPr>
              <w:ind w:right="7"/>
              <w:jc w:val="center"/>
              <w:rPr>
                <w:rFonts w:ascii="Palatino Linotype" w:eastAsia="Palatino Linotype" w:hAnsi="Palatino Linotype" w:cs="Palatino Linotype"/>
                <w:i/>
                <w:iCs/>
              </w:rPr>
            </w:pPr>
            <w:r w:rsidRPr="002B3E9A">
              <w:rPr>
                <w:rFonts w:ascii="Palatino Linotype" w:eastAsia="Palatino Linotype" w:hAnsi="Palatino Linotype" w:cs="Palatino Linotype"/>
                <w:i/>
                <w:iCs/>
              </w:rPr>
              <w:t>Informe justificado</w:t>
            </w:r>
          </w:p>
        </w:tc>
        <w:tc>
          <w:tcPr>
            <w:tcW w:w="1952" w:type="dxa"/>
          </w:tcPr>
          <w:p w:rsidR="003539F6" w:rsidRPr="002B3E9A" w:rsidRDefault="00353053">
            <w:pPr>
              <w:ind w:right="7"/>
              <w:jc w:val="center"/>
              <w:rPr>
                <w:rFonts w:ascii="Palatino Linotype" w:eastAsia="Palatino Linotype" w:hAnsi="Palatino Linotype" w:cs="Palatino Linotype"/>
                <w:i/>
                <w:iCs/>
              </w:rPr>
            </w:pPr>
            <w:r w:rsidRPr="002B3E9A">
              <w:rPr>
                <w:rFonts w:ascii="Palatino Linotype" w:eastAsia="Palatino Linotype" w:hAnsi="Palatino Linotype" w:cs="Palatino Linotype"/>
                <w:i/>
                <w:iCs/>
              </w:rPr>
              <w:t xml:space="preserve">Colma </w:t>
            </w:r>
          </w:p>
        </w:tc>
      </w:tr>
      <w:tr w:rsidR="003539F6" w:rsidRPr="002B3E9A" w:rsidTr="00AB1B15">
        <w:tc>
          <w:tcPr>
            <w:tcW w:w="2805" w:type="dxa"/>
          </w:tcPr>
          <w:p w:rsidR="003539F6" w:rsidRPr="002B3E9A" w:rsidRDefault="00353053">
            <w:pPr>
              <w:ind w:right="7"/>
              <w:jc w:val="both"/>
              <w:rPr>
                <w:rFonts w:ascii="Palatino Linotype" w:eastAsia="Palatino Linotype" w:hAnsi="Palatino Linotype" w:cs="Palatino Linotype"/>
                <w:b/>
                <w:bCs/>
                <w:i/>
                <w:iCs/>
              </w:rPr>
            </w:pPr>
            <w:r w:rsidRPr="002B3E9A">
              <w:rPr>
                <w:rFonts w:ascii="Palatino Linotype" w:eastAsia="Palatino Linotype" w:hAnsi="Palatino Linotype" w:cs="Palatino Linotype"/>
                <w:b/>
                <w:bCs/>
                <w:i/>
                <w:iCs/>
              </w:rPr>
              <w:t xml:space="preserve">1.- Copia simple digitalizada a través </w:t>
            </w:r>
            <w:r w:rsidRPr="002B3E9A">
              <w:rPr>
                <w:rFonts w:ascii="Palatino Linotype" w:eastAsia="Palatino Linotype" w:hAnsi="Palatino Linotype" w:cs="Palatino Linotype"/>
                <w:b/>
                <w:bCs/>
                <w:i/>
                <w:iCs/>
              </w:rPr>
              <w:lastRenderedPageBreak/>
              <w:t xml:space="preserve">del sistema electrónico saimex de las facturas pagadas y en proceso de pago con fecha del 1 de enero al 31 de octubre de 2025 correspondientes a la partida presupuestal 3611. </w:t>
            </w:r>
          </w:p>
          <w:p w:rsidR="003539F6" w:rsidRPr="002B3E9A" w:rsidRDefault="003539F6">
            <w:pPr>
              <w:ind w:right="7"/>
              <w:jc w:val="both"/>
              <w:rPr>
                <w:rFonts w:ascii="Palatino Linotype" w:eastAsia="Palatino Linotype" w:hAnsi="Palatino Linotype" w:cs="Palatino Linotype"/>
                <w:i/>
                <w:iCs/>
              </w:rPr>
            </w:pPr>
          </w:p>
        </w:tc>
        <w:tc>
          <w:tcPr>
            <w:tcW w:w="2835" w:type="dxa"/>
          </w:tcPr>
          <w:p w:rsidR="003539F6" w:rsidRPr="002B3E9A" w:rsidRDefault="00353053">
            <w:pPr>
              <w:ind w:right="7"/>
              <w:jc w:val="both"/>
              <w:rPr>
                <w:rFonts w:ascii="Palatino Linotype" w:eastAsia="Palatino Linotype" w:hAnsi="Palatino Linotype" w:cs="Palatino Linotype"/>
                <w:i/>
                <w:iCs/>
              </w:rPr>
            </w:pPr>
            <w:r w:rsidRPr="002B3E9A">
              <w:rPr>
                <w:rFonts w:ascii="Palatino Linotype" w:eastAsia="Palatino Linotype" w:hAnsi="Palatino Linotype" w:cs="Palatino Linotype"/>
                <w:b/>
                <w:bCs/>
                <w:i/>
                <w:iCs/>
              </w:rPr>
              <w:lastRenderedPageBreak/>
              <w:t xml:space="preserve">425-25-COMPLETAA.pd: </w:t>
            </w:r>
            <w:r w:rsidRPr="002B3E9A">
              <w:rPr>
                <w:rFonts w:ascii="Palatino Linotype" w:eastAsia="Palatino Linotype" w:hAnsi="Palatino Linotype" w:cs="Palatino Linotype"/>
                <w:i/>
                <w:iCs/>
              </w:rPr>
              <w:t xml:space="preserve">oficio </w:t>
            </w:r>
            <w:r w:rsidRPr="002B3E9A">
              <w:rPr>
                <w:rFonts w:ascii="Palatino Linotype" w:eastAsia="Palatino Linotype" w:hAnsi="Palatino Linotype" w:cs="Palatino Linotype"/>
                <w:i/>
                <w:iCs/>
              </w:rPr>
              <w:lastRenderedPageBreak/>
              <w:t xml:space="preserve">de la Tesorera Municipal, mediante el cual propone el cambio de modalidad a consulta directa, toda vez que las facturas solicitadas sobre pasan la cantidad de hojas, dando un total de 30,894. </w:t>
            </w:r>
          </w:p>
          <w:p w:rsidR="003539F6" w:rsidRPr="002B3E9A" w:rsidRDefault="00353053">
            <w:pPr>
              <w:ind w:right="7"/>
              <w:jc w:val="both"/>
              <w:rPr>
                <w:rFonts w:ascii="Palatino Linotype" w:eastAsia="Palatino Linotype" w:hAnsi="Palatino Linotype" w:cs="Palatino Linotype"/>
                <w:i/>
                <w:iCs/>
              </w:rPr>
            </w:pPr>
            <w:r w:rsidRPr="002B3E9A">
              <w:rPr>
                <w:rFonts w:ascii="Palatino Linotype" w:eastAsia="Palatino Linotype" w:hAnsi="Palatino Linotype" w:cs="Palatino Linotype"/>
                <w:b/>
                <w:bCs/>
                <w:i/>
                <w:iCs/>
              </w:rPr>
              <w:t xml:space="preserve">(38) ACT-CT-NEZA-EXT-XXXVIII-2025.pdf: </w:t>
            </w:r>
            <w:r w:rsidRPr="002B3E9A">
              <w:rPr>
                <w:rFonts w:ascii="Palatino Linotype" w:eastAsia="Palatino Linotype" w:hAnsi="Palatino Linotype" w:cs="Palatino Linotype"/>
                <w:i/>
                <w:iCs/>
              </w:rPr>
              <w:t xml:space="preserve">Acta del Comité de Transparencia mediante la cual se aprueba el cambio de modalidad a consulta directa, refiriendo que fue notificado al Director de Informática de este Órgano Garante, la imposibilidad para entregar la información. </w:t>
            </w:r>
          </w:p>
          <w:p w:rsidR="003539F6" w:rsidRPr="002B3E9A" w:rsidRDefault="003539F6">
            <w:pPr>
              <w:ind w:right="7"/>
              <w:jc w:val="both"/>
              <w:rPr>
                <w:rFonts w:ascii="Palatino Linotype" w:eastAsia="Palatino Linotype" w:hAnsi="Palatino Linotype" w:cs="Palatino Linotype"/>
                <w:i/>
                <w:iCs/>
              </w:rPr>
            </w:pPr>
          </w:p>
        </w:tc>
        <w:tc>
          <w:tcPr>
            <w:tcW w:w="2293" w:type="dxa"/>
          </w:tcPr>
          <w:p w:rsidR="003539F6" w:rsidRPr="002B3E9A" w:rsidRDefault="00353053">
            <w:pPr>
              <w:ind w:right="7"/>
              <w:rPr>
                <w:rFonts w:ascii="Palatino Linotype" w:eastAsia="Palatino Linotype" w:hAnsi="Palatino Linotype" w:cs="Palatino Linotype"/>
                <w:i/>
                <w:iCs/>
              </w:rPr>
            </w:pPr>
            <w:r w:rsidRPr="002B3E9A">
              <w:rPr>
                <w:rFonts w:ascii="Palatino Linotype" w:eastAsia="Palatino Linotype" w:hAnsi="Palatino Linotype" w:cs="Palatino Linotype"/>
                <w:i/>
                <w:iCs/>
              </w:rPr>
              <w:lastRenderedPageBreak/>
              <w:t xml:space="preserve">Ratifica respuesta inicial </w:t>
            </w:r>
          </w:p>
        </w:tc>
        <w:tc>
          <w:tcPr>
            <w:tcW w:w="1952" w:type="dxa"/>
          </w:tcPr>
          <w:p w:rsidR="003539F6" w:rsidRPr="002B3E9A" w:rsidRDefault="00353053">
            <w:pPr>
              <w:ind w:right="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 xml:space="preserve">No colma, toda vez que </w:t>
            </w:r>
            <w:r w:rsidR="00AB1B15" w:rsidRPr="002B3E9A">
              <w:rPr>
                <w:rFonts w:ascii="Palatino Linotype" w:eastAsia="Palatino Linotype" w:hAnsi="Palatino Linotype" w:cs="Palatino Linotype"/>
                <w:i/>
                <w:iCs/>
              </w:rPr>
              <w:t xml:space="preserve">la </w:t>
            </w:r>
            <w:r w:rsidR="00AB1B15" w:rsidRPr="002B3E9A">
              <w:rPr>
                <w:rFonts w:ascii="Palatino Linotype" w:eastAsia="Palatino Linotype" w:hAnsi="Palatino Linotype" w:cs="Palatino Linotype"/>
                <w:i/>
                <w:iCs/>
              </w:rPr>
              <w:lastRenderedPageBreak/>
              <w:t xml:space="preserve">información solicitada respecto de la partida presupuestal 3611 y al tratarse de facturas no se considera validó el número de fojas reportadas. </w:t>
            </w:r>
          </w:p>
          <w:p w:rsidR="003539F6" w:rsidRPr="002B3E9A" w:rsidRDefault="003539F6">
            <w:pPr>
              <w:ind w:right="7"/>
              <w:jc w:val="both"/>
              <w:rPr>
                <w:rFonts w:ascii="Palatino Linotype" w:eastAsia="Palatino Linotype" w:hAnsi="Palatino Linotype" w:cs="Palatino Linotype"/>
                <w:i/>
                <w:iCs/>
              </w:rPr>
            </w:pPr>
          </w:p>
        </w:tc>
      </w:tr>
    </w:tbl>
    <w:p w:rsidR="003539F6" w:rsidRPr="002B3E9A" w:rsidRDefault="003539F6" w:rsidP="00AB1B15">
      <w:pPr>
        <w:spacing w:line="360" w:lineRule="auto"/>
        <w:ind w:right="-1417"/>
        <w:jc w:val="both"/>
        <w:rPr>
          <w:rFonts w:ascii="Palatino Linotype" w:eastAsia="Palatino Linotype" w:hAnsi="Palatino Linotype" w:cs="Palatino Linotype"/>
        </w:rPr>
      </w:pPr>
    </w:p>
    <w:p w:rsidR="003539F6" w:rsidRPr="002B3E9A" w:rsidRDefault="00353053">
      <w:pPr>
        <w:numPr>
          <w:ilvl w:val="0"/>
          <w:numId w:val="3"/>
        </w:numP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En </w:t>
      </w:r>
      <w:r w:rsidRPr="002B3E9A">
        <w:rPr>
          <w:rFonts w:ascii="Palatino Linotype" w:eastAsia="Palatino Linotype" w:hAnsi="Palatino Linotype" w:cs="Palatino Linotype"/>
        </w:rPr>
        <w:t>consecuencia</w:t>
      </w:r>
      <w:r w:rsidRPr="002B3E9A">
        <w:rPr>
          <w:rFonts w:ascii="Palatino Linotype" w:eastAsia="Palatino Linotype" w:hAnsi="Palatino Linotype" w:cs="Palatino Linotype"/>
          <w:color w:val="000000"/>
        </w:rPr>
        <w:t xml:space="preserve">,  se debe de establecer que el </w:t>
      </w:r>
      <w:r w:rsidRPr="002B3E9A">
        <w:rPr>
          <w:rFonts w:ascii="Palatino Linotype" w:eastAsia="Palatino Linotype" w:hAnsi="Palatino Linotype" w:cs="Palatino Linotype"/>
          <w:b/>
          <w:bCs/>
          <w:color w:val="000000"/>
        </w:rPr>
        <w:t xml:space="preserve">SUJETO OBLIGADO </w:t>
      </w:r>
      <w:r w:rsidRPr="002B3E9A">
        <w:rPr>
          <w:rFonts w:ascii="Palatino Linotype" w:eastAsia="Palatino Linotype" w:hAnsi="Palatino Linotype" w:cs="Palatino Linotype"/>
          <w:color w:val="000000"/>
        </w:rPr>
        <w:t xml:space="preserve">no </w:t>
      </w:r>
      <w:r w:rsidRPr="002B3E9A">
        <w:rPr>
          <w:rFonts w:ascii="Palatino Linotype" w:eastAsia="Palatino Linotype" w:hAnsi="Palatino Linotype" w:cs="Palatino Linotype"/>
        </w:rPr>
        <w:t>colmó</w:t>
      </w:r>
      <w:r w:rsidRPr="002B3E9A">
        <w:rPr>
          <w:rFonts w:ascii="Palatino Linotype" w:eastAsia="Palatino Linotype" w:hAnsi="Palatino Linotype" w:cs="Palatino Linotype"/>
          <w:color w:val="000000"/>
        </w:rPr>
        <w:t xml:space="preserve"> el derecho de acceso a la </w:t>
      </w:r>
      <w:r w:rsidR="00AB1B15" w:rsidRPr="002B3E9A">
        <w:rPr>
          <w:rFonts w:ascii="Palatino Linotype" w:eastAsia="Palatino Linotype" w:hAnsi="Palatino Linotype" w:cs="Palatino Linotype"/>
          <w:color w:val="000000"/>
        </w:rPr>
        <w:t>información de la</w:t>
      </w:r>
      <w:r w:rsidRPr="002B3E9A">
        <w:rPr>
          <w:rFonts w:ascii="Palatino Linotype" w:eastAsia="Palatino Linotype" w:hAnsi="Palatino Linotype" w:cs="Palatino Linotype"/>
          <w:color w:val="000000"/>
        </w:rPr>
        <w:t xml:space="preserve"> </w:t>
      </w:r>
      <w:r w:rsidRPr="002B3E9A">
        <w:rPr>
          <w:rFonts w:ascii="Palatino Linotype" w:eastAsia="Palatino Linotype" w:hAnsi="Palatino Linotype" w:cs="Palatino Linotype"/>
          <w:b/>
          <w:bCs/>
          <w:color w:val="000000"/>
        </w:rPr>
        <w:t xml:space="preserve">RECURRENTE </w:t>
      </w:r>
      <w:r w:rsidRPr="002B3E9A">
        <w:rPr>
          <w:rFonts w:ascii="Palatino Linotype" w:eastAsia="Palatino Linotype" w:hAnsi="Palatino Linotype" w:cs="Palatino Linotype"/>
          <w:color w:val="000000"/>
        </w:rPr>
        <w:t xml:space="preserve">situación por la cual se hace el siguiente </w:t>
      </w:r>
      <w:r w:rsidRPr="002B3E9A">
        <w:rPr>
          <w:rFonts w:ascii="Palatino Linotype" w:eastAsia="Palatino Linotype" w:hAnsi="Palatino Linotype" w:cs="Palatino Linotype"/>
        </w:rPr>
        <w:t>análisis</w:t>
      </w:r>
      <w:r w:rsidR="00AB1B15" w:rsidRPr="002B3E9A">
        <w:rPr>
          <w:rFonts w:ascii="Palatino Linotype" w:eastAsia="Palatino Linotype" w:hAnsi="Palatino Linotype" w:cs="Palatino Linotype"/>
          <w:color w:val="000000"/>
        </w:rPr>
        <w:t xml:space="preserve">, en cuanto a la partida presupuestal 3611. </w:t>
      </w:r>
    </w:p>
    <w:p w:rsidR="003539F6" w:rsidRPr="002B3E9A" w:rsidRDefault="003539F6">
      <w:pPr>
        <w:spacing w:line="360" w:lineRule="auto"/>
        <w:ind w:right="-1417"/>
        <w:jc w:val="both"/>
        <w:rPr>
          <w:rFonts w:ascii="Palatino Linotype" w:eastAsia="Palatino Linotype" w:hAnsi="Palatino Linotype" w:cs="Palatino Linotype"/>
          <w:color w:val="000000"/>
        </w:rPr>
      </w:pPr>
    </w:p>
    <w:p w:rsidR="00AB1B15" w:rsidRPr="002B3E9A" w:rsidRDefault="00AB1B15" w:rsidP="00AB1B15">
      <w:pPr>
        <w:numPr>
          <w:ilvl w:val="0"/>
          <w:numId w:val="3"/>
        </w:numPr>
        <w:spacing w:line="360" w:lineRule="auto"/>
        <w:ind w:left="0" w:right="-1417" w:firstLine="0"/>
        <w:jc w:val="both"/>
        <w:rPr>
          <w:rFonts w:ascii="Palatino Linotype" w:hAnsi="Palatino Linotype"/>
        </w:rPr>
      </w:pPr>
      <w:r w:rsidRPr="002B3E9A">
        <w:rPr>
          <w:rFonts w:ascii="Palatino Linotype" w:hAnsi="Palatino Linotype"/>
          <w:color w:val="000000"/>
        </w:rPr>
        <w:t xml:space="preserve">Al respecto el artículo 31, fracción XVIII y XIX de la Ley Orgánica Municipal del Estado de México </w:t>
      </w:r>
      <w:r w:rsidRPr="002B3E9A">
        <w:rPr>
          <w:rFonts w:ascii="Palatino Linotype" w:eastAsia="Palatino Linotype" w:hAnsi="Palatino Linotype" w:cs="Palatino Linotype"/>
          <w:color w:val="000000"/>
        </w:rPr>
        <w:t>prevé</w:t>
      </w:r>
      <w:r w:rsidRPr="002B3E9A">
        <w:rPr>
          <w:rFonts w:ascii="Palatino Linotype" w:hAnsi="Palatino Linotype"/>
          <w:color w:val="000000"/>
        </w:rPr>
        <w:t xml:space="preserve"> que los Ayuntamientos tienen atribuciones para administrar su hacienda y controlar a través del Presidente y Síndico la aplicación del presupuesto de egresos del municipio; además deberán </w:t>
      </w:r>
      <w:r w:rsidRPr="002B3E9A">
        <w:rPr>
          <w:rFonts w:ascii="Palatino Linotype" w:hAnsi="Palatino Linotype"/>
        </w:rPr>
        <w:t xml:space="preserve">aprobar anualmente a más tardar el 20 de diciembre, su Presupuesto de Egresos, en base a los ingresos presupuestados para el </w:t>
      </w:r>
      <w:r w:rsidRPr="002B3E9A">
        <w:rPr>
          <w:rFonts w:ascii="Palatino Linotype" w:hAnsi="Palatino Linotype"/>
        </w:rPr>
        <w:lastRenderedPageBreak/>
        <w:t>ejercicio que corresponda, el cual podrá ser adecuado en función de las implicaciones que deriven de la aprobación de la Ley de Ingresos Municipal que haga la Legislatura, así como por la asignación de las participaciones y aportaciones federales y estatales.</w:t>
      </w:r>
    </w:p>
    <w:p w:rsidR="00AB1B15" w:rsidRPr="002B3E9A" w:rsidRDefault="00AB1B15" w:rsidP="00AB1B15">
      <w:pPr>
        <w:spacing w:line="360" w:lineRule="auto"/>
        <w:rPr>
          <w:rFonts w:ascii="Palatino Linotype" w:hAnsi="Palatino Linotype"/>
        </w:rPr>
      </w:pPr>
    </w:p>
    <w:p w:rsidR="00AB1B15" w:rsidRPr="002B3E9A" w:rsidRDefault="00AB1B15" w:rsidP="00AB1B15">
      <w:pPr>
        <w:numPr>
          <w:ilvl w:val="0"/>
          <w:numId w:val="3"/>
        </w:numPr>
        <w:spacing w:line="360" w:lineRule="auto"/>
        <w:ind w:left="0" w:right="-1417" w:firstLine="0"/>
        <w:jc w:val="both"/>
        <w:rPr>
          <w:rFonts w:ascii="Palatino Linotype" w:hAnsi="Palatino Linotype"/>
        </w:rPr>
      </w:pPr>
      <w:r w:rsidRPr="002B3E9A">
        <w:rPr>
          <w:rFonts w:ascii="Palatino Linotype" w:hAnsi="Palatino Linotype"/>
        </w:rPr>
        <w:t xml:space="preserve">Por su parte, los </w:t>
      </w:r>
      <w:r w:rsidRPr="002B3E9A">
        <w:rPr>
          <w:rFonts w:ascii="Palatino Linotype" w:eastAsia="Palatino Linotype" w:hAnsi="Palatino Linotype" w:cs="Palatino Linotype"/>
          <w:color w:val="000000"/>
        </w:rPr>
        <w:t>artículos</w:t>
      </w:r>
      <w:r w:rsidRPr="002B3E9A">
        <w:rPr>
          <w:rFonts w:ascii="Palatino Linotype" w:hAnsi="Palatino Linotype"/>
        </w:rPr>
        <w:t xml:space="preserve"> 99 y 100 de la misma Ley prevé que el presidente municipal presentará anualmente al ayuntamiento a más tardar el 20 de diciembre, el proyecto de presupuesto de egresos, para su consideración y aprobación; y que dicho presupuesto deberá contener las previsiones de gasto público que habrán de realizar los municipios. </w:t>
      </w:r>
    </w:p>
    <w:p w:rsidR="00AB1B15" w:rsidRPr="002B3E9A" w:rsidRDefault="00AB1B15" w:rsidP="00AB1B15">
      <w:pPr>
        <w:spacing w:line="360" w:lineRule="auto"/>
        <w:rPr>
          <w:rFonts w:ascii="Palatino Linotype" w:hAnsi="Palatino Linotype"/>
        </w:rPr>
      </w:pPr>
    </w:p>
    <w:p w:rsidR="00AB1B15" w:rsidRPr="002B3E9A" w:rsidRDefault="00AB1B15" w:rsidP="00AB1B15">
      <w:pPr>
        <w:numPr>
          <w:ilvl w:val="0"/>
          <w:numId w:val="3"/>
        </w:numPr>
        <w:spacing w:line="360" w:lineRule="auto"/>
        <w:ind w:left="0" w:right="-1417" w:firstLine="0"/>
        <w:jc w:val="both"/>
        <w:rPr>
          <w:rFonts w:ascii="Palatino Linotype" w:hAnsi="Palatino Linotype"/>
          <w:color w:val="000000"/>
        </w:rPr>
      </w:pPr>
      <w:r w:rsidRPr="002B3E9A">
        <w:rPr>
          <w:rFonts w:ascii="Palatino Linotype" w:hAnsi="Palatino Linotype"/>
          <w:color w:val="000000"/>
        </w:rPr>
        <w:t xml:space="preserve">Aunado a lo </w:t>
      </w:r>
      <w:r w:rsidRPr="002B3E9A">
        <w:rPr>
          <w:rFonts w:ascii="Palatino Linotype" w:eastAsia="Palatino Linotype" w:hAnsi="Palatino Linotype" w:cs="Palatino Linotype"/>
          <w:color w:val="000000"/>
        </w:rPr>
        <w:t>anterior</w:t>
      </w:r>
      <w:r w:rsidRPr="002B3E9A">
        <w:rPr>
          <w:rFonts w:ascii="Palatino Linotype" w:hAnsi="Palatino Linotype"/>
          <w:color w:val="000000"/>
        </w:rPr>
        <w:t>, el artículo 101 de la Ley Orgánica Municipal del Estado de México prevé que el proyecto de presupuesto de egresos se integrará básicamente de lo siguiente:</w:t>
      </w:r>
    </w:p>
    <w:p w:rsidR="00AB1B15" w:rsidRPr="002B3E9A" w:rsidRDefault="00AB1B15" w:rsidP="00AB1B15">
      <w:pPr>
        <w:ind w:left="1134" w:right="277"/>
        <w:jc w:val="both"/>
        <w:rPr>
          <w:rFonts w:ascii="Palatino Linotype" w:hAnsi="Palatino Linotype"/>
          <w:i/>
        </w:rPr>
      </w:pPr>
      <w:r w:rsidRPr="002B3E9A">
        <w:rPr>
          <w:rFonts w:ascii="Palatino Linotype" w:hAnsi="Palatino Linotype"/>
          <w:i/>
        </w:rPr>
        <w:t xml:space="preserve">I. Los programas en que se señalen objetivos, metas y unidades responsables para su ejecución, así </w:t>
      </w:r>
      <w:r w:rsidRPr="002B3E9A">
        <w:rPr>
          <w:rFonts w:ascii="Palatino Linotype" w:eastAsia="Palatino Linotype" w:hAnsi="Palatino Linotype" w:cs="Palatino Linotype"/>
          <w:i/>
          <w:color w:val="000000"/>
        </w:rPr>
        <w:t>como</w:t>
      </w:r>
      <w:r w:rsidRPr="002B3E9A">
        <w:rPr>
          <w:rFonts w:ascii="Palatino Linotype" w:hAnsi="Palatino Linotype"/>
          <w:i/>
        </w:rPr>
        <w:t xml:space="preserve"> la valuación estimada del programa; </w:t>
      </w:r>
    </w:p>
    <w:p w:rsidR="00AB1B15" w:rsidRPr="002B3E9A" w:rsidRDefault="00AB1B15" w:rsidP="00AB1B15">
      <w:pPr>
        <w:ind w:left="1134" w:right="277"/>
        <w:rPr>
          <w:rFonts w:ascii="Palatino Linotype" w:hAnsi="Palatino Linotype"/>
          <w:i/>
        </w:rPr>
      </w:pPr>
      <w:r w:rsidRPr="002B3E9A">
        <w:rPr>
          <w:rFonts w:ascii="Palatino Linotype" w:hAnsi="Palatino Linotype"/>
          <w:i/>
        </w:rPr>
        <w:t xml:space="preserve">II. Estimación de los ingresos y gastos del ejercicio fiscal calendarizados; </w:t>
      </w:r>
    </w:p>
    <w:p w:rsidR="00AB1B15" w:rsidRPr="002B3E9A" w:rsidRDefault="00AB1B15" w:rsidP="00AB1B15">
      <w:pPr>
        <w:ind w:left="1134" w:right="277"/>
        <w:rPr>
          <w:rFonts w:ascii="Palatino Linotype" w:hAnsi="Palatino Linotype"/>
          <w:i/>
        </w:rPr>
      </w:pPr>
      <w:r w:rsidRPr="002B3E9A">
        <w:rPr>
          <w:rFonts w:ascii="Palatino Linotype" w:hAnsi="Palatino Linotype"/>
          <w:i/>
        </w:rPr>
        <w:t>III. Situación de la deuda pública, incluyendo el contingente económico de los litigios laborales en los que el ayuntamiento forme parte.</w:t>
      </w:r>
    </w:p>
    <w:p w:rsidR="00AB1B15" w:rsidRPr="002B3E9A" w:rsidRDefault="00AB1B15" w:rsidP="00AB1B15">
      <w:pPr>
        <w:spacing w:line="360" w:lineRule="auto"/>
        <w:rPr>
          <w:rFonts w:ascii="Palatino Linotype" w:hAnsi="Palatino Linotype"/>
          <w:color w:val="000000"/>
        </w:rPr>
      </w:pPr>
    </w:p>
    <w:p w:rsidR="00AB1B15" w:rsidRPr="002B3E9A" w:rsidRDefault="00AB1B15" w:rsidP="00AB1B15">
      <w:pPr>
        <w:numPr>
          <w:ilvl w:val="0"/>
          <w:numId w:val="3"/>
        </w:numPr>
        <w:spacing w:line="360" w:lineRule="auto"/>
        <w:ind w:left="0" w:right="-1417" w:firstLine="0"/>
        <w:jc w:val="both"/>
        <w:rPr>
          <w:rFonts w:ascii="Palatino Linotype" w:hAnsi="Palatino Linotype"/>
          <w:color w:val="000000"/>
        </w:rPr>
      </w:pPr>
      <w:r w:rsidRPr="002B3E9A">
        <w:rPr>
          <w:rFonts w:ascii="Palatino Linotype" w:hAnsi="Palatino Linotype"/>
          <w:color w:val="000000"/>
        </w:rPr>
        <w:t>A fin de lograr lo anterior se cuenta con un Manual para la Planeación, Programación y Presupuesto de Egresos Municipal para el Ejercicio Fiscal 2025, del que se desprenden las particularidades para la entrega del presupuesto de egresos para el año 2025 que debió ser tomada en consideración por los Municipios del Estado de México.</w:t>
      </w:r>
    </w:p>
    <w:p w:rsidR="00AB1B15" w:rsidRPr="002B3E9A" w:rsidRDefault="00AB1B15" w:rsidP="00AB1B15">
      <w:pPr>
        <w:spacing w:line="360" w:lineRule="auto"/>
        <w:rPr>
          <w:rFonts w:ascii="Palatino Linotype" w:hAnsi="Palatino Linotype"/>
        </w:rPr>
      </w:pPr>
    </w:p>
    <w:p w:rsidR="00AB1B15" w:rsidRPr="002B3E9A" w:rsidRDefault="00AB1B15" w:rsidP="00AB1B15">
      <w:pPr>
        <w:numPr>
          <w:ilvl w:val="0"/>
          <w:numId w:val="3"/>
        </w:numPr>
        <w:spacing w:line="360" w:lineRule="auto"/>
        <w:ind w:left="0" w:right="-1417" w:firstLine="0"/>
        <w:jc w:val="both"/>
        <w:rPr>
          <w:rFonts w:ascii="Palatino Linotype" w:hAnsi="Palatino Linotype"/>
        </w:rPr>
      </w:pPr>
      <w:r w:rsidRPr="002B3E9A">
        <w:rPr>
          <w:rFonts w:ascii="Palatino Linotype" w:hAnsi="Palatino Linotype"/>
        </w:rPr>
        <w:lastRenderedPageBreak/>
        <w:t xml:space="preserve">Aunado a </w:t>
      </w:r>
      <w:r w:rsidRPr="002B3E9A">
        <w:rPr>
          <w:rFonts w:ascii="Palatino Linotype" w:hAnsi="Palatino Linotype"/>
          <w:color w:val="000000"/>
        </w:rPr>
        <w:t>lo</w:t>
      </w:r>
      <w:r w:rsidRPr="002B3E9A">
        <w:rPr>
          <w:rFonts w:ascii="Palatino Linotype" w:hAnsi="Palatino Linotype"/>
        </w:rPr>
        <w:t xml:space="preserve"> anterior el Manual para la Planeación, Programación y Presupuesto de Egresos Municipal para el Ejercicio Fiscal 2025 prevé respecto a la partida presupuestal 3611 lo siguiente:</w:t>
      </w:r>
    </w:p>
    <w:p w:rsidR="00AB1B15" w:rsidRPr="002B3E9A" w:rsidRDefault="00AB1B15" w:rsidP="00AB1B15">
      <w:pPr>
        <w:spacing w:line="360" w:lineRule="auto"/>
        <w:rPr>
          <w:rFonts w:ascii="Palatino Linotype" w:hAnsi="Palatino Linotype"/>
        </w:rPr>
      </w:pPr>
    </w:p>
    <w:p w:rsidR="00AB1B15" w:rsidRPr="002B3E9A" w:rsidRDefault="00AB1B15" w:rsidP="00AB1B15">
      <w:pPr>
        <w:spacing w:line="360" w:lineRule="auto"/>
        <w:jc w:val="center"/>
        <w:rPr>
          <w:rFonts w:ascii="Palatino Linotype" w:hAnsi="Palatino Linotype"/>
        </w:rPr>
      </w:pPr>
      <w:r w:rsidRPr="002B3E9A">
        <w:rPr>
          <w:rFonts w:ascii="Palatino Linotype" w:hAnsi="Palatino Linotype"/>
          <w:noProof/>
        </w:rPr>
        <w:drawing>
          <wp:inline distT="0" distB="0" distL="0" distR="0" wp14:anchorId="10DF6ED8" wp14:editId="66AC02EC">
            <wp:extent cx="5019675" cy="1866900"/>
            <wp:effectExtent l="0" t="0" r="9525"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8"/>
                    <a:srcRect b="10888"/>
                    <a:stretch/>
                  </pic:blipFill>
                  <pic:spPr bwMode="auto">
                    <a:xfrm>
                      <a:off x="0" y="0"/>
                      <a:ext cx="5019675" cy="1866900"/>
                    </a:xfrm>
                    <a:prstGeom prst="rect">
                      <a:avLst/>
                    </a:prstGeom>
                    <a:ln>
                      <a:noFill/>
                    </a:ln>
                    <a:extLst>
                      <a:ext uri="{53640926-AAD7-44D8-BBD7-CCE9431645EC}">
                        <a14:shadowObscured xmlns:a14="http://schemas.microsoft.com/office/drawing/2010/main"/>
                      </a:ext>
                    </a:extLst>
                  </pic:spPr>
                </pic:pic>
              </a:graphicData>
            </a:graphic>
          </wp:inline>
        </w:drawing>
      </w:r>
    </w:p>
    <w:p w:rsidR="00AB1B15" w:rsidRPr="002B3E9A" w:rsidRDefault="00AB1B15" w:rsidP="00AB1B15">
      <w:pPr>
        <w:spacing w:line="360" w:lineRule="auto"/>
        <w:jc w:val="center"/>
        <w:rPr>
          <w:rFonts w:ascii="Palatino Linotype" w:hAnsi="Palatino Linotype"/>
        </w:rPr>
      </w:pPr>
    </w:p>
    <w:p w:rsidR="00AB1B15" w:rsidRPr="002B3E9A" w:rsidRDefault="00AB1B15" w:rsidP="00AB1B15">
      <w:pPr>
        <w:numPr>
          <w:ilvl w:val="0"/>
          <w:numId w:val="3"/>
        </w:numPr>
        <w:spacing w:line="360" w:lineRule="auto"/>
        <w:ind w:left="0" w:right="-1417" w:firstLine="0"/>
        <w:jc w:val="both"/>
        <w:rPr>
          <w:rFonts w:ascii="Palatino Linotype" w:hAnsi="Palatino Linotype"/>
        </w:rPr>
      </w:pPr>
      <w:r w:rsidRPr="002B3E9A">
        <w:rPr>
          <w:rFonts w:ascii="Palatino Linotype" w:hAnsi="Palatino Linotype"/>
        </w:rPr>
        <w:t xml:space="preserve">Aunado a lo anterior, los gastos emitidos en materia de publicidad y propaganda pueden tener lugar a través de la contratación pública, al respecto, López Olvera, Miguel </w:t>
      </w:r>
      <w:r w:rsidRPr="002B3E9A">
        <w:rPr>
          <w:rFonts w:ascii="Palatino Linotype" w:hAnsi="Palatino Linotype"/>
          <w:color w:val="000000"/>
        </w:rPr>
        <w:t>Alejandro</w:t>
      </w:r>
      <w:r w:rsidRPr="002B3E9A">
        <w:rPr>
          <w:rFonts w:ascii="Palatino Linotype" w:hAnsi="Palatino Linotype"/>
        </w:rPr>
        <w:t xml:space="preserve"> Cancino Gómez, Rodolfo. (2020). “La Contratación Pública y el Sistema Nacional Anticorrupción”. (p. 4) la </w:t>
      </w:r>
      <w:r w:rsidRPr="002B3E9A">
        <w:rPr>
          <w:rFonts w:ascii="Palatino Linotype" w:hAnsi="Palatino Linotype"/>
          <w:b/>
          <w:bCs/>
        </w:rPr>
        <w:t>contratación pública</w:t>
      </w:r>
      <w:r w:rsidRPr="002B3E9A">
        <w:rPr>
          <w:rFonts w:ascii="Palatino Linotype" w:hAnsi="Palatino Linotype"/>
        </w:rPr>
        <w:t xml:space="preserve">, es el procedimiento de carácter administrativo, por medio del cual, un ente público selecciona y posteriormente, celebra un acuerdo de voluntades, con una persona física o jurídica colectiva, para que ésta, entregue o arrende un bien, </w:t>
      </w:r>
      <w:r w:rsidRPr="002B3E9A">
        <w:rPr>
          <w:rFonts w:ascii="Palatino Linotype" w:hAnsi="Palatino Linotype"/>
          <w:b/>
          <w:bCs/>
        </w:rPr>
        <w:t>preste algún servicio público</w:t>
      </w:r>
      <w:r w:rsidRPr="002B3E9A">
        <w:rPr>
          <w:rFonts w:ascii="Palatino Linotype" w:hAnsi="Palatino Linotype"/>
        </w:rPr>
        <w:t xml:space="preserve"> o lleve a cabo la ejecución de una obra pública, con recursos públicos del Estado y en beneficio de la colectividad.</w:t>
      </w:r>
    </w:p>
    <w:p w:rsidR="00AB1B15" w:rsidRPr="002B3E9A" w:rsidRDefault="00AB1B15" w:rsidP="00AB1B15">
      <w:pPr>
        <w:spacing w:line="360" w:lineRule="auto"/>
        <w:rPr>
          <w:rFonts w:ascii="Palatino Linotype" w:hAnsi="Palatino Linotype"/>
        </w:rPr>
      </w:pPr>
    </w:p>
    <w:p w:rsidR="00AB1B15" w:rsidRPr="002B3E9A" w:rsidRDefault="00AB1B15" w:rsidP="00AB1B15">
      <w:pPr>
        <w:numPr>
          <w:ilvl w:val="0"/>
          <w:numId w:val="3"/>
        </w:numPr>
        <w:spacing w:line="360" w:lineRule="auto"/>
        <w:ind w:left="0" w:right="-1417" w:firstLine="0"/>
        <w:jc w:val="both"/>
        <w:rPr>
          <w:rFonts w:ascii="Palatino Linotype" w:hAnsi="Palatino Linotype"/>
        </w:rPr>
      </w:pPr>
      <w:r w:rsidRPr="002B3E9A">
        <w:rPr>
          <w:rFonts w:ascii="Palatino Linotype" w:hAnsi="Palatino Linotype"/>
        </w:rPr>
        <w:t xml:space="preserve">Por otra parte, los artículos 1°, fracción III, y 4°de la Ley de la de Contratación Pública del </w:t>
      </w:r>
      <w:r w:rsidRPr="002B3E9A">
        <w:rPr>
          <w:rFonts w:ascii="Palatino Linotype" w:hAnsi="Palatino Linotype"/>
          <w:color w:val="000000"/>
        </w:rPr>
        <w:t>Estado</w:t>
      </w:r>
      <w:r w:rsidRPr="002B3E9A">
        <w:rPr>
          <w:rFonts w:ascii="Palatino Linotype" w:hAnsi="Palatino Linotype"/>
        </w:rPr>
        <w:t xml:space="preserve"> de México y Municipios, especifica que los Ayuntamientos serán los encargados de realizar los actos relativos a la planeación, programación, presupuestación, ejecución y </w:t>
      </w:r>
      <w:r w:rsidRPr="002B3E9A">
        <w:rPr>
          <w:rFonts w:ascii="Palatino Linotype" w:hAnsi="Palatino Linotype"/>
        </w:rPr>
        <w:lastRenderedPageBreak/>
        <w:t xml:space="preserve">control de la adquisición (bienes muebles e inmuebles), arrendamiento (bienes muebles e inmuebles), y la </w:t>
      </w:r>
      <w:r w:rsidRPr="002B3E9A">
        <w:rPr>
          <w:rFonts w:ascii="Palatino Linotype" w:hAnsi="Palatino Linotype"/>
          <w:b/>
          <w:bCs/>
        </w:rPr>
        <w:t>contratación de servicios</w:t>
      </w:r>
      <w:r w:rsidRPr="002B3E9A">
        <w:rPr>
          <w:rFonts w:ascii="Palatino Linotype" w:hAnsi="Palatino Linotype"/>
        </w:rPr>
        <w:t xml:space="preserve"> de cualquier naturaleza. </w:t>
      </w:r>
    </w:p>
    <w:p w:rsidR="00AB1B15" w:rsidRPr="002B3E9A" w:rsidRDefault="00AB1B15" w:rsidP="00AB1B15">
      <w:pPr>
        <w:spacing w:line="360" w:lineRule="auto"/>
        <w:rPr>
          <w:rFonts w:ascii="Palatino Linotype" w:hAnsi="Palatino Linotype"/>
        </w:rPr>
      </w:pPr>
    </w:p>
    <w:p w:rsidR="00AB1B15" w:rsidRPr="002B3E9A" w:rsidRDefault="00AB1B15" w:rsidP="00AB1B15">
      <w:pPr>
        <w:numPr>
          <w:ilvl w:val="0"/>
          <w:numId w:val="3"/>
        </w:numPr>
        <w:spacing w:line="360" w:lineRule="auto"/>
        <w:ind w:left="0" w:right="-1417" w:firstLine="0"/>
        <w:jc w:val="both"/>
        <w:rPr>
          <w:rFonts w:ascii="Palatino Linotype" w:hAnsi="Palatino Linotype"/>
        </w:rPr>
      </w:pPr>
      <w:r w:rsidRPr="002B3E9A">
        <w:rPr>
          <w:rFonts w:ascii="Palatino Linotype" w:hAnsi="Palatino Linotype"/>
        </w:rPr>
        <w:t xml:space="preserve">En ese contexto, conforme a los artículos 26 y 27 de dicho ordenamiento jurídico, las adquisiciones, arrendamientos y </w:t>
      </w:r>
      <w:r w:rsidRPr="002B3E9A">
        <w:rPr>
          <w:rFonts w:ascii="Palatino Linotype" w:hAnsi="Palatino Linotype"/>
          <w:b/>
          <w:bCs/>
        </w:rPr>
        <w:t>servicios</w:t>
      </w:r>
      <w:r w:rsidRPr="002B3E9A">
        <w:rPr>
          <w:rFonts w:ascii="Palatino Linotype" w:hAnsi="Palatino Linotype"/>
        </w:rPr>
        <w:t xml:space="preserve">, se adjudicarán a través de procedimientos de licitación </w:t>
      </w:r>
      <w:r w:rsidRPr="002B3E9A">
        <w:rPr>
          <w:rFonts w:ascii="Palatino Linotype" w:hAnsi="Palatino Linotype"/>
          <w:color w:val="000000"/>
        </w:rPr>
        <w:t>pública</w:t>
      </w:r>
      <w:r w:rsidRPr="002B3E9A">
        <w:rPr>
          <w:rFonts w:ascii="Palatino Linotype" w:hAnsi="Palatino Linotype"/>
        </w:rPr>
        <w:t>, invitación restringida y adjudicación directa.</w:t>
      </w:r>
    </w:p>
    <w:p w:rsidR="00AB1B15" w:rsidRPr="002B3E9A" w:rsidRDefault="00AB1B15" w:rsidP="00AB1B15">
      <w:pPr>
        <w:spacing w:line="360" w:lineRule="auto"/>
        <w:rPr>
          <w:rFonts w:ascii="Palatino Linotype" w:hAnsi="Palatino Linotype"/>
        </w:rPr>
      </w:pPr>
    </w:p>
    <w:p w:rsidR="00AB1B15" w:rsidRPr="002B3E9A" w:rsidRDefault="00AB1B15" w:rsidP="00AB1B15">
      <w:pPr>
        <w:numPr>
          <w:ilvl w:val="0"/>
          <w:numId w:val="3"/>
        </w:numPr>
        <w:spacing w:line="360" w:lineRule="auto"/>
        <w:ind w:left="0" w:right="-1417" w:firstLine="0"/>
        <w:jc w:val="both"/>
        <w:rPr>
          <w:rFonts w:ascii="Palatino Linotype" w:hAnsi="Palatino Linotype"/>
        </w:rPr>
      </w:pPr>
      <w:r w:rsidRPr="002B3E9A">
        <w:rPr>
          <w:rFonts w:ascii="Palatino Linotype" w:hAnsi="Palatino Linotype"/>
        </w:rPr>
        <w:t xml:space="preserve">En ese orden de ideas, conforme al artículo 65 de la Ley de Contratación Pública del Estado de </w:t>
      </w:r>
      <w:r w:rsidRPr="002B3E9A">
        <w:rPr>
          <w:rFonts w:ascii="Palatino Linotype" w:hAnsi="Palatino Linotype"/>
          <w:color w:val="000000"/>
        </w:rPr>
        <w:t>México</w:t>
      </w:r>
      <w:r w:rsidRPr="002B3E9A">
        <w:rPr>
          <w:rFonts w:ascii="Palatino Linotype" w:hAnsi="Palatino Linotype"/>
        </w:rPr>
        <w:t xml:space="preserve"> y Municipios, la adjudicación de un procedimiento de adquisición y arrendamiento de bienes y </w:t>
      </w:r>
      <w:r w:rsidRPr="002B3E9A">
        <w:rPr>
          <w:rFonts w:ascii="Palatino Linotype" w:hAnsi="Palatino Linotype"/>
          <w:b/>
          <w:bCs/>
        </w:rPr>
        <w:t>contratación de servicios</w:t>
      </w:r>
      <w:r w:rsidRPr="002B3E9A">
        <w:rPr>
          <w:rFonts w:ascii="Palatino Linotype" w:hAnsi="Palatino Linotype"/>
        </w:rPr>
        <w:t xml:space="preserve"> se realizará mediante la suscripción de un </w:t>
      </w:r>
      <w:r w:rsidRPr="002B3E9A">
        <w:rPr>
          <w:rFonts w:ascii="Palatino Linotype" w:hAnsi="Palatino Linotype"/>
          <w:b/>
          <w:bCs/>
        </w:rPr>
        <w:t>contrato,</w:t>
      </w:r>
      <w:r w:rsidRPr="002B3E9A">
        <w:rPr>
          <w:rFonts w:ascii="Palatino Linotype" w:hAnsi="Palatino Linotype"/>
        </w:rPr>
        <w:t xml:space="preserve"> entre el Ayuntamiento y la persona a la cual haya ganado el procedimiento respectivo, dentro de los diez días hábiles siguientes a la notificación del fallo.</w:t>
      </w:r>
    </w:p>
    <w:p w:rsidR="00AB1B15" w:rsidRPr="002B3E9A" w:rsidRDefault="00AB1B15" w:rsidP="00AB1B15">
      <w:pPr>
        <w:spacing w:line="360" w:lineRule="auto"/>
        <w:rPr>
          <w:rFonts w:ascii="Palatino Linotype" w:hAnsi="Palatino Linotype"/>
        </w:rPr>
      </w:pPr>
    </w:p>
    <w:p w:rsidR="00AB1B15" w:rsidRPr="002B3E9A" w:rsidRDefault="00AB1B15" w:rsidP="00AB1B15">
      <w:pPr>
        <w:numPr>
          <w:ilvl w:val="0"/>
          <w:numId w:val="3"/>
        </w:numPr>
        <w:spacing w:line="360" w:lineRule="auto"/>
        <w:ind w:left="0" w:right="-1417" w:firstLine="0"/>
        <w:jc w:val="both"/>
        <w:rPr>
          <w:rFonts w:ascii="Palatino Linotype" w:hAnsi="Palatino Linotype"/>
          <w:b/>
          <w:bCs/>
        </w:rPr>
      </w:pPr>
      <w:r w:rsidRPr="002B3E9A">
        <w:rPr>
          <w:rFonts w:ascii="Palatino Linotype" w:hAnsi="Palatino Linotype"/>
        </w:rPr>
        <w:t xml:space="preserve">Ahora bien, conforme al artículo 120 del Reglamento de la Ley de Contratación Pública del Estado de México y Municipios y diverso 104 el Reglamento del Libro Décimo </w:t>
      </w:r>
      <w:r w:rsidRPr="002B3E9A">
        <w:rPr>
          <w:rFonts w:ascii="Palatino Linotype" w:hAnsi="Palatino Linotype"/>
          <w:color w:val="000000"/>
        </w:rPr>
        <w:t>Segundo</w:t>
      </w:r>
      <w:r w:rsidRPr="002B3E9A">
        <w:rPr>
          <w:rFonts w:ascii="Palatino Linotype" w:hAnsi="Palatino Linotype"/>
        </w:rPr>
        <w:t xml:space="preserve"> del Código Administrativo del Estado de México, dichos actos jurídicos se conforman por diversos datos, entre los cuales, se encuentran los datos de identificación de las partes y del contrato, </w:t>
      </w:r>
      <w:r w:rsidRPr="002B3E9A">
        <w:rPr>
          <w:rFonts w:ascii="Palatino Linotype" w:hAnsi="Palatino Linotype"/>
          <w:b/>
          <w:bCs/>
        </w:rPr>
        <w:t>así como el importe total.</w:t>
      </w:r>
    </w:p>
    <w:p w:rsidR="00AB1B15" w:rsidRPr="002B3E9A" w:rsidRDefault="00AB1B15" w:rsidP="00AB1B15">
      <w:pPr>
        <w:spacing w:line="360" w:lineRule="auto"/>
        <w:rPr>
          <w:rFonts w:ascii="Palatino Linotype" w:hAnsi="Palatino Linotype"/>
          <w:b/>
          <w:bCs/>
        </w:rPr>
      </w:pPr>
    </w:p>
    <w:p w:rsidR="00AB1B15" w:rsidRPr="002B3E9A" w:rsidRDefault="00AB1B15" w:rsidP="00AB1B15">
      <w:pPr>
        <w:numPr>
          <w:ilvl w:val="0"/>
          <w:numId w:val="3"/>
        </w:numPr>
        <w:spacing w:line="360" w:lineRule="auto"/>
        <w:ind w:left="0" w:right="-1417" w:firstLine="0"/>
        <w:jc w:val="both"/>
        <w:rPr>
          <w:rFonts w:ascii="Palatino Linotype" w:hAnsi="Palatino Linotype"/>
        </w:rPr>
      </w:pPr>
      <w:r w:rsidRPr="002B3E9A">
        <w:rPr>
          <w:rFonts w:ascii="Palatino Linotype" w:hAnsi="Palatino Linotype"/>
        </w:rPr>
        <w:t xml:space="preserve">En ese contexto, los artículos 70 fracción VI y 94 fracción III, del Reglamento de la Ley antes </w:t>
      </w:r>
      <w:r w:rsidRPr="002B3E9A">
        <w:rPr>
          <w:rFonts w:ascii="Palatino Linotype" w:hAnsi="Palatino Linotype"/>
          <w:color w:val="000000"/>
        </w:rPr>
        <w:t>mencionada</w:t>
      </w:r>
      <w:r w:rsidRPr="002B3E9A">
        <w:rPr>
          <w:rFonts w:ascii="Palatino Linotype" w:hAnsi="Palatino Linotype"/>
        </w:rPr>
        <w:t xml:space="preserve">, establece que en cuanto al </w:t>
      </w:r>
      <w:r w:rsidRPr="002B3E9A">
        <w:rPr>
          <w:rFonts w:ascii="Palatino Linotype" w:hAnsi="Palatino Linotype"/>
          <w:b/>
          <w:bCs/>
        </w:rPr>
        <w:t>finiquito</w:t>
      </w:r>
      <w:r w:rsidRPr="002B3E9A">
        <w:rPr>
          <w:rFonts w:ascii="Palatino Linotype" w:hAnsi="Palatino Linotype"/>
        </w:rPr>
        <w:t xml:space="preserve"> de la Licitación Pública, Invitación Restringida y Adjudicación Directa, la solicitud de participación contendrá, como mínimo, la descripción y cantidad de los bienes o servicios requeridos, lugar, plazo de entrega o duración del servicio y forma de pago, además de, las condiciones de pago y la </w:t>
      </w:r>
      <w:r w:rsidRPr="002B3E9A">
        <w:rPr>
          <w:rFonts w:ascii="Palatino Linotype" w:hAnsi="Palatino Linotype"/>
        </w:rPr>
        <w:lastRenderedPageBreak/>
        <w:t>indicación de si se otorgará o no anticipo; en cuyo caso, deberá señalarse el porcentaje respectivo, el cual no podrá exceder del cincuenta por ciento del importe total del contrato.</w:t>
      </w:r>
    </w:p>
    <w:p w:rsidR="00AB1B15" w:rsidRPr="002B3E9A" w:rsidRDefault="00AB1B15" w:rsidP="00AB1B15">
      <w:pPr>
        <w:spacing w:line="360" w:lineRule="auto"/>
        <w:rPr>
          <w:rFonts w:ascii="Palatino Linotype" w:hAnsi="Palatino Linotype"/>
          <w:b/>
          <w:bCs/>
        </w:rPr>
      </w:pPr>
    </w:p>
    <w:p w:rsidR="00AB1B15" w:rsidRPr="002B3E9A" w:rsidRDefault="00AB1B15" w:rsidP="00AB1B15">
      <w:pPr>
        <w:numPr>
          <w:ilvl w:val="0"/>
          <w:numId w:val="3"/>
        </w:numPr>
        <w:spacing w:line="360" w:lineRule="auto"/>
        <w:ind w:left="0" w:right="-1417" w:firstLine="0"/>
        <w:jc w:val="both"/>
        <w:rPr>
          <w:rFonts w:ascii="Palatino Linotype" w:hAnsi="Palatino Linotype"/>
          <w:color w:val="000000"/>
        </w:rPr>
      </w:pPr>
      <w:r w:rsidRPr="002B3E9A">
        <w:rPr>
          <w:rFonts w:ascii="Palatino Linotype" w:hAnsi="Palatino Linotype"/>
          <w:color w:val="000000"/>
        </w:rPr>
        <w:t xml:space="preserve">Así mismo, el artículo 92 fracción XXIX, de la Ley de Transparencia y Acceso a la Información Pública del Estado de México y Municipios, precisa que es información que es pública de oficio, la información sobre los procesos y resultados sobre procedimientos de adjudicación directa, invitación restringida y licitación de cualquier naturaleza, </w:t>
      </w:r>
      <w:r w:rsidRPr="002B3E9A">
        <w:rPr>
          <w:rFonts w:ascii="Palatino Linotype" w:hAnsi="Palatino Linotype"/>
          <w:b/>
          <w:bCs/>
          <w:color w:val="000000"/>
        </w:rPr>
        <w:t>que incluye la versión pública del expediente respectivo y de los contratos celebrados.</w:t>
      </w:r>
      <w:r w:rsidRPr="002B3E9A">
        <w:rPr>
          <w:rFonts w:ascii="Palatino Linotype" w:hAnsi="Palatino Linotype"/>
          <w:color w:val="000000"/>
        </w:rPr>
        <w:t xml:space="preserve"> </w:t>
      </w:r>
    </w:p>
    <w:p w:rsidR="00AB1B15" w:rsidRPr="002B3E9A" w:rsidRDefault="00AB1B15" w:rsidP="00AB1B15">
      <w:pPr>
        <w:spacing w:line="360" w:lineRule="auto"/>
        <w:rPr>
          <w:rFonts w:ascii="Palatino Linotype" w:hAnsi="Palatino Linotype"/>
          <w:color w:val="000000"/>
        </w:rPr>
      </w:pPr>
    </w:p>
    <w:p w:rsidR="00AB1B15" w:rsidRPr="002B3E9A" w:rsidRDefault="00AB1B15" w:rsidP="00AB1B15">
      <w:pPr>
        <w:numPr>
          <w:ilvl w:val="0"/>
          <w:numId w:val="3"/>
        </w:numPr>
        <w:spacing w:line="360" w:lineRule="auto"/>
        <w:ind w:left="0" w:right="-1417" w:firstLine="0"/>
        <w:jc w:val="both"/>
        <w:rPr>
          <w:rFonts w:ascii="Palatino Linotype" w:hAnsi="Palatino Linotype"/>
        </w:rPr>
      </w:pPr>
      <w:r w:rsidRPr="002B3E9A">
        <w:rPr>
          <w:rFonts w:ascii="Palatino Linotype" w:hAnsi="Palatino Linotype"/>
        </w:rPr>
        <w:t xml:space="preserve">Lo anterior, se robustece con los Lineamientos técnicos generales para la publicación, </w:t>
      </w:r>
      <w:r w:rsidRPr="002B3E9A">
        <w:rPr>
          <w:rFonts w:ascii="Palatino Linotype" w:hAnsi="Palatino Linotype"/>
          <w:color w:val="000000"/>
        </w:rPr>
        <w:t>homologación</w:t>
      </w:r>
      <w:r w:rsidRPr="002B3E9A">
        <w:rPr>
          <w:rFonts w:ascii="Palatino Linotype" w:hAnsi="Palatino Linotype"/>
        </w:rPr>
        <w:t xml:space="preserve">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tal como se muestra a continuación:</w:t>
      </w:r>
    </w:p>
    <w:p w:rsidR="00AB1B15" w:rsidRPr="002B3E9A" w:rsidRDefault="00AB1B15" w:rsidP="00AB1B15">
      <w:pPr>
        <w:spacing w:line="360" w:lineRule="auto"/>
        <w:ind w:right="-93"/>
        <w:rPr>
          <w:rFonts w:ascii="Palatino Linotype" w:hAnsi="Palatino Linotype"/>
        </w:rPr>
      </w:pPr>
    </w:p>
    <w:p w:rsidR="00AB1B15" w:rsidRPr="002B3E9A" w:rsidRDefault="00AB1B15" w:rsidP="00AB1B15">
      <w:pPr>
        <w:spacing w:line="360" w:lineRule="auto"/>
        <w:ind w:right="-93"/>
        <w:jc w:val="center"/>
        <w:rPr>
          <w:rFonts w:ascii="Palatino Linotype" w:hAnsi="Palatino Linotype"/>
        </w:rPr>
      </w:pPr>
      <w:r w:rsidRPr="002B3E9A">
        <w:rPr>
          <w:rFonts w:ascii="Palatino Linotype" w:hAnsi="Palatino Linotype"/>
          <w:noProof/>
        </w:rPr>
        <mc:AlternateContent>
          <mc:Choice Requires="wps">
            <w:drawing>
              <wp:anchor distT="0" distB="0" distL="114300" distR="114300" simplePos="0" relativeHeight="251659264" behindDoc="0" locked="0" layoutInCell="1" hidden="0" allowOverlap="1" wp14:anchorId="453B75E4" wp14:editId="15268B4A">
                <wp:simplePos x="0" y="0"/>
                <wp:positionH relativeFrom="column">
                  <wp:posOffset>582903</wp:posOffset>
                </wp:positionH>
                <wp:positionV relativeFrom="paragraph">
                  <wp:posOffset>190168</wp:posOffset>
                </wp:positionV>
                <wp:extent cx="704850" cy="1162050"/>
                <wp:effectExtent l="19050" t="19050" r="19050" b="19050"/>
                <wp:wrapNone/>
                <wp:docPr id="2" name="Rectángulo 2"/>
                <wp:cNvGraphicFramePr/>
                <a:graphic xmlns:a="http://schemas.openxmlformats.org/drawingml/2006/main">
                  <a:graphicData uri="http://schemas.microsoft.com/office/word/2010/wordprocessingShape">
                    <wps:wsp>
                      <wps:cNvSpPr/>
                      <wps:spPr>
                        <a:xfrm>
                          <a:off x="0" y="0"/>
                          <a:ext cx="704850" cy="1162050"/>
                        </a:xfrm>
                        <a:prstGeom prst="rect">
                          <a:avLst/>
                        </a:prstGeom>
                        <a:noFill/>
                        <a:ln w="28575" cap="flat" cmpd="sng">
                          <a:solidFill>
                            <a:srgbClr val="FF0000"/>
                          </a:solidFill>
                          <a:prstDash val="solid"/>
                          <a:miter lim="800000"/>
                          <a:headEnd type="none" w="sm" len="sm"/>
                          <a:tailEnd type="none" w="sm" len="sm"/>
                        </a:ln>
                      </wps:spPr>
                      <wps:txbx>
                        <w:txbxContent>
                          <w:p w:rsidR="00353053" w:rsidRDefault="00353053" w:rsidP="00AB1B15">
                            <w:pPr>
                              <w:textDirection w:val="btLr"/>
                            </w:pPr>
                          </w:p>
                        </w:txbxContent>
                      </wps:txbx>
                      <wps:bodyPr spcFirstLastPara="1" wrap="square" lIns="91425" tIns="91425" rIns="91425" bIns="91425" anchor="ctr" anchorCtr="0">
                        <a:noAutofit/>
                      </wps:bodyPr>
                    </wps:wsp>
                  </a:graphicData>
                </a:graphic>
              </wp:anchor>
            </w:drawing>
          </mc:Choice>
          <mc:Fallback>
            <w:pict>
              <v:rect w14:anchorId="453B75E4" id="Rectángulo 2" o:spid="_x0000_s1026" style="position:absolute;left:0;text-align:left;margin-left:45.9pt;margin-top:14.95pt;width:55.5pt;height:9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" filled="f" strokecolor="red" strokeweight="2.25pt">
                <v:stroke startarrowwidth="narrow" startarrowlength="short" endarrowwidth="narrow" endarrowlength="short"/>
                <v:textbox inset="2.53958mm,2.53958mm,2.53958mm,2.53958mm">
                  <w:txbxContent>
                    <w:p w:rsidR="00353053" w:rsidRDefault="00353053" w:rsidP="00AB1B15">
                      <w:pPr>
                        <w:textDirection w:val="btLr"/>
                      </w:pPr>
                    </w:p>
                  </w:txbxContent>
                </v:textbox>
              </v:rect>
            </w:pict>
          </mc:Fallback>
        </mc:AlternateContent>
      </w:r>
      <w:r w:rsidRPr="002B3E9A">
        <w:rPr>
          <w:rFonts w:ascii="Palatino Linotype" w:hAnsi="Palatino Linotype"/>
          <w:noProof/>
        </w:rPr>
        <w:drawing>
          <wp:inline distT="0" distB="0" distL="0" distR="0" wp14:anchorId="6FF90940" wp14:editId="3FE4BD35">
            <wp:extent cx="4076991" cy="1450398"/>
            <wp:effectExtent l="0" t="0" r="0" b="0"/>
            <wp:docPr id="11" name="image7.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7.png" descr="Tabla&#10;&#10;Descripción generada automáticamente"/>
                    <pic:cNvPicPr preferRelativeResize="0"/>
                  </pic:nvPicPr>
                  <pic:blipFill>
                    <a:blip r:embed="rId9"/>
                    <a:srcRect/>
                    <a:stretch>
                      <a:fillRect/>
                    </a:stretch>
                  </pic:blipFill>
                  <pic:spPr>
                    <a:xfrm>
                      <a:off x="0" y="0"/>
                      <a:ext cx="4076991" cy="1450398"/>
                    </a:xfrm>
                    <a:prstGeom prst="rect">
                      <a:avLst/>
                    </a:prstGeom>
                    <a:ln/>
                  </pic:spPr>
                </pic:pic>
              </a:graphicData>
            </a:graphic>
          </wp:inline>
        </w:drawing>
      </w:r>
    </w:p>
    <w:p w:rsidR="00AB1B15" w:rsidRPr="002B3E9A" w:rsidRDefault="00AB1B15" w:rsidP="00AB1B15">
      <w:pPr>
        <w:spacing w:line="360" w:lineRule="auto"/>
        <w:ind w:right="-93"/>
        <w:jc w:val="center"/>
        <w:rPr>
          <w:rFonts w:ascii="Palatino Linotype" w:hAnsi="Palatino Linotype"/>
        </w:rPr>
      </w:pPr>
      <w:r w:rsidRPr="002B3E9A">
        <w:rPr>
          <w:rFonts w:ascii="Palatino Linotype" w:hAnsi="Palatino Linotype"/>
          <w:noProof/>
        </w:rPr>
        <w:lastRenderedPageBreak/>
        <mc:AlternateContent>
          <mc:Choice Requires="wps">
            <w:drawing>
              <wp:anchor distT="0" distB="0" distL="114300" distR="114300" simplePos="0" relativeHeight="251660288" behindDoc="0" locked="0" layoutInCell="1" hidden="0" allowOverlap="1" wp14:anchorId="7FA7EF25" wp14:editId="688E6BFB">
                <wp:simplePos x="0" y="0"/>
                <wp:positionH relativeFrom="column">
                  <wp:posOffset>4398756</wp:posOffset>
                </wp:positionH>
                <wp:positionV relativeFrom="paragraph">
                  <wp:posOffset>559739</wp:posOffset>
                </wp:positionV>
                <wp:extent cx="609600" cy="704850"/>
                <wp:effectExtent l="19050" t="19050" r="19050" b="19050"/>
                <wp:wrapNone/>
                <wp:docPr id="5" name="Rectángulo 5"/>
                <wp:cNvGraphicFramePr/>
                <a:graphic xmlns:a="http://schemas.openxmlformats.org/drawingml/2006/main">
                  <a:graphicData uri="http://schemas.microsoft.com/office/word/2010/wordprocessingShape">
                    <wps:wsp>
                      <wps:cNvSpPr/>
                      <wps:spPr>
                        <a:xfrm>
                          <a:off x="0" y="0"/>
                          <a:ext cx="609600" cy="704850"/>
                        </a:xfrm>
                        <a:prstGeom prst="rect">
                          <a:avLst/>
                        </a:prstGeom>
                        <a:noFill/>
                        <a:ln w="28575" cap="flat" cmpd="sng">
                          <a:solidFill>
                            <a:srgbClr val="FF0000"/>
                          </a:solidFill>
                          <a:prstDash val="solid"/>
                          <a:miter lim="800000"/>
                          <a:headEnd type="none" w="sm" len="sm"/>
                          <a:tailEnd type="none" w="sm" len="sm"/>
                        </a:ln>
                      </wps:spPr>
                      <wps:txbx>
                        <w:txbxContent>
                          <w:p w:rsidR="00353053" w:rsidRDefault="00353053" w:rsidP="00AB1B15">
                            <w:pPr>
                              <w:textDirection w:val="btLr"/>
                            </w:pPr>
                          </w:p>
                        </w:txbxContent>
                      </wps:txbx>
                      <wps:bodyPr spcFirstLastPara="1" wrap="square" lIns="91425" tIns="91425" rIns="91425" bIns="91425" anchor="ctr" anchorCtr="0">
                        <a:noAutofit/>
                      </wps:bodyPr>
                    </wps:wsp>
                  </a:graphicData>
                </a:graphic>
              </wp:anchor>
            </w:drawing>
          </mc:Choice>
          <mc:Fallback>
            <w:pict>
              <v:rect w14:anchorId="7FA7EF25" id="Rectángulo 5" o:spid="_x0000_s1027" style="position:absolute;left:0;text-align:left;margin-left:346.35pt;margin-top:44.05pt;width:48pt;height:5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" filled="f" strokecolor="red" strokeweight="2.25pt">
                <v:stroke startarrowwidth="narrow" startarrowlength="short" endarrowwidth="narrow" endarrowlength="short"/>
                <v:textbox inset="2.53958mm,2.53958mm,2.53958mm,2.53958mm">
                  <w:txbxContent>
                    <w:p w:rsidR="00353053" w:rsidRDefault="00353053" w:rsidP="00AB1B15">
                      <w:pPr>
                        <w:textDirection w:val="btLr"/>
                      </w:pPr>
                    </w:p>
                  </w:txbxContent>
                </v:textbox>
              </v:rect>
            </w:pict>
          </mc:Fallback>
        </mc:AlternateContent>
      </w:r>
      <w:r w:rsidRPr="002B3E9A">
        <w:rPr>
          <w:rFonts w:ascii="Palatino Linotype" w:hAnsi="Palatino Linotype"/>
          <w:noProof/>
        </w:rPr>
        <w:drawing>
          <wp:inline distT="0" distB="0" distL="0" distR="0" wp14:anchorId="02BA5919" wp14:editId="41F8C4EF">
            <wp:extent cx="4629799" cy="2029109"/>
            <wp:effectExtent l="0" t="0" r="0" b="0"/>
            <wp:docPr id="10" name="image15.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5.png" descr="Tabla&#10;&#10;Descripción generada automáticamente"/>
                    <pic:cNvPicPr preferRelativeResize="0"/>
                  </pic:nvPicPr>
                  <pic:blipFill>
                    <a:blip r:embed="rId10"/>
                    <a:srcRect/>
                    <a:stretch>
                      <a:fillRect/>
                    </a:stretch>
                  </pic:blipFill>
                  <pic:spPr>
                    <a:xfrm>
                      <a:off x="0" y="0"/>
                      <a:ext cx="4629799" cy="2029109"/>
                    </a:xfrm>
                    <a:prstGeom prst="rect">
                      <a:avLst/>
                    </a:prstGeom>
                    <a:ln/>
                  </pic:spPr>
                </pic:pic>
              </a:graphicData>
            </a:graphic>
          </wp:inline>
        </w:drawing>
      </w:r>
    </w:p>
    <w:p w:rsidR="00AB1B15" w:rsidRPr="002B3E9A" w:rsidRDefault="00AB1B15" w:rsidP="00AB1B15">
      <w:pPr>
        <w:spacing w:line="360" w:lineRule="auto"/>
        <w:rPr>
          <w:rFonts w:ascii="Palatino Linotype" w:hAnsi="Palatino Linotype"/>
        </w:rPr>
      </w:pPr>
    </w:p>
    <w:p w:rsidR="00AB1B15" w:rsidRPr="002B3E9A" w:rsidRDefault="00AB1B15" w:rsidP="00AB1B15">
      <w:pPr>
        <w:numPr>
          <w:ilvl w:val="0"/>
          <w:numId w:val="3"/>
        </w:numPr>
        <w:spacing w:line="360" w:lineRule="auto"/>
        <w:ind w:left="0" w:right="-1417" w:firstLine="0"/>
        <w:jc w:val="both"/>
        <w:rPr>
          <w:rFonts w:ascii="Palatino Linotype" w:hAnsi="Palatino Linotype"/>
          <w:color w:val="0D0D0D"/>
        </w:rPr>
      </w:pPr>
      <w:r w:rsidRPr="002B3E9A">
        <w:rPr>
          <w:rFonts w:ascii="Palatino Linotype" w:hAnsi="Palatino Linotype"/>
          <w:color w:val="0D0D0D"/>
        </w:rPr>
        <w:t xml:space="preserve">Ahora bien, por lo que hace a las facturas de los contratos celebrados, </w:t>
      </w:r>
      <w:r w:rsidRPr="002B3E9A">
        <w:rPr>
          <w:rFonts w:ascii="Palatino Linotype" w:hAnsi="Palatino Linotype"/>
        </w:rPr>
        <w:t xml:space="preserve">el artículo 4°, fracción </w:t>
      </w:r>
      <w:r w:rsidRPr="002B3E9A">
        <w:rPr>
          <w:rFonts w:ascii="Palatino Linotype" w:hAnsi="Palatino Linotype"/>
          <w:color w:val="000000"/>
        </w:rPr>
        <w:t>XVIII</w:t>
      </w:r>
      <w:r w:rsidRPr="002B3E9A">
        <w:rPr>
          <w:rFonts w:ascii="Palatino Linotype" w:hAnsi="Palatino Linotype"/>
        </w:rPr>
        <w:t xml:space="preserve">, de la Ley General de Contabilidad Gubernamental, establece que la información financiera consiste en información presupuestaria y contable que se expresa en unidades monetarias las </w:t>
      </w:r>
      <w:r w:rsidRPr="002B3E9A">
        <w:rPr>
          <w:rFonts w:ascii="Palatino Linotype" w:hAnsi="Palatino Linotype"/>
          <w:b/>
          <w:bCs/>
        </w:rPr>
        <w:t>transacciones que realiza un ente público y los eventos económicos identificables y cuantificable</w:t>
      </w:r>
      <w:r w:rsidRPr="002B3E9A">
        <w:rPr>
          <w:rFonts w:ascii="Palatino Linotype" w:hAnsi="Palatino Linotype"/>
        </w:rPr>
        <w:t xml:space="preserve"> la cual puede representarse por reportes, informes, estados y notas que expresan su situación financiera, los resultados de su operación y los cambios en su patrimonio. </w:t>
      </w:r>
    </w:p>
    <w:p w:rsidR="00AB1B15" w:rsidRPr="002B3E9A" w:rsidRDefault="00AB1B15" w:rsidP="00AB1B15">
      <w:pPr>
        <w:spacing w:line="360" w:lineRule="auto"/>
        <w:rPr>
          <w:rFonts w:ascii="Palatino Linotype" w:hAnsi="Palatino Linotype"/>
        </w:rPr>
      </w:pPr>
    </w:p>
    <w:p w:rsidR="00AB1B15" w:rsidRPr="002B3E9A" w:rsidRDefault="00AB1B15" w:rsidP="00AB1B15">
      <w:pPr>
        <w:numPr>
          <w:ilvl w:val="0"/>
          <w:numId w:val="3"/>
        </w:numPr>
        <w:spacing w:line="360" w:lineRule="auto"/>
        <w:ind w:left="0" w:right="-1417" w:firstLine="0"/>
        <w:jc w:val="both"/>
        <w:rPr>
          <w:rFonts w:ascii="Palatino Linotype" w:hAnsi="Palatino Linotype"/>
        </w:rPr>
      </w:pPr>
      <w:r w:rsidRPr="002B3E9A">
        <w:rPr>
          <w:rFonts w:ascii="Palatino Linotype" w:hAnsi="Palatino Linotype"/>
        </w:rPr>
        <w:t xml:space="preserve">En esa misma tesitura, los artículos 16, 18, 19, fracción V, y 34 de la Ley General en comento, establece que los entes públicos deben contar con un sistema de contabilidad gubernamental en el cual se registrarán operaciones presupuestarias y contables derivadas de la gestión pública, así como otros flujos económicos, los cuales serán expresados en términos monetarios. Dichos registros contables se llevarán con base acumulativa, por lo que la contabilización de las transacciones de gasto se hará conforme a la fecha de su realización, independientemente de la </w:t>
      </w:r>
      <w:r w:rsidRPr="002B3E9A">
        <w:rPr>
          <w:rFonts w:ascii="Palatino Linotype" w:hAnsi="Palatino Linotype"/>
          <w:b/>
          <w:bCs/>
        </w:rPr>
        <w:t>de su pago</w:t>
      </w:r>
      <w:r w:rsidRPr="002B3E9A">
        <w:rPr>
          <w:rFonts w:ascii="Palatino Linotype" w:hAnsi="Palatino Linotype"/>
        </w:rPr>
        <w:t>, y la del ingreso se registrará cuando exista jurídicamente el derecho de cobro.</w:t>
      </w:r>
    </w:p>
    <w:p w:rsidR="00AB1B15" w:rsidRPr="002B3E9A" w:rsidRDefault="00AB1B15" w:rsidP="00AB1B15">
      <w:pPr>
        <w:numPr>
          <w:ilvl w:val="0"/>
          <w:numId w:val="3"/>
        </w:numPr>
        <w:spacing w:line="360" w:lineRule="auto"/>
        <w:ind w:left="0" w:right="-1417" w:firstLine="0"/>
        <w:jc w:val="both"/>
        <w:rPr>
          <w:rFonts w:ascii="Palatino Linotype" w:hAnsi="Palatino Linotype"/>
          <w:color w:val="0D0D0D"/>
        </w:rPr>
      </w:pPr>
      <w:r w:rsidRPr="002B3E9A">
        <w:rPr>
          <w:rFonts w:ascii="Palatino Linotype" w:hAnsi="Palatino Linotype"/>
          <w:color w:val="0D0D0D"/>
        </w:rPr>
        <w:lastRenderedPageBreak/>
        <w:t>En ese contexto, la Guía técnica 05 “La contabilidad y la cuenta pública municipal”, emitida por el Instituto Nacional de Administración Pública, establece que la contabilidad municipal es la técnica que permite registrar en forma ordenada, completa y detallada de los ingresos y gastos, con el fin de poder determinar en cualquier momento la situación financiera de la hacienda pública municipal.</w:t>
      </w:r>
    </w:p>
    <w:p w:rsidR="00AB1B15" w:rsidRPr="002B3E9A" w:rsidRDefault="00AB1B15" w:rsidP="00AB1B15">
      <w:pPr>
        <w:spacing w:line="360" w:lineRule="auto"/>
        <w:rPr>
          <w:rFonts w:ascii="Palatino Linotype" w:hAnsi="Palatino Linotype"/>
        </w:rPr>
      </w:pPr>
    </w:p>
    <w:p w:rsidR="00AB1B15" w:rsidRPr="002B3E9A" w:rsidRDefault="00AB1B15" w:rsidP="00AB1B15">
      <w:pPr>
        <w:numPr>
          <w:ilvl w:val="0"/>
          <w:numId w:val="3"/>
        </w:numPr>
        <w:spacing w:line="360" w:lineRule="auto"/>
        <w:ind w:left="0" w:right="-1417" w:firstLine="0"/>
        <w:jc w:val="both"/>
        <w:rPr>
          <w:rFonts w:ascii="Palatino Linotype" w:hAnsi="Palatino Linotype"/>
          <w:b/>
          <w:bCs/>
          <w:color w:val="000000"/>
        </w:rPr>
      </w:pPr>
      <w:r w:rsidRPr="002B3E9A">
        <w:rPr>
          <w:rFonts w:ascii="Palatino Linotype" w:hAnsi="Palatino Linotype"/>
        </w:rPr>
        <w:t>Conforme a lo anterior, se logra advertir que la pretensión del ahora Recurrente es obtener</w:t>
      </w:r>
      <w:r w:rsidRPr="002B3E9A">
        <w:rPr>
          <w:rFonts w:ascii="Palatino Linotype" w:hAnsi="Palatino Linotype"/>
          <w:b/>
          <w:bCs/>
          <w:color w:val="000000"/>
        </w:rPr>
        <w:t xml:space="preserve"> </w:t>
      </w:r>
      <w:r w:rsidR="00F94441" w:rsidRPr="002B3E9A">
        <w:rPr>
          <w:rFonts w:ascii="Palatino Linotype" w:hAnsi="Palatino Linotype"/>
          <w:color w:val="000000"/>
        </w:rPr>
        <w:t>las facturas pagas o por pagar</w:t>
      </w:r>
      <w:r w:rsidRPr="002B3E9A">
        <w:rPr>
          <w:rFonts w:ascii="Palatino Linotype" w:hAnsi="Palatino Linotype"/>
          <w:color w:val="000000"/>
        </w:rPr>
        <w:t>, con recursos públicos de la partida presupuestal 3611</w:t>
      </w:r>
      <w:r w:rsidR="000541F7" w:rsidRPr="002B3E9A">
        <w:rPr>
          <w:rFonts w:ascii="Palatino Linotype" w:hAnsi="Palatino Linotype"/>
          <w:color w:val="000000"/>
        </w:rPr>
        <w:t xml:space="preserve">, emitidos en el periodo del </w:t>
      </w:r>
      <w:r w:rsidR="000541F7" w:rsidRPr="002B3E9A">
        <w:rPr>
          <w:rFonts w:ascii="Palatino Linotype" w:hAnsi="Palatino Linotype"/>
          <w:b/>
          <w:color w:val="000000"/>
        </w:rPr>
        <w:t xml:space="preserve">uno de enero al treinta y uno de octubre de dos mil veinticinco. </w:t>
      </w:r>
    </w:p>
    <w:p w:rsidR="003539F6" w:rsidRPr="002B3E9A" w:rsidRDefault="003539F6" w:rsidP="00EF3523">
      <w:pPr>
        <w:pBdr>
          <w:top w:val="nil"/>
          <w:left w:val="nil"/>
          <w:bottom w:val="nil"/>
          <w:right w:val="nil"/>
          <w:between w:val="nil"/>
        </w:pBdr>
        <w:ind w:right="-1417"/>
        <w:rPr>
          <w:rFonts w:ascii="Palatino Linotype" w:eastAsia="Palatino Linotype" w:hAnsi="Palatino Linotype" w:cs="Palatino Linotype"/>
          <w:color w:val="000000"/>
        </w:rPr>
      </w:pPr>
    </w:p>
    <w:p w:rsidR="00AB1B15" w:rsidRPr="002B3E9A" w:rsidRDefault="00EF3523">
      <w:pPr>
        <w:numPr>
          <w:ilvl w:val="0"/>
          <w:numId w:val="3"/>
        </w:numPr>
        <w:spacing w:line="360" w:lineRule="auto"/>
        <w:ind w:left="0" w:right="-1417" w:firstLine="0"/>
        <w:jc w:val="both"/>
        <w:rPr>
          <w:rFonts w:ascii="Palatino Linotype" w:eastAsia="Palatino Linotype" w:hAnsi="Palatino Linotype" w:cs="Palatino Linotype"/>
          <w:b/>
          <w:bCs/>
        </w:rPr>
      </w:pPr>
      <w:r w:rsidRPr="002B3E9A">
        <w:rPr>
          <w:rFonts w:ascii="Palatino Linotype" w:eastAsia="Palatino Linotype" w:hAnsi="Palatino Linotype" w:cs="Palatino Linotype"/>
          <w:color w:val="000000"/>
        </w:rPr>
        <w:t xml:space="preserve">Seguidamente, se debe de precisar que el </w:t>
      </w:r>
      <w:r w:rsidR="00353053" w:rsidRPr="002B3E9A">
        <w:rPr>
          <w:rFonts w:ascii="Palatino Linotype" w:eastAsia="Palatino Linotype" w:hAnsi="Palatino Linotype" w:cs="Palatino Linotype"/>
          <w:b/>
          <w:bCs/>
          <w:color w:val="000000"/>
        </w:rPr>
        <w:t xml:space="preserve">SUJETO OBLIGADO </w:t>
      </w:r>
      <w:r w:rsidRPr="002B3E9A">
        <w:rPr>
          <w:rFonts w:ascii="Palatino Linotype" w:eastAsia="Palatino Linotype" w:hAnsi="Palatino Linotype" w:cs="Palatino Linotype"/>
          <w:bCs/>
          <w:color w:val="000000"/>
        </w:rPr>
        <w:t xml:space="preserve">en respuesta </w:t>
      </w:r>
      <w:r w:rsidR="00353053" w:rsidRPr="002B3E9A">
        <w:rPr>
          <w:rFonts w:ascii="Palatino Linotype" w:eastAsia="Palatino Linotype" w:hAnsi="Palatino Linotype" w:cs="Palatino Linotype"/>
        </w:rPr>
        <w:t>informó</w:t>
      </w:r>
      <w:r w:rsidR="00353053" w:rsidRPr="002B3E9A">
        <w:rPr>
          <w:rFonts w:ascii="Palatino Linotype" w:eastAsia="Palatino Linotype" w:hAnsi="Palatino Linotype" w:cs="Palatino Linotype"/>
          <w:color w:val="000000"/>
        </w:rPr>
        <w:t xml:space="preserve"> sobre la cantidad de hojas por la cual no se puede entregar la información por medio del Sistema Saimex, modalidad que fue la elegida por el </w:t>
      </w:r>
      <w:r w:rsidR="00353053" w:rsidRPr="002B3E9A">
        <w:rPr>
          <w:rFonts w:ascii="Palatino Linotype" w:eastAsia="Palatino Linotype" w:hAnsi="Palatino Linotype" w:cs="Palatino Linotype"/>
          <w:b/>
          <w:bCs/>
          <w:color w:val="000000"/>
        </w:rPr>
        <w:t>RECURRENTE</w:t>
      </w:r>
      <w:r w:rsidR="00353053" w:rsidRPr="002B3E9A">
        <w:rPr>
          <w:rFonts w:ascii="Palatino Linotype" w:eastAsia="Palatino Linotype" w:hAnsi="Palatino Linotype" w:cs="Palatino Linotype"/>
        </w:rPr>
        <w:t>, así mismo entregó el Acta del Comité de Transparencia mediante la cual aprobó el cambio de modalidad y realizó el reporte de incidencia técnica ante la  Dirección de Info</w:t>
      </w:r>
      <w:r w:rsidR="00AB1B15" w:rsidRPr="002B3E9A">
        <w:rPr>
          <w:rFonts w:ascii="Palatino Linotype" w:eastAsia="Palatino Linotype" w:hAnsi="Palatino Linotype" w:cs="Palatino Linotype"/>
        </w:rPr>
        <w:t>rmática de este Órgano Garante</w:t>
      </w:r>
      <w:r w:rsidR="00353053" w:rsidRPr="002B3E9A">
        <w:rPr>
          <w:rFonts w:ascii="Palatino Linotype" w:eastAsia="Palatino Linotype" w:hAnsi="Palatino Linotype" w:cs="Palatino Linotype"/>
        </w:rPr>
        <w:t xml:space="preserve">, sin embargo por la información que consiste en obtener facturas es que no se puede por validado el cambio de modalidad a consulta directa </w:t>
      </w:r>
    </w:p>
    <w:p w:rsidR="00C057FE" w:rsidRPr="002B3E9A" w:rsidRDefault="00C057FE" w:rsidP="00C057FE">
      <w:pPr>
        <w:spacing w:line="360" w:lineRule="auto"/>
        <w:rPr>
          <w:rFonts w:ascii="Palatino Linotype" w:hAnsi="Palatino Linotype"/>
        </w:rPr>
      </w:pPr>
    </w:p>
    <w:p w:rsidR="00C057FE" w:rsidRPr="002B3E9A" w:rsidRDefault="004B34A2" w:rsidP="00C057FE">
      <w:pPr>
        <w:numPr>
          <w:ilvl w:val="0"/>
          <w:numId w:val="3"/>
        </w:numPr>
        <w:spacing w:line="360" w:lineRule="auto"/>
        <w:ind w:left="0" w:right="-1417" w:firstLine="0"/>
        <w:jc w:val="both"/>
        <w:rPr>
          <w:rFonts w:ascii="Palatino Linotype" w:hAnsi="Palatino Linotype"/>
          <w:b/>
          <w:bCs/>
        </w:rPr>
      </w:pPr>
      <w:r w:rsidRPr="002B3E9A">
        <w:rPr>
          <w:rFonts w:ascii="Palatino Linotype" w:hAnsi="Palatino Linotype"/>
        </w:rPr>
        <w:t xml:space="preserve">En consecuencia el </w:t>
      </w:r>
      <w:r w:rsidR="00C057FE" w:rsidRPr="002B3E9A">
        <w:rPr>
          <w:rFonts w:ascii="Palatino Linotype" w:hAnsi="Palatino Linotype"/>
        </w:rPr>
        <w:t xml:space="preserve">artículo </w:t>
      </w:r>
      <w:r w:rsidR="00C057FE" w:rsidRPr="002B3E9A">
        <w:rPr>
          <w:rFonts w:ascii="Palatino Linotype" w:eastAsia="Palatino Linotype" w:hAnsi="Palatino Linotype" w:cs="Palatino Linotype"/>
          <w:color w:val="000000"/>
        </w:rPr>
        <w:t>158</w:t>
      </w:r>
      <w:r w:rsidR="00C057FE" w:rsidRPr="002B3E9A">
        <w:rPr>
          <w:rFonts w:ascii="Palatino Linotype" w:hAnsi="Palatino Linotype"/>
        </w:rPr>
        <w:t xml:space="preserve">, dispone que, de manera excepcional, cuando de manera fundada y motivada lo determine el Sujeto Obligado, </w:t>
      </w:r>
      <w:r w:rsidR="00C057FE" w:rsidRPr="002B3E9A">
        <w:rPr>
          <w:rFonts w:ascii="Palatino Linotype" w:hAnsi="Palatino Linotype"/>
          <w:b/>
          <w:bCs/>
        </w:rPr>
        <w:t>en los casos en que la entrega de la información que se encuentre a su disposición sobrepase las capacidades técnicas, administrativas y humanas del Sujeto Obligado para cumplir con la solicitud, se podrá poner a disposición del solicitante la información en consulta directa.</w:t>
      </w:r>
    </w:p>
    <w:p w:rsidR="00C057FE" w:rsidRPr="002B3E9A" w:rsidRDefault="00C057FE" w:rsidP="00C057FE">
      <w:pPr>
        <w:spacing w:line="360" w:lineRule="auto"/>
        <w:rPr>
          <w:rFonts w:ascii="Palatino Linotype" w:hAnsi="Palatino Linotype"/>
          <w:b/>
          <w:bCs/>
        </w:rPr>
      </w:pPr>
    </w:p>
    <w:p w:rsidR="00C057FE" w:rsidRPr="002B3E9A" w:rsidRDefault="00C057FE" w:rsidP="00C057FE">
      <w:pPr>
        <w:numPr>
          <w:ilvl w:val="0"/>
          <w:numId w:val="3"/>
        </w:numPr>
        <w:spacing w:line="360" w:lineRule="auto"/>
        <w:ind w:left="0" w:right="-1417" w:firstLine="0"/>
        <w:jc w:val="both"/>
        <w:rPr>
          <w:rFonts w:ascii="Palatino Linotype" w:hAnsi="Palatino Linotype"/>
        </w:rPr>
      </w:pPr>
      <w:r w:rsidRPr="002B3E9A">
        <w:rPr>
          <w:rFonts w:ascii="Palatino Linotype" w:hAnsi="Palatino Linotype"/>
        </w:rPr>
        <w:lastRenderedPageBreak/>
        <w:t xml:space="preserve">En ese orden de ideas, el artículo 164 de dicho ordenamiento jurídico, prevé que el acceso se </w:t>
      </w:r>
      <w:r w:rsidRPr="002B3E9A">
        <w:rPr>
          <w:rFonts w:ascii="Palatino Linotype" w:eastAsia="Palatino Linotype" w:hAnsi="Palatino Linotype" w:cs="Palatino Linotype"/>
          <w:color w:val="000000"/>
        </w:rPr>
        <w:t>dará</w:t>
      </w:r>
      <w:r w:rsidRPr="002B3E9A">
        <w:rPr>
          <w:rFonts w:ascii="Palatino Linotype" w:hAnsi="Palatino Linotype"/>
        </w:rPr>
        <w:t xml:space="preserve"> en la modalidad de entrega y, en su caso, de envío elegidos por el solicitante. </w:t>
      </w:r>
      <w:r w:rsidRPr="002B3E9A">
        <w:rPr>
          <w:rFonts w:ascii="Palatino Linotype" w:hAnsi="Palatino Linotype"/>
          <w:b/>
          <w:bCs/>
        </w:rPr>
        <w:t>Cuando la información no pueda entregarse o enviarse en la modalidad elegida, el sujeto obligado deberá ofrecer otra u otras modalidades de entrega.</w:t>
      </w:r>
      <w:r w:rsidRPr="002B3E9A">
        <w:rPr>
          <w:rFonts w:ascii="Palatino Linotype" w:hAnsi="Palatino Linotype"/>
        </w:rPr>
        <w:t xml:space="preserve"> En cualquier caso, </w:t>
      </w:r>
      <w:r w:rsidRPr="002B3E9A">
        <w:rPr>
          <w:rFonts w:ascii="Palatino Linotype" w:hAnsi="Palatino Linotype"/>
          <w:b/>
          <w:bCs/>
        </w:rPr>
        <w:t>se deberá fundar y motivar</w:t>
      </w:r>
      <w:r w:rsidRPr="002B3E9A">
        <w:rPr>
          <w:rFonts w:ascii="Palatino Linotype" w:hAnsi="Palatino Linotype"/>
        </w:rPr>
        <w:t xml:space="preserve"> la necesidad de ofrecer otras modalidades.</w:t>
      </w:r>
    </w:p>
    <w:p w:rsidR="00C057FE" w:rsidRPr="002B3E9A" w:rsidRDefault="00C057FE" w:rsidP="00C057FE">
      <w:pPr>
        <w:spacing w:line="360" w:lineRule="auto"/>
        <w:rPr>
          <w:rFonts w:ascii="Palatino Linotype" w:hAnsi="Palatino Linotype"/>
        </w:rPr>
      </w:pPr>
    </w:p>
    <w:p w:rsidR="00C057FE" w:rsidRPr="002B3E9A" w:rsidRDefault="00C057FE" w:rsidP="00C057FE">
      <w:pPr>
        <w:numPr>
          <w:ilvl w:val="0"/>
          <w:numId w:val="3"/>
        </w:numPr>
        <w:spacing w:line="360" w:lineRule="auto"/>
        <w:ind w:left="0" w:right="-1417" w:firstLine="0"/>
        <w:jc w:val="both"/>
        <w:rPr>
          <w:rFonts w:ascii="Palatino Linotype" w:hAnsi="Palatino Linotype"/>
          <w:b/>
          <w:bCs/>
        </w:rPr>
      </w:pPr>
      <w:r w:rsidRPr="002B3E9A">
        <w:rPr>
          <w:rFonts w:ascii="Palatino Linotype" w:hAnsi="Palatino Linotype"/>
        </w:rPr>
        <w:t xml:space="preserve">Para lo cual, conforme al artículo 174 de la Ley de la materia, indica que los costos de reproducción y, en su caso, de envío para la obtención de la información deberán ser </w:t>
      </w:r>
      <w:r w:rsidRPr="002B3E9A">
        <w:rPr>
          <w:rFonts w:ascii="Palatino Linotype" w:eastAsia="Palatino Linotype" w:hAnsi="Palatino Linotype" w:cs="Palatino Linotype"/>
          <w:color w:val="000000"/>
        </w:rPr>
        <w:t>cubiertos</w:t>
      </w:r>
      <w:r w:rsidRPr="002B3E9A">
        <w:rPr>
          <w:rFonts w:ascii="Palatino Linotype" w:hAnsi="Palatino Linotype"/>
        </w:rPr>
        <w:t xml:space="preserve"> por el solicitante de manera previa a la entrega por parte del Sujeto Obligado. En tales consideraciones, la entrega de la información deberá hacerse, </w:t>
      </w:r>
      <w:r w:rsidRPr="002B3E9A">
        <w:rPr>
          <w:rFonts w:ascii="Palatino Linotype" w:hAnsi="Palatino Linotype"/>
          <w:b/>
          <w:bCs/>
        </w:rPr>
        <w:t>en la medida de lo posible, en la forma solicitada por el interesado, salvo que exista un impedimento justificado para atenderla</w:t>
      </w:r>
      <w:r w:rsidRPr="002B3E9A">
        <w:rPr>
          <w:rFonts w:ascii="Palatino Linotype" w:hAnsi="Palatino Linotype"/>
        </w:rPr>
        <w:t xml:space="preserve">, en cuyo caso, deberán exponerse las razones por las cuales no era posible utilizar el medio de reproducción solicitado; en ese sentido, la entrega de la información en una modalidad distinta a la elegida por el particular </w:t>
      </w:r>
      <w:r w:rsidRPr="002B3E9A">
        <w:rPr>
          <w:rFonts w:ascii="Palatino Linotype" w:hAnsi="Palatino Linotype"/>
          <w:b/>
          <w:bCs/>
        </w:rPr>
        <w:t xml:space="preserve">sólo procede, en caso de que se acredite la imposibilidad de atenderla. </w:t>
      </w:r>
    </w:p>
    <w:p w:rsidR="00C057FE" w:rsidRPr="002B3E9A" w:rsidRDefault="00C057FE" w:rsidP="00C057FE">
      <w:pPr>
        <w:spacing w:line="360" w:lineRule="auto"/>
        <w:rPr>
          <w:rFonts w:ascii="Palatino Linotype" w:hAnsi="Palatino Linotype"/>
        </w:rPr>
      </w:pPr>
    </w:p>
    <w:p w:rsidR="00C057FE" w:rsidRPr="002B3E9A" w:rsidRDefault="00C057FE" w:rsidP="00C057FE">
      <w:pPr>
        <w:numPr>
          <w:ilvl w:val="0"/>
          <w:numId w:val="3"/>
        </w:numPr>
        <w:spacing w:line="360" w:lineRule="auto"/>
        <w:ind w:left="0" w:right="-1417" w:firstLine="0"/>
        <w:jc w:val="both"/>
        <w:rPr>
          <w:rFonts w:ascii="Palatino Linotype" w:hAnsi="Palatino Linotype"/>
          <w:b/>
          <w:bCs/>
        </w:rPr>
      </w:pPr>
      <w:bookmarkStart w:id="13" w:name="_heading=h.rssw3hr51ebp" w:colFirst="0" w:colLast="0"/>
      <w:bookmarkEnd w:id="13"/>
      <w:r w:rsidRPr="002B3E9A">
        <w:rPr>
          <w:rFonts w:ascii="Palatino Linotype" w:hAnsi="Palatino Linotype"/>
        </w:rPr>
        <w:t xml:space="preserve">Así, </w:t>
      </w:r>
      <w:r w:rsidRPr="002B3E9A">
        <w:rPr>
          <w:rFonts w:ascii="Palatino Linotype" w:eastAsia="Palatino Linotype" w:hAnsi="Palatino Linotype" w:cs="Palatino Linotype"/>
          <w:color w:val="000000"/>
        </w:rPr>
        <w:t>cuando</w:t>
      </w:r>
      <w:r w:rsidRPr="002B3E9A">
        <w:rPr>
          <w:rFonts w:ascii="Palatino Linotype" w:hAnsi="Palatino Linotype"/>
        </w:rPr>
        <w:t xml:space="preserve"> se justifique el impedimento, </w:t>
      </w:r>
      <w:r w:rsidRPr="002B3E9A">
        <w:rPr>
          <w:rFonts w:ascii="Palatino Linotype" w:hAnsi="Palatino Linotype"/>
          <w:b/>
          <w:bCs/>
        </w:rPr>
        <w:t>los Sujetos Obligados deberán ofrecer al particular otras modalidades de entrega que permita la información</w:t>
      </w:r>
      <w:r w:rsidRPr="002B3E9A">
        <w:rPr>
          <w:rFonts w:ascii="Palatino Linotype" w:hAnsi="Palatino Linotype"/>
        </w:rPr>
        <w:t>, como consulta directa en las oficinas de la Unidad de Transparencia; lo anterior, es robustecido con el Criterio SO/008/2017,</w:t>
      </w:r>
      <w:r w:rsidRPr="002B3E9A">
        <w:rPr>
          <w:rFonts w:ascii="Palatino Linotype" w:hAnsi="Palatino Linotype"/>
          <w:b/>
          <w:bCs/>
          <w:i/>
          <w:iCs/>
        </w:rPr>
        <w:t xml:space="preserve"> “Modalidad de entrega. Procedencia de proporcionar la información solicitada en una diversa a la elegida por el solicitante.</w:t>
      </w:r>
      <w:r w:rsidRPr="002B3E9A">
        <w:rPr>
          <w:rFonts w:ascii="Palatino Linotype" w:hAnsi="Palatino Linotype"/>
          <w:i/>
          <w:iCs/>
        </w:rPr>
        <w:t>”</w:t>
      </w:r>
      <w:r w:rsidRPr="002B3E9A">
        <w:rPr>
          <w:rFonts w:ascii="Palatino Linotype" w:hAnsi="Palatino Linotype"/>
        </w:rPr>
        <w:t xml:space="preserve"> emitido por el Pleno del Instituto Nacional de Transparencia, Acceso a la Información y Protección de Datos Personales, que establece que cuando no sea posible atender la modalidad elegida por los solicitantes, la obligación de acceso a la información se tendrá por cumplida cuando el Sujeto Obligado </w:t>
      </w:r>
      <w:r w:rsidRPr="002B3E9A">
        <w:rPr>
          <w:rFonts w:ascii="Palatino Linotype" w:hAnsi="Palatino Linotype"/>
        </w:rPr>
        <w:lastRenderedPageBreak/>
        <w:t xml:space="preserve">justifique el impedimento para atender la misma y se notifique al particular la puesta a disposición de la </w:t>
      </w:r>
      <w:r w:rsidRPr="002B3E9A">
        <w:rPr>
          <w:rFonts w:ascii="Palatino Linotype" w:hAnsi="Palatino Linotype"/>
          <w:b/>
          <w:bCs/>
        </w:rPr>
        <w:t>información en todas las modalidades que lo permitan, procurando reducir los costos de entrega.</w:t>
      </w:r>
    </w:p>
    <w:p w:rsidR="00C057FE" w:rsidRPr="002B3E9A" w:rsidRDefault="00C057FE" w:rsidP="00C057FE">
      <w:pPr>
        <w:spacing w:line="360" w:lineRule="auto"/>
        <w:rPr>
          <w:rFonts w:ascii="Palatino Linotype" w:hAnsi="Palatino Linotype"/>
        </w:rPr>
      </w:pPr>
    </w:p>
    <w:p w:rsidR="00C057FE" w:rsidRPr="002B3E9A" w:rsidRDefault="00C057FE" w:rsidP="00C057FE">
      <w:pPr>
        <w:numPr>
          <w:ilvl w:val="0"/>
          <w:numId w:val="3"/>
        </w:numPr>
        <w:spacing w:line="360" w:lineRule="auto"/>
        <w:ind w:left="0" w:right="-1417" w:firstLine="0"/>
        <w:jc w:val="both"/>
        <w:rPr>
          <w:rFonts w:ascii="Palatino Linotype" w:hAnsi="Palatino Linotype"/>
        </w:rPr>
      </w:pPr>
      <w:r w:rsidRPr="002B3E9A">
        <w:rPr>
          <w:rFonts w:ascii="Palatino Linotype" w:hAnsi="Palatino Linotype"/>
        </w:rPr>
        <w:t xml:space="preserve">Además, según Calero, Natalia (2016), en la “Ley General de Transparencia y Acceso a la </w:t>
      </w:r>
      <w:r w:rsidRPr="002B3E9A">
        <w:rPr>
          <w:rFonts w:ascii="Palatino Linotype" w:eastAsia="Palatino Linotype" w:hAnsi="Palatino Linotype" w:cs="Palatino Linotype"/>
          <w:color w:val="000000"/>
        </w:rPr>
        <w:t>Información</w:t>
      </w:r>
      <w:r w:rsidRPr="002B3E9A">
        <w:rPr>
          <w:rFonts w:ascii="Palatino Linotype" w:hAnsi="Palatino Linotype"/>
        </w:rPr>
        <w:t xml:space="preserve"> Pública Comentada” (pág. 401), cuando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rsidR="00C057FE" w:rsidRPr="002B3E9A" w:rsidRDefault="00C057FE" w:rsidP="00C057FE">
      <w:pPr>
        <w:numPr>
          <w:ilvl w:val="0"/>
          <w:numId w:val="8"/>
        </w:numPr>
        <w:spacing w:line="360" w:lineRule="auto"/>
        <w:jc w:val="both"/>
        <w:rPr>
          <w:rFonts w:ascii="Palatino Linotype" w:hAnsi="Palatino Linotype"/>
        </w:rPr>
      </w:pPr>
      <w:r w:rsidRPr="002B3E9A">
        <w:rPr>
          <w:rFonts w:ascii="Palatino Linotype" w:hAnsi="Palatino Linotype"/>
        </w:rPr>
        <w:t>Las razones por las cuales la información implicaba un análisis, estudio o procesamiento de datos;</w:t>
      </w:r>
    </w:p>
    <w:p w:rsidR="00C057FE" w:rsidRPr="002B3E9A" w:rsidRDefault="00C057FE" w:rsidP="00C057FE">
      <w:pPr>
        <w:numPr>
          <w:ilvl w:val="0"/>
          <w:numId w:val="8"/>
        </w:numPr>
        <w:spacing w:line="360" w:lineRule="auto"/>
        <w:jc w:val="both"/>
        <w:rPr>
          <w:rFonts w:ascii="Palatino Linotype" w:hAnsi="Palatino Linotype"/>
        </w:rPr>
      </w:pPr>
      <w:r w:rsidRPr="002B3E9A">
        <w:rPr>
          <w:rFonts w:ascii="Palatino Linotype" w:hAnsi="Palatino Linotype"/>
        </w:rPr>
        <w:t>Por qué motivo el tiempo, que se le otorga al Sujeto Obligado para dar respuesta, en la modalidad elegida a la solicitud de información, no le es suficiente, y</w:t>
      </w:r>
    </w:p>
    <w:p w:rsidR="00C057FE" w:rsidRPr="002B3E9A" w:rsidRDefault="00C057FE" w:rsidP="00C057FE">
      <w:pPr>
        <w:numPr>
          <w:ilvl w:val="0"/>
          <w:numId w:val="8"/>
        </w:numPr>
        <w:spacing w:line="360" w:lineRule="auto"/>
        <w:jc w:val="both"/>
        <w:rPr>
          <w:rFonts w:ascii="Palatino Linotype" w:hAnsi="Palatino Linotype"/>
        </w:rPr>
      </w:pPr>
      <w:r w:rsidRPr="002B3E9A">
        <w:rPr>
          <w:rFonts w:ascii="Palatino Linotype" w:hAnsi="Palatino Linotype"/>
        </w:rPr>
        <w:t>La cantidad de recursos humanos y materiales con los que cuenta el Sujeto Obligado son insuficientes.</w:t>
      </w:r>
    </w:p>
    <w:p w:rsidR="00C057FE" w:rsidRPr="002B3E9A" w:rsidRDefault="00C057FE" w:rsidP="00C057FE">
      <w:pPr>
        <w:spacing w:line="360" w:lineRule="auto"/>
        <w:rPr>
          <w:rFonts w:ascii="Palatino Linotype" w:hAnsi="Palatino Linotype"/>
        </w:rPr>
      </w:pPr>
    </w:p>
    <w:p w:rsidR="00C057FE" w:rsidRPr="002B3E9A" w:rsidRDefault="00C057FE" w:rsidP="00C057FE">
      <w:pPr>
        <w:numPr>
          <w:ilvl w:val="0"/>
          <w:numId w:val="3"/>
        </w:numPr>
        <w:spacing w:line="360" w:lineRule="auto"/>
        <w:ind w:left="0" w:right="-1417" w:firstLine="0"/>
        <w:jc w:val="both"/>
        <w:rPr>
          <w:rFonts w:ascii="Palatino Linotype" w:hAnsi="Palatino Linotype"/>
        </w:rPr>
      </w:pPr>
      <w:r w:rsidRPr="002B3E9A">
        <w:rPr>
          <w:rFonts w:ascii="Palatino Linotype" w:hAnsi="Palatino Linotype"/>
        </w:rPr>
        <w:t xml:space="preserve">Además, es de señalar que el Órgano Garante Nacional, a través de diversas resoluciones </w:t>
      </w:r>
      <w:r w:rsidRPr="002B3E9A">
        <w:rPr>
          <w:rFonts w:ascii="Palatino Linotype" w:eastAsia="Palatino Linotype" w:hAnsi="Palatino Linotype" w:cs="Palatino Linotype"/>
          <w:color w:val="000000"/>
        </w:rPr>
        <w:t>de</w:t>
      </w:r>
      <w:r w:rsidRPr="002B3E9A">
        <w:rPr>
          <w:rFonts w:ascii="Palatino Linotype" w:hAnsi="Palatino Linotype"/>
        </w:rPr>
        <w:t xml:space="preserve"> los Recursos de Inconformidad, entre las cuales se encuentran el RIA 136/20, RIA 140/20, RIA 153/20 RIA 237/20, RIA 257/20, RIA 258/20, entre otras, ha considerado que no resultaba suficiente justificar una imposibilidad técnica y humana para acreditar un cambio de modalidad, sino que era necesario demostrar otros impedimentos, como la cantidad y formato de la documentación, que fuera de imposible reproducción en el medio </w:t>
      </w:r>
      <w:r w:rsidRPr="002B3E9A">
        <w:rPr>
          <w:rFonts w:ascii="Palatino Linotype" w:hAnsi="Palatino Linotype"/>
        </w:rPr>
        <w:lastRenderedPageBreak/>
        <w:t xml:space="preserve">elegido por los solicitantes, que la información ameritara el cruce de información en los sistemas de datos, entre otros. </w:t>
      </w:r>
    </w:p>
    <w:p w:rsidR="00C057FE" w:rsidRPr="002B3E9A" w:rsidRDefault="00C057FE" w:rsidP="00C057FE">
      <w:pPr>
        <w:spacing w:line="360" w:lineRule="auto"/>
        <w:rPr>
          <w:rFonts w:ascii="Palatino Linotype" w:hAnsi="Palatino Linotype"/>
        </w:rPr>
      </w:pPr>
    </w:p>
    <w:p w:rsidR="00C057FE" w:rsidRPr="002B3E9A" w:rsidRDefault="00C057FE" w:rsidP="00C057FE">
      <w:pPr>
        <w:numPr>
          <w:ilvl w:val="0"/>
          <w:numId w:val="3"/>
        </w:numPr>
        <w:spacing w:line="360" w:lineRule="auto"/>
        <w:ind w:left="0" w:right="-1417" w:firstLine="0"/>
        <w:jc w:val="both"/>
        <w:rPr>
          <w:rFonts w:ascii="Palatino Linotype" w:hAnsi="Palatino Linotype"/>
        </w:rPr>
      </w:pPr>
      <w:r w:rsidRPr="002B3E9A">
        <w:rPr>
          <w:rFonts w:ascii="Palatino Linotype" w:hAnsi="Palatino Linotype"/>
        </w:rPr>
        <w:t xml:space="preserve">Sobre dicha circunstancia, el Vigésimo Cuarto de los Lineamientos para la operación del Sistema </w:t>
      </w:r>
      <w:r w:rsidRPr="002B3E9A">
        <w:rPr>
          <w:rFonts w:ascii="Palatino Linotype" w:eastAsia="Palatino Linotype" w:hAnsi="Palatino Linotype" w:cs="Palatino Linotype"/>
          <w:color w:val="000000"/>
        </w:rPr>
        <w:t>de</w:t>
      </w:r>
      <w:r w:rsidRPr="002B3E9A">
        <w:rPr>
          <w:rFonts w:ascii="Palatino Linotype" w:hAnsi="Palatino Linotype"/>
        </w:rPr>
        <w:t xml:space="preserve"> Acceso a la Información Mexiquense (SAIMEX) y del Sistema de Acceso, Rectificación, Cancelación y Oposición de Datos Personales del Estado de México (SARCOEM), establece que los sistemas electrónicos cuentan con una capacidad máxima de carga dentro del servidor con un peso total de </w:t>
      </w:r>
      <w:r w:rsidRPr="002B3E9A">
        <w:rPr>
          <w:rFonts w:ascii="Palatino Linotype" w:hAnsi="Palatino Linotype"/>
          <w:b/>
          <w:bCs/>
        </w:rPr>
        <w:t>quinientos megabytes</w:t>
      </w:r>
      <w:r w:rsidRPr="002B3E9A">
        <w:rPr>
          <w:rFonts w:ascii="Palatino Linotype" w:hAnsi="Palatino Linotype"/>
        </w:rPr>
        <w:t xml:space="preserve"> o su equivalente a </w:t>
      </w:r>
      <w:r w:rsidRPr="002B3E9A">
        <w:rPr>
          <w:rFonts w:ascii="Palatino Linotype" w:hAnsi="Palatino Linotype"/>
          <w:b/>
          <w:bCs/>
        </w:rPr>
        <w:t>ocho mil fojas</w:t>
      </w:r>
      <w:r w:rsidRPr="002B3E9A">
        <w:rPr>
          <w:rFonts w:ascii="Palatino Linotype" w:hAnsi="Palatino Linotype"/>
        </w:rPr>
        <w:t>.</w:t>
      </w:r>
    </w:p>
    <w:p w:rsidR="00C057FE" w:rsidRPr="002B3E9A" w:rsidRDefault="00C057FE" w:rsidP="00C057FE">
      <w:pPr>
        <w:spacing w:line="360" w:lineRule="auto"/>
        <w:rPr>
          <w:rFonts w:ascii="Palatino Linotype" w:hAnsi="Palatino Linotype"/>
        </w:rPr>
      </w:pPr>
    </w:p>
    <w:p w:rsidR="00C057FE" w:rsidRPr="002B3E9A" w:rsidRDefault="00C057FE" w:rsidP="00C057FE">
      <w:pPr>
        <w:numPr>
          <w:ilvl w:val="0"/>
          <w:numId w:val="3"/>
        </w:numPr>
        <w:spacing w:line="360" w:lineRule="auto"/>
        <w:ind w:left="0" w:right="-1417" w:firstLine="0"/>
        <w:jc w:val="both"/>
        <w:rPr>
          <w:rFonts w:ascii="Palatino Linotype" w:hAnsi="Palatino Linotype"/>
        </w:rPr>
      </w:pPr>
      <w:r w:rsidRPr="002B3E9A">
        <w:rPr>
          <w:rFonts w:ascii="Palatino Linotype" w:hAnsi="Palatino Linotype"/>
        </w:rPr>
        <w:t xml:space="preserve">En este tenor es preciso recordar que el Sujeto Obligado señaló que intenta subir </w:t>
      </w:r>
      <w:r w:rsidR="004B34A2" w:rsidRPr="002B3E9A">
        <w:rPr>
          <w:rFonts w:ascii="Palatino Linotype" w:hAnsi="Palatino Linotype"/>
        </w:rPr>
        <w:t xml:space="preserve">30,894 </w:t>
      </w:r>
      <w:r w:rsidRPr="002B3E9A">
        <w:rPr>
          <w:rFonts w:ascii="Palatino Linotype" w:hAnsi="Palatino Linotype"/>
        </w:rPr>
        <w:t xml:space="preserve">fojas y que puede llegar a un peso de </w:t>
      </w:r>
      <w:r w:rsidR="004B34A2" w:rsidRPr="002B3E9A">
        <w:rPr>
          <w:rFonts w:ascii="Palatino Linotype" w:hAnsi="Palatino Linotype"/>
          <w:b/>
        </w:rPr>
        <w:t>1,930.875 MB</w:t>
      </w:r>
      <w:r w:rsidRPr="002B3E9A">
        <w:rPr>
          <w:rFonts w:ascii="Palatino Linotype" w:hAnsi="Palatino Linotype"/>
        </w:rPr>
        <w:t xml:space="preserve">; y que dicha situación implica una imposibilidad técnica para la entrega de información vía SAIMEX, además de </w:t>
      </w:r>
      <w:r w:rsidRPr="002B3E9A">
        <w:rPr>
          <w:rFonts w:ascii="Palatino Linotype" w:eastAsia="Palatino Linotype" w:hAnsi="Palatino Linotype" w:cs="Palatino Linotype"/>
          <w:color w:val="000000"/>
        </w:rPr>
        <w:t>entregar</w:t>
      </w:r>
      <w:r w:rsidRPr="002B3E9A">
        <w:rPr>
          <w:rFonts w:ascii="Palatino Linotype" w:hAnsi="Palatino Linotype"/>
        </w:rPr>
        <w:t xml:space="preserve"> el acuerdo por el que el comité de Transparencia validó el cambio de modalidad, también refirió que se realizó el registro de incidencia.</w:t>
      </w:r>
    </w:p>
    <w:p w:rsidR="00C057FE" w:rsidRPr="002B3E9A" w:rsidRDefault="00C057FE" w:rsidP="00C057FE">
      <w:pPr>
        <w:spacing w:line="360" w:lineRule="auto"/>
        <w:rPr>
          <w:rFonts w:ascii="Palatino Linotype" w:hAnsi="Palatino Linotype"/>
        </w:rPr>
      </w:pPr>
    </w:p>
    <w:p w:rsidR="00C057FE" w:rsidRPr="002B3E9A" w:rsidRDefault="00C057FE" w:rsidP="00C057FE">
      <w:pPr>
        <w:numPr>
          <w:ilvl w:val="0"/>
          <w:numId w:val="3"/>
        </w:numPr>
        <w:spacing w:line="360" w:lineRule="auto"/>
        <w:ind w:left="0" w:right="-1417" w:firstLine="0"/>
        <w:jc w:val="both"/>
        <w:rPr>
          <w:rFonts w:ascii="Palatino Linotype" w:hAnsi="Palatino Linotype"/>
        </w:rPr>
      </w:pPr>
      <w:r w:rsidRPr="002B3E9A">
        <w:rPr>
          <w:rFonts w:ascii="Palatino Linotype" w:hAnsi="Palatino Linotype"/>
        </w:rPr>
        <w:t xml:space="preserve">Al respecto, </w:t>
      </w:r>
      <w:r w:rsidRPr="002B3E9A">
        <w:rPr>
          <w:rFonts w:ascii="Palatino Linotype" w:hAnsi="Palatino Linotype"/>
          <w:color w:val="000000"/>
        </w:rPr>
        <w:t xml:space="preserve">este Organismo Garante, solicitó a la Dirección General de Informática para que </w:t>
      </w:r>
      <w:r w:rsidRPr="002B3E9A">
        <w:rPr>
          <w:rFonts w:ascii="Palatino Linotype" w:hAnsi="Palatino Linotype"/>
        </w:rPr>
        <w:t>señalará</w:t>
      </w:r>
      <w:r w:rsidRPr="002B3E9A">
        <w:rPr>
          <w:rFonts w:ascii="Palatino Linotype" w:hAnsi="Palatino Linotype"/>
          <w:color w:val="000000"/>
        </w:rPr>
        <w:t xml:space="preserve"> si el Sujeto Obligado realizó el registro de incidencia sobre la entrega de la información, ante lo cual, dicha área respondió lo siguiente:</w:t>
      </w:r>
    </w:p>
    <w:p w:rsidR="00C057FE" w:rsidRPr="002B3E9A" w:rsidRDefault="004B34A2" w:rsidP="00C057FE">
      <w:pPr>
        <w:spacing w:line="360" w:lineRule="auto"/>
        <w:jc w:val="center"/>
        <w:rPr>
          <w:rFonts w:ascii="Palatino Linotype" w:hAnsi="Palatino Linotype"/>
          <w:color w:val="000000"/>
        </w:rPr>
      </w:pPr>
      <w:r w:rsidRPr="002B3E9A">
        <w:rPr>
          <w:rFonts w:ascii="Palatino Linotype" w:hAnsi="Palatino Linotype"/>
          <w:noProof/>
          <w:color w:val="000000"/>
        </w:rPr>
        <w:drawing>
          <wp:inline distT="0" distB="0" distL="0" distR="0" wp14:anchorId="6F628550" wp14:editId="21F7AFA9">
            <wp:extent cx="5216525" cy="485775"/>
            <wp:effectExtent l="152400" t="152400" r="365125" b="3714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16525" cy="485775"/>
                    </a:xfrm>
                    <a:prstGeom prst="rect">
                      <a:avLst/>
                    </a:prstGeom>
                    <a:ln>
                      <a:noFill/>
                    </a:ln>
                    <a:effectLst>
                      <a:outerShdw blurRad="292100" dist="139700" dir="2700000" algn="tl" rotWithShape="0">
                        <a:srgbClr val="333333">
                          <a:alpha val="65000"/>
                        </a:srgbClr>
                      </a:outerShdw>
                    </a:effectLst>
                  </pic:spPr>
                </pic:pic>
              </a:graphicData>
            </a:graphic>
          </wp:inline>
        </w:drawing>
      </w:r>
    </w:p>
    <w:p w:rsidR="002B3E9A" w:rsidRDefault="002B3E9A" w:rsidP="002B3E9A">
      <w:pPr>
        <w:spacing w:line="360" w:lineRule="auto"/>
        <w:ind w:right="-1417"/>
        <w:jc w:val="both"/>
        <w:rPr>
          <w:rFonts w:ascii="Palatino Linotype" w:hAnsi="Palatino Linotype"/>
          <w:color w:val="000000"/>
        </w:rPr>
      </w:pPr>
    </w:p>
    <w:p w:rsidR="002B3E9A" w:rsidRDefault="002B3E9A" w:rsidP="002B3E9A">
      <w:pPr>
        <w:spacing w:line="360" w:lineRule="auto"/>
        <w:ind w:right="-1417"/>
        <w:jc w:val="both"/>
        <w:rPr>
          <w:rFonts w:ascii="Palatino Linotype" w:hAnsi="Palatino Linotype"/>
          <w:color w:val="000000"/>
        </w:rPr>
      </w:pPr>
    </w:p>
    <w:p w:rsidR="00C057FE" w:rsidRPr="002B3E9A" w:rsidRDefault="00C057FE" w:rsidP="00C057FE">
      <w:pPr>
        <w:numPr>
          <w:ilvl w:val="0"/>
          <w:numId w:val="3"/>
        </w:numPr>
        <w:spacing w:line="360" w:lineRule="auto"/>
        <w:ind w:left="0" w:right="-1417" w:firstLine="0"/>
        <w:jc w:val="both"/>
        <w:rPr>
          <w:rFonts w:ascii="Palatino Linotype" w:hAnsi="Palatino Linotype"/>
          <w:color w:val="000000"/>
        </w:rPr>
      </w:pPr>
      <w:r w:rsidRPr="002B3E9A">
        <w:rPr>
          <w:rFonts w:ascii="Palatino Linotype" w:hAnsi="Palatino Linotype"/>
          <w:color w:val="000000"/>
        </w:rPr>
        <w:lastRenderedPageBreak/>
        <w:t>Y remitió el documento siguiente:</w:t>
      </w:r>
    </w:p>
    <w:p w:rsidR="00C057FE" w:rsidRPr="002B3E9A" w:rsidRDefault="004B34A2" w:rsidP="00C057FE">
      <w:pPr>
        <w:spacing w:line="360" w:lineRule="auto"/>
        <w:jc w:val="center"/>
        <w:rPr>
          <w:rFonts w:ascii="Palatino Linotype" w:hAnsi="Palatino Linotype"/>
          <w:color w:val="000000"/>
        </w:rPr>
      </w:pPr>
      <w:r w:rsidRPr="002B3E9A">
        <w:rPr>
          <w:rFonts w:ascii="Palatino Linotype" w:hAnsi="Palatino Linotype"/>
          <w:noProof/>
          <w:color w:val="000000"/>
        </w:rPr>
        <w:drawing>
          <wp:inline distT="0" distB="0" distL="0" distR="0" wp14:anchorId="4F42CA10" wp14:editId="519B8AE7">
            <wp:extent cx="5216525" cy="6286500"/>
            <wp:effectExtent l="152400" t="152400" r="365125" b="3619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16525" cy="6286500"/>
                    </a:xfrm>
                    <a:prstGeom prst="rect">
                      <a:avLst/>
                    </a:prstGeom>
                    <a:ln>
                      <a:noFill/>
                    </a:ln>
                    <a:effectLst>
                      <a:outerShdw blurRad="292100" dist="139700" dir="2700000" algn="tl" rotWithShape="0">
                        <a:srgbClr val="333333">
                          <a:alpha val="65000"/>
                        </a:srgbClr>
                      </a:outerShdw>
                    </a:effectLst>
                  </pic:spPr>
                </pic:pic>
              </a:graphicData>
            </a:graphic>
          </wp:inline>
        </w:drawing>
      </w:r>
    </w:p>
    <w:p w:rsidR="00C057FE" w:rsidRPr="002B3E9A" w:rsidRDefault="00C057FE" w:rsidP="00C057FE">
      <w:pPr>
        <w:spacing w:line="360" w:lineRule="auto"/>
        <w:rPr>
          <w:rFonts w:ascii="Palatino Linotype" w:hAnsi="Palatino Linotype"/>
          <w:color w:val="000000"/>
        </w:rPr>
      </w:pPr>
    </w:p>
    <w:p w:rsidR="00C057FE" w:rsidRPr="002B3E9A" w:rsidRDefault="00C057FE" w:rsidP="00C057FE">
      <w:pPr>
        <w:numPr>
          <w:ilvl w:val="0"/>
          <w:numId w:val="3"/>
        </w:numPr>
        <w:spacing w:line="360" w:lineRule="auto"/>
        <w:ind w:left="0" w:right="-1417" w:firstLine="0"/>
        <w:jc w:val="both"/>
        <w:rPr>
          <w:rFonts w:ascii="Palatino Linotype" w:hAnsi="Palatino Linotype"/>
          <w:color w:val="000000"/>
        </w:rPr>
      </w:pPr>
      <w:r w:rsidRPr="002B3E9A">
        <w:rPr>
          <w:rFonts w:ascii="Palatino Linotype" w:hAnsi="Palatino Linotype"/>
          <w:color w:val="000000"/>
        </w:rPr>
        <w:lastRenderedPageBreak/>
        <w:t xml:space="preserve">Así pues, se aprecia que el Sujeto Obligado manifestó que la información asciende a un total de </w:t>
      </w:r>
      <w:r w:rsidR="00182C41" w:rsidRPr="002B3E9A">
        <w:rPr>
          <w:rFonts w:ascii="Palatino Linotype" w:hAnsi="Palatino Linotype"/>
          <w:color w:val="000000"/>
        </w:rPr>
        <w:t>30,894</w:t>
      </w:r>
      <w:r w:rsidRPr="002B3E9A">
        <w:rPr>
          <w:rFonts w:ascii="Palatino Linotype" w:hAnsi="Palatino Linotype"/>
          <w:color w:val="000000"/>
        </w:rPr>
        <w:t xml:space="preserve"> fojas y que dicha información sobrepasa las capacidades técnicas del SAIMEX, además </w:t>
      </w:r>
      <w:r w:rsidRPr="002B3E9A">
        <w:rPr>
          <w:rFonts w:ascii="Palatino Linotype" w:hAnsi="Palatino Linotype"/>
        </w:rPr>
        <w:t>registró</w:t>
      </w:r>
      <w:r w:rsidRPr="002B3E9A">
        <w:rPr>
          <w:rFonts w:ascii="Palatino Linotype" w:hAnsi="Palatino Linotype"/>
          <w:color w:val="000000"/>
        </w:rPr>
        <w:t xml:space="preserve"> su incidencia en la bitácora correspondiente.</w:t>
      </w:r>
    </w:p>
    <w:p w:rsidR="00C057FE" w:rsidRPr="002B3E9A" w:rsidRDefault="00C057FE" w:rsidP="00C057FE">
      <w:pPr>
        <w:spacing w:line="360" w:lineRule="auto"/>
        <w:rPr>
          <w:rFonts w:ascii="Palatino Linotype" w:hAnsi="Palatino Linotype"/>
          <w:color w:val="000000"/>
        </w:rPr>
      </w:pPr>
    </w:p>
    <w:p w:rsidR="00C057FE" w:rsidRPr="002B3E9A" w:rsidRDefault="00C057FE" w:rsidP="00C057FE">
      <w:pPr>
        <w:numPr>
          <w:ilvl w:val="0"/>
          <w:numId w:val="3"/>
        </w:numPr>
        <w:spacing w:line="360" w:lineRule="auto"/>
        <w:ind w:left="0" w:right="-1417" w:firstLine="0"/>
        <w:jc w:val="both"/>
        <w:rPr>
          <w:rFonts w:ascii="Palatino Linotype" w:hAnsi="Palatino Linotype"/>
          <w:color w:val="000000"/>
        </w:rPr>
      </w:pPr>
      <w:r w:rsidRPr="002B3E9A">
        <w:rPr>
          <w:rFonts w:ascii="Palatino Linotype" w:hAnsi="Palatino Linotype"/>
          <w:color w:val="000000"/>
        </w:rPr>
        <w:t xml:space="preserve">Al respecto, si bien este Organismo Garante no cuenta con facultades para pronunciarse sobre la veracidad de lo manifestado por el Sujeto Obligado, lo cierto es que sí tiene competencia para analizar las respuesta proporcionada por el Sujeto Obligado, así pues, destaca que en respuesta se cambió la modalidad únicamente a consulta directa, sin embargo, </w:t>
      </w:r>
      <w:r w:rsidRPr="002B3E9A">
        <w:rPr>
          <w:rFonts w:ascii="Palatino Linotype" w:hAnsi="Palatino Linotype"/>
          <w:b/>
          <w:bCs/>
          <w:color w:val="000000"/>
        </w:rPr>
        <w:t>se debieron ofrecer todos los medios o mecanismos posibles para favorecer la entrega de la información</w:t>
      </w:r>
      <w:r w:rsidRPr="002B3E9A">
        <w:rPr>
          <w:rFonts w:ascii="Palatino Linotype" w:hAnsi="Palatino Linotype"/>
          <w:color w:val="000000"/>
        </w:rPr>
        <w:t>, por tanto, en próximas ocasiones se deben ofrecer todas las modalidades.</w:t>
      </w:r>
    </w:p>
    <w:p w:rsidR="00C057FE" w:rsidRPr="002B3E9A" w:rsidRDefault="00C057FE" w:rsidP="00C057FE">
      <w:pPr>
        <w:spacing w:line="360" w:lineRule="auto"/>
        <w:rPr>
          <w:rFonts w:ascii="Palatino Linotype" w:hAnsi="Palatino Linotype"/>
          <w:color w:val="000000"/>
        </w:rPr>
      </w:pPr>
    </w:p>
    <w:p w:rsidR="00C057FE" w:rsidRPr="002B3E9A" w:rsidRDefault="00C057FE" w:rsidP="00C057FE">
      <w:pPr>
        <w:numPr>
          <w:ilvl w:val="0"/>
          <w:numId w:val="3"/>
        </w:numPr>
        <w:spacing w:line="360" w:lineRule="auto"/>
        <w:ind w:left="0" w:right="-1417" w:firstLine="0"/>
        <w:jc w:val="both"/>
        <w:rPr>
          <w:rFonts w:ascii="Palatino Linotype" w:hAnsi="Palatino Linotype"/>
          <w:color w:val="000000"/>
        </w:rPr>
      </w:pPr>
      <w:r w:rsidRPr="002B3E9A">
        <w:rPr>
          <w:rFonts w:ascii="Palatino Linotype" w:hAnsi="Palatino Linotype"/>
          <w:color w:val="000000"/>
        </w:rPr>
        <w:t>Sumado a lo anterior, el cambio de modalidad prevé una programación para consultar durante dos horas por tres días y sin la posibilidad de que el Particular pueda tomar nota de lo consultado, en los siguientes términos:</w:t>
      </w:r>
    </w:p>
    <w:p w:rsidR="00C057FE" w:rsidRPr="002B3E9A" w:rsidRDefault="00182C41" w:rsidP="00C057FE">
      <w:pPr>
        <w:spacing w:line="360" w:lineRule="auto"/>
        <w:rPr>
          <w:rFonts w:ascii="Palatino Linotype" w:hAnsi="Palatino Linotype"/>
          <w:color w:val="000000"/>
        </w:rPr>
      </w:pPr>
      <w:r w:rsidRPr="002B3E9A">
        <w:rPr>
          <w:rFonts w:ascii="Palatino Linotype" w:hAnsi="Palatino Linotype"/>
          <w:noProof/>
          <w:color w:val="000000"/>
        </w:rPr>
        <w:lastRenderedPageBreak/>
        <w:drawing>
          <wp:inline distT="0" distB="0" distL="0" distR="0" wp14:anchorId="16873C82" wp14:editId="30D647A5">
            <wp:extent cx="5216525" cy="5819775"/>
            <wp:effectExtent l="152400" t="152400" r="365125" b="3714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16525" cy="5819775"/>
                    </a:xfrm>
                    <a:prstGeom prst="rect">
                      <a:avLst/>
                    </a:prstGeom>
                    <a:ln>
                      <a:noFill/>
                    </a:ln>
                    <a:effectLst>
                      <a:outerShdw blurRad="292100" dist="139700" dir="2700000" algn="tl" rotWithShape="0">
                        <a:srgbClr val="333333">
                          <a:alpha val="65000"/>
                        </a:srgbClr>
                      </a:outerShdw>
                    </a:effectLst>
                  </pic:spPr>
                </pic:pic>
              </a:graphicData>
            </a:graphic>
          </wp:inline>
        </w:drawing>
      </w:r>
    </w:p>
    <w:p w:rsidR="00C057FE" w:rsidRPr="002B3E9A" w:rsidRDefault="00C057FE" w:rsidP="00C057FE">
      <w:pPr>
        <w:numPr>
          <w:ilvl w:val="0"/>
          <w:numId w:val="3"/>
        </w:numPr>
        <w:spacing w:line="360" w:lineRule="auto"/>
        <w:ind w:left="0" w:right="-1417" w:firstLine="0"/>
        <w:jc w:val="both"/>
        <w:rPr>
          <w:rFonts w:ascii="Palatino Linotype" w:hAnsi="Palatino Linotype"/>
          <w:color w:val="000000"/>
        </w:rPr>
      </w:pPr>
      <w:r w:rsidRPr="002B3E9A">
        <w:rPr>
          <w:rFonts w:ascii="Palatino Linotype" w:hAnsi="Palatino Linotype"/>
          <w:color w:val="000000"/>
        </w:rPr>
        <w:t xml:space="preserve">Al respecto se debe tener en consideración que la parte Recurrente debe tener posibilidad de </w:t>
      </w:r>
      <w:r w:rsidRPr="002B3E9A">
        <w:rPr>
          <w:rFonts w:ascii="Palatino Linotype" w:eastAsia="Palatino Linotype" w:hAnsi="Palatino Linotype" w:cs="Palatino Linotype"/>
          <w:color w:val="000000"/>
        </w:rPr>
        <w:t>tomar</w:t>
      </w:r>
      <w:r w:rsidRPr="002B3E9A">
        <w:rPr>
          <w:rFonts w:ascii="Palatino Linotype" w:hAnsi="Palatino Linotype"/>
          <w:color w:val="000000"/>
        </w:rPr>
        <w:t xml:space="preserve"> nota de la información que se le proporciona dado que se ofrece otra modalidad de entrega por una supuesta imposibilidad técnica, lo cual no debe limitar a la </w:t>
      </w:r>
      <w:r w:rsidRPr="002B3E9A">
        <w:rPr>
          <w:rFonts w:ascii="Palatino Linotype" w:hAnsi="Palatino Linotype"/>
          <w:color w:val="000000"/>
        </w:rPr>
        <w:lastRenderedPageBreak/>
        <w:t xml:space="preserve">persona Solicitante para tomar notas particulares sobre la información, dado que incluso, se le debe dar la posibilidad de reproducción de la información previo costo, cuestión que no sucedió en el presente asunto. </w:t>
      </w:r>
    </w:p>
    <w:p w:rsidR="00182C41" w:rsidRPr="002B3E9A" w:rsidRDefault="00182C41" w:rsidP="00182C41">
      <w:pPr>
        <w:spacing w:line="360" w:lineRule="auto"/>
        <w:ind w:right="-1417"/>
        <w:jc w:val="both"/>
        <w:rPr>
          <w:rFonts w:ascii="Palatino Linotype" w:hAnsi="Palatino Linotype"/>
          <w:color w:val="000000"/>
        </w:rPr>
      </w:pPr>
    </w:p>
    <w:p w:rsidR="00C057FE" w:rsidRPr="002B3E9A" w:rsidRDefault="00C057FE" w:rsidP="00C057FE">
      <w:pPr>
        <w:numPr>
          <w:ilvl w:val="0"/>
          <w:numId w:val="3"/>
        </w:numPr>
        <w:spacing w:line="360" w:lineRule="auto"/>
        <w:ind w:left="0" w:right="-1417" w:firstLine="0"/>
        <w:jc w:val="both"/>
        <w:rPr>
          <w:rFonts w:ascii="Palatino Linotype" w:hAnsi="Palatino Linotype"/>
          <w:color w:val="000000"/>
        </w:rPr>
      </w:pPr>
      <w:r w:rsidRPr="002B3E9A">
        <w:rPr>
          <w:rFonts w:ascii="Palatino Linotype" w:hAnsi="Palatino Linotype"/>
          <w:color w:val="000000"/>
        </w:rPr>
        <w:t xml:space="preserve">Aunado a lo anterior se localizó el PbRM-10c ESTADO COMPARATIVO </w:t>
      </w:r>
      <w:r w:rsidRPr="002B3E9A">
        <w:rPr>
          <w:rFonts w:ascii="Palatino Linotype" w:eastAsia="Palatino Linotype" w:hAnsi="Palatino Linotype" w:cs="Palatino Linotype"/>
          <w:color w:val="000000"/>
        </w:rPr>
        <w:t>PRESUPUESTAL</w:t>
      </w:r>
      <w:r w:rsidRPr="002B3E9A">
        <w:rPr>
          <w:rFonts w:ascii="Palatino Linotype" w:hAnsi="Palatino Linotype"/>
          <w:color w:val="000000"/>
        </w:rPr>
        <w:t xml:space="preserve"> DE EGRESOS del Sujeto Obligado correspondiente al periodo que va del DEL 1 DE ENERO AL 31 DE DICIEMBRE DE 2025, en el que se observa el siguiente gasto total:</w:t>
      </w:r>
    </w:p>
    <w:p w:rsidR="00C057FE" w:rsidRPr="002B3E9A" w:rsidRDefault="00C057FE" w:rsidP="00C057FE">
      <w:pPr>
        <w:spacing w:line="360" w:lineRule="auto"/>
        <w:rPr>
          <w:rFonts w:ascii="Palatino Linotype" w:hAnsi="Palatino Linotype"/>
          <w:color w:val="000000"/>
        </w:rPr>
      </w:pPr>
      <w:r w:rsidRPr="002B3E9A">
        <w:rPr>
          <w:rFonts w:ascii="Palatino Linotype" w:hAnsi="Palatino Linotype"/>
          <w:noProof/>
        </w:rPr>
        <w:drawing>
          <wp:inline distT="0" distB="0" distL="0" distR="0" wp14:anchorId="57BC4289" wp14:editId="6C51771B">
            <wp:extent cx="5850890" cy="2705100"/>
            <wp:effectExtent l="0" t="0" r="0" b="0"/>
            <wp:docPr id="1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5850890" cy="2705100"/>
                    </a:xfrm>
                    <a:prstGeom prst="rect">
                      <a:avLst/>
                    </a:prstGeom>
                    <a:ln/>
                  </pic:spPr>
                </pic:pic>
              </a:graphicData>
            </a:graphic>
          </wp:inline>
        </w:drawing>
      </w:r>
    </w:p>
    <w:p w:rsidR="00C057FE" w:rsidRPr="002B3E9A" w:rsidRDefault="00C057FE" w:rsidP="00182C41">
      <w:pPr>
        <w:numPr>
          <w:ilvl w:val="0"/>
          <w:numId w:val="3"/>
        </w:numPr>
        <w:spacing w:line="360" w:lineRule="auto"/>
        <w:ind w:left="0" w:right="-1417" w:firstLine="0"/>
        <w:jc w:val="both"/>
        <w:rPr>
          <w:rFonts w:ascii="Palatino Linotype" w:hAnsi="Palatino Linotype"/>
          <w:color w:val="000000"/>
        </w:rPr>
      </w:pPr>
      <w:r w:rsidRPr="002B3E9A">
        <w:rPr>
          <w:rFonts w:ascii="Palatino Linotype" w:hAnsi="Palatino Linotype"/>
          <w:color w:val="000000"/>
        </w:rPr>
        <w:t>También se localizó el siguiente:</w:t>
      </w:r>
    </w:p>
    <w:p w:rsidR="00C057FE" w:rsidRPr="002B3E9A" w:rsidRDefault="00C057FE" w:rsidP="00C057FE">
      <w:pPr>
        <w:spacing w:line="360" w:lineRule="auto"/>
        <w:rPr>
          <w:rFonts w:ascii="Palatino Linotype" w:hAnsi="Palatino Linotype"/>
          <w:color w:val="000000"/>
        </w:rPr>
      </w:pPr>
      <w:r w:rsidRPr="002B3E9A">
        <w:rPr>
          <w:rFonts w:ascii="Palatino Linotype" w:hAnsi="Palatino Linotype"/>
          <w:noProof/>
        </w:rPr>
        <w:drawing>
          <wp:inline distT="0" distB="0" distL="0" distR="0" wp14:anchorId="0C5331E2" wp14:editId="6EAD744E">
            <wp:extent cx="5850890" cy="1793240"/>
            <wp:effectExtent l="0" t="0" r="0" b="0"/>
            <wp:docPr id="1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5850890" cy="1793240"/>
                    </a:xfrm>
                    <a:prstGeom prst="rect">
                      <a:avLst/>
                    </a:prstGeom>
                    <a:ln/>
                  </pic:spPr>
                </pic:pic>
              </a:graphicData>
            </a:graphic>
          </wp:inline>
        </w:drawing>
      </w:r>
    </w:p>
    <w:p w:rsidR="00C057FE" w:rsidRPr="002B3E9A" w:rsidRDefault="00C057FE" w:rsidP="00C057FE">
      <w:pPr>
        <w:numPr>
          <w:ilvl w:val="0"/>
          <w:numId w:val="3"/>
        </w:numPr>
        <w:spacing w:line="360" w:lineRule="auto"/>
        <w:ind w:left="0" w:right="-1417" w:firstLine="0"/>
        <w:jc w:val="both"/>
        <w:rPr>
          <w:rFonts w:ascii="Palatino Linotype" w:hAnsi="Palatino Linotype"/>
          <w:color w:val="000000"/>
        </w:rPr>
      </w:pPr>
      <w:r w:rsidRPr="002B3E9A">
        <w:rPr>
          <w:rFonts w:ascii="Palatino Linotype" w:hAnsi="Palatino Linotype"/>
          <w:color w:val="000000"/>
        </w:rPr>
        <w:lastRenderedPageBreak/>
        <w:t xml:space="preserve">Así pues, se </w:t>
      </w:r>
      <w:r w:rsidRPr="002B3E9A">
        <w:rPr>
          <w:rFonts w:ascii="Palatino Linotype" w:eastAsia="Palatino Linotype" w:hAnsi="Palatino Linotype" w:cs="Palatino Linotype"/>
          <w:color w:val="000000"/>
        </w:rPr>
        <w:t>aprecia</w:t>
      </w:r>
      <w:r w:rsidRPr="002B3E9A">
        <w:rPr>
          <w:rFonts w:ascii="Palatino Linotype" w:hAnsi="Palatino Linotype"/>
          <w:color w:val="000000"/>
        </w:rPr>
        <w:t xml:space="preserve"> que el Sujeto Obligado sí realizó un gasto en el año 2025 por concepto de partida 3611, sin embargo, la cantidad asciende a un costo total anual.</w:t>
      </w:r>
    </w:p>
    <w:p w:rsidR="00C057FE" w:rsidRPr="002B3E9A" w:rsidRDefault="00C057FE" w:rsidP="00C057FE">
      <w:pPr>
        <w:spacing w:line="360" w:lineRule="auto"/>
        <w:rPr>
          <w:rFonts w:ascii="Palatino Linotype" w:hAnsi="Palatino Linotype"/>
          <w:color w:val="000000"/>
        </w:rPr>
      </w:pPr>
    </w:p>
    <w:p w:rsidR="00C057FE" w:rsidRPr="002B3E9A" w:rsidRDefault="00C057FE" w:rsidP="00C057FE">
      <w:pPr>
        <w:numPr>
          <w:ilvl w:val="0"/>
          <w:numId w:val="3"/>
        </w:numPr>
        <w:spacing w:line="360" w:lineRule="auto"/>
        <w:ind w:left="0" w:right="-1417" w:firstLine="0"/>
        <w:jc w:val="both"/>
        <w:rPr>
          <w:rFonts w:ascii="Palatino Linotype" w:hAnsi="Palatino Linotype"/>
          <w:color w:val="000000"/>
        </w:rPr>
      </w:pPr>
      <w:r w:rsidRPr="002B3E9A">
        <w:rPr>
          <w:rFonts w:ascii="Palatino Linotype" w:hAnsi="Palatino Linotype"/>
          <w:color w:val="000000"/>
        </w:rPr>
        <w:t xml:space="preserve">Ahora bien, de los registros que obran en el Sistema de Información Pública de Oficio </w:t>
      </w:r>
      <w:r w:rsidRPr="002B3E9A">
        <w:rPr>
          <w:rFonts w:ascii="Palatino Linotype" w:eastAsia="Palatino Linotype" w:hAnsi="Palatino Linotype" w:cs="Palatino Linotype"/>
          <w:color w:val="000000"/>
        </w:rPr>
        <w:t>Mexiquense</w:t>
      </w:r>
      <w:r w:rsidRPr="002B3E9A">
        <w:rPr>
          <w:rFonts w:ascii="Palatino Linotype" w:hAnsi="Palatino Linotype"/>
          <w:color w:val="000000"/>
        </w:rPr>
        <w:t>, se precisa que en el ejercicio fiscal 2025; para el tercer trimestre que abarca hasta septiembre de 2025; el gasto con motivo de publicidad y propaganda era el siguiente:</w:t>
      </w:r>
    </w:p>
    <w:p w:rsidR="00C057FE" w:rsidRPr="002B3E9A" w:rsidRDefault="00C057FE" w:rsidP="00C057FE">
      <w:pPr>
        <w:spacing w:line="360" w:lineRule="auto"/>
        <w:rPr>
          <w:rFonts w:ascii="Palatino Linotype" w:hAnsi="Palatino Linotype"/>
          <w:color w:val="000000"/>
        </w:rPr>
      </w:pPr>
    </w:p>
    <w:p w:rsidR="00C057FE" w:rsidRPr="002B3E9A" w:rsidRDefault="00C057FE" w:rsidP="00C057FE">
      <w:pPr>
        <w:spacing w:line="360" w:lineRule="auto"/>
        <w:rPr>
          <w:rFonts w:ascii="Palatino Linotype" w:hAnsi="Palatino Linotype"/>
          <w:color w:val="000000"/>
        </w:rPr>
      </w:pPr>
      <w:r w:rsidRPr="002B3E9A">
        <w:rPr>
          <w:rFonts w:ascii="Palatino Linotype" w:hAnsi="Palatino Linotype"/>
          <w:noProof/>
        </w:rPr>
        <w:drawing>
          <wp:inline distT="0" distB="0" distL="0" distR="0" wp14:anchorId="0F53BFF0" wp14:editId="1AF7075F">
            <wp:extent cx="5419725" cy="2400300"/>
            <wp:effectExtent l="152400" t="152400" r="371475" b="361950"/>
            <wp:docPr id="2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a:srcRect/>
                    <a:stretch>
                      <a:fillRect/>
                    </a:stretch>
                  </pic:blipFill>
                  <pic:spPr>
                    <a:xfrm>
                      <a:off x="0" y="0"/>
                      <a:ext cx="5419725" cy="2400300"/>
                    </a:xfrm>
                    <a:prstGeom prst="rect">
                      <a:avLst/>
                    </a:prstGeom>
                    <a:ln>
                      <a:noFill/>
                    </a:ln>
                    <a:effectLst>
                      <a:outerShdw blurRad="292100" dist="139700" dir="2700000" algn="tl" rotWithShape="0">
                        <a:srgbClr val="333333">
                          <a:alpha val="65000"/>
                        </a:srgbClr>
                      </a:outerShdw>
                    </a:effectLst>
                  </pic:spPr>
                </pic:pic>
              </a:graphicData>
            </a:graphic>
          </wp:inline>
        </w:drawing>
      </w:r>
    </w:p>
    <w:p w:rsidR="00C057FE" w:rsidRPr="002B3E9A" w:rsidRDefault="00C057FE" w:rsidP="00C057FE">
      <w:pPr>
        <w:spacing w:line="360" w:lineRule="auto"/>
        <w:rPr>
          <w:rFonts w:ascii="Palatino Linotype" w:hAnsi="Palatino Linotype"/>
          <w:color w:val="000000"/>
        </w:rPr>
      </w:pPr>
    </w:p>
    <w:p w:rsidR="00C057FE" w:rsidRPr="002B3E9A" w:rsidRDefault="00C057FE" w:rsidP="00C057FE">
      <w:pPr>
        <w:numPr>
          <w:ilvl w:val="0"/>
          <w:numId w:val="3"/>
        </w:numPr>
        <w:spacing w:line="360" w:lineRule="auto"/>
        <w:ind w:left="0" w:right="-1417" w:firstLine="0"/>
        <w:jc w:val="both"/>
        <w:rPr>
          <w:rFonts w:ascii="Palatino Linotype" w:hAnsi="Palatino Linotype"/>
          <w:color w:val="000000"/>
        </w:rPr>
      </w:pPr>
      <w:r w:rsidRPr="002B3E9A">
        <w:rPr>
          <w:rFonts w:ascii="Palatino Linotype" w:hAnsi="Palatino Linotype"/>
          <w:color w:val="000000"/>
        </w:rPr>
        <w:t xml:space="preserve">Ahora bien, para el cuatro trimestre que abarca los meses de octubre a diciembre de 2025, </w:t>
      </w:r>
      <w:r w:rsidRPr="002B3E9A">
        <w:rPr>
          <w:rFonts w:ascii="Palatino Linotype" w:eastAsia="Palatino Linotype" w:hAnsi="Palatino Linotype" w:cs="Palatino Linotype"/>
          <w:color w:val="000000"/>
        </w:rPr>
        <w:t>el</w:t>
      </w:r>
      <w:r w:rsidRPr="002B3E9A">
        <w:rPr>
          <w:rFonts w:ascii="Palatino Linotype" w:hAnsi="Palatino Linotype"/>
          <w:color w:val="000000"/>
        </w:rPr>
        <w:t xml:space="preserve"> gasto fue el siguiente:</w:t>
      </w:r>
    </w:p>
    <w:p w:rsidR="00C057FE" w:rsidRPr="002B3E9A" w:rsidRDefault="00C057FE" w:rsidP="00C057FE">
      <w:pPr>
        <w:spacing w:line="360" w:lineRule="auto"/>
        <w:rPr>
          <w:rFonts w:ascii="Palatino Linotype" w:hAnsi="Palatino Linotype"/>
          <w:color w:val="000000"/>
        </w:rPr>
      </w:pPr>
    </w:p>
    <w:p w:rsidR="00C057FE" w:rsidRPr="002B3E9A" w:rsidRDefault="00C057FE" w:rsidP="00C057FE">
      <w:pPr>
        <w:spacing w:line="360" w:lineRule="auto"/>
        <w:rPr>
          <w:rFonts w:ascii="Palatino Linotype" w:hAnsi="Palatino Linotype"/>
          <w:color w:val="000000"/>
        </w:rPr>
      </w:pPr>
      <w:r w:rsidRPr="002B3E9A">
        <w:rPr>
          <w:rFonts w:ascii="Palatino Linotype" w:hAnsi="Palatino Linotype"/>
          <w:noProof/>
        </w:rPr>
        <w:lastRenderedPageBreak/>
        <w:drawing>
          <wp:inline distT="0" distB="0" distL="0" distR="0" wp14:anchorId="11E28F4C" wp14:editId="3BA00A89">
            <wp:extent cx="5305425" cy="2647950"/>
            <wp:effectExtent l="152400" t="152400" r="371475" b="361950"/>
            <wp:docPr id="2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rotWithShape="1">
                    <a:blip r:embed="rId17"/>
                    <a:srcRect/>
                    <a:stretch/>
                  </pic:blipFill>
                  <pic:spPr bwMode="auto">
                    <a:xfrm>
                      <a:off x="0" y="0"/>
                      <a:ext cx="5305425" cy="26479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C057FE" w:rsidRPr="002B3E9A" w:rsidRDefault="00182C41" w:rsidP="00C057FE">
      <w:pPr>
        <w:numPr>
          <w:ilvl w:val="0"/>
          <w:numId w:val="3"/>
        </w:numPr>
        <w:spacing w:line="360" w:lineRule="auto"/>
        <w:ind w:left="0" w:right="-1417" w:firstLine="0"/>
        <w:jc w:val="both"/>
        <w:rPr>
          <w:rFonts w:ascii="Palatino Linotype" w:hAnsi="Palatino Linotype"/>
          <w:color w:val="000000"/>
        </w:rPr>
      </w:pPr>
      <w:r w:rsidRPr="002B3E9A">
        <w:rPr>
          <w:rFonts w:ascii="Palatino Linotype" w:hAnsi="Palatino Linotype"/>
          <w:color w:val="000000"/>
        </w:rPr>
        <w:t xml:space="preserve">De lo anterior, se tiene que al ser facturas y que son documentos que se integran por máximo dos hojas y que el </w:t>
      </w:r>
      <w:r w:rsidRPr="002B3E9A">
        <w:rPr>
          <w:rFonts w:ascii="Palatino Linotype" w:hAnsi="Palatino Linotype"/>
          <w:b/>
          <w:color w:val="000000"/>
        </w:rPr>
        <w:t xml:space="preserve">SUJETO OBLIGADO </w:t>
      </w:r>
      <w:r w:rsidR="00C057FE" w:rsidRPr="002B3E9A">
        <w:rPr>
          <w:rFonts w:ascii="Palatino Linotype" w:hAnsi="Palatino Linotype"/>
          <w:color w:val="000000"/>
        </w:rPr>
        <w:t>no ofreció otras modalidades de entrega, no precisó una temporalidad mínima de 60 días hábiles posteriores a la respuesta en la que se puso a disposición la información, contrario a ello, se señalaron fechas próximas a la respuesta; por</w:t>
      </w:r>
      <w:r w:rsidRPr="002B3E9A">
        <w:rPr>
          <w:rFonts w:ascii="Palatino Linotype" w:hAnsi="Palatino Linotype"/>
          <w:color w:val="000000"/>
        </w:rPr>
        <w:t xml:space="preserve"> lo</w:t>
      </w:r>
      <w:r w:rsidR="00C057FE" w:rsidRPr="002B3E9A">
        <w:rPr>
          <w:rFonts w:ascii="Palatino Linotype" w:hAnsi="Palatino Linotype"/>
          <w:color w:val="000000"/>
        </w:rPr>
        <w:t xml:space="preserve"> tanto, se advierte que no se encuentra debidamente fundado y motivado el cambio de modalidad </w:t>
      </w:r>
      <w:r w:rsidR="00C057FE" w:rsidRPr="002B3E9A">
        <w:rPr>
          <w:rFonts w:ascii="Palatino Linotype" w:eastAsia="Palatino Linotype" w:hAnsi="Palatino Linotype" w:cs="Palatino Linotype"/>
          <w:color w:val="000000"/>
        </w:rPr>
        <w:t>propuesto</w:t>
      </w:r>
      <w:r w:rsidR="00C057FE" w:rsidRPr="002B3E9A">
        <w:rPr>
          <w:rFonts w:ascii="Palatino Linotype" w:hAnsi="Palatino Linotype"/>
          <w:color w:val="000000"/>
        </w:rPr>
        <w:t xml:space="preserve"> en respuesta. </w:t>
      </w:r>
    </w:p>
    <w:p w:rsidR="00C057FE" w:rsidRPr="002B3E9A" w:rsidRDefault="00C057FE" w:rsidP="00C057FE">
      <w:pPr>
        <w:spacing w:line="360" w:lineRule="auto"/>
        <w:rPr>
          <w:rFonts w:ascii="Palatino Linotype" w:hAnsi="Palatino Linotype"/>
          <w:color w:val="000000"/>
        </w:rPr>
      </w:pPr>
    </w:p>
    <w:p w:rsidR="00C057FE" w:rsidRPr="002B3E9A" w:rsidRDefault="00C057FE" w:rsidP="00C057FE">
      <w:pPr>
        <w:numPr>
          <w:ilvl w:val="0"/>
          <w:numId w:val="3"/>
        </w:numPr>
        <w:spacing w:line="360" w:lineRule="auto"/>
        <w:ind w:left="0" w:right="-1417" w:firstLine="0"/>
        <w:jc w:val="both"/>
        <w:rPr>
          <w:rFonts w:ascii="Palatino Linotype" w:hAnsi="Palatino Linotype"/>
          <w:color w:val="000000"/>
        </w:rPr>
      </w:pPr>
      <w:r w:rsidRPr="002B3E9A">
        <w:rPr>
          <w:rFonts w:ascii="Palatino Linotype" w:hAnsi="Palatino Linotype"/>
          <w:color w:val="000000"/>
        </w:rPr>
        <w:t xml:space="preserve">En consecuencia, se aprecia que el cambio de modalidad propuesto por el Sujeto Obligado resulta improcedente, puesto que, no se encuentra debidamente fundado y motivado, dado que no se acreditan las imposibilidades humanas y técnicas para la entrega de la información que nos ocupa; lo cual toma relevancia, pues la pretensión del Recurrente es obtener documentos específicos, no requiere expedientes completos, pólizas con anexos, entre otros, sino únicamente requiere </w:t>
      </w:r>
      <w:r w:rsidR="00182C41" w:rsidRPr="002B3E9A">
        <w:rPr>
          <w:rFonts w:ascii="Palatino Linotype" w:hAnsi="Palatino Linotype"/>
          <w:color w:val="000000"/>
        </w:rPr>
        <w:t>las facturas por el pago de la partida presupuestal 3611</w:t>
      </w:r>
      <w:r w:rsidR="00F94441" w:rsidRPr="002B3E9A">
        <w:rPr>
          <w:rFonts w:ascii="Palatino Linotype" w:hAnsi="Palatino Linotype"/>
          <w:color w:val="000000"/>
        </w:rPr>
        <w:t>.</w:t>
      </w:r>
    </w:p>
    <w:p w:rsidR="003539F6" w:rsidRPr="002B3E9A" w:rsidRDefault="00353053" w:rsidP="00C057FE">
      <w:pPr>
        <w:numPr>
          <w:ilvl w:val="0"/>
          <w:numId w:val="3"/>
        </w:numP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lastRenderedPageBreak/>
        <w:t xml:space="preserve">Finalmente, se debe de analizar lo referente a las facturas que son los documentos solicitados por el </w:t>
      </w:r>
      <w:r w:rsidRPr="002B3E9A">
        <w:rPr>
          <w:rFonts w:ascii="Palatino Linotype" w:eastAsia="Palatino Linotype" w:hAnsi="Palatino Linotype" w:cs="Palatino Linotype"/>
          <w:b/>
          <w:bCs/>
          <w:color w:val="000000"/>
        </w:rPr>
        <w:t xml:space="preserve">RECURRENTE. </w:t>
      </w:r>
    </w:p>
    <w:p w:rsidR="003539F6" w:rsidRPr="002B3E9A" w:rsidRDefault="003539F6">
      <w:pPr>
        <w:pBdr>
          <w:top w:val="nil"/>
          <w:left w:val="nil"/>
          <w:bottom w:val="nil"/>
          <w:right w:val="nil"/>
          <w:between w:val="nil"/>
        </w:pBdr>
        <w:ind w:left="720" w:right="-1417"/>
        <w:rPr>
          <w:rFonts w:ascii="Palatino Linotype" w:eastAsia="Palatino Linotype" w:hAnsi="Palatino Linotype" w:cs="Palatino Linotype"/>
          <w:color w:val="000000"/>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En esa línea,  las </w:t>
      </w:r>
      <w:r w:rsidRPr="002B3E9A">
        <w:rPr>
          <w:rFonts w:ascii="Palatino Linotype" w:eastAsia="Palatino Linotype" w:hAnsi="Palatino Linotype" w:cs="Palatino Linotype"/>
          <w:b/>
          <w:bCs/>
          <w:color w:val="000000"/>
        </w:rPr>
        <w:t>facturas</w:t>
      </w:r>
      <w:r w:rsidRPr="002B3E9A">
        <w:rPr>
          <w:rFonts w:ascii="Palatino Linotype" w:eastAsia="Palatino Linotype" w:hAnsi="Palatino Linotype" w:cs="Palatino Linotype"/>
          <w:color w:val="000000"/>
        </w:rPr>
        <w:t xml:space="preserve"> resulta oportuno traer a contexto, la información publicada por la Secretaría de Hacienda y Crédito Público, referente al Servicio de Administración Tributaria (SAT), en donde se advierte los requisitos que deben reunir las facturas emitidas, consultable en la dirección electrónica </w:t>
      </w:r>
      <w:hyperlink r:id="rId18">
        <w:r w:rsidRPr="002B3E9A">
          <w:rPr>
            <w:rFonts w:ascii="Palatino Linotype" w:eastAsia="Palatino Linotype" w:hAnsi="Palatino Linotype" w:cs="Palatino Linotype"/>
            <w:color w:val="000000"/>
          </w:rPr>
          <w:t>http://omawww.sat.gob.mx/ /Paginas/solicita_requisitos.htm</w:t>
        </w:r>
      </w:hyperlink>
      <w:r w:rsidRPr="002B3E9A">
        <w:rPr>
          <w:rFonts w:ascii="Palatino Linotype" w:eastAsia="Palatino Linotype" w:hAnsi="Palatino Linotype" w:cs="Palatino Linotype"/>
          <w:color w:val="000000"/>
        </w:rPr>
        <w:t>, de conformidad con lo siguiente:</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b/>
          <w:bCs/>
          <w:i/>
          <w:iCs/>
        </w:rPr>
        <w:t>Requisitos que deben reunir las facturas que recibas</w:t>
      </w:r>
      <w:r w:rsidRPr="002B3E9A">
        <w:rPr>
          <w:rFonts w:ascii="Palatino Linotype" w:eastAsia="Palatino Linotype" w:hAnsi="Palatino Linotype" w:cs="Palatino Linotype"/>
          <w:i/>
          <w:iCs/>
        </w:rPr>
        <w:t>:</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 xml:space="preserve">  </w:t>
      </w:r>
      <w:r w:rsidRPr="002B3E9A">
        <w:rPr>
          <w:rFonts w:ascii="Palatino Linotype" w:eastAsia="Palatino Linotype" w:hAnsi="Palatino Linotype" w:cs="Palatino Linotype"/>
          <w:b/>
          <w:bCs/>
          <w:i/>
          <w:iCs/>
          <w:u w:val="single"/>
        </w:rPr>
        <w:t>Clave del Registro Federal de Contribuyentes de quien los expida</w:t>
      </w:r>
      <w:r w:rsidRPr="002B3E9A">
        <w:rPr>
          <w:rFonts w:ascii="Palatino Linotype" w:eastAsia="Palatino Linotype" w:hAnsi="Palatino Linotype" w:cs="Palatino Linotype"/>
          <w:i/>
          <w:iCs/>
        </w:rPr>
        <w:t>.</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  Régimen Fiscal en que tributen conforme a la Ley del ISR.</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  Sí se tiene más de un local o establecimiento, se deberá señalar el domicilio del local o establecimiento en el que se expidan las Facturas.</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  Contener el número de folio asignado por el SAT y el sello digital del SAT.</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 xml:space="preserve">  </w:t>
      </w:r>
      <w:r w:rsidRPr="002B3E9A">
        <w:rPr>
          <w:rFonts w:ascii="Palatino Linotype" w:eastAsia="Palatino Linotype" w:hAnsi="Palatino Linotype" w:cs="Palatino Linotype"/>
          <w:b/>
          <w:bCs/>
          <w:i/>
          <w:iCs/>
          <w:u w:val="single"/>
        </w:rPr>
        <w:t>Sello digital del contribuyente que lo expide</w:t>
      </w:r>
      <w:r w:rsidRPr="002B3E9A">
        <w:rPr>
          <w:rFonts w:ascii="Palatino Linotype" w:eastAsia="Palatino Linotype" w:hAnsi="Palatino Linotype" w:cs="Palatino Linotype"/>
          <w:i/>
          <w:iCs/>
        </w:rPr>
        <w:t>.</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  Lugar y fecha de expedición.</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  Clave del Registro Federal de Contribuyentes de la persona a favor de quien se expida.</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  Cantidad, unidad de medida y clase de los bienes, mercancías o descripción del servicio o del uso o goce que amparen.</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  Valor unitario consignado en número.</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  Importe total señalado en número o en letra.</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  Señalamiento expreso cuando la prestación se pague en una sola exhibición o en parcialidades.</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  Cuando proceda, se indicará el monto de los impuestos trasladados, desglosados por tasa de impuesto y, en su caso, el monto de los impuestos retenidos.</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  Forma en que se realizó el pago (efectivo, transferencia electrónica de fondos, cheque nominativos o tarjeta de débito, de crédito, de servicio o la denominada monedero electrónico que autorice el Servicio de Administración Tributaria).</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  Número y fecha del documento aduanero, tratándose de ventas de primera mano de mercancías de importación.</w:t>
      </w:r>
    </w:p>
    <w:p w:rsidR="003539F6" w:rsidRPr="002B3E9A" w:rsidRDefault="00353053">
      <w:pPr>
        <w:ind w:left="1134" w:right="-1417"/>
        <w:rPr>
          <w:rFonts w:ascii="Palatino Linotype" w:eastAsia="Palatino Linotype" w:hAnsi="Palatino Linotype" w:cs="Palatino Linotype"/>
          <w:i/>
          <w:iCs/>
        </w:rPr>
      </w:pPr>
      <w:r w:rsidRPr="002B3E9A">
        <w:rPr>
          <w:rFonts w:ascii="Palatino Linotype" w:eastAsia="Palatino Linotype" w:hAnsi="Palatino Linotype" w:cs="Palatino Linotype"/>
          <w:i/>
          <w:iCs/>
        </w:rPr>
        <w:br/>
      </w:r>
      <w:r w:rsidRPr="002B3E9A">
        <w:rPr>
          <w:rFonts w:ascii="Palatino Linotype" w:eastAsia="Palatino Linotype" w:hAnsi="Palatino Linotype" w:cs="Palatino Linotype"/>
          <w:b/>
          <w:bCs/>
          <w:i/>
          <w:iCs/>
        </w:rPr>
        <w:t>Además, debe contener los siguientes datos:</w:t>
      </w:r>
      <w:r w:rsidRPr="002B3E9A">
        <w:rPr>
          <w:rFonts w:ascii="Palatino Linotype" w:eastAsia="Palatino Linotype" w:hAnsi="Palatino Linotype" w:cs="Palatino Linotype"/>
          <w:b/>
          <w:bCs/>
          <w:i/>
          <w:iCs/>
        </w:rPr>
        <w:br/>
        <w:t>a) Fecha y hora de certificación.</w:t>
      </w:r>
      <w:r w:rsidRPr="002B3E9A">
        <w:rPr>
          <w:rFonts w:ascii="Palatino Linotype" w:eastAsia="Palatino Linotype" w:hAnsi="Palatino Linotype" w:cs="Palatino Linotype"/>
          <w:b/>
          <w:bCs/>
          <w:i/>
          <w:iCs/>
        </w:rPr>
        <w:br/>
      </w:r>
      <w:r w:rsidRPr="002B3E9A">
        <w:rPr>
          <w:rFonts w:ascii="Palatino Linotype" w:eastAsia="Palatino Linotype" w:hAnsi="Palatino Linotype" w:cs="Palatino Linotype"/>
          <w:b/>
          <w:bCs/>
          <w:i/>
          <w:iCs/>
        </w:rPr>
        <w:lastRenderedPageBreak/>
        <w:t>b) Número de serie del certificado digital del SAT con el que se realizó el sellado</w:t>
      </w:r>
      <w:r w:rsidRPr="002B3E9A">
        <w:rPr>
          <w:rFonts w:ascii="Palatino Linotype" w:eastAsia="Palatino Linotype" w:hAnsi="Palatino Linotype" w:cs="Palatino Linotype"/>
          <w:i/>
          <w:iCs/>
        </w:rPr>
        <w:t>.</w:t>
      </w:r>
    </w:p>
    <w:p w:rsidR="003539F6" w:rsidRPr="002B3E9A" w:rsidRDefault="003539F6">
      <w:pPr>
        <w:ind w:right="-1417"/>
        <w:rPr>
          <w:rFonts w:ascii="Palatino Linotype" w:eastAsia="Palatino Linotype" w:hAnsi="Palatino Linotype" w:cs="Palatino Linotype"/>
          <w:color w:val="000000"/>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En esa línea, se debe de referir que de los datos de las facturas pueden obrar datos personales susceptibles de clasificarse como lo son, la clave de elector, </w:t>
      </w:r>
      <w:r w:rsidRPr="002B3E9A">
        <w:rPr>
          <w:rFonts w:ascii="Palatino Linotype" w:eastAsia="Palatino Linotype" w:hAnsi="Palatino Linotype" w:cs="Palatino Linotype"/>
          <w:b/>
          <w:bCs/>
        </w:rPr>
        <w:t>número</w:t>
      </w:r>
      <w:r w:rsidRPr="002B3E9A">
        <w:rPr>
          <w:rFonts w:ascii="Palatino Linotype" w:eastAsia="Palatino Linotype" w:hAnsi="Palatino Linotype" w:cs="Palatino Linotype"/>
          <w:b/>
          <w:bCs/>
          <w:color w:val="000000"/>
        </w:rPr>
        <w:t xml:space="preserve"> de pasaporte</w:t>
      </w:r>
      <w:r w:rsidRPr="002B3E9A">
        <w:rPr>
          <w:rFonts w:ascii="Palatino Linotype" w:eastAsia="Palatino Linotype" w:hAnsi="Palatino Linotype" w:cs="Palatino Linotype"/>
          <w:color w:val="000000"/>
        </w:rPr>
        <w:t xml:space="preserve">, </w:t>
      </w:r>
      <w:r w:rsidRPr="002B3E9A">
        <w:rPr>
          <w:rFonts w:ascii="Palatino Linotype" w:eastAsia="Palatino Linotype" w:hAnsi="Palatino Linotype" w:cs="Palatino Linotype"/>
          <w:b/>
          <w:bCs/>
          <w:color w:val="000000"/>
        </w:rPr>
        <w:t>cuenta bancaria del proveedor</w:t>
      </w:r>
      <w:r w:rsidRPr="002B3E9A">
        <w:rPr>
          <w:rFonts w:ascii="Palatino Linotype" w:eastAsia="Palatino Linotype" w:hAnsi="Palatino Linotype" w:cs="Palatino Linotype"/>
          <w:color w:val="000000"/>
        </w:rPr>
        <w:t xml:space="preserve">, </w:t>
      </w:r>
      <w:r w:rsidRPr="002B3E9A">
        <w:rPr>
          <w:rFonts w:ascii="Palatino Linotype" w:eastAsia="Palatino Linotype" w:hAnsi="Palatino Linotype" w:cs="Palatino Linotype"/>
          <w:b/>
          <w:bCs/>
          <w:color w:val="000000"/>
        </w:rPr>
        <w:t>banco y sucursal del proveedor</w:t>
      </w:r>
      <w:r w:rsidRPr="002B3E9A">
        <w:rPr>
          <w:rFonts w:ascii="Palatino Linotype" w:eastAsia="Palatino Linotype" w:hAnsi="Palatino Linotype" w:cs="Palatino Linotype"/>
          <w:color w:val="000000"/>
        </w:rPr>
        <w:t xml:space="preserve">, </w:t>
      </w:r>
      <w:r w:rsidRPr="002B3E9A">
        <w:rPr>
          <w:rFonts w:ascii="Palatino Linotype" w:eastAsia="Palatino Linotype" w:hAnsi="Palatino Linotype" w:cs="Palatino Linotype"/>
          <w:b/>
          <w:bCs/>
          <w:color w:val="000000"/>
        </w:rPr>
        <w:t>clave interbancaria del proveedor</w:t>
      </w:r>
      <w:r w:rsidRPr="002B3E9A">
        <w:rPr>
          <w:rFonts w:ascii="Palatino Linotype" w:eastAsia="Palatino Linotype" w:hAnsi="Palatino Linotype" w:cs="Palatino Linotype"/>
          <w:color w:val="000000"/>
        </w:rPr>
        <w:t xml:space="preserve">, es así que, por lo que hace al nombre del servidor público, nombre, denominación o razón social del proveedor, nombre del apoderado o representante legal, domicilio fiscal, </w:t>
      </w:r>
      <w:r w:rsidRPr="002B3E9A">
        <w:rPr>
          <w:rFonts w:ascii="Palatino Linotype" w:eastAsia="Palatino Linotype" w:hAnsi="Palatino Linotype" w:cs="Palatino Linotype"/>
          <w:b/>
          <w:bCs/>
          <w:color w:val="000000"/>
        </w:rPr>
        <w:t>teléfono empresarial o institucional,</w:t>
      </w:r>
      <w:r w:rsidRPr="002B3E9A">
        <w:rPr>
          <w:rFonts w:ascii="Palatino Linotype" w:eastAsia="Palatino Linotype" w:hAnsi="Palatino Linotype" w:cs="Palatino Linotype"/>
          <w:color w:val="000000"/>
        </w:rPr>
        <w:t xml:space="preserve"> firmas, y RFC se consideran datos personales públicos. </w:t>
      </w:r>
    </w:p>
    <w:p w:rsidR="003539F6" w:rsidRPr="002B3E9A" w:rsidRDefault="003539F6">
      <w:pPr>
        <w:ind w:left="720" w:right="-1417"/>
        <w:rPr>
          <w:rFonts w:ascii="Palatino Linotype" w:eastAsia="Palatino Linotype" w:hAnsi="Palatino Linotype" w:cs="Palatino Linotype"/>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rPr>
        <w:t>Cobra</w:t>
      </w:r>
      <w:r w:rsidRPr="002B3E9A">
        <w:rPr>
          <w:rFonts w:ascii="Palatino Linotype" w:eastAsia="Palatino Linotype" w:hAnsi="Palatino Linotype" w:cs="Palatino Linotype"/>
          <w:color w:val="000000"/>
        </w:rPr>
        <w:t xml:space="preserve"> sustento lo anterior, con el criterio 01/19 reiterado vigente del INAI, que refiere lo siguiente:</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b/>
          <w:bCs/>
          <w:i/>
          <w:iCs/>
        </w:rPr>
        <w:t>Datos de identificación del representante o apoderado legal.</w:t>
      </w:r>
      <w:r w:rsidRPr="002B3E9A">
        <w:rPr>
          <w:rFonts w:ascii="Palatino Linotype" w:eastAsia="Palatino Linotype" w:hAnsi="Palatino Linotype" w:cs="Palatino Linotype"/>
          <w:i/>
          <w:iCs/>
        </w:rPr>
        <w:t xml:space="preserve"> </w:t>
      </w:r>
      <w:r w:rsidRPr="002B3E9A">
        <w:rPr>
          <w:rFonts w:ascii="Palatino Linotype" w:eastAsia="Palatino Linotype" w:hAnsi="Palatino Linotype" w:cs="Palatino Linotype"/>
          <w:b/>
          <w:bCs/>
          <w:i/>
          <w:iCs/>
        </w:rPr>
        <w:t xml:space="preserve">Naturaleza jurídica. </w:t>
      </w:r>
      <w:r w:rsidRPr="002B3E9A">
        <w:rPr>
          <w:rFonts w:ascii="Palatino Linotype" w:eastAsia="Palatino Linotype" w:hAnsi="Palatino Linotype" w:cs="Palatino Linotype"/>
          <w:i/>
          <w:iCs/>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rsidR="003539F6" w:rsidRPr="002B3E9A" w:rsidRDefault="003539F6">
      <w:pPr>
        <w:ind w:left="1134" w:right="-1417"/>
        <w:jc w:val="both"/>
        <w:rPr>
          <w:rFonts w:ascii="Palatino Linotype" w:eastAsia="Palatino Linotype" w:hAnsi="Palatino Linotype" w:cs="Palatino Linotype"/>
          <w:i/>
          <w:iCs/>
          <w:color w:val="000000"/>
        </w:rPr>
      </w:pPr>
    </w:p>
    <w:p w:rsidR="003539F6" w:rsidRPr="002B3E9A" w:rsidRDefault="00353053">
      <w:pPr>
        <w:ind w:left="1134" w:right="-1417"/>
        <w:jc w:val="both"/>
        <w:rPr>
          <w:rFonts w:ascii="Palatino Linotype" w:eastAsia="Palatino Linotype" w:hAnsi="Palatino Linotype" w:cs="Palatino Linotype"/>
          <w:b/>
          <w:bCs/>
          <w:i/>
          <w:iCs/>
        </w:rPr>
      </w:pPr>
      <w:r w:rsidRPr="002B3E9A">
        <w:rPr>
          <w:rFonts w:ascii="Palatino Linotype" w:eastAsia="Palatino Linotype" w:hAnsi="Palatino Linotype" w:cs="Palatino Linotype"/>
          <w:b/>
          <w:bCs/>
          <w:i/>
          <w:iCs/>
        </w:rPr>
        <w:t>Precedentes:</w:t>
      </w:r>
    </w:p>
    <w:p w:rsidR="003539F6" w:rsidRPr="002B3E9A" w:rsidRDefault="00353053">
      <w:pPr>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Acceso a la información pública. RRA 3104/16. Sesión del 01 de noviembre del 2016. Votación por unanimidad. Sin votos disidentes o particulares. Secretaría de la Defensa Nacional. Comisionado Ponente Oscar Mauricio Guerra Ford.</w:t>
      </w:r>
    </w:p>
    <w:p w:rsidR="003539F6" w:rsidRPr="002B3E9A" w:rsidRDefault="00353053">
      <w:pPr>
        <w:ind w:left="1134" w:right="-1417"/>
        <w:jc w:val="both"/>
        <w:rPr>
          <w:rFonts w:ascii="Palatino Linotype" w:eastAsia="Palatino Linotype" w:hAnsi="Palatino Linotype" w:cs="Palatino Linotype"/>
          <w:b/>
          <w:bCs/>
          <w:i/>
          <w:iCs/>
        </w:rPr>
      </w:pPr>
      <w:r w:rsidRPr="002B3E9A">
        <w:rPr>
          <w:rFonts w:ascii="Palatino Linotype" w:eastAsia="Palatino Linotype" w:hAnsi="Palatino Linotype" w:cs="Palatino Linotype"/>
          <w:i/>
          <w:iCs/>
        </w:rPr>
        <w:t>Acceso a la información pública. RRA 2923/16. Sesión del 13 de diciembre de 2016. Votación por unanimidad. Sin votos disidentes o particulares. Administración Portuaria Integral de Lázaro Cárdenas, S.A. de C.V. Comisionada Ponente María Patricia Kurczyn Villalobos.</w:t>
      </w:r>
    </w:p>
    <w:p w:rsidR="003539F6" w:rsidRPr="002B3E9A" w:rsidRDefault="00353053">
      <w:pPr>
        <w:tabs>
          <w:tab w:val="left" w:pos="7371"/>
        </w:tabs>
        <w:ind w:left="1134" w:right="-1417"/>
        <w:jc w:val="both"/>
        <w:rPr>
          <w:rFonts w:ascii="Palatino Linotype" w:eastAsia="Palatino Linotype" w:hAnsi="Palatino Linotype" w:cs="Palatino Linotype"/>
          <w:i/>
          <w:iCs/>
        </w:rPr>
      </w:pPr>
      <w:r w:rsidRPr="002B3E9A">
        <w:rPr>
          <w:rFonts w:ascii="Palatino Linotype" w:eastAsia="Palatino Linotype" w:hAnsi="Palatino Linotype" w:cs="Palatino Linotype"/>
          <w:i/>
          <w:iCs/>
        </w:rPr>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rPr>
        <w:lastRenderedPageBreak/>
        <w:t>Del</w:t>
      </w:r>
      <w:r w:rsidRPr="002B3E9A">
        <w:rPr>
          <w:rFonts w:ascii="Palatino Linotype" w:eastAsia="Palatino Linotype" w:hAnsi="Palatino Linotype" w:cs="Palatino Linotype"/>
          <w:color w:val="000000"/>
        </w:rPr>
        <w:t xml:space="preserve"> Folio fiscal, Número de serie CSD del emisor, Sello digital del contribuyente emisor, Número de serie del CSD del SAT, Sello digital del SA y Cadena original de complemento de certificación digital SAT. </w:t>
      </w:r>
    </w:p>
    <w:p w:rsidR="003539F6" w:rsidRPr="002B3E9A" w:rsidRDefault="003539F6">
      <w:pPr>
        <w:spacing w:line="360" w:lineRule="auto"/>
        <w:ind w:right="-1417"/>
        <w:jc w:val="both"/>
        <w:rPr>
          <w:rFonts w:ascii="Palatino Linotype" w:eastAsia="Palatino Linotype" w:hAnsi="Palatino Linotype" w:cs="Palatino Linotype"/>
          <w:b/>
          <w:bCs/>
          <w:i/>
          <w:iCs/>
          <w:u w:val="single"/>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bookmarkStart w:id="14" w:name="_heading=h.2z9jwqn7dp2n" w:colFirst="0" w:colLast="0"/>
      <w:bookmarkEnd w:id="14"/>
      <w:r w:rsidRPr="002B3E9A">
        <w:rPr>
          <w:rFonts w:ascii="Palatino Linotype" w:eastAsia="Palatino Linotype" w:hAnsi="Palatino Linotype" w:cs="Palatino Linotype"/>
          <w:color w:val="000000"/>
        </w:rPr>
        <w:t xml:space="preserve">De conformidad con la regla 2.7.1.7 de Resolución Miscelánea Fiscal para 2019, para los efectos del artículo 29 segundo párrafo fracción V del Código Fiscal de la Federación, las representaciones impresas del Comprobante Fiscal Digital por Internet o CFDI, deben cumplir con los requisitos señalados en el artículo 29-A del </w:t>
      </w:r>
      <w:r w:rsidRPr="002B3E9A">
        <w:rPr>
          <w:rFonts w:ascii="Palatino Linotype" w:eastAsia="Palatino Linotype" w:hAnsi="Palatino Linotype" w:cs="Palatino Linotype"/>
        </w:rPr>
        <w:t>Código</w:t>
      </w:r>
      <w:r w:rsidRPr="002B3E9A">
        <w:rPr>
          <w:rFonts w:ascii="Palatino Linotype" w:eastAsia="Palatino Linotype" w:hAnsi="Palatino Linotype" w:cs="Palatino Linotype"/>
          <w:color w:val="000000"/>
        </w:rPr>
        <w:t xml:space="preserve"> Fiscal de la Federación, y contener lo siguiente: </w:t>
      </w:r>
    </w:p>
    <w:p w:rsidR="003539F6" w:rsidRPr="002B3E9A" w:rsidRDefault="00353053">
      <w:pPr>
        <w:ind w:left="1134" w:right="-1417"/>
        <w:jc w:val="both"/>
        <w:rPr>
          <w:rFonts w:ascii="Palatino Linotype" w:eastAsia="Palatino Linotype" w:hAnsi="Palatino Linotype" w:cs="Palatino Linotype"/>
          <w:i/>
          <w:iCs/>
        </w:rPr>
      </w:pPr>
      <w:bookmarkStart w:id="15" w:name="_heading=h.jn7wityzmbc9" w:colFirst="0" w:colLast="0"/>
      <w:bookmarkEnd w:id="15"/>
      <w:r w:rsidRPr="002B3E9A">
        <w:rPr>
          <w:rFonts w:ascii="Palatino Linotype" w:eastAsia="Palatino Linotype" w:hAnsi="Palatino Linotype" w:cs="Palatino Linotype"/>
          <w:i/>
          <w:iCs/>
        </w:rPr>
        <w:t>“I. Código de barras generado conforme a la especificación técnica que se establece en el rubro I.D del Anexo 20 o el número de folio fiscal del comprobante.</w:t>
      </w:r>
    </w:p>
    <w:p w:rsidR="003539F6" w:rsidRPr="002B3E9A" w:rsidRDefault="00353053">
      <w:pPr>
        <w:ind w:left="1134" w:right="-1417"/>
        <w:jc w:val="both"/>
        <w:rPr>
          <w:rFonts w:ascii="Palatino Linotype" w:eastAsia="Palatino Linotype" w:hAnsi="Palatino Linotype" w:cs="Palatino Linotype"/>
          <w:i/>
          <w:iCs/>
        </w:rPr>
      </w:pPr>
      <w:bookmarkStart w:id="16" w:name="_heading=h.t35j6so4838j" w:colFirst="0" w:colLast="0"/>
      <w:bookmarkEnd w:id="16"/>
      <w:r w:rsidRPr="002B3E9A">
        <w:rPr>
          <w:rFonts w:ascii="Palatino Linotype" w:eastAsia="Palatino Linotype" w:hAnsi="Palatino Linotype" w:cs="Palatino Linotype"/>
          <w:i/>
          <w:iCs/>
        </w:rPr>
        <w:t xml:space="preserve">II. Número de serie del CSD del emisor y del SAT, que establecen los rubros I.A y III.B del Anexo 20. </w:t>
      </w:r>
    </w:p>
    <w:p w:rsidR="003539F6" w:rsidRPr="002B3E9A" w:rsidRDefault="00353053">
      <w:pPr>
        <w:ind w:left="1134" w:right="-1417"/>
        <w:jc w:val="both"/>
        <w:rPr>
          <w:rFonts w:ascii="Palatino Linotype" w:eastAsia="Palatino Linotype" w:hAnsi="Palatino Linotype" w:cs="Palatino Linotype"/>
          <w:i/>
          <w:iCs/>
        </w:rPr>
      </w:pPr>
      <w:bookmarkStart w:id="17" w:name="_heading=h.ofsgmw2ltcti" w:colFirst="0" w:colLast="0"/>
      <w:bookmarkEnd w:id="17"/>
      <w:r w:rsidRPr="002B3E9A">
        <w:rPr>
          <w:rFonts w:ascii="Palatino Linotype" w:eastAsia="Palatino Linotype" w:hAnsi="Palatino Linotype" w:cs="Palatino Linotype"/>
          <w:i/>
          <w:iCs/>
        </w:rPr>
        <w:t xml:space="preserve">III. La leyenda: “Este documento es una representación impresa de un CFDI” </w:t>
      </w:r>
    </w:p>
    <w:p w:rsidR="003539F6" w:rsidRPr="002B3E9A" w:rsidRDefault="00353053">
      <w:pPr>
        <w:ind w:left="1134" w:right="-1417"/>
        <w:jc w:val="both"/>
        <w:rPr>
          <w:rFonts w:ascii="Palatino Linotype" w:eastAsia="Palatino Linotype" w:hAnsi="Palatino Linotype" w:cs="Palatino Linotype"/>
          <w:i/>
          <w:iCs/>
        </w:rPr>
      </w:pPr>
      <w:bookmarkStart w:id="18" w:name="_heading=h.6md85qnj95ht" w:colFirst="0" w:colLast="0"/>
      <w:bookmarkEnd w:id="18"/>
      <w:r w:rsidRPr="002B3E9A">
        <w:rPr>
          <w:rFonts w:ascii="Palatino Linotype" w:eastAsia="Palatino Linotype" w:hAnsi="Palatino Linotype" w:cs="Palatino Linotype"/>
          <w:i/>
          <w:iCs/>
        </w:rPr>
        <w:t xml:space="preserve">IV. Fecha y hora de emisión y de certificación del CFDI en adición a lo señalado en el artículo 29- A, fracción III del CFF. </w:t>
      </w:r>
    </w:p>
    <w:p w:rsidR="003539F6" w:rsidRPr="002B3E9A" w:rsidRDefault="00353053">
      <w:pPr>
        <w:ind w:left="1134" w:right="-1417"/>
        <w:jc w:val="both"/>
        <w:rPr>
          <w:rFonts w:ascii="Palatino Linotype" w:eastAsia="Palatino Linotype" w:hAnsi="Palatino Linotype" w:cs="Palatino Linotype"/>
          <w:i/>
          <w:iCs/>
        </w:rPr>
      </w:pPr>
      <w:bookmarkStart w:id="19" w:name="_heading=h.gkcdl3o797mw" w:colFirst="0" w:colLast="0"/>
      <w:bookmarkEnd w:id="19"/>
      <w:r w:rsidRPr="002B3E9A">
        <w:rPr>
          <w:rFonts w:ascii="Palatino Linotype" w:eastAsia="Palatino Linotype" w:hAnsi="Palatino Linotype" w:cs="Palatino Linotype"/>
          <w:i/>
          <w:iCs/>
        </w:rPr>
        <w:t xml:space="preserve">V. Cadena original del complemento de certificación digital del SAT. </w:t>
      </w:r>
    </w:p>
    <w:p w:rsidR="003539F6" w:rsidRPr="002B3E9A" w:rsidRDefault="00353053">
      <w:pPr>
        <w:ind w:left="1134" w:right="-1417"/>
        <w:jc w:val="both"/>
        <w:rPr>
          <w:rFonts w:ascii="Palatino Linotype" w:eastAsia="Palatino Linotype" w:hAnsi="Palatino Linotype" w:cs="Palatino Linotype"/>
          <w:i/>
          <w:iCs/>
        </w:rPr>
      </w:pPr>
      <w:bookmarkStart w:id="20" w:name="_heading=h.obomck3iidb7" w:colFirst="0" w:colLast="0"/>
      <w:bookmarkEnd w:id="20"/>
      <w:r w:rsidRPr="002B3E9A">
        <w:rPr>
          <w:rFonts w:ascii="Palatino Linotype" w:eastAsia="Palatino Linotype" w:hAnsi="Palatino Linotype" w:cs="Palatino Linotype"/>
          <w:i/>
          <w:iCs/>
        </w:rPr>
        <w:t xml:space="preserve">VI. Tratándose de las representaciones impresas del CFDI que amparen retenciones e información de pagos emitidos conforme a lo dispuesto en la regla 2.7.5.4., adicional a lo anteriormente señalado deberán incluir: </w:t>
      </w:r>
    </w:p>
    <w:p w:rsidR="003539F6" w:rsidRPr="002B3E9A" w:rsidRDefault="00353053">
      <w:pPr>
        <w:ind w:left="1134" w:right="-1417"/>
        <w:jc w:val="both"/>
        <w:rPr>
          <w:rFonts w:ascii="Palatino Linotype" w:eastAsia="Palatino Linotype" w:hAnsi="Palatino Linotype" w:cs="Palatino Linotype"/>
          <w:i/>
          <w:iCs/>
        </w:rPr>
      </w:pPr>
      <w:bookmarkStart w:id="21" w:name="_heading=h.n6ygx4z7u7iu" w:colFirst="0" w:colLast="0"/>
      <w:bookmarkEnd w:id="21"/>
      <w:r w:rsidRPr="002B3E9A">
        <w:rPr>
          <w:rFonts w:ascii="Palatino Linotype" w:eastAsia="Palatino Linotype" w:hAnsi="Palatino Linotype" w:cs="Palatino Linotype"/>
          <w:i/>
          <w:iCs/>
        </w:rPr>
        <w:t xml:space="preserve">a) Los datos que establece el Anexo 20, apartado II.A., así como los correspondientes a los complementos que incorpore. </w:t>
      </w:r>
    </w:p>
    <w:p w:rsidR="003539F6" w:rsidRPr="002B3E9A" w:rsidRDefault="00353053">
      <w:pPr>
        <w:ind w:left="1134" w:right="-1417"/>
        <w:jc w:val="both"/>
        <w:rPr>
          <w:rFonts w:ascii="Palatino Linotype" w:eastAsia="Palatino Linotype" w:hAnsi="Palatino Linotype" w:cs="Palatino Linotype"/>
          <w:i/>
          <w:iCs/>
        </w:rPr>
      </w:pPr>
      <w:bookmarkStart w:id="22" w:name="_heading=h.htfse3mfod91" w:colFirst="0" w:colLast="0"/>
      <w:bookmarkEnd w:id="22"/>
      <w:r w:rsidRPr="002B3E9A">
        <w:rPr>
          <w:rFonts w:ascii="Palatino Linotype" w:eastAsia="Palatino Linotype" w:hAnsi="Palatino Linotype" w:cs="Palatino Linotype"/>
          <w:i/>
          <w:iCs/>
        </w:rPr>
        <w:t xml:space="preserve">b) El código de barras generado conforme a la especificación técnica establecida en el Anexo 20, rubro II.D. </w:t>
      </w:r>
    </w:p>
    <w:p w:rsidR="003539F6" w:rsidRPr="002B3E9A" w:rsidRDefault="00353053">
      <w:pPr>
        <w:ind w:left="1134" w:right="-1417"/>
        <w:jc w:val="both"/>
        <w:rPr>
          <w:rFonts w:ascii="Palatino Linotype" w:eastAsia="Palatino Linotype" w:hAnsi="Palatino Linotype" w:cs="Palatino Linotype"/>
          <w:i/>
          <w:iCs/>
        </w:rPr>
      </w:pPr>
      <w:bookmarkStart w:id="23" w:name="_heading=h.18yejeg468ga" w:colFirst="0" w:colLast="0"/>
      <w:bookmarkEnd w:id="23"/>
      <w:r w:rsidRPr="002B3E9A">
        <w:rPr>
          <w:rFonts w:ascii="Palatino Linotype" w:eastAsia="Palatino Linotype" w:hAnsi="Palatino Linotype" w:cs="Palatino Linotype"/>
          <w:i/>
          <w:iCs/>
        </w:rPr>
        <w:t xml:space="preserve">VII. Tratándose de las representaciones impresas de un CFDI emitidas conforme a lo dispuesto en la regla 2.7.2.14., y la Sección 2.7.3., se deberá estar a lo siguiente: </w:t>
      </w:r>
    </w:p>
    <w:p w:rsidR="003539F6" w:rsidRPr="002B3E9A" w:rsidRDefault="00353053">
      <w:pPr>
        <w:ind w:left="1134" w:right="-1417"/>
        <w:jc w:val="both"/>
        <w:rPr>
          <w:rFonts w:ascii="Palatino Linotype" w:eastAsia="Palatino Linotype" w:hAnsi="Palatino Linotype" w:cs="Palatino Linotype"/>
          <w:i/>
          <w:iCs/>
        </w:rPr>
      </w:pPr>
      <w:bookmarkStart w:id="24" w:name="_heading=h.5bnr4t7cvb3w" w:colFirst="0" w:colLast="0"/>
      <w:bookmarkEnd w:id="24"/>
      <w:r w:rsidRPr="002B3E9A">
        <w:rPr>
          <w:rFonts w:ascii="Palatino Linotype" w:eastAsia="Palatino Linotype" w:hAnsi="Palatino Linotype" w:cs="Palatino Linotype"/>
          <w:i/>
          <w:iCs/>
        </w:rPr>
        <w:t xml:space="preserve">a) Espacio para registrar la firma autógrafa de la persona que emite el CFDI. </w:t>
      </w:r>
    </w:p>
    <w:p w:rsidR="003539F6" w:rsidRPr="002B3E9A" w:rsidRDefault="00353053">
      <w:pPr>
        <w:ind w:left="1134" w:right="-1417"/>
        <w:jc w:val="both"/>
        <w:rPr>
          <w:rFonts w:ascii="Palatino Linotype" w:eastAsia="Palatino Linotype" w:hAnsi="Palatino Linotype" w:cs="Palatino Linotype"/>
          <w:i/>
          <w:iCs/>
        </w:rPr>
      </w:pPr>
      <w:bookmarkStart w:id="25" w:name="_heading=h.dn2nmuiczm76" w:colFirst="0" w:colLast="0"/>
      <w:bookmarkEnd w:id="25"/>
      <w:r w:rsidRPr="002B3E9A">
        <w:rPr>
          <w:rFonts w:ascii="Palatino Linotype" w:eastAsia="Palatino Linotype" w:hAnsi="Palatino Linotype" w:cs="Palatino Linotype"/>
          <w:i/>
          <w:iCs/>
        </w:rPr>
        <w:t xml:space="preserve">b) Respecto a lo señalado en la fracción II de esta regla, se incluirá el número de serie de CESD del proveedor de certificación de CFDI o del SAT según corresponda en sustitución del número de CSD del emisor. </w:t>
      </w:r>
    </w:p>
    <w:p w:rsidR="003539F6" w:rsidRPr="002B3E9A" w:rsidRDefault="00353053">
      <w:pPr>
        <w:ind w:left="1134" w:right="-1417"/>
        <w:jc w:val="both"/>
        <w:rPr>
          <w:rFonts w:ascii="Palatino Linotype" w:eastAsia="Palatino Linotype" w:hAnsi="Palatino Linotype" w:cs="Palatino Linotype"/>
          <w:i/>
          <w:iCs/>
        </w:rPr>
      </w:pPr>
      <w:bookmarkStart w:id="26" w:name="_heading=h.f44lrhhpmkjn" w:colFirst="0" w:colLast="0"/>
      <w:bookmarkEnd w:id="26"/>
      <w:r w:rsidRPr="002B3E9A">
        <w:rPr>
          <w:rFonts w:ascii="Palatino Linotype" w:eastAsia="Palatino Linotype" w:hAnsi="Palatino Linotype" w:cs="Palatino Linotype"/>
          <w:i/>
          <w:iCs/>
        </w:rPr>
        <w:t xml:space="preserve">VIII. Tratándose de las representaciones impresas del CFDI por pagos realizados conforme a lo dispuesto en la regla 2.7.1.35., adicional a lo señalado en las fracciones </w:t>
      </w:r>
      <w:r w:rsidRPr="002B3E9A">
        <w:rPr>
          <w:rFonts w:ascii="Palatino Linotype" w:eastAsia="Palatino Linotype" w:hAnsi="Palatino Linotype" w:cs="Palatino Linotype"/>
          <w:i/>
          <w:iCs/>
        </w:rPr>
        <w:lastRenderedPageBreak/>
        <w:t xml:space="preserve">anteriores de esta regla, deberán incluir la totalidad de los datos contenidos en el complemento para pagos. </w:t>
      </w:r>
    </w:p>
    <w:p w:rsidR="003539F6" w:rsidRPr="002B3E9A" w:rsidRDefault="00353053">
      <w:pPr>
        <w:ind w:left="1134" w:right="-1417"/>
        <w:jc w:val="both"/>
        <w:rPr>
          <w:rFonts w:ascii="Palatino Linotype" w:eastAsia="Palatino Linotype" w:hAnsi="Palatino Linotype" w:cs="Palatino Linotype"/>
        </w:rPr>
      </w:pPr>
      <w:bookmarkStart w:id="27" w:name="_heading=h.oo2mmabwdpzm" w:colFirst="0" w:colLast="0"/>
      <w:bookmarkEnd w:id="27"/>
      <w:r w:rsidRPr="002B3E9A">
        <w:rPr>
          <w:rFonts w:ascii="Palatino Linotype" w:eastAsia="Palatino Linotype" w:hAnsi="Palatino Linotype" w:cs="Palatino Linotype"/>
          <w:i/>
          <w:iCs/>
        </w:rPr>
        <w:t>El archivo electrónico que en su caso genere la representación impresa deberá estar en formato electrónico PDF o algún otro similar que permita su impresión. Lo establecido en esta regla no será aplicable a la representación impresa del CFDI que se expida a través de “Mis cuentas”</w:t>
      </w:r>
      <w:r w:rsidRPr="002B3E9A">
        <w:rPr>
          <w:rFonts w:ascii="Palatino Linotype" w:eastAsia="Palatino Linotype" w:hAnsi="Palatino Linotype" w:cs="Palatino Linotype"/>
        </w:rPr>
        <w:t>.</w:t>
      </w:r>
    </w:p>
    <w:p w:rsidR="003539F6" w:rsidRPr="002B3E9A" w:rsidRDefault="00353053">
      <w:pPr>
        <w:ind w:left="1134" w:right="-1417"/>
        <w:jc w:val="both"/>
        <w:rPr>
          <w:rFonts w:ascii="Palatino Linotype" w:eastAsia="Palatino Linotype" w:hAnsi="Palatino Linotype" w:cs="Palatino Linotype"/>
          <w:i/>
          <w:iCs/>
        </w:rPr>
      </w:pPr>
      <w:bookmarkStart w:id="28" w:name="_heading=h.t1mp8qivtptx" w:colFirst="0" w:colLast="0"/>
      <w:bookmarkEnd w:id="28"/>
      <w:r w:rsidRPr="002B3E9A">
        <w:rPr>
          <w:rFonts w:ascii="Palatino Linotype" w:eastAsia="Palatino Linotype" w:hAnsi="Palatino Linotype" w:cs="Palatino Linotype"/>
          <w:i/>
          <w:iCs/>
        </w:rPr>
        <w:t>(Énfasis añadido)</w:t>
      </w:r>
    </w:p>
    <w:p w:rsidR="003539F6" w:rsidRPr="002B3E9A" w:rsidRDefault="003539F6">
      <w:pPr>
        <w:ind w:left="1134" w:right="-1417"/>
        <w:jc w:val="both"/>
        <w:rPr>
          <w:rFonts w:ascii="Palatino Linotype" w:eastAsia="Palatino Linotype" w:hAnsi="Palatino Linotype" w:cs="Palatino Linotype"/>
        </w:rPr>
      </w:pPr>
      <w:bookmarkStart w:id="29" w:name="_heading=h.8sifv2td4no" w:colFirst="0" w:colLast="0"/>
      <w:bookmarkEnd w:id="29"/>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bookmarkStart w:id="30" w:name="_heading=h.oh2brxaow78o" w:colFirst="0" w:colLast="0"/>
      <w:bookmarkEnd w:id="30"/>
      <w:r w:rsidRPr="002B3E9A">
        <w:rPr>
          <w:rFonts w:ascii="Palatino Linotype" w:eastAsia="Palatino Linotype" w:hAnsi="Palatino Linotype" w:cs="Palatino Linotype"/>
        </w:rPr>
        <w:t>Asimismo</w:t>
      </w:r>
      <w:r w:rsidRPr="002B3E9A">
        <w:rPr>
          <w:rFonts w:ascii="Palatino Linotype" w:eastAsia="Palatino Linotype" w:hAnsi="Palatino Linotype" w:cs="Palatino Linotype"/>
          <w:color w:val="000000"/>
        </w:rPr>
        <w:t xml:space="preserve">, de conformidad con el Anexo 20 de la Segunda Resolución de modificaciones a la Resolución Miscelánea Fiscal, los elementos utilizados en la generación de sellos digitales son la cadena original del elemento a sellar, el </w:t>
      </w:r>
      <w:r w:rsidRPr="002B3E9A">
        <w:rPr>
          <w:rFonts w:ascii="Palatino Linotype" w:eastAsia="Palatino Linotype" w:hAnsi="Palatino Linotype" w:cs="Palatino Linotype"/>
        </w:rPr>
        <w:t>certificado</w:t>
      </w:r>
      <w:r w:rsidRPr="002B3E9A">
        <w:rPr>
          <w:rFonts w:ascii="Palatino Linotype" w:eastAsia="Palatino Linotype" w:hAnsi="Palatino Linotype" w:cs="Palatino Linotype"/>
          <w:color w:val="000000"/>
        </w:rPr>
        <w:t xml:space="preserve"> de sello digital y su correspondiente clave privada, los algoritmos de criptografía de clave pública para firma electrónica avanzada, y las especificaciones de conversión de la firma avanzada a base 64.</w:t>
      </w:r>
    </w:p>
    <w:p w:rsidR="003539F6" w:rsidRPr="002B3E9A" w:rsidRDefault="003539F6">
      <w:pPr>
        <w:spacing w:line="360" w:lineRule="auto"/>
        <w:ind w:right="-1417"/>
        <w:jc w:val="both"/>
        <w:rPr>
          <w:rFonts w:ascii="Palatino Linotype" w:eastAsia="Palatino Linotype" w:hAnsi="Palatino Linotype" w:cs="Palatino Linotype"/>
        </w:rPr>
      </w:pPr>
      <w:bookmarkStart w:id="31" w:name="_heading=h.987we07n3kwj" w:colFirst="0" w:colLast="0"/>
      <w:bookmarkEnd w:id="31"/>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bookmarkStart w:id="32" w:name="_heading=h.e4w0o6ue8sc6" w:colFirst="0" w:colLast="0"/>
      <w:bookmarkEnd w:id="32"/>
      <w:r w:rsidRPr="002B3E9A">
        <w:rPr>
          <w:rFonts w:ascii="Palatino Linotype" w:eastAsia="Palatino Linotype" w:hAnsi="Palatino Linotype" w:cs="Palatino Linotype"/>
        </w:rPr>
        <w:t>Para</w:t>
      </w:r>
      <w:r w:rsidRPr="002B3E9A">
        <w:rPr>
          <w:rFonts w:ascii="Palatino Linotype" w:eastAsia="Palatino Linotype" w:hAnsi="Palatino Linotype" w:cs="Palatino Linotype"/>
          <w:color w:val="000000"/>
        </w:rPr>
        <w:t xml:space="preserve"> la generación de sellos digitales se utiliza </w:t>
      </w:r>
      <w:r w:rsidRPr="002B3E9A">
        <w:rPr>
          <w:rFonts w:ascii="Palatino Linotype" w:eastAsia="Palatino Linotype" w:hAnsi="Palatino Linotype" w:cs="Palatino Linotype"/>
          <w:b/>
          <w:bCs/>
          <w:color w:val="000000"/>
        </w:rPr>
        <w:t>criptografía</w:t>
      </w:r>
      <w:r w:rsidRPr="002B3E9A">
        <w:rPr>
          <w:rFonts w:ascii="Palatino Linotype" w:eastAsia="Palatino Linotype" w:hAnsi="Palatino Linotype" w:cs="Palatino Linotype"/>
          <w:color w:val="000000"/>
        </w:rPr>
        <w:t xml:space="preserve"> de clave pública aplicada a una cadena original, que se basa en la generación de una pareja de números muy grandes relacionados entre sí, de tal manera que una operación de </w:t>
      </w:r>
      <w:r w:rsidRPr="002B3E9A">
        <w:rPr>
          <w:rFonts w:ascii="Palatino Linotype" w:eastAsia="Palatino Linotype" w:hAnsi="Palatino Linotype" w:cs="Palatino Linotype"/>
        </w:rPr>
        <w:t>inscripción</w:t>
      </w:r>
      <w:r w:rsidRPr="002B3E9A">
        <w:rPr>
          <w:rFonts w:ascii="Palatino Linotype" w:eastAsia="Palatino Linotype" w:hAnsi="Palatino Linotype" w:cs="Palatino Linotype"/>
          <w:color w:val="000000"/>
        </w:rPr>
        <w:t xml:space="preserve"> sobre un mensaje tomando como clave de inscripción a uno de los dos números, produce un mensaje alterado en su significado que sólo puede ser devuelto a su estado original mediante la operación de </w:t>
      </w:r>
      <w:r w:rsidRPr="002B3E9A">
        <w:rPr>
          <w:rFonts w:ascii="Palatino Linotype" w:eastAsia="Palatino Linotype" w:hAnsi="Palatino Linotype" w:cs="Palatino Linotype"/>
        </w:rPr>
        <w:t>desencripción</w:t>
      </w:r>
      <w:r w:rsidRPr="002B3E9A">
        <w:rPr>
          <w:rFonts w:ascii="Palatino Linotype" w:eastAsia="Palatino Linotype" w:hAnsi="Palatino Linotype" w:cs="Palatino Linotype"/>
          <w:color w:val="000000"/>
        </w:rPr>
        <w:t xml:space="preserve"> correspondiente tomando como clave de </w:t>
      </w:r>
      <w:r w:rsidRPr="002B3E9A">
        <w:rPr>
          <w:rFonts w:ascii="Palatino Linotype" w:eastAsia="Palatino Linotype" w:hAnsi="Palatino Linotype" w:cs="Palatino Linotype"/>
        </w:rPr>
        <w:t>desencripción</w:t>
      </w:r>
      <w:r w:rsidRPr="002B3E9A">
        <w:rPr>
          <w:rFonts w:ascii="Palatino Linotype" w:eastAsia="Palatino Linotype" w:hAnsi="Palatino Linotype" w:cs="Palatino Linotype"/>
          <w:color w:val="000000"/>
        </w:rPr>
        <w:t xml:space="preserve"> al otro número de la pareja. </w:t>
      </w:r>
    </w:p>
    <w:p w:rsidR="003539F6" w:rsidRPr="002B3E9A" w:rsidRDefault="003539F6">
      <w:pPr>
        <w:spacing w:line="360" w:lineRule="auto"/>
        <w:ind w:right="-1417"/>
        <w:jc w:val="both"/>
        <w:rPr>
          <w:rFonts w:ascii="Palatino Linotype" w:eastAsia="Palatino Linotype" w:hAnsi="Palatino Linotype" w:cs="Palatino Linotype"/>
        </w:rPr>
      </w:pPr>
      <w:bookmarkStart w:id="33" w:name="_heading=h.rtb9e44i85ua" w:colFirst="0" w:colLast="0"/>
      <w:bookmarkEnd w:id="33"/>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bookmarkStart w:id="34" w:name="_heading=h.mt7q496zmklq" w:colFirst="0" w:colLast="0"/>
      <w:bookmarkEnd w:id="34"/>
      <w:r w:rsidRPr="002B3E9A">
        <w:rPr>
          <w:rFonts w:ascii="Palatino Linotype" w:eastAsia="Palatino Linotype" w:hAnsi="Palatino Linotype" w:cs="Palatino Linotype"/>
        </w:rPr>
        <w:t>Uno</w:t>
      </w:r>
      <w:r w:rsidRPr="002B3E9A">
        <w:rPr>
          <w:rFonts w:ascii="Palatino Linotype" w:eastAsia="Palatino Linotype" w:hAnsi="Palatino Linotype" w:cs="Palatino Linotype"/>
          <w:color w:val="000000"/>
        </w:rPr>
        <w:t xml:space="preserve"> de estos dos números, expresado en una estructura de datos que contiene un módulo y un exponente, se conserva secreta y se le denomina "clave privada", mientras que el otro número llamado "clave pública", en formato binario y acompañado de información de identificación del emisor, además de una </w:t>
      </w:r>
      <w:r w:rsidRPr="002B3E9A">
        <w:rPr>
          <w:rFonts w:ascii="Palatino Linotype" w:eastAsia="Palatino Linotype" w:hAnsi="Palatino Linotype" w:cs="Palatino Linotype"/>
        </w:rPr>
        <w:t>calificación</w:t>
      </w:r>
      <w:r w:rsidRPr="002B3E9A">
        <w:rPr>
          <w:rFonts w:ascii="Palatino Linotype" w:eastAsia="Palatino Linotype" w:hAnsi="Palatino Linotype" w:cs="Palatino Linotype"/>
          <w:color w:val="000000"/>
        </w:rPr>
        <w:t xml:space="preserve"> de validez por parte de un tercero </w:t>
      </w:r>
      <w:r w:rsidRPr="002B3E9A">
        <w:rPr>
          <w:rFonts w:ascii="Palatino Linotype" w:eastAsia="Palatino Linotype" w:hAnsi="Palatino Linotype" w:cs="Palatino Linotype"/>
          <w:color w:val="000000"/>
        </w:rPr>
        <w:lastRenderedPageBreak/>
        <w:t>confiable, se incorpora a un archivo denominado "certificado de firma electrónica avanzada" o "certificado para sellos digitales" en adelante Certificado.</w:t>
      </w:r>
    </w:p>
    <w:p w:rsidR="003539F6" w:rsidRPr="002B3E9A" w:rsidRDefault="003539F6">
      <w:pPr>
        <w:pBdr>
          <w:top w:val="nil"/>
          <w:left w:val="nil"/>
          <w:bottom w:val="nil"/>
          <w:right w:val="nil"/>
          <w:between w:val="nil"/>
        </w:pBdr>
        <w:spacing w:line="360" w:lineRule="auto"/>
        <w:ind w:right="-1417"/>
        <w:jc w:val="both"/>
        <w:rPr>
          <w:rFonts w:ascii="Palatino Linotype" w:eastAsia="Palatino Linotype" w:hAnsi="Palatino Linotype" w:cs="Palatino Linotype"/>
          <w:color w:val="000000"/>
        </w:rPr>
      </w:pPr>
      <w:bookmarkStart w:id="35" w:name="_heading=h.n30l5xfevj1m" w:colFirst="0" w:colLast="0"/>
      <w:bookmarkEnd w:id="35"/>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bookmarkStart w:id="36" w:name="_heading=h.xyl92zx2yn72" w:colFirst="0" w:colLast="0"/>
      <w:bookmarkEnd w:id="36"/>
      <w:r w:rsidRPr="002B3E9A">
        <w:rPr>
          <w:rFonts w:ascii="Palatino Linotype" w:eastAsia="Palatino Linotype" w:hAnsi="Palatino Linotype" w:cs="Palatino Linotype"/>
          <w:color w:val="000000"/>
        </w:rPr>
        <w:t xml:space="preserve">El Certificado puede distribuirse libremente para efectos de intercambio seguro de información y para ofrecer pruebas de autoría de archivos electrónicos o confirmación de estar de acuerdo con su contenido, ambos mediante el proceso denominado "firmado electrónico avanzado", que consiste en una característica observable de un mensaje, verificable por cualquiera con acceso al certificado digital del emisor, que sirve para implementar servicios de seguridad para garantizar: </w:t>
      </w:r>
    </w:p>
    <w:p w:rsidR="003539F6" w:rsidRPr="002B3E9A" w:rsidRDefault="00353053">
      <w:pPr>
        <w:spacing w:line="360" w:lineRule="auto"/>
        <w:ind w:left="720" w:right="-1417"/>
        <w:jc w:val="both"/>
        <w:rPr>
          <w:rFonts w:ascii="Palatino Linotype" w:eastAsia="Palatino Linotype" w:hAnsi="Palatino Linotype" w:cs="Palatino Linotype"/>
        </w:rPr>
      </w:pPr>
      <w:bookmarkStart w:id="37" w:name="_heading=h.dnnzpvh7eleo" w:colFirst="0" w:colLast="0"/>
      <w:bookmarkEnd w:id="37"/>
      <w:r w:rsidRPr="002B3E9A">
        <w:rPr>
          <w:rFonts w:ascii="Palatino Linotype" w:eastAsia="Palatino Linotype" w:hAnsi="Palatino Linotype" w:cs="Palatino Linotype"/>
        </w:rPr>
        <w:t xml:space="preserve">• La integridad (facilidad para detectar si un mensaje firmado ha sido alterado), </w:t>
      </w:r>
    </w:p>
    <w:p w:rsidR="003539F6" w:rsidRPr="002B3E9A" w:rsidRDefault="00353053">
      <w:pPr>
        <w:spacing w:line="360" w:lineRule="auto"/>
        <w:ind w:left="720" w:right="-1417"/>
        <w:jc w:val="both"/>
        <w:rPr>
          <w:rFonts w:ascii="Palatino Linotype" w:eastAsia="Palatino Linotype" w:hAnsi="Palatino Linotype" w:cs="Palatino Linotype"/>
        </w:rPr>
      </w:pPr>
      <w:bookmarkStart w:id="38" w:name="_heading=h.7nd46camfpd3" w:colFirst="0" w:colLast="0"/>
      <w:bookmarkEnd w:id="38"/>
      <w:r w:rsidRPr="002B3E9A">
        <w:rPr>
          <w:rFonts w:ascii="Palatino Linotype" w:eastAsia="Palatino Linotype" w:hAnsi="Palatino Linotype" w:cs="Palatino Linotype"/>
        </w:rPr>
        <w:t xml:space="preserve">• La autenticidad, </w:t>
      </w:r>
    </w:p>
    <w:p w:rsidR="003539F6" w:rsidRPr="002B3E9A" w:rsidRDefault="00353053">
      <w:pPr>
        <w:spacing w:line="360" w:lineRule="auto"/>
        <w:ind w:left="720" w:right="-1417"/>
        <w:jc w:val="both"/>
        <w:rPr>
          <w:rFonts w:ascii="Palatino Linotype" w:eastAsia="Palatino Linotype" w:hAnsi="Palatino Linotype" w:cs="Palatino Linotype"/>
        </w:rPr>
      </w:pPr>
      <w:bookmarkStart w:id="39" w:name="_heading=h.ioxfoskdka44" w:colFirst="0" w:colLast="0"/>
      <w:bookmarkEnd w:id="39"/>
      <w:r w:rsidRPr="002B3E9A">
        <w:rPr>
          <w:rFonts w:ascii="Palatino Linotype" w:eastAsia="Palatino Linotype" w:hAnsi="Palatino Linotype" w:cs="Palatino Linotype"/>
        </w:rPr>
        <w:t xml:space="preserve">• Certidumbre de origen (facilidad para determinar qué persona es el autor de la firma que valida el contenido del mensaje) y </w:t>
      </w:r>
    </w:p>
    <w:p w:rsidR="003539F6" w:rsidRPr="002B3E9A" w:rsidRDefault="00353053">
      <w:pPr>
        <w:spacing w:line="360" w:lineRule="auto"/>
        <w:ind w:left="720" w:right="-1417"/>
        <w:jc w:val="both"/>
        <w:rPr>
          <w:rFonts w:ascii="Palatino Linotype" w:eastAsia="Palatino Linotype" w:hAnsi="Palatino Linotype" w:cs="Palatino Linotype"/>
        </w:rPr>
      </w:pPr>
      <w:bookmarkStart w:id="40" w:name="_heading=h.71wzdzlnc3xt" w:colFirst="0" w:colLast="0"/>
      <w:bookmarkEnd w:id="40"/>
      <w:r w:rsidRPr="002B3E9A">
        <w:rPr>
          <w:rFonts w:ascii="Palatino Linotype" w:eastAsia="Palatino Linotype" w:hAnsi="Palatino Linotype" w:cs="Palatino Linotype"/>
        </w:rPr>
        <w:t xml:space="preserve">• No repudiación del mensaje firmado (capacidad de impedir que el autor de la firma niegue haber firmado el mensaje). </w:t>
      </w:r>
    </w:p>
    <w:p w:rsidR="003539F6" w:rsidRPr="002B3E9A" w:rsidRDefault="003539F6">
      <w:pPr>
        <w:spacing w:line="360" w:lineRule="auto"/>
        <w:ind w:right="-1417"/>
        <w:jc w:val="both"/>
        <w:rPr>
          <w:rFonts w:ascii="Palatino Linotype" w:eastAsia="Palatino Linotype" w:hAnsi="Palatino Linotype" w:cs="Palatino Linotype"/>
        </w:rPr>
      </w:pPr>
      <w:bookmarkStart w:id="41" w:name="_heading=h.ynzdidt3os8l" w:colFirst="0" w:colLast="0"/>
      <w:bookmarkEnd w:id="41"/>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bookmarkStart w:id="42" w:name="_heading=h.qdfdf3outred" w:colFirst="0" w:colLast="0"/>
      <w:bookmarkEnd w:id="42"/>
      <w:r w:rsidRPr="002B3E9A">
        <w:rPr>
          <w:rFonts w:ascii="Palatino Linotype" w:eastAsia="Palatino Linotype" w:hAnsi="Palatino Linotype" w:cs="Palatino Linotype"/>
          <w:color w:val="000000"/>
        </w:rPr>
        <w:t xml:space="preserve">Estos servicios de seguridad proporcionan las siguientes características a un mensaje con firma electrónica avanzada: </w:t>
      </w:r>
    </w:p>
    <w:p w:rsidR="003539F6" w:rsidRPr="002B3E9A" w:rsidRDefault="00353053">
      <w:pPr>
        <w:spacing w:line="360" w:lineRule="auto"/>
        <w:ind w:left="720" w:right="-1417"/>
        <w:jc w:val="both"/>
        <w:rPr>
          <w:rFonts w:ascii="Palatino Linotype" w:eastAsia="Palatino Linotype" w:hAnsi="Palatino Linotype" w:cs="Palatino Linotype"/>
        </w:rPr>
      </w:pPr>
      <w:bookmarkStart w:id="43" w:name="_heading=h.xp0jh26h3b7o" w:colFirst="0" w:colLast="0"/>
      <w:bookmarkEnd w:id="43"/>
      <w:r w:rsidRPr="002B3E9A">
        <w:rPr>
          <w:rFonts w:ascii="Palatino Linotype" w:eastAsia="Palatino Linotype" w:hAnsi="Palatino Linotype" w:cs="Palatino Linotype"/>
        </w:rPr>
        <w:t xml:space="preserve">• Es infalsificable. </w:t>
      </w:r>
    </w:p>
    <w:p w:rsidR="003539F6" w:rsidRPr="002B3E9A" w:rsidRDefault="00353053">
      <w:pPr>
        <w:spacing w:line="360" w:lineRule="auto"/>
        <w:ind w:left="720" w:right="-1417"/>
        <w:jc w:val="both"/>
        <w:rPr>
          <w:rFonts w:ascii="Palatino Linotype" w:eastAsia="Palatino Linotype" w:hAnsi="Palatino Linotype" w:cs="Palatino Linotype"/>
        </w:rPr>
      </w:pPr>
      <w:bookmarkStart w:id="44" w:name="_heading=h.d7sfqbwj4lax" w:colFirst="0" w:colLast="0"/>
      <w:bookmarkEnd w:id="44"/>
      <w:r w:rsidRPr="002B3E9A">
        <w:rPr>
          <w:rFonts w:ascii="Palatino Linotype" w:eastAsia="Palatino Linotype" w:hAnsi="Palatino Linotype" w:cs="Palatino Linotype"/>
        </w:rPr>
        <w:t xml:space="preserve">• La firma electrónica avanzada no es reciclable (es única por mensaje). </w:t>
      </w:r>
    </w:p>
    <w:p w:rsidR="003539F6" w:rsidRPr="002B3E9A" w:rsidRDefault="00353053">
      <w:pPr>
        <w:spacing w:line="360" w:lineRule="auto"/>
        <w:ind w:left="720" w:right="-1417"/>
        <w:jc w:val="both"/>
        <w:rPr>
          <w:rFonts w:ascii="Palatino Linotype" w:eastAsia="Palatino Linotype" w:hAnsi="Palatino Linotype" w:cs="Palatino Linotype"/>
        </w:rPr>
      </w:pPr>
      <w:bookmarkStart w:id="45" w:name="_heading=h.4umuus4we8wo" w:colFirst="0" w:colLast="0"/>
      <w:bookmarkEnd w:id="45"/>
      <w:r w:rsidRPr="002B3E9A">
        <w:rPr>
          <w:rFonts w:ascii="Palatino Linotype" w:eastAsia="Palatino Linotype" w:hAnsi="Palatino Linotype" w:cs="Palatino Linotype"/>
        </w:rPr>
        <w:t xml:space="preserve">• Un mensaje con firma electrónica avanzada alterado, es detectable. </w:t>
      </w:r>
    </w:p>
    <w:p w:rsidR="003539F6" w:rsidRPr="002B3E9A" w:rsidRDefault="00353053">
      <w:pPr>
        <w:spacing w:line="360" w:lineRule="auto"/>
        <w:ind w:left="720" w:right="-1417"/>
        <w:jc w:val="both"/>
        <w:rPr>
          <w:rFonts w:ascii="Palatino Linotype" w:eastAsia="Palatino Linotype" w:hAnsi="Palatino Linotype" w:cs="Palatino Linotype"/>
        </w:rPr>
      </w:pPr>
      <w:bookmarkStart w:id="46" w:name="_heading=h.bhowd0rv38c7" w:colFirst="0" w:colLast="0"/>
      <w:bookmarkEnd w:id="46"/>
      <w:r w:rsidRPr="002B3E9A">
        <w:rPr>
          <w:rFonts w:ascii="Palatino Linotype" w:eastAsia="Palatino Linotype" w:hAnsi="Palatino Linotype" w:cs="Palatino Linotype"/>
        </w:rPr>
        <w:t xml:space="preserve">• Un mensaje con firma electrónica avanzada, no puede ser repudiado. </w:t>
      </w:r>
    </w:p>
    <w:p w:rsidR="003539F6" w:rsidRPr="002B3E9A" w:rsidRDefault="003539F6">
      <w:pPr>
        <w:spacing w:line="360" w:lineRule="auto"/>
        <w:ind w:right="-1417"/>
        <w:jc w:val="both"/>
        <w:rPr>
          <w:rFonts w:ascii="Palatino Linotype" w:eastAsia="Palatino Linotype" w:hAnsi="Palatino Linotype" w:cs="Palatino Linotype"/>
        </w:rPr>
      </w:pPr>
      <w:bookmarkStart w:id="47" w:name="_heading=h.ejn2v55f60s6" w:colFirst="0" w:colLast="0"/>
      <w:bookmarkEnd w:id="47"/>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bookmarkStart w:id="48" w:name="_heading=h.msnldj4dqkon" w:colFirst="0" w:colLast="0"/>
      <w:bookmarkEnd w:id="48"/>
      <w:r w:rsidRPr="002B3E9A">
        <w:rPr>
          <w:rFonts w:ascii="Palatino Linotype" w:eastAsia="Palatino Linotype" w:hAnsi="Palatino Linotype" w:cs="Palatino Linotype"/>
        </w:rPr>
        <w:lastRenderedPageBreak/>
        <w:t>Los</w:t>
      </w:r>
      <w:r w:rsidRPr="002B3E9A">
        <w:rPr>
          <w:rFonts w:ascii="Palatino Linotype" w:eastAsia="Palatino Linotype" w:hAnsi="Palatino Linotype" w:cs="Palatino Linotype"/>
          <w:color w:val="000000"/>
        </w:rPr>
        <w:t xml:space="preserve"> certificados de sello digital se generan de manera idéntica a los certificados de e.firma y al igual que las firmas electrónicas avanzadas el propósito del sello </w:t>
      </w:r>
      <w:r w:rsidRPr="002B3E9A">
        <w:rPr>
          <w:rFonts w:ascii="Palatino Linotype" w:eastAsia="Palatino Linotype" w:hAnsi="Palatino Linotype" w:cs="Palatino Linotype"/>
        </w:rPr>
        <w:t>digital</w:t>
      </w:r>
      <w:r w:rsidRPr="002B3E9A">
        <w:rPr>
          <w:rFonts w:ascii="Palatino Linotype" w:eastAsia="Palatino Linotype" w:hAnsi="Palatino Linotype" w:cs="Palatino Linotype"/>
          <w:color w:val="000000"/>
        </w:rPr>
        <w:t xml:space="preserve"> es emitir comprobantes fiscales con autenticidad, integridad, verificables y no repudiables por el emisor. Para ello basta tener acceso al mensaje original o cadena original, al sello digital y al </w:t>
      </w:r>
      <w:r w:rsidRPr="002B3E9A">
        <w:rPr>
          <w:rFonts w:ascii="Palatino Linotype" w:eastAsia="Palatino Linotype" w:hAnsi="Palatino Linotype" w:cs="Palatino Linotype"/>
        </w:rPr>
        <w:t>certificado digital</w:t>
      </w:r>
      <w:r w:rsidRPr="002B3E9A">
        <w:rPr>
          <w:rFonts w:ascii="Palatino Linotype" w:eastAsia="Palatino Linotype" w:hAnsi="Palatino Linotype" w:cs="Palatino Linotype"/>
          <w:color w:val="000000"/>
        </w:rPr>
        <w:t xml:space="preserve"> del emisor.</w:t>
      </w:r>
    </w:p>
    <w:p w:rsidR="003539F6" w:rsidRPr="002B3E9A" w:rsidRDefault="003539F6">
      <w:pPr>
        <w:spacing w:line="360" w:lineRule="auto"/>
        <w:ind w:right="-1417"/>
        <w:jc w:val="both"/>
        <w:rPr>
          <w:rFonts w:ascii="Palatino Linotype" w:eastAsia="Palatino Linotype" w:hAnsi="Palatino Linotype" w:cs="Palatino Linotype"/>
        </w:rPr>
      </w:pPr>
      <w:bookmarkStart w:id="49" w:name="_heading=h.d2rygb40n1qi" w:colFirst="0" w:colLast="0"/>
      <w:bookmarkEnd w:id="49"/>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bookmarkStart w:id="50" w:name="_heading=h.gssdfypy39it" w:colFirst="0" w:colLast="0"/>
      <w:bookmarkEnd w:id="50"/>
      <w:r w:rsidRPr="002B3E9A">
        <w:rPr>
          <w:rFonts w:ascii="Palatino Linotype" w:eastAsia="Palatino Linotype" w:hAnsi="Palatino Linotype" w:cs="Palatino Linotype"/>
        </w:rPr>
        <w:t>Asimismo</w:t>
      </w:r>
      <w:r w:rsidRPr="002B3E9A">
        <w:rPr>
          <w:rFonts w:ascii="Palatino Linotype" w:eastAsia="Palatino Linotype" w:hAnsi="Palatino Linotype" w:cs="Palatino Linotype"/>
          <w:color w:val="000000"/>
        </w:rPr>
        <w:t xml:space="preserve">, el número de serie del certificado del CSD el atributo requerido para expresar el número de serie del certificado de sello digital que ampara al comprobante, de acuerdo con el acuse correspondiente a 20 posiciones otorgado por el sistema del SAT, el folio fiscal referido como el UUID es un atributo requerido para expresar los 36 caracteres del folio fiscal de la transacción de timbrado conforme al estándar RFC 4122, el número certificado SAT el atributo requerido para expresar el número de serie del certificado del SAT usado para generar el sello digital del Timbre Fiscal Digital, el sello digital del CFD el atributo requerido para contener el sello digital del comprobante fiscal o comprobante de retenciones que se ha timbrado, sello que debe ser expresado como una cadena de texto en formato Base 64, el sello del SAT el atributo requerido para contener el sello digital del Timbre Fiscal Digital, que debe ser expresado como una cadena de texto en formato Base 64, y finalmente la cadena original, es la secuencia de datos formulada con la información contenida dentro del timbre fiscal digital del SAT. </w:t>
      </w:r>
    </w:p>
    <w:p w:rsidR="003539F6" w:rsidRPr="002B3E9A" w:rsidRDefault="003539F6">
      <w:pPr>
        <w:spacing w:line="360" w:lineRule="auto"/>
        <w:ind w:right="-1417"/>
        <w:jc w:val="both"/>
        <w:rPr>
          <w:rFonts w:ascii="Palatino Linotype" w:eastAsia="Palatino Linotype" w:hAnsi="Palatino Linotype" w:cs="Palatino Linotype"/>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Así bien, con base en lo expuesto, no todos los datos señalados pueden ser considerados como confidenciales, en virtud de que el Folio fiscal, Número </w:t>
      </w:r>
      <w:r w:rsidRPr="002B3E9A">
        <w:rPr>
          <w:rFonts w:ascii="Palatino Linotype" w:eastAsia="Palatino Linotype" w:hAnsi="Palatino Linotype" w:cs="Palatino Linotype"/>
        </w:rPr>
        <w:t>de</w:t>
      </w:r>
      <w:r w:rsidRPr="002B3E9A">
        <w:rPr>
          <w:rFonts w:ascii="Palatino Linotype" w:eastAsia="Palatino Linotype" w:hAnsi="Palatino Linotype" w:cs="Palatino Linotype"/>
          <w:color w:val="000000"/>
        </w:rPr>
        <w:t xml:space="preserve"> serie </w:t>
      </w:r>
      <w:r w:rsidRPr="002B3E9A">
        <w:rPr>
          <w:rFonts w:ascii="Palatino Linotype" w:eastAsia="Palatino Linotype" w:hAnsi="Palatino Linotype" w:cs="Palatino Linotype"/>
        </w:rPr>
        <w:t>CSD</w:t>
      </w:r>
      <w:r w:rsidRPr="002B3E9A">
        <w:rPr>
          <w:rFonts w:ascii="Palatino Linotype" w:eastAsia="Palatino Linotype" w:hAnsi="Palatino Linotype" w:cs="Palatino Linotype"/>
          <w:color w:val="000000"/>
        </w:rPr>
        <w:t xml:space="preserve"> del emisor, Sello digital del contribuyente emisor, Número de serie del CSD del SAT, Sello digital del SAT</w:t>
      </w:r>
      <w:r w:rsidRPr="002B3E9A">
        <w:rPr>
          <w:rFonts w:ascii="Palatino Linotype" w:eastAsia="Palatino Linotype" w:hAnsi="Palatino Linotype" w:cs="Palatino Linotype"/>
        </w:rPr>
        <w:t xml:space="preserve"> y</w:t>
      </w:r>
      <w:r w:rsidRPr="002B3E9A">
        <w:rPr>
          <w:rFonts w:ascii="Palatino Linotype" w:eastAsia="Palatino Linotype" w:hAnsi="Palatino Linotype" w:cs="Palatino Linotype"/>
          <w:color w:val="000000"/>
        </w:rPr>
        <w:t xml:space="preserve"> Cadena original de complemento de certificación digital SAT, así como el </w:t>
      </w:r>
      <w:r w:rsidRPr="002B3E9A">
        <w:rPr>
          <w:rFonts w:ascii="Palatino Linotype" w:eastAsia="Palatino Linotype" w:hAnsi="Palatino Linotype" w:cs="Palatino Linotype"/>
          <w:color w:val="000000"/>
        </w:rPr>
        <w:lastRenderedPageBreak/>
        <w:t xml:space="preserve">número de empleado cuando no se relacione con el uso de diversos servicios, no tienen el carácter de confidenciales. </w:t>
      </w:r>
    </w:p>
    <w:p w:rsidR="003539F6" w:rsidRPr="002B3E9A" w:rsidRDefault="003539F6">
      <w:pPr>
        <w:pBdr>
          <w:top w:val="nil"/>
          <w:left w:val="nil"/>
          <w:bottom w:val="nil"/>
          <w:right w:val="nil"/>
          <w:between w:val="nil"/>
        </w:pBdr>
        <w:ind w:left="720" w:right="-1417"/>
        <w:rPr>
          <w:rFonts w:ascii="Palatino Linotype" w:eastAsia="Palatino Linotype" w:hAnsi="Palatino Linotype" w:cs="Palatino Linotype"/>
          <w:color w:val="000000"/>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bookmarkStart w:id="51" w:name="_heading=h.m4c2kk37dq4q" w:colFirst="0" w:colLast="0"/>
      <w:bookmarkEnd w:id="51"/>
      <w:r w:rsidRPr="002B3E9A">
        <w:rPr>
          <w:rFonts w:ascii="Palatino Linotype" w:eastAsia="Palatino Linotype" w:hAnsi="Palatino Linotype" w:cs="Palatino Linotype"/>
          <w:color w:val="000000"/>
        </w:rPr>
        <w:t xml:space="preserve">Finalmente, se debe de señalar que el </w:t>
      </w:r>
      <w:r w:rsidRPr="002B3E9A">
        <w:rPr>
          <w:rFonts w:ascii="Palatino Linotype" w:eastAsia="Palatino Linotype" w:hAnsi="Palatino Linotype" w:cs="Palatino Linotype"/>
          <w:b/>
          <w:bCs/>
          <w:color w:val="000000"/>
        </w:rPr>
        <w:t xml:space="preserve">SUJETO OBLIGADO </w:t>
      </w:r>
      <w:r w:rsidRPr="002B3E9A">
        <w:rPr>
          <w:rFonts w:ascii="Palatino Linotype" w:eastAsia="Palatino Linotype" w:hAnsi="Palatino Linotype" w:cs="Palatino Linotype"/>
          <w:color w:val="000000"/>
        </w:rPr>
        <w:t xml:space="preserve">solicitó copias simples de la información, situación de la cual se debe de señalar que al entregarse la información se colmara dicho punto de la solicitud de información. </w:t>
      </w:r>
    </w:p>
    <w:p w:rsidR="003539F6" w:rsidRPr="002B3E9A" w:rsidRDefault="003539F6">
      <w:pPr>
        <w:pBdr>
          <w:top w:val="nil"/>
          <w:left w:val="nil"/>
          <w:bottom w:val="nil"/>
          <w:right w:val="nil"/>
          <w:between w:val="nil"/>
        </w:pBdr>
        <w:spacing w:line="360" w:lineRule="auto"/>
        <w:ind w:right="-1417"/>
        <w:jc w:val="both"/>
        <w:rPr>
          <w:rFonts w:ascii="Palatino Linotype" w:eastAsia="Palatino Linotype" w:hAnsi="Palatino Linotype" w:cs="Palatino Linotype"/>
          <w:color w:val="000000"/>
        </w:rPr>
      </w:pPr>
    </w:p>
    <w:p w:rsidR="003539F6" w:rsidRPr="002B3E9A" w:rsidRDefault="00353053">
      <w:pPr>
        <w:keepNext/>
        <w:keepLines/>
        <w:spacing w:after="160" w:line="360" w:lineRule="auto"/>
        <w:ind w:right="-1417"/>
        <w:rPr>
          <w:rFonts w:ascii="Palatino Linotype" w:eastAsia="Palatino Linotype" w:hAnsi="Palatino Linotype" w:cs="Palatino Linotype"/>
          <w:b/>
          <w:bCs/>
          <w:color w:val="000000"/>
        </w:rPr>
      </w:pPr>
      <w:r w:rsidRPr="002B3E9A">
        <w:rPr>
          <w:rFonts w:ascii="Palatino Linotype" w:eastAsia="Palatino Linotype" w:hAnsi="Palatino Linotype" w:cs="Palatino Linotype"/>
          <w:b/>
          <w:bCs/>
          <w:color w:val="000000"/>
        </w:rPr>
        <w:t>QUINTO. De la versión pública.</w:t>
      </w:r>
    </w:p>
    <w:p w:rsidR="003539F6" w:rsidRPr="002B3E9A" w:rsidRDefault="00353053">
      <w:pPr>
        <w:keepNext/>
        <w:keepLines/>
        <w:numPr>
          <w:ilvl w:val="0"/>
          <w:numId w:val="7"/>
        </w:numPr>
        <w:tabs>
          <w:tab w:val="left" w:pos="284"/>
        </w:tabs>
        <w:spacing w:after="160" w:line="360" w:lineRule="auto"/>
        <w:ind w:left="0" w:right="-1417" w:firstLine="0"/>
        <w:rPr>
          <w:rFonts w:ascii="Palatino Linotype" w:eastAsia="Palatino Linotype" w:hAnsi="Palatino Linotype" w:cs="Palatino Linotype"/>
          <w:b/>
          <w:bCs/>
          <w:color w:val="000000"/>
        </w:rPr>
      </w:pPr>
      <w:r w:rsidRPr="002B3E9A">
        <w:rPr>
          <w:rFonts w:ascii="Palatino Linotype" w:eastAsia="Palatino Linotype" w:hAnsi="Palatino Linotype" w:cs="Palatino Linotype"/>
          <w:b/>
          <w:bCs/>
          <w:color w:val="000000"/>
        </w:rPr>
        <w:t xml:space="preserve">Nociones generales. </w:t>
      </w: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Ahora bien, debe destacarse, que debido a que des desconoce el contenido de la información que sea entregada  es que pudiera ser el caso que contenga datos susceptibles de protegerse, así como información susceptible de clasificarse como confidencial o reservada,  por lo que, el </w:t>
      </w:r>
      <w:r w:rsidRPr="002B3E9A">
        <w:rPr>
          <w:rFonts w:ascii="Palatino Linotype" w:eastAsia="Palatino Linotype" w:hAnsi="Palatino Linotype" w:cs="Palatino Linotype"/>
          <w:b/>
          <w:bCs/>
          <w:color w:val="000000"/>
        </w:rPr>
        <w:t xml:space="preserve">SUJETO OBLIGADO </w:t>
      </w:r>
      <w:r w:rsidRPr="002B3E9A">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3539F6" w:rsidRPr="002B3E9A" w:rsidRDefault="003539F6">
      <w:pPr>
        <w:tabs>
          <w:tab w:val="left" w:pos="0"/>
          <w:tab w:val="left" w:pos="284"/>
        </w:tabs>
        <w:spacing w:line="360" w:lineRule="auto"/>
        <w:ind w:right="-1417"/>
        <w:jc w:val="both"/>
        <w:rPr>
          <w:rFonts w:ascii="Palatino Linotype" w:eastAsia="Palatino Linotype" w:hAnsi="Palatino Linotype" w:cs="Palatino Linotype"/>
          <w:highlight w:val="yellow"/>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No pasa desapercibido para este Órgano Garante que los sujetos obligados</w:t>
      </w:r>
      <w:r w:rsidRPr="002B3E9A">
        <w:rPr>
          <w:rFonts w:ascii="Palatino Linotype" w:eastAsia="Palatino Linotype" w:hAnsi="Palatino Linotype" w:cs="Palatino Linotype"/>
          <w:b/>
          <w:bCs/>
          <w:color w:val="000000"/>
        </w:rPr>
        <w:t xml:space="preserve"> </w:t>
      </w:r>
      <w:r w:rsidRPr="002B3E9A">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3539F6" w:rsidRPr="002B3E9A" w:rsidRDefault="003539F6">
      <w:pPr>
        <w:tabs>
          <w:tab w:val="left" w:pos="284"/>
        </w:tabs>
        <w:spacing w:after="160" w:line="360" w:lineRule="auto"/>
        <w:ind w:right="-1417"/>
        <w:jc w:val="both"/>
        <w:rPr>
          <w:rFonts w:ascii="Palatino Linotype" w:eastAsia="Palatino Linotype" w:hAnsi="Palatino Linotype" w:cs="Palatino Linotype"/>
          <w:color w:val="000000"/>
        </w:rPr>
      </w:pPr>
    </w:p>
    <w:tbl>
      <w:tblPr>
        <w:tblStyle w:val="a0"/>
        <w:tblW w:w="973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5"/>
        <w:gridCol w:w="7050"/>
      </w:tblGrid>
      <w:tr w:rsidR="003539F6" w:rsidRPr="002B3E9A">
        <w:tc>
          <w:tcPr>
            <w:tcW w:w="2685" w:type="dxa"/>
          </w:tcPr>
          <w:p w:rsidR="003539F6" w:rsidRPr="002B3E9A" w:rsidRDefault="00353053">
            <w:pPr>
              <w:tabs>
                <w:tab w:val="left" w:pos="284"/>
              </w:tabs>
              <w:spacing w:line="360" w:lineRule="auto"/>
              <w:ind w:right="-1417"/>
              <w:rPr>
                <w:rFonts w:ascii="Palatino Linotype" w:eastAsia="Palatino Linotype" w:hAnsi="Palatino Linotype" w:cs="Palatino Linotype"/>
                <w:b/>
                <w:bCs/>
              </w:rPr>
            </w:pPr>
            <w:r w:rsidRPr="002B3E9A">
              <w:rPr>
                <w:rFonts w:ascii="Palatino Linotype" w:eastAsia="Palatino Linotype" w:hAnsi="Palatino Linotype" w:cs="Palatino Linotype"/>
                <w:b/>
                <w:bCs/>
              </w:rPr>
              <w:lastRenderedPageBreak/>
              <w:t>a) Requisitos previos.</w:t>
            </w:r>
          </w:p>
        </w:tc>
        <w:tc>
          <w:tcPr>
            <w:tcW w:w="7050" w:type="dxa"/>
          </w:tcPr>
          <w:p w:rsidR="003539F6" w:rsidRPr="002B3E9A" w:rsidRDefault="00353053" w:rsidP="00F94441">
            <w:pPr>
              <w:tabs>
                <w:tab w:val="left" w:pos="284"/>
              </w:tabs>
              <w:spacing w:line="360" w:lineRule="auto"/>
              <w:ind w:right="411"/>
              <w:jc w:val="both"/>
              <w:rPr>
                <w:rFonts w:ascii="Palatino Linotype" w:eastAsia="Palatino Linotype" w:hAnsi="Palatino Linotype" w:cs="Palatino Linotype"/>
                <w:b/>
                <w:bCs/>
                <w:color w:val="000000"/>
              </w:rPr>
            </w:pPr>
            <w:r w:rsidRPr="002B3E9A">
              <w:rPr>
                <w:rFonts w:ascii="Palatino Linotype" w:eastAsia="Palatino Linotype" w:hAnsi="Palatino Linotype" w:cs="Palatino Linotype"/>
                <w:b/>
                <w:bCs/>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3539F6" w:rsidRPr="002B3E9A" w:rsidRDefault="00353053" w:rsidP="00F94441">
            <w:pPr>
              <w:tabs>
                <w:tab w:val="left" w:pos="284"/>
              </w:tabs>
              <w:spacing w:line="360" w:lineRule="auto"/>
              <w:ind w:right="411"/>
              <w:jc w:val="both"/>
              <w:rPr>
                <w:rFonts w:ascii="Palatino Linotype" w:eastAsia="Palatino Linotype" w:hAnsi="Palatino Linotype" w:cs="Palatino Linotype"/>
                <w:b/>
                <w:bCs/>
                <w:color w:val="000000"/>
              </w:rPr>
            </w:pPr>
            <w:r w:rsidRPr="002B3E9A">
              <w:rPr>
                <w:rFonts w:ascii="Palatino Linotype" w:eastAsia="Palatino Linotype" w:hAnsi="Palatino Linotype" w:cs="Palatino Linotype"/>
                <w:b/>
                <w:bCs/>
                <w:color w:val="000000"/>
              </w:rPr>
              <w:t>Al hacerlo tienen que precisar de qué información se trata, señalando el supuesto de clasificación (confidencialidad o reserva).</w:t>
            </w:r>
          </w:p>
          <w:p w:rsidR="003539F6" w:rsidRPr="002B3E9A" w:rsidRDefault="00353053" w:rsidP="00F94441">
            <w:pPr>
              <w:tabs>
                <w:tab w:val="left" w:pos="284"/>
              </w:tabs>
              <w:spacing w:line="360" w:lineRule="auto"/>
              <w:ind w:right="411"/>
              <w:jc w:val="both"/>
              <w:rPr>
                <w:rFonts w:ascii="Palatino Linotype" w:eastAsia="Palatino Linotype" w:hAnsi="Palatino Linotype" w:cs="Palatino Linotype"/>
                <w:b/>
                <w:bCs/>
                <w:color w:val="000000"/>
              </w:rPr>
            </w:pPr>
            <w:r w:rsidRPr="002B3E9A">
              <w:rPr>
                <w:rFonts w:ascii="Palatino Linotype" w:eastAsia="Palatino Linotype" w:hAnsi="Palatino Linotype" w:cs="Palatino Linotype"/>
                <w:b/>
                <w:bCs/>
                <w:color w:val="000000"/>
              </w:rPr>
              <w:t>Además, se debe señalar el procedimiento, de los tres que establecen los artículos 132 y 106 de la Ley Estatal y General, respectivamente.</w:t>
            </w:r>
          </w:p>
          <w:p w:rsidR="003539F6" w:rsidRPr="002B3E9A" w:rsidRDefault="00353053" w:rsidP="00F94441">
            <w:pPr>
              <w:tabs>
                <w:tab w:val="left" w:pos="284"/>
              </w:tabs>
              <w:spacing w:line="360" w:lineRule="auto"/>
              <w:ind w:right="411"/>
              <w:jc w:val="both"/>
              <w:rPr>
                <w:rFonts w:ascii="Palatino Linotype" w:eastAsia="Palatino Linotype" w:hAnsi="Palatino Linotype" w:cs="Palatino Linotype"/>
                <w:b/>
                <w:bCs/>
              </w:rPr>
            </w:pPr>
            <w:r w:rsidRPr="002B3E9A">
              <w:rPr>
                <w:rFonts w:ascii="Palatino Linotype" w:eastAsia="Palatino Linotype" w:hAnsi="Palatino Linotype" w:cs="Palatino Linotype"/>
                <w:b/>
                <w:bCs/>
                <w:color w:val="000000"/>
              </w:rPr>
              <w:t xml:space="preserve">El último de estos requisitos previos consiste en que no se pueden emitir acuerdos de carácter general ni particular, esto es, </w:t>
            </w:r>
            <w:r w:rsidRPr="002B3E9A">
              <w:rPr>
                <w:rFonts w:ascii="Palatino Linotype" w:eastAsia="Palatino Linotype" w:hAnsi="Palatino Linotype" w:cs="Palatino Linotype"/>
                <w:b/>
                <w:bCs/>
                <w:color w:val="000000"/>
                <w:u w:val="single"/>
              </w:rPr>
              <w:t>no se puede hacer un acuerdo para clasificar de manera general todos los documentos de un expediente o área, sin</w:t>
            </w:r>
            <w:r w:rsidRPr="002B3E9A">
              <w:rPr>
                <w:rFonts w:ascii="Palatino Linotype" w:eastAsia="Palatino Linotype" w:hAnsi="Palatino Linotype" w:cs="Palatino Linotype"/>
                <w:b/>
                <w:bCs/>
                <w:color w:val="000000"/>
              </w:rPr>
              <w:t xml:space="preserve"> individualizar su análisis y tampoco se puede hacer un acuerdo por cada dato que se vaya a clasificar dentro de un documento con diez datos, por ejemplo, susceptibles de ser clasificados.</w:t>
            </w:r>
          </w:p>
        </w:tc>
      </w:tr>
      <w:tr w:rsidR="003539F6" w:rsidRPr="002B3E9A">
        <w:tc>
          <w:tcPr>
            <w:tcW w:w="2685" w:type="dxa"/>
          </w:tcPr>
          <w:p w:rsidR="003539F6" w:rsidRPr="002B3E9A" w:rsidRDefault="00353053" w:rsidP="00F94441">
            <w:pPr>
              <w:tabs>
                <w:tab w:val="left" w:pos="284"/>
              </w:tabs>
              <w:spacing w:line="360" w:lineRule="auto"/>
              <w:ind w:right="-260"/>
              <w:rPr>
                <w:rFonts w:ascii="Palatino Linotype" w:eastAsia="Palatino Linotype" w:hAnsi="Palatino Linotype" w:cs="Palatino Linotype"/>
                <w:b/>
                <w:bCs/>
              </w:rPr>
            </w:pPr>
            <w:r w:rsidRPr="002B3E9A">
              <w:rPr>
                <w:rFonts w:ascii="Palatino Linotype" w:eastAsia="Palatino Linotype" w:hAnsi="Palatino Linotype" w:cs="Palatino Linotype"/>
                <w:b/>
                <w:bCs/>
              </w:rPr>
              <w:t>b) Supuestos de clasificación.</w:t>
            </w:r>
          </w:p>
        </w:tc>
        <w:tc>
          <w:tcPr>
            <w:tcW w:w="7050" w:type="dxa"/>
          </w:tcPr>
          <w:p w:rsidR="003539F6" w:rsidRPr="002B3E9A" w:rsidRDefault="00353053" w:rsidP="00F94441">
            <w:pPr>
              <w:tabs>
                <w:tab w:val="left" w:pos="284"/>
              </w:tabs>
              <w:spacing w:line="360" w:lineRule="auto"/>
              <w:ind w:right="127"/>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3539F6" w:rsidRPr="002B3E9A" w:rsidRDefault="00353053" w:rsidP="00F94441">
            <w:pPr>
              <w:tabs>
                <w:tab w:val="left" w:pos="284"/>
              </w:tabs>
              <w:spacing w:line="360" w:lineRule="auto"/>
              <w:ind w:right="127"/>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lastRenderedPageBreak/>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3539F6" w:rsidRPr="002B3E9A" w:rsidRDefault="00353053" w:rsidP="00F94441">
            <w:pPr>
              <w:tabs>
                <w:tab w:val="left" w:pos="284"/>
              </w:tabs>
              <w:spacing w:line="360" w:lineRule="auto"/>
              <w:ind w:right="127"/>
              <w:jc w:val="both"/>
              <w:rPr>
                <w:rFonts w:ascii="Palatino Linotype" w:eastAsia="Palatino Linotype" w:hAnsi="Palatino Linotype" w:cs="Palatino Linotype"/>
              </w:rPr>
            </w:pPr>
            <w:r w:rsidRPr="002B3E9A">
              <w:rPr>
                <w:rFonts w:ascii="Palatino Linotype" w:eastAsia="Palatino Linotype" w:hAnsi="Palatino Linotype" w:cs="Palatino Linotype"/>
                <w:color w:val="000000"/>
              </w:rPr>
              <w:t xml:space="preserve">El </w:t>
            </w:r>
            <w:r w:rsidRPr="002B3E9A">
              <w:rPr>
                <w:rFonts w:ascii="Palatino Linotype" w:eastAsia="Palatino Linotype" w:hAnsi="Palatino Linotype" w:cs="Palatino Linotype"/>
                <w:b/>
                <w:bCs/>
                <w:color w:val="000000"/>
              </w:rPr>
              <w:t>Sujeto Obligado</w:t>
            </w:r>
            <w:r w:rsidRPr="002B3E9A">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3539F6" w:rsidRPr="002B3E9A">
        <w:tc>
          <w:tcPr>
            <w:tcW w:w="2685" w:type="dxa"/>
          </w:tcPr>
          <w:p w:rsidR="003539F6" w:rsidRPr="002B3E9A" w:rsidRDefault="00353053" w:rsidP="00F94441">
            <w:pPr>
              <w:tabs>
                <w:tab w:val="left" w:pos="284"/>
              </w:tabs>
              <w:spacing w:line="360" w:lineRule="auto"/>
              <w:rPr>
                <w:rFonts w:ascii="Palatino Linotype" w:eastAsia="Palatino Linotype" w:hAnsi="Palatino Linotype" w:cs="Palatino Linotype"/>
                <w:b/>
                <w:bCs/>
              </w:rPr>
            </w:pPr>
            <w:r w:rsidRPr="002B3E9A">
              <w:rPr>
                <w:rFonts w:ascii="Palatino Linotype" w:eastAsia="Palatino Linotype" w:hAnsi="Palatino Linotype" w:cs="Palatino Linotype"/>
                <w:b/>
                <w:bCs/>
              </w:rPr>
              <w:lastRenderedPageBreak/>
              <w:t>c) Formalidades para emitir el acuerdo de clasificación.</w:t>
            </w:r>
          </w:p>
        </w:tc>
        <w:tc>
          <w:tcPr>
            <w:tcW w:w="7050" w:type="dxa"/>
          </w:tcPr>
          <w:p w:rsidR="003539F6" w:rsidRPr="002B3E9A" w:rsidRDefault="00353053" w:rsidP="00F94441">
            <w:pPr>
              <w:tabs>
                <w:tab w:val="left" w:pos="284"/>
              </w:tabs>
              <w:spacing w:line="360" w:lineRule="auto"/>
              <w:ind w:right="269"/>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3539F6" w:rsidRPr="002B3E9A" w:rsidRDefault="00353053" w:rsidP="00F94441">
            <w:pPr>
              <w:tabs>
                <w:tab w:val="left" w:pos="284"/>
              </w:tabs>
              <w:spacing w:line="360" w:lineRule="auto"/>
              <w:ind w:right="269"/>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Es necesario que </w:t>
            </w:r>
            <w:r w:rsidRPr="002B3E9A">
              <w:rPr>
                <w:rFonts w:ascii="Palatino Linotype" w:eastAsia="Palatino Linotype" w:hAnsi="Palatino Linotype" w:cs="Palatino Linotype"/>
                <w:b/>
                <w:bCs/>
                <w:color w:val="000000"/>
                <w:u w:val="single"/>
              </w:rPr>
              <w:t>el acto reúna con los requisitos elementales</w:t>
            </w:r>
            <w:r w:rsidRPr="002B3E9A">
              <w:rPr>
                <w:rFonts w:ascii="Palatino Linotype" w:eastAsia="Palatino Linotype" w:hAnsi="Palatino Linotype" w:cs="Palatino Linotype"/>
                <w:color w:val="000000"/>
              </w:rPr>
              <w:t>, entre ellos, que la autoridad que va a emitir el acto de autoridad sea la legalmente facultada para ello.</w:t>
            </w:r>
          </w:p>
          <w:p w:rsidR="003539F6" w:rsidRPr="002B3E9A" w:rsidRDefault="00353053" w:rsidP="00F94441">
            <w:pPr>
              <w:tabs>
                <w:tab w:val="left" w:pos="284"/>
              </w:tabs>
              <w:spacing w:line="360" w:lineRule="auto"/>
              <w:ind w:right="269"/>
              <w:jc w:val="both"/>
              <w:rPr>
                <w:rFonts w:ascii="Palatino Linotype" w:eastAsia="Palatino Linotype" w:hAnsi="Palatino Linotype" w:cs="Palatino Linotype"/>
              </w:rPr>
            </w:pPr>
            <w:r w:rsidRPr="002B3E9A">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w:t>
            </w:r>
            <w:r w:rsidRPr="002B3E9A">
              <w:rPr>
                <w:rFonts w:ascii="Palatino Linotype" w:eastAsia="Palatino Linotype" w:hAnsi="Palatino Linotype" w:cs="Palatino Linotype"/>
                <w:color w:val="000000"/>
              </w:rPr>
              <w:lastRenderedPageBreak/>
              <w:t>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3539F6" w:rsidRPr="002B3E9A">
        <w:tc>
          <w:tcPr>
            <w:tcW w:w="2685" w:type="dxa"/>
          </w:tcPr>
          <w:p w:rsidR="003539F6" w:rsidRPr="002B3E9A" w:rsidRDefault="003539F6" w:rsidP="00F94441">
            <w:pPr>
              <w:tabs>
                <w:tab w:val="left" w:pos="284"/>
              </w:tabs>
              <w:spacing w:line="360" w:lineRule="auto"/>
              <w:ind w:right="-119"/>
              <w:rPr>
                <w:rFonts w:ascii="Palatino Linotype" w:eastAsia="Palatino Linotype" w:hAnsi="Palatino Linotype" w:cs="Palatino Linotype"/>
                <w:b/>
                <w:bCs/>
              </w:rPr>
            </w:pPr>
          </w:p>
          <w:p w:rsidR="003539F6" w:rsidRPr="002B3E9A" w:rsidRDefault="00353053" w:rsidP="00F94441">
            <w:pPr>
              <w:tabs>
                <w:tab w:val="left" w:pos="284"/>
              </w:tabs>
              <w:spacing w:line="360" w:lineRule="auto"/>
              <w:ind w:right="-119"/>
              <w:jc w:val="both"/>
              <w:rPr>
                <w:rFonts w:ascii="Palatino Linotype" w:eastAsia="Palatino Linotype" w:hAnsi="Palatino Linotype" w:cs="Palatino Linotype"/>
                <w:b/>
                <w:bCs/>
              </w:rPr>
            </w:pPr>
            <w:r w:rsidRPr="002B3E9A">
              <w:rPr>
                <w:rFonts w:ascii="Palatino Linotype" w:eastAsia="Palatino Linotype" w:hAnsi="Palatino Linotype" w:cs="Palatino Linotype"/>
                <w:b/>
                <w:bCs/>
                <w:color w:val="000000"/>
              </w:rPr>
              <w:t xml:space="preserve">d) Requisitos de fondo del acuerdo de clasificación. </w:t>
            </w:r>
          </w:p>
        </w:tc>
        <w:tc>
          <w:tcPr>
            <w:tcW w:w="7050" w:type="dxa"/>
          </w:tcPr>
          <w:p w:rsidR="003539F6" w:rsidRPr="002B3E9A" w:rsidRDefault="00353053" w:rsidP="00F94441">
            <w:pPr>
              <w:tabs>
                <w:tab w:val="left" w:pos="284"/>
              </w:tabs>
              <w:spacing w:line="360" w:lineRule="auto"/>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2B3E9A">
              <w:rPr>
                <w:rFonts w:ascii="Palatino Linotype" w:eastAsia="Palatino Linotype" w:hAnsi="Palatino Linotype" w:cs="Palatino Linotype"/>
                <w:b/>
                <w:bCs/>
                <w:color w:val="000000"/>
              </w:rPr>
              <w:t>Sujetos Obligados</w:t>
            </w:r>
            <w:r w:rsidRPr="002B3E9A">
              <w:rPr>
                <w:rFonts w:ascii="Palatino Linotype" w:eastAsia="Palatino Linotype" w:hAnsi="Palatino Linotype" w:cs="Palatino Linotype"/>
                <w:color w:val="000000"/>
              </w:rPr>
              <w:t xml:space="preserve">, por lo que deberán fundar y motivar debidamente la clasificación. </w:t>
            </w:r>
          </w:p>
          <w:p w:rsidR="003539F6" w:rsidRPr="002B3E9A" w:rsidRDefault="00353053" w:rsidP="00F94441">
            <w:pPr>
              <w:tabs>
                <w:tab w:val="left" w:pos="284"/>
              </w:tabs>
              <w:spacing w:line="360" w:lineRule="auto"/>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De lo anterior, se desprende que para una correcta </w:t>
            </w:r>
            <w:r w:rsidRPr="002B3E9A">
              <w:rPr>
                <w:rFonts w:ascii="Palatino Linotype" w:eastAsia="Palatino Linotype" w:hAnsi="Palatino Linotype" w:cs="Palatino Linotype"/>
                <w:b/>
                <w:bCs/>
                <w:color w:val="000000"/>
              </w:rPr>
              <w:t>clasificación total o parcial</w:t>
            </w:r>
            <w:r w:rsidRPr="002B3E9A">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3539F6" w:rsidRPr="002B3E9A" w:rsidRDefault="00353053" w:rsidP="00F94441">
            <w:pPr>
              <w:tabs>
                <w:tab w:val="left" w:pos="284"/>
              </w:tabs>
              <w:spacing w:line="360" w:lineRule="auto"/>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w:t>
            </w:r>
            <w:r w:rsidRPr="002B3E9A">
              <w:rPr>
                <w:rFonts w:ascii="Palatino Linotype" w:eastAsia="Palatino Linotype" w:hAnsi="Palatino Linotype" w:cs="Palatino Linotype"/>
                <w:color w:val="000000"/>
              </w:rPr>
              <w:lastRenderedPageBreak/>
              <w:t>motivos o circunstancias que tomó en cuenta la autoridad para adecuar el hecho a los fundamentos de derecho. De este modo, la persona que se sienta afectada pueda impugnar la decisión, permitiéndole una real y auténtica defensa.</w:t>
            </w:r>
          </w:p>
          <w:p w:rsidR="003539F6" w:rsidRPr="002B3E9A" w:rsidRDefault="00353053" w:rsidP="00F94441">
            <w:pPr>
              <w:tabs>
                <w:tab w:val="left" w:pos="284"/>
              </w:tabs>
              <w:spacing w:line="360" w:lineRule="auto"/>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3539F6" w:rsidRPr="002B3E9A" w:rsidRDefault="00353053" w:rsidP="00F94441">
            <w:pPr>
              <w:tabs>
                <w:tab w:val="left" w:pos="284"/>
              </w:tabs>
              <w:spacing w:line="360" w:lineRule="auto"/>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Ahora bien, </w:t>
            </w:r>
            <w:r w:rsidRPr="002B3E9A">
              <w:rPr>
                <w:rFonts w:ascii="Palatino Linotype" w:eastAsia="Palatino Linotype" w:hAnsi="Palatino Linotype" w:cs="Palatino Linotype"/>
                <w:b/>
                <w:bCs/>
                <w:color w:val="000000"/>
                <w:u w:val="single"/>
              </w:rPr>
              <w:t>para cada caso además de fundar y motivar</w:t>
            </w:r>
            <w:r w:rsidRPr="002B3E9A">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3539F6" w:rsidRPr="002B3E9A">
        <w:tc>
          <w:tcPr>
            <w:tcW w:w="2685" w:type="dxa"/>
          </w:tcPr>
          <w:p w:rsidR="003539F6" w:rsidRPr="002B3E9A" w:rsidRDefault="00353053" w:rsidP="00F94441">
            <w:pPr>
              <w:tabs>
                <w:tab w:val="left" w:pos="284"/>
              </w:tabs>
              <w:spacing w:line="360" w:lineRule="auto"/>
              <w:ind w:right="165"/>
              <w:jc w:val="both"/>
              <w:rPr>
                <w:rFonts w:ascii="Palatino Linotype" w:eastAsia="Palatino Linotype" w:hAnsi="Palatino Linotype" w:cs="Palatino Linotype"/>
                <w:b/>
                <w:bCs/>
              </w:rPr>
            </w:pPr>
            <w:r w:rsidRPr="002B3E9A">
              <w:rPr>
                <w:rFonts w:ascii="Palatino Linotype" w:eastAsia="Palatino Linotype" w:hAnsi="Palatino Linotype" w:cs="Palatino Linotype"/>
                <w:b/>
                <w:bCs/>
              </w:rPr>
              <w:lastRenderedPageBreak/>
              <w:t xml:space="preserve">e) Condiciones especiales de la clasificación de la información como confidencial. </w:t>
            </w:r>
          </w:p>
        </w:tc>
        <w:tc>
          <w:tcPr>
            <w:tcW w:w="7050" w:type="dxa"/>
          </w:tcPr>
          <w:p w:rsidR="003539F6" w:rsidRPr="002B3E9A" w:rsidRDefault="00353053" w:rsidP="00F94441">
            <w:pPr>
              <w:tabs>
                <w:tab w:val="left" w:pos="284"/>
              </w:tabs>
              <w:spacing w:line="360" w:lineRule="auto"/>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3539F6" w:rsidRPr="002B3E9A" w:rsidRDefault="00353053" w:rsidP="00F94441">
            <w:pPr>
              <w:tabs>
                <w:tab w:val="left" w:pos="284"/>
              </w:tabs>
              <w:spacing w:line="360" w:lineRule="auto"/>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w:t>
            </w:r>
            <w:r w:rsidRPr="002B3E9A">
              <w:rPr>
                <w:rFonts w:ascii="Palatino Linotype" w:eastAsia="Palatino Linotype" w:hAnsi="Palatino Linotype" w:cs="Palatino Linotype"/>
                <w:color w:val="000000"/>
              </w:rPr>
              <w:lastRenderedPageBreak/>
              <w:t xml:space="preserve">Justicia de la Nación, los servidores públicos nos encontramos sujetos a un régimen menor de protección. </w:t>
            </w:r>
          </w:p>
          <w:p w:rsidR="003539F6" w:rsidRPr="002B3E9A" w:rsidRDefault="00353053" w:rsidP="00F94441">
            <w:pPr>
              <w:tabs>
                <w:tab w:val="left" w:pos="284"/>
              </w:tabs>
              <w:spacing w:line="360" w:lineRule="auto"/>
              <w:rPr>
                <w:rFonts w:ascii="Palatino Linotype" w:eastAsia="Palatino Linotype" w:hAnsi="Palatino Linotype" w:cs="Palatino Linotype"/>
              </w:rPr>
            </w:pPr>
            <w:r w:rsidRPr="002B3E9A">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3539F6" w:rsidRPr="002B3E9A" w:rsidRDefault="003539F6">
      <w:pPr>
        <w:tabs>
          <w:tab w:val="left" w:pos="284"/>
        </w:tabs>
        <w:spacing w:line="360" w:lineRule="auto"/>
        <w:ind w:right="-1417"/>
        <w:rPr>
          <w:rFonts w:ascii="Palatino Linotype" w:eastAsia="Palatino Linotype" w:hAnsi="Palatino Linotype" w:cs="Palatino Linotype"/>
          <w:color w:val="000000"/>
        </w:rPr>
      </w:pPr>
    </w:p>
    <w:p w:rsidR="003539F6" w:rsidRPr="002B3E9A" w:rsidRDefault="00353053">
      <w:pPr>
        <w:numPr>
          <w:ilvl w:val="0"/>
          <w:numId w:val="3"/>
        </w:numPr>
        <w:pBdr>
          <w:top w:val="nil"/>
          <w:left w:val="nil"/>
          <w:bottom w:val="nil"/>
          <w:right w:val="nil"/>
          <w:between w:val="nil"/>
        </w:pBd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rPr>
        <w:t xml:space="preserve">Si el servidor público incumple con estas formalidades y entrega la información sin proteger </w:t>
      </w:r>
      <w:r w:rsidRPr="002B3E9A">
        <w:rPr>
          <w:rFonts w:ascii="Palatino Linotype" w:eastAsia="Palatino Linotype" w:hAnsi="Palatino Linotype" w:cs="Palatino Linotype"/>
          <w:color w:val="000000"/>
        </w:rPr>
        <w:t>los</w:t>
      </w:r>
      <w:r w:rsidRPr="002B3E9A">
        <w:rPr>
          <w:rFonts w:ascii="Palatino Linotype" w:eastAsia="Palatino Linotype" w:hAnsi="Palatino Linotype" w:cs="Palatino Linotype"/>
        </w:rPr>
        <w:t xml:space="preserve"> datos personales incumple con lo que estipula las disposiciones legales establecidas, asimismo que si entrega un documento testado sin el debido acuerdo de clasificación.</w:t>
      </w:r>
    </w:p>
    <w:p w:rsidR="003539F6" w:rsidRPr="002B3E9A" w:rsidRDefault="003539F6">
      <w:pPr>
        <w:pBdr>
          <w:top w:val="nil"/>
          <w:left w:val="nil"/>
          <w:bottom w:val="nil"/>
          <w:right w:val="nil"/>
          <w:between w:val="nil"/>
        </w:pBdr>
        <w:ind w:left="720" w:right="-1417"/>
        <w:rPr>
          <w:rFonts w:ascii="Palatino Linotype" w:eastAsia="Palatino Linotype" w:hAnsi="Palatino Linotype" w:cs="Palatino Linotype"/>
          <w:color w:val="000000"/>
        </w:rPr>
      </w:pPr>
    </w:p>
    <w:p w:rsidR="003539F6" w:rsidRDefault="00353053">
      <w:pPr>
        <w:numPr>
          <w:ilvl w:val="0"/>
          <w:numId w:val="3"/>
        </w:numPr>
        <w:spacing w:line="360" w:lineRule="auto"/>
        <w:ind w:left="0" w:right="-1417" w:firstLine="0"/>
        <w:jc w:val="both"/>
        <w:rPr>
          <w:rFonts w:ascii="Palatino Linotype" w:eastAsia="Palatino Linotype" w:hAnsi="Palatino Linotype" w:cs="Palatino Linotype"/>
          <w:color w:val="000000"/>
        </w:rPr>
      </w:pPr>
      <w:r w:rsidRPr="002B3E9A">
        <w:rPr>
          <w:rFonts w:ascii="Palatino Linotype" w:eastAsia="Palatino Linotype" w:hAnsi="Palatino Linotype" w:cs="Palatino Linotype"/>
        </w:rPr>
        <w:t>Por lo anteriormente expuesto, este Órgano Garante considera parcialmente fundadas las razones o motivos de inconformidad que plantea el</w:t>
      </w:r>
      <w:r w:rsidRPr="002B3E9A">
        <w:rPr>
          <w:rFonts w:ascii="Palatino Linotype" w:eastAsia="Palatino Linotype" w:hAnsi="Palatino Linotype" w:cs="Palatino Linotype"/>
          <w:b/>
          <w:bCs/>
        </w:rPr>
        <w:t xml:space="preserve"> RECURRENTE</w:t>
      </w:r>
      <w:r w:rsidRPr="002B3E9A">
        <w:rPr>
          <w:rFonts w:ascii="Palatino Linotype" w:eastAsia="Palatino Linotype" w:hAnsi="Palatino Linotype" w:cs="Palatino Linotype"/>
        </w:rPr>
        <w:t xml:space="preserve">, determinando </w:t>
      </w:r>
      <w:r w:rsidR="00182C41" w:rsidRPr="002B3E9A">
        <w:rPr>
          <w:rFonts w:ascii="Palatino Linotype" w:eastAsia="Palatino Linotype" w:hAnsi="Palatino Linotype" w:cs="Palatino Linotype"/>
          <w:b/>
          <w:bCs/>
          <w:smallCaps/>
        </w:rPr>
        <w:t xml:space="preserve">REVOCAR </w:t>
      </w:r>
      <w:r w:rsidRPr="002B3E9A">
        <w:rPr>
          <w:rFonts w:ascii="Palatino Linotype" w:eastAsia="Palatino Linotype" w:hAnsi="Palatino Linotype" w:cs="Palatino Linotype"/>
        </w:rPr>
        <w:t xml:space="preserve">la respuesta del </w:t>
      </w:r>
      <w:r w:rsidRPr="002B3E9A">
        <w:rPr>
          <w:rFonts w:ascii="Palatino Linotype" w:eastAsia="Palatino Linotype" w:hAnsi="Palatino Linotype" w:cs="Palatino Linotype"/>
          <w:b/>
          <w:bCs/>
        </w:rPr>
        <w:t>SUJETO OBLIGADO</w:t>
      </w:r>
      <w:r w:rsidRPr="002B3E9A">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2B3E9A">
        <w:rPr>
          <w:rFonts w:ascii="Palatino Linotype" w:eastAsia="Palatino Linotype" w:hAnsi="Palatino Linotype" w:cs="Palatino Linotype"/>
          <w:color w:val="000000"/>
        </w:rPr>
        <w:t xml:space="preserve">este </w:t>
      </w:r>
      <w:r w:rsidRPr="002B3E9A">
        <w:rPr>
          <w:rFonts w:ascii="Palatino Linotype" w:eastAsia="Palatino Linotype" w:hAnsi="Palatino Linotype" w:cs="Palatino Linotype"/>
          <w:b/>
          <w:bCs/>
          <w:color w:val="000000"/>
        </w:rPr>
        <w:t>ÓRGANO GARANTE</w:t>
      </w:r>
      <w:r w:rsidRPr="002B3E9A">
        <w:rPr>
          <w:rFonts w:ascii="Palatino Linotype" w:eastAsia="Palatino Linotype" w:hAnsi="Palatino Linotype" w:cs="Palatino Linotype"/>
          <w:color w:val="000000"/>
        </w:rPr>
        <w:t xml:space="preserve"> emite los siguientes.</w:t>
      </w:r>
      <w:r w:rsidR="002B3E9A">
        <w:rPr>
          <w:rFonts w:ascii="Palatino Linotype" w:eastAsia="Palatino Linotype" w:hAnsi="Palatino Linotype" w:cs="Palatino Linotype"/>
          <w:color w:val="000000"/>
        </w:rPr>
        <w:t xml:space="preserve"> ----------------------------------------------------------------------------</w:t>
      </w:r>
    </w:p>
    <w:p w:rsidR="002B3E9A" w:rsidRDefault="002B3E9A" w:rsidP="002B3E9A">
      <w:pPr>
        <w:pStyle w:val="Prrafodelista"/>
        <w:rPr>
          <w:rFonts w:ascii="Palatino Linotype" w:eastAsia="Palatino Linotype" w:hAnsi="Palatino Linotype" w:cs="Palatino Linotype"/>
          <w:color w:val="000000"/>
        </w:rPr>
      </w:pPr>
    </w:p>
    <w:p w:rsidR="002B3E9A" w:rsidRPr="002B3E9A" w:rsidRDefault="002B3E9A" w:rsidP="002B3E9A">
      <w:pPr>
        <w:spacing w:line="360" w:lineRule="auto"/>
        <w:ind w:right="-1417"/>
        <w:jc w:val="both"/>
        <w:rPr>
          <w:rFonts w:ascii="Palatino Linotype" w:eastAsia="Palatino Linotype" w:hAnsi="Palatino Linotype" w:cs="Palatino Linotype"/>
          <w:color w:val="000000"/>
        </w:rPr>
      </w:pPr>
    </w:p>
    <w:p w:rsidR="003539F6" w:rsidRPr="002B3E9A" w:rsidRDefault="003539F6">
      <w:pPr>
        <w:pBdr>
          <w:top w:val="nil"/>
          <w:left w:val="nil"/>
          <w:bottom w:val="nil"/>
          <w:right w:val="nil"/>
          <w:between w:val="nil"/>
        </w:pBdr>
        <w:ind w:left="720" w:right="-1417"/>
        <w:rPr>
          <w:rFonts w:ascii="Palatino Linotype" w:eastAsia="Palatino Linotype" w:hAnsi="Palatino Linotype" w:cs="Palatino Linotype"/>
          <w:color w:val="000000"/>
        </w:rPr>
      </w:pPr>
    </w:p>
    <w:p w:rsidR="003539F6" w:rsidRPr="002B3E9A" w:rsidRDefault="003539F6">
      <w:pPr>
        <w:pBdr>
          <w:top w:val="nil"/>
          <w:left w:val="nil"/>
          <w:bottom w:val="nil"/>
          <w:right w:val="nil"/>
          <w:between w:val="nil"/>
        </w:pBdr>
        <w:tabs>
          <w:tab w:val="left" w:pos="426"/>
        </w:tabs>
        <w:spacing w:line="360" w:lineRule="auto"/>
        <w:ind w:right="-1417"/>
        <w:jc w:val="both"/>
        <w:rPr>
          <w:rFonts w:ascii="Palatino Linotype" w:eastAsia="Palatino Linotype" w:hAnsi="Palatino Linotype" w:cs="Palatino Linotype"/>
          <w:color w:val="000000"/>
        </w:rPr>
      </w:pPr>
    </w:p>
    <w:p w:rsidR="003539F6" w:rsidRPr="002B3E9A" w:rsidRDefault="00353053">
      <w:pPr>
        <w:pStyle w:val="Ttulo1"/>
        <w:spacing w:before="0" w:line="360" w:lineRule="auto"/>
        <w:ind w:right="-1417"/>
        <w:jc w:val="center"/>
        <w:rPr>
          <w:rFonts w:ascii="Palatino Linotype" w:eastAsia="Palatino Linotype" w:hAnsi="Palatino Linotype" w:cs="Palatino Linotype"/>
          <w:b/>
          <w:bCs/>
          <w:color w:val="000000"/>
          <w:sz w:val="24"/>
          <w:szCs w:val="24"/>
        </w:rPr>
      </w:pPr>
      <w:r w:rsidRPr="002B3E9A">
        <w:rPr>
          <w:rFonts w:ascii="Palatino Linotype" w:eastAsia="Palatino Linotype" w:hAnsi="Palatino Linotype" w:cs="Palatino Linotype"/>
          <w:b/>
          <w:bCs/>
          <w:color w:val="000000"/>
          <w:sz w:val="24"/>
          <w:szCs w:val="24"/>
        </w:rPr>
        <w:lastRenderedPageBreak/>
        <w:t>R E S O L U T I V O S</w:t>
      </w:r>
    </w:p>
    <w:p w:rsidR="003539F6" w:rsidRPr="002B3E9A" w:rsidRDefault="003539F6">
      <w:pPr>
        <w:spacing w:line="360" w:lineRule="auto"/>
        <w:ind w:right="-1417"/>
        <w:rPr>
          <w:rFonts w:ascii="Palatino Linotype" w:eastAsia="Palatino Linotype" w:hAnsi="Palatino Linotype" w:cs="Palatino Linotype"/>
        </w:rPr>
      </w:pPr>
    </w:p>
    <w:p w:rsidR="003539F6" w:rsidRPr="002B3E9A" w:rsidRDefault="00353053">
      <w:pPr>
        <w:spacing w:line="360" w:lineRule="auto"/>
        <w:ind w:right="-1417"/>
        <w:jc w:val="both"/>
        <w:rPr>
          <w:rFonts w:ascii="Palatino Linotype" w:eastAsia="Palatino Linotype" w:hAnsi="Palatino Linotype" w:cs="Palatino Linotype"/>
          <w:b/>
          <w:bCs/>
        </w:rPr>
      </w:pPr>
      <w:r w:rsidRPr="002B3E9A">
        <w:rPr>
          <w:rFonts w:ascii="Palatino Linotype" w:eastAsia="Palatino Linotype" w:hAnsi="Palatino Linotype" w:cs="Palatino Linotype"/>
          <w:b/>
          <w:bCs/>
        </w:rPr>
        <w:t>PRIMERO</w:t>
      </w:r>
      <w:r w:rsidRPr="002B3E9A">
        <w:rPr>
          <w:rFonts w:ascii="Palatino Linotype" w:eastAsia="Palatino Linotype" w:hAnsi="Palatino Linotype" w:cs="Palatino Linotype"/>
        </w:rPr>
        <w:t xml:space="preserve">. Resultan fundadas las razones o motivos de inconformidad hechos valer en el Recurso de Revisión </w:t>
      </w:r>
      <w:r w:rsidRPr="002B3E9A">
        <w:rPr>
          <w:rFonts w:ascii="Palatino Linotype" w:eastAsia="Palatino Linotype" w:hAnsi="Palatino Linotype" w:cs="Palatino Linotype"/>
          <w:b/>
          <w:bCs/>
        </w:rPr>
        <w:t xml:space="preserve">14123/INFOEM/IP/RR/2025, </w:t>
      </w:r>
      <w:r w:rsidRPr="002B3E9A">
        <w:rPr>
          <w:rFonts w:ascii="Palatino Linotype" w:eastAsia="Palatino Linotype" w:hAnsi="Palatino Linotype" w:cs="Palatino Linotype"/>
        </w:rPr>
        <w:t xml:space="preserve">en términos de los Considerandos </w:t>
      </w:r>
      <w:r w:rsidRPr="002B3E9A">
        <w:rPr>
          <w:rFonts w:ascii="Palatino Linotype" w:eastAsia="Palatino Linotype" w:hAnsi="Palatino Linotype" w:cs="Palatino Linotype"/>
          <w:b/>
          <w:bCs/>
        </w:rPr>
        <w:t xml:space="preserve">Cuarto y Quinto </w:t>
      </w:r>
      <w:r w:rsidRPr="002B3E9A">
        <w:rPr>
          <w:rFonts w:ascii="Palatino Linotype" w:eastAsia="Palatino Linotype" w:hAnsi="Palatino Linotype" w:cs="Palatino Linotype"/>
        </w:rPr>
        <w:t xml:space="preserve">de la presente resolución. </w:t>
      </w:r>
    </w:p>
    <w:p w:rsidR="003539F6" w:rsidRPr="002B3E9A" w:rsidRDefault="003539F6">
      <w:pPr>
        <w:spacing w:line="360" w:lineRule="auto"/>
        <w:ind w:right="-1417"/>
        <w:jc w:val="both"/>
        <w:rPr>
          <w:rFonts w:ascii="Palatino Linotype" w:eastAsia="Palatino Linotype" w:hAnsi="Palatino Linotype" w:cs="Palatino Linotype"/>
        </w:rPr>
      </w:pPr>
    </w:p>
    <w:p w:rsidR="006D136C" w:rsidRPr="002B3E9A" w:rsidRDefault="00353053" w:rsidP="006D136C">
      <w:pPr>
        <w:spacing w:line="360" w:lineRule="auto"/>
        <w:ind w:right="-1417"/>
        <w:jc w:val="both"/>
        <w:rPr>
          <w:rFonts w:ascii="Palatino Linotype" w:eastAsia="Palatino Linotype" w:hAnsi="Palatino Linotype" w:cs="Palatino Linotype"/>
          <w:b/>
          <w:bCs/>
          <w:i/>
          <w:iCs/>
          <w:color w:val="000000"/>
        </w:rPr>
      </w:pPr>
      <w:bookmarkStart w:id="52" w:name="_heading=h.1ksv4uv" w:colFirst="0" w:colLast="0"/>
      <w:bookmarkEnd w:id="52"/>
      <w:r w:rsidRPr="002B3E9A">
        <w:rPr>
          <w:rFonts w:ascii="Palatino Linotype" w:eastAsia="Palatino Linotype" w:hAnsi="Palatino Linotype" w:cs="Palatino Linotype"/>
          <w:b/>
          <w:bCs/>
        </w:rPr>
        <w:t xml:space="preserve">SEGUNDO. </w:t>
      </w:r>
      <w:r w:rsidRPr="002B3E9A">
        <w:rPr>
          <w:rFonts w:ascii="Palatino Linotype" w:eastAsia="Palatino Linotype" w:hAnsi="Palatino Linotype" w:cs="Palatino Linotype"/>
          <w:color w:val="000000"/>
        </w:rPr>
        <w:t xml:space="preserve">Se </w:t>
      </w:r>
      <w:r w:rsidR="00182C41" w:rsidRPr="002B3E9A">
        <w:rPr>
          <w:rFonts w:ascii="Palatino Linotype" w:eastAsia="Palatino Linotype" w:hAnsi="Palatino Linotype" w:cs="Palatino Linotype"/>
          <w:b/>
          <w:bCs/>
          <w:color w:val="000000"/>
        </w:rPr>
        <w:t xml:space="preserve">REVOCA </w:t>
      </w:r>
      <w:r w:rsidRPr="002B3E9A">
        <w:rPr>
          <w:rFonts w:ascii="Palatino Linotype" w:eastAsia="Palatino Linotype" w:hAnsi="Palatino Linotype" w:cs="Palatino Linotype"/>
          <w:color w:val="000000"/>
        </w:rPr>
        <w:t xml:space="preserve">la respuesta emitida por el </w:t>
      </w:r>
      <w:r w:rsidRPr="002B3E9A">
        <w:rPr>
          <w:rFonts w:ascii="Palatino Linotype" w:eastAsia="Palatino Linotype" w:hAnsi="Palatino Linotype" w:cs="Palatino Linotype"/>
          <w:b/>
          <w:bCs/>
          <w:color w:val="000000"/>
        </w:rPr>
        <w:t>Ayuntamiento de</w:t>
      </w:r>
      <w:r w:rsidR="0082544B" w:rsidRPr="002B3E9A">
        <w:rPr>
          <w:rFonts w:ascii="Palatino Linotype" w:eastAsia="Palatino Linotype" w:hAnsi="Palatino Linotype" w:cs="Palatino Linotype"/>
          <w:b/>
          <w:bCs/>
          <w:color w:val="000000"/>
        </w:rPr>
        <w:t xml:space="preserve"> </w:t>
      </w:r>
      <w:r w:rsidR="0082544B" w:rsidRPr="002B3E9A">
        <w:rPr>
          <w:rFonts w:ascii="Palatino Linotype" w:eastAsia="Palatino Linotype" w:hAnsi="Palatino Linotype" w:cs="Palatino Linotype"/>
          <w:b/>
          <w:color w:val="000000"/>
        </w:rPr>
        <w:t>Nezahualcóyotl</w:t>
      </w:r>
      <w:r w:rsidRPr="002B3E9A">
        <w:rPr>
          <w:rFonts w:ascii="Palatino Linotype" w:eastAsia="Palatino Linotype" w:hAnsi="Palatino Linotype" w:cs="Palatino Linotype"/>
          <w:b/>
          <w:bCs/>
          <w:color w:val="000000"/>
        </w:rPr>
        <w:t xml:space="preserve">  </w:t>
      </w:r>
      <w:r w:rsidR="006D136C" w:rsidRPr="002B3E9A">
        <w:rPr>
          <w:rFonts w:ascii="Palatino Linotype" w:eastAsia="Palatino Linotype" w:hAnsi="Palatino Linotype" w:cs="Palatino Linotype"/>
          <w:color w:val="000000"/>
        </w:rPr>
        <w:t xml:space="preserve">y se </w:t>
      </w:r>
      <w:r w:rsidR="006D136C" w:rsidRPr="002B3E9A">
        <w:rPr>
          <w:rFonts w:ascii="Palatino Linotype" w:eastAsia="Palatino Linotype" w:hAnsi="Palatino Linotype" w:cs="Palatino Linotype"/>
          <w:b/>
          <w:bCs/>
          <w:color w:val="000000"/>
        </w:rPr>
        <w:t>ORDENA</w:t>
      </w:r>
      <w:r w:rsidR="006D136C" w:rsidRPr="002B3E9A">
        <w:rPr>
          <w:rFonts w:ascii="Palatino Linotype" w:eastAsia="Palatino Linotype" w:hAnsi="Palatino Linotype" w:cs="Palatino Linotype"/>
          <w:color w:val="000000"/>
        </w:rPr>
        <w:t xml:space="preserve"> entregar vía </w:t>
      </w:r>
      <w:r w:rsidR="0082544B" w:rsidRPr="002B3E9A">
        <w:rPr>
          <w:rFonts w:ascii="Palatino Linotype" w:eastAsia="Palatino Linotype" w:hAnsi="Palatino Linotype" w:cs="Palatino Linotype"/>
          <w:color w:val="000000"/>
        </w:rPr>
        <w:t>SAIMEX</w:t>
      </w:r>
      <w:r w:rsidR="006D136C" w:rsidRPr="002B3E9A">
        <w:rPr>
          <w:rFonts w:ascii="Palatino Linotype" w:eastAsia="Palatino Linotype" w:hAnsi="Palatino Linotype" w:cs="Palatino Linotype"/>
          <w:color w:val="000000"/>
        </w:rPr>
        <w:t>, en versión pública</w:t>
      </w:r>
      <w:r w:rsidR="006D136C" w:rsidRPr="002B3E9A">
        <w:rPr>
          <w:rFonts w:ascii="Palatino Linotype" w:eastAsia="Palatino Linotype" w:hAnsi="Palatino Linotype" w:cs="Palatino Linotype"/>
          <w:b/>
          <w:bCs/>
          <w:i/>
          <w:iCs/>
          <w:color w:val="000000"/>
        </w:rPr>
        <w:t xml:space="preserve"> </w:t>
      </w:r>
    </w:p>
    <w:p w:rsidR="006D136C" w:rsidRPr="002B3E9A" w:rsidRDefault="006D136C" w:rsidP="006D136C">
      <w:pPr>
        <w:spacing w:line="360" w:lineRule="auto"/>
        <w:ind w:right="-1417"/>
        <w:jc w:val="both"/>
        <w:rPr>
          <w:rFonts w:ascii="Palatino Linotype" w:eastAsia="Palatino Linotype" w:hAnsi="Palatino Linotype" w:cs="Palatino Linotype"/>
          <w:b/>
          <w:bCs/>
          <w:i/>
          <w:iCs/>
          <w:color w:val="000000"/>
        </w:rPr>
      </w:pPr>
    </w:p>
    <w:p w:rsidR="003539F6" w:rsidRPr="002B3E9A" w:rsidRDefault="00353053" w:rsidP="006D136C">
      <w:pPr>
        <w:ind w:left="1134" w:right="-290"/>
        <w:jc w:val="both"/>
        <w:rPr>
          <w:rFonts w:ascii="Palatino Linotype" w:eastAsia="Palatino Linotype" w:hAnsi="Palatino Linotype" w:cs="Palatino Linotype"/>
          <w:b/>
          <w:bCs/>
          <w:i/>
          <w:iCs/>
          <w:color w:val="000000"/>
        </w:rPr>
      </w:pPr>
      <w:r w:rsidRPr="002B3E9A">
        <w:rPr>
          <w:rFonts w:ascii="Palatino Linotype" w:eastAsia="Palatino Linotype" w:hAnsi="Palatino Linotype" w:cs="Palatino Linotype"/>
          <w:b/>
          <w:bCs/>
          <w:i/>
          <w:iCs/>
          <w:color w:val="000000"/>
        </w:rPr>
        <w:t xml:space="preserve">1.- Copia simple de las facturas pagadas y en proceso de pago con fecha del 1 de enero al 31 de octubre de 2025 correspondientes a la partida presupuestal 3611. </w:t>
      </w:r>
    </w:p>
    <w:p w:rsidR="003539F6" w:rsidRPr="002B3E9A" w:rsidRDefault="003539F6">
      <w:pPr>
        <w:pBdr>
          <w:top w:val="nil"/>
          <w:left w:val="nil"/>
          <w:bottom w:val="nil"/>
          <w:right w:val="nil"/>
          <w:between w:val="nil"/>
        </w:pBdr>
        <w:ind w:left="1440" w:right="-1417"/>
        <w:jc w:val="both"/>
        <w:rPr>
          <w:rFonts w:ascii="Palatino Linotype" w:eastAsia="Palatino Linotype" w:hAnsi="Palatino Linotype" w:cs="Palatino Linotype"/>
          <w:b/>
          <w:bCs/>
          <w:color w:val="000000"/>
        </w:rPr>
      </w:pPr>
    </w:p>
    <w:p w:rsidR="003539F6" w:rsidRPr="002B3E9A" w:rsidRDefault="003539F6">
      <w:pPr>
        <w:pBdr>
          <w:top w:val="nil"/>
          <w:left w:val="nil"/>
          <w:bottom w:val="nil"/>
          <w:right w:val="nil"/>
          <w:between w:val="nil"/>
        </w:pBdr>
        <w:tabs>
          <w:tab w:val="left" w:pos="8080"/>
        </w:tabs>
        <w:spacing w:line="360" w:lineRule="auto"/>
        <w:ind w:left="1440" w:right="-1417"/>
        <w:jc w:val="both"/>
        <w:rPr>
          <w:rFonts w:ascii="Palatino Linotype" w:eastAsia="Palatino Linotype" w:hAnsi="Palatino Linotype" w:cs="Palatino Linotype"/>
          <w:color w:val="000000"/>
        </w:rPr>
      </w:pPr>
    </w:p>
    <w:p w:rsidR="003539F6" w:rsidRPr="002B3E9A" w:rsidRDefault="00353053">
      <w:pPr>
        <w:spacing w:line="360" w:lineRule="auto"/>
        <w:ind w:right="-1417"/>
        <w:jc w:val="both"/>
        <w:rPr>
          <w:rFonts w:ascii="Palatino Linotype" w:eastAsia="Palatino Linotype" w:hAnsi="Palatino Linotype" w:cs="Palatino Linotype"/>
          <w:b/>
          <w:bCs/>
        </w:rPr>
      </w:pPr>
      <w:r w:rsidRPr="002B3E9A">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2B3E9A">
        <w:rPr>
          <w:rFonts w:ascii="Palatino Linotype" w:eastAsia="Palatino Linotype" w:hAnsi="Palatino Linotype" w:cs="Palatino Linotype"/>
          <w:b/>
          <w:bCs/>
        </w:rPr>
        <w:t>RECURRENTE.</w:t>
      </w:r>
    </w:p>
    <w:p w:rsidR="003539F6" w:rsidRPr="002B3E9A" w:rsidRDefault="003539F6">
      <w:pPr>
        <w:tabs>
          <w:tab w:val="left" w:pos="8080"/>
        </w:tabs>
        <w:spacing w:line="360" w:lineRule="auto"/>
        <w:ind w:right="-1417"/>
        <w:jc w:val="both"/>
        <w:rPr>
          <w:rFonts w:ascii="Palatino Linotype" w:eastAsia="Palatino Linotype" w:hAnsi="Palatino Linotype" w:cs="Palatino Linotype"/>
        </w:rPr>
      </w:pPr>
    </w:p>
    <w:p w:rsidR="003539F6" w:rsidRPr="002B3E9A" w:rsidRDefault="00353053">
      <w:pPr>
        <w:tabs>
          <w:tab w:val="left" w:pos="8080"/>
        </w:tabs>
        <w:spacing w:line="360" w:lineRule="auto"/>
        <w:ind w:right="-1417"/>
        <w:jc w:val="both"/>
        <w:rPr>
          <w:rFonts w:ascii="Palatino Linotype" w:eastAsia="Palatino Linotype" w:hAnsi="Palatino Linotype" w:cs="Palatino Linotype"/>
          <w:color w:val="222222"/>
        </w:rPr>
      </w:pPr>
      <w:r w:rsidRPr="002B3E9A">
        <w:rPr>
          <w:rFonts w:ascii="Palatino Linotype" w:eastAsia="Palatino Linotype" w:hAnsi="Palatino Linotype" w:cs="Palatino Linotype"/>
          <w:b/>
          <w:bCs/>
        </w:rPr>
        <w:t xml:space="preserve">TERCERO. </w:t>
      </w:r>
      <w:r w:rsidRPr="002B3E9A">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2B3E9A">
        <w:rPr>
          <w:rFonts w:ascii="Palatino Linotype" w:eastAsia="Palatino Linotype" w:hAnsi="Palatino Linotype" w:cs="Palatino Linotype"/>
          <w:b/>
          <w:bCs/>
          <w:color w:val="222222"/>
        </w:rPr>
        <w:t xml:space="preserve">dé cumplimiento a lo ordenado dentro del plazo de diez días hábiles, </w:t>
      </w:r>
      <w:r w:rsidRPr="002B3E9A">
        <w:rPr>
          <w:rFonts w:ascii="Palatino Linotype" w:eastAsia="Palatino Linotype" w:hAnsi="Palatino Linotype" w:cs="Palatino Linotype"/>
          <w:color w:val="222222"/>
        </w:rPr>
        <w:t xml:space="preserve">e informe a este Instituto en un plazo de tres días hábiles siguientes sobre el </w:t>
      </w:r>
      <w:r w:rsidRPr="002B3E9A">
        <w:rPr>
          <w:rFonts w:ascii="Palatino Linotype" w:eastAsia="Palatino Linotype" w:hAnsi="Palatino Linotype" w:cs="Palatino Linotype"/>
          <w:color w:val="222222"/>
        </w:rPr>
        <w:lastRenderedPageBreak/>
        <w:t xml:space="preserve">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3539F6" w:rsidRPr="002B3E9A" w:rsidRDefault="003539F6">
      <w:pPr>
        <w:tabs>
          <w:tab w:val="left" w:pos="8080"/>
        </w:tabs>
        <w:spacing w:line="360" w:lineRule="auto"/>
        <w:ind w:right="-1417"/>
        <w:jc w:val="both"/>
        <w:rPr>
          <w:rFonts w:ascii="Palatino Linotype" w:eastAsia="Palatino Linotype" w:hAnsi="Palatino Linotype" w:cs="Palatino Linotype"/>
          <w:color w:val="222222"/>
        </w:rPr>
      </w:pPr>
    </w:p>
    <w:p w:rsidR="003539F6" w:rsidRPr="002B3E9A" w:rsidRDefault="00353053">
      <w:pPr>
        <w:spacing w:line="360" w:lineRule="auto"/>
        <w:ind w:right="-1417"/>
        <w:jc w:val="both"/>
        <w:rPr>
          <w:rFonts w:ascii="Palatino Linotype" w:eastAsia="Palatino Linotype" w:hAnsi="Palatino Linotype" w:cs="Palatino Linotype"/>
        </w:rPr>
      </w:pPr>
      <w:r w:rsidRPr="002B3E9A">
        <w:rPr>
          <w:rFonts w:ascii="Palatino Linotype" w:eastAsia="Palatino Linotype" w:hAnsi="Palatino Linotype" w:cs="Palatino Linotype"/>
          <w:b/>
          <w:bCs/>
        </w:rPr>
        <w:t xml:space="preserve">CUARTO. </w:t>
      </w:r>
      <w:r w:rsidRPr="002B3E9A">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2B3E9A">
        <w:rPr>
          <w:rFonts w:ascii="Palatino Linotype" w:eastAsia="Palatino Linotype" w:hAnsi="Palatino Linotype" w:cs="Palatino Linotype"/>
          <w:b/>
          <w:bCs/>
        </w:rPr>
        <w:t>SUJETO OBLIGADO</w:t>
      </w:r>
      <w:r w:rsidRPr="002B3E9A">
        <w:rPr>
          <w:rFonts w:ascii="Palatino Linotype" w:eastAsia="Palatino Linotype" w:hAnsi="Palatino Linotype" w:cs="Palatino Linotype"/>
        </w:rPr>
        <w:t xml:space="preserve"> de manera fundada y motivada, podrá solicitar una ampliación de plazo para el cumplimiento de la presente resolución.</w:t>
      </w:r>
    </w:p>
    <w:p w:rsidR="003539F6" w:rsidRPr="002B3E9A" w:rsidRDefault="003539F6">
      <w:pPr>
        <w:spacing w:line="360" w:lineRule="auto"/>
        <w:ind w:right="-1417"/>
        <w:jc w:val="both"/>
        <w:rPr>
          <w:rFonts w:ascii="Palatino Linotype" w:eastAsia="Palatino Linotype" w:hAnsi="Palatino Linotype" w:cs="Palatino Linotype"/>
        </w:rPr>
      </w:pPr>
    </w:p>
    <w:p w:rsidR="003539F6" w:rsidRPr="002B3E9A" w:rsidRDefault="00353053">
      <w:pPr>
        <w:spacing w:line="360" w:lineRule="auto"/>
        <w:ind w:right="-1417"/>
        <w:jc w:val="both"/>
        <w:rPr>
          <w:rFonts w:ascii="Palatino Linotype" w:eastAsia="Palatino Linotype" w:hAnsi="Palatino Linotype" w:cs="Palatino Linotype"/>
        </w:rPr>
      </w:pPr>
      <w:bookmarkStart w:id="53" w:name="_heading=h.2jxsxqh" w:colFirst="0" w:colLast="0"/>
      <w:bookmarkEnd w:id="53"/>
      <w:r w:rsidRPr="002B3E9A">
        <w:rPr>
          <w:rFonts w:ascii="Palatino Linotype" w:eastAsia="Palatino Linotype" w:hAnsi="Palatino Linotype" w:cs="Palatino Linotype"/>
          <w:b/>
          <w:bCs/>
        </w:rPr>
        <w:t xml:space="preserve">QUINTO. </w:t>
      </w:r>
      <w:r w:rsidRPr="002B3E9A">
        <w:rPr>
          <w:rFonts w:ascii="Palatino Linotype" w:eastAsia="Palatino Linotype" w:hAnsi="Palatino Linotype" w:cs="Palatino Linotype"/>
        </w:rPr>
        <w:t xml:space="preserve">Notifíquese a </w:t>
      </w:r>
      <w:r w:rsidRPr="002B3E9A">
        <w:rPr>
          <w:rFonts w:ascii="Palatino Linotype" w:eastAsia="Palatino Linotype" w:hAnsi="Palatino Linotype" w:cs="Palatino Linotype"/>
          <w:b/>
          <w:bCs/>
        </w:rPr>
        <w:t>EL RECURRENTE</w:t>
      </w:r>
      <w:r w:rsidRPr="002B3E9A">
        <w:rPr>
          <w:rFonts w:ascii="Palatino Linotype" w:eastAsia="Palatino Linotype" w:hAnsi="Palatino Linotype" w:cs="Palatino Linotype"/>
        </w:rPr>
        <w:t xml:space="preserve"> la presente resolución, vía SAIMEX.</w:t>
      </w:r>
    </w:p>
    <w:p w:rsidR="003539F6" w:rsidRPr="002B3E9A" w:rsidRDefault="003539F6">
      <w:pPr>
        <w:shd w:val="clear" w:color="auto" w:fill="FFFFFF"/>
        <w:spacing w:line="360" w:lineRule="auto"/>
        <w:ind w:right="-1417"/>
        <w:jc w:val="both"/>
        <w:rPr>
          <w:rFonts w:ascii="Palatino Linotype" w:eastAsia="Palatino Linotype" w:hAnsi="Palatino Linotype" w:cs="Palatino Linotype"/>
          <w:b/>
          <w:bCs/>
        </w:rPr>
      </w:pPr>
    </w:p>
    <w:p w:rsidR="003539F6" w:rsidRPr="002B3E9A" w:rsidRDefault="00353053">
      <w:pPr>
        <w:spacing w:line="360" w:lineRule="auto"/>
        <w:ind w:right="-1417"/>
        <w:jc w:val="both"/>
        <w:rPr>
          <w:rFonts w:ascii="Palatino Linotype" w:eastAsia="Palatino Linotype" w:hAnsi="Palatino Linotype" w:cs="Palatino Linotype"/>
        </w:rPr>
      </w:pPr>
      <w:bookmarkStart w:id="54" w:name="_heading=h.olnys9gk5lsn" w:colFirst="0" w:colLast="0"/>
      <w:bookmarkEnd w:id="54"/>
      <w:r w:rsidRPr="002B3E9A">
        <w:rPr>
          <w:rFonts w:ascii="Palatino Linotype" w:eastAsia="Palatino Linotype" w:hAnsi="Palatino Linotype" w:cs="Palatino Linotype"/>
          <w:b/>
          <w:bCs/>
        </w:rPr>
        <w:t xml:space="preserve">SEXTO. </w:t>
      </w:r>
      <w:r w:rsidRPr="002B3E9A">
        <w:rPr>
          <w:rFonts w:ascii="Palatino Linotype" w:eastAsia="Palatino Linotype" w:hAnsi="Palatino Linotype" w:cs="Palatino Linotype"/>
        </w:rPr>
        <w:t xml:space="preserve">Se hace del conocimiento del </w:t>
      </w:r>
      <w:r w:rsidRPr="002B3E9A">
        <w:rPr>
          <w:rFonts w:ascii="Palatino Linotype" w:eastAsia="Palatino Linotype" w:hAnsi="Palatino Linotype" w:cs="Palatino Linotype"/>
          <w:b/>
          <w:bCs/>
        </w:rPr>
        <w:t>RECURRENTE</w:t>
      </w:r>
      <w:r w:rsidRPr="002B3E9A">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3539F6" w:rsidRPr="002B3E9A" w:rsidRDefault="003539F6">
      <w:pPr>
        <w:shd w:val="clear" w:color="auto" w:fill="FFFFFF"/>
        <w:spacing w:line="360" w:lineRule="auto"/>
        <w:ind w:right="-1417"/>
        <w:jc w:val="both"/>
        <w:rPr>
          <w:rFonts w:ascii="Palatino Linotype" w:eastAsia="Palatino Linotype" w:hAnsi="Palatino Linotype" w:cs="Palatino Linotype"/>
        </w:rPr>
      </w:pPr>
    </w:p>
    <w:p w:rsidR="0082544B" w:rsidRPr="002B3E9A" w:rsidRDefault="0082544B" w:rsidP="0082544B">
      <w:pPr>
        <w:spacing w:before="240" w:after="240" w:line="360" w:lineRule="auto"/>
        <w:ind w:right="-1424" w:firstLine="1"/>
        <w:jc w:val="both"/>
        <w:rPr>
          <w:rFonts w:ascii="Palatino Linotype" w:hAnsi="Palatino Linotype"/>
        </w:rPr>
      </w:pPr>
      <w:bookmarkStart w:id="55" w:name="_Hlk99014733"/>
      <w:r w:rsidRPr="002B3E9A">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w:t>
      </w:r>
      <w:r w:rsidRPr="002B3E9A">
        <w:rPr>
          <w:rFonts w:ascii="Palatino Linotype" w:hAnsi="Palatino Linotype" w:cs="Palatino Linotype"/>
        </w:rPr>
        <w:lastRenderedPageBreak/>
        <w:t xml:space="preserve">ORDINARIA, CELEBRADA EL VEINTE (20) DE MAYO DE DOS MIL VEINTISÉIS, ANTE EL SECRETARIO TÉCNICO DEL PLENO </w:t>
      </w:r>
      <w:r w:rsidRPr="002B3E9A">
        <w:rPr>
          <w:rFonts w:ascii="Palatino Linotype" w:hAnsi="Palatino Linotype" w:cs="Palatino Linotype"/>
          <w:color w:val="000000" w:themeColor="text1"/>
        </w:rPr>
        <w:t>ALEXIS TAPIA RAMÍREZ.</w:t>
      </w:r>
    </w:p>
    <w:bookmarkEnd w:id="55"/>
    <w:p w:rsidR="003539F6" w:rsidRPr="002B3E9A" w:rsidRDefault="003539F6" w:rsidP="0082544B">
      <w:pPr>
        <w:spacing w:line="360" w:lineRule="auto"/>
        <w:ind w:right="-1424"/>
        <w:jc w:val="both"/>
        <w:rPr>
          <w:rFonts w:ascii="Palatino Linotype" w:eastAsia="Palatino Linotype" w:hAnsi="Palatino Linotype" w:cs="Palatino Linotype"/>
        </w:rPr>
      </w:pPr>
    </w:p>
    <w:p w:rsidR="003539F6" w:rsidRPr="002B3E9A" w:rsidRDefault="003539F6" w:rsidP="0082544B">
      <w:pPr>
        <w:keepNext/>
        <w:keepLines/>
        <w:spacing w:after="240" w:line="360" w:lineRule="auto"/>
        <w:ind w:right="-1424"/>
        <w:rPr>
          <w:rFonts w:ascii="Palatino Linotype" w:eastAsia="Palatino Linotype" w:hAnsi="Palatino Linotype" w:cs="Palatino Linotype"/>
        </w:rPr>
      </w:pPr>
    </w:p>
    <w:p w:rsidR="003539F6" w:rsidRPr="002B3E9A" w:rsidRDefault="003539F6">
      <w:pPr>
        <w:ind w:right="-1417"/>
        <w:rPr>
          <w:rFonts w:ascii="Palatino Linotype" w:eastAsia="Palatino Linotype" w:hAnsi="Palatino Linotype" w:cs="Palatino Linotype"/>
        </w:rPr>
      </w:pPr>
    </w:p>
    <w:p w:rsidR="003539F6" w:rsidRPr="002B3E9A" w:rsidRDefault="003539F6">
      <w:pPr>
        <w:ind w:right="-1417"/>
        <w:rPr>
          <w:rFonts w:ascii="Palatino Linotype" w:eastAsia="Palatino Linotype" w:hAnsi="Palatino Linotype" w:cs="Palatino Linotype"/>
        </w:rPr>
      </w:pPr>
    </w:p>
    <w:p w:rsidR="003539F6" w:rsidRPr="002B3E9A" w:rsidRDefault="003539F6">
      <w:pPr>
        <w:ind w:right="-1417"/>
        <w:rPr>
          <w:rFonts w:ascii="Palatino Linotype" w:eastAsia="Palatino Linotype" w:hAnsi="Palatino Linotype" w:cs="Palatino Linotype"/>
        </w:rPr>
      </w:pPr>
    </w:p>
    <w:p w:rsidR="003539F6" w:rsidRPr="002B3E9A" w:rsidRDefault="003539F6">
      <w:pPr>
        <w:ind w:right="-1417"/>
        <w:rPr>
          <w:rFonts w:ascii="Palatino Linotype" w:eastAsia="Palatino Linotype" w:hAnsi="Palatino Linotype" w:cs="Palatino Linotype"/>
        </w:rPr>
      </w:pPr>
    </w:p>
    <w:p w:rsidR="003539F6" w:rsidRPr="002B3E9A" w:rsidRDefault="003539F6">
      <w:pPr>
        <w:ind w:right="-1417"/>
        <w:rPr>
          <w:rFonts w:ascii="Palatino Linotype" w:eastAsia="Palatino Linotype" w:hAnsi="Palatino Linotype" w:cs="Palatino Linotype"/>
        </w:rPr>
      </w:pPr>
    </w:p>
    <w:p w:rsidR="003539F6" w:rsidRPr="002B3E9A" w:rsidRDefault="003539F6">
      <w:pPr>
        <w:ind w:right="-1417"/>
        <w:rPr>
          <w:rFonts w:ascii="Palatino Linotype" w:eastAsia="Palatino Linotype" w:hAnsi="Palatino Linotype" w:cs="Palatino Linotype"/>
        </w:rPr>
      </w:pPr>
    </w:p>
    <w:p w:rsidR="003539F6" w:rsidRPr="002B3E9A" w:rsidRDefault="003539F6">
      <w:pPr>
        <w:ind w:right="-1417"/>
        <w:rPr>
          <w:rFonts w:ascii="Palatino Linotype" w:eastAsia="Palatino Linotype" w:hAnsi="Palatino Linotype" w:cs="Palatino Linotype"/>
        </w:rPr>
      </w:pPr>
    </w:p>
    <w:p w:rsidR="003539F6" w:rsidRPr="002B3E9A" w:rsidRDefault="003539F6">
      <w:pPr>
        <w:ind w:right="-1417"/>
        <w:rPr>
          <w:rFonts w:ascii="Palatino Linotype" w:eastAsia="Palatino Linotype" w:hAnsi="Palatino Linotype" w:cs="Palatino Linotype"/>
        </w:rPr>
      </w:pPr>
    </w:p>
    <w:p w:rsidR="003539F6" w:rsidRPr="002B3E9A" w:rsidRDefault="003539F6">
      <w:pPr>
        <w:ind w:right="-1417"/>
        <w:rPr>
          <w:rFonts w:ascii="Palatino Linotype" w:eastAsia="Palatino Linotype" w:hAnsi="Palatino Linotype" w:cs="Palatino Linotype"/>
        </w:rPr>
      </w:pPr>
    </w:p>
    <w:p w:rsidR="00445A01" w:rsidRPr="002B3E9A" w:rsidRDefault="00445A01">
      <w:pPr>
        <w:ind w:right="-1417"/>
        <w:rPr>
          <w:rFonts w:ascii="Palatino Linotype" w:eastAsia="Palatino Linotype" w:hAnsi="Palatino Linotype" w:cs="Palatino Linotype"/>
        </w:rPr>
      </w:pPr>
    </w:p>
    <w:p w:rsidR="00445A01" w:rsidRPr="002B3E9A" w:rsidRDefault="00445A01">
      <w:pPr>
        <w:ind w:right="-1417"/>
        <w:rPr>
          <w:rFonts w:ascii="Palatino Linotype" w:eastAsia="Palatino Linotype" w:hAnsi="Palatino Linotype" w:cs="Palatino Linotype"/>
        </w:rPr>
      </w:pPr>
    </w:p>
    <w:p w:rsidR="00445A01" w:rsidRPr="002B3E9A" w:rsidRDefault="00445A01">
      <w:pPr>
        <w:ind w:right="-1417"/>
        <w:rPr>
          <w:rFonts w:ascii="Palatino Linotype" w:eastAsia="Palatino Linotype" w:hAnsi="Palatino Linotype" w:cs="Palatino Linotype"/>
        </w:rPr>
      </w:pPr>
    </w:p>
    <w:p w:rsidR="00445A01" w:rsidRPr="002B3E9A" w:rsidRDefault="00445A01">
      <w:pPr>
        <w:ind w:right="-1417"/>
        <w:rPr>
          <w:rFonts w:ascii="Palatino Linotype" w:eastAsia="Palatino Linotype" w:hAnsi="Palatino Linotype" w:cs="Palatino Linotype"/>
        </w:rPr>
      </w:pPr>
    </w:p>
    <w:p w:rsidR="00445A01" w:rsidRPr="002B3E9A" w:rsidRDefault="00445A01">
      <w:pPr>
        <w:ind w:right="-1417"/>
        <w:rPr>
          <w:rFonts w:ascii="Palatino Linotype" w:eastAsia="Palatino Linotype" w:hAnsi="Palatino Linotype" w:cs="Palatino Linotype"/>
        </w:rPr>
      </w:pPr>
    </w:p>
    <w:p w:rsidR="003539F6" w:rsidRPr="002B3E9A" w:rsidRDefault="003539F6">
      <w:pPr>
        <w:ind w:right="-1417"/>
        <w:rPr>
          <w:rFonts w:ascii="Palatino Linotype" w:hAnsi="Palatino Linotype"/>
        </w:rPr>
      </w:pPr>
    </w:p>
    <w:p w:rsidR="00AB1B15" w:rsidRDefault="00AB1B15">
      <w:pPr>
        <w:ind w:right="-1417"/>
        <w:rPr>
          <w:rFonts w:ascii="Palatino Linotype" w:hAnsi="Palatino Linotype"/>
        </w:rPr>
      </w:pPr>
    </w:p>
    <w:p w:rsidR="002B3E9A" w:rsidRDefault="002B3E9A">
      <w:pPr>
        <w:ind w:right="-1417"/>
        <w:rPr>
          <w:rFonts w:ascii="Palatino Linotype" w:hAnsi="Palatino Linotype"/>
        </w:rPr>
      </w:pPr>
    </w:p>
    <w:p w:rsidR="002B3E9A" w:rsidRDefault="002B3E9A">
      <w:pPr>
        <w:ind w:right="-1417"/>
        <w:rPr>
          <w:rFonts w:ascii="Palatino Linotype" w:hAnsi="Palatino Linotype"/>
        </w:rPr>
      </w:pPr>
    </w:p>
    <w:p w:rsidR="002B3E9A" w:rsidRDefault="002B3E9A">
      <w:pPr>
        <w:ind w:right="-1417"/>
        <w:rPr>
          <w:rFonts w:ascii="Palatino Linotype" w:hAnsi="Palatino Linotype"/>
        </w:rPr>
      </w:pPr>
    </w:p>
    <w:p w:rsidR="002B3E9A" w:rsidRDefault="002B3E9A">
      <w:pPr>
        <w:ind w:right="-1417"/>
        <w:rPr>
          <w:rFonts w:ascii="Palatino Linotype" w:hAnsi="Palatino Linotype"/>
        </w:rPr>
      </w:pPr>
    </w:p>
    <w:p w:rsidR="002B3E9A" w:rsidRDefault="002B3E9A">
      <w:pPr>
        <w:ind w:right="-1417"/>
        <w:rPr>
          <w:rFonts w:ascii="Palatino Linotype" w:hAnsi="Palatino Linotype"/>
        </w:rPr>
      </w:pPr>
    </w:p>
    <w:p w:rsidR="002B3E9A" w:rsidRDefault="002B3E9A">
      <w:pPr>
        <w:ind w:right="-1417"/>
        <w:rPr>
          <w:rFonts w:ascii="Palatino Linotype" w:hAnsi="Palatino Linotype"/>
        </w:rPr>
      </w:pPr>
    </w:p>
    <w:p w:rsidR="002B3E9A" w:rsidRDefault="002B3E9A">
      <w:pPr>
        <w:ind w:right="-1417"/>
        <w:rPr>
          <w:rFonts w:ascii="Palatino Linotype" w:hAnsi="Palatino Linotype"/>
        </w:rPr>
      </w:pPr>
    </w:p>
    <w:p w:rsidR="002B3E9A" w:rsidRDefault="002B3E9A">
      <w:pPr>
        <w:ind w:right="-1417"/>
        <w:rPr>
          <w:rFonts w:ascii="Palatino Linotype" w:hAnsi="Palatino Linotype"/>
        </w:rPr>
      </w:pPr>
    </w:p>
    <w:p w:rsidR="002B3E9A" w:rsidRDefault="002B3E9A">
      <w:pPr>
        <w:ind w:right="-1417"/>
        <w:rPr>
          <w:rFonts w:ascii="Palatino Linotype" w:hAnsi="Palatino Linotype"/>
        </w:rPr>
      </w:pPr>
    </w:p>
    <w:p w:rsidR="002B3E9A" w:rsidRDefault="002B3E9A">
      <w:pPr>
        <w:ind w:right="-1417"/>
        <w:rPr>
          <w:rFonts w:ascii="Palatino Linotype" w:hAnsi="Palatino Linotype"/>
        </w:rPr>
      </w:pPr>
    </w:p>
    <w:p w:rsidR="002B3E9A" w:rsidRDefault="002B3E9A">
      <w:pPr>
        <w:ind w:right="-1417"/>
        <w:rPr>
          <w:rFonts w:ascii="Palatino Linotype" w:hAnsi="Palatino Linotype"/>
        </w:rPr>
      </w:pPr>
    </w:p>
    <w:p w:rsidR="002B3E9A" w:rsidRDefault="002B3E9A">
      <w:pPr>
        <w:ind w:right="-1417"/>
        <w:rPr>
          <w:rFonts w:ascii="Palatino Linotype" w:hAnsi="Palatino Linotype"/>
        </w:rPr>
      </w:pPr>
    </w:p>
    <w:p w:rsidR="002B3E9A" w:rsidRDefault="002B3E9A">
      <w:pPr>
        <w:ind w:right="-1417"/>
        <w:rPr>
          <w:rFonts w:ascii="Palatino Linotype" w:hAnsi="Palatino Linotype"/>
        </w:rPr>
      </w:pPr>
    </w:p>
    <w:p w:rsidR="002B3E9A" w:rsidRDefault="002B3E9A">
      <w:pPr>
        <w:ind w:right="-1417"/>
        <w:rPr>
          <w:rFonts w:ascii="Palatino Linotype" w:hAnsi="Palatino Linotype"/>
        </w:rPr>
      </w:pPr>
    </w:p>
    <w:p w:rsidR="002B3E9A" w:rsidRPr="002B3E9A" w:rsidRDefault="002B3E9A">
      <w:pPr>
        <w:ind w:right="-1417"/>
        <w:rPr>
          <w:rFonts w:ascii="Palatino Linotype" w:hAnsi="Palatino Linotype"/>
        </w:rPr>
      </w:pPr>
    </w:p>
    <w:sectPr w:rsidR="002B3E9A" w:rsidRPr="002B3E9A" w:rsidSect="002B3E9A">
      <w:headerReference w:type="default" r:id="rId19"/>
      <w:footerReference w:type="default" r:id="rId20"/>
      <w:headerReference w:type="first" r:id="rId21"/>
      <w:footerReference w:type="first" r:id="rId22"/>
      <w:pgSz w:w="12240" w:h="15840"/>
      <w:pgMar w:top="1276" w:right="2324"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86B" w:rsidRDefault="0000486B">
      <w:r>
        <w:separator/>
      </w:r>
    </w:p>
  </w:endnote>
  <w:endnote w:type="continuationSeparator" w:id="0">
    <w:p w:rsidR="0000486B" w:rsidRDefault="00004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A5CB6717-E8E8-48C1-94E7-9A724592D00C}"/>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9B1F4A50-6632-4A0A-934F-AB1EF1F4D799}"/>
    <w:embedBold r:id="rId3" w:fontKey="{9FD4C4FB-6F88-4F6E-A405-B2F3DC49638F}"/>
    <w:embedItalic r:id="rId4" w:fontKey="{32AB1B28-E089-423A-B32C-550C17CDA425}"/>
    <w:embedBoldItalic r:id="rId5" w:fontKey="{DB99D47F-FF9D-4486-B240-640D043BC78C}"/>
  </w:font>
  <w:font w:name="Calibri">
    <w:panose1 w:val="020F0502020204030204"/>
    <w:charset w:val="00"/>
    <w:family w:val="swiss"/>
    <w:pitch w:val="variable"/>
    <w:sig w:usb0="E4002EFF" w:usb1="C200247B" w:usb2="00000009" w:usb3="00000000" w:csb0="000001FF" w:csb1="00000000"/>
    <w:embedRegular r:id="rId6" w:fontKey="{12AF7AEF-01C3-49D2-8590-2AF3B334D74B}"/>
  </w:font>
  <w:font w:name="Georgia">
    <w:panose1 w:val="02040502050405020303"/>
    <w:charset w:val="00"/>
    <w:family w:val="roman"/>
    <w:pitch w:val="variable"/>
    <w:sig w:usb0="00000287" w:usb1="00000000" w:usb2="00000000" w:usb3="00000000" w:csb0="0000009F" w:csb1="00000000"/>
    <w:embedItalic r:id="rId7" w:fontKey="{7A4E33EC-9413-4B1C-9515-2F2064657CE4}"/>
  </w:font>
  <w:font w:name="Cambria">
    <w:panose1 w:val="02040503050406030204"/>
    <w:charset w:val="00"/>
    <w:family w:val="roman"/>
    <w:pitch w:val="variable"/>
    <w:sig w:usb0="E00006FF" w:usb1="420024FF" w:usb2="02000000" w:usb3="00000000" w:csb0="0000019F" w:csb1="00000000"/>
    <w:embedRegular r:id="rId8" w:fontKey="{70E8500C-2066-4C89-B53A-317F084B9B3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053" w:rsidRDefault="00353053">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B454C8">
      <w:rPr>
        <w:rFonts w:ascii="Palatino Linotype" w:eastAsia="Palatino Linotype" w:hAnsi="Palatino Linotype" w:cs="Palatino Linotype"/>
        <w:b/>
        <w:bCs/>
        <w:noProof/>
        <w:color w:val="000000"/>
        <w:sz w:val="22"/>
        <w:szCs w:val="22"/>
      </w:rPr>
      <w:t>6</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B454C8">
      <w:rPr>
        <w:rFonts w:ascii="Palatino Linotype" w:eastAsia="Palatino Linotype" w:hAnsi="Palatino Linotype" w:cs="Palatino Linotype"/>
        <w:b/>
        <w:bCs/>
        <w:noProof/>
        <w:color w:val="000000"/>
        <w:sz w:val="22"/>
        <w:szCs w:val="22"/>
      </w:rPr>
      <w:t>42</w:t>
    </w:r>
    <w:r>
      <w:rPr>
        <w:rFonts w:ascii="Palatino Linotype" w:eastAsia="Palatino Linotype" w:hAnsi="Palatino Linotype" w:cs="Palatino Linotype"/>
        <w:b/>
        <w:bCs/>
        <w:color w:val="000000"/>
        <w:sz w:val="22"/>
        <w:szCs w:val="22"/>
      </w:rPr>
      <w:fldChar w:fldCharType="end"/>
    </w:r>
  </w:p>
  <w:p w:rsidR="00353053" w:rsidRDefault="00353053">
    <w:pPr>
      <w:pBdr>
        <w:top w:val="nil"/>
        <w:left w:val="nil"/>
        <w:bottom w:val="nil"/>
        <w:right w:val="nil"/>
        <w:between w:val="nil"/>
      </w:pBdr>
      <w:tabs>
        <w:tab w:val="center" w:pos="4252"/>
        <w:tab w:val="right" w:pos="8504"/>
      </w:tabs>
      <w:rPr>
        <w:color w:val="000000"/>
      </w:rPr>
    </w:pPr>
  </w:p>
  <w:p w:rsidR="00353053" w:rsidRDefault="00353053">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053" w:rsidRDefault="00353053">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B454C8">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B454C8">
      <w:rPr>
        <w:rFonts w:ascii="Palatino Linotype" w:eastAsia="Palatino Linotype" w:hAnsi="Palatino Linotype" w:cs="Palatino Linotype"/>
        <w:b/>
        <w:bCs/>
        <w:noProof/>
        <w:color w:val="000000"/>
        <w:sz w:val="22"/>
        <w:szCs w:val="22"/>
      </w:rPr>
      <w:t>42</w:t>
    </w:r>
    <w:r>
      <w:rPr>
        <w:rFonts w:ascii="Palatino Linotype" w:eastAsia="Palatino Linotype" w:hAnsi="Palatino Linotype" w:cs="Palatino Linotype"/>
        <w:b/>
        <w:bCs/>
        <w:color w:val="000000"/>
        <w:sz w:val="22"/>
        <w:szCs w:val="22"/>
      </w:rPr>
      <w:fldChar w:fldCharType="end"/>
    </w:r>
  </w:p>
  <w:p w:rsidR="00353053" w:rsidRDefault="00353053">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86B" w:rsidRDefault="0000486B">
      <w:r>
        <w:separator/>
      </w:r>
    </w:p>
  </w:footnote>
  <w:footnote w:type="continuationSeparator" w:id="0">
    <w:p w:rsidR="0000486B" w:rsidRDefault="0000486B">
      <w:r>
        <w:continuationSeparator/>
      </w:r>
    </w:p>
  </w:footnote>
  <w:footnote w:id="1">
    <w:p w:rsidR="00353053" w:rsidRDefault="0035305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353053" w:rsidRDefault="0035305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353053" w:rsidRDefault="0035305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353053" w:rsidRDefault="0035305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995" w:type="dxa"/>
      <w:tblInd w:w="2835" w:type="dxa"/>
      <w:tblLayout w:type="fixed"/>
      <w:tblLook w:val="0400" w:firstRow="0" w:lastRow="0" w:firstColumn="0" w:lastColumn="0" w:noHBand="0" w:noVBand="1"/>
    </w:tblPr>
    <w:tblGrid>
      <w:gridCol w:w="3219"/>
      <w:gridCol w:w="4776"/>
    </w:tblGrid>
    <w:tr w:rsidR="00353053" w:rsidTr="002B3E9A">
      <w:tc>
        <w:tcPr>
          <w:tcW w:w="3219" w:type="dxa"/>
          <w:vAlign w:val="center"/>
        </w:tcPr>
        <w:p w:rsidR="00353053" w:rsidRDefault="00353053">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776" w:type="dxa"/>
          <w:vAlign w:val="center"/>
        </w:tcPr>
        <w:p w:rsidR="00353053" w:rsidRDefault="00353053">
          <w:pPr>
            <w:ind w:right="-1093"/>
            <w:jc w:val="both"/>
            <w:rPr>
              <w:rFonts w:ascii="Palatino Linotype" w:eastAsia="Palatino Linotype" w:hAnsi="Palatino Linotype" w:cs="Palatino Linotype"/>
            </w:rPr>
          </w:pPr>
          <w:r>
            <w:rPr>
              <w:rFonts w:ascii="Palatino Linotype" w:eastAsia="Palatino Linotype" w:hAnsi="Palatino Linotype" w:cs="Palatino Linotype"/>
            </w:rPr>
            <w:t xml:space="preserve">14123/INFOEM/IP/RR/2025 </w:t>
          </w:r>
        </w:p>
      </w:tc>
    </w:tr>
    <w:tr w:rsidR="00353053" w:rsidTr="002B3E9A">
      <w:trPr>
        <w:trHeight w:val="228"/>
      </w:trPr>
      <w:tc>
        <w:tcPr>
          <w:tcW w:w="3219" w:type="dxa"/>
          <w:vAlign w:val="center"/>
        </w:tcPr>
        <w:p w:rsidR="00353053" w:rsidRDefault="00353053">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776" w:type="dxa"/>
          <w:shd w:val="clear" w:color="auto" w:fill="auto"/>
          <w:vAlign w:val="center"/>
        </w:tcPr>
        <w:p w:rsidR="00353053" w:rsidRDefault="00353053">
          <w:pPr>
            <w:ind w:right="-108"/>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Nezahualcóyotl</w:t>
          </w:r>
        </w:p>
      </w:tc>
    </w:tr>
    <w:tr w:rsidR="00353053" w:rsidTr="002B3E9A">
      <w:tc>
        <w:tcPr>
          <w:tcW w:w="3219" w:type="dxa"/>
          <w:vAlign w:val="center"/>
        </w:tcPr>
        <w:p w:rsidR="00353053" w:rsidRDefault="00353053">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776" w:type="dxa"/>
          <w:vAlign w:val="center"/>
        </w:tcPr>
        <w:p w:rsidR="00353053" w:rsidRDefault="00353053">
          <w:pPr>
            <w:ind w:right="-1093"/>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353053" w:rsidRDefault="002B3E9A">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noProof/>
      </w:rPr>
      <w:drawing>
        <wp:anchor distT="0" distB="0" distL="0" distR="0" simplePos="0" relativeHeight="251658240" behindDoc="1" locked="0" layoutInCell="1" hidden="0" allowOverlap="1">
          <wp:simplePos x="0" y="0"/>
          <wp:positionH relativeFrom="column">
            <wp:posOffset>-988216</wp:posOffset>
          </wp:positionH>
          <wp:positionV relativeFrom="paragraph">
            <wp:posOffset>-1210909</wp:posOffset>
          </wp:positionV>
          <wp:extent cx="7813085" cy="10170000"/>
          <wp:effectExtent l="0" t="0" r="0" b="0"/>
          <wp:wrapNone/>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sidR="00353053">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230" w:type="dxa"/>
      <w:tblInd w:w="2835" w:type="dxa"/>
      <w:tblLayout w:type="fixed"/>
      <w:tblLook w:val="0400" w:firstRow="0" w:lastRow="0" w:firstColumn="0" w:lastColumn="0" w:noHBand="0" w:noVBand="1"/>
    </w:tblPr>
    <w:tblGrid>
      <w:gridCol w:w="2977"/>
      <w:gridCol w:w="4253"/>
    </w:tblGrid>
    <w:tr w:rsidR="00353053" w:rsidTr="002B3E9A">
      <w:trPr>
        <w:trHeight w:val="227"/>
      </w:trPr>
      <w:tc>
        <w:tcPr>
          <w:tcW w:w="2977" w:type="dxa"/>
          <w:vAlign w:val="center"/>
        </w:tcPr>
        <w:p w:rsidR="00353053" w:rsidRDefault="002B3E9A">
          <w:pPr>
            <w:jc w:val="right"/>
            <w:rPr>
              <w:rFonts w:ascii="Palatino Linotype" w:eastAsia="Palatino Linotype" w:hAnsi="Palatino Linotype" w:cs="Palatino Linotype"/>
              <w:b/>
              <w:bCs/>
            </w:rPr>
          </w:pPr>
          <w:r>
            <w:rPr>
              <w:rFonts w:ascii="Calibri" w:eastAsia="Calibri" w:hAnsi="Calibri" w:cs="Calibri"/>
              <w:color w:val="000000"/>
            </w:rPr>
            <w:t xml:space="preserve">       </w:t>
          </w:r>
          <w:r w:rsidR="00353053">
            <w:rPr>
              <w:rFonts w:ascii="Palatino Linotype" w:eastAsia="Palatino Linotype" w:hAnsi="Palatino Linotype" w:cs="Palatino Linotype"/>
              <w:b/>
              <w:bCs/>
            </w:rPr>
            <w:t>Recurso de Revisión:</w:t>
          </w:r>
        </w:p>
      </w:tc>
      <w:tc>
        <w:tcPr>
          <w:tcW w:w="4253" w:type="dxa"/>
          <w:vAlign w:val="center"/>
        </w:tcPr>
        <w:p w:rsidR="00353053" w:rsidRDefault="00353053">
          <w:pPr>
            <w:pBdr>
              <w:top w:val="nil"/>
              <w:left w:val="nil"/>
              <w:bottom w:val="nil"/>
              <w:right w:val="nil"/>
              <w:between w:val="nil"/>
            </w:pBdr>
            <w:tabs>
              <w:tab w:val="center" w:pos="4419"/>
              <w:tab w:val="right" w:pos="8838"/>
            </w:tabs>
            <w:ind w:right="-51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14123/INFOEM/IP/RR/2025</w:t>
          </w:r>
        </w:p>
      </w:tc>
    </w:tr>
    <w:tr w:rsidR="00353053" w:rsidTr="002B3E9A">
      <w:trPr>
        <w:trHeight w:val="242"/>
      </w:trPr>
      <w:tc>
        <w:tcPr>
          <w:tcW w:w="2977" w:type="dxa"/>
          <w:vAlign w:val="center"/>
        </w:tcPr>
        <w:p w:rsidR="00353053" w:rsidRDefault="00353053">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253" w:type="dxa"/>
        </w:tcPr>
        <w:p w:rsidR="00353053" w:rsidRDefault="00B454C8">
          <w:pPr>
            <w:pBdr>
              <w:top w:val="nil"/>
              <w:left w:val="nil"/>
              <w:bottom w:val="nil"/>
              <w:right w:val="nil"/>
              <w:between w:val="nil"/>
            </w:pBdr>
            <w:tabs>
              <w:tab w:val="center" w:pos="4419"/>
              <w:tab w:val="right" w:pos="8838"/>
              <w:tab w:val="left" w:pos="521"/>
            </w:tabs>
            <w:ind w:right="-510"/>
            <w:rPr>
              <w:rFonts w:ascii="Palatino Linotype" w:eastAsia="Palatino Linotype" w:hAnsi="Palatino Linotype" w:cs="Palatino Linotype"/>
              <w:highlight w:val="green"/>
            </w:rPr>
          </w:pPr>
          <w:r>
            <w:rPr>
              <w:rFonts w:ascii="Palatino Linotype" w:eastAsia="Palatino Linotype" w:hAnsi="Palatino Linotype" w:cs="Palatino Linotype"/>
            </w:rPr>
            <w:t>XXXX</w:t>
          </w:r>
        </w:p>
      </w:tc>
    </w:tr>
    <w:tr w:rsidR="00353053" w:rsidTr="002B3E9A">
      <w:trPr>
        <w:trHeight w:val="342"/>
      </w:trPr>
      <w:tc>
        <w:tcPr>
          <w:tcW w:w="2977" w:type="dxa"/>
          <w:vAlign w:val="center"/>
        </w:tcPr>
        <w:p w:rsidR="00353053" w:rsidRDefault="00353053">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53" w:type="dxa"/>
          <w:vAlign w:val="center"/>
        </w:tcPr>
        <w:p w:rsidR="00353053" w:rsidRDefault="00353053">
          <w:pPr>
            <w:pBdr>
              <w:top w:val="nil"/>
              <w:left w:val="nil"/>
              <w:bottom w:val="nil"/>
              <w:right w:val="nil"/>
              <w:between w:val="nil"/>
            </w:pBdr>
            <w:tabs>
              <w:tab w:val="center" w:pos="4419"/>
              <w:tab w:val="right" w:pos="8838"/>
            </w:tabs>
            <w:ind w:right="-51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Nezahualcóyotl</w:t>
          </w:r>
        </w:p>
      </w:tc>
    </w:tr>
    <w:tr w:rsidR="00353053" w:rsidTr="002B3E9A">
      <w:trPr>
        <w:trHeight w:val="342"/>
      </w:trPr>
      <w:tc>
        <w:tcPr>
          <w:tcW w:w="2977" w:type="dxa"/>
          <w:vAlign w:val="center"/>
        </w:tcPr>
        <w:p w:rsidR="00353053" w:rsidRDefault="00353053">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253" w:type="dxa"/>
          <w:vAlign w:val="center"/>
        </w:tcPr>
        <w:p w:rsidR="00353053" w:rsidRDefault="00353053">
          <w:pPr>
            <w:pBdr>
              <w:top w:val="nil"/>
              <w:left w:val="nil"/>
              <w:bottom w:val="nil"/>
              <w:right w:val="nil"/>
              <w:between w:val="nil"/>
            </w:pBdr>
            <w:tabs>
              <w:tab w:val="center" w:pos="4419"/>
              <w:tab w:val="right" w:pos="8838"/>
            </w:tabs>
            <w:ind w:right="-510"/>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353053" w:rsidRDefault="002B3E9A">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simplePos x="0" y="0"/>
          <wp:positionH relativeFrom="page">
            <wp:align>left</wp:align>
          </wp:positionH>
          <wp:positionV relativeFrom="paragraph">
            <wp:posOffset>-1299797</wp:posOffset>
          </wp:positionV>
          <wp:extent cx="7813085" cy="10170000"/>
          <wp:effectExtent l="0" t="0" r="0" b="3175"/>
          <wp:wrapNone/>
          <wp:docPr id="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349E1"/>
    <w:multiLevelType w:val="multilevel"/>
    <w:tmpl w:val="E6CCB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6A7DF9"/>
    <w:multiLevelType w:val="multilevel"/>
    <w:tmpl w:val="233E4DB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 w15:restartNumberingAfterBreak="0">
    <w:nsid w:val="1F8A3050"/>
    <w:multiLevelType w:val="multilevel"/>
    <w:tmpl w:val="70E0C0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0F7ABF"/>
    <w:multiLevelType w:val="multilevel"/>
    <w:tmpl w:val="85E897D8"/>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7462E8C"/>
    <w:multiLevelType w:val="multilevel"/>
    <w:tmpl w:val="E110B2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4C993E79"/>
    <w:multiLevelType w:val="multilevel"/>
    <w:tmpl w:val="E7309C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5EF4BD5"/>
    <w:multiLevelType w:val="multilevel"/>
    <w:tmpl w:val="E792725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C525B6"/>
    <w:multiLevelType w:val="multilevel"/>
    <w:tmpl w:val="F1A61AD8"/>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1"/>
  </w:num>
  <w:num w:numId="2">
    <w:abstractNumId w:val="2"/>
  </w:num>
  <w:num w:numId="3">
    <w:abstractNumId w:val="3"/>
  </w:num>
  <w:num w:numId="4">
    <w:abstractNumId w:val="7"/>
  </w:num>
  <w:num w:numId="5">
    <w:abstractNumId w:val="0"/>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9F6"/>
    <w:rsid w:val="0000486B"/>
    <w:rsid w:val="000541F7"/>
    <w:rsid w:val="00144D16"/>
    <w:rsid w:val="00182C41"/>
    <w:rsid w:val="002B3E9A"/>
    <w:rsid w:val="00353053"/>
    <w:rsid w:val="003539F6"/>
    <w:rsid w:val="003B4B02"/>
    <w:rsid w:val="00445A01"/>
    <w:rsid w:val="004B34A2"/>
    <w:rsid w:val="004C0AE6"/>
    <w:rsid w:val="005619A6"/>
    <w:rsid w:val="006D136C"/>
    <w:rsid w:val="00785E7E"/>
    <w:rsid w:val="0082544B"/>
    <w:rsid w:val="008E40CF"/>
    <w:rsid w:val="00950A53"/>
    <w:rsid w:val="00984184"/>
    <w:rsid w:val="00AB1B15"/>
    <w:rsid w:val="00B454C8"/>
    <w:rsid w:val="00C057FE"/>
    <w:rsid w:val="00DB3700"/>
    <w:rsid w:val="00EF3523"/>
    <w:rsid w:val="00F94441"/>
    <w:rsid w:val="00FC4A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E69B35-2E91-4FD9-B60C-595F2986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AB1B15"/>
    <w:pPr>
      <w:ind w:left="720"/>
      <w:contextualSpacing/>
    </w:pPr>
  </w:style>
  <w:style w:type="paragraph" w:styleId="Encabezado">
    <w:name w:val="header"/>
    <w:basedOn w:val="Normal"/>
    <w:link w:val="EncabezadoCar"/>
    <w:uiPriority w:val="99"/>
    <w:unhideWhenUsed/>
    <w:rsid w:val="0082544B"/>
    <w:pPr>
      <w:tabs>
        <w:tab w:val="center" w:pos="4419"/>
        <w:tab w:val="right" w:pos="8838"/>
      </w:tabs>
    </w:pPr>
  </w:style>
  <w:style w:type="character" w:customStyle="1" w:styleId="EncabezadoCar">
    <w:name w:val="Encabezado Car"/>
    <w:basedOn w:val="Fuentedeprrafopredeter"/>
    <w:link w:val="Encabezado"/>
    <w:uiPriority w:val="99"/>
    <w:rsid w:val="0082544B"/>
  </w:style>
  <w:style w:type="paragraph" w:styleId="Piedepgina">
    <w:name w:val="footer"/>
    <w:basedOn w:val="Normal"/>
    <w:link w:val="PiedepginaCar"/>
    <w:uiPriority w:val="99"/>
    <w:unhideWhenUsed/>
    <w:rsid w:val="0082544B"/>
    <w:pPr>
      <w:tabs>
        <w:tab w:val="center" w:pos="4419"/>
        <w:tab w:val="right" w:pos="8838"/>
      </w:tabs>
    </w:pPr>
  </w:style>
  <w:style w:type="character" w:customStyle="1" w:styleId="PiedepginaCar">
    <w:name w:val="Pie de página Car"/>
    <w:basedOn w:val="Fuentedeprrafopredeter"/>
    <w:link w:val="Piedepgina"/>
    <w:uiPriority w:val="99"/>
    <w:rsid w:val="00825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omawww.sat.gob.mx/factura/Paginas/solicita_requisitos.ht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83Vgwb4+pRUc5vu3uk74Jj104w==">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42</Pages>
  <Words>8627</Words>
  <Characters>47454</Characters>
  <Application>Microsoft Office Word</Application>
  <DocSecurity>0</DocSecurity>
  <Lines>395</Lines>
  <Paragraphs>111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55970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10</cp:revision>
  <cp:lastPrinted>2026-05-21T23:25:00Z</cp:lastPrinted>
  <dcterms:created xsi:type="dcterms:W3CDTF">2026-05-18T19:09:00Z</dcterms:created>
  <dcterms:modified xsi:type="dcterms:W3CDTF">2026-05-29T00:18:00Z</dcterms:modified>
</cp:coreProperties>
</file>