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507" w:rsidRPr="00F87712" w:rsidRDefault="001C4B97">
      <w:pPr>
        <w:tabs>
          <w:tab w:val="left" w:pos="3465"/>
        </w:tabs>
        <w:spacing w:line="360" w:lineRule="auto"/>
        <w:jc w:val="both"/>
        <w:rPr>
          <w:rFonts w:ascii="Palatino Linotype" w:eastAsia="Palatino Linotype" w:hAnsi="Palatino Linotype" w:cs="Palatino Linotype"/>
          <w:b/>
        </w:rPr>
      </w:pPr>
      <w:bookmarkStart w:id="0" w:name="_GoBack"/>
      <w:bookmarkEnd w:id="0"/>
      <w:r w:rsidRPr="002D60E6">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F87712">
        <w:rPr>
          <w:rFonts w:ascii="Palatino Linotype" w:eastAsia="Palatino Linotype" w:hAnsi="Palatino Linotype" w:cs="Palatino Linotype"/>
          <w:b/>
        </w:rPr>
        <w:t xml:space="preserve">de fecha </w:t>
      </w:r>
      <w:r w:rsidR="00A92E55" w:rsidRPr="00F87712">
        <w:rPr>
          <w:rFonts w:ascii="Palatino Linotype" w:eastAsia="Palatino Linotype" w:hAnsi="Palatino Linotype" w:cs="Palatino Linotype"/>
          <w:b/>
        </w:rPr>
        <w:t>once</w:t>
      </w:r>
      <w:r w:rsidR="00F87712" w:rsidRPr="00F87712">
        <w:rPr>
          <w:rFonts w:ascii="Palatino Linotype" w:eastAsia="Palatino Linotype" w:hAnsi="Palatino Linotype" w:cs="Palatino Linotype"/>
          <w:b/>
        </w:rPr>
        <w:t xml:space="preserve"> (11)</w:t>
      </w:r>
      <w:r w:rsidRPr="00F87712">
        <w:rPr>
          <w:rFonts w:ascii="Palatino Linotype" w:eastAsia="Palatino Linotype" w:hAnsi="Palatino Linotype" w:cs="Palatino Linotype"/>
          <w:b/>
        </w:rPr>
        <w:t xml:space="preserve"> de febrero de dos mil veintiséis.</w:t>
      </w:r>
    </w:p>
    <w:p w:rsidR="00F72507" w:rsidRPr="002D60E6" w:rsidRDefault="00F72507">
      <w:pPr>
        <w:tabs>
          <w:tab w:val="left" w:pos="3465"/>
        </w:tabs>
        <w:spacing w:line="360" w:lineRule="auto"/>
        <w:jc w:val="both"/>
        <w:rPr>
          <w:rFonts w:ascii="Palatino Linotype" w:eastAsia="Palatino Linotype" w:hAnsi="Palatino Linotype" w:cs="Palatino Linotype"/>
        </w:rPr>
      </w:pPr>
    </w:p>
    <w:p w:rsidR="00F72507" w:rsidRPr="002D60E6" w:rsidRDefault="001C4B97">
      <w:pPr>
        <w:spacing w:line="360" w:lineRule="auto"/>
        <w:jc w:val="both"/>
        <w:rPr>
          <w:rFonts w:ascii="Palatino Linotype" w:eastAsia="Palatino Linotype" w:hAnsi="Palatino Linotype" w:cs="Palatino Linotype"/>
        </w:rPr>
      </w:pPr>
      <w:bookmarkStart w:id="1" w:name="_heading=h.pt213et07wlf" w:colFirst="0" w:colLast="0"/>
      <w:bookmarkEnd w:id="1"/>
      <w:r w:rsidRPr="002D60E6">
        <w:rPr>
          <w:rFonts w:ascii="Palatino Linotype" w:eastAsia="Palatino Linotype" w:hAnsi="Palatino Linotype" w:cs="Palatino Linotype"/>
          <w:b/>
          <w:bCs/>
        </w:rPr>
        <w:t>VISTO</w:t>
      </w:r>
      <w:r w:rsidRPr="002D60E6">
        <w:rPr>
          <w:rFonts w:ascii="Palatino Linotype" w:eastAsia="Palatino Linotype" w:hAnsi="Palatino Linotype" w:cs="Palatino Linotype"/>
        </w:rPr>
        <w:t xml:space="preserve"> el expediente electrónico formado con motivo del Recurso de Revisión </w:t>
      </w:r>
      <w:r w:rsidR="004A4D37" w:rsidRPr="002D60E6">
        <w:rPr>
          <w:rFonts w:ascii="Palatino Linotype" w:eastAsia="Palatino Linotype" w:hAnsi="Palatino Linotype" w:cs="Palatino Linotype"/>
          <w:b/>
          <w:bCs/>
        </w:rPr>
        <w:t>13898/INFOEM/IP/RR/2025</w:t>
      </w:r>
      <w:r w:rsidRPr="002D60E6">
        <w:rPr>
          <w:rFonts w:ascii="Palatino Linotype" w:eastAsia="Palatino Linotype" w:hAnsi="Palatino Linotype" w:cs="Palatino Linotype"/>
          <w:b/>
          <w:bCs/>
        </w:rPr>
        <w:t xml:space="preserve">, </w:t>
      </w:r>
      <w:r w:rsidRPr="002D60E6">
        <w:rPr>
          <w:rFonts w:ascii="Palatino Linotype" w:eastAsia="Palatino Linotype" w:hAnsi="Palatino Linotype" w:cs="Palatino Linotype"/>
        </w:rPr>
        <w:t>promovido por</w:t>
      </w:r>
      <w:r w:rsidRPr="002D60E6">
        <w:rPr>
          <w:rFonts w:ascii="Palatino Linotype" w:eastAsia="Palatino Linotype" w:hAnsi="Palatino Linotype" w:cs="Palatino Linotype"/>
          <w:b/>
          <w:bCs/>
        </w:rPr>
        <w:t xml:space="preserve"> </w:t>
      </w:r>
      <w:r w:rsidR="00043DFF">
        <w:rPr>
          <w:rFonts w:ascii="Palatino Linotype" w:eastAsia="Palatino Linotype" w:hAnsi="Palatino Linotype" w:cs="Palatino Linotype"/>
          <w:b/>
          <w:bCs/>
          <w:iCs/>
        </w:rPr>
        <w:t>XXXX</w:t>
      </w:r>
      <w:r w:rsidRPr="002D60E6">
        <w:rPr>
          <w:rFonts w:ascii="Palatino Linotype" w:eastAsia="Palatino Linotype" w:hAnsi="Palatino Linotype" w:cs="Palatino Linotype"/>
        </w:rPr>
        <w:t xml:space="preserve">, a quien en lo sucesivo se le identificará como </w:t>
      </w:r>
      <w:r w:rsidRPr="002D60E6">
        <w:rPr>
          <w:rFonts w:ascii="Palatino Linotype" w:eastAsia="Palatino Linotype" w:hAnsi="Palatino Linotype" w:cs="Palatino Linotype"/>
          <w:b/>
          <w:bCs/>
        </w:rPr>
        <w:t>EL RECURRENTE</w:t>
      </w:r>
      <w:r w:rsidRPr="002D60E6">
        <w:rPr>
          <w:rFonts w:ascii="Palatino Linotype" w:eastAsia="Palatino Linotype" w:hAnsi="Palatino Linotype" w:cs="Palatino Linotype"/>
        </w:rPr>
        <w:t xml:space="preserve">, en contra de la respuesta del </w:t>
      </w:r>
      <w:r w:rsidR="00470A9E" w:rsidRPr="002D60E6">
        <w:rPr>
          <w:rFonts w:ascii="Palatino Linotype" w:eastAsia="Palatino Linotype" w:hAnsi="Palatino Linotype" w:cs="Palatino Linotype"/>
          <w:b/>
          <w:bCs/>
        </w:rPr>
        <w:t>Sistema Municipal para el Desarrollo Integral de la Familia de Juchitepec</w:t>
      </w:r>
      <w:r w:rsidRPr="002D60E6">
        <w:rPr>
          <w:rFonts w:ascii="Palatino Linotype" w:eastAsia="Palatino Linotype" w:hAnsi="Palatino Linotype" w:cs="Palatino Linotype"/>
          <w:b/>
          <w:bCs/>
        </w:rPr>
        <w:t xml:space="preserve">, </w:t>
      </w:r>
      <w:r w:rsidRPr="002D60E6">
        <w:rPr>
          <w:rFonts w:ascii="Palatino Linotype" w:eastAsia="Palatino Linotype" w:hAnsi="Palatino Linotype" w:cs="Palatino Linotype"/>
        </w:rPr>
        <w:t>en adelante el</w:t>
      </w:r>
      <w:r w:rsidRPr="002D60E6">
        <w:rPr>
          <w:rFonts w:ascii="Palatino Linotype" w:eastAsia="Palatino Linotype" w:hAnsi="Palatino Linotype" w:cs="Palatino Linotype"/>
          <w:b/>
          <w:bCs/>
        </w:rPr>
        <w:t xml:space="preserve"> SUJETO OBLIGADO</w:t>
      </w:r>
      <w:r w:rsidRPr="002D60E6">
        <w:rPr>
          <w:rFonts w:ascii="Palatino Linotype" w:eastAsia="Palatino Linotype" w:hAnsi="Palatino Linotype" w:cs="Palatino Linotype"/>
        </w:rPr>
        <w:t>, se procede a dictar la presente Resolución, con base en los siguientes:</w:t>
      </w:r>
    </w:p>
    <w:p w:rsidR="00F72507" w:rsidRPr="002D60E6" w:rsidRDefault="00F72507">
      <w:pPr>
        <w:spacing w:line="360" w:lineRule="auto"/>
        <w:jc w:val="both"/>
        <w:rPr>
          <w:rFonts w:ascii="Palatino Linotype" w:eastAsia="Palatino Linotype" w:hAnsi="Palatino Linotype" w:cs="Palatino Linotype"/>
          <w:b/>
          <w:bCs/>
        </w:rPr>
      </w:pPr>
    </w:p>
    <w:p w:rsidR="00F72507" w:rsidRPr="002D60E6" w:rsidRDefault="001C4B97">
      <w:pPr>
        <w:pStyle w:val="Ttulo1"/>
        <w:spacing w:before="0" w:line="360" w:lineRule="auto"/>
        <w:jc w:val="center"/>
        <w:rPr>
          <w:rFonts w:ascii="Palatino Linotype" w:eastAsia="Palatino Linotype" w:hAnsi="Palatino Linotype" w:cs="Palatino Linotype"/>
          <w:b/>
          <w:bCs/>
          <w:color w:val="000000"/>
          <w:sz w:val="24"/>
          <w:szCs w:val="24"/>
        </w:rPr>
      </w:pPr>
      <w:bookmarkStart w:id="2" w:name="_heading=h.gjdgxs" w:colFirst="0" w:colLast="0"/>
      <w:bookmarkEnd w:id="2"/>
      <w:r w:rsidRPr="002D60E6">
        <w:rPr>
          <w:rFonts w:ascii="Palatino Linotype" w:eastAsia="Palatino Linotype" w:hAnsi="Palatino Linotype" w:cs="Palatino Linotype"/>
          <w:b/>
          <w:bCs/>
          <w:color w:val="000000"/>
          <w:sz w:val="24"/>
          <w:szCs w:val="24"/>
        </w:rPr>
        <w:t>A N T E C E D E N T E S</w:t>
      </w:r>
    </w:p>
    <w:p w:rsidR="00F72507" w:rsidRPr="002D60E6" w:rsidRDefault="00F72507">
      <w:pPr>
        <w:spacing w:line="360" w:lineRule="auto"/>
        <w:rPr>
          <w:rFonts w:ascii="Palatino Linotype" w:eastAsia="Palatino Linotype" w:hAnsi="Palatino Linotype" w:cs="Palatino Linotype"/>
        </w:rPr>
      </w:pPr>
    </w:p>
    <w:p w:rsidR="00F72507" w:rsidRPr="002D60E6" w:rsidRDefault="001C4B9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El día</w:t>
      </w:r>
      <w:r w:rsidRPr="002D60E6">
        <w:rPr>
          <w:rFonts w:ascii="Palatino Linotype" w:eastAsia="Palatino Linotype" w:hAnsi="Palatino Linotype" w:cs="Palatino Linotype"/>
          <w:b/>
          <w:bCs/>
          <w:color w:val="000000"/>
        </w:rPr>
        <w:t xml:space="preserve"> </w:t>
      </w:r>
      <w:r w:rsidR="00470A9E" w:rsidRPr="002D60E6">
        <w:rPr>
          <w:rFonts w:ascii="Palatino Linotype" w:eastAsia="Palatino Linotype" w:hAnsi="Palatino Linotype" w:cs="Palatino Linotype"/>
          <w:b/>
          <w:bCs/>
          <w:color w:val="000000"/>
        </w:rPr>
        <w:t>treinta y uno de octubre</w:t>
      </w:r>
      <w:r w:rsidRPr="002D60E6">
        <w:rPr>
          <w:rFonts w:ascii="Palatino Linotype" w:eastAsia="Palatino Linotype" w:hAnsi="Palatino Linotype" w:cs="Palatino Linotype"/>
          <w:b/>
          <w:bCs/>
          <w:color w:val="000000"/>
        </w:rPr>
        <w:t xml:space="preserve"> dos mil veinticinco, </w:t>
      </w:r>
      <w:r w:rsidRPr="002D60E6">
        <w:rPr>
          <w:rFonts w:ascii="Palatino Linotype" w:eastAsia="Palatino Linotype" w:hAnsi="Palatino Linotype" w:cs="Palatino Linotype"/>
          <w:color w:val="000000"/>
        </w:rPr>
        <w:t xml:space="preserve">se presentó ante el </w:t>
      </w:r>
      <w:r w:rsidRPr="002D60E6">
        <w:rPr>
          <w:rFonts w:ascii="Palatino Linotype" w:eastAsia="Palatino Linotype" w:hAnsi="Palatino Linotype" w:cs="Palatino Linotype"/>
          <w:b/>
          <w:bCs/>
          <w:color w:val="000000"/>
        </w:rPr>
        <w:t>SUJETO OBLIGADO</w:t>
      </w:r>
      <w:r w:rsidRPr="002D60E6">
        <w:rPr>
          <w:rFonts w:ascii="Palatino Linotype" w:eastAsia="Palatino Linotype" w:hAnsi="Palatino Linotype" w:cs="Palatino Linotype"/>
          <w:color w:val="000000"/>
        </w:rPr>
        <w:t xml:space="preserve"> vía Sistema de Acceso a la Información Mexiquense (SAIMEX), la Solicitud de Información Pública registrada con el número</w:t>
      </w:r>
      <w:r w:rsidRPr="002D60E6">
        <w:rPr>
          <w:rFonts w:ascii="Palatino Linotype" w:eastAsia="Palatino Linotype" w:hAnsi="Palatino Linotype" w:cs="Palatino Linotype"/>
          <w:b/>
          <w:bCs/>
          <w:color w:val="000000"/>
        </w:rPr>
        <w:t xml:space="preserve">  </w:t>
      </w:r>
      <w:r w:rsidR="00470A9E" w:rsidRPr="002D60E6">
        <w:rPr>
          <w:rFonts w:ascii="Palatino Linotype" w:eastAsia="Palatino Linotype" w:hAnsi="Palatino Linotype" w:cs="Palatino Linotype"/>
          <w:b/>
          <w:bCs/>
          <w:color w:val="000000"/>
        </w:rPr>
        <w:t>00037/DIFJUCHITEPEC/IP/2025</w:t>
      </w:r>
      <w:r w:rsidRPr="002D60E6">
        <w:rPr>
          <w:rFonts w:ascii="Palatino Linotype" w:eastAsia="Palatino Linotype" w:hAnsi="Palatino Linotype" w:cs="Palatino Linotype"/>
          <w:b/>
          <w:bCs/>
          <w:color w:val="000000"/>
        </w:rPr>
        <w:t xml:space="preserve">; </w:t>
      </w:r>
      <w:r w:rsidRPr="002D60E6">
        <w:rPr>
          <w:rFonts w:ascii="Palatino Linotype" w:eastAsia="Palatino Linotype" w:hAnsi="Palatino Linotype" w:cs="Palatino Linotype"/>
        </w:rPr>
        <w:t xml:space="preserve">en la que </w:t>
      </w:r>
      <w:r w:rsidRPr="002D60E6">
        <w:rPr>
          <w:rFonts w:ascii="Palatino Linotype" w:eastAsia="Palatino Linotype" w:hAnsi="Palatino Linotype" w:cs="Palatino Linotype"/>
          <w:color w:val="000000"/>
        </w:rPr>
        <w:t>se solicitó la siguiente información:</w:t>
      </w:r>
    </w:p>
    <w:p w:rsidR="00F72507" w:rsidRPr="002D60E6" w:rsidRDefault="00F72507">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rsidR="00F72507" w:rsidRPr="002D60E6" w:rsidRDefault="001C4B97">
      <w:pPr>
        <w:pBdr>
          <w:top w:val="nil"/>
          <w:left w:val="nil"/>
          <w:bottom w:val="nil"/>
          <w:right w:val="nil"/>
          <w:between w:val="nil"/>
        </w:pBdr>
        <w:spacing w:line="360" w:lineRule="auto"/>
        <w:ind w:left="426" w:right="476"/>
        <w:jc w:val="both"/>
        <w:rPr>
          <w:rFonts w:ascii="Palatino Linotype" w:eastAsia="Palatino Linotype" w:hAnsi="Palatino Linotype" w:cs="Palatino Linotype"/>
          <w:i/>
          <w:iCs/>
          <w:color w:val="000000"/>
        </w:rPr>
      </w:pPr>
      <w:r w:rsidRPr="002D60E6">
        <w:rPr>
          <w:rFonts w:ascii="Palatino Linotype" w:eastAsia="Palatino Linotype" w:hAnsi="Palatino Linotype" w:cs="Palatino Linotype"/>
          <w:i/>
          <w:iCs/>
          <w:color w:val="000000"/>
        </w:rPr>
        <w:t>“</w:t>
      </w:r>
      <w:r w:rsidR="008B2A6C" w:rsidRPr="002D60E6">
        <w:rPr>
          <w:rFonts w:ascii="Palatino Linotype" w:eastAsia="Palatino Linotype" w:hAnsi="Palatino Linotype" w:cs="Palatino Linotype"/>
          <w:i/>
          <w:iCs/>
          <w:color w:val="000000"/>
        </w:rPr>
        <w:t>Buenas tardes por este medio se solicita las facturas de los gastos del día del adulto mayor así como sus contratos</w:t>
      </w:r>
      <w:r w:rsidRPr="002D60E6">
        <w:rPr>
          <w:rFonts w:ascii="Palatino Linotype" w:eastAsia="Palatino Linotype" w:hAnsi="Palatino Linotype" w:cs="Palatino Linotype"/>
          <w:i/>
          <w:iCs/>
          <w:color w:val="000000"/>
        </w:rPr>
        <w:t>”</w:t>
      </w:r>
    </w:p>
    <w:p w:rsidR="00F72507" w:rsidRPr="002D60E6" w:rsidRDefault="00F72507">
      <w:pPr>
        <w:pBdr>
          <w:top w:val="nil"/>
          <w:left w:val="nil"/>
          <w:bottom w:val="nil"/>
          <w:right w:val="nil"/>
          <w:between w:val="nil"/>
        </w:pBdr>
        <w:spacing w:line="360" w:lineRule="auto"/>
        <w:ind w:left="426" w:right="476"/>
        <w:jc w:val="both"/>
        <w:rPr>
          <w:rFonts w:ascii="Palatino Linotype" w:eastAsia="Palatino Linotype" w:hAnsi="Palatino Linotype" w:cs="Palatino Linotype"/>
          <w:i/>
          <w:iCs/>
          <w:color w:val="000000"/>
        </w:rPr>
      </w:pPr>
    </w:p>
    <w:p w:rsidR="00F72507" w:rsidRDefault="001C4B97" w:rsidP="00F87712">
      <w:pPr>
        <w:numPr>
          <w:ilvl w:val="0"/>
          <w:numId w:val="6"/>
        </w:numPr>
        <w:pBdr>
          <w:top w:val="nil"/>
          <w:left w:val="nil"/>
          <w:bottom w:val="nil"/>
          <w:right w:val="nil"/>
          <w:between w:val="nil"/>
        </w:pBdr>
        <w:spacing w:line="360" w:lineRule="auto"/>
        <w:ind w:left="0" w:right="34" w:firstLine="0"/>
        <w:jc w:val="both"/>
        <w:rPr>
          <w:rFonts w:ascii="Palatino Linotype" w:eastAsia="Palatino Linotype" w:hAnsi="Palatino Linotype" w:cs="Palatino Linotype"/>
          <w:b/>
          <w:bCs/>
          <w:color w:val="000000"/>
        </w:rPr>
      </w:pPr>
      <w:r w:rsidRPr="002D60E6">
        <w:rPr>
          <w:rFonts w:ascii="Palatino Linotype" w:eastAsia="Palatino Linotype" w:hAnsi="Palatino Linotype" w:cs="Palatino Linotype"/>
          <w:color w:val="000000"/>
        </w:rPr>
        <w:t xml:space="preserve">Se eligió como modalidad de entrega: </w:t>
      </w:r>
      <w:r w:rsidRPr="002D60E6">
        <w:rPr>
          <w:rFonts w:ascii="Palatino Linotype" w:eastAsia="Palatino Linotype" w:hAnsi="Palatino Linotype" w:cs="Palatino Linotype"/>
          <w:b/>
          <w:bCs/>
          <w:color w:val="000000"/>
        </w:rPr>
        <w:t>SAIMEX</w:t>
      </w:r>
    </w:p>
    <w:p w:rsidR="00F87712" w:rsidRPr="002D60E6" w:rsidRDefault="00F87712" w:rsidP="00F87712">
      <w:pPr>
        <w:pBdr>
          <w:top w:val="nil"/>
          <w:left w:val="nil"/>
          <w:bottom w:val="nil"/>
          <w:right w:val="nil"/>
          <w:between w:val="nil"/>
        </w:pBdr>
        <w:spacing w:line="360" w:lineRule="auto"/>
        <w:ind w:right="34"/>
        <w:jc w:val="both"/>
        <w:rPr>
          <w:rFonts w:ascii="Palatino Linotype" w:eastAsia="Palatino Linotype" w:hAnsi="Palatino Linotype" w:cs="Palatino Linotype"/>
          <w:b/>
          <w:bCs/>
          <w:color w:val="000000"/>
        </w:rPr>
      </w:pPr>
    </w:p>
    <w:p w:rsidR="00F72507" w:rsidRPr="002D60E6" w:rsidRDefault="001C4B97" w:rsidP="008B2A6C">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lastRenderedPageBreak/>
        <w:t xml:space="preserve">El </w:t>
      </w:r>
      <w:r w:rsidRPr="002D60E6">
        <w:rPr>
          <w:rFonts w:ascii="Palatino Linotype" w:eastAsia="Palatino Linotype" w:hAnsi="Palatino Linotype" w:cs="Palatino Linotype"/>
          <w:b/>
          <w:bCs/>
          <w:color w:val="000000"/>
        </w:rPr>
        <w:t>veinti</w:t>
      </w:r>
      <w:r w:rsidR="008B2A6C" w:rsidRPr="002D60E6">
        <w:rPr>
          <w:rFonts w:ascii="Palatino Linotype" w:eastAsia="Palatino Linotype" w:hAnsi="Palatino Linotype" w:cs="Palatino Linotype"/>
          <w:b/>
          <w:bCs/>
          <w:color w:val="000000"/>
        </w:rPr>
        <w:t>uno de noviembre</w:t>
      </w:r>
      <w:r w:rsidRPr="002D60E6">
        <w:rPr>
          <w:rFonts w:ascii="Palatino Linotype" w:eastAsia="Palatino Linotype" w:hAnsi="Palatino Linotype" w:cs="Palatino Linotype"/>
          <w:b/>
          <w:bCs/>
          <w:color w:val="000000"/>
        </w:rPr>
        <w:t xml:space="preserve"> de dos mil veinticinco</w:t>
      </w:r>
      <w:r w:rsidRPr="002D60E6">
        <w:rPr>
          <w:rFonts w:ascii="Palatino Linotype" w:eastAsia="Palatino Linotype" w:hAnsi="Palatino Linotype" w:cs="Palatino Linotype"/>
          <w:color w:val="000000"/>
        </w:rPr>
        <w:t xml:space="preserve">, el </w:t>
      </w:r>
      <w:r w:rsidRPr="002D60E6">
        <w:rPr>
          <w:rFonts w:ascii="Palatino Linotype" w:eastAsia="Palatino Linotype" w:hAnsi="Palatino Linotype" w:cs="Palatino Linotype"/>
          <w:b/>
          <w:bCs/>
          <w:color w:val="000000"/>
        </w:rPr>
        <w:t>SUJETO OBLIGADO</w:t>
      </w:r>
      <w:r w:rsidRPr="002D60E6">
        <w:rPr>
          <w:rFonts w:ascii="Palatino Linotype" w:eastAsia="Palatino Linotype" w:hAnsi="Palatino Linotype" w:cs="Palatino Linotype"/>
          <w:color w:val="000000"/>
        </w:rPr>
        <w:t xml:space="preserve"> solicitó una prórroga para dar atención a la solicitud de información, notificando para tal efecto la ampliación d</w:t>
      </w:r>
      <w:r w:rsidR="008B2A6C" w:rsidRPr="002D60E6">
        <w:rPr>
          <w:rFonts w:ascii="Palatino Linotype" w:eastAsia="Palatino Linotype" w:hAnsi="Palatino Linotype" w:cs="Palatino Linotype"/>
          <w:color w:val="000000"/>
        </w:rPr>
        <w:t>el plazo por siete días hábiles</w:t>
      </w:r>
      <w:r w:rsidRPr="002D60E6">
        <w:rPr>
          <w:rFonts w:ascii="Palatino Linotype" w:eastAsia="Palatino Linotype" w:hAnsi="Palatino Linotype" w:cs="Palatino Linotype"/>
          <w:color w:val="000000"/>
        </w:rPr>
        <w:t>.</w:t>
      </w:r>
      <w:r w:rsidR="008B2A6C" w:rsidRPr="002D60E6">
        <w:rPr>
          <w:rFonts w:ascii="Palatino Linotype" w:eastAsia="Palatino Linotype" w:hAnsi="Palatino Linotype" w:cs="Palatino Linotype"/>
          <w:color w:val="000000"/>
        </w:rPr>
        <w:t xml:space="preserve"> Posteriormente e</w:t>
      </w:r>
      <w:r w:rsidRPr="002D60E6">
        <w:rPr>
          <w:rFonts w:ascii="Palatino Linotype" w:eastAsia="Palatino Linotype" w:hAnsi="Palatino Linotype" w:cs="Palatino Linotype"/>
          <w:color w:val="000000"/>
        </w:rPr>
        <w:t xml:space="preserve">l </w:t>
      </w:r>
      <w:r w:rsidR="008B2A6C" w:rsidRPr="002D60E6">
        <w:rPr>
          <w:rFonts w:ascii="Palatino Linotype" w:eastAsia="Palatino Linotype" w:hAnsi="Palatino Linotype" w:cs="Palatino Linotype"/>
          <w:b/>
          <w:bCs/>
          <w:color w:val="000000"/>
        </w:rPr>
        <w:t>tre</w:t>
      </w:r>
      <w:r w:rsidRPr="002D60E6">
        <w:rPr>
          <w:rFonts w:ascii="Palatino Linotype" w:eastAsia="Palatino Linotype" w:hAnsi="Palatino Linotype" w:cs="Palatino Linotype"/>
          <w:b/>
          <w:bCs/>
          <w:color w:val="000000"/>
        </w:rPr>
        <w:t xml:space="preserve">s de </w:t>
      </w:r>
      <w:r w:rsidR="008B2A6C" w:rsidRPr="002D60E6">
        <w:rPr>
          <w:rFonts w:ascii="Palatino Linotype" w:eastAsia="Palatino Linotype" w:hAnsi="Palatino Linotype" w:cs="Palatino Linotype"/>
          <w:b/>
          <w:bCs/>
          <w:color w:val="000000"/>
        </w:rPr>
        <w:t>diciembre</w:t>
      </w:r>
      <w:r w:rsidRPr="002D60E6">
        <w:rPr>
          <w:rFonts w:ascii="Palatino Linotype" w:eastAsia="Palatino Linotype" w:hAnsi="Palatino Linotype" w:cs="Palatino Linotype"/>
          <w:b/>
          <w:bCs/>
          <w:color w:val="000000"/>
        </w:rPr>
        <w:t xml:space="preserve"> de </w:t>
      </w:r>
      <w:r w:rsidRPr="002D60E6">
        <w:rPr>
          <w:rFonts w:ascii="Palatino Linotype" w:eastAsia="Palatino Linotype" w:hAnsi="Palatino Linotype" w:cs="Palatino Linotype"/>
          <w:color w:val="000000"/>
        </w:rPr>
        <w:t>dos</w:t>
      </w:r>
      <w:r w:rsidRPr="002D60E6">
        <w:rPr>
          <w:rFonts w:ascii="Palatino Linotype" w:eastAsia="Palatino Linotype" w:hAnsi="Palatino Linotype" w:cs="Palatino Linotype"/>
          <w:b/>
          <w:bCs/>
          <w:color w:val="000000"/>
        </w:rPr>
        <w:t xml:space="preserve"> mil veinticinco</w:t>
      </w:r>
      <w:r w:rsidRPr="002D60E6">
        <w:rPr>
          <w:rFonts w:ascii="Palatino Linotype" w:eastAsia="Palatino Linotype" w:hAnsi="Palatino Linotype" w:cs="Palatino Linotype"/>
          <w:color w:val="000000"/>
        </w:rPr>
        <w:t xml:space="preserve">, el </w:t>
      </w:r>
      <w:r w:rsidRPr="002D60E6">
        <w:rPr>
          <w:rFonts w:ascii="Palatino Linotype" w:eastAsia="Palatino Linotype" w:hAnsi="Palatino Linotype" w:cs="Palatino Linotype"/>
          <w:b/>
          <w:bCs/>
          <w:color w:val="000000"/>
        </w:rPr>
        <w:t>SUJETO OBLIGADO</w:t>
      </w:r>
      <w:r w:rsidRPr="002D60E6">
        <w:rPr>
          <w:rFonts w:ascii="Palatino Linotype" w:eastAsia="Palatino Linotype" w:hAnsi="Palatino Linotype" w:cs="Palatino Linotype"/>
          <w:color w:val="000000"/>
        </w:rPr>
        <w:t xml:space="preserve"> dio respuesta a través de un archivo denominado cuyo contenido </w:t>
      </w:r>
      <w:r w:rsidR="008B2A6C" w:rsidRPr="002D60E6">
        <w:rPr>
          <w:rFonts w:ascii="Palatino Linotype" w:eastAsia="Palatino Linotype" w:hAnsi="Palatino Linotype" w:cs="Palatino Linotype"/>
          <w:color w:val="000000"/>
        </w:rPr>
        <w:t xml:space="preserve">corresponde al archivo denominado </w:t>
      </w:r>
      <w:r w:rsidR="008B2A6C" w:rsidRPr="002D60E6">
        <w:rPr>
          <w:rFonts w:ascii="Palatino Linotype" w:eastAsia="Palatino Linotype" w:hAnsi="Palatino Linotype" w:cs="Palatino Linotype"/>
          <w:b/>
          <w:i/>
          <w:color w:val="000000"/>
        </w:rPr>
        <w:t>FOLIO 00037 PRA.pdf</w:t>
      </w:r>
      <w:r w:rsidR="008B2A6C" w:rsidRPr="002D60E6">
        <w:rPr>
          <w:rFonts w:ascii="Palatino Linotype" w:eastAsia="Palatino Linotype" w:hAnsi="Palatino Linotype" w:cs="Palatino Linotype"/>
          <w:color w:val="000000"/>
        </w:rPr>
        <w:t>, que contiene un oficio signado por la Tesorera del Sistema Municipal para el Desarrollo Integral de la Familia de Juchitepec, a través del cual manifiesta una imposibilidad para atender la solicitud de información derivado de falta de datos adicionales, para lo cual sugiere al solicitante aportar precisar el ejercicio fiscal y en su caso el área organizadora a fin de continuar con la búsqueda de la información</w:t>
      </w:r>
      <w:r w:rsidRPr="002D60E6">
        <w:rPr>
          <w:rFonts w:ascii="Palatino Linotype" w:eastAsia="Palatino Linotype" w:hAnsi="Palatino Linotype" w:cs="Palatino Linotype"/>
          <w:color w:val="000000"/>
        </w:rPr>
        <w:t>.</w:t>
      </w:r>
    </w:p>
    <w:p w:rsidR="00F72507" w:rsidRPr="002D60E6" w:rsidRDefault="00F72507">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rsidR="00F72507" w:rsidRPr="002D60E6" w:rsidRDefault="001C4B97">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Inconforme con la respuesta el </w:t>
      </w:r>
      <w:r w:rsidR="008B2A6C" w:rsidRPr="002D60E6">
        <w:rPr>
          <w:rFonts w:ascii="Palatino Linotype" w:eastAsia="Palatino Linotype" w:hAnsi="Palatino Linotype" w:cs="Palatino Linotype"/>
          <w:b/>
          <w:bCs/>
          <w:color w:val="000000"/>
        </w:rPr>
        <w:t>seis de diciembre del año dos mil veinticinco</w:t>
      </w:r>
      <w:r w:rsidRPr="002D60E6">
        <w:rPr>
          <w:rFonts w:ascii="Palatino Linotype" w:eastAsia="Palatino Linotype" w:hAnsi="Palatino Linotype" w:cs="Palatino Linotype"/>
          <w:color w:val="000000"/>
        </w:rPr>
        <w:t>, el solicitante interpuso el recurso de revisión en contra de la respuesta, manifestando las siguientes razones o motivos de inconformidad:</w:t>
      </w:r>
    </w:p>
    <w:p w:rsidR="00F72507" w:rsidRPr="002D60E6" w:rsidRDefault="00F72507">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rsidR="00F72507" w:rsidRPr="002D60E6" w:rsidRDefault="00F87712" w:rsidP="008B2A6C">
      <w:pPr>
        <w:numPr>
          <w:ilvl w:val="0"/>
          <w:numId w:val="6"/>
        </w:numPr>
        <w:pBdr>
          <w:top w:val="nil"/>
          <w:left w:val="nil"/>
          <w:bottom w:val="nil"/>
          <w:right w:val="nil"/>
          <w:between w:val="nil"/>
        </w:pBdr>
        <w:spacing w:line="360" w:lineRule="auto"/>
        <w:ind w:left="851" w:right="426"/>
        <w:jc w:val="both"/>
        <w:rPr>
          <w:rFonts w:ascii="Palatino Linotype" w:eastAsia="Palatino Linotype" w:hAnsi="Palatino Linotype" w:cs="Palatino Linotype"/>
          <w:i/>
          <w:iCs/>
          <w:color w:val="000000"/>
        </w:rPr>
      </w:pPr>
      <w:bookmarkStart w:id="3" w:name="_heading=h.30j0zll" w:colFirst="0" w:colLast="0"/>
      <w:bookmarkEnd w:id="3"/>
      <w:r w:rsidRPr="002D60E6">
        <w:rPr>
          <w:rFonts w:ascii="Palatino Linotype" w:eastAsia="Palatino Linotype" w:hAnsi="Palatino Linotype" w:cs="Palatino Linotype"/>
          <w:b/>
          <w:bCs/>
          <w:color w:val="000000"/>
        </w:rPr>
        <w:t>ACTO IMPUGNADO</w:t>
      </w:r>
      <w:r w:rsidR="001C4B97" w:rsidRPr="002D60E6">
        <w:rPr>
          <w:rFonts w:ascii="Palatino Linotype" w:eastAsia="Palatino Linotype" w:hAnsi="Palatino Linotype" w:cs="Palatino Linotype"/>
          <w:b/>
          <w:bCs/>
          <w:color w:val="000000"/>
        </w:rPr>
        <w:t xml:space="preserve">: </w:t>
      </w:r>
      <w:r w:rsidR="001C4B97" w:rsidRPr="002D60E6">
        <w:rPr>
          <w:rFonts w:ascii="Palatino Linotype" w:eastAsia="Palatino Linotype" w:hAnsi="Palatino Linotype" w:cs="Palatino Linotype"/>
          <w:i/>
          <w:iCs/>
          <w:color w:val="000000"/>
        </w:rPr>
        <w:t>“</w:t>
      </w:r>
      <w:r w:rsidR="008B2A6C" w:rsidRPr="002D60E6">
        <w:rPr>
          <w:rFonts w:ascii="Palatino Linotype" w:eastAsia="Palatino Linotype" w:hAnsi="Palatino Linotype" w:cs="Palatino Linotype"/>
          <w:i/>
          <w:iCs/>
          <w:color w:val="000000"/>
        </w:rPr>
        <w:t>Sistema Municipal para el Desarrollo Integral de la Familia de Juchitepec</w:t>
      </w:r>
      <w:r w:rsidR="001C4B97" w:rsidRPr="002D60E6">
        <w:rPr>
          <w:rFonts w:ascii="Palatino Linotype" w:eastAsia="Palatino Linotype" w:hAnsi="Palatino Linotype" w:cs="Palatino Linotype"/>
          <w:i/>
          <w:iCs/>
          <w:color w:val="000000"/>
        </w:rPr>
        <w:t>”</w:t>
      </w:r>
    </w:p>
    <w:p w:rsidR="00F72507" w:rsidRPr="002D60E6" w:rsidRDefault="00F72507" w:rsidP="008B2A6C">
      <w:pPr>
        <w:pBdr>
          <w:top w:val="nil"/>
          <w:left w:val="nil"/>
          <w:bottom w:val="nil"/>
          <w:right w:val="nil"/>
          <w:between w:val="nil"/>
        </w:pBdr>
        <w:spacing w:line="360" w:lineRule="auto"/>
        <w:ind w:left="851" w:right="426"/>
        <w:jc w:val="both"/>
        <w:rPr>
          <w:rFonts w:ascii="Palatino Linotype" w:eastAsia="Palatino Linotype" w:hAnsi="Palatino Linotype" w:cs="Palatino Linotype"/>
          <w:i/>
          <w:iCs/>
          <w:color w:val="000000"/>
        </w:rPr>
      </w:pPr>
    </w:p>
    <w:p w:rsidR="00F72507" w:rsidRPr="002D60E6" w:rsidRDefault="00F87712" w:rsidP="008B2A6C">
      <w:pPr>
        <w:numPr>
          <w:ilvl w:val="0"/>
          <w:numId w:val="6"/>
        </w:numPr>
        <w:pBdr>
          <w:top w:val="nil"/>
          <w:left w:val="nil"/>
          <w:bottom w:val="nil"/>
          <w:right w:val="nil"/>
          <w:between w:val="nil"/>
        </w:pBdr>
        <w:spacing w:line="360" w:lineRule="auto"/>
        <w:ind w:left="851" w:right="426"/>
        <w:jc w:val="both"/>
        <w:rPr>
          <w:rFonts w:ascii="Palatino Linotype" w:eastAsia="Palatino Linotype" w:hAnsi="Palatino Linotype" w:cs="Palatino Linotype"/>
          <w:i/>
          <w:iCs/>
          <w:color w:val="000000"/>
        </w:rPr>
      </w:pPr>
      <w:r w:rsidRPr="002D60E6">
        <w:rPr>
          <w:rFonts w:ascii="Palatino Linotype" w:eastAsia="Palatino Linotype" w:hAnsi="Palatino Linotype" w:cs="Palatino Linotype"/>
          <w:b/>
          <w:bCs/>
          <w:color w:val="000000"/>
        </w:rPr>
        <w:t>RAZONES O MOTIVOS DE INCONFORMIDAD</w:t>
      </w:r>
      <w:r w:rsidR="001C4B97" w:rsidRPr="002D60E6">
        <w:rPr>
          <w:rFonts w:ascii="Palatino Linotype" w:eastAsia="Palatino Linotype" w:hAnsi="Palatino Linotype" w:cs="Palatino Linotype"/>
          <w:b/>
          <w:bCs/>
          <w:color w:val="000000"/>
        </w:rPr>
        <w:t>:</w:t>
      </w:r>
      <w:r w:rsidR="001C4B97" w:rsidRPr="002D60E6">
        <w:rPr>
          <w:rFonts w:ascii="Palatino Linotype" w:eastAsia="Palatino Linotype" w:hAnsi="Palatino Linotype" w:cs="Palatino Linotype"/>
          <w:i/>
          <w:iCs/>
          <w:color w:val="000000"/>
        </w:rPr>
        <w:t xml:space="preserve"> “</w:t>
      </w:r>
      <w:r w:rsidR="008B2A6C" w:rsidRPr="002D60E6">
        <w:rPr>
          <w:rFonts w:ascii="Palatino Linotype" w:eastAsia="Palatino Linotype" w:hAnsi="Palatino Linotype" w:cs="Palatino Linotype"/>
          <w:i/>
          <w:iCs/>
          <w:color w:val="000000"/>
        </w:rPr>
        <w:t>Buenas tardes por este medio se solicita las facturas de los gastos del día del adulto mayor así como sus contratos del año 2025 por el dif del municipio de Juchitepec ya que si se solicitara al municipio se hubiera hecho la solicitud directa la municipio</w:t>
      </w:r>
      <w:r w:rsidR="001C4B97" w:rsidRPr="002D60E6">
        <w:rPr>
          <w:rFonts w:ascii="Palatino Linotype" w:eastAsia="Palatino Linotype" w:hAnsi="Palatino Linotype" w:cs="Palatino Linotype"/>
          <w:i/>
          <w:iCs/>
          <w:color w:val="000000"/>
        </w:rPr>
        <w:t xml:space="preserve">” </w:t>
      </w:r>
    </w:p>
    <w:p w:rsidR="00F72507" w:rsidRPr="002D60E6" w:rsidRDefault="00F72507">
      <w:pPr>
        <w:pBdr>
          <w:top w:val="nil"/>
          <w:left w:val="nil"/>
          <w:bottom w:val="nil"/>
          <w:right w:val="nil"/>
          <w:between w:val="nil"/>
        </w:pBdr>
        <w:spacing w:line="360" w:lineRule="auto"/>
        <w:ind w:left="720"/>
        <w:rPr>
          <w:rFonts w:ascii="Palatino Linotype" w:eastAsia="Palatino Linotype" w:hAnsi="Palatino Linotype" w:cs="Palatino Linotype"/>
          <w:i/>
          <w:iCs/>
          <w:color w:val="000000"/>
        </w:rPr>
      </w:pPr>
    </w:p>
    <w:p w:rsidR="00F72507" w:rsidRPr="002D60E6" w:rsidRDefault="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La Comisionada p</w:t>
      </w:r>
      <w:r w:rsidR="001C4B97" w:rsidRPr="002D60E6">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 fecha </w:t>
      </w:r>
      <w:r w:rsidR="001C4B97" w:rsidRPr="002D60E6">
        <w:rPr>
          <w:rFonts w:ascii="Palatino Linotype" w:eastAsia="Palatino Linotype" w:hAnsi="Palatino Linotype" w:cs="Palatino Linotype"/>
          <w:b/>
          <w:bCs/>
          <w:color w:val="000000"/>
        </w:rPr>
        <w:t xml:space="preserve">nueve de </w:t>
      </w:r>
      <w:r w:rsidR="007E0F1F" w:rsidRPr="002D60E6">
        <w:rPr>
          <w:rFonts w:ascii="Palatino Linotype" w:eastAsia="Palatino Linotype" w:hAnsi="Palatino Linotype" w:cs="Palatino Linotype"/>
          <w:b/>
          <w:bCs/>
          <w:color w:val="000000"/>
        </w:rPr>
        <w:t>diciembre</w:t>
      </w:r>
      <w:r w:rsidR="001C4B97" w:rsidRPr="002D60E6">
        <w:rPr>
          <w:rFonts w:ascii="Palatino Linotype" w:eastAsia="Palatino Linotype" w:hAnsi="Palatino Linotype" w:cs="Palatino Linotype"/>
          <w:b/>
          <w:bCs/>
          <w:color w:val="000000"/>
        </w:rPr>
        <w:t xml:space="preserve"> de dos mil veinticinco</w:t>
      </w:r>
      <w:r w:rsidR="001C4B97" w:rsidRPr="002D60E6">
        <w:rPr>
          <w:rFonts w:ascii="Palatino Linotype" w:eastAsia="Palatino Linotype" w:hAnsi="Palatino Linotype" w:cs="Palatino Linotype"/>
          <w:color w:val="000000"/>
        </w:rPr>
        <w:t xml:space="preserve">, puso a disposición de las partes el expediente electrónico vía </w:t>
      </w:r>
      <w:r w:rsidR="001C4B97" w:rsidRPr="002D60E6">
        <w:rPr>
          <w:rFonts w:ascii="Palatino Linotype" w:eastAsia="Palatino Linotype" w:hAnsi="Palatino Linotype" w:cs="Palatino Linotype"/>
          <w:b/>
          <w:bCs/>
          <w:color w:val="000000"/>
        </w:rPr>
        <w:t xml:space="preserve">SAIMEX </w:t>
      </w:r>
      <w:r w:rsidR="001C4B97" w:rsidRPr="002D60E6">
        <w:rPr>
          <w:rFonts w:ascii="Palatino Linotype" w:eastAsia="Palatino Linotype" w:hAnsi="Palatino Linotype" w:cs="Palatino Linotype"/>
          <w:color w:val="000000"/>
        </w:rPr>
        <w:t xml:space="preserve">a efecto de que en un plazo máximo de siete días </w:t>
      </w:r>
      <w:r w:rsidR="001C4B97" w:rsidRPr="002D60E6">
        <w:rPr>
          <w:rFonts w:ascii="Palatino Linotype" w:eastAsia="Palatino Linotype" w:hAnsi="Palatino Linotype" w:cs="Palatino Linotype"/>
        </w:rPr>
        <w:t>manifestara</w:t>
      </w:r>
      <w:r w:rsidR="001C4B97" w:rsidRPr="002D60E6">
        <w:rPr>
          <w:rFonts w:ascii="Palatino Linotype" w:eastAsia="Palatino Linotype" w:hAnsi="Palatino Linotype" w:cs="Palatino Linotype"/>
          <w:color w:val="000000"/>
        </w:rPr>
        <w:t xml:space="preserve"> lo que a su derecho conviniera, </w:t>
      </w:r>
      <w:r w:rsidR="001C4B97" w:rsidRPr="002D60E6">
        <w:rPr>
          <w:rFonts w:ascii="Palatino Linotype" w:eastAsia="Palatino Linotype" w:hAnsi="Palatino Linotype" w:cs="Palatino Linotype"/>
        </w:rPr>
        <w:t>ofreciera</w:t>
      </w:r>
      <w:r w:rsidR="001C4B97" w:rsidRPr="002D60E6">
        <w:rPr>
          <w:rFonts w:ascii="Palatino Linotype" w:eastAsia="Palatino Linotype" w:hAnsi="Palatino Linotype" w:cs="Palatino Linotype"/>
          <w:color w:val="000000"/>
        </w:rPr>
        <w:t xml:space="preserve"> pruebas y alegatos según corresponda a los casos concretos, y el </w:t>
      </w:r>
      <w:r w:rsidR="001C4B97" w:rsidRPr="002D60E6">
        <w:rPr>
          <w:rFonts w:ascii="Palatino Linotype" w:eastAsia="Palatino Linotype" w:hAnsi="Palatino Linotype" w:cs="Palatino Linotype"/>
          <w:b/>
          <w:bCs/>
          <w:color w:val="000000"/>
        </w:rPr>
        <w:t>SUJETO OBLIGADO</w:t>
      </w:r>
      <w:r w:rsidR="001C4B97" w:rsidRPr="002D60E6">
        <w:rPr>
          <w:rFonts w:ascii="Palatino Linotype" w:eastAsia="Palatino Linotype" w:hAnsi="Palatino Linotype" w:cs="Palatino Linotype"/>
          <w:color w:val="000000"/>
        </w:rPr>
        <w:t xml:space="preserve"> presentará el Informe Justificado procedente.</w:t>
      </w:r>
    </w:p>
    <w:p w:rsidR="00F72507" w:rsidRPr="002D60E6" w:rsidRDefault="00F72507" w:rsidP="007E0F1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E0F1F" w:rsidRPr="002D60E6" w:rsidRDefault="001C4B97" w:rsidP="007E0F1F">
      <w:pPr>
        <w:numPr>
          <w:ilvl w:val="0"/>
          <w:numId w:val="3"/>
        </w:numPr>
        <w:pBdr>
          <w:top w:val="nil"/>
          <w:left w:val="nil"/>
          <w:bottom w:val="nil"/>
          <w:right w:val="nil"/>
          <w:between w:val="nil"/>
        </w:pBdr>
        <w:spacing w:line="360" w:lineRule="auto"/>
        <w:ind w:left="0" w:firstLine="0"/>
        <w:jc w:val="both"/>
        <w:rPr>
          <w:rFonts w:ascii="Palatino Linotype" w:hAnsi="Palatino Linotype" w:cs="Consolas"/>
          <w:color w:val="000000"/>
          <w:lang w:val="es-MX"/>
        </w:rPr>
      </w:pPr>
      <w:r w:rsidRPr="002D60E6">
        <w:rPr>
          <w:rFonts w:ascii="Palatino Linotype" w:eastAsia="Palatino Linotype" w:hAnsi="Palatino Linotype" w:cs="Palatino Linotype"/>
          <w:color w:val="000000"/>
        </w:rPr>
        <w:t xml:space="preserve">De lo anterior, el </w:t>
      </w:r>
      <w:r w:rsidRPr="002D60E6">
        <w:rPr>
          <w:rFonts w:ascii="Palatino Linotype" w:eastAsia="Palatino Linotype" w:hAnsi="Palatino Linotype" w:cs="Palatino Linotype"/>
          <w:b/>
          <w:bCs/>
          <w:color w:val="000000"/>
        </w:rPr>
        <w:t xml:space="preserve">RECURRENTE </w:t>
      </w:r>
      <w:r w:rsidRPr="002D60E6">
        <w:rPr>
          <w:rFonts w:ascii="Palatino Linotype" w:eastAsia="Palatino Linotype" w:hAnsi="Palatino Linotype" w:cs="Palatino Linotype"/>
          <w:color w:val="000000"/>
        </w:rPr>
        <w:t xml:space="preserve">fue omiso en realizar manifestaciones que a su derecho conviniera y asistiera. Por su parte el </w:t>
      </w:r>
      <w:r w:rsidRPr="002D60E6">
        <w:rPr>
          <w:rFonts w:ascii="Palatino Linotype" w:eastAsia="Palatino Linotype" w:hAnsi="Palatino Linotype" w:cs="Palatino Linotype"/>
          <w:b/>
          <w:bCs/>
          <w:color w:val="000000"/>
        </w:rPr>
        <w:t>SUJETO OBLIGADO</w:t>
      </w:r>
      <w:r w:rsidRPr="002D60E6">
        <w:rPr>
          <w:rFonts w:ascii="Palatino Linotype" w:eastAsia="Palatino Linotype" w:hAnsi="Palatino Linotype" w:cs="Palatino Linotype"/>
          <w:color w:val="000000"/>
        </w:rPr>
        <w:t xml:space="preserve"> </w:t>
      </w:r>
      <w:r w:rsidR="007E0F1F" w:rsidRPr="002D60E6">
        <w:rPr>
          <w:rFonts w:ascii="Palatino Linotype" w:hAnsi="Palatino Linotype" w:cs="Consolas"/>
          <w:color w:val="000000"/>
          <w:lang w:val="es-MX"/>
        </w:rPr>
        <w:t xml:space="preserve">el día </w:t>
      </w:r>
      <w:r w:rsidR="007E0F1F" w:rsidRPr="002D60E6">
        <w:rPr>
          <w:rFonts w:ascii="Palatino Linotype" w:hAnsi="Palatino Linotype" w:cs="Consolas"/>
          <w:b/>
          <w:color w:val="000000"/>
          <w:lang w:val="es-MX"/>
        </w:rPr>
        <w:t>diecisiete de diciembre de dos mil veinticinco</w:t>
      </w:r>
      <w:r w:rsidR="007E0F1F" w:rsidRPr="002D60E6">
        <w:rPr>
          <w:rFonts w:ascii="Palatino Linotype" w:hAnsi="Palatino Linotype" w:cs="Consolas"/>
          <w:color w:val="000000"/>
          <w:lang w:val="es-MX"/>
        </w:rPr>
        <w:t xml:space="preserve"> rindió informe justificado, modificando su respuesta inicial adjuntando un Acta del Comité de Información acompañada de un oficio y una prueba de daño, con la finalidad de exponer la imposibilidad de entrega de la información por actualizarse una causal de </w:t>
      </w:r>
      <w:r w:rsidR="007E0F1F" w:rsidRPr="002D60E6">
        <w:rPr>
          <w:rFonts w:ascii="Palatino Linotype" w:eastAsia="Palatino Linotype" w:hAnsi="Palatino Linotype" w:cs="Palatino Linotype"/>
          <w:color w:val="000000"/>
        </w:rPr>
        <w:t>reserva</w:t>
      </w:r>
      <w:r w:rsidR="007E0F1F" w:rsidRPr="002D60E6">
        <w:rPr>
          <w:rFonts w:ascii="Palatino Linotype" w:hAnsi="Palatino Linotype" w:cs="Consolas"/>
          <w:color w:val="000000"/>
          <w:lang w:val="es-MX"/>
        </w:rPr>
        <w:t xml:space="preserve"> de la información en virtud de que su divulgación obstruye o puede causar un perjuicio a las actividades de fiscalización.</w:t>
      </w:r>
    </w:p>
    <w:p w:rsidR="00F72507" w:rsidRPr="002D60E6" w:rsidRDefault="00F72507">
      <w:pPr>
        <w:spacing w:line="360" w:lineRule="auto"/>
        <w:jc w:val="center"/>
        <w:rPr>
          <w:rFonts w:ascii="Palatino Linotype" w:eastAsia="Palatino Linotype" w:hAnsi="Palatino Linotype" w:cs="Palatino Linotype"/>
          <w:color w:val="000000"/>
        </w:rPr>
      </w:pPr>
    </w:p>
    <w:p w:rsidR="00F72507" w:rsidRPr="00F87712" w:rsidRDefault="001C4B9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bookmarkStart w:id="4" w:name="_heading=h.1fob9te" w:colFirst="0" w:colLast="0"/>
      <w:bookmarkEnd w:id="4"/>
      <w:r w:rsidRPr="002D60E6">
        <w:rPr>
          <w:rFonts w:ascii="Palatino Linotype" w:eastAsia="Palatino Linotype" w:hAnsi="Palatino Linotype" w:cs="Palatino Linotype"/>
          <w:color w:val="000000"/>
        </w:rPr>
        <w:t xml:space="preserve">Seguidamente, mediante Acuerdo de fecha </w:t>
      </w:r>
      <w:r w:rsidR="00563ADF" w:rsidRPr="002D60E6">
        <w:rPr>
          <w:rFonts w:ascii="Palatino Linotype" w:eastAsia="Palatino Linotype" w:hAnsi="Palatino Linotype" w:cs="Palatino Linotype"/>
          <w:b/>
          <w:bCs/>
          <w:color w:val="000000"/>
        </w:rPr>
        <w:t>once de febrero</w:t>
      </w:r>
      <w:r w:rsidRPr="002D60E6">
        <w:rPr>
          <w:rFonts w:ascii="Palatino Linotype" w:eastAsia="Palatino Linotype" w:hAnsi="Palatino Linotype" w:cs="Palatino Linotype"/>
          <w:b/>
          <w:bCs/>
          <w:color w:val="000000"/>
        </w:rPr>
        <w:t xml:space="preserve"> de dos mil veintiséis, </w:t>
      </w:r>
      <w:r w:rsidRPr="002D60E6">
        <w:rPr>
          <w:rFonts w:ascii="Palatino Linotype" w:eastAsia="Palatino Linotype" w:hAnsi="Palatino Linotype" w:cs="Palatino Linotype"/>
          <w:color w:val="000000"/>
        </w:rPr>
        <w:t>se decretó el cierre de instrucción, por lo que no habiendo más que hacer constar, y</w:t>
      </w:r>
      <w:r w:rsidR="00F87712">
        <w:rPr>
          <w:rFonts w:ascii="Palatino Linotype" w:eastAsia="Palatino Linotype" w:hAnsi="Palatino Linotype" w:cs="Palatino Linotype"/>
          <w:color w:val="000000"/>
        </w:rPr>
        <w:t xml:space="preserve"> </w:t>
      </w:r>
    </w:p>
    <w:p w:rsidR="00563ADF" w:rsidRPr="002D60E6" w:rsidRDefault="00563ADF" w:rsidP="00563ADF">
      <w:pPr>
        <w:pStyle w:val="Prrafodelista"/>
        <w:rPr>
          <w:rFonts w:ascii="Palatino Linotype" w:eastAsia="Palatino Linotype" w:hAnsi="Palatino Linotype" w:cs="Palatino Linotype"/>
          <w:b/>
          <w:bCs/>
          <w:color w:val="000000"/>
        </w:rPr>
      </w:pPr>
    </w:p>
    <w:p w:rsidR="00F72507" w:rsidRPr="002D60E6" w:rsidRDefault="001C4B97">
      <w:pPr>
        <w:pBdr>
          <w:top w:val="nil"/>
          <w:left w:val="nil"/>
          <w:bottom w:val="nil"/>
          <w:right w:val="nil"/>
          <w:between w:val="nil"/>
        </w:pBdr>
        <w:spacing w:line="360" w:lineRule="auto"/>
        <w:jc w:val="center"/>
        <w:rPr>
          <w:rFonts w:ascii="Palatino Linotype" w:eastAsia="Palatino Linotype" w:hAnsi="Palatino Linotype" w:cs="Palatino Linotype"/>
          <w:b/>
          <w:bCs/>
          <w:color w:val="000000"/>
        </w:rPr>
      </w:pPr>
      <w:r w:rsidRPr="002D60E6">
        <w:rPr>
          <w:rFonts w:ascii="Palatino Linotype" w:eastAsia="Palatino Linotype" w:hAnsi="Palatino Linotype" w:cs="Palatino Linotype"/>
          <w:b/>
          <w:bCs/>
          <w:color w:val="000000"/>
        </w:rPr>
        <w:t>C O N S I D E R A N D O</w:t>
      </w:r>
    </w:p>
    <w:p w:rsidR="00F72507" w:rsidRPr="002D60E6" w:rsidRDefault="00F72507">
      <w:pPr>
        <w:pBdr>
          <w:top w:val="nil"/>
          <w:left w:val="nil"/>
          <w:bottom w:val="nil"/>
          <w:right w:val="nil"/>
          <w:between w:val="nil"/>
        </w:pBdr>
        <w:spacing w:line="360" w:lineRule="auto"/>
        <w:jc w:val="center"/>
        <w:rPr>
          <w:rFonts w:ascii="Palatino Linotype" w:eastAsia="Palatino Linotype" w:hAnsi="Palatino Linotype" w:cs="Palatino Linotype"/>
          <w:b/>
          <w:bCs/>
          <w:color w:val="000000"/>
        </w:rPr>
      </w:pPr>
    </w:p>
    <w:p w:rsidR="00F72507" w:rsidRPr="002D60E6" w:rsidRDefault="001C4B97">
      <w:pPr>
        <w:pStyle w:val="Ttulo2"/>
        <w:spacing w:before="0" w:line="360" w:lineRule="auto"/>
        <w:rPr>
          <w:rFonts w:ascii="Palatino Linotype" w:eastAsia="Palatino Linotype" w:hAnsi="Palatino Linotype" w:cs="Palatino Linotype"/>
          <w:b/>
          <w:bCs/>
          <w:color w:val="000000"/>
          <w:sz w:val="24"/>
          <w:szCs w:val="24"/>
        </w:rPr>
      </w:pPr>
      <w:bookmarkStart w:id="5" w:name="_heading=h.3znysh7" w:colFirst="0" w:colLast="0"/>
      <w:bookmarkEnd w:id="5"/>
      <w:r w:rsidRPr="002D60E6">
        <w:rPr>
          <w:rFonts w:ascii="Palatino Linotype" w:eastAsia="Palatino Linotype" w:hAnsi="Palatino Linotype" w:cs="Palatino Linotype"/>
          <w:b/>
          <w:bCs/>
          <w:color w:val="000000"/>
          <w:sz w:val="24"/>
          <w:szCs w:val="24"/>
        </w:rPr>
        <w:t>PRIMERO. De la competencia</w:t>
      </w:r>
    </w:p>
    <w:p w:rsidR="00F72507" w:rsidRPr="002D60E6" w:rsidRDefault="001C4B9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w:t>
      </w:r>
      <w:r w:rsidRPr="002D60E6">
        <w:rPr>
          <w:rFonts w:ascii="Palatino Linotype" w:eastAsia="Palatino Linotype" w:hAnsi="Palatino Linotype" w:cs="Palatino Linotype"/>
          <w:color w:val="000000"/>
        </w:rPr>
        <w:lastRenderedPageBreak/>
        <w:t>presente Recurso de Revisión, conforme a lo dispuesto en el artículo 5, pá</w:t>
      </w:r>
      <w:r w:rsidRPr="002D60E6">
        <w:rPr>
          <w:rFonts w:ascii="Palatino Linotype" w:eastAsia="Palatino Linotype" w:hAnsi="Palatino Linotype" w:cs="Palatino Linotype"/>
        </w:rPr>
        <w:t>r</w:t>
      </w:r>
      <w:r w:rsidRPr="002D60E6">
        <w:rPr>
          <w:rFonts w:ascii="Palatino Linotype" w:eastAsia="Palatino Linotype" w:hAnsi="Palatino Linotype" w:cs="Palatino Linotype"/>
          <w:color w:val="000000"/>
        </w:rPr>
        <w:t>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F72507" w:rsidRPr="002D60E6" w:rsidRDefault="00F72507">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F72507" w:rsidRPr="002D60E6" w:rsidRDefault="001C4B97">
      <w:pPr>
        <w:pStyle w:val="Ttulo2"/>
        <w:spacing w:before="0" w:line="360" w:lineRule="auto"/>
        <w:rPr>
          <w:rFonts w:ascii="Palatino Linotype" w:eastAsia="Palatino Linotype" w:hAnsi="Palatino Linotype" w:cs="Palatino Linotype"/>
          <w:b/>
          <w:bCs/>
          <w:color w:val="000000"/>
          <w:sz w:val="24"/>
          <w:szCs w:val="24"/>
        </w:rPr>
      </w:pPr>
      <w:bookmarkStart w:id="6" w:name="_heading=h.2et92p0" w:colFirst="0" w:colLast="0"/>
      <w:bookmarkEnd w:id="6"/>
      <w:r w:rsidRPr="002D60E6">
        <w:rPr>
          <w:rFonts w:ascii="Palatino Linotype" w:eastAsia="Palatino Linotype" w:hAnsi="Palatino Linotype" w:cs="Palatino Linotype"/>
          <w:b/>
          <w:bCs/>
          <w:color w:val="000000"/>
          <w:sz w:val="24"/>
          <w:szCs w:val="24"/>
        </w:rPr>
        <w:t>SEGUNDO. De la oportunidad y procedencia.</w:t>
      </w:r>
    </w:p>
    <w:p w:rsidR="00F72507" w:rsidRPr="002D60E6" w:rsidRDefault="001C4B9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 xml:space="preserve">Este Órgano Garante considera que el medio de impugnación reúne los requisitos de procedencia </w:t>
      </w:r>
      <w:r w:rsidRPr="002D60E6">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F72507" w:rsidRPr="002D60E6" w:rsidRDefault="00F72507">
      <w:pPr>
        <w:pBdr>
          <w:top w:val="nil"/>
          <w:left w:val="nil"/>
          <w:bottom w:val="nil"/>
          <w:right w:val="nil"/>
          <w:between w:val="nil"/>
        </w:pBdr>
        <w:spacing w:line="360" w:lineRule="auto"/>
        <w:jc w:val="both"/>
        <w:rPr>
          <w:rFonts w:ascii="Palatino Linotype" w:eastAsia="Palatino Linotype" w:hAnsi="Palatino Linotype" w:cs="Palatino Linotype"/>
        </w:rPr>
      </w:pPr>
    </w:p>
    <w:p w:rsidR="00F72507" w:rsidRPr="002D60E6" w:rsidRDefault="001C4B9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 xml:space="preserve">Por otro lado, es de suma importancia señalar que la parte recurrente no proporciona un nombre o datos de </w:t>
      </w:r>
      <w:r w:rsidRPr="002D60E6">
        <w:rPr>
          <w:rFonts w:ascii="Palatino Linotype" w:eastAsia="Palatino Linotype" w:hAnsi="Palatino Linotype" w:cs="Palatino Linotype"/>
          <w:color w:val="000000"/>
        </w:rPr>
        <w:t>identificación</w:t>
      </w:r>
      <w:r w:rsidRPr="002D60E6">
        <w:rPr>
          <w:rFonts w:ascii="Palatino Linotype" w:eastAsia="Palatino Linotype" w:hAnsi="Palatino Linotype" w:cs="Palatino Linotype"/>
        </w:rPr>
        <w:t xml:space="preserve">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F72507" w:rsidRPr="002D60E6" w:rsidRDefault="00F72507">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72507" w:rsidRPr="002D60E6" w:rsidRDefault="001C4B97">
      <w:pPr>
        <w:spacing w:line="360" w:lineRule="auto"/>
        <w:ind w:left="567" w:right="426"/>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lastRenderedPageBreak/>
        <w:t>"</w:t>
      </w:r>
      <w:r w:rsidRPr="002D60E6">
        <w:rPr>
          <w:rFonts w:ascii="Palatino Linotype" w:eastAsia="Palatino Linotype" w:hAnsi="Palatino Linotype" w:cs="Palatino Linotype"/>
          <w:b/>
          <w:bCs/>
          <w:i/>
          <w:iCs/>
        </w:rPr>
        <w:t>Las solicitudes anónimas</w:t>
      </w:r>
      <w:r w:rsidRPr="002D60E6">
        <w:rPr>
          <w:rFonts w:ascii="Palatino Linotype" w:eastAsia="Palatino Linotype" w:hAnsi="Palatino Linotype" w:cs="Palatino Linotype"/>
          <w:i/>
          <w:iCs/>
        </w:rPr>
        <w:t xml:space="preserve">, con nombre incompleto o seudónimo </w:t>
      </w:r>
      <w:r w:rsidRPr="002D60E6">
        <w:rPr>
          <w:rFonts w:ascii="Palatino Linotype" w:eastAsia="Palatino Linotype" w:hAnsi="Palatino Linotype" w:cs="Palatino Linotype"/>
          <w:b/>
          <w:bCs/>
          <w:i/>
          <w:iCs/>
        </w:rPr>
        <w:t>serán procedentes para su trámite por parte del sujeto obligado ante quien se presente</w:t>
      </w:r>
      <w:r w:rsidRPr="002D60E6">
        <w:rPr>
          <w:rFonts w:ascii="Palatino Linotype" w:eastAsia="Palatino Linotype" w:hAnsi="Palatino Linotype" w:cs="Palatino Linotype"/>
          <w:i/>
          <w:iCs/>
        </w:rPr>
        <w:t>. No podrá requerirse información adicional con motivo del nombre proporcionado por el solicitante."</w:t>
      </w:r>
    </w:p>
    <w:p w:rsidR="00F72507" w:rsidRPr="002D60E6" w:rsidRDefault="00F72507">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F72507" w:rsidRPr="002D60E6" w:rsidRDefault="001C4B9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Consecuencia de lo anterior, este Órgano Garante advierte que el escrito contiene las </w:t>
      </w:r>
      <w:r w:rsidRPr="002D60E6">
        <w:rPr>
          <w:rFonts w:ascii="Palatino Linotype" w:eastAsia="Palatino Linotype" w:hAnsi="Palatino Linotype" w:cs="Palatino Linotype"/>
        </w:rPr>
        <w:t>formalidades</w:t>
      </w:r>
      <w:r w:rsidRPr="002D60E6">
        <w:rPr>
          <w:rFonts w:ascii="Palatino Linotype" w:eastAsia="Palatino Linotype" w:hAnsi="Palatino Linotype" w:cs="Palatino Linotype"/>
          <w:color w:val="000000"/>
        </w:rPr>
        <w:t xml:space="preserve"> previstas por el artículo 180 último párrafo de la Ley de </w:t>
      </w:r>
      <w:r w:rsidRPr="002D60E6">
        <w:rPr>
          <w:rFonts w:ascii="Palatino Linotype" w:eastAsia="Palatino Linotype" w:hAnsi="Palatino Linotype" w:cs="Palatino Linotype"/>
        </w:rPr>
        <w:t>Transparencia</w:t>
      </w:r>
      <w:r w:rsidRPr="002D60E6">
        <w:rPr>
          <w:rFonts w:ascii="Palatino Linotype" w:eastAsia="Palatino Linotype" w:hAnsi="Palatino Linotype" w:cs="Palatino Linotype"/>
          <w:color w:val="000000"/>
        </w:rPr>
        <w:t xml:space="preserve"> y Acceso a la </w:t>
      </w:r>
      <w:r w:rsidRPr="002D60E6">
        <w:rPr>
          <w:rFonts w:ascii="Palatino Linotype" w:eastAsia="Palatino Linotype" w:hAnsi="Palatino Linotype" w:cs="Palatino Linotype"/>
        </w:rPr>
        <w:t>Información</w:t>
      </w:r>
      <w:r w:rsidRPr="002D60E6">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rsidR="00563ADF" w:rsidRPr="002D60E6" w:rsidRDefault="00563ADF" w:rsidP="00563AD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72507" w:rsidRPr="002D60E6" w:rsidRDefault="001C4B9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w:t>
      </w:r>
    </w:p>
    <w:p w:rsidR="00F72507" w:rsidRPr="002D60E6" w:rsidRDefault="00F72507">
      <w:pPr>
        <w:spacing w:line="360" w:lineRule="auto"/>
        <w:rPr>
          <w:rFonts w:ascii="Palatino Linotype" w:eastAsia="Palatino Linotype" w:hAnsi="Palatino Linotype" w:cs="Palatino Linotype"/>
        </w:rPr>
      </w:pPr>
    </w:p>
    <w:p w:rsidR="00F72507" w:rsidRPr="002D60E6" w:rsidRDefault="001C4B97">
      <w:pPr>
        <w:pStyle w:val="Ttulo1"/>
        <w:spacing w:before="0" w:line="360" w:lineRule="auto"/>
        <w:rPr>
          <w:rFonts w:ascii="Palatino Linotype" w:eastAsia="Palatino Linotype" w:hAnsi="Palatino Linotype" w:cs="Palatino Linotype"/>
          <w:b/>
          <w:bCs/>
          <w:color w:val="000000"/>
          <w:sz w:val="24"/>
          <w:szCs w:val="24"/>
        </w:rPr>
      </w:pPr>
      <w:bookmarkStart w:id="7" w:name="_heading=h.tyjcwt" w:colFirst="0" w:colLast="0"/>
      <w:bookmarkEnd w:id="7"/>
      <w:r w:rsidRPr="002D60E6">
        <w:rPr>
          <w:rFonts w:ascii="Palatino Linotype" w:eastAsia="Palatino Linotype" w:hAnsi="Palatino Linotype" w:cs="Palatino Linotype"/>
          <w:b/>
          <w:bCs/>
          <w:color w:val="000000"/>
          <w:sz w:val="24"/>
          <w:szCs w:val="24"/>
        </w:rPr>
        <w:t xml:space="preserve">TERCERO. Del planteamiento de la </w:t>
      </w:r>
      <w:r w:rsidRPr="002D60E6">
        <w:rPr>
          <w:rFonts w:ascii="Palatino Linotype" w:eastAsia="Palatino Linotype" w:hAnsi="Palatino Linotype" w:cs="Palatino Linotype"/>
          <w:b/>
          <w:bCs/>
          <w:i/>
          <w:iCs/>
          <w:color w:val="000000"/>
          <w:sz w:val="24"/>
          <w:szCs w:val="24"/>
        </w:rPr>
        <w:t>Litis</w:t>
      </w:r>
    </w:p>
    <w:p w:rsidR="00F72507" w:rsidRPr="002D60E6" w:rsidRDefault="001C4B9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Se solicitó tener acceso, a la información que a continuación se desagrega:</w:t>
      </w:r>
    </w:p>
    <w:p w:rsidR="00563ADF" w:rsidRPr="002D60E6" w:rsidRDefault="00563ADF" w:rsidP="00563ADF">
      <w:pPr>
        <w:pStyle w:val="Prrafodelista"/>
        <w:numPr>
          <w:ilvl w:val="0"/>
          <w:numId w:val="7"/>
        </w:numPr>
        <w:autoSpaceDE w:val="0"/>
        <w:autoSpaceDN w:val="0"/>
        <w:adjustRightInd w:val="0"/>
        <w:rPr>
          <w:rFonts w:ascii="Palatino Linotype" w:hAnsi="Palatino Linotype" w:cs="Consolas"/>
          <w:b/>
          <w:color w:val="000000"/>
          <w:lang w:val="es-MX"/>
        </w:rPr>
      </w:pPr>
      <w:r w:rsidRPr="002D60E6">
        <w:rPr>
          <w:rFonts w:ascii="Palatino Linotype" w:hAnsi="Palatino Linotype" w:cs="Consolas"/>
          <w:b/>
          <w:color w:val="000000"/>
          <w:lang w:val="es-MX"/>
        </w:rPr>
        <w:t>Contratos y facturas pagadas con motivo del día del adulto mayor.</w:t>
      </w:r>
    </w:p>
    <w:p w:rsidR="00F72507" w:rsidRPr="002D60E6" w:rsidRDefault="00F72507" w:rsidP="00563ADF">
      <w:pPr>
        <w:pBdr>
          <w:top w:val="nil"/>
          <w:left w:val="nil"/>
          <w:bottom w:val="nil"/>
          <w:right w:val="nil"/>
          <w:between w:val="nil"/>
        </w:pBdr>
        <w:spacing w:line="360" w:lineRule="auto"/>
        <w:ind w:left="1080" w:right="709"/>
        <w:jc w:val="both"/>
        <w:rPr>
          <w:rFonts w:ascii="Palatino Linotype" w:eastAsia="Palatino Linotype" w:hAnsi="Palatino Linotype" w:cs="Palatino Linotype"/>
          <w:b/>
          <w:bCs/>
          <w:color w:val="000000"/>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rPr>
        <w:t xml:space="preserve">En respuesta, el </w:t>
      </w:r>
      <w:r w:rsidRPr="002D60E6">
        <w:rPr>
          <w:rFonts w:ascii="Palatino Linotype" w:eastAsia="Palatino Linotype" w:hAnsi="Palatino Linotype" w:cs="Palatino Linotype"/>
          <w:b/>
          <w:bCs/>
        </w:rPr>
        <w:t xml:space="preserve">SUJETO OBLIGADO </w:t>
      </w:r>
      <w:r w:rsidRPr="002D60E6">
        <w:rPr>
          <w:rFonts w:ascii="Palatino Linotype" w:eastAsia="Palatino Linotype" w:hAnsi="Palatino Linotype" w:cs="Palatino Linotype"/>
        </w:rPr>
        <w:t xml:space="preserve">remitió la información ya descrita en el párrafo 2. Inconforme con la misma, interpuso recurso de revisión en contra de la </w:t>
      </w:r>
      <w:r w:rsidR="00563ADF" w:rsidRPr="002D60E6">
        <w:rPr>
          <w:rFonts w:ascii="Palatino Linotype" w:eastAsia="Palatino Linotype" w:hAnsi="Palatino Linotype" w:cs="Palatino Linotype"/>
        </w:rPr>
        <w:t xml:space="preserve">negativa a la </w:t>
      </w:r>
      <w:r w:rsidRPr="002D60E6">
        <w:rPr>
          <w:rFonts w:ascii="Palatino Linotype" w:eastAsia="Palatino Linotype" w:hAnsi="Palatino Linotype" w:cs="Palatino Linotype"/>
        </w:rPr>
        <w:t>entrega de información.</w:t>
      </w:r>
    </w:p>
    <w:p w:rsidR="00F72507" w:rsidRPr="002D60E6" w:rsidRDefault="00F72507">
      <w:pPr>
        <w:tabs>
          <w:tab w:val="left" w:pos="933"/>
        </w:tabs>
        <w:spacing w:line="360" w:lineRule="auto"/>
        <w:jc w:val="both"/>
        <w:rPr>
          <w:rFonts w:ascii="Palatino Linotype" w:eastAsia="Palatino Linotype" w:hAnsi="Palatino Linotype" w:cs="Palatino Linotype"/>
        </w:rPr>
      </w:pPr>
    </w:p>
    <w:p w:rsidR="00F72507" w:rsidRDefault="001C4B97">
      <w:pPr>
        <w:numPr>
          <w:ilvl w:val="0"/>
          <w:numId w:val="3"/>
        </w:numP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lastRenderedPageBreak/>
        <w:t xml:space="preserve">En dichas condiciones la </w:t>
      </w:r>
      <w:r w:rsidRPr="002D60E6">
        <w:rPr>
          <w:rFonts w:ascii="Palatino Linotype" w:eastAsia="Palatino Linotype" w:hAnsi="Palatino Linotype" w:cs="Palatino Linotype"/>
          <w:i/>
          <w:iCs/>
        </w:rPr>
        <w:t>Litis</w:t>
      </w:r>
      <w:r w:rsidRPr="002D60E6">
        <w:rPr>
          <w:rFonts w:ascii="Palatino Linotype" w:eastAsia="Palatino Linotype" w:hAnsi="Palatino Linotype" w:cs="Palatino Linotype"/>
        </w:rPr>
        <w:t xml:space="preserve"> a resolver en este recurso se circunscribe a determinar si se actualiza la causal de procedencia prevista en el artículo 179, </w:t>
      </w:r>
      <w:r w:rsidR="00563ADF" w:rsidRPr="002D60E6">
        <w:rPr>
          <w:rFonts w:ascii="Palatino Linotype" w:eastAsia="Palatino Linotype" w:hAnsi="Palatino Linotype" w:cs="Palatino Linotype"/>
          <w:b/>
          <w:bCs/>
        </w:rPr>
        <w:t xml:space="preserve">fracción </w:t>
      </w:r>
      <w:r w:rsidRPr="002D60E6">
        <w:rPr>
          <w:rFonts w:ascii="Palatino Linotype" w:eastAsia="Palatino Linotype" w:hAnsi="Palatino Linotype" w:cs="Palatino Linotype"/>
          <w:b/>
          <w:bCs/>
        </w:rPr>
        <w:t xml:space="preserve">I </w:t>
      </w:r>
      <w:r w:rsidRPr="002D60E6">
        <w:rPr>
          <w:rFonts w:ascii="Palatino Linotype" w:eastAsia="Palatino Linotype" w:hAnsi="Palatino Linotype" w:cs="Palatino Linotype"/>
        </w:rPr>
        <w:t xml:space="preserve">de la </w:t>
      </w:r>
      <w:r w:rsidRPr="002D60E6">
        <w:rPr>
          <w:rFonts w:ascii="Palatino Linotype" w:eastAsia="Palatino Linotype" w:hAnsi="Palatino Linotype" w:cs="Palatino Linotype"/>
          <w:b/>
          <w:bCs/>
        </w:rPr>
        <w:t>Ley de Transparencia y Acceso a la Información Pública del Estado de México y Municipios</w:t>
      </w:r>
      <w:r w:rsidRPr="002D60E6">
        <w:rPr>
          <w:rFonts w:ascii="Palatino Linotype" w:eastAsia="Palatino Linotype" w:hAnsi="Palatino Linotype" w:cs="Palatino Linotype"/>
          <w:color w:val="000000"/>
        </w:rPr>
        <w:t>;</w:t>
      </w:r>
      <w:r w:rsidRPr="002D60E6">
        <w:rPr>
          <w:rFonts w:ascii="Palatino Linotype" w:eastAsia="Palatino Linotype" w:hAnsi="Palatino Linotype" w:cs="Palatino Linotype"/>
        </w:rPr>
        <w:t xml:space="preserve"> fracción que determina la hipótesis jurídica relativa a la entrega de información que no corresponda con lo solicitado; contexto del cual se dolió </w:t>
      </w:r>
      <w:r w:rsidRPr="002D60E6">
        <w:rPr>
          <w:rFonts w:ascii="Palatino Linotype" w:eastAsia="Palatino Linotype" w:hAnsi="Palatino Linotype" w:cs="Palatino Linotype"/>
          <w:b/>
          <w:bCs/>
        </w:rPr>
        <w:t xml:space="preserve">EL RECURRENTE </w:t>
      </w:r>
      <w:r w:rsidRPr="002D60E6">
        <w:rPr>
          <w:rFonts w:ascii="Palatino Linotype" w:eastAsia="Palatino Linotype" w:hAnsi="Palatino Linotype" w:cs="Palatino Linotype"/>
        </w:rPr>
        <w:t>al momento de interponer su inconformidad.</w:t>
      </w:r>
    </w:p>
    <w:p w:rsidR="00F87712" w:rsidRPr="002D60E6" w:rsidRDefault="00F87712" w:rsidP="00F87712">
      <w:pPr>
        <w:spacing w:line="360" w:lineRule="auto"/>
        <w:jc w:val="both"/>
        <w:rPr>
          <w:rFonts w:ascii="Palatino Linotype" w:eastAsia="Palatino Linotype" w:hAnsi="Palatino Linotype" w:cs="Palatino Linotype"/>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color w:val="000000"/>
        </w:rPr>
        <w:t xml:space="preserve">De modo tal que el presente Recurso de Revisión se </w:t>
      </w:r>
      <w:r w:rsidRPr="002D60E6">
        <w:rPr>
          <w:rFonts w:ascii="Palatino Linotype" w:eastAsia="Palatino Linotype" w:hAnsi="Palatino Linotype" w:cs="Palatino Linotype"/>
        </w:rPr>
        <w:t>abocará</w:t>
      </w:r>
      <w:r w:rsidRPr="002D60E6">
        <w:rPr>
          <w:rFonts w:ascii="Palatino Linotype" w:eastAsia="Palatino Linotype" w:hAnsi="Palatino Linotype" w:cs="Palatino Linotype"/>
          <w:color w:val="000000"/>
        </w:rPr>
        <w:t xml:space="preserve"> en determinar si el </w:t>
      </w:r>
      <w:r w:rsidRPr="002D60E6">
        <w:rPr>
          <w:rFonts w:ascii="Palatino Linotype" w:eastAsia="Palatino Linotype" w:hAnsi="Palatino Linotype" w:cs="Palatino Linotype"/>
          <w:b/>
          <w:bCs/>
          <w:color w:val="000000"/>
        </w:rPr>
        <w:t>SUJETO</w:t>
      </w:r>
      <w:r w:rsidRPr="002D60E6">
        <w:rPr>
          <w:rFonts w:ascii="Palatino Linotype" w:eastAsia="Palatino Linotype" w:hAnsi="Palatino Linotype" w:cs="Palatino Linotype"/>
          <w:color w:val="000000"/>
        </w:rPr>
        <w:t xml:space="preserve"> </w:t>
      </w:r>
      <w:r w:rsidRPr="002D60E6">
        <w:rPr>
          <w:rFonts w:ascii="Palatino Linotype" w:eastAsia="Palatino Linotype" w:hAnsi="Palatino Linotype" w:cs="Palatino Linotype"/>
          <w:b/>
          <w:bCs/>
          <w:color w:val="000000"/>
        </w:rPr>
        <w:t>OBLIGADO</w:t>
      </w:r>
      <w:r w:rsidRPr="002D60E6">
        <w:rPr>
          <w:rFonts w:ascii="Palatino Linotype" w:eastAsia="Palatino Linotype" w:hAnsi="Palatino Linotype" w:cs="Palatino Linotype"/>
          <w:color w:val="000000"/>
        </w:rPr>
        <w:t xml:space="preserve"> con su respuesta ciertamente actualiza la causal de procedencia</w:t>
      </w:r>
      <w:r w:rsidRPr="002D60E6">
        <w:rPr>
          <w:rFonts w:ascii="Palatino Linotype" w:eastAsia="Palatino Linotype" w:hAnsi="Palatino Linotype" w:cs="Palatino Linotype"/>
          <w:b/>
          <w:bCs/>
          <w:color w:val="000000"/>
        </w:rPr>
        <w:t xml:space="preserve"> </w:t>
      </w:r>
      <w:r w:rsidRPr="002D60E6">
        <w:rPr>
          <w:rFonts w:ascii="Palatino Linotype" w:eastAsia="Palatino Linotype" w:hAnsi="Palatino Linotype" w:cs="Palatino Linotype"/>
          <w:color w:val="000000"/>
        </w:rPr>
        <w:t xml:space="preserve">antes señalada. </w:t>
      </w:r>
    </w:p>
    <w:p w:rsidR="00F72507" w:rsidRPr="002D60E6" w:rsidRDefault="00F72507">
      <w:pPr>
        <w:spacing w:line="360" w:lineRule="auto"/>
        <w:rPr>
          <w:rFonts w:ascii="Palatino Linotype" w:eastAsia="Palatino Linotype" w:hAnsi="Palatino Linotype" w:cs="Palatino Linotype"/>
        </w:rPr>
      </w:pPr>
    </w:p>
    <w:p w:rsidR="00F72507" w:rsidRPr="002D60E6" w:rsidRDefault="001C4B97">
      <w:pPr>
        <w:pStyle w:val="Ttulo2"/>
        <w:spacing w:before="0" w:line="360" w:lineRule="auto"/>
        <w:rPr>
          <w:rFonts w:ascii="Palatino Linotype" w:eastAsia="Palatino Linotype" w:hAnsi="Palatino Linotype" w:cs="Palatino Linotype"/>
          <w:b/>
          <w:bCs/>
          <w:color w:val="000000"/>
          <w:sz w:val="24"/>
          <w:szCs w:val="24"/>
        </w:rPr>
      </w:pPr>
      <w:bookmarkStart w:id="8" w:name="_heading=h.3dy6vkm" w:colFirst="0" w:colLast="0"/>
      <w:bookmarkEnd w:id="8"/>
      <w:r w:rsidRPr="002D60E6">
        <w:rPr>
          <w:rFonts w:ascii="Palatino Linotype" w:eastAsia="Palatino Linotype" w:hAnsi="Palatino Linotype" w:cs="Palatino Linotype"/>
          <w:b/>
          <w:bCs/>
          <w:color w:val="000000"/>
          <w:sz w:val="24"/>
          <w:szCs w:val="24"/>
        </w:rPr>
        <w:t>CUARTO. Del estudio y resolución del asunto.</w:t>
      </w: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w:t>
      </w:r>
      <w:r w:rsidRPr="002D60E6">
        <w:rPr>
          <w:rFonts w:ascii="Palatino Linotype" w:eastAsia="Palatino Linotype" w:hAnsi="Palatino Linotype" w:cs="Palatino Linotype"/>
          <w:color w:val="000000"/>
        </w:rPr>
        <w:t>determina</w:t>
      </w:r>
      <w:r w:rsidRPr="002D60E6">
        <w:rPr>
          <w:rFonts w:ascii="Palatino Linotype" w:eastAsia="Palatino Linotype" w:hAnsi="Palatino Linotype" w:cs="Palatino Linotype"/>
        </w:rPr>
        <w:t>,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F72507" w:rsidRPr="002D60E6" w:rsidRDefault="00F72507">
      <w:pPr>
        <w:spacing w:line="360" w:lineRule="auto"/>
        <w:ind w:right="-929"/>
        <w:jc w:val="both"/>
        <w:rPr>
          <w:rFonts w:ascii="Palatino Linotype" w:eastAsia="Palatino Linotype" w:hAnsi="Palatino Linotype" w:cs="Palatino Linotype"/>
        </w:rPr>
      </w:pPr>
    </w:p>
    <w:p w:rsidR="00F72507" w:rsidRDefault="001C4B97">
      <w:pPr>
        <w:numPr>
          <w:ilvl w:val="0"/>
          <w:numId w:val="3"/>
        </w:numP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F87712" w:rsidRPr="002D60E6" w:rsidRDefault="00F87712" w:rsidP="00F87712">
      <w:pPr>
        <w:spacing w:line="360" w:lineRule="auto"/>
        <w:jc w:val="both"/>
        <w:rPr>
          <w:rFonts w:ascii="Palatino Linotype" w:eastAsia="Palatino Linotype" w:hAnsi="Palatino Linotype" w:cs="Palatino Linotype"/>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72507" w:rsidRPr="002D60E6" w:rsidRDefault="00F72507">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 xml:space="preserve">Una vez sentado lo anterior, resulta oportuno traer a contexto la respuesta inicial en donde se informa </w:t>
      </w:r>
      <w:r w:rsidR="006966F6" w:rsidRPr="002D60E6">
        <w:rPr>
          <w:rFonts w:ascii="Palatino Linotype" w:eastAsia="Palatino Linotype" w:hAnsi="Palatino Linotype" w:cs="Palatino Linotype"/>
        </w:rPr>
        <w:t xml:space="preserve">de una eventual imposibilidad de entrega de la información por no aportar suficientes datos de localización, por lo que se sugiere al solicitante aportar datos como lo es el ejercicio fiscal y el área organizadora. Contexto que se desestima pues en todo caso existe la solicitud de aclaración que </w:t>
      </w:r>
      <w:r w:rsidR="00F342F4" w:rsidRPr="002D60E6">
        <w:rPr>
          <w:rFonts w:ascii="Palatino Linotype" w:eastAsia="Palatino Linotype" w:hAnsi="Palatino Linotype" w:cs="Palatino Linotype"/>
        </w:rPr>
        <w:t>prevé</w:t>
      </w:r>
      <w:r w:rsidR="006966F6" w:rsidRPr="002D60E6">
        <w:rPr>
          <w:rFonts w:ascii="Palatino Linotype" w:eastAsia="Palatino Linotype" w:hAnsi="Palatino Linotype" w:cs="Palatino Linotype"/>
        </w:rPr>
        <w:t xml:space="preserve"> la Ley de la materia en su </w:t>
      </w:r>
      <w:r w:rsidR="00F342F4" w:rsidRPr="002D60E6">
        <w:rPr>
          <w:rFonts w:ascii="Palatino Linotype" w:eastAsia="Palatino Linotype" w:hAnsi="Palatino Linotype" w:cs="Palatino Linotype"/>
        </w:rPr>
        <w:t>artículo</w:t>
      </w:r>
      <w:r w:rsidR="006966F6" w:rsidRPr="002D60E6">
        <w:rPr>
          <w:rFonts w:ascii="Palatino Linotype" w:eastAsia="Palatino Linotype" w:hAnsi="Palatino Linotype" w:cs="Palatino Linotype"/>
        </w:rPr>
        <w:t xml:space="preserve"> 159, a saber:</w:t>
      </w:r>
    </w:p>
    <w:p w:rsidR="00F72507" w:rsidRPr="002D60E6" w:rsidRDefault="00F72507">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342F4" w:rsidRPr="002D60E6" w:rsidRDefault="00F342F4" w:rsidP="00F342F4">
      <w:pPr>
        <w:autoSpaceDE w:val="0"/>
        <w:autoSpaceDN w:val="0"/>
        <w:adjustRightInd w:val="0"/>
        <w:spacing w:line="360" w:lineRule="auto"/>
        <w:ind w:left="567" w:right="567"/>
        <w:jc w:val="both"/>
        <w:rPr>
          <w:rFonts w:ascii="Palatino Linotype" w:hAnsi="Palatino Linotype" w:cs="Consolas"/>
          <w:i/>
          <w:color w:val="000000"/>
          <w:lang w:val="es-MX"/>
        </w:rPr>
      </w:pPr>
      <w:r w:rsidRPr="002D60E6">
        <w:rPr>
          <w:rFonts w:ascii="Palatino Linotype" w:hAnsi="Palatino Linotype" w:cs="Consolas"/>
          <w:i/>
          <w:color w:val="000000"/>
          <w:lang w:val="es-MX"/>
        </w:rPr>
        <w:lastRenderedPageBreak/>
        <w:t xml:space="preserve">Artículo 159. </w:t>
      </w:r>
      <w:r w:rsidRPr="002D60E6">
        <w:rPr>
          <w:rFonts w:ascii="Palatino Linotype" w:hAnsi="Palatino Linotype" w:cs="Consolas"/>
          <w:b/>
          <w:i/>
          <w:color w:val="000000"/>
          <w:lang w:val="es-MX"/>
        </w:rPr>
        <w:t>Cuando los detalles proporcionados para localizar los documentos resulten insuficientes</w:t>
      </w:r>
      <w:r w:rsidRPr="002D60E6">
        <w:rPr>
          <w:rFonts w:ascii="Palatino Linotype" w:hAnsi="Palatino Linotype" w:cs="Consolas"/>
          <w:i/>
          <w:color w:val="000000"/>
          <w:lang w:val="es-MX"/>
        </w:rPr>
        <w:t xml:space="preserve">, incompletos o sean erróneos, la Unidad de Transparencia podrá requerir al solicitante, por una sola vez y dentro de un plazo que no podrá exceder de cinco días hábiles contados a partir de la presentación de la solicitud, para que, en un término de hasta diez días hábiles, indique otros elementos que complementen, corrijan o amplíen los datos proporcionados o bien, precise uno o varios requerimientos de información. </w:t>
      </w:r>
    </w:p>
    <w:p w:rsidR="00F342F4" w:rsidRPr="002D60E6" w:rsidRDefault="00F342F4" w:rsidP="00F342F4">
      <w:pPr>
        <w:autoSpaceDE w:val="0"/>
        <w:autoSpaceDN w:val="0"/>
        <w:adjustRightInd w:val="0"/>
        <w:spacing w:line="360" w:lineRule="auto"/>
        <w:ind w:left="567" w:right="567"/>
        <w:jc w:val="both"/>
        <w:rPr>
          <w:rFonts w:ascii="Palatino Linotype" w:hAnsi="Palatino Linotype" w:cs="Consolas"/>
          <w:i/>
          <w:color w:val="000000"/>
          <w:lang w:val="es-MX"/>
        </w:rPr>
      </w:pPr>
      <w:r w:rsidRPr="002D60E6">
        <w:rPr>
          <w:rFonts w:ascii="Palatino Linotype" w:hAnsi="Palatino Linotype" w:cs="Consolas"/>
          <w:i/>
          <w:color w:val="000000"/>
          <w:lang w:val="es-MX"/>
        </w:rPr>
        <w:t xml:space="preserve">En este requerimiento interrumpirá el plazo de respuesta establecido en el artículo 163 de la presente Ley, por lo que comenzará a computarse nuevamente al día siguiente del desahogo por parte del particular. </w:t>
      </w:r>
    </w:p>
    <w:p w:rsidR="00F342F4" w:rsidRPr="002D60E6" w:rsidRDefault="00F342F4" w:rsidP="00F342F4">
      <w:pPr>
        <w:autoSpaceDE w:val="0"/>
        <w:autoSpaceDN w:val="0"/>
        <w:adjustRightInd w:val="0"/>
        <w:spacing w:line="360" w:lineRule="auto"/>
        <w:ind w:left="567" w:right="567"/>
        <w:jc w:val="both"/>
        <w:rPr>
          <w:rFonts w:ascii="Palatino Linotype" w:hAnsi="Palatino Linotype" w:cs="Consolas"/>
          <w:i/>
          <w:color w:val="000000"/>
          <w:lang w:val="es-MX"/>
        </w:rPr>
      </w:pPr>
      <w:r w:rsidRPr="002D60E6">
        <w:rPr>
          <w:rFonts w:ascii="Palatino Linotype" w:hAnsi="Palatino Linotype" w:cs="Consolas"/>
          <w:i/>
          <w:color w:val="000000"/>
          <w:lang w:val="es-MX"/>
        </w:rPr>
        <w:t xml:space="preserve">En este caso, el sujeto obligado atenderá la solicitud en los términos en que fue desahogado el requerimiento de información adicional. </w:t>
      </w:r>
    </w:p>
    <w:p w:rsidR="00F342F4" w:rsidRPr="002D60E6" w:rsidRDefault="00F342F4" w:rsidP="00F342F4">
      <w:pPr>
        <w:autoSpaceDE w:val="0"/>
        <w:autoSpaceDN w:val="0"/>
        <w:adjustRightInd w:val="0"/>
        <w:spacing w:line="360" w:lineRule="auto"/>
        <w:ind w:left="567" w:right="567"/>
        <w:jc w:val="both"/>
        <w:rPr>
          <w:rFonts w:ascii="Palatino Linotype" w:hAnsi="Palatino Linotype" w:cs="Consolas"/>
          <w:i/>
          <w:color w:val="000000"/>
          <w:lang w:val="es-MX"/>
        </w:rPr>
      </w:pPr>
      <w:r w:rsidRPr="002D60E6">
        <w:rPr>
          <w:rFonts w:ascii="Palatino Linotype" w:hAnsi="Palatino Linotype" w:cs="Consolas"/>
          <w:i/>
          <w:color w:val="000000"/>
          <w:lang w:val="es-MX"/>
        </w:rPr>
        <w:t>La solicitud se tendrá por no presentada cuando los solicitantes no atiendan el requerimiento de información adicional, salvo que en la solicitud inicial se aprecien elementos que permitan identificar la información requerida, quedando a salvo los derechos del particular para volver a presentar su solicitud. En el caso de requerimientos parciales no desahogados, se tendrá por presentada la solicitud por lo que respecta a los contenidos de información que no formaron parte del requerimiento.</w:t>
      </w:r>
    </w:p>
    <w:p w:rsidR="00F342F4" w:rsidRPr="002D60E6" w:rsidRDefault="00F342F4">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342F4" w:rsidRPr="002D60E6" w:rsidRDefault="00F342F4">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Por tanto solicitar datos adicionales, al momento de dar respuesta es en perjuicio del derecho humano de acceso a la información del solicitante al no haber recibido información alguna en una etapa en la cual ya debió conocer de la procedencia o improcedencia de su solicitud en una respuesta que para tal efecto emita el </w:t>
      </w:r>
      <w:r w:rsidRPr="002D60E6">
        <w:rPr>
          <w:rFonts w:ascii="Palatino Linotype" w:eastAsia="Palatino Linotype" w:hAnsi="Palatino Linotype" w:cs="Palatino Linotype"/>
          <w:b/>
          <w:color w:val="000000"/>
        </w:rPr>
        <w:t>SUJETO OBLIGADO</w:t>
      </w:r>
      <w:r w:rsidRPr="002D60E6">
        <w:rPr>
          <w:rFonts w:ascii="Palatino Linotype" w:eastAsia="Palatino Linotype" w:hAnsi="Palatino Linotype" w:cs="Palatino Linotype"/>
          <w:color w:val="000000"/>
        </w:rPr>
        <w:t xml:space="preserve"> misma que </w:t>
      </w:r>
      <w:r w:rsidRPr="002D60E6">
        <w:rPr>
          <w:rFonts w:ascii="Palatino Linotype" w:eastAsia="Palatino Linotype" w:hAnsi="Palatino Linotype" w:cs="Palatino Linotype"/>
          <w:color w:val="000000"/>
        </w:rPr>
        <w:lastRenderedPageBreak/>
        <w:t>puede ser impugnada, iniciándose los plazos legales establecido por la materia para tal efecto, lo que va en detrimento del solicitante.</w:t>
      </w:r>
    </w:p>
    <w:p w:rsidR="00526330" w:rsidRPr="002D60E6" w:rsidRDefault="00526330" w:rsidP="00526330">
      <w:pPr>
        <w:spacing w:line="360" w:lineRule="auto"/>
        <w:jc w:val="both"/>
        <w:rPr>
          <w:rFonts w:ascii="Palatino Linotype" w:eastAsia="Palatino Linotype" w:hAnsi="Palatino Linotype" w:cs="Palatino Linotype"/>
          <w:color w:val="000000"/>
        </w:rPr>
      </w:pPr>
    </w:p>
    <w:p w:rsidR="00900F21" w:rsidRPr="002D60E6" w:rsidRDefault="00900F21">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Más aún resulta contrario al ejercicio del derecho de acceso a la información la modificación de la respuesta inicial realizada en la etapa de Manifestaciones, en calidad de informe justificado, por la pretendida clasificación de información</w:t>
      </w:r>
      <w:r w:rsidR="00526330" w:rsidRPr="002D60E6">
        <w:rPr>
          <w:rFonts w:ascii="Palatino Linotype" w:eastAsia="Palatino Linotype" w:hAnsi="Palatino Linotype" w:cs="Palatino Linotype"/>
          <w:color w:val="000000"/>
        </w:rPr>
        <w:t>, derivado de la propia y especial naturaleza de lo solicitado, como lo son facturas pagadas y contratos celebrados con motivo de un evento público.</w:t>
      </w:r>
    </w:p>
    <w:p w:rsidR="00900F21" w:rsidRPr="002D60E6" w:rsidRDefault="00900F21" w:rsidP="00526330">
      <w:pPr>
        <w:rPr>
          <w:rFonts w:ascii="Palatino Linotype" w:eastAsia="Palatino Linotype" w:hAnsi="Palatino Linotype" w:cs="Palatino Linotype"/>
          <w:color w:val="000000"/>
        </w:rPr>
      </w:pPr>
    </w:p>
    <w:p w:rsidR="00F72507" w:rsidRPr="002D60E6" w:rsidRDefault="00526330">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Luego entonces, a efecto de delimitar la naturaleza jurídica a que se hace alusión, se realizan</w:t>
      </w:r>
      <w:r w:rsidR="001C4B97" w:rsidRPr="002D60E6">
        <w:rPr>
          <w:rFonts w:ascii="Palatino Linotype" w:eastAsia="Palatino Linotype" w:hAnsi="Palatino Linotype" w:cs="Palatino Linotype"/>
          <w:color w:val="000000"/>
        </w:rPr>
        <w:t xml:space="preserve"> las siguientes precisiones</w:t>
      </w:r>
      <w:r w:rsidRPr="002D60E6">
        <w:rPr>
          <w:rFonts w:ascii="Palatino Linotype" w:eastAsia="Palatino Linotype" w:hAnsi="Palatino Linotype" w:cs="Palatino Linotype"/>
          <w:color w:val="000000"/>
        </w:rPr>
        <w:t>: primeramente</w:t>
      </w:r>
      <w:r w:rsidR="001C4B97" w:rsidRPr="002D60E6">
        <w:rPr>
          <w:rFonts w:ascii="Palatino Linotype" w:eastAsia="Palatino Linotype" w:hAnsi="Palatino Linotype" w:cs="Palatino Linotype"/>
          <w:color w:val="000000"/>
        </w:rPr>
        <w:t xml:space="preserve"> debemos traer a contexto lo dispuesto en la Ley de la Contratación Pública del Estado de México y Municipios, la cual tiene por objeto regular los actos relativos a la planeación, programación, presupuestación, ejecución y control de la adquisición, enajenación y arrendamiento de bienes, y la </w:t>
      </w:r>
      <w:r w:rsidR="001C4B97" w:rsidRPr="002D60E6">
        <w:rPr>
          <w:rFonts w:ascii="Palatino Linotype" w:eastAsia="Palatino Linotype" w:hAnsi="Palatino Linotype" w:cs="Palatino Linotype"/>
          <w:b/>
          <w:bCs/>
          <w:color w:val="000000"/>
        </w:rPr>
        <w:t>contratación de servicios de cualquier naturaleza, que realicen los Ayuntamientos del Estado</w:t>
      </w:r>
      <w:r w:rsidR="001C4B97" w:rsidRPr="002D60E6">
        <w:rPr>
          <w:rFonts w:ascii="Palatino Linotype" w:eastAsia="Palatino Linotype" w:hAnsi="Palatino Linotype" w:cs="Palatino Linotype"/>
          <w:color w:val="000000"/>
        </w:rPr>
        <w:t xml:space="preserve">; los cuales se </w:t>
      </w:r>
      <w:r w:rsidR="001C4B97" w:rsidRPr="002D60E6">
        <w:rPr>
          <w:rFonts w:ascii="Palatino Linotype" w:eastAsia="Palatino Linotype" w:hAnsi="Palatino Linotype" w:cs="Palatino Linotype"/>
        </w:rPr>
        <w:t>adjudicarán</w:t>
      </w:r>
      <w:r w:rsidR="001C4B97" w:rsidRPr="002D60E6">
        <w:rPr>
          <w:rFonts w:ascii="Palatino Linotype" w:eastAsia="Palatino Linotype" w:hAnsi="Palatino Linotype" w:cs="Palatino Linotype"/>
          <w:color w:val="000000"/>
        </w:rPr>
        <w:t xml:space="preserve"> a través de </w:t>
      </w:r>
      <w:r w:rsidR="001C4B97" w:rsidRPr="002D60E6">
        <w:rPr>
          <w:rFonts w:ascii="Palatino Linotype" w:eastAsia="Palatino Linotype" w:hAnsi="Palatino Linotype" w:cs="Palatino Linotype"/>
          <w:color w:val="000000"/>
          <w:u w:val="single"/>
        </w:rPr>
        <w:t>licitaciones públicas</w:t>
      </w:r>
      <w:r w:rsidR="001C4B97" w:rsidRPr="002D60E6">
        <w:rPr>
          <w:rFonts w:ascii="Palatino Linotype" w:eastAsia="Palatino Linotype" w:hAnsi="Palatino Linotype" w:cs="Palatino Linotype"/>
          <w:color w:val="000000"/>
        </w:rPr>
        <w:t>, i</w:t>
      </w:r>
      <w:r w:rsidR="001C4B97" w:rsidRPr="002D60E6">
        <w:rPr>
          <w:rFonts w:ascii="Palatino Linotype" w:eastAsia="Palatino Linotype" w:hAnsi="Palatino Linotype" w:cs="Palatino Linotype"/>
          <w:color w:val="000000"/>
          <w:u w:val="single"/>
        </w:rPr>
        <w:t>nvitación restringida o adjudicación directa,</w:t>
      </w:r>
      <w:r w:rsidR="001C4B97" w:rsidRPr="002D60E6">
        <w:rPr>
          <w:rFonts w:ascii="Palatino Linotype" w:eastAsia="Palatino Linotype" w:hAnsi="Palatino Linotype" w:cs="Palatino Linotype"/>
          <w:color w:val="000000"/>
        </w:rPr>
        <w:t xml:space="preserve"> mediante convocatoria pública, tal y como lo establecen los artículos 4, 26 y 27 de dicha Ley, los cuales son del tenor siguiente:</w:t>
      </w:r>
    </w:p>
    <w:p w:rsidR="00F72507" w:rsidRPr="002D60E6" w:rsidRDefault="001C4B97">
      <w:pPr>
        <w:spacing w:line="360" w:lineRule="auto"/>
        <w:ind w:left="851" w:right="82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w:t>
      </w:r>
      <w:r w:rsidRPr="002D60E6">
        <w:rPr>
          <w:rFonts w:ascii="Palatino Linotype" w:eastAsia="Palatino Linotype" w:hAnsi="Palatino Linotype" w:cs="Palatino Linotype"/>
          <w:b/>
          <w:bCs/>
          <w:i/>
          <w:iCs/>
        </w:rPr>
        <w:t>Artículo 4.-</w:t>
      </w:r>
      <w:r w:rsidRPr="002D60E6">
        <w:rPr>
          <w:rFonts w:ascii="Palatino Linotype" w:eastAsia="Palatino Linotype" w:hAnsi="Palatino Linotype" w:cs="Palatino Linotype"/>
          <w:i/>
          <w:iCs/>
        </w:rPr>
        <w:t xml:space="preserve"> Para los efectos de esta Ley, en las adquisiciones, enajenaciones, arrendamientos y servicios, quedan comprendidos: </w:t>
      </w:r>
    </w:p>
    <w:p w:rsidR="00F72507" w:rsidRPr="002D60E6" w:rsidRDefault="001C4B97">
      <w:pPr>
        <w:spacing w:line="360" w:lineRule="auto"/>
        <w:ind w:left="851" w:right="82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 xml:space="preserve">I. La adquisición de bienes muebles. </w:t>
      </w:r>
    </w:p>
    <w:p w:rsidR="00F72507" w:rsidRPr="002D60E6" w:rsidRDefault="001C4B97">
      <w:pPr>
        <w:spacing w:line="360" w:lineRule="auto"/>
        <w:ind w:left="851" w:right="82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 xml:space="preserve">II. La adquisición de bienes inmuebles, a través de compraventa. </w:t>
      </w:r>
    </w:p>
    <w:p w:rsidR="00F72507" w:rsidRPr="002D60E6" w:rsidRDefault="001C4B97">
      <w:pPr>
        <w:spacing w:line="360" w:lineRule="auto"/>
        <w:ind w:left="851" w:right="82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 xml:space="preserve">III. La enajenación de bienes muebles e inmuebles. </w:t>
      </w:r>
    </w:p>
    <w:p w:rsidR="00F72507" w:rsidRPr="002D60E6" w:rsidRDefault="001C4B97">
      <w:pPr>
        <w:spacing w:line="360" w:lineRule="auto"/>
        <w:ind w:left="851" w:right="82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lastRenderedPageBreak/>
        <w:t xml:space="preserve">IV. El arrendamiento de bienes muebles e inmuebles. </w:t>
      </w:r>
    </w:p>
    <w:p w:rsidR="00F72507" w:rsidRPr="002D60E6" w:rsidRDefault="001C4B97">
      <w:pPr>
        <w:spacing w:line="360" w:lineRule="auto"/>
        <w:ind w:left="851" w:right="82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 xml:space="preserve">V. La contratación de los servicios, relacionados con bienes muebles que se encuentran incorporados o adheridos a bienes inmuebles, cuya instalación o mantenimiento no implique modificación al bien inmueble. </w:t>
      </w:r>
    </w:p>
    <w:p w:rsidR="00F72507" w:rsidRPr="002D60E6" w:rsidRDefault="001C4B97">
      <w:pPr>
        <w:spacing w:line="360" w:lineRule="auto"/>
        <w:ind w:left="851" w:right="82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 xml:space="preserve">VI. La contratación de los servicios de reconstrucción y mantenimiento de bienes muebles. </w:t>
      </w:r>
    </w:p>
    <w:p w:rsidR="00F72507" w:rsidRPr="002D60E6" w:rsidRDefault="001C4B97">
      <w:pPr>
        <w:spacing w:line="360" w:lineRule="auto"/>
        <w:ind w:left="851" w:right="82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VII. La contratación de los servicios de maquila, seguros y transportación, así como de los de limpieza y vigilancia de bienes inmuebles</w:t>
      </w:r>
    </w:p>
    <w:p w:rsidR="00F72507" w:rsidRPr="002D60E6" w:rsidRDefault="001C4B97">
      <w:pPr>
        <w:spacing w:line="360" w:lineRule="auto"/>
        <w:ind w:left="851" w:right="82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 xml:space="preserve">VIII. La prestación de servicios profesionales, la contratación de consultorías, asesorías y estudios e investigaciones, excepto la contratación de servicios personales de personas físicas bajo el régimen de honorarios. </w:t>
      </w:r>
    </w:p>
    <w:p w:rsidR="00F72507" w:rsidRPr="002D60E6" w:rsidRDefault="001C4B97">
      <w:pPr>
        <w:spacing w:line="360" w:lineRule="auto"/>
        <w:ind w:left="851" w:right="82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En general, otros actos que impliquen la contratación de servicios de cualquier naturaleza.</w:t>
      </w:r>
    </w:p>
    <w:p w:rsidR="00526330" w:rsidRPr="002D60E6" w:rsidRDefault="00526330">
      <w:pPr>
        <w:spacing w:line="360" w:lineRule="auto"/>
        <w:ind w:left="851" w:right="822"/>
        <w:jc w:val="both"/>
        <w:rPr>
          <w:rFonts w:ascii="Palatino Linotype" w:eastAsia="Palatino Linotype" w:hAnsi="Palatino Linotype" w:cs="Palatino Linotype"/>
          <w:i/>
          <w:iCs/>
        </w:rPr>
      </w:pPr>
    </w:p>
    <w:p w:rsidR="00F72507" w:rsidRPr="002D60E6" w:rsidRDefault="001C4B97">
      <w:pPr>
        <w:spacing w:line="360" w:lineRule="auto"/>
        <w:ind w:left="851" w:right="822"/>
        <w:jc w:val="both"/>
        <w:rPr>
          <w:rFonts w:ascii="Palatino Linotype" w:eastAsia="Palatino Linotype" w:hAnsi="Palatino Linotype" w:cs="Palatino Linotype"/>
          <w:b/>
          <w:bCs/>
          <w:i/>
          <w:iCs/>
        </w:rPr>
      </w:pPr>
      <w:r w:rsidRPr="002D60E6">
        <w:rPr>
          <w:rFonts w:ascii="Palatino Linotype" w:eastAsia="Palatino Linotype" w:hAnsi="Palatino Linotype" w:cs="Palatino Linotype"/>
          <w:b/>
          <w:bCs/>
          <w:i/>
          <w:iCs/>
        </w:rPr>
        <w:t>Artículo 26.- Las adquisiciones, arrendamientos y servicios se adjudicarán a través de licitaciones públicas, mediante convocatoria pública.</w:t>
      </w:r>
    </w:p>
    <w:p w:rsidR="00F72507" w:rsidRPr="002D60E6" w:rsidRDefault="00F72507">
      <w:pPr>
        <w:spacing w:line="360" w:lineRule="auto"/>
        <w:ind w:left="851" w:right="822"/>
        <w:jc w:val="both"/>
        <w:rPr>
          <w:rFonts w:ascii="Palatino Linotype" w:eastAsia="Palatino Linotype" w:hAnsi="Palatino Linotype" w:cs="Palatino Linotype"/>
          <w:b/>
          <w:bCs/>
          <w:i/>
          <w:iCs/>
        </w:rPr>
      </w:pPr>
    </w:p>
    <w:p w:rsidR="00F72507" w:rsidRPr="002D60E6" w:rsidRDefault="001C4B97">
      <w:pPr>
        <w:spacing w:line="360" w:lineRule="auto"/>
        <w:ind w:left="851" w:right="822"/>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 xml:space="preserve">Artículo 27.- </w:t>
      </w:r>
      <w:r w:rsidRPr="002D60E6">
        <w:rPr>
          <w:rFonts w:ascii="Palatino Linotype" w:eastAsia="Palatino Linotype" w:hAnsi="Palatino Linotype" w:cs="Palatino Linotype"/>
          <w:i/>
          <w:iCs/>
        </w:rPr>
        <w:t xml:space="preserve">La Secretaría, las entidades, los tribunales administrativos y los ayuntamientos podrán adjudicar adquisiciones, arrendamientos y servicios, mediante las excepciones al procedimiento de licitación que a continuación se señalan: </w:t>
      </w:r>
    </w:p>
    <w:p w:rsidR="00F72507" w:rsidRPr="002D60E6" w:rsidRDefault="001C4B97">
      <w:pPr>
        <w:spacing w:line="360" w:lineRule="auto"/>
        <w:ind w:left="851" w:right="822"/>
        <w:jc w:val="both"/>
        <w:rPr>
          <w:rFonts w:ascii="Palatino Linotype" w:eastAsia="Palatino Linotype" w:hAnsi="Palatino Linotype" w:cs="Palatino Linotype"/>
          <w:b/>
          <w:bCs/>
          <w:i/>
          <w:iCs/>
        </w:rPr>
      </w:pPr>
      <w:r w:rsidRPr="002D60E6">
        <w:rPr>
          <w:rFonts w:ascii="Palatino Linotype" w:eastAsia="Palatino Linotype" w:hAnsi="Palatino Linotype" w:cs="Palatino Linotype"/>
          <w:b/>
          <w:bCs/>
          <w:i/>
          <w:iCs/>
        </w:rPr>
        <w:t xml:space="preserve">I. Invitación restringida. </w:t>
      </w:r>
    </w:p>
    <w:p w:rsidR="00F72507" w:rsidRPr="002D60E6" w:rsidRDefault="001C4B97">
      <w:pPr>
        <w:spacing w:line="360" w:lineRule="auto"/>
        <w:ind w:left="851" w:right="822"/>
        <w:jc w:val="both"/>
        <w:rPr>
          <w:rFonts w:ascii="Palatino Linotype" w:eastAsia="Palatino Linotype" w:hAnsi="Palatino Linotype" w:cs="Palatino Linotype"/>
          <w:b/>
          <w:bCs/>
          <w:i/>
          <w:iCs/>
        </w:rPr>
      </w:pPr>
      <w:r w:rsidRPr="002D60E6">
        <w:rPr>
          <w:rFonts w:ascii="Palatino Linotype" w:eastAsia="Palatino Linotype" w:hAnsi="Palatino Linotype" w:cs="Palatino Linotype"/>
          <w:b/>
          <w:bCs/>
          <w:i/>
          <w:iCs/>
        </w:rPr>
        <w:t>II. Adjudicación directa.”</w:t>
      </w:r>
    </w:p>
    <w:p w:rsidR="00F72507" w:rsidRPr="002D60E6" w:rsidRDefault="001C4B97">
      <w:pPr>
        <w:spacing w:line="360" w:lineRule="auto"/>
        <w:ind w:left="567" w:right="567"/>
        <w:rPr>
          <w:rFonts w:ascii="Palatino Linotype" w:eastAsia="Palatino Linotype" w:hAnsi="Palatino Linotype" w:cs="Palatino Linotype"/>
        </w:rPr>
      </w:pPr>
      <w:r w:rsidRPr="002D60E6">
        <w:rPr>
          <w:rFonts w:ascii="Palatino Linotype" w:eastAsia="Palatino Linotype" w:hAnsi="Palatino Linotype" w:cs="Palatino Linotype"/>
        </w:rPr>
        <w:t xml:space="preserve">(Énfasis añadido) </w:t>
      </w: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lastRenderedPageBreak/>
        <w:t>Asimismo, en las licitaciones se debe seguir el procedimiento marcado en el artículo 35 del precitado ordenamiento, que literalmente establece:</w:t>
      </w:r>
    </w:p>
    <w:p w:rsidR="00F72507" w:rsidRPr="002D60E6" w:rsidRDefault="001C4B97">
      <w:pPr>
        <w:spacing w:line="360" w:lineRule="auto"/>
        <w:ind w:left="567" w:right="567"/>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“Artículo 35</w:t>
      </w:r>
      <w:r w:rsidRPr="002D60E6">
        <w:rPr>
          <w:rFonts w:ascii="Palatino Linotype" w:eastAsia="Palatino Linotype" w:hAnsi="Palatino Linotype" w:cs="Palatino Linotype"/>
          <w:i/>
          <w:iCs/>
        </w:rPr>
        <w:t>.- En los procedimientos de licitación pública se observará lo siguiente:</w:t>
      </w:r>
    </w:p>
    <w:p w:rsidR="00F72507" w:rsidRPr="002D60E6" w:rsidRDefault="001C4B97">
      <w:pPr>
        <w:spacing w:line="360" w:lineRule="auto"/>
        <w:ind w:left="567" w:right="567"/>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I. El acto de presentación y apertura de propuestas se llevará a cabo por el servidor público que designe la convocante, conforme al procedimiento que se establezca en el reglamento de esta Ley.</w:t>
      </w:r>
    </w:p>
    <w:p w:rsidR="00F72507" w:rsidRPr="002D60E6" w:rsidRDefault="001C4B97">
      <w:pPr>
        <w:spacing w:line="360" w:lineRule="auto"/>
        <w:ind w:left="567" w:right="567"/>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II. El comité de adquisiciones y servicios evaluará y analizará las propuestas técnicas y económicas presentadas por los licitantes en el ámbito de las respectivas competencias de sus integrantes, y emitirá el dictamen de adjudicación.</w:t>
      </w:r>
    </w:p>
    <w:p w:rsidR="00F72507" w:rsidRPr="002D60E6" w:rsidRDefault="001C4B97">
      <w:pPr>
        <w:spacing w:line="360" w:lineRule="auto"/>
        <w:ind w:left="567" w:right="567"/>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 xml:space="preserve">III. Las bases de licitación se pondrán a la venta a partir de la fecha de publicación de la convocatoria y hasta el día hábil anterior a la fecha de celebración </w:t>
      </w:r>
      <w:r w:rsidRPr="002D60E6">
        <w:rPr>
          <w:rFonts w:ascii="Palatino Linotype" w:eastAsia="Palatino Linotype" w:hAnsi="Palatino Linotype" w:cs="Palatino Linotype"/>
          <w:b/>
          <w:bCs/>
          <w:i/>
          <w:iCs/>
        </w:rPr>
        <w:t xml:space="preserve">de la </w:t>
      </w:r>
      <w:r w:rsidRPr="002D60E6">
        <w:rPr>
          <w:rFonts w:ascii="Palatino Linotype" w:eastAsia="Palatino Linotype" w:hAnsi="Palatino Linotype" w:cs="Palatino Linotype"/>
          <w:i/>
          <w:iCs/>
        </w:rPr>
        <w:t>junta de aclaraciones o, en su defecto, del acto de presentación y apertura de propuestas.</w:t>
      </w:r>
    </w:p>
    <w:p w:rsidR="00F72507" w:rsidRPr="002D60E6" w:rsidRDefault="001C4B97">
      <w:pPr>
        <w:spacing w:line="360" w:lineRule="auto"/>
        <w:ind w:left="567" w:right="567"/>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IV. Las convocantes podrán modificar los plazos y términos establecidos en la convocatoria o en las bases de licitación, hasta cinco días hábiles anteriores a la fecha de la celebración del acto de presentación y apertura de propuestas.</w:t>
      </w:r>
    </w:p>
    <w:p w:rsidR="00F72507" w:rsidRPr="002D60E6" w:rsidRDefault="001C4B97">
      <w:pPr>
        <w:spacing w:line="360" w:lineRule="auto"/>
        <w:ind w:left="567" w:right="567"/>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V. Las modificaciones no podrán limitar el número de licitantes, sustituir o variar sustancialmente los bienes o servicios convocados originalmente, ni adicionar otros  distintos.</w:t>
      </w:r>
    </w:p>
    <w:p w:rsidR="00F72507" w:rsidRPr="002D60E6" w:rsidRDefault="001C4B97">
      <w:pPr>
        <w:spacing w:line="360" w:lineRule="auto"/>
        <w:ind w:left="567" w:right="567"/>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VI. Las modificaciones a la convocatoria o a las bases se harán del conocimiento de los interesados hasta tres días hábiles antes de la fecha señalada para el acto de presentación y apertura de propuestas.</w:t>
      </w:r>
    </w:p>
    <w:p w:rsidR="00F72507" w:rsidRPr="002D60E6" w:rsidRDefault="001C4B97">
      <w:pPr>
        <w:spacing w:line="360" w:lineRule="auto"/>
        <w:ind w:left="567" w:right="567"/>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VII. Se emitirá el fallo dentro de los 15 días hábiles siguientes a la publicación de la convocatoria.</w:t>
      </w:r>
    </w:p>
    <w:p w:rsidR="00F72507" w:rsidRPr="002D60E6" w:rsidRDefault="001C4B97">
      <w:pPr>
        <w:spacing w:line="360" w:lineRule="auto"/>
        <w:ind w:left="567" w:right="567"/>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lastRenderedPageBreak/>
        <w:t>VIII. Los licitantes se podrán registrar hasta el día y la hora fijados para el acto de presentación y apertura de propuestas.</w:t>
      </w:r>
      <w:r w:rsidRPr="002D60E6">
        <w:rPr>
          <w:rFonts w:ascii="Palatino Linotype" w:eastAsia="Palatino Linotype" w:hAnsi="Palatino Linotype" w:cs="Palatino Linotype"/>
          <w:b/>
          <w:bCs/>
          <w:i/>
          <w:iCs/>
        </w:rPr>
        <w:t>”</w:t>
      </w:r>
    </w:p>
    <w:p w:rsidR="00F72507" w:rsidRPr="002D60E6" w:rsidRDefault="001C4B97">
      <w:pPr>
        <w:spacing w:line="360" w:lineRule="auto"/>
        <w:ind w:left="567" w:right="567"/>
        <w:rPr>
          <w:rFonts w:ascii="Palatino Linotype" w:eastAsia="Palatino Linotype" w:hAnsi="Palatino Linotype" w:cs="Palatino Linotype"/>
        </w:rPr>
      </w:pPr>
      <w:r w:rsidRPr="002D60E6">
        <w:rPr>
          <w:rFonts w:ascii="Palatino Linotype" w:eastAsia="Palatino Linotype" w:hAnsi="Palatino Linotype" w:cs="Palatino Linotype"/>
        </w:rPr>
        <w:t>(Énfasis añadido)</w:t>
      </w:r>
    </w:p>
    <w:p w:rsidR="00F72507" w:rsidRPr="002D60E6" w:rsidRDefault="00F72507">
      <w:pPr>
        <w:spacing w:line="360" w:lineRule="auto"/>
        <w:ind w:left="567" w:right="567"/>
        <w:jc w:val="right"/>
        <w:rPr>
          <w:rFonts w:ascii="Palatino Linotype" w:eastAsia="Palatino Linotype" w:hAnsi="Palatino Linotype" w:cs="Palatino Linotype"/>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Del precepto legal, se desprende que al Comité de Adquisiciones y Servicios, le corresponde evaluar y analizar las propuestas técnicas y económicas presentadas por los 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rsidR="00F72507" w:rsidRPr="002D60E6" w:rsidRDefault="00F7250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Ahora bien, por cuanto hace a la invitación restringida el artículo 44 de la Ley de la Contratación Pública del Estado de México y Municipios, dispone que podrá realizarse cuando se hubiere declarado desierto un procedimiento de licitación o cuando el importe de la operación no exceda de los montos establecidos por el Presupuesto de Egresos del Gobierno del Estado de México del ejercicio correspondiente. </w:t>
      </w:r>
    </w:p>
    <w:p w:rsidR="00F72507" w:rsidRPr="002D60E6" w:rsidRDefault="00F72507">
      <w:pPr>
        <w:spacing w:line="360" w:lineRule="auto"/>
        <w:jc w:val="both"/>
        <w:rPr>
          <w:rFonts w:ascii="Palatino Linotype" w:eastAsia="Palatino Linotype" w:hAnsi="Palatino Linotype" w:cs="Palatino Linotype"/>
          <w:color w:val="000000"/>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En este sentido, debe decirse que los </w:t>
      </w:r>
      <w:r w:rsidRPr="002D60E6">
        <w:rPr>
          <w:rFonts w:ascii="Palatino Linotype" w:eastAsia="Palatino Linotype" w:hAnsi="Palatino Linotype" w:cs="Palatino Linotype"/>
          <w:b/>
          <w:bCs/>
          <w:color w:val="000000"/>
          <w:u w:val="single"/>
        </w:rPr>
        <w:t>expedientes de las adquisiciones, arrendamientos, enajenaciones y servicios</w:t>
      </w:r>
      <w:r w:rsidRPr="002D60E6">
        <w:rPr>
          <w:rFonts w:ascii="Palatino Linotype" w:eastAsia="Palatino Linotype" w:hAnsi="Palatino Linotype" w:cs="Palatino Linotype"/>
          <w:color w:val="000000"/>
        </w:rPr>
        <w:t xml:space="preserve">, se encuentra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w:t>
      </w:r>
      <w:r w:rsidRPr="002D60E6">
        <w:rPr>
          <w:rFonts w:ascii="Palatino Linotype" w:eastAsia="Palatino Linotype" w:hAnsi="Palatino Linotype" w:cs="Palatino Linotype"/>
          <w:color w:val="000000"/>
        </w:rPr>
        <w:lastRenderedPageBreak/>
        <w:t>el artículo 92 de la de la Ley de Transparencia y Acceso a la Información Pública del Estado de México y Municipios, en su fracción XXIX, dispone lo siguiente:</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“Artículo 92. </w:t>
      </w:r>
      <w:r w:rsidRPr="002D60E6">
        <w:rPr>
          <w:rFonts w:ascii="Palatino Linotype" w:eastAsia="Palatino Linotype" w:hAnsi="Palatino Linotype" w:cs="Palatino Linotype"/>
          <w:i/>
          <w:iC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i/>
          <w:iCs/>
        </w:rPr>
        <w:t>(…)</w:t>
      </w:r>
    </w:p>
    <w:p w:rsidR="00F72507" w:rsidRPr="002D60E6" w:rsidRDefault="00F72507">
      <w:pPr>
        <w:spacing w:line="360" w:lineRule="auto"/>
        <w:ind w:left="851" w:right="822"/>
        <w:jc w:val="both"/>
        <w:rPr>
          <w:rFonts w:ascii="Palatino Linotype" w:eastAsia="Palatino Linotype" w:hAnsi="Palatino Linotype" w:cs="Palatino Linotype"/>
          <w:b/>
          <w:bCs/>
          <w:i/>
          <w:iCs/>
        </w:rPr>
      </w:pP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XXIX. </w:t>
      </w:r>
      <w:r w:rsidRPr="002D60E6">
        <w:rPr>
          <w:rFonts w:ascii="Palatino Linotype" w:eastAsia="Palatino Linotype" w:hAnsi="Palatino Linotype" w:cs="Palatino Linotype"/>
          <w:i/>
          <w:iCs/>
        </w:rPr>
        <w:t>La información sobre los procesos y resultados sobre procedimientos de adjudicación directa, invitación restringida y licitación de cualquier naturaleza, </w:t>
      </w:r>
      <w:r w:rsidRPr="002D60E6">
        <w:rPr>
          <w:rFonts w:ascii="Palatino Linotype" w:eastAsia="Palatino Linotype" w:hAnsi="Palatino Linotype" w:cs="Palatino Linotype"/>
          <w:b/>
          <w:bCs/>
          <w:i/>
          <w:iCs/>
          <w:u w:val="single"/>
        </w:rPr>
        <w:t>incluyendo la versión pública del expediente respectivo y de los contratos</w:t>
      </w:r>
      <w:r w:rsidRPr="002D60E6">
        <w:rPr>
          <w:rFonts w:ascii="Palatino Linotype" w:eastAsia="Palatino Linotype" w:hAnsi="Palatino Linotype" w:cs="Palatino Linotype"/>
          <w:i/>
          <w:iCs/>
        </w:rPr>
        <w:t> celebrados, que deberán contener, por los menos, lo siguiente:</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a) </w:t>
      </w:r>
      <w:r w:rsidRPr="002D60E6">
        <w:rPr>
          <w:rFonts w:ascii="Palatino Linotype" w:eastAsia="Palatino Linotype" w:hAnsi="Palatino Linotype" w:cs="Palatino Linotype"/>
          <w:i/>
          <w:iCs/>
        </w:rPr>
        <w:t>De licitaciones públicas o procedimientos de invitación restringida:</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1)</w:t>
      </w:r>
      <w:r w:rsidRPr="002D60E6">
        <w:rPr>
          <w:rFonts w:ascii="Palatino Linotype" w:eastAsia="Palatino Linotype" w:hAnsi="Palatino Linotype" w:cs="Palatino Linotype"/>
          <w:i/>
          <w:iCs/>
        </w:rPr>
        <w:t> La convocatoria o invitación emitida, así como los fundamentos legales aplicados para llevarla a cabo;</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2) </w:t>
      </w:r>
      <w:r w:rsidRPr="002D60E6">
        <w:rPr>
          <w:rFonts w:ascii="Palatino Linotype" w:eastAsia="Palatino Linotype" w:hAnsi="Palatino Linotype" w:cs="Palatino Linotype"/>
          <w:i/>
          <w:iCs/>
        </w:rPr>
        <w:t>Los nombres de los participantes o invitados;</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3)</w:t>
      </w:r>
      <w:r w:rsidRPr="002D60E6">
        <w:rPr>
          <w:rFonts w:ascii="Palatino Linotype" w:eastAsia="Palatino Linotype" w:hAnsi="Palatino Linotype" w:cs="Palatino Linotype"/>
          <w:i/>
          <w:iCs/>
        </w:rPr>
        <w:t> El nombre del ganador y las razones que lo justifican;</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4) </w:t>
      </w:r>
      <w:r w:rsidRPr="002D60E6">
        <w:rPr>
          <w:rFonts w:ascii="Palatino Linotype" w:eastAsia="Palatino Linotype" w:hAnsi="Palatino Linotype" w:cs="Palatino Linotype"/>
          <w:i/>
          <w:iCs/>
        </w:rPr>
        <w:t>El área solicitante y la responsable de su ejecución;</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5) </w:t>
      </w:r>
      <w:r w:rsidRPr="002D60E6">
        <w:rPr>
          <w:rFonts w:ascii="Palatino Linotype" w:eastAsia="Palatino Linotype" w:hAnsi="Palatino Linotype" w:cs="Palatino Linotype"/>
          <w:i/>
          <w:iCs/>
        </w:rPr>
        <w:t>Las convocatorias e invitaciones emitidas;</w:t>
      </w:r>
    </w:p>
    <w:p w:rsidR="00F72507" w:rsidRPr="002D60E6" w:rsidRDefault="001C4B97">
      <w:pPr>
        <w:spacing w:line="360" w:lineRule="auto"/>
        <w:ind w:left="851" w:right="82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6) Los dictámenes y fallo de adjudicación;</w:t>
      </w:r>
    </w:p>
    <w:p w:rsidR="00F72507" w:rsidRPr="002D60E6" w:rsidRDefault="001C4B97">
      <w:pPr>
        <w:spacing w:line="360" w:lineRule="auto"/>
        <w:ind w:left="851" w:right="822"/>
        <w:jc w:val="both"/>
        <w:rPr>
          <w:rFonts w:ascii="Palatino Linotype" w:eastAsia="Palatino Linotype" w:hAnsi="Palatino Linotype" w:cs="Palatino Linotype"/>
          <w:b/>
          <w:bCs/>
          <w:i/>
          <w:iCs/>
        </w:rPr>
      </w:pPr>
      <w:r w:rsidRPr="002D60E6">
        <w:rPr>
          <w:rFonts w:ascii="Palatino Linotype" w:eastAsia="Palatino Linotype" w:hAnsi="Palatino Linotype" w:cs="Palatino Linotype"/>
          <w:b/>
          <w:bCs/>
          <w:i/>
          <w:iCs/>
          <w:u w:val="single"/>
        </w:rPr>
        <w:t>7) El contrato y, en su caso, sus anexos</w:t>
      </w:r>
      <w:r w:rsidRPr="002D60E6">
        <w:rPr>
          <w:rFonts w:ascii="Palatino Linotype" w:eastAsia="Palatino Linotype" w:hAnsi="Palatino Linotype" w:cs="Palatino Linotype"/>
          <w:b/>
          <w:bCs/>
          <w:i/>
          <w:iCs/>
        </w:rPr>
        <w:t>;</w:t>
      </w:r>
    </w:p>
    <w:p w:rsidR="00F72507" w:rsidRPr="002D60E6" w:rsidRDefault="001C4B97">
      <w:pPr>
        <w:spacing w:line="360" w:lineRule="auto"/>
        <w:ind w:left="851" w:right="82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lastRenderedPageBreak/>
        <w:t>8) Los mecanismos de vigilancia y supervisión, incluyendo en su caso, los estudios de impacto urbano y ambiental, según corresponda;</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9) </w:t>
      </w:r>
      <w:r w:rsidRPr="002D60E6">
        <w:rPr>
          <w:rFonts w:ascii="Palatino Linotype" w:eastAsia="Palatino Linotype" w:hAnsi="Palatino Linotype" w:cs="Palatino Linotype"/>
          <w:i/>
          <w:iCs/>
        </w:rPr>
        <w:t>La partida presupuestal, de conformidad con el clasificador por objeto del gasto, en el caso de ser aplicable;</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i/>
          <w:iCs/>
        </w:rPr>
        <w:t>10) Origen de los recursos especificando si son federales, estatales o municipales, así como el tipo de fondo de participación o aportación respectiva;</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11) </w:t>
      </w:r>
      <w:r w:rsidRPr="002D60E6">
        <w:rPr>
          <w:rFonts w:ascii="Palatino Linotype" w:eastAsia="Palatino Linotype" w:hAnsi="Palatino Linotype" w:cs="Palatino Linotype"/>
          <w:i/>
          <w:iCs/>
        </w:rPr>
        <w:t>Los convenios modificatorios que, en su caso, sean firmados, precisando el objeto y la fecha de celebración;</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12) </w:t>
      </w:r>
      <w:r w:rsidRPr="002D60E6">
        <w:rPr>
          <w:rFonts w:ascii="Palatino Linotype" w:eastAsia="Palatino Linotype" w:hAnsi="Palatino Linotype" w:cs="Palatino Linotype"/>
          <w:i/>
          <w:iCs/>
        </w:rPr>
        <w:t>Los informes de avance físico y financiero sobre las obras o servicios contratados;</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13) </w:t>
      </w:r>
      <w:r w:rsidRPr="002D60E6">
        <w:rPr>
          <w:rFonts w:ascii="Palatino Linotype" w:eastAsia="Palatino Linotype" w:hAnsi="Palatino Linotype" w:cs="Palatino Linotype"/>
          <w:i/>
          <w:iCs/>
        </w:rPr>
        <w:t>El convenio de terminación; y</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14) </w:t>
      </w:r>
      <w:r w:rsidRPr="002D60E6">
        <w:rPr>
          <w:rFonts w:ascii="Palatino Linotype" w:eastAsia="Palatino Linotype" w:hAnsi="Palatino Linotype" w:cs="Palatino Linotype"/>
          <w:i/>
          <w:iCs/>
        </w:rPr>
        <w:t>El finiquito.</w:t>
      </w:r>
    </w:p>
    <w:p w:rsidR="00F72507" w:rsidRPr="002D60E6" w:rsidRDefault="001C4B97">
      <w:pPr>
        <w:spacing w:line="360" w:lineRule="auto"/>
        <w:ind w:left="851" w:right="822"/>
        <w:jc w:val="both"/>
        <w:rPr>
          <w:rFonts w:ascii="Palatino Linotype" w:eastAsia="Palatino Linotype" w:hAnsi="Palatino Linotype" w:cs="Palatino Linotype"/>
          <w:b/>
          <w:bCs/>
        </w:rPr>
      </w:pPr>
      <w:r w:rsidRPr="002D60E6">
        <w:rPr>
          <w:rFonts w:ascii="Palatino Linotype" w:eastAsia="Palatino Linotype" w:hAnsi="Palatino Linotype" w:cs="Palatino Linotype"/>
          <w:b/>
          <w:bCs/>
          <w:i/>
          <w:iCs/>
        </w:rPr>
        <w:t>b) De las adjudicaciones directas:</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1) </w:t>
      </w:r>
      <w:r w:rsidRPr="002D60E6">
        <w:rPr>
          <w:rFonts w:ascii="Palatino Linotype" w:eastAsia="Palatino Linotype" w:hAnsi="Palatino Linotype" w:cs="Palatino Linotype"/>
          <w:i/>
          <w:iCs/>
        </w:rPr>
        <w:t>La propuesta enviada por el participante;</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2) </w:t>
      </w:r>
      <w:r w:rsidRPr="002D60E6">
        <w:rPr>
          <w:rFonts w:ascii="Palatino Linotype" w:eastAsia="Palatino Linotype" w:hAnsi="Palatino Linotype" w:cs="Palatino Linotype"/>
          <w:i/>
          <w:iCs/>
        </w:rPr>
        <w:t>Los motivos y fundamentos legales aplicados para llevarla a cabo;</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3) </w:t>
      </w:r>
      <w:r w:rsidRPr="002D60E6">
        <w:rPr>
          <w:rFonts w:ascii="Palatino Linotype" w:eastAsia="Palatino Linotype" w:hAnsi="Palatino Linotype" w:cs="Palatino Linotype"/>
          <w:i/>
          <w:iCs/>
        </w:rPr>
        <w:t>La autorización del ejercicio de la opción;</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i/>
          <w:iCs/>
        </w:rPr>
        <w:t>4) En su caso, las cotizaciones consideradas, especificando los nombres de los proveedores y sus montos;</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5) </w:t>
      </w:r>
      <w:r w:rsidRPr="002D60E6">
        <w:rPr>
          <w:rFonts w:ascii="Palatino Linotype" w:eastAsia="Palatino Linotype" w:hAnsi="Palatino Linotype" w:cs="Palatino Linotype"/>
          <w:i/>
          <w:iCs/>
        </w:rPr>
        <w:t>El nombre de la persona física o jurídica colectiva adjudicada;</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6) </w:t>
      </w:r>
      <w:r w:rsidRPr="002D60E6">
        <w:rPr>
          <w:rFonts w:ascii="Palatino Linotype" w:eastAsia="Palatino Linotype" w:hAnsi="Palatino Linotype" w:cs="Palatino Linotype"/>
          <w:i/>
          <w:iCs/>
        </w:rPr>
        <w:t>La unidad administrativa solicitante y la responsable de su ejecución;</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7)</w:t>
      </w:r>
      <w:r w:rsidRPr="002D60E6">
        <w:rPr>
          <w:rFonts w:ascii="Palatino Linotype" w:eastAsia="Palatino Linotype" w:hAnsi="Palatino Linotype" w:cs="Palatino Linotype"/>
          <w:i/>
          <w:iCs/>
        </w:rPr>
        <w:t> El número, fecha, el monto del contrato y el plazo de entrega o de ejecución de los servicios u obra;</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8) </w:t>
      </w:r>
      <w:r w:rsidRPr="002D60E6">
        <w:rPr>
          <w:rFonts w:ascii="Palatino Linotype" w:eastAsia="Palatino Linotype" w:hAnsi="Palatino Linotype" w:cs="Palatino Linotype"/>
          <w:i/>
          <w:iCs/>
        </w:rPr>
        <w:t>Los mecanismos de vigilancia y supervisión, incluyendo, en su caso, los estudios de impacto urbano y ambiental, según corresponda;</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lastRenderedPageBreak/>
        <w:t>9) </w:t>
      </w:r>
      <w:r w:rsidRPr="002D60E6">
        <w:rPr>
          <w:rFonts w:ascii="Palatino Linotype" w:eastAsia="Palatino Linotype" w:hAnsi="Palatino Linotype" w:cs="Palatino Linotype"/>
          <w:i/>
          <w:iCs/>
        </w:rPr>
        <w:t>Los informes de avance sobre las obras o servicios contratados;</w:t>
      </w:r>
    </w:p>
    <w:p w:rsidR="00F72507" w:rsidRPr="002D60E6" w:rsidRDefault="001C4B97">
      <w:pPr>
        <w:spacing w:line="360" w:lineRule="auto"/>
        <w:ind w:left="851" w:right="822"/>
        <w:jc w:val="both"/>
        <w:rPr>
          <w:rFonts w:ascii="Palatino Linotype" w:eastAsia="Palatino Linotype" w:hAnsi="Palatino Linotype" w:cs="Palatino Linotype"/>
        </w:rPr>
      </w:pPr>
      <w:r w:rsidRPr="002D60E6">
        <w:rPr>
          <w:rFonts w:ascii="Palatino Linotype" w:eastAsia="Palatino Linotype" w:hAnsi="Palatino Linotype" w:cs="Palatino Linotype"/>
          <w:b/>
          <w:bCs/>
          <w:i/>
          <w:iCs/>
        </w:rPr>
        <w:t>10) </w:t>
      </w:r>
      <w:r w:rsidRPr="002D60E6">
        <w:rPr>
          <w:rFonts w:ascii="Palatino Linotype" w:eastAsia="Palatino Linotype" w:hAnsi="Palatino Linotype" w:cs="Palatino Linotype"/>
          <w:i/>
          <w:iCs/>
        </w:rPr>
        <w:t>El convenio de terminación; y</w:t>
      </w:r>
    </w:p>
    <w:p w:rsidR="00F72507" w:rsidRPr="002D60E6" w:rsidRDefault="001C4B97">
      <w:pPr>
        <w:spacing w:line="360" w:lineRule="auto"/>
        <w:ind w:left="851" w:right="822"/>
        <w:jc w:val="both"/>
        <w:rPr>
          <w:rFonts w:ascii="Palatino Linotype" w:eastAsia="Palatino Linotype" w:hAnsi="Palatino Linotype" w:cs="Palatino Linotype"/>
          <w:b/>
          <w:bCs/>
        </w:rPr>
      </w:pPr>
      <w:r w:rsidRPr="002D60E6">
        <w:rPr>
          <w:rFonts w:ascii="Palatino Linotype" w:eastAsia="Palatino Linotype" w:hAnsi="Palatino Linotype" w:cs="Palatino Linotype"/>
          <w:b/>
          <w:bCs/>
          <w:i/>
          <w:iCs/>
        </w:rPr>
        <w:t>11) </w:t>
      </w:r>
      <w:r w:rsidRPr="002D60E6">
        <w:rPr>
          <w:rFonts w:ascii="Palatino Linotype" w:eastAsia="Palatino Linotype" w:hAnsi="Palatino Linotype" w:cs="Palatino Linotype"/>
          <w:i/>
          <w:iCs/>
        </w:rPr>
        <w:t>El finiquito.</w:t>
      </w:r>
      <w:r w:rsidRPr="002D60E6">
        <w:rPr>
          <w:rFonts w:ascii="Palatino Linotype" w:eastAsia="Palatino Linotype" w:hAnsi="Palatino Linotype" w:cs="Palatino Linotype"/>
          <w:bCs/>
          <w:i/>
          <w:iCs/>
        </w:rPr>
        <w:t>”</w:t>
      </w:r>
      <w:r w:rsidRPr="002D60E6">
        <w:rPr>
          <w:rFonts w:ascii="Palatino Linotype" w:eastAsia="Palatino Linotype" w:hAnsi="Palatino Linotype" w:cs="Palatino Linotype"/>
          <w:b/>
          <w:bCs/>
          <w:i/>
          <w:iCs/>
        </w:rPr>
        <w:t xml:space="preserve"> </w:t>
      </w:r>
      <w:r w:rsidRPr="002D60E6">
        <w:rPr>
          <w:rFonts w:ascii="Palatino Linotype" w:eastAsia="Palatino Linotype" w:hAnsi="Palatino Linotype" w:cs="Palatino Linotype"/>
        </w:rPr>
        <w:t>Énfasis propio</w:t>
      </w:r>
    </w:p>
    <w:p w:rsidR="00F72507" w:rsidRPr="002D60E6" w:rsidRDefault="00F72507">
      <w:pPr>
        <w:spacing w:line="360" w:lineRule="auto"/>
        <w:ind w:left="851" w:right="850"/>
        <w:jc w:val="both"/>
        <w:rPr>
          <w:rFonts w:ascii="Palatino Linotype" w:eastAsia="Palatino Linotype" w:hAnsi="Palatino Linotype" w:cs="Palatino Linotype"/>
        </w:rPr>
      </w:pPr>
    </w:p>
    <w:p w:rsidR="00F72507" w:rsidRPr="002D60E6" w:rsidRDefault="00526330">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Por tanto, el</w:t>
      </w:r>
      <w:r w:rsidR="001C4B97" w:rsidRPr="002D60E6">
        <w:rPr>
          <w:rFonts w:ascii="Palatino Linotype" w:eastAsia="Palatino Linotype" w:hAnsi="Palatino Linotype" w:cs="Palatino Linotype"/>
          <w:color w:val="000000"/>
        </w:rPr>
        <w:t xml:space="preserve"> celebrar contratos relacionados con la adquisición de bienes y servicios, a través de procedimientos de licitación, invitación restringida o adjudicación directa, en todos los casos, existe la obligación de hacer pública la información relacionada con las mismas, de acuerdo al artículo 92 de la Ley de Transparencia Local, ya que existe un interés colectivo de conocer el uso y destino de los recursos públicos; luego</w:t>
      </w:r>
      <w:r w:rsidRPr="002D60E6">
        <w:rPr>
          <w:rFonts w:ascii="Palatino Linotype" w:eastAsia="Palatino Linotype" w:hAnsi="Palatino Linotype" w:cs="Palatino Linotype"/>
          <w:color w:val="000000"/>
        </w:rPr>
        <w:t xml:space="preserve"> entonces es que se insiste en la improcedencia de la reserva de la información.</w:t>
      </w:r>
    </w:p>
    <w:p w:rsidR="00F72507" w:rsidRPr="002D60E6" w:rsidRDefault="00F72507">
      <w:pPr>
        <w:spacing w:line="360" w:lineRule="auto"/>
        <w:jc w:val="both"/>
        <w:rPr>
          <w:rFonts w:ascii="Palatino Linotype" w:eastAsia="Palatino Linotype" w:hAnsi="Palatino Linotype" w:cs="Palatino Linotype"/>
          <w:color w:val="000000"/>
        </w:rPr>
      </w:pPr>
    </w:p>
    <w:p w:rsidR="00FB3A06" w:rsidRPr="002D60E6" w:rsidRDefault="00FB3A06" w:rsidP="00FB3A06">
      <w:pPr>
        <w:numPr>
          <w:ilvl w:val="0"/>
          <w:numId w:val="3"/>
        </w:numP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Respecto de las facturas</w:t>
      </w:r>
      <w:r w:rsidRPr="002D60E6">
        <w:rPr>
          <w:rFonts w:ascii="Palatino Linotype" w:hAnsi="Palatino Linotype"/>
        </w:rPr>
        <w:t xml:space="preserve"> y contratos solicitados, </w:t>
      </w:r>
      <w:r w:rsidRPr="002D60E6">
        <w:rPr>
          <w:rFonts w:ascii="Palatino Linotype" w:eastAsia="Palatino Linotype" w:hAnsi="Palatino Linotype" w:cs="Palatino Linotype"/>
        </w:rPr>
        <w:t xml:space="preserve">resulta importante </w:t>
      </w:r>
      <w:r w:rsidRPr="002D60E6">
        <w:rPr>
          <w:rFonts w:ascii="Palatino Linotype" w:eastAsia="Palatino Linotype" w:hAnsi="Palatino Linotype" w:cs="Palatino Linotype"/>
          <w:color w:val="000000"/>
        </w:rPr>
        <w:t>señalar</w:t>
      </w:r>
      <w:r w:rsidRPr="002D60E6">
        <w:rPr>
          <w:rFonts w:ascii="Palatino Linotype" w:eastAsia="Palatino Linotype" w:hAnsi="Palatino Linotype" w:cs="Palatino Linotype"/>
        </w:rPr>
        <w:t xml:space="preserve"> que este término se </w:t>
      </w:r>
      <w:r w:rsidRPr="002D60E6">
        <w:rPr>
          <w:rFonts w:ascii="Palatino Linotype" w:eastAsia="Palatino Linotype" w:hAnsi="Palatino Linotype" w:cs="Palatino Linotype"/>
          <w:color w:val="000000"/>
        </w:rPr>
        <w:t>encuentra</w:t>
      </w:r>
      <w:r w:rsidRPr="002D60E6">
        <w:rPr>
          <w:rFonts w:ascii="Palatino Linotype" w:eastAsia="Palatino Linotype" w:hAnsi="Palatino Linotype" w:cs="Palatino Linotype"/>
        </w:rPr>
        <w:t xml:space="preserve"> definido en e</w:t>
      </w:r>
      <w:r w:rsidRPr="002D60E6">
        <w:rPr>
          <w:rFonts w:ascii="Palatino Linotype" w:hAnsi="Palatino Linotype"/>
        </w:rPr>
        <w:t>l</w:t>
      </w:r>
      <w:r w:rsidRPr="002D60E6">
        <w:rPr>
          <w:rFonts w:ascii="Palatino Linotype" w:eastAsia="Palatino Linotype" w:hAnsi="Palatino Linotype" w:cs="Palatino Linotype"/>
        </w:rPr>
        <w:t xml:space="preserve"> Glosario de Términos Hacendarios que emite el Instituto Hacendario del </w:t>
      </w:r>
      <w:r w:rsidRPr="002D60E6">
        <w:rPr>
          <w:rFonts w:ascii="Palatino Linotype" w:hAnsi="Palatino Linotype"/>
        </w:rPr>
        <w:t>Estado</w:t>
      </w:r>
      <w:r w:rsidRPr="002D60E6">
        <w:rPr>
          <w:rFonts w:ascii="Palatino Linotype" w:eastAsia="Palatino Linotype" w:hAnsi="Palatino Linotype" w:cs="Palatino Linotype"/>
        </w:rPr>
        <w:t xml:space="preserve"> de México, el cual expresa lo siguiente:</w:t>
      </w:r>
    </w:p>
    <w:p w:rsidR="00FB3A06" w:rsidRPr="002D60E6" w:rsidRDefault="00FB3A06" w:rsidP="00FB3A06">
      <w:pPr>
        <w:spacing w:line="360" w:lineRule="auto"/>
        <w:ind w:left="851" w:right="851"/>
        <w:jc w:val="both"/>
        <w:rPr>
          <w:rFonts w:ascii="Palatino Linotype" w:eastAsia="Palatino Linotype" w:hAnsi="Palatino Linotype" w:cs="Palatino Linotype"/>
          <w:b/>
          <w:i/>
        </w:rPr>
      </w:pPr>
      <w:r w:rsidRPr="002D60E6">
        <w:rPr>
          <w:rFonts w:ascii="Palatino Linotype" w:eastAsia="Palatino Linotype" w:hAnsi="Palatino Linotype" w:cs="Palatino Linotype"/>
          <w:i/>
        </w:rPr>
        <w:t>“</w:t>
      </w:r>
      <w:r w:rsidRPr="002D60E6">
        <w:rPr>
          <w:rFonts w:ascii="Palatino Linotype" w:eastAsia="Palatino Linotype" w:hAnsi="Palatino Linotype" w:cs="Palatino Linotype"/>
          <w:b/>
          <w:i/>
        </w:rPr>
        <w:t>FACTURA</w:t>
      </w:r>
    </w:p>
    <w:p w:rsidR="00FB3A06" w:rsidRPr="002D60E6" w:rsidRDefault="00FB3A06" w:rsidP="00FB3A06">
      <w:pPr>
        <w:spacing w:line="360" w:lineRule="auto"/>
        <w:ind w:left="851" w:right="851"/>
        <w:jc w:val="both"/>
        <w:rPr>
          <w:rFonts w:ascii="Palatino Linotype" w:eastAsia="Palatino Linotype" w:hAnsi="Palatino Linotype" w:cs="Palatino Linotype"/>
        </w:rPr>
      </w:pPr>
      <w:r w:rsidRPr="002D60E6">
        <w:rPr>
          <w:rFonts w:ascii="Palatino Linotype" w:eastAsia="Palatino Linotype" w:hAnsi="Palatino Linotype" w:cs="Palatino Linotype"/>
          <w:i/>
        </w:rPr>
        <w:t xml:space="preserve">Es el documento fiscal que emite la persona física o moral para </w:t>
      </w:r>
      <w:r w:rsidRPr="002D60E6">
        <w:rPr>
          <w:rFonts w:ascii="Palatino Linotype" w:eastAsia="Palatino Linotype" w:hAnsi="Palatino Linotype" w:cs="Palatino Linotype"/>
          <w:b/>
          <w:i/>
          <w:u w:val="single"/>
        </w:rPr>
        <w:t>comprobar la venta o adquisición de un bien y/o servicio</w:t>
      </w:r>
      <w:r w:rsidRPr="002D60E6">
        <w:rPr>
          <w:rFonts w:ascii="Palatino Linotype" w:eastAsia="Palatino Linotype" w:hAnsi="Palatino Linotype" w:cs="Palatino Linotype"/>
          <w:i/>
        </w:rPr>
        <w:t xml:space="preserve">.” </w:t>
      </w:r>
      <w:r w:rsidRPr="002D60E6">
        <w:rPr>
          <w:rFonts w:ascii="Palatino Linotype" w:eastAsia="Palatino Linotype" w:hAnsi="Palatino Linotype" w:cs="Palatino Linotype"/>
        </w:rPr>
        <w:t>(Énfasis añadido)</w:t>
      </w:r>
    </w:p>
    <w:p w:rsidR="00FB3A06" w:rsidRPr="002D60E6" w:rsidRDefault="00FB3A06" w:rsidP="00FB3A06">
      <w:pPr>
        <w:spacing w:line="360" w:lineRule="auto"/>
        <w:ind w:left="851" w:right="851"/>
        <w:jc w:val="both"/>
        <w:rPr>
          <w:rFonts w:ascii="Palatino Linotype" w:eastAsia="Palatino Linotype" w:hAnsi="Palatino Linotype" w:cs="Palatino Linotype"/>
          <w:i/>
        </w:rPr>
      </w:pPr>
    </w:p>
    <w:p w:rsidR="00FB3A06" w:rsidRPr="002D60E6" w:rsidRDefault="00FB3A06" w:rsidP="00FB3A06">
      <w:pPr>
        <w:numPr>
          <w:ilvl w:val="0"/>
          <w:numId w:val="3"/>
        </w:numP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Es de señalarse que las facturas o comprobantes que amparan las erogaciones que se realizan con erario público tienen naturaleza pública pues, constituyen los medios idóneos de evidencia del gasto realizado con recursos públicos, de ahí que convenga precisar que la Constitución Política del Estado Libre y Soberano de México en su artículo 129 señala que l</w:t>
      </w:r>
      <w:r w:rsidRPr="002D60E6">
        <w:rPr>
          <w:rFonts w:ascii="Palatino Linotype" w:eastAsia="Palatino Linotype" w:hAnsi="Palatino Linotype" w:cs="Palatino Linotype"/>
          <w:color w:val="000000"/>
        </w:rPr>
        <w:t xml:space="preserve">os recursos económicos del Estado, de los Municipios, así como de los Organismos Autónomos, </w:t>
      </w:r>
      <w:r w:rsidRPr="002D60E6">
        <w:rPr>
          <w:rFonts w:ascii="Palatino Linotype" w:eastAsia="Palatino Linotype" w:hAnsi="Palatino Linotype" w:cs="Palatino Linotype"/>
          <w:color w:val="000000"/>
        </w:rPr>
        <w:lastRenderedPageBreak/>
        <w:t xml:space="preserve">se administrarán con eficiencia, eficacia y honradez, para cumplir con los objetivos y programas a los que estén destinados. </w:t>
      </w:r>
    </w:p>
    <w:p w:rsidR="00FB3A06" w:rsidRPr="002D60E6" w:rsidRDefault="00FB3A06" w:rsidP="00FB3A06">
      <w:pPr>
        <w:pStyle w:val="Prrafodelista"/>
        <w:spacing w:line="360" w:lineRule="auto"/>
        <w:ind w:left="0" w:right="49"/>
        <w:jc w:val="both"/>
        <w:rPr>
          <w:rFonts w:ascii="Palatino Linotype" w:hAnsi="Palatino Linotype" w:cs="Arial"/>
        </w:rPr>
      </w:pPr>
    </w:p>
    <w:p w:rsidR="00FB3A06" w:rsidRPr="002D60E6" w:rsidRDefault="00FB3A06" w:rsidP="00FB3A06">
      <w:pPr>
        <w:numPr>
          <w:ilvl w:val="0"/>
          <w:numId w:val="3"/>
        </w:numPr>
        <w:spacing w:line="360" w:lineRule="auto"/>
        <w:ind w:left="0" w:firstLine="0"/>
        <w:jc w:val="both"/>
        <w:rPr>
          <w:rFonts w:ascii="Palatino Linotype" w:hAnsi="Palatino Linotype" w:cs="Arial"/>
        </w:rPr>
      </w:pPr>
      <w:r w:rsidRPr="002D60E6">
        <w:rPr>
          <w:rFonts w:ascii="Palatino Linotype" w:hAnsi="Palatino Linotype" w:cs="Arial"/>
        </w:rPr>
        <w:t xml:space="preserve">Aunado a lo anterior, los artículos 342, 343, 344 y 345 del Código Financiero del Estado </w:t>
      </w:r>
      <w:r w:rsidRPr="002D60E6">
        <w:rPr>
          <w:rFonts w:ascii="Palatino Linotype" w:eastAsia="Palatino Linotype" w:hAnsi="Palatino Linotype" w:cs="Palatino Linotype"/>
        </w:rPr>
        <w:t>de</w:t>
      </w:r>
      <w:r w:rsidRPr="002D60E6">
        <w:rPr>
          <w:rFonts w:ascii="Palatino Linotype" w:hAnsi="Palatino Linotype" w:cs="Arial"/>
        </w:rPr>
        <w:t xml:space="preserve"> México y Municipios disponen el sistema y las políticas que deben seguirse para llevar el registro contable y presupuestal de las operaciones financieras, en los siguientes términos:</w:t>
      </w:r>
    </w:p>
    <w:p w:rsidR="00FB3A06" w:rsidRPr="002D60E6" w:rsidRDefault="00FB3A06" w:rsidP="00FB3A06">
      <w:pPr>
        <w:spacing w:line="360" w:lineRule="auto"/>
        <w:ind w:left="567" w:right="567"/>
        <w:jc w:val="both"/>
        <w:rPr>
          <w:rFonts w:ascii="Palatino Linotype" w:hAnsi="Palatino Linotype"/>
          <w:b/>
          <w:i/>
        </w:rPr>
      </w:pPr>
      <w:r w:rsidRPr="002D60E6">
        <w:rPr>
          <w:rFonts w:ascii="Palatino Linotype" w:hAnsi="Palatino Linotype" w:cs="Arial"/>
          <w:bCs/>
          <w:i/>
          <w:color w:val="000000"/>
        </w:rPr>
        <w:t>“</w:t>
      </w:r>
      <w:r w:rsidRPr="002D60E6">
        <w:rPr>
          <w:rFonts w:ascii="Palatino Linotype" w:hAnsi="Palatino Linotype"/>
          <w:b/>
          <w:i/>
        </w:rPr>
        <w:t>Artículo 342.-</w:t>
      </w:r>
      <w:r w:rsidRPr="002D60E6">
        <w:rPr>
          <w:rFonts w:ascii="Palatino Linotype" w:hAnsi="Palatino Linotype"/>
          <w:i/>
        </w:rPr>
        <w:t xml:space="preserve"> </w:t>
      </w:r>
      <w:r w:rsidRPr="002D60E6">
        <w:rPr>
          <w:rFonts w:ascii="Palatino Linotype" w:hAnsi="Palatino Linotype"/>
          <w:b/>
          <w:i/>
        </w:rPr>
        <w:t xml:space="preserve">El registro contable del efecto patrimonial y presupuestal de las operaciones financieras, se realizará conforme al sistema y a las disposiciones que se aprueben en materia </w:t>
      </w:r>
      <w:r w:rsidRPr="002D60E6">
        <w:rPr>
          <w:rFonts w:ascii="Palatino Linotype" w:hAnsi="Palatino Linotype"/>
          <w:i/>
        </w:rPr>
        <w:t xml:space="preserve">de </w:t>
      </w:r>
      <w:r w:rsidRPr="002D60E6">
        <w:rPr>
          <w:rFonts w:ascii="Palatino Linotype" w:hAnsi="Palatino Linotype" w:cs="Arial"/>
          <w:i/>
          <w:color w:val="000000"/>
        </w:rPr>
        <w:t>planeación</w:t>
      </w:r>
      <w:r w:rsidRPr="002D60E6">
        <w:rPr>
          <w:rFonts w:ascii="Palatino Linotype" w:hAnsi="Palatino Linotype"/>
          <w:i/>
        </w:rPr>
        <w:t>,</w:t>
      </w:r>
      <w:r w:rsidRPr="002D60E6">
        <w:rPr>
          <w:rFonts w:ascii="Palatino Linotype" w:hAnsi="Palatino Linotype"/>
          <w:b/>
          <w:i/>
        </w:rPr>
        <w:t xml:space="preserve"> programación, presupuestación</w:t>
      </w:r>
      <w:r w:rsidRPr="002D60E6">
        <w:rPr>
          <w:rFonts w:ascii="Palatino Linotype" w:hAnsi="Palatino Linotype"/>
          <w:i/>
        </w:rPr>
        <w:t xml:space="preserve">, evaluación y </w:t>
      </w:r>
      <w:r w:rsidRPr="002D60E6">
        <w:rPr>
          <w:rFonts w:ascii="Palatino Linotype" w:hAnsi="Palatino Linotype" w:cs="Arial"/>
          <w:b/>
          <w:i/>
          <w:color w:val="000000"/>
        </w:rPr>
        <w:t>contabilidad</w:t>
      </w:r>
      <w:r w:rsidRPr="002D60E6">
        <w:rPr>
          <w:rFonts w:ascii="Palatino Linotype" w:hAnsi="Palatino Linotype"/>
          <w:b/>
          <w:i/>
        </w:rPr>
        <w:t xml:space="preserve"> gubernamental.</w:t>
      </w:r>
      <w:r w:rsidRPr="002D60E6">
        <w:rPr>
          <w:rFonts w:ascii="Palatino Linotype" w:hAnsi="Palatino Linotype"/>
          <w:i/>
        </w:rPr>
        <w:t xml:space="preserve"> </w:t>
      </w:r>
    </w:p>
    <w:p w:rsidR="00FB3A06" w:rsidRPr="002D60E6" w:rsidRDefault="00FB3A06" w:rsidP="00FB3A06">
      <w:pPr>
        <w:spacing w:line="360" w:lineRule="auto"/>
        <w:ind w:left="567" w:right="567"/>
        <w:jc w:val="both"/>
        <w:rPr>
          <w:rFonts w:ascii="Palatino Linotype" w:hAnsi="Palatino Linotype"/>
          <w:b/>
          <w:i/>
        </w:rPr>
      </w:pPr>
      <w:r w:rsidRPr="002D60E6">
        <w:rPr>
          <w:rFonts w:ascii="Palatino Linotype" w:hAnsi="Palatino Linotype" w:cs="Arial"/>
          <w:b/>
          <w:bCs/>
          <w:i/>
          <w:color w:val="000000"/>
        </w:rPr>
        <w:t>…</w:t>
      </w:r>
    </w:p>
    <w:p w:rsidR="00FB3A06" w:rsidRPr="002D60E6" w:rsidRDefault="00FB3A06" w:rsidP="00FB3A06">
      <w:pPr>
        <w:spacing w:line="360" w:lineRule="auto"/>
        <w:ind w:left="567" w:right="567"/>
        <w:jc w:val="both"/>
        <w:rPr>
          <w:rFonts w:ascii="Palatino Linotype" w:hAnsi="Palatino Linotype"/>
          <w:i/>
        </w:rPr>
      </w:pPr>
      <w:r w:rsidRPr="002D60E6">
        <w:rPr>
          <w:rFonts w:ascii="Palatino Linotype" w:hAnsi="Palatino Linotype"/>
          <w:b/>
          <w:i/>
        </w:rPr>
        <w:t>Artículo 343.-</w:t>
      </w:r>
      <w:r w:rsidRPr="002D60E6">
        <w:rPr>
          <w:rFonts w:ascii="Palatino Linotype" w:hAnsi="Palatino Linotype"/>
          <w:i/>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rsidR="00FB3A06" w:rsidRPr="002D60E6" w:rsidRDefault="00FB3A06" w:rsidP="00FB3A06">
      <w:pPr>
        <w:spacing w:line="360" w:lineRule="auto"/>
        <w:ind w:left="567" w:right="567"/>
        <w:jc w:val="both"/>
        <w:rPr>
          <w:rFonts w:ascii="Palatino Linotype" w:hAnsi="Palatino Linotype"/>
          <w:i/>
        </w:rPr>
      </w:pPr>
      <w:r w:rsidRPr="002D60E6">
        <w:rPr>
          <w:rFonts w:ascii="Palatino Linotype" w:hAnsi="Palatino Linotype"/>
          <w:i/>
        </w:rPr>
        <w:t xml:space="preserve">El sistema de contabilidad sobre base acumulativa total se sustentará en los postulados básicos y el marco conceptual de la contabilidad gubernamental. </w:t>
      </w:r>
    </w:p>
    <w:p w:rsidR="00FB3A06" w:rsidRPr="002D60E6" w:rsidRDefault="00FB3A06" w:rsidP="00FB3A06">
      <w:pPr>
        <w:spacing w:line="360" w:lineRule="auto"/>
        <w:ind w:left="567" w:right="567"/>
        <w:jc w:val="both"/>
        <w:rPr>
          <w:rFonts w:ascii="Palatino Linotype" w:hAnsi="Palatino Linotype"/>
          <w:i/>
        </w:rPr>
      </w:pPr>
    </w:p>
    <w:p w:rsidR="00FB3A06" w:rsidRPr="002D60E6" w:rsidRDefault="00FB3A06" w:rsidP="00FB3A06">
      <w:pPr>
        <w:spacing w:line="360" w:lineRule="auto"/>
        <w:ind w:left="567" w:right="567"/>
        <w:jc w:val="both"/>
        <w:rPr>
          <w:rFonts w:ascii="Palatino Linotype" w:hAnsi="Palatino Linotype"/>
          <w:i/>
        </w:rPr>
      </w:pPr>
      <w:r w:rsidRPr="002D60E6">
        <w:rPr>
          <w:rFonts w:ascii="Palatino Linotype" w:hAnsi="Palatino Linotype"/>
          <w:b/>
          <w:i/>
        </w:rPr>
        <w:t xml:space="preserve">Artículo 344.- Las Dependencias, Entidades Públicas y unidades administrativas registrarán contablemente el efecto patrimonial y presupuestal de las operaciones financieras que realicen, en el momento en que ocurran, con base en el sistema y políticas de registro establecidas, </w:t>
      </w:r>
      <w:r w:rsidRPr="002D60E6">
        <w:rPr>
          <w:rFonts w:ascii="Palatino Linotype" w:hAnsi="Palatino Linotype"/>
          <w:i/>
        </w:rPr>
        <w:t xml:space="preserve">en el caso de los Municipios se hará por la Tesorería. </w:t>
      </w:r>
    </w:p>
    <w:p w:rsidR="00FB3A06" w:rsidRPr="002D60E6" w:rsidRDefault="00FB3A06" w:rsidP="00FB3A06">
      <w:pPr>
        <w:autoSpaceDE w:val="0"/>
        <w:autoSpaceDN w:val="0"/>
        <w:adjustRightInd w:val="0"/>
        <w:spacing w:line="360" w:lineRule="auto"/>
        <w:ind w:left="567" w:right="567"/>
        <w:jc w:val="both"/>
        <w:rPr>
          <w:rFonts w:ascii="Palatino Linotype" w:hAnsi="Palatino Linotype"/>
          <w:i/>
        </w:rPr>
      </w:pPr>
      <w:r w:rsidRPr="002D60E6">
        <w:rPr>
          <w:rFonts w:ascii="Palatino Linotype" w:hAnsi="Palatino Linotype"/>
          <w:i/>
        </w:rPr>
        <w:t xml:space="preserve">Derogado. </w:t>
      </w:r>
    </w:p>
    <w:p w:rsidR="00FB3A06" w:rsidRPr="002D60E6" w:rsidRDefault="00FB3A06" w:rsidP="00FB3A06">
      <w:pPr>
        <w:spacing w:line="360" w:lineRule="auto"/>
        <w:ind w:left="567" w:right="567"/>
        <w:jc w:val="both"/>
        <w:rPr>
          <w:rFonts w:ascii="Palatino Linotype" w:hAnsi="Palatino Linotype"/>
          <w:i/>
        </w:rPr>
      </w:pPr>
      <w:r w:rsidRPr="002D60E6">
        <w:rPr>
          <w:rFonts w:ascii="Palatino Linotype" w:hAnsi="Palatino Linotype"/>
          <w:b/>
          <w:i/>
        </w:rPr>
        <w:lastRenderedPageBreak/>
        <w:t>Todo registro contable y presupuestal deberá estar soportado con los documentos comprobatorios originales, los que deberán permanecer en custodia y conservación de las dependencias, entidades públicas y unidades administrativas que ejercieron el gasto, y a disposición del Órgano Superior de Fiscalización del Estado de México y de los órganos de control interno, por un término de cinco años contados</w:t>
      </w:r>
      <w:r w:rsidRPr="002D60E6">
        <w:rPr>
          <w:rFonts w:ascii="Palatino Linotype" w:hAnsi="Palatino Linotype"/>
          <w:i/>
        </w:rPr>
        <w:t xml:space="preserve"> a partir del ejercicio presupuestal siguiente al que corresponda, en el caso de los municipios se hará por la Tesorería. </w:t>
      </w:r>
    </w:p>
    <w:p w:rsidR="00FB3A06" w:rsidRPr="002D60E6" w:rsidRDefault="00FB3A06" w:rsidP="00FB3A06">
      <w:pPr>
        <w:autoSpaceDE w:val="0"/>
        <w:autoSpaceDN w:val="0"/>
        <w:adjustRightInd w:val="0"/>
        <w:spacing w:line="360" w:lineRule="auto"/>
        <w:ind w:left="567" w:right="567"/>
        <w:jc w:val="both"/>
        <w:rPr>
          <w:rFonts w:ascii="Palatino Linotype" w:hAnsi="Palatino Linotype"/>
          <w:i/>
        </w:rPr>
      </w:pPr>
      <w:r w:rsidRPr="002D60E6">
        <w:rPr>
          <w:rFonts w:ascii="Palatino Linotype" w:hAnsi="Palatino Linotype"/>
          <w:i/>
        </w:rPr>
        <w:t>…</w:t>
      </w:r>
    </w:p>
    <w:p w:rsidR="00FB3A06" w:rsidRPr="002D60E6" w:rsidRDefault="00FB3A06" w:rsidP="00FB3A06">
      <w:pPr>
        <w:spacing w:line="360" w:lineRule="auto"/>
        <w:ind w:left="567" w:right="567"/>
        <w:jc w:val="both"/>
        <w:rPr>
          <w:rFonts w:ascii="Palatino Linotype" w:hAnsi="Palatino Linotype"/>
          <w:i/>
        </w:rPr>
      </w:pPr>
      <w:r w:rsidRPr="002D60E6">
        <w:rPr>
          <w:rFonts w:ascii="Palatino Linotype" w:hAnsi="Palatino Linotype"/>
          <w:b/>
          <w:i/>
        </w:rPr>
        <w:t>Artículo 345.-</w:t>
      </w:r>
      <w:r w:rsidRPr="002D60E6">
        <w:rPr>
          <w:rFonts w:ascii="Palatino Linotype" w:hAnsi="Palatino Linotype"/>
          <w:i/>
        </w:rPr>
        <w:t xml:space="preserve"> </w:t>
      </w:r>
      <w:r w:rsidRPr="002D60E6">
        <w:rPr>
          <w:rFonts w:ascii="Palatino Linotype" w:hAnsi="Palatino Linotype"/>
          <w:b/>
          <w:i/>
        </w:rPr>
        <w:t>Las Dependencias, Entidades Públicas y unidades administrativas deberán conservar la documentación contable del año en curso y la de ejercicios anteriores cuyas cuentas públicas hayan sido revisadas y fiscalizadas por la Legislatura</w:t>
      </w:r>
      <w:r w:rsidRPr="002D60E6">
        <w:rPr>
          <w:rFonts w:ascii="Palatino Linotype" w:hAnsi="Palatino Linotype"/>
          <w:i/>
        </w:rPr>
        <w:t xml:space="preserve">, la remitirán en un plazo que no excederá de seis meses al Archivo Contable Gubernamental. </w:t>
      </w:r>
      <w:r w:rsidRPr="002D60E6">
        <w:rPr>
          <w:rFonts w:ascii="Palatino Linotype" w:hAnsi="Palatino Linotype"/>
          <w:b/>
          <w:i/>
        </w:rPr>
        <w:t>Tratándose de los comprobantes fiscales digitales, estos deberán estar agregados en forma electrónica en cada póliza de registro contable</w:t>
      </w:r>
      <w:r w:rsidRPr="002D60E6">
        <w:rPr>
          <w:rFonts w:ascii="Palatino Linotype" w:hAnsi="Palatino Linotype"/>
          <w:i/>
        </w:rPr>
        <w:t xml:space="preserve">. </w:t>
      </w:r>
    </w:p>
    <w:p w:rsidR="00FB3A06" w:rsidRPr="002D60E6" w:rsidRDefault="00FB3A06" w:rsidP="00FB3A06">
      <w:pPr>
        <w:spacing w:line="360" w:lineRule="auto"/>
        <w:ind w:left="567" w:right="567"/>
        <w:jc w:val="both"/>
        <w:rPr>
          <w:rFonts w:ascii="Palatino Linotype" w:hAnsi="Palatino Linotype" w:cs="Arial"/>
          <w:bCs/>
          <w:i/>
          <w:color w:val="000000"/>
        </w:rPr>
      </w:pPr>
      <w:r w:rsidRPr="002D60E6">
        <w:rPr>
          <w:rFonts w:ascii="Palatino Linotype" w:hAnsi="Palatino Linotype"/>
          <w:i/>
        </w:rPr>
        <w:t>El plazo señalado en el párrafo anterior, empezará a contar a partir de la publicación en el Periódico Oficial, del decreto correspondiente.</w:t>
      </w:r>
      <w:r w:rsidRPr="002D60E6">
        <w:rPr>
          <w:rFonts w:ascii="Palatino Linotype" w:hAnsi="Palatino Linotype" w:cs="Arial"/>
          <w:bCs/>
          <w:i/>
          <w:color w:val="000000"/>
        </w:rPr>
        <w:t xml:space="preserve"> “</w:t>
      </w:r>
    </w:p>
    <w:p w:rsidR="00FB3A06" w:rsidRPr="002D60E6" w:rsidRDefault="00FB3A06" w:rsidP="00FB3A06">
      <w:pPr>
        <w:spacing w:line="360" w:lineRule="auto"/>
        <w:ind w:left="567" w:right="567"/>
        <w:jc w:val="right"/>
        <w:rPr>
          <w:rFonts w:ascii="Palatino Linotype" w:hAnsi="Palatino Linotype" w:cs="Arial"/>
          <w:bCs/>
          <w:color w:val="000000"/>
        </w:rPr>
      </w:pPr>
      <w:r w:rsidRPr="002D60E6">
        <w:rPr>
          <w:rFonts w:ascii="Palatino Linotype" w:hAnsi="Palatino Linotype" w:cs="Arial"/>
          <w:bCs/>
          <w:color w:val="000000"/>
        </w:rPr>
        <w:t>(Énfasis añadido)</w:t>
      </w:r>
    </w:p>
    <w:p w:rsidR="00FB3A06" w:rsidRPr="002D60E6" w:rsidRDefault="00FB3A06" w:rsidP="00FB3A06">
      <w:pPr>
        <w:spacing w:line="360" w:lineRule="auto"/>
        <w:ind w:left="567" w:right="567"/>
        <w:jc w:val="right"/>
        <w:rPr>
          <w:rFonts w:ascii="Palatino Linotype" w:hAnsi="Palatino Linotype" w:cs="Arial"/>
          <w:bCs/>
          <w:color w:val="000000"/>
        </w:rPr>
      </w:pPr>
    </w:p>
    <w:p w:rsidR="00FB3A06" w:rsidRPr="002D60E6" w:rsidRDefault="00FB3A06" w:rsidP="00FB3A06">
      <w:pPr>
        <w:numPr>
          <w:ilvl w:val="0"/>
          <w:numId w:val="3"/>
        </w:numPr>
        <w:spacing w:line="360" w:lineRule="auto"/>
        <w:ind w:left="0" w:firstLine="0"/>
        <w:jc w:val="both"/>
        <w:rPr>
          <w:rFonts w:ascii="Palatino Linotype" w:hAnsi="Palatino Linotype" w:cs="Arial"/>
          <w:bCs/>
          <w:color w:val="000000"/>
        </w:rPr>
      </w:pPr>
      <w:r w:rsidRPr="002D60E6">
        <w:rPr>
          <w:rFonts w:ascii="Palatino Linotype" w:hAnsi="Palatino Linotype" w:cs="Arial"/>
        </w:rPr>
        <w:t>De una interpretación sistemática de los artículos transcritos, se desprende primeramente que el</w:t>
      </w:r>
      <w:r w:rsidRPr="002D60E6">
        <w:rPr>
          <w:rFonts w:ascii="Palatino Linotype" w:hAnsi="Palatino Linotype" w:cs="Arial"/>
          <w:bCs/>
          <w:color w:val="000000"/>
        </w:rPr>
        <w:t xml:space="preserve"> registro contable del efecto patrimonial y presupuestal de las </w:t>
      </w:r>
      <w:r w:rsidRPr="002D60E6">
        <w:rPr>
          <w:rFonts w:ascii="Palatino Linotype" w:hAnsi="Palatino Linotype" w:cs="Arial"/>
        </w:rPr>
        <w:t>operaciones</w:t>
      </w:r>
      <w:r w:rsidRPr="002D60E6">
        <w:rPr>
          <w:rFonts w:ascii="Palatino Linotype" w:hAnsi="Palatino Linotype" w:cs="Arial"/>
          <w:bCs/>
          <w:color w:val="000000"/>
        </w:rPr>
        <w:t xml:space="preserve"> financieras se realizará conforme al sistema y a las disposiciones que se aprueben en materia de planeación, programación, presupuestación, evaluación y contabilidad gubernamental.</w:t>
      </w:r>
    </w:p>
    <w:p w:rsidR="00FB3A06" w:rsidRPr="002D60E6" w:rsidRDefault="00FB3A06" w:rsidP="00FB3A06">
      <w:pPr>
        <w:numPr>
          <w:ilvl w:val="0"/>
          <w:numId w:val="3"/>
        </w:numPr>
        <w:spacing w:line="360" w:lineRule="auto"/>
        <w:ind w:left="0" w:firstLine="0"/>
        <w:jc w:val="both"/>
        <w:rPr>
          <w:rFonts w:ascii="Palatino Linotype" w:hAnsi="Palatino Linotype" w:cs="Arial"/>
          <w:bCs/>
          <w:color w:val="000000"/>
        </w:rPr>
      </w:pPr>
      <w:r w:rsidRPr="002D60E6">
        <w:rPr>
          <w:rFonts w:ascii="Palatino Linotype" w:hAnsi="Palatino Linotype" w:cs="Arial"/>
        </w:rPr>
        <w:lastRenderedPageBreak/>
        <w:t xml:space="preserve">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rsidR="00FB3A06" w:rsidRPr="002D60E6" w:rsidRDefault="00FB3A06" w:rsidP="00FB3A06">
      <w:pPr>
        <w:spacing w:line="360" w:lineRule="auto"/>
        <w:ind w:left="567" w:right="567"/>
        <w:jc w:val="both"/>
        <w:rPr>
          <w:rFonts w:ascii="Palatino Linotype" w:hAnsi="Palatino Linotype" w:cs="Arial"/>
          <w:b/>
          <w:i/>
        </w:rPr>
      </w:pPr>
      <w:r w:rsidRPr="002D60E6">
        <w:rPr>
          <w:rFonts w:ascii="Palatino Linotype" w:hAnsi="Palatino Linotype" w:cs="Arial"/>
          <w:b/>
          <w:i/>
        </w:rPr>
        <w:t xml:space="preserve">“REGISTRO CONTABLE </w:t>
      </w:r>
    </w:p>
    <w:p w:rsidR="00FB3A06" w:rsidRPr="002D60E6" w:rsidRDefault="00FB3A06" w:rsidP="00FB3A06">
      <w:pPr>
        <w:spacing w:line="360" w:lineRule="auto"/>
        <w:ind w:left="567" w:right="567"/>
        <w:jc w:val="both"/>
        <w:rPr>
          <w:rFonts w:ascii="Palatino Linotype" w:hAnsi="Palatino Linotype" w:cs="Arial"/>
          <w:i/>
        </w:rPr>
      </w:pPr>
      <w:r w:rsidRPr="002D60E6">
        <w:rPr>
          <w:rFonts w:ascii="Palatino Linotype" w:hAnsi="Palatino Linotype" w:cs="Arial"/>
          <w:i/>
        </w:rPr>
        <w:t>Asiento que se realiza en los libros de contabilidad de las actividades relacionadas con el ingreso y egresos de un ente económico.” (Sic)</w:t>
      </w:r>
    </w:p>
    <w:p w:rsidR="00FB3A06" w:rsidRPr="002D60E6" w:rsidRDefault="00FB3A06" w:rsidP="00FB3A06">
      <w:pPr>
        <w:spacing w:line="360" w:lineRule="auto"/>
        <w:ind w:left="567" w:right="567"/>
        <w:jc w:val="both"/>
        <w:rPr>
          <w:rFonts w:ascii="Palatino Linotype" w:hAnsi="Palatino Linotype" w:cs="Arial"/>
          <w:i/>
        </w:rPr>
      </w:pPr>
    </w:p>
    <w:p w:rsidR="00FB3A06" w:rsidRPr="002D60E6" w:rsidRDefault="00FB3A06" w:rsidP="00FB3A06">
      <w:pPr>
        <w:spacing w:line="360" w:lineRule="auto"/>
        <w:ind w:left="567" w:right="567"/>
        <w:jc w:val="both"/>
        <w:rPr>
          <w:rFonts w:ascii="Palatino Linotype" w:hAnsi="Palatino Linotype" w:cs="Arial"/>
          <w:b/>
          <w:i/>
        </w:rPr>
      </w:pPr>
      <w:r w:rsidRPr="002D60E6">
        <w:rPr>
          <w:rFonts w:ascii="Palatino Linotype" w:hAnsi="Palatino Linotype" w:cs="Arial"/>
          <w:b/>
          <w:i/>
        </w:rPr>
        <w:t>“REGISTRO PRESUPUESTARIO</w:t>
      </w:r>
    </w:p>
    <w:p w:rsidR="00FB3A06" w:rsidRPr="002D60E6" w:rsidRDefault="00FB3A06" w:rsidP="00FB3A06">
      <w:pPr>
        <w:spacing w:line="360" w:lineRule="auto"/>
        <w:ind w:left="567" w:right="567"/>
        <w:jc w:val="both"/>
        <w:rPr>
          <w:rFonts w:ascii="Palatino Linotype" w:hAnsi="Palatino Linotype" w:cs="Arial"/>
          <w:i/>
        </w:rPr>
      </w:pPr>
      <w:r w:rsidRPr="002D60E6">
        <w:rPr>
          <w:rFonts w:ascii="Palatino Linotype" w:hAnsi="Palatino Linotype" w:cs="Arial"/>
          <w:i/>
        </w:rPr>
        <w:t>Asiento contable de las erogaciones realizadas por las dependencias y entidades con relación a la asignación, modificación y ejercicio de los recursos presupuestarios que se les hayan autorizado.” (Sic)</w:t>
      </w:r>
    </w:p>
    <w:p w:rsidR="00FB3A06" w:rsidRPr="002D60E6" w:rsidRDefault="00FB3A06" w:rsidP="00FB3A06">
      <w:pPr>
        <w:pStyle w:val="Prrafodelista"/>
        <w:spacing w:line="360" w:lineRule="auto"/>
        <w:ind w:left="0"/>
        <w:jc w:val="both"/>
        <w:rPr>
          <w:rFonts w:ascii="Palatino Linotype" w:hAnsi="Palatino Linotype" w:cs="Arial"/>
          <w:bCs/>
          <w:color w:val="000000"/>
        </w:rPr>
      </w:pPr>
    </w:p>
    <w:p w:rsidR="00FB3A06" w:rsidRPr="002D60E6" w:rsidRDefault="00FB3A06" w:rsidP="00FB3A06">
      <w:pPr>
        <w:numPr>
          <w:ilvl w:val="0"/>
          <w:numId w:val="3"/>
        </w:numPr>
        <w:spacing w:line="360" w:lineRule="auto"/>
        <w:ind w:left="0" w:firstLine="0"/>
        <w:jc w:val="both"/>
        <w:rPr>
          <w:rFonts w:ascii="Palatino Linotype" w:hAnsi="Palatino Linotype" w:cs="Arial"/>
          <w:bCs/>
          <w:color w:val="000000"/>
        </w:rPr>
      </w:pPr>
      <w:r w:rsidRPr="002D60E6">
        <w:rPr>
          <w:rFonts w:ascii="Palatino Linotype" w:hAnsi="Palatino Linotype" w:cs="Arial"/>
          <w:bCs/>
          <w:color w:val="000000"/>
        </w:rPr>
        <w:t xml:space="preserve">Por otra parte, se establece que el sistema de contabilidad sobre base acumulativa </w:t>
      </w:r>
      <w:r w:rsidRPr="002D60E6">
        <w:rPr>
          <w:rFonts w:ascii="Palatino Linotype" w:hAnsi="Palatino Linotype" w:cs="Arial"/>
        </w:rPr>
        <w:t>total</w:t>
      </w:r>
      <w:r w:rsidRPr="002D60E6">
        <w:rPr>
          <w:rFonts w:ascii="Palatino Linotype" w:hAnsi="Palatino Linotype" w:cs="Arial"/>
          <w:bCs/>
          <w:color w:val="000000"/>
        </w:rPr>
        <w:t xml:space="preserve"> se </w:t>
      </w:r>
      <w:r w:rsidRPr="002D60E6">
        <w:rPr>
          <w:rFonts w:ascii="Palatino Linotype" w:hAnsi="Palatino Linotype" w:cs="Arial"/>
        </w:rPr>
        <w:t>sustentará</w:t>
      </w:r>
      <w:r w:rsidRPr="002D60E6">
        <w:rPr>
          <w:rFonts w:ascii="Palatino Linotype" w:hAnsi="Palatino Linotype" w:cs="Arial"/>
          <w:bCs/>
          <w:color w:val="000000"/>
        </w:rPr>
        <w:t xml:space="preserve"> en los principios de contabilidad gubernamental, igualmente </w:t>
      </w:r>
      <w:r w:rsidRPr="002D60E6">
        <w:rPr>
          <w:rFonts w:ascii="Palatino Linotype" w:hAnsi="Palatino Linotype" w:cs="Arial"/>
        </w:rPr>
        <w:t>señalan</w:t>
      </w:r>
      <w:r w:rsidRPr="002D60E6">
        <w:rPr>
          <w:rFonts w:ascii="Palatino Linotype" w:hAnsi="Palatino Linotype" w:cs="Arial"/>
          <w:bCs/>
          <w:color w:val="000000"/>
        </w:rPr>
        <w:t xml:space="preserve"> que los </w:t>
      </w:r>
      <w:r w:rsidRPr="002D60E6">
        <w:rPr>
          <w:rFonts w:ascii="Palatino Linotype" w:hAnsi="Palatino Linotype" w:cs="Arial"/>
          <w:b/>
          <w:bCs/>
          <w:color w:val="000000"/>
        </w:rPr>
        <w:t>sujetos obligados</w:t>
      </w:r>
      <w:r w:rsidRPr="002D60E6">
        <w:rPr>
          <w:rFonts w:ascii="Palatino Linotype" w:hAnsi="Palatino Linotype" w:cs="Arial"/>
          <w:bCs/>
          <w:color w:val="000000"/>
        </w:rPr>
        <w:t xml:space="preserve"> deben contar con una unidad administrativa que registra contablemente </w:t>
      </w:r>
      <w:r w:rsidRPr="002D60E6">
        <w:rPr>
          <w:rFonts w:ascii="Palatino Linotype" w:hAnsi="Palatino Linotype" w:cs="Arial"/>
          <w:bCs/>
          <w:color w:val="000000"/>
        </w:rPr>
        <w:lastRenderedPageBreak/>
        <w:t>el efecto patrimonial y presupuestal de las operaciones financieras que realizan, en el momento en que ocurran, con base en el sistema y políticas de registro establecidas.</w:t>
      </w:r>
    </w:p>
    <w:p w:rsidR="00FB3A06" w:rsidRPr="002D60E6" w:rsidRDefault="00FB3A06" w:rsidP="00FB3A06">
      <w:pPr>
        <w:pStyle w:val="Prrafodelista"/>
        <w:spacing w:line="360" w:lineRule="auto"/>
        <w:ind w:left="0"/>
        <w:jc w:val="both"/>
        <w:rPr>
          <w:rFonts w:ascii="Palatino Linotype" w:hAnsi="Palatino Linotype" w:cs="Arial"/>
          <w:bCs/>
          <w:color w:val="000000"/>
        </w:rPr>
      </w:pPr>
    </w:p>
    <w:p w:rsidR="00FB3A06" w:rsidRPr="002D60E6" w:rsidRDefault="00FB3A06" w:rsidP="00FB3A06">
      <w:pPr>
        <w:numPr>
          <w:ilvl w:val="0"/>
          <w:numId w:val="3"/>
        </w:numPr>
        <w:spacing w:line="360" w:lineRule="auto"/>
        <w:ind w:left="0" w:firstLine="0"/>
        <w:jc w:val="both"/>
        <w:rPr>
          <w:rFonts w:ascii="Palatino Linotype" w:hAnsi="Palatino Linotype" w:cs="Arial"/>
        </w:rPr>
      </w:pPr>
      <w:r w:rsidRPr="002D60E6">
        <w:rPr>
          <w:rFonts w:ascii="Palatino Linotype" w:hAnsi="Palatino Linotype" w:cs="Arial"/>
        </w:rPr>
        <w:t xml:space="preserve">Correlativo a lo anterior, es preciso referir una definición de </w:t>
      </w:r>
      <w:r w:rsidRPr="002D60E6">
        <w:rPr>
          <w:rFonts w:ascii="Palatino Linotype" w:hAnsi="Palatino Linotype" w:cs="Arial"/>
          <w:i/>
        </w:rPr>
        <w:t>póliza contable</w:t>
      </w:r>
      <w:r w:rsidRPr="002D60E6">
        <w:rPr>
          <w:rFonts w:ascii="Palatino Linotype" w:hAnsi="Palatino Linotype" w:cs="Arial"/>
        </w:rPr>
        <w:t xml:space="preserve">, la cual, </w:t>
      </w:r>
      <w:r w:rsidRPr="002D60E6">
        <w:rPr>
          <w:rFonts w:ascii="Palatino Linotype" w:hAnsi="Palatino Linotype" w:cs="Arial"/>
          <w:bCs/>
          <w:color w:val="000000"/>
        </w:rPr>
        <w:t>primeramente</w:t>
      </w:r>
      <w:r w:rsidRPr="002D60E6">
        <w:rPr>
          <w:rFonts w:ascii="Palatino Linotype" w:hAnsi="Palatino Linotype" w:cs="Arial"/>
        </w:rPr>
        <w:t xml:space="preserve">, no está definida en el Código Financiero del Estado de México y Municipios; no obstante, los ya mencionados Glosarios la definen como: </w:t>
      </w:r>
    </w:p>
    <w:p w:rsidR="00FB3A06" w:rsidRPr="002D60E6" w:rsidRDefault="00FB3A06" w:rsidP="00FB3A06">
      <w:pPr>
        <w:spacing w:line="360" w:lineRule="auto"/>
        <w:ind w:left="567" w:right="567"/>
        <w:jc w:val="both"/>
        <w:rPr>
          <w:rFonts w:ascii="Palatino Linotype" w:hAnsi="Palatino Linotype" w:cs="Arial"/>
          <w:b/>
          <w:i/>
        </w:rPr>
      </w:pPr>
      <w:r w:rsidRPr="002D60E6">
        <w:rPr>
          <w:rFonts w:ascii="Palatino Linotype" w:hAnsi="Palatino Linotype" w:cs="Arial"/>
          <w:i/>
        </w:rPr>
        <w:t>“</w:t>
      </w:r>
      <w:r w:rsidRPr="002D60E6">
        <w:rPr>
          <w:rFonts w:ascii="Palatino Linotype" w:hAnsi="Palatino Linotype" w:cs="Arial"/>
          <w:b/>
          <w:i/>
        </w:rPr>
        <w:t>PÓLIZA CONTABLE</w:t>
      </w:r>
    </w:p>
    <w:p w:rsidR="00FB3A06" w:rsidRPr="002D60E6" w:rsidRDefault="00FB3A06" w:rsidP="00FB3A06">
      <w:pPr>
        <w:spacing w:line="360" w:lineRule="auto"/>
        <w:ind w:left="567" w:right="567"/>
        <w:jc w:val="both"/>
        <w:rPr>
          <w:rFonts w:ascii="Palatino Linotype" w:hAnsi="Palatino Linotype" w:cs="Arial"/>
          <w:i/>
        </w:rPr>
      </w:pPr>
      <w:r w:rsidRPr="002D60E6">
        <w:rPr>
          <w:rFonts w:ascii="Palatino Linotype" w:hAnsi="Palatino Linotype" w:cs="Arial"/>
          <w:i/>
        </w:rPr>
        <w:t xml:space="preserve">Documento en el cual se asientan en forma individual todas y cada una de las operaciones desarrolladas por una institución, así como la información necesaria para la identificación de dichas operaciones.” </w:t>
      </w:r>
    </w:p>
    <w:p w:rsidR="00FB3A06" w:rsidRPr="002D60E6" w:rsidRDefault="00FB3A06" w:rsidP="00FB3A06">
      <w:pPr>
        <w:spacing w:line="360" w:lineRule="auto"/>
        <w:ind w:left="567" w:right="567"/>
        <w:jc w:val="both"/>
        <w:rPr>
          <w:rFonts w:ascii="Palatino Linotype" w:hAnsi="Palatino Linotype" w:cs="Arial"/>
          <w:i/>
        </w:rPr>
      </w:pPr>
    </w:p>
    <w:p w:rsidR="00FB3A06" w:rsidRPr="002D60E6" w:rsidRDefault="00FB3A06" w:rsidP="00FB3A06">
      <w:pPr>
        <w:numPr>
          <w:ilvl w:val="0"/>
          <w:numId w:val="3"/>
        </w:numPr>
        <w:spacing w:line="360" w:lineRule="auto"/>
        <w:ind w:left="0" w:firstLine="0"/>
        <w:jc w:val="both"/>
        <w:rPr>
          <w:rFonts w:ascii="Palatino Linotype" w:hAnsi="Palatino Linotype" w:cs="Arial"/>
        </w:rPr>
      </w:pPr>
      <w:r w:rsidRPr="002D60E6">
        <w:rPr>
          <w:rFonts w:ascii="Palatino Linotype" w:hAnsi="Palatino Linotype" w:cs="Arial"/>
        </w:rPr>
        <w:t xml:space="preserve">Así, se advierte que la </w:t>
      </w:r>
      <w:r w:rsidRPr="002D60E6">
        <w:rPr>
          <w:rFonts w:ascii="Palatino Linotype" w:hAnsi="Palatino Linotype" w:cs="Arial"/>
          <w:i/>
        </w:rPr>
        <w:t>póliza contable</w:t>
      </w:r>
      <w:r w:rsidRPr="002D60E6">
        <w:rPr>
          <w:rFonts w:ascii="Palatino Linotype" w:hAnsi="Palatino Linotype" w:cs="Arial"/>
        </w:rPr>
        <w:t xml:space="preserve"> constituye un registro contable y presupuestal con el que cuentan los Municipios para el registro de sus operaciones relacionadas con sus ingresos y egresos y se anexan los documentos o comprobantes que justifiquen las anotaciones y cantidades en ellas registradas, lo que permite la identificación plena de dichas operaciones.</w:t>
      </w:r>
    </w:p>
    <w:p w:rsidR="00FB3A06" w:rsidRPr="002D60E6" w:rsidRDefault="00FB3A06" w:rsidP="00FB3A06">
      <w:pPr>
        <w:spacing w:line="360" w:lineRule="auto"/>
        <w:jc w:val="both"/>
        <w:rPr>
          <w:rFonts w:ascii="Palatino Linotype" w:hAnsi="Palatino Linotype" w:cs="Arial"/>
        </w:rPr>
      </w:pPr>
    </w:p>
    <w:p w:rsidR="00FB3A06" w:rsidRPr="002D60E6" w:rsidRDefault="00FB3A06" w:rsidP="00FB3A06">
      <w:pPr>
        <w:numPr>
          <w:ilvl w:val="0"/>
          <w:numId w:val="3"/>
        </w:numPr>
        <w:spacing w:line="360" w:lineRule="auto"/>
        <w:ind w:left="0" w:firstLine="0"/>
        <w:jc w:val="both"/>
        <w:rPr>
          <w:rFonts w:ascii="Palatino Linotype" w:hAnsi="Palatino Linotype" w:cs="Consolas"/>
          <w:color w:val="000000"/>
          <w:lang w:val="es-MX"/>
        </w:rPr>
      </w:pPr>
      <w:r w:rsidRPr="002D60E6">
        <w:rPr>
          <w:rFonts w:ascii="Palatino Linotype" w:eastAsia="Palatino Linotype" w:hAnsi="Palatino Linotype" w:cs="Palatino Linotype"/>
          <w:color w:val="000000"/>
        </w:rPr>
        <w:t xml:space="preserve">Por tanto, es que resulta inaplicable una pretendida clasificación como reservada; </w:t>
      </w:r>
      <w:r w:rsidRPr="00A92E55">
        <w:rPr>
          <w:rFonts w:ascii="Palatino Linotype" w:eastAsia="Palatino Linotype" w:hAnsi="Palatino Linotype" w:cs="Palatino Linotype"/>
          <w:b/>
          <w:color w:val="000000"/>
        </w:rPr>
        <w:t>sumado a que son documentos que detentan el carácter de definitivos</w:t>
      </w:r>
      <w:r w:rsidRPr="002D60E6">
        <w:rPr>
          <w:rFonts w:ascii="Palatino Linotype" w:eastAsia="Palatino Linotype" w:hAnsi="Palatino Linotype" w:cs="Palatino Linotype"/>
          <w:color w:val="000000"/>
        </w:rPr>
        <w:t xml:space="preserve">, ello resulta así derivado </w:t>
      </w:r>
      <w:r w:rsidRPr="002D60E6">
        <w:rPr>
          <w:rFonts w:ascii="Palatino Linotype" w:hAnsi="Palatino Linotype" w:cs="Consolas"/>
          <w:color w:val="000000"/>
          <w:lang w:val="es-MX"/>
        </w:rPr>
        <w:t>que</w:t>
      </w:r>
      <w:r w:rsidR="00405095" w:rsidRPr="002D60E6">
        <w:rPr>
          <w:rFonts w:ascii="Palatino Linotype" w:hAnsi="Palatino Linotype" w:cs="Consolas"/>
          <w:color w:val="000000"/>
          <w:lang w:val="es-MX"/>
        </w:rPr>
        <w:t xml:space="preserve"> corresponden a comprobantes que ya han sido pagados y</w:t>
      </w:r>
      <w:r w:rsidRPr="002D60E6">
        <w:rPr>
          <w:rFonts w:ascii="Palatino Linotype" w:hAnsi="Palatino Linotype" w:cs="Consolas"/>
          <w:color w:val="000000"/>
          <w:lang w:val="es-MX"/>
        </w:rPr>
        <w:t xml:space="preserve"> </w:t>
      </w:r>
      <w:r w:rsidR="00405095" w:rsidRPr="002D60E6">
        <w:rPr>
          <w:rFonts w:ascii="Palatino Linotype" w:hAnsi="Palatino Linotype" w:cs="Consolas"/>
          <w:color w:val="000000"/>
          <w:lang w:val="es-MX"/>
        </w:rPr>
        <w:t xml:space="preserve">por tanto </w:t>
      </w:r>
      <w:r w:rsidRPr="002D60E6">
        <w:rPr>
          <w:rFonts w:ascii="Palatino Linotype" w:hAnsi="Palatino Linotype" w:cs="Consolas"/>
          <w:color w:val="000000"/>
          <w:lang w:val="es-MX"/>
        </w:rPr>
        <w:t>expresa</w:t>
      </w:r>
      <w:r w:rsidR="00405095" w:rsidRPr="002D60E6">
        <w:rPr>
          <w:rFonts w:ascii="Palatino Linotype" w:hAnsi="Palatino Linotype" w:cs="Consolas"/>
          <w:color w:val="000000"/>
          <w:lang w:val="es-MX"/>
        </w:rPr>
        <w:t>n</w:t>
      </w:r>
      <w:r w:rsidRPr="002D60E6">
        <w:rPr>
          <w:rFonts w:ascii="Palatino Linotype" w:hAnsi="Palatino Linotype" w:cs="Consolas"/>
          <w:color w:val="000000"/>
          <w:lang w:val="es-MX"/>
        </w:rPr>
        <w:t xml:space="preserve"> la decisión final, conclusión o resolución de una autoridad, órgano jurisdiccional o entidad a</w:t>
      </w:r>
      <w:r w:rsidR="00405095" w:rsidRPr="002D60E6">
        <w:rPr>
          <w:rFonts w:ascii="Palatino Linotype" w:hAnsi="Palatino Linotype" w:cs="Consolas"/>
          <w:color w:val="000000"/>
          <w:lang w:val="es-MX"/>
        </w:rPr>
        <w:t>dministrativa en el</w:t>
      </w:r>
      <w:r w:rsidRPr="002D60E6">
        <w:rPr>
          <w:rFonts w:ascii="Palatino Linotype" w:hAnsi="Palatino Linotype" w:cs="Consolas"/>
          <w:color w:val="000000"/>
          <w:lang w:val="es-MX"/>
        </w:rPr>
        <w:t xml:space="preserve"> asunto concreto</w:t>
      </w:r>
      <w:r w:rsidR="00405095" w:rsidRPr="002D60E6">
        <w:rPr>
          <w:rFonts w:ascii="Palatino Linotype" w:hAnsi="Palatino Linotype" w:cs="Consolas"/>
          <w:color w:val="000000"/>
          <w:lang w:val="es-MX"/>
        </w:rPr>
        <w:t xml:space="preserve"> un pago erogado por el Ayuntamiento con recursos públicos, de modo tal que</w:t>
      </w:r>
      <w:r w:rsidRPr="002D60E6">
        <w:rPr>
          <w:rFonts w:ascii="Palatino Linotype" w:hAnsi="Palatino Linotype" w:cs="Consolas"/>
          <w:color w:val="000000"/>
          <w:lang w:val="es-MX"/>
        </w:rPr>
        <w:t xml:space="preserve"> </w:t>
      </w:r>
      <w:r w:rsidR="00405095" w:rsidRPr="002D60E6">
        <w:rPr>
          <w:rFonts w:ascii="Palatino Linotype" w:hAnsi="Palatino Linotype" w:cs="Consolas"/>
          <w:color w:val="000000"/>
          <w:lang w:val="es-MX"/>
        </w:rPr>
        <w:t>n</w:t>
      </w:r>
      <w:r w:rsidRPr="002D60E6">
        <w:rPr>
          <w:rFonts w:ascii="Palatino Linotype" w:hAnsi="Palatino Linotype" w:cs="Consolas"/>
          <w:color w:val="000000"/>
          <w:lang w:val="es-MX"/>
        </w:rPr>
        <w:t xml:space="preserve">o es un proyecto, borrador o propuesta, sino </w:t>
      </w:r>
      <w:r w:rsidR="00405095" w:rsidRPr="002D60E6">
        <w:rPr>
          <w:rFonts w:ascii="Palatino Linotype" w:hAnsi="Palatino Linotype" w:cs="Consolas"/>
          <w:color w:val="000000"/>
          <w:lang w:val="es-MX"/>
        </w:rPr>
        <w:t>documento</w:t>
      </w:r>
      <w:r w:rsidRPr="002D60E6">
        <w:rPr>
          <w:rFonts w:ascii="Palatino Linotype" w:hAnsi="Palatino Linotype" w:cs="Consolas"/>
          <w:color w:val="000000"/>
          <w:lang w:val="es-MX"/>
        </w:rPr>
        <w:t xml:space="preserve"> final y </w:t>
      </w:r>
      <w:r w:rsidRPr="002D60E6">
        <w:rPr>
          <w:rFonts w:ascii="Palatino Linotype" w:hAnsi="Palatino Linotype" w:cs="Consolas"/>
          <w:color w:val="000000"/>
          <w:lang w:val="es-MX"/>
        </w:rPr>
        <w:lastRenderedPageBreak/>
        <w:t>vinculant</w:t>
      </w:r>
      <w:r w:rsidR="00405095" w:rsidRPr="002D60E6">
        <w:rPr>
          <w:rFonts w:ascii="Palatino Linotype" w:hAnsi="Palatino Linotype" w:cs="Consolas"/>
          <w:color w:val="000000"/>
          <w:lang w:val="es-MX"/>
        </w:rPr>
        <w:t>e que produce efectos jurídicos y que no es susceptible de ser reservado pues en nada afecta las actividades de fiscalización; por el contrario son documentos que abonan a la transparencia de los recursos públicos y que revisten interés.</w:t>
      </w:r>
    </w:p>
    <w:p w:rsidR="00405095" w:rsidRPr="002D60E6" w:rsidRDefault="00405095" w:rsidP="00405095">
      <w:pPr>
        <w:pStyle w:val="Prrafodelista"/>
        <w:rPr>
          <w:rFonts w:ascii="Palatino Linotype" w:hAnsi="Palatino Linotype" w:cs="Consolas"/>
          <w:color w:val="000000"/>
          <w:lang w:val="es-MX"/>
        </w:rPr>
      </w:pPr>
    </w:p>
    <w:p w:rsidR="00405095" w:rsidRPr="002D60E6" w:rsidRDefault="00405095" w:rsidP="00405095">
      <w:pPr>
        <w:numPr>
          <w:ilvl w:val="0"/>
          <w:numId w:val="3"/>
        </w:numPr>
        <w:spacing w:line="360" w:lineRule="auto"/>
        <w:ind w:left="0" w:firstLine="0"/>
        <w:jc w:val="both"/>
        <w:rPr>
          <w:rFonts w:ascii="Palatino Linotype" w:hAnsi="Palatino Linotype" w:cs="Consolas"/>
          <w:color w:val="000000"/>
          <w:lang w:val="es-MX"/>
        </w:rPr>
      </w:pPr>
      <w:r w:rsidRPr="002D60E6">
        <w:rPr>
          <w:rFonts w:ascii="Palatino Linotype" w:hAnsi="Palatino Linotype" w:cs="Consolas"/>
          <w:color w:val="000000"/>
          <w:lang w:val="es-MX"/>
        </w:rPr>
        <w:t xml:space="preserve">Por lo </w:t>
      </w:r>
      <w:r w:rsidRPr="002D60E6">
        <w:rPr>
          <w:rFonts w:ascii="Palatino Linotype" w:eastAsia="Palatino Linotype" w:hAnsi="Palatino Linotype" w:cs="Palatino Linotype"/>
          <w:color w:val="000000"/>
        </w:rPr>
        <w:t>anteriormente</w:t>
      </w:r>
      <w:r w:rsidRPr="002D60E6">
        <w:rPr>
          <w:rFonts w:ascii="Palatino Linotype" w:hAnsi="Palatino Linotype" w:cs="Consolas"/>
          <w:color w:val="000000"/>
          <w:lang w:val="es-MX"/>
        </w:rPr>
        <w:t xml:space="preserve"> expuesto, es dable ordenar la entrega de lo solicitado, relacionado con el evento denominado </w:t>
      </w:r>
      <w:r w:rsidRPr="002D60E6">
        <w:rPr>
          <w:rFonts w:ascii="Palatino Linotype" w:hAnsi="Palatino Linotype" w:cs="Consolas"/>
          <w:i/>
          <w:color w:val="000000"/>
          <w:lang w:val="es-MX"/>
        </w:rPr>
        <w:t>Día del Adulto Mayor</w:t>
      </w:r>
      <w:r w:rsidRPr="002D60E6">
        <w:rPr>
          <w:rFonts w:ascii="Palatino Linotype" w:hAnsi="Palatino Linotype" w:cs="Consolas"/>
          <w:color w:val="000000"/>
          <w:lang w:val="es-MX"/>
        </w:rPr>
        <w:t xml:space="preserve">, el cual con su informe justificado, el Sistema Municipal para el Desarrollo Integral de la Familia de Juchitepec, acepta que organizó, y que en consecuencia generó, posee y administra lo solicitado; tan es así que lo pretendió clasificar como confidencial. Evento que tuvo verificativo el día veintiocho de agosto de dos mil veinticinco, del ejercicio fiscal en que se interpuso la solicitud, como muestra la siguiente publicación realizada por el propio </w:t>
      </w:r>
      <w:r w:rsidRPr="002D60E6">
        <w:rPr>
          <w:rFonts w:ascii="Palatino Linotype" w:hAnsi="Palatino Linotype" w:cs="Consolas"/>
          <w:b/>
          <w:color w:val="000000"/>
          <w:lang w:val="es-MX"/>
        </w:rPr>
        <w:t>SUJETO OBLIGADO:</w:t>
      </w:r>
    </w:p>
    <w:p w:rsidR="00405095" w:rsidRPr="002D60E6" w:rsidRDefault="00405095" w:rsidP="00405095">
      <w:pPr>
        <w:pStyle w:val="Prrafodelista"/>
        <w:rPr>
          <w:rFonts w:ascii="Palatino Linotype" w:hAnsi="Palatino Linotype" w:cs="Consolas"/>
          <w:color w:val="000000"/>
          <w:lang w:val="es-MX"/>
        </w:rPr>
      </w:pPr>
    </w:p>
    <w:p w:rsidR="00FB3A06" w:rsidRPr="002D60E6" w:rsidRDefault="00405095" w:rsidP="00405095">
      <w:pPr>
        <w:spacing w:line="360" w:lineRule="auto"/>
        <w:jc w:val="center"/>
        <w:rPr>
          <w:rFonts w:ascii="Palatino Linotype" w:hAnsi="Palatino Linotype" w:cs="Consolas"/>
          <w:color w:val="000000"/>
          <w:lang w:val="es-MX"/>
        </w:rPr>
      </w:pPr>
      <w:r w:rsidRPr="002D60E6">
        <w:rPr>
          <w:rFonts w:ascii="Palatino Linotype" w:hAnsi="Palatino Linotype" w:cs="Consolas"/>
          <w:noProof/>
          <w:color w:val="000000"/>
          <w:lang w:val="es-MX"/>
        </w:rPr>
        <w:drawing>
          <wp:inline distT="0" distB="0" distL="0" distR="0" wp14:anchorId="644601B8" wp14:editId="3C32187B">
            <wp:extent cx="3321244" cy="2721033"/>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28325" cy="2726835"/>
                    </a:xfrm>
                    <a:prstGeom prst="rect">
                      <a:avLst/>
                    </a:prstGeom>
                  </pic:spPr>
                </pic:pic>
              </a:graphicData>
            </a:graphic>
          </wp:inline>
        </w:drawing>
      </w:r>
    </w:p>
    <w:p w:rsidR="00FB3A06" w:rsidRPr="002D60E6" w:rsidRDefault="00FB3A06" w:rsidP="00FB3A06">
      <w:pPr>
        <w:spacing w:line="360" w:lineRule="auto"/>
        <w:jc w:val="both"/>
        <w:rPr>
          <w:rFonts w:ascii="Palatino Linotype" w:eastAsia="Palatino Linotype" w:hAnsi="Palatino Linotype" w:cs="Palatino Linotype"/>
          <w:color w:val="000000"/>
        </w:rPr>
      </w:pPr>
    </w:p>
    <w:p w:rsidR="00F87973" w:rsidRDefault="00405095">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lastRenderedPageBreak/>
        <w:t xml:space="preserve">Por lo que al haberse interpuesto la solicitud de información el día </w:t>
      </w:r>
      <w:r w:rsidRPr="002D60E6">
        <w:rPr>
          <w:rFonts w:ascii="Palatino Linotype" w:eastAsia="Palatino Linotype" w:hAnsi="Palatino Linotype" w:cs="Palatino Linotype"/>
          <w:b/>
          <w:color w:val="000000"/>
        </w:rPr>
        <w:t>treinta y uno de octubre de dos mil veinticinco</w:t>
      </w:r>
      <w:r w:rsidRPr="002D60E6">
        <w:rPr>
          <w:rFonts w:ascii="Palatino Linotype" w:eastAsia="Palatino Linotype" w:hAnsi="Palatino Linotype" w:cs="Palatino Linotype"/>
          <w:color w:val="000000"/>
        </w:rPr>
        <w:t xml:space="preserve">, </w:t>
      </w:r>
      <w:r w:rsidR="00F87973" w:rsidRPr="002D60E6">
        <w:rPr>
          <w:rFonts w:ascii="Palatino Linotype" w:eastAsia="Palatino Linotype" w:hAnsi="Palatino Linotype" w:cs="Palatino Linotype"/>
          <w:color w:val="000000"/>
        </w:rPr>
        <w:t>ciertamente corresponde a un evento anterior a la fecha de la solicitud, reiterando la procedencia de la entrega de la información.</w:t>
      </w:r>
    </w:p>
    <w:p w:rsidR="00F87712" w:rsidRPr="002D60E6" w:rsidRDefault="00F87712" w:rsidP="00F87712">
      <w:pPr>
        <w:spacing w:line="360" w:lineRule="auto"/>
        <w:jc w:val="both"/>
        <w:rPr>
          <w:rFonts w:ascii="Palatino Linotype" w:eastAsia="Palatino Linotype" w:hAnsi="Palatino Linotype" w:cs="Palatino Linotype"/>
          <w:color w:val="000000"/>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Con la determinación anterior quedará por colmado el derecho de acceso a la información del ahora Recurrente; toda vez que el Derecho que tutela este Órgano Garante </w:t>
      </w:r>
      <w:r w:rsidRPr="002D60E6">
        <w:rPr>
          <w:rFonts w:ascii="Palatino Linotype" w:eastAsia="Palatino Linotype" w:hAnsi="Palatino Linotype" w:cs="Palatino Linotype"/>
        </w:rPr>
        <w:t>corresponde</w:t>
      </w:r>
      <w:r w:rsidRPr="002D60E6">
        <w:rPr>
          <w:rFonts w:ascii="Palatino Linotype" w:eastAsia="Palatino Linotype" w:hAnsi="Palatino Linotype" w:cs="Palatino Linotype"/>
          <w:color w:val="000000"/>
        </w:rPr>
        <w:t xml:space="preserve"> a la  </w:t>
      </w:r>
      <w:r w:rsidRPr="002D60E6">
        <w:rPr>
          <w:rFonts w:ascii="Palatino Linotype" w:eastAsia="Palatino Linotype" w:hAnsi="Palatino Linotype" w:cs="Palatino Linotype"/>
          <w:i/>
          <w:iCs/>
          <w:color w:val="000000"/>
        </w:rPr>
        <w:t>igualdad de oportunidades para recibir, buscar e impartir información</w:t>
      </w:r>
      <w:r w:rsidRPr="002D60E6">
        <w:rPr>
          <w:rFonts w:ascii="Palatino Linotype" w:eastAsia="Palatino Linotype" w:hAnsi="Palatino Linotype" w:cs="Palatino Linotype"/>
          <w:i/>
          <w:iCs/>
          <w:color w:val="000000"/>
          <w:vertAlign w:val="superscript"/>
        </w:rPr>
        <w:footnoteReference w:id="1"/>
      </w:r>
      <w:r w:rsidRPr="002D60E6">
        <w:rPr>
          <w:rFonts w:ascii="Palatino Linotype" w:eastAsia="Palatino Linotype" w:hAnsi="Palatino Linotype" w:cs="Palatino Linotype"/>
          <w:i/>
          <w:iCs/>
          <w:color w:val="000000"/>
        </w:rPr>
        <w:t xml:space="preserve"> en posesión de cualquier autoridad, entidad, órgano y organismo de los </w:t>
      </w:r>
      <w:r w:rsidRPr="002D60E6">
        <w:rPr>
          <w:rFonts w:ascii="Palatino Linotype" w:eastAsia="Palatino Linotype" w:hAnsi="Palatino Linotype" w:cs="Palatino Linotype"/>
          <w:color w:val="000000"/>
        </w:rPr>
        <w:t>poderes</w:t>
      </w:r>
      <w:r w:rsidRPr="002D60E6">
        <w:rPr>
          <w:rFonts w:ascii="Palatino Linotype" w:eastAsia="Palatino Linotype" w:hAnsi="Palatino Linotype" w:cs="Palatino Linotype"/>
          <w:i/>
          <w:iCs/>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2D60E6">
        <w:rPr>
          <w:rFonts w:ascii="Palatino Linotype" w:eastAsia="Palatino Linotype" w:hAnsi="Palatino Linotype" w:cs="Palatino Linotype"/>
          <w:color w:val="000000"/>
          <w:vertAlign w:val="superscript"/>
        </w:rPr>
        <w:footnoteReference w:id="2"/>
      </w:r>
      <w:r w:rsidRPr="002D60E6">
        <w:rPr>
          <w:rFonts w:ascii="Palatino Linotype" w:eastAsia="Palatino Linotype" w:hAnsi="Palatino Linotype" w:cs="Palatino Linotype"/>
          <w:i/>
          <w:iCs/>
          <w:color w:val="000000"/>
        </w:rPr>
        <w:t xml:space="preserve"> </w:t>
      </w:r>
      <w:r w:rsidRPr="002D60E6">
        <w:rPr>
          <w:rFonts w:ascii="Palatino Linotype" w:eastAsia="Palatino Linotype" w:hAnsi="Palatino Linotype" w:cs="Palatino Linotype"/>
          <w:color w:val="000000"/>
        </w:rPr>
        <w:t xml:space="preserve">que se constituye como una herramienta fundamental para </w:t>
      </w:r>
      <w:r w:rsidRPr="002D60E6">
        <w:rPr>
          <w:rFonts w:ascii="Palatino Linotype" w:eastAsia="Palatino Linotype" w:hAnsi="Palatino Linotype" w:cs="Palatino Linotype"/>
          <w:i/>
          <w:iCs/>
          <w:color w:val="000000"/>
        </w:rPr>
        <w:t>ejercer control democrático de las gestiones estatales, de forma tal que puedan cuestionar, indagar y considerar si se está dando un adecuado cumplimiento de las funciones públicas,</w:t>
      </w:r>
      <w:r w:rsidRPr="002D60E6">
        <w:rPr>
          <w:rFonts w:ascii="Palatino Linotype" w:eastAsia="Palatino Linotype" w:hAnsi="Palatino Linotype" w:cs="Palatino Linotype"/>
          <w:i/>
          <w:iCs/>
          <w:color w:val="000000"/>
          <w:vertAlign w:val="superscript"/>
        </w:rPr>
        <w:footnoteReference w:id="3"/>
      </w:r>
      <w:r w:rsidRPr="002D60E6">
        <w:rPr>
          <w:rFonts w:ascii="Palatino Linotype" w:eastAsia="Palatino Linotype" w:hAnsi="Palatino Linotype" w:cs="Palatino Linotype"/>
          <w:color w:val="000000"/>
        </w:rPr>
        <w:t>fomentando</w:t>
      </w:r>
      <w:r w:rsidRPr="002D60E6">
        <w:rPr>
          <w:rFonts w:ascii="Palatino Linotype" w:eastAsia="Palatino Linotype" w:hAnsi="Palatino Linotype" w:cs="Palatino Linotype"/>
          <w:i/>
          <w:iCs/>
          <w:color w:val="000000"/>
        </w:rPr>
        <w:t xml:space="preserve"> la transparencia de las actividades estatales y</w:t>
      </w:r>
      <w:r w:rsidRPr="002D60E6">
        <w:rPr>
          <w:rFonts w:ascii="Palatino Linotype" w:eastAsia="Palatino Linotype" w:hAnsi="Palatino Linotype" w:cs="Palatino Linotype"/>
          <w:color w:val="000000"/>
        </w:rPr>
        <w:t xml:space="preserve"> promoviendo</w:t>
      </w:r>
      <w:r w:rsidRPr="002D60E6">
        <w:rPr>
          <w:rFonts w:ascii="Palatino Linotype" w:eastAsia="Palatino Linotype" w:hAnsi="Palatino Linotype" w:cs="Palatino Linotype"/>
          <w:i/>
          <w:iCs/>
          <w:color w:val="000000"/>
        </w:rPr>
        <w:t xml:space="preserve"> la responsabilidad de los funcionarios sobre su gestión pública</w:t>
      </w:r>
      <w:r w:rsidRPr="002D60E6">
        <w:rPr>
          <w:rFonts w:ascii="Palatino Linotype" w:eastAsia="Palatino Linotype" w:hAnsi="Palatino Linotype" w:cs="Palatino Linotype"/>
          <w:i/>
          <w:iCs/>
          <w:color w:val="000000"/>
          <w:vertAlign w:val="superscript"/>
        </w:rPr>
        <w:footnoteReference w:id="4"/>
      </w:r>
      <w:r w:rsidRPr="002D60E6">
        <w:rPr>
          <w:rFonts w:ascii="Palatino Linotype" w:eastAsia="Palatino Linotype" w:hAnsi="Palatino Linotype" w:cs="Palatino Linotype"/>
          <w:i/>
          <w:iCs/>
          <w:color w:val="000000"/>
        </w:rPr>
        <w:t xml:space="preserve"> </w:t>
      </w:r>
      <w:r w:rsidRPr="002D60E6">
        <w:rPr>
          <w:rFonts w:ascii="Palatino Linotype" w:eastAsia="Palatino Linotype" w:hAnsi="Palatino Linotype" w:cs="Palatino Linotype"/>
          <w:color w:val="000000"/>
        </w:rPr>
        <w:t>que permite</w:t>
      </w:r>
      <w:r w:rsidRPr="002D60E6">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sidRPr="002D60E6">
        <w:rPr>
          <w:rFonts w:ascii="Palatino Linotype" w:eastAsia="Palatino Linotype" w:hAnsi="Palatino Linotype" w:cs="Palatino Linotype"/>
          <w:i/>
          <w:iCs/>
          <w:color w:val="000000"/>
          <w:vertAlign w:val="superscript"/>
        </w:rPr>
        <w:footnoteReference w:id="5"/>
      </w:r>
      <w:r w:rsidRPr="002D60E6">
        <w:rPr>
          <w:rFonts w:ascii="Palatino Linotype" w:eastAsia="Palatino Linotype" w:hAnsi="Palatino Linotype" w:cs="Palatino Linotype"/>
          <w:color w:val="000000"/>
        </w:rPr>
        <w:t xml:space="preserve"> ”</w:t>
      </w:r>
    </w:p>
    <w:p w:rsidR="00F72507" w:rsidRPr="002D60E6" w:rsidRDefault="00F72507">
      <w:pPr>
        <w:spacing w:line="360" w:lineRule="auto"/>
        <w:jc w:val="both"/>
        <w:rPr>
          <w:rFonts w:ascii="Palatino Linotype" w:eastAsia="Palatino Linotype" w:hAnsi="Palatino Linotype" w:cs="Palatino Linotype"/>
          <w:color w:val="000000"/>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i/>
          <w:iCs/>
          <w:color w:val="000000"/>
        </w:rPr>
      </w:pPr>
      <w:r w:rsidRPr="002D60E6">
        <w:rPr>
          <w:rFonts w:ascii="Palatino Linotype" w:eastAsia="Palatino Linotype" w:hAnsi="Palatino Linotype" w:cs="Palatino Linotype"/>
          <w:color w:val="000000"/>
        </w:rPr>
        <w:lastRenderedPageBreak/>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F72507" w:rsidRPr="002D60E6" w:rsidRDefault="001C4B97">
      <w:pPr>
        <w:spacing w:line="360" w:lineRule="auto"/>
        <w:ind w:left="426" w:right="474"/>
        <w:jc w:val="both"/>
        <w:rPr>
          <w:rFonts w:ascii="Palatino Linotype" w:eastAsia="Palatino Linotype" w:hAnsi="Palatino Linotype" w:cs="Palatino Linotype"/>
          <w:b/>
          <w:bCs/>
          <w:i/>
          <w:iCs/>
          <w:color w:val="000000"/>
        </w:rPr>
      </w:pPr>
      <w:r w:rsidRPr="002D60E6">
        <w:rPr>
          <w:rFonts w:ascii="Palatino Linotype" w:eastAsia="Palatino Linotype" w:hAnsi="Palatino Linotype" w:cs="Palatino Linotype"/>
          <w:b/>
          <w:bCs/>
          <w:i/>
          <w:iCs/>
          <w:color w:val="000000"/>
        </w:rPr>
        <w:t>“CRITERIO 0002-11</w:t>
      </w:r>
    </w:p>
    <w:p w:rsidR="00F72507" w:rsidRPr="002D60E6" w:rsidRDefault="001C4B97">
      <w:pPr>
        <w:spacing w:line="360" w:lineRule="auto"/>
        <w:ind w:left="426" w:right="474"/>
        <w:jc w:val="both"/>
        <w:rPr>
          <w:rFonts w:ascii="Palatino Linotype" w:eastAsia="Palatino Linotype" w:hAnsi="Palatino Linotype" w:cs="Palatino Linotype"/>
          <w:i/>
          <w:iCs/>
          <w:color w:val="000000"/>
        </w:rPr>
      </w:pPr>
      <w:r w:rsidRPr="002D60E6">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sidRPr="002D60E6">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F72507" w:rsidRPr="002D60E6" w:rsidRDefault="001C4B97">
      <w:pPr>
        <w:spacing w:line="360" w:lineRule="auto"/>
        <w:ind w:left="426" w:right="474"/>
        <w:jc w:val="both"/>
        <w:rPr>
          <w:rFonts w:ascii="Palatino Linotype" w:eastAsia="Palatino Linotype" w:hAnsi="Palatino Linotype" w:cs="Palatino Linotype"/>
          <w:i/>
          <w:iCs/>
          <w:color w:val="000000"/>
        </w:rPr>
      </w:pPr>
      <w:r w:rsidRPr="002D60E6">
        <w:rPr>
          <w:rFonts w:ascii="Palatino Linotype" w:eastAsia="Palatino Linotype" w:hAnsi="Palatino Linotype" w:cs="Palatino Linotype"/>
          <w:i/>
          <w:iCs/>
          <w:color w:val="000000"/>
        </w:rPr>
        <w:t>En consecuencia el acceso a la información se refiere a que se cumplan cualquiera de los siguientes tres supuestos:</w:t>
      </w:r>
    </w:p>
    <w:p w:rsidR="00F72507" w:rsidRPr="002D60E6" w:rsidRDefault="001C4B97">
      <w:pPr>
        <w:spacing w:line="360" w:lineRule="auto"/>
        <w:ind w:left="426" w:right="474"/>
        <w:jc w:val="both"/>
        <w:rPr>
          <w:rFonts w:ascii="Palatino Linotype" w:eastAsia="Palatino Linotype" w:hAnsi="Palatino Linotype" w:cs="Palatino Linotype"/>
          <w:i/>
          <w:iCs/>
          <w:color w:val="000000"/>
        </w:rPr>
      </w:pPr>
      <w:r w:rsidRPr="002D60E6">
        <w:rPr>
          <w:rFonts w:ascii="Palatino Linotype" w:eastAsia="Palatino Linotype" w:hAnsi="Palatino Linotype" w:cs="Palatino Linotype"/>
          <w:i/>
          <w:iCs/>
          <w:color w:val="000000"/>
        </w:rPr>
        <w:t>Que se trate de información registrada en cualquier soporte documental, que en ejercicio de las atribuciones conferidas, sea generada por los Sujetos Obligados;</w:t>
      </w:r>
    </w:p>
    <w:p w:rsidR="00F72507" w:rsidRPr="002D60E6" w:rsidRDefault="001C4B97">
      <w:pPr>
        <w:spacing w:line="360" w:lineRule="auto"/>
        <w:ind w:left="426" w:right="474"/>
        <w:jc w:val="both"/>
        <w:rPr>
          <w:rFonts w:ascii="Palatino Linotype" w:eastAsia="Palatino Linotype" w:hAnsi="Palatino Linotype" w:cs="Palatino Linotype"/>
          <w:i/>
          <w:iCs/>
          <w:color w:val="000000"/>
        </w:rPr>
      </w:pPr>
      <w:r w:rsidRPr="002D60E6">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F72507" w:rsidRPr="002D60E6" w:rsidRDefault="001C4B97">
      <w:pPr>
        <w:spacing w:line="360" w:lineRule="auto"/>
        <w:ind w:left="426" w:right="474"/>
        <w:jc w:val="both"/>
        <w:rPr>
          <w:rFonts w:ascii="Palatino Linotype" w:eastAsia="Palatino Linotype" w:hAnsi="Palatino Linotype" w:cs="Palatino Linotype"/>
          <w:i/>
          <w:iCs/>
          <w:color w:val="000000"/>
        </w:rPr>
      </w:pPr>
      <w:r w:rsidRPr="002D60E6">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F72507" w:rsidRPr="002D60E6" w:rsidRDefault="00F72507">
      <w:pPr>
        <w:spacing w:line="360" w:lineRule="auto"/>
        <w:ind w:left="567" w:right="567"/>
        <w:jc w:val="both"/>
        <w:rPr>
          <w:rFonts w:ascii="Palatino Linotype" w:eastAsia="Palatino Linotype" w:hAnsi="Palatino Linotype" w:cs="Palatino Linotype"/>
          <w:i/>
          <w:iCs/>
          <w:color w:val="000000"/>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lastRenderedPageBreak/>
        <w:t>El derecho de acceso a la información encuentra su materia elemental en los documentos, y la Ley de Transparencia local  nos brinda el siguiente concepto, para darnos un mejor panorama:</w:t>
      </w:r>
    </w:p>
    <w:p w:rsidR="00F72507" w:rsidRPr="002D60E6" w:rsidRDefault="001C4B97">
      <w:pPr>
        <w:spacing w:line="360" w:lineRule="auto"/>
        <w:ind w:left="426" w:right="474"/>
        <w:jc w:val="both"/>
        <w:rPr>
          <w:rFonts w:ascii="Palatino Linotype" w:eastAsia="Palatino Linotype" w:hAnsi="Palatino Linotype" w:cs="Palatino Linotype"/>
          <w:i/>
          <w:iCs/>
          <w:color w:val="000000"/>
        </w:rPr>
      </w:pPr>
      <w:r w:rsidRPr="002D60E6">
        <w:rPr>
          <w:rFonts w:ascii="Palatino Linotype" w:eastAsia="Palatino Linotype" w:hAnsi="Palatino Linotype" w:cs="Palatino Linotype"/>
          <w:b/>
          <w:bCs/>
          <w:i/>
          <w:iCs/>
          <w:color w:val="000000"/>
        </w:rPr>
        <w:t xml:space="preserve">XI. Documento: </w:t>
      </w:r>
      <w:r w:rsidRPr="002D60E6">
        <w:rPr>
          <w:rFonts w:ascii="Palatino Linotype" w:eastAsia="Palatino Linotype" w:hAnsi="Palatino Linotype" w:cs="Palatino Linotype"/>
          <w:i/>
          <w:iCs/>
          <w:color w:val="000000"/>
        </w:rPr>
        <w:t xml:space="preserve">Los expedientes, reportes, estudios, actas, resoluciones, oficios, correspondencia, acuerdos, directivas, directrices, circulares, contratos, convenios, instructivos, notas, memorandos, estadísticas o bien, </w:t>
      </w:r>
      <w:r w:rsidRPr="002D60E6">
        <w:rPr>
          <w:rFonts w:ascii="Palatino Linotype" w:eastAsia="Palatino Linotype" w:hAnsi="Palatino Linotype" w:cs="Palatino Linotype"/>
          <w:b/>
          <w:bCs/>
          <w:i/>
          <w:iCs/>
          <w:color w:val="000000"/>
        </w:rPr>
        <w:t>cualquier otro registro</w:t>
      </w:r>
      <w:r w:rsidRPr="002D60E6">
        <w:rPr>
          <w:rFonts w:ascii="Palatino Linotype" w:eastAsia="Palatino Linotype" w:hAnsi="Palatino Linotype" w:cs="Palatino Linotype"/>
          <w:i/>
          <w:iCs/>
          <w:color w:val="000000"/>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F72507" w:rsidRPr="002D60E6" w:rsidRDefault="00F72507">
      <w:pPr>
        <w:spacing w:line="360" w:lineRule="auto"/>
        <w:ind w:left="567" w:right="567"/>
        <w:jc w:val="both"/>
        <w:rPr>
          <w:rFonts w:ascii="Palatino Linotype" w:eastAsia="Palatino Linotype" w:hAnsi="Palatino Linotype" w:cs="Palatino Linotype"/>
          <w:i/>
          <w:iCs/>
          <w:color w:val="000000"/>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Es así que, todos los actos de autoridad que realicen los Sujetos Obligados </w:t>
      </w:r>
      <w:r w:rsidRPr="002D60E6">
        <w:rPr>
          <w:rFonts w:ascii="Palatino Linotype" w:eastAsia="Palatino Linotype" w:hAnsi="Palatino Linotype" w:cs="Palatino Linotype"/>
          <w:b/>
          <w:bCs/>
          <w:color w:val="000000"/>
        </w:rPr>
        <w:t xml:space="preserve">deben estar </w:t>
      </w:r>
      <w:r w:rsidRPr="002D60E6">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F72507" w:rsidRPr="002D60E6" w:rsidRDefault="00F72507">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F72507" w:rsidRPr="002D60E6" w:rsidRDefault="001C4B97">
      <w:pPr>
        <w:spacing w:line="360" w:lineRule="auto"/>
        <w:ind w:left="426" w:right="567"/>
        <w:jc w:val="both"/>
        <w:rPr>
          <w:rFonts w:ascii="Palatino Linotype" w:eastAsia="Palatino Linotype" w:hAnsi="Palatino Linotype" w:cs="Palatino Linotype"/>
          <w:i/>
          <w:iCs/>
          <w:color w:val="000000"/>
        </w:rPr>
      </w:pPr>
      <w:r w:rsidRPr="002D60E6">
        <w:rPr>
          <w:rFonts w:ascii="Palatino Linotype" w:eastAsia="Palatino Linotype" w:hAnsi="Palatino Linotype" w:cs="Palatino Linotype"/>
          <w:b/>
          <w:bCs/>
          <w:i/>
          <w:iCs/>
          <w:color w:val="000000"/>
        </w:rPr>
        <w:t xml:space="preserve">“Artículo 4. </w:t>
      </w:r>
      <w:r w:rsidRPr="002D60E6">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F72507" w:rsidRPr="002D60E6" w:rsidRDefault="001C4B97">
      <w:pPr>
        <w:spacing w:line="360" w:lineRule="auto"/>
        <w:ind w:left="426" w:right="567"/>
        <w:jc w:val="both"/>
        <w:rPr>
          <w:rFonts w:ascii="Palatino Linotype" w:eastAsia="Palatino Linotype" w:hAnsi="Palatino Linotype" w:cs="Palatino Linotype"/>
          <w:i/>
          <w:iCs/>
          <w:color w:val="000000"/>
        </w:rPr>
      </w:pPr>
      <w:r w:rsidRPr="002D60E6">
        <w:rPr>
          <w:rFonts w:ascii="Palatino Linotype" w:eastAsia="Palatino Linotype" w:hAnsi="Palatino Linotype" w:cs="Palatino Linotype"/>
          <w:b/>
          <w:bCs/>
          <w:i/>
          <w:iCs/>
          <w:color w:val="000000"/>
        </w:rPr>
        <w:t>Toda la información</w:t>
      </w:r>
      <w:r w:rsidRPr="002D60E6">
        <w:rPr>
          <w:rFonts w:ascii="Palatino Linotype" w:eastAsia="Palatino Linotype" w:hAnsi="Palatino Linotype" w:cs="Palatino Linotype"/>
          <w:i/>
          <w:iCs/>
          <w:color w:val="000000"/>
        </w:rPr>
        <w:t xml:space="preserve"> generada, obtenida, adquirida, transformada, administrada o </w:t>
      </w:r>
      <w:r w:rsidRPr="002D60E6">
        <w:rPr>
          <w:rFonts w:ascii="Palatino Linotype" w:eastAsia="Palatino Linotype" w:hAnsi="Palatino Linotype" w:cs="Palatino Linotype"/>
          <w:b/>
          <w:bCs/>
          <w:i/>
          <w:iCs/>
          <w:color w:val="000000"/>
        </w:rPr>
        <w:t>en posesión de los sujetos obligados es pública</w:t>
      </w:r>
      <w:r w:rsidRPr="002D60E6">
        <w:rPr>
          <w:rFonts w:ascii="Palatino Linotype" w:eastAsia="Palatino Linotype" w:hAnsi="Palatino Linotype" w:cs="Palatino Linotype"/>
          <w:i/>
          <w:iCs/>
          <w:color w:val="000000"/>
        </w:rPr>
        <w:t xml:space="preserve"> y accesible de manera permanente a </w:t>
      </w:r>
      <w:r w:rsidRPr="002D60E6">
        <w:rPr>
          <w:rFonts w:ascii="Palatino Linotype" w:eastAsia="Palatino Linotype" w:hAnsi="Palatino Linotype" w:cs="Palatino Linotype"/>
          <w:i/>
          <w:iCs/>
          <w:color w:val="000000"/>
        </w:rPr>
        <w:lastRenderedPageBreak/>
        <w:t>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F72507" w:rsidRPr="002D60E6" w:rsidRDefault="001C4B97">
      <w:pPr>
        <w:spacing w:line="360" w:lineRule="auto"/>
        <w:ind w:left="426" w:right="567"/>
        <w:jc w:val="both"/>
        <w:rPr>
          <w:rFonts w:ascii="Palatino Linotype" w:eastAsia="Palatino Linotype" w:hAnsi="Palatino Linotype" w:cs="Palatino Linotype"/>
          <w:i/>
          <w:iCs/>
          <w:color w:val="000000"/>
        </w:rPr>
      </w:pPr>
      <w:r w:rsidRPr="002D60E6">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F72507" w:rsidRPr="002D60E6" w:rsidRDefault="00F72507">
      <w:pPr>
        <w:spacing w:line="360" w:lineRule="auto"/>
        <w:ind w:left="567" w:right="567"/>
        <w:jc w:val="both"/>
        <w:rPr>
          <w:rFonts w:ascii="Palatino Linotype" w:eastAsia="Palatino Linotype" w:hAnsi="Palatino Linotype" w:cs="Palatino Linotype"/>
          <w:i/>
          <w:iCs/>
          <w:color w:val="000000"/>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2D60E6">
        <w:rPr>
          <w:rFonts w:ascii="Palatino Linotype" w:eastAsia="Palatino Linotype" w:hAnsi="Palatino Linotype" w:cs="Palatino Linotype"/>
          <w:color w:val="000000"/>
          <w:vertAlign w:val="superscript"/>
        </w:rPr>
        <w:footnoteReference w:id="6"/>
      </w:r>
      <w:r w:rsidRPr="002D60E6">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F72507" w:rsidRPr="002D60E6" w:rsidRDefault="00F72507">
      <w:pPr>
        <w:spacing w:line="360" w:lineRule="auto"/>
        <w:jc w:val="both"/>
        <w:rPr>
          <w:rFonts w:ascii="Palatino Linotype" w:eastAsia="Palatino Linotype" w:hAnsi="Palatino Linotype" w:cs="Palatino Linotype"/>
          <w:color w:val="000000"/>
        </w:rPr>
      </w:pPr>
    </w:p>
    <w:p w:rsidR="00F72507" w:rsidRPr="002D60E6" w:rsidRDefault="001C4B97">
      <w:pPr>
        <w:numPr>
          <w:ilvl w:val="0"/>
          <w:numId w:val="3"/>
        </w:numP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F72507" w:rsidRPr="002D60E6" w:rsidRDefault="001C4B97">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iCs/>
          <w:color w:val="000000"/>
        </w:rPr>
      </w:pPr>
      <w:r w:rsidRPr="002D60E6">
        <w:rPr>
          <w:rFonts w:ascii="Palatino Linotype" w:eastAsia="Palatino Linotype" w:hAnsi="Palatino Linotype" w:cs="Palatino Linotype"/>
          <w:b/>
          <w:bCs/>
          <w:i/>
          <w:iCs/>
          <w:color w:val="000000"/>
        </w:rPr>
        <w:lastRenderedPageBreak/>
        <w:t>ACCESO A LA INFORMACIÓN. IMPLICACIÓN DEL PRINCIPIO DE MÁXIMA PUBLICIDAD EN EL DERECHO FUNDAMENTAL RELATIVO.</w:t>
      </w:r>
      <w:r w:rsidRPr="002D60E6">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F72507" w:rsidRPr="002D60E6" w:rsidRDefault="00F72507">
      <w:pPr>
        <w:pBdr>
          <w:top w:val="nil"/>
          <w:left w:val="nil"/>
          <w:bottom w:val="nil"/>
          <w:right w:val="nil"/>
          <w:between w:val="nil"/>
        </w:pBdr>
        <w:tabs>
          <w:tab w:val="left" w:pos="851"/>
        </w:tabs>
        <w:spacing w:line="360" w:lineRule="auto"/>
        <w:ind w:right="476"/>
        <w:jc w:val="both"/>
        <w:rPr>
          <w:rFonts w:ascii="Palatino Linotype" w:eastAsia="Palatino Linotype" w:hAnsi="Palatino Linotype" w:cs="Palatino Linotype"/>
          <w:color w:val="000000"/>
        </w:rPr>
      </w:pPr>
    </w:p>
    <w:p w:rsidR="00F72507" w:rsidRPr="002D60E6" w:rsidRDefault="001C4B97">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b/>
          <w:bCs/>
          <w:color w:val="000000"/>
        </w:rPr>
      </w:pPr>
      <w:r w:rsidRPr="002D60E6">
        <w:rPr>
          <w:rFonts w:ascii="Palatino Linotype" w:eastAsia="Palatino Linotype" w:hAnsi="Palatino Linotype" w:cs="Palatino Linotype"/>
          <w:b/>
          <w:bCs/>
          <w:color w:val="000000"/>
        </w:rPr>
        <w:lastRenderedPageBreak/>
        <w:t>QUINTO. De la versión pública.</w:t>
      </w:r>
    </w:p>
    <w:p w:rsidR="00F72507" w:rsidRPr="00F87712" w:rsidRDefault="001C4B97" w:rsidP="00F87712">
      <w:pPr>
        <w:pStyle w:val="Prrafodelista"/>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87712">
        <w:rPr>
          <w:rFonts w:ascii="Palatino Linotype" w:eastAsia="Palatino Linotype" w:hAnsi="Palatino Linotype" w:cs="Palatino Linotype"/>
          <w:color w:val="000000"/>
        </w:rPr>
        <w:t xml:space="preserve">Finalmente, debe señalarse que dada la propia y especial naturaleza de lo solicitado, eminentemente contiene múltiples datos personales que deberán ser protegidos como ya quedó asentado en el Considerando anterior del presente proveído. Para dar cumplimiento a la presente resolución, contengan datos que deban ser clasificados, el </w:t>
      </w:r>
      <w:r w:rsidRPr="00F87712">
        <w:rPr>
          <w:rFonts w:ascii="Palatino Linotype" w:eastAsia="Palatino Linotype" w:hAnsi="Palatino Linotype" w:cs="Palatino Linotype"/>
          <w:b/>
          <w:bCs/>
          <w:color w:val="000000"/>
        </w:rPr>
        <w:t>SUJETO OBLIGADO</w:t>
      </w:r>
      <w:r w:rsidRPr="00F87712">
        <w:rPr>
          <w:rFonts w:ascii="Palatino Linotype" w:eastAsia="Palatino Linotype" w:hAnsi="Palatino Linotype" w:cs="Palatino Linotype"/>
          <w:color w:val="000000"/>
        </w:rPr>
        <w:t xml:space="preserve"> deberá hacer la elaboración de la versión pública de tales documentos a fin de satisfacer el derecho de acceso a la información pública del recurrente sin menoscabo al derecho a la protección de los datos personales de terceros.</w:t>
      </w:r>
    </w:p>
    <w:p w:rsidR="00F72507" w:rsidRPr="002D60E6" w:rsidRDefault="00F7250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F72507" w:rsidRPr="002D60E6" w:rsidRDefault="001C4B97">
      <w:pPr>
        <w:spacing w:line="360" w:lineRule="auto"/>
        <w:ind w:left="993" w:right="1041"/>
        <w:jc w:val="both"/>
        <w:rPr>
          <w:rFonts w:ascii="Palatino Linotype" w:eastAsia="Palatino Linotype" w:hAnsi="Palatino Linotype" w:cs="Palatino Linotype"/>
          <w:b/>
          <w:bCs/>
          <w:i/>
          <w:iCs/>
        </w:rPr>
      </w:pPr>
      <w:r w:rsidRPr="002D60E6">
        <w:rPr>
          <w:rFonts w:ascii="Palatino Linotype" w:eastAsia="Palatino Linotype" w:hAnsi="Palatino Linotype" w:cs="Palatino Linotype"/>
          <w:b/>
          <w:bCs/>
          <w:i/>
          <w:iCs/>
        </w:rPr>
        <w:t xml:space="preserve"> “Artículo 3. Para los efectos de la presente Ley se entenderá por:</w:t>
      </w: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IX. Datos personales:</w:t>
      </w:r>
      <w:r w:rsidRPr="002D60E6">
        <w:rPr>
          <w:rFonts w:ascii="Palatino Linotype" w:eastAsia="Palatino Linotype" w:hAnsi="Palatino Linotype" w:cs="Palatino Linotype"/>
          <w:i/>
          <w:iCs/>
        </w:rPr>
        <w:t xml:space="preserve"> </w:t>
      </w:r>
      <w:r w:rsidRPr="002D60E6">
        <w:rPr>
          <w:rFonts w:ascii="Palatino Linotype" w:eastAsia="Palatino Linotype" w:hAnsi="Palatino Linotype" w:cs="Palatino Linotype"/>
          <w:b/>
          <w:bCs/>
          <w:i/>
          <w:iCs/>
        </w:rPr>
        <w:t>La información concerniente a una persona, identificada o identificable</w:t>
      </w:r>
      <w:r w:rsidRPr="002D60E6">
        <w:rPr>
          <w:rFonts w:ascii="Palatino Linotype" w:eastAsia="Palatino Linotype" w:hAnsi="Palatino Linotype" w:cs="Palatino Linotype"/>
          <w:i/>
          <w:iCs/>
        </w:rPr>
        <w:t xml:space="preserve"> según lo dispuesto por la Ley de Protección de Datos Personales del Estado de México;</w:t>
      </w: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XX. Información clasificada:</w:t>
      </w:r>
      <w:r w:rsidRPr="002D60E6">
        <w:rPr>
          <w:rFonts w:ascii="Palatino Linotype" w:eastAsia="Palatino Linotype" w:hAnsi="Palatino Linotype" w:cs="Palatino Linotype"/>
          <w:i/>
          <w:iCs/>
        </w:rPr>
        <w:t xml:space="preserve"> Aquella considerada por la presente Ley como reservada o confidencial;</w:t>
      </w: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XXXII. Protección de Datos Personales:</w:t>
      </w:r>
      <w:r w:rsidRPr="002D60E6">
        <w:rPr>
          <w:rFonts w:ascii="Palatino Linotype" w:eastAsia="Palatino Linotype" w:hAnsi="Palatino Linotype" w:cs="Palatino Linotype"/>
          <w:i/>
          <w:iCs/>
        </w:rPr>
        <w:t xml:space="preserve"> Derecho humano que tutela la privacidad de datos personales en poder de los sujetos obligados y sujetos particulares;</w:t>
      </w: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lastRenderedPageBreak/>
        <w:t>XLV. Versión pública</w:t>
      </w:r>
      <w:r w:rsidRPr="002D60E6">
        <w:rPr>
          <w:rFonts w:ascii="Palatino Linotype" w:eastAsia="Palatino Linotype" w:hAnsi="Palatino Linotype" w:cs="Palatino Linotype"/>
          <w:i/>
          <w:iCs/>
        </w:rPr>
        <w:t>: Documento en el que se elimine, suprime o borra la información clasificada como reservada o confidencial para permitir su acceso.”</w:t>
      </w:r>
    </w:p>
    <w:p w:rsidR="00F72507" w:rsidRPr="002D60E6" w:rsidRDefault="00F72507">
      <w:pPr>
        <w:spacing w:line="360" w:lineRule="auto"/>
        <w:ind w:left="993" w:right="1041"/>
        <w:jc w:val="both"/>
        <w:rPr>
          <w:rFonts w:ascii="Palatino Linotype" w:eastAsia="Palatino Linotype" w:hAnsi="Palatino Linotype" w:cs="Palatino Linotype"/>
          <w:i/>
          <w:iCs/>
        </w:rPr>
      </w:pP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“Artículo 6.</w:t>
      </w:r>
      <w:r w:rsidRPr="002D60E6">
        <w:rPr>
          <w:rFonts w:ascii="Palatino Linotype" w:eastAsia="Palatino Linotype" w:hAnsi="Palatino Linotype" w:cs="Palatino Linotype"/>
          <w:i/>
          <w:iC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F72507" w:rsidRPr="002D60E6" w:rsidRDefault="00F72507">
      <w:pPr>
        <w:spacing w:line="360" w:lineRule="auto"/>
        <w:ind w:left="993" w:right="1041"/>
        <w:jc w:val="both"/>
        <w:rPr>
          <w:rFonts w:ascii="Palatino Linotype" w:eastAsia="Palatino Linotype" w:hAnsi="Palatino Linotype" w:cs="Palatino Linotype"/>
          <w:i/>
          <w:iCs/>
        </w:rPr>
      </w:pP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 </w:t>
      </w:r>
      <w:r w:rsidRPr="002D60E6">
        <w:rPr>
          <w:rFonts w:ascii="Palatino Linotype" w:eastAsia="Palatino Linotype" w:hAnsi="Palatino Linotype" w:cs="Palatino Linotype"/>
          <w:b/>
          <w:bCs/>
          <w:i/>
          <w:iCs/>
        </w:rPr>
        <w:t>Artículo 49.</w:t>
      </w:r>
      <w:r w:rsidRPr="002D60E6">
        <w:rPr>
          <w:rFonts w:ascii="Palatino Linotype" w:eastAsia="Palatino Linotype" w:hAnsi="Palatino Linotype" w:cs="Palatino Linotype"/>
          <w:i/>
          <w:iCs/>
        </w:rPr>
        <w:t> Los Comités de Transparencia tendrán las siguientes atribuciones:</w:t>
      </w: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w:t>
      </w: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VIII</w:t>
      </w:r>
      <w:r w:rsidRPr="002D60E6">
        <w:rPr>
          <w:rFonts w:ascii="Palatino Linotype" w:eastAsia="Palatino Linotype" w:hAnsi="Palatino Linotype" w:cs="Palatino Linotype"/>
          <w:i/>
          <w:iCs/>
        </w:rPr>
        <w:t>. Aprobar, modificar o revocar la clasificación de la información;</w:t>
      </w: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w:t>
      </w: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 xml:space="preserve">Artículo 91. </w:t>
      </w:r>
      <w:r w:rsidRPr="002D60E6">
        <w:rPr>
          <w:rFonts w:ascii="Palatino Linotype" w:eastAsia="Palatino Linotype" w:hAnsi="Palatino Linotype" w:cs="Palatino Linotype"/>
          <w:i/>
          <w:iCs/>
        </w:rPr>
        <w:t>El acceso a la información pública será restringido excepcionalmente, cuando ésta sea clasificada como reservada o confidencial.</w:t>
      </w:r>
    </w:p>
    <w:p w:rsidR="00F72507" w:rsidRPr="002D60E6" w:rsidRDefault="00F72507">
      <w:pPr>
        <w:spacing w:line="360" w:lineRule="auto"/>
        <w:ind w:left="993" w:right="1041"/>
        <w:jc w:val="both"/>
        <w:rPr>
          <w:rFonts w:ascii="Palatino Linotype" w:eastAsia="Palatino Linotype" w:hAnsi="Palatino Linotype" w:cs="Palatino Linotype"/>
          <w:i/>
          <w:iCs/>
        </w:rPr>
      </w:pPr>
    </w:p>
    <w:p w:rsidR="00F72507" w:rsidRPr="002D60E6" w:rsidRDefault="001C4B97">
      <w:pPr>
        <w:spacing w:line="360" w:lineRule="auto"/>
        <w:ind w:left="993" w:right="1041"/>
        <w:jc w:val="both"/>
        <w:rPr>
          <w:rFonts w:ascii="Palatino Linotype" w:eastAsia="Palatino Linotype" w:hAnsi="Palatino Linotype" w:cs="Palatino Linotype"/>
          <w:b/>
          <w:bCs/>
          <w:i/>
          <w:iCs/>
        </w:rPr>
      </w:pPr>
      <w:r w:rsidRPr="002D60E6">
        <w:rPr>
          <w:rFonts w:ascii="Palatino Linotype" w:eastAsia="Palatino Linotype" w:hAnsi="Palatino Linotype" w:cs="Palatino Linotype"/>
          <w:b/>
          <w:bCs/>
          <w:i/>
          <w:iCs/>
        </w:rPr>
        <w:t>“Artículo 137.</w:t>
      </w:r>
      <w:r w:rsidRPr="002D60E6">
        <w:rPr>
          <w:rFonts w:ascii="Palatino Linotype" w:eastAsia="Palatino Linotype" w:hAnsi="Palatino Linotype" w:cs="Palatino Linotype"/>
          <w:i/>
          <w:iC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lastRenderedPageBreak/>
        <w:t>“Artículo 143</w:t>
      </w:r>
      <w:r w:rsidRPr="002D60E6">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I.</w:t>
      </w:r>
      <w:r w:rsidRPr="002D60E6">
        <w:rPr>
          <w:rFonts w:ascii="Palatino Linotype" w:eastAsia="Palatino Linotype" w:hAnsi="Palatino Linotype" w:cs="Palatino Linotype"/>
          <w:i/>
          <w:iCs/>
        </w:rPr>
        <w:t xml:space="preserve"> Se refiera a la información privada y los datos personales concernientes a una persona física o jurídica colectiva identificada o identificable;</w:t>
      </w: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 xml:space="preserve">III. La que presenten los particulares a los sujetos obligados, de conformidad con lo dispuesto por las leyes o los tratados internacionales.” </w:t>
      </w:r>
    </w:p>
    <w:p w:rsidR="00F87973" w:rsidRPr="002D60E6" w:rsidRDefault="00F87973">
      <w:pPr>
        <w:spacing w:line="360" w:lineRule="auto"/>
        <w:ind w:left="993" w:right="1041"/>
        <w:jc w:val="both"/>
        <w:rPr>
          <w:rFonts w:ascii="Palatino Linotype" w:eastAsia="Palatino Linotype" w:hAnsi="Palatino Linotype" w:cs="Palatino Linotype"/>
          <w:i/>
          <w:iCs/>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F72507" w:rsidRPr="002D60E6" w:rsidRDefault="00F72507">
      <w:pPr>
        <w:spacing w:line="360" w:lineRule="auto"/>
        <w:ind w:right="51"/>
        <w:jc w:val="both"/>
        <w:rPr>
          <w:rFonts w:ascii="Palatino Linotype" w:eastAsia="Palatino Linotype" w:hAnsi="Palatino Linotype" w:cs="Palatino Linotype"/>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lastRenderedPageBreak/>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F72507" w:rsidRPr="002D60E6" w:rsidRDefault="00F72507">
      <w:pPr>
        <w:spacing w:line="360" w:lineRule="auto"/>
        <w:ind w:right="50"/>
        <w:jc w:val="both"/>
        <w:rPr>
          <w:rFonts w:ascii="Palatino Linotype" w:eastAsia="Palatino Linotype" w:hAnsi="Palatino Linotype" w:cs="Palatino Linotype"/>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F72507" w:rsidRPr="002D60E6" w:rsidRDefault="001C4B97">
      <w:pPr>
        <w:spacing w:line="360" w:lineRule="auto"/>
        <w:ind w:left="851" w:right="1043"/>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“Artículo 49.</w:t>
      </w:r>
      <w:r w:rsidRPr="002D60E6">
        <w:rPr>
          <w:rFonts w:ascii="Palatino Linotype" w:eastAsia="Palatino Linotype" w:hAnsi="Palatino Linotype" w:cs="Palatino Linotype"/>
          <w:i/>
          <w:iCs/>
        </w:rPr>
        <w:t xml:space="preserve"> </w:t>
      </w:r>
      <w:r w:rsidRPr="002D60E6">
        <w:rPr>
          <w:rFonts w:ascii="Palatino Linotype" w:eastAsia="Palatino Linotype" w:hAnsi="Palatino Linotype" w:cs="Palatino Linotype"/>
          <w:b/>
          <w:bCs/>
          <w:i/>
          <w:iCs/>
        </w:rPr>
        <w:t>Los Comités de Transparencia</w:t>
      </w:r>
      <w:r w:rsidRPr="002D60E6">
        <w:rPr>
          <w:rFonts w:ascii="Palatino Linotype" w:eastAsia="Palatino Linotype" w:hAnsi="Palatino Linotype" w:cs="Palatino Linotype"/>
          <w:i/>
          <w:iCs/>
        </w:rPr>
        <w:t xml:space="preserve"> tendrán las siguientes atribuciones:</w:t>
      </w:r>
    </w:p>
    <w:p w:rsidR="00F72507" w:rsidRPr="002D60E6" w:rsidRDefault="001C4B97">
      <w:pPr>
        <w:spacing w:line="360" w:lineRule="auto"/>
        <w:ind w:left="851" w:right="1043"/>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VIII. Aprobar, modificar o revocar la clasificación de la información</w:t>
      </w:r>
      <w:r w:rsidRPr="002D60E6">
        <w:rPr>
          <w:rFonts w:ascii="Palatino Linotype" w:eastAsia="Palatino Linotype" w:hAnsi="Palatino Linotype" w:cs="Palatino Linotype"/>
          <w:i/>
          <w:iCs/>
        </w:rPr>
        <w:t>…”</w:t>
      </w:r>
    </w:p>
    <w:p w:rsidR="00F72507" w:rsidRPr="002D60E6" w:rsidRDefault="001C4B97">
      <w:pPr>
        <w:spacing w:line="360" w:lineRule="auto"/>
        <w:ind w:left="851" w:right="1043"/>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w:t>
      </w:r>
      <w:r w:rsidRPr="002D60E6">
        <w:rPr>
          <w:rFonts w:ascii="Palatino Linotype" w:eastAsia="Palatino Linotype" w:hAnsi="Palatino Linotype" w:cs="Palatino Linotype"/>
          <w:b/>
          <w:bCs/>
          <w:i/>
          <w:iCs/>
        </w:rPr>
        <w:t>Artículo 53.</w:t>
      </w:r>
      <w:r w:rsidRPr="002D60E6">
        <w:rPr>
          <w:rFonts w:ascii="Palatino Linotype" w:eastAsia="Palatino Linotype" w:hAnsi="Palatino Linotype" w:cs="Palatino Linotype"/>
          <w:i/>
          <w:iCs/>
        </w:rPr>
        <w:t xml:space="preserve"> Las </w:t>
      </w:r>
      <w:r w:rsidRPr="002D60E6">
        <w:rPr>
          <w:rFonts w:ascii="Palatino Linotype" w:eastAsia="Palatino Linotype" w:hAnsi="Palatino Linotype" w:cs="Palatino Linotype"/>
          <w:b/>
          <w:bCs/>
          <w:i/>
          <w:iCs/>
        </w:rPr>
        <w:t>Unidades de Transparencia</w:t>
      </w:r>
      <w:r w:rsidRPr="002D60E6">
        <w:rPr>
          <w:rFonts w:ascii="Palatino Linotype" w:eastAsia="Palatino Linotype" w:hAnsi="Palatino Linotype" w:cs="Palatino Linotype"/>
          <w:i/>
          <w:iCs/>
        </w:rPr>
        <w:t xml:space="preserve"> tendrán las siguientes </w:t>
      </w:r>
      <w:r w:rsidRPr="002D60E6">
        <w:rPr>
          <w:rFonts w:ascii="Palatino Linotype" w:eastAsia="Palatino Linotype" w:hAnsi="Palatino Linotype" w:cs="Palatino Linotype"/>
          <w:b/>
          <w:bCs/>
          <w:i/>
          <w:iCs/>
        </w:rPr>
        <w:t>funciones</w:t>
      </w:r>
      <w:r w:rsidRPr="002D60E6">
        <w:rPr>
          <w:rFonts w:ascii="Palatino Linotype" w:eastAsia="Palatino Linotype" w:hAnsi="Palatino Linotype" w:cs="Palatino Linotype"/>
          <w:i/>
          <w:iCs/>
        </w:rPr>
        <w:t>:</w:t>
      </w:r>
    </w:p>
    <w:p w:rsidR="00F72507" w:rsidRPr="002D60E6" w:rsidRDefault="001C4B97">
      <w:pPr>
        <w:spacing w:line="360" w:lineRule="auto"/>
        <w:ind w:left="851" w:right="1043"/>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X. Presentar ante el Comité, el proyecto de clasificación de información</w:t>
      </w:r>
      <w:r w:rsidRPr="002D60E6">
        <w:rPr>
          <w:rFonts w:ascii="Palatino Linotype" w:eastAsia="Palatino Linotype" w:hAnsi="Palatino Linotype" w:cs="Palatino Linotype"/>
          <w:i/>
          <w:iCs/>
        </w:rPr>
        <w:t xml:space="preserve">…” </w:t>
      </w:r>
    </w:p>
    <w:p w:rsidR="00F72507" w:rsidRPr="002D60E6" w:rsidRDefault="001C4B97">
      <w:pPr>
        <w:spacing w:line="360" w:lineRule="auto"/>
        <w:ind w:left="851" w:right="1043"/>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“Artículo 59.</w:t>
      </w:r>
      <w:r w:rsidRPr="002D60E6">
        <w:rPr>
          <w:rFonts w:ascii="Palatino Linotype" w:eastAsia="Palatino Linotype" w:hAnsi="Palatino Linotype" w:cs="Palatino Linotype"/>
          <w:i/>
          <w:iCs/>
        </w:rPr>
        <w:t xml:space="preserve"> Los </w:t>
      </w:r>
      <w:r w:rsidRPr="002D60E6">
        <w:rPr>
          <w:rFonts w:ascii="Palatino Linotype" w:eastAsia="Palatino Linotype" w:hAnsi="Palatino Linotype" w:cs="Palatino Linotype"/>
          <w:b/>
          <w:bCs/>
          <w:i/>
          <w:iCs/>
        </w:rPr>
        <w:t>servidores públicos habilitados</w:t>
      </w:r>
      <w:r w:rsidRPr="002D60E6">
        <w:rPr>
          <w:rFonts w:ascii="Palatino Linotype" w:eastAsia="Palatino Linotype" w:hAnsi="Palatino Linotype" w:cs="Palatino Linotype"/>
          <w:i/>
          <w:iCs/>
        </w:rPr>
        <w:t xml:space="preserve"> tendrán las </w:t>
      </w:r>
      <w:r w:rsidRPr="002D60E6">
        <w:rPr>
          <w:rFonts w:ascii="Palatino Linotype" w:eastAsia="Palatino Linotype" w:hAnsi="Palatino Linotype" w:cs="Palatino Linotype"/>
          <w:b/>
          <w:bCs/>
          <w:i/>
          <w:iCs/>
        </w:rPr>
        <w:t>funciones</w:t>
      </w:r>
      <w:r w:rsidRPr="002D60E6">
        <w:rPr>
          <w:rFonts w:ascii="Palatino Linotype" w:eastAsia="Palatino Linotype" w:hAnsi="Palatino Linotype" w:cs="Palatino Linotype"/>
          <w:i/>
          <w:iCs/>
        </w:rPr>
        <w:t xml:space="preserve"> siguientes:</w:t>
      </w:r>
    </w:p>
    <w:p w:rsidR="00F72507" w:rsidRPr="002D60E6" w:rsidRDefault="001C4B97">
      <w:pPr>
        <w:spacing w:line="360" w:lineRule="auto"/>
        <w:ind w:left="851" w:right="1043"/>
        <w:jc w:val="both"/>
        <w:rPr>
          <w:rFonts w:ascii="Palatino Linotype" w:eastAsia="Palatino Linotype" w:hAnsi="Palatino Linotype" w:cs="Palatino Linotype"/>
          <w:i/>
          <w:iCs/>
        </w:rPr>
      </w:pPr>
      <w:r w:rsidRPr="002D60E6">
        <w:rPr>
          <w:rFonts w:ascii="Palatino Linotype" w:eastAsia="Palatino Linotype" w:hAnsi="Palatino Linotype" w:cs="Palatino Linotype"/>
          <w:b/>
          <w:bCs/>
          <w:i/>
          <w:iCs/>
        </w:rPr>
        <w:t>V. Integrar y presentar al responsable de la Unidad de Transparencia la propuesta de clasificación de información</w:t>
      </w:r>
      <w:r w:rsidRPr="002D60E6">
        <w:rPr>
          <w:rFonts w:ascii="Palatino Linotype" w:eastAsia="Palatino Linotype" w:hAnsi="Palatino Linotype" w:cs="Palatino Linotype"/>
          <w:i/>
          <w:iCs/>
        </w:rPr>
        <w:t>, la cual tendrá los fundamentos y argumentos en que se basa dicha propuesta…”</w:t>
      </w:r>
    </w:p>
    <w:p w:rsidR="00F72507" w:rsidRPr="002D60E6" w:rsidRDefault="00F72507">
      <w:pPr>
        <w:spacing w:line="360" w:lineRule="auto"/>
        <w:ind w:left="851" w:right="1043"/>
        <w:jc w:val="both"/>
        <w:rPr>
          <w:rFonts w:ascii="Palatino Linotype" w:eastAsia="Palatino Linotype" w:hAnsi="Palatino Linotype" w:cs="Palatino Linotype"/>
          <w:i/>
          <w:iCs/>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lastRenderedPageBreak/>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F72507" w:rsidRPr="002D60E6" w:rsidRDefault="00F72507">
      <w:pPr>
        <w:spacing w:line="360" w:lineRule="auto"/>
        <w:jc w:val="both"/>
        <w:rPr>
          <w:rFonts w:ascii="Palatino Linotype" w:eastAsia="Palatino Linotype" w:hAnsi="Palatino Linotype" w:cs="Palatino Linotype"/>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Para lo cual, a su vez en el caso de información de carácter confidencial, se debe atender a lo que señala el artículo 149 de la Ley de Transparencia Local vigente, que se lee como sigue:</w:t>
      </w:r>
    </w:p>
    <w:p w:rsidR="00F72507" w:rsidRPr="002D60E6" w:rsidRDefault="001C4B97">
      <w:pPr>
        <w:spacing w:line="360" w:lineRule="auto"/>
        <w:ind w:left="993"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w:t>
      </w:r>
      <w:r w:rsidRPr="002D60E6">
        <w:rPr>
          <w:rFonts w:ascii="Palatino Linotype" w:eastAsia="Palatino Linotype" w:hAnsi="Palatino Linotype" w:cs="Palatino Linotype"/>
          <w:b/>
          <w:bCs/>
          <w:i/>
          <w:iCs/>
        </w:rPr>
        <w:t>Artículo 149.</w:t>
      </w:r>
      <w:r w:rsidRPr="002D60E6">
        <w:rPr>
          <w:rFonts w:ascii="Palatino Linotype" w:eastAsia="Palatino Linotype" w:hAnsi="Palatino Linotype" w:cs="Palatino Linotype"/>
          <w:i/>
          <w:iCs/>
        </w:rPr>
        <w:t xml:space="preserve"> El </w:t>
      </w:r>
      <w:r w:rsidRPr="002D60E6">
        <w:rPr>
          <w:rFonts w:ascii="Palatino Linotype" w:eastAsia="Palatino Linotype" w:hAnsi="Palatino Linotype" w:cs="Palatino Linotype"/>
          <w:b/>
          <w:bCs/>
          <w:i/>
          <w:iCs/>
        </w:rPr>
        <w:t>acuerdo que clasifique la información como confidencial</w:t>
      </w:r>
      <w:r w:rsidRPr="002D60E6">
        <w:rPr>
          <w:rFonts w:ascii="Palatino Linotype" w:eastAsia="Palatino Linotype" w:hAnsi="Palatino Linotype" w:cs="Palatino Linotype"/>
          <w:i/>
          <w:iCs/>
        </w:rPr>
        <w:t xml:space="preserve"> deberá contener un razonamiento lógico en el que demuestre que la información se encuentra en alguna o algunas de las hipótesis previstas en la presente Ley.”</w:t>
      </w:r>
    </w:p>
    <w:p w:rsidR="00F72507" w:rsidRPr="002D60E6" w:rsidRDefault="00F7250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lastRenderedPageBreak/>
        <w:t xml:space="preserve">Al </w:t>
      </w:r>
      <w:r w:rsidRPr="002D60E6">
        <w:rPr>
          <w:rFonts w:ascii="Palatino Linotype" w:eastAsia="Palatino Linotype" w:hAnsi="Palatino Linotype" w:cs="Palatino Linotype"/>
          <w:color w:val="222222"/>
        </w:rPr>
        <w:t>respecto</w:t>
      </w:r>
      <w:r w:rsidRPr="002D60E6">
        <w:rPr>
          <w:rFonts w:ascii="Palatino Linotype" w:eastAsia="Palatino Linotype" w:hAnsi="Palatino Linotype" w:cs="Palatino Linotype"/>
          <w:color w:val="000000"/>
        </w:rPr>
        <w:t xml:space="preserve">, es de señalar que </w:t>
      </w:r>
      <w:r w:rsidRPr="002D60E6">
        <w:rPr>
          <w:rFonts w:ascii="Palatino Linotype" w:eastAsia="Palatino Linotype" w:hAnsi="Palatino Linotype" w:cs="Palatino Linotype"/>
          <w:b/>
          <w:bCs/>
          <w:color w:val="000000"/>
        </w:rPr>
        <w:t xml:space="preserve">la firma </w:t>
      </w:r>
      <w:r w:rsidRPr="002D60E6">
        <w:rPr>
          <w:rFonts w:ascii="Palatino Linotype" w:eastAsia="Palatino Linotype" w:hAnsi="Palatino Linotype" w:cs="Palatino Linotype"/>
          <w:color w:val="000000"/>
        </w:rPr>
        <w:t xml:space="preserve">es considerada un dato personal, al tratarse de información gráfica a través de la cual su titular exterioriza su voluntad en actos públicos y privados. </w:t>
      </w:r>
    </w:p>
    <w:p w:rsidR="00F72507" w:rsidRPr="002D60E6" w:rsidRDefault="00F72507">
      <w:pPr>
        <w:spacing w:line="360" w:lineRule="auto"/>
        <w:ind w:right="-93"/>
        <w:jc w:val="both"/>
        <w:rPr>
          <w:rFonts w:ascii="Palatino Linotype" w:eastAsia="Palatino Linotype" w:hAnsi="Palatino Linotype" w:cs="Palatino Linotype"/>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Al respecto, este Instituto, considera que entregar la firmas del servidor público, si abona a la transparencia, dado que con esta se acredita que fue emitida por autoridad competente en uso de las facultades que le otorga la legislación; por lo que, guarda cierto interés público dar a conocer la firma, dado que le da validez al documento.</w:t>
      </w:r>
    </w:p>
    <w:p w:rsidR="00F72507" w:rsidRPr="002D60E6" w:rsidRDefault="00F72507">
      <w:pPr>
        <w:spacing w:line="360" w:lineRule="auto"/>
        <w:ind w:right="-93"/>
        <w:jc w:val="both"/>
        <w:rPr>
          <w:rFonts w:ascii="Palatino Linotype" w:eastAsia="Palatino Linotype" w:hAnsi="Palatino Linotype" w:cs="Palatino Linotype"/>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Por lo que, se considera que, en el presente caso, al dar validez al documento en cuestión, la firma del servidor público guarda el carácter de público y, por lo tanto, no actualiza la causal de clasificación prevista en el artículo 143, fracción I, de la Ley de Transparencia y Acceso a la Información Pública del Estado de México y Municipios.</w:t>
      </w:r>
    </w:p>
    <w:p w:rsidR="00F72507" w:rsidRPr="002D60E6" w:rsidRDefault="00F72507">
      <w:pPr>
        <w:spacing w:line="360" w:lineRule="auto"/>
        <w:ind w:right="-93"/>
        <w:jc w:val="both"/>
        <w:rPr>
          <w:rFonts w:ascii="Palatino Linotype" w:eastAsia="Palatino Linotype" w:hAnsi="Palatino Linotype" w:cs="Palatino Linotype"/>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Sirve de sustento a lo anterior el Criterio de Interpretación 02/19 emitido por el Instituto Nacional de Transparencia, Acceso a la Información y Protección de Datos Personales, cuyo rubro y texto establecen lo siguiente:</w:t>
      </w:r>
    </w:p>
    <w:p w:rsidR="00F72507" w:rsidRPr="002D60E6" w:rsidRDefault="001C4B97">
      <w:pPr>
        <w:spacing w:line="360" w:lineRule="auto"/>
        <w:ind w:left="1134" w:right="1041"/>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w:t>
      </w:r>
      <w:r w:rsidRPr="002D60E6">
        <w:rPr>
          <w:rFonts w:ascii="Palatino Linotype" w:eastAsia="Palatino Linotype" w:hAnsi="Palatino Linotype" w:cs="Palatino Linotype"/>
          <w:b/>
          <w:bCs/>
          <w:i/>
          <w:iCs/>
        </w:rPr>
        <w:t>FIRMA Y RÚBRICA DE SERVIDORES PÚBLICOS.</w:t>
      </w:r>
      <w:r w:rsidRPr="002D60E6">
        <w:rPr>
          <w:rFonts w:ascii="Palatino Linotype" w:eastAsia="Palatino Linotype" w:hAnsi="Palatino Linotype" w:cs="Palatino Linotype"/>
          <w:i/>
          <w:iCs/>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rsidR="00F72507" w:rsidRPr="002D60E6" w:rsidRDefault="00F72507">
      <w:pPr>
        <w:spacing w:line="360" w:lineRule="auto"/>
        <w:ind w:left="1134" w:right="1041"/>
        <w:jc w:val="both"/>
        <w:rPr>
          <w:rFonts w:ascii="Palatino Linotype" w:eastAsia="Palatino Linotype" w:hAnsi="Palatino Linotype" w:cs="Palatino Linotype"/>
          <w:i/>
          <w:iCs/>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highlight w:val="white"/>
        </w:rPr>
      </w:pPr>
      <w:r w:rsidRPr="002D60E6">
        <w:rPr>
          <w:rFonts w:ascii="Palatino Linotype" w:eastAsia="Palatino Linotype" w:hAnsi="Palatino Linotype" w:cs="Palatino Linotype"/>
          <w:color w:val="000000"/>
        </w:rPr>
        <w:lastRenderedPageBreak/>
        <w:t xml:space="preserve">Al respecto, se destaca que la versión pública que elabore el </w:t>
      </w:r>
      <w:r w:rsidRPr="002D60E6">
        <w:rPr>
          <w:rFonts w:ascii="Palatino Linotype" w:eastAsia="Palatino Linotype" w:hAnsi="Palatino Linotype" w:cs="Palatino Linotype"/>
          <w:b/>
          <w:bCs/>
          <w:color w:val="000000"/>
        </w:rPr>
        <w:t>SUJETO OBLIGADO</w:t>
      </w:r>
      <w:r w:rsidRPr="002D60E6">
        <w:rPr>
          <w:rFonts w:ascii="Palatino Linotype" w:eastAsia="Palatino Linotype" w:hAnsi="Palatino Linotype" w:cs="Palatino Linotype"/>
          <w:color w:val="000000"/>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r w:rsidRPr="002D60E6">
        <w:rPr>
          <w:rFonts w:ascii="Palatino Linotype" w:eastAsia="Palatino Linotype" w:hAnsi="Palatino Linotype" w:cs="Palatino Linotype"/>
          <w:color w:val="000000"/>
          <w:highlight w:val="white"/>
        </w:rPr>
        <w:t>.</w:t>
      </w:r>
    </w:p>
    <w:p w:rsidR="00F72507" w:rsidRPr="002D60E6" w:rsidRDefault="00F72507">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color w:val="000000"/>
        </w:rPr>
      </w:pPr>
    </w:p>
    <w:p w:rsidR="000A4E30" w:rsidRPr="002D60E6" w:rsidRDefault="000A4E30" w:rsidP="00F87712">
      <w:pPr>
        <w:numPr>
          <w:ilvl w:val="0"/>
          <w:numId w:val="3"/>
        </w:numPr>
        <w:pBdr>
          <w:top w:val="nil"/>
          <w:left w:val="nil"/>
          <w:bottom w:val="nil"/>
          <w:right w:val="nil"/>
          <w:between w:val="nil"/>
        </w:pBdr>
        <w:spacing w:line="360" w:lineRule="auto"/>
        <w:ind w:left="0" w:firstLine="0"/>
        <w:jc w:val="both"/>
        <w:rPr>
          <w:rFonts w:ascii="Palatino Linotype" w:hAnsi="Palatino Linotype" w:cs="Tahoma"/>
          <w:bCs/>
          <w:lang w:val="es-ES" w:eastAsia="en-US"/>
        </w:rPr>
      </w:pPr>
      <w:r w:rsidRPr="002D60E6">
        <w:rPr>
          <w:rFonts w:ascii="Palatino Linotype" w:hAnsi="Palatino Linotype" w:cs="Tahoma"/>
          <w:bCs/>
          <w:lang w:val="es-ES" w:eastAsia="en-US"/>
        </w:rPr>
        <w:t xml:space="preserve">Respecto del RFC de proveedores, no puede considerarse como clasificado aun siendo de personas físicas ya que </w:t>
      </w:r>
      <w:r w:rsidRPr="002D60E6">
        <w:rPr>
          <w:rFonts w:ascii="Palatino Linotype" w:eastAsia="Palatino Linotype" w:hAnsi="Palatino Linotype" w:cs="Palatino Linotype"/>
          <w:color w:val="000000"/>
        </w:rPr>
        <w:t>corresponde</w:t>
      </w:r>
      <w:r w:rsidRPr="002D60E6">
        <w:rPr>
          <w:rFonts w:ascii="Palatino Linotype" w:hAnsi="Palatino Linotype" w:cs="Tahoma"/>
          <w:bCs/>
          <w:lang w:val="es-ES" w:eastAsia="en-US"/>
        </w:rPr>
        <w:t xml:space="preserve"> a un requisito indispensable para ser </w:t>
      </w:r>
      <w:r w:rsidRPr="002D60E6">
        <w:rPr>
          <w:rFonts w:ascii="Palatino Linotype" w:eastAsia="Palatino Linotype" w:hAnsi="Palatino Linotype" w:cs="Palatino Linotype"/>
          <w:color w:val="000000"/>
        </w:rPr>
        <w:t>contratista</w:t>
      </w:r>
      <w:r w:rsidRPr="002D60E6">
        <w:rPr>
          <w:rFonts w:ascii="Palatino Linotype" w:hAnsi="Palatino Linotype" w:cs="Tahoma"/>
          <w:bCs/>
          <w:lang w:val="es-ES" w:eastAsia="en-US"/>
        </w:rPr>
        <w:t xml:space="preserve"> y/o proveedor y llevar a cabo actividades comerciales con los sujetos obligados de la Entidad, ya que sin este, no se pueden realizar, por lo que su entrega es un elemento adicional que respalda la legalidad de los procesos de contratación de obra pública, como corresponde a lo solicitado.</w:t>
      </w:r>
    </w:p>
    <w:p w:rsidR="000A4E30" w:rsidRPr="002D60E6" w:rsidRDefault="000A4E30" w:rsidP="000A4E30">
      <w:pPr>
        <w:spacing w:line="360" w:lineRule="auto"/>
        <w:ind w:right="-91"/>
        <w:jc w:val="both"/>
        <w:rPr>
          <w:rFonts w:ascii="Palatino Linotype" w:hAnsi="Palatino Linotype" w:cs="Tahoma"/>
          <w:bCs/>
          <w:lang w:val="es-ES" w:eastAsia="en-US"/>
        </w:rPr>
      </w:pPr>
    </w:p>
    <w:p w:rsidR="000A4E30" w:rsidRPr="002D60E6" w:rsidRDefault="000A4E30" w:rsidP="00F87712">
      <w:pPr>
        <w:numPr>
          <w:ilvl w:val="0"/>
          <w:numId w:val="3"/>
        </w:numPr>
        <w:pBdr>
          <w:top w:val="nil"/>
          <w:left w:val="nil"/>
          <w:bottom w:val="nil"/>
          <w:right w:val="nil"/>
          <w:between w:val="nil"/>
        </w:pBdr>
        <w:spacing w:line="360" w:lineRule="auto"/>
        <w:ind w:left="0" w:firstLine="0"/>
        <w:jc w:val="both"/>
        <w:rPr>
          <w:rFonts w:ascii="Palatino Linotype" w:hAnsi="Palatino Linotype" w:cs="Tahoma"/>
          <w:bCs/>
          <w:lang w:val="es-ES" w:eastAsia="en-US"/>
        </w:rPr>
      </w:pPr>
      <w:r w:rsidRPr="002D60E6">
        <w:rPr>
          <w:rFonts w:ascii="Palatino Linotype" w:hAnsi="Palatino Linotype" w:cs="Tahoma"/>
          <w:bCs/>
          <w:lang w:val="es-ES" w:eastAsia="en-US"/>
        </w:rPr>
        <w:t>En ese contexto, entregar el Registro Federal de Contribuyentes de personas físicas cuando aceptan realizar la construcción de obras públicas con recursos del erario, favorece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rsidR="000A4E30" w:rsidRPr="002D60E6" w:rsidRDefault="000A4E30" w:rsidP="000A4E30">
      <w:pPr>
        <w:spacing w:line="360" w:lineRule="auto"/>
        <w:ind w:right="-91"/>
        <w:jc w:val="both"/>
        <w:rPr>
          <w:rFonts w:ascii="Palatino Linotype" w:hAnsi="Palatino Linotype" w:cs="Tahoma"/>
          <w:bCs/>
          <w:lang w:val="es-ES" w:eastAsia="en-US"/>
        </w:rPr>
      </w:pPr>
    </w:p>
    <w:p w:rsidR="000A4E30" w:rsidRPr="002D60E6" w:rsidRDefault="000A4E30" w:rsidP="00F87712">
      <w:pPr>
        <w:numPr>
          <w:ilvl w:val="0"/>
          <w:numId w:val="3"/>
        </w:numPr>
        <w:pBdr>
          <w:top w:val="nil"/>
          <w:left w:val="nil"/>
          <w:bottom w:val="nil"/>
          <w:right w:val="nil"/>
          <w:between w:val="nil"/>
        </w:pBdr>
        <w:spacing w:line="360" w:lineRule="auto"/>
        <w:ind w:left="0" w:firstLine="0"/>
        <w:jc w:val="both"/>
        <w:rPr>
          <w:rFonts w:ascii="Palatino Linotype" w:hAnsi="Palatino Linotype" w:cs="Tahoma"/>
          <w:bCs/>
          <w:lang w:val="es-ES" w:eastAsia="en-US"/>
        </w:rPr>
      </w:pPr>
      <w:r w:rsidRPr="002D60E6">
        <w:rPr>
          <w:rFonts w:ascii="Palatino Linotype" w:hAnsi="Palatino Linotype" w:cs="Tahoma"/>
          <w:bCs/>
          <w:lang w:val="es-ES" w:eastAsia="en-US"/>
        </w:rPr>
        <w:lastRenderedPageBreak/>
        <w:t>No debe dejarse de lado, que cualquier persona que pretenda tener cualquier tipo de relación, laboral, empresarial, de trámites, servicios o comercial, para el caso que nos ocupa, debe en cierta medida ceder información relacionada con su vida, en aras de obtener el beneficio pretendido, como formar parte de los proveedores gubernamentales, al respecto, la información sobre la que se debe conceder publicidad sólo es aquella relacionada con el ejercicio de recursos públicos o de funciones y las facturas, pólizas y documentos en donde constan las transferencias bancarias de pagos de sujetos obligados, están vinculadas directamente con el ejercicio de recursos públicos.</w:t>
      </w:r>
    </w:p>
    <w:p w:rsidR="000A4E30" w:rsidRPr="002D60E6" w:rsidRDefault="000A4E30" w:rsidP="000A4E30">
      <w:pPr>
        <w:spacing w:line="360" w:lineRule="auto"/>
        <w:ind w:right="-91"/>
        <w:jc w:val="both"/>
        <w:rPr>
          <w:rFonts w:ascii="Palatino Linotype" w:hAnsi="Palatino Linotype" w:cs="Tahoma"/>
          <w:bCs/>
          <w:lang w:val="es-ES" w:eastAsia="en-US"/>
        </w:rPr>
      </w:pPr>
    </w:p>
    <w:p w:rsidR="000A4E30" w:rsidRPr="002D60E6" w:rsidRDefault="000A4E30" w:rsidP="00F87712">
      <w:pPr>
        <w:numPr>
          <w:ilvl w:val="0"/>
          <w:numId w:val="3"/>
        </w:numPr>
        <w:pBdr>
          <w:top w:val="nil"/>
          <w:left w:val="nil"/>
          <w:bottom w:val="nil"/>
          <w:right w:val="nil"/>
          <w:between w:val="nil"/>
        </w:pBdr>
        <w:spacing w:line="360" w:lineRule="auto"/>
        <w:ind w:left="0" w:firstLine="0"/>
        <w:jc w:val="both"/>
        <w:rPr>
          <w:rFonts w:ascii="Palatino Linotype" w:hAnsi="Palatino Linotype" w:cs="Tahoma"/>
          <w:bCs/>
          <w:lang w:val="es-ES" w:eastAsia="en-US"/>
        </w:rPr>
      </w:pPr>
      <w:r w:rsidRPr="002D60E6">
        <w:rPr>
          <w:rFonts w:ascii="Palatino Linotype" w:hAnsi="Palatino Linotype" w:cs="Tahoma"/>
          <w:bCs/>
          <w:lang w:val="es-ES" w:eastAsia="en-US"/>
        </w:rPr>
        <w:t>Por lo que refiere al RFC de personas jurídico-colectivas, se reitera que no constituyen información confidencial, tal y como lo estableció el entonces Instituto Nacional de Transparencia, Acceso a la Información Pública y Protección de Datos Personales –INAI-, en su Criterio histórico 1/2014.</w:t>
      </w:r>
    </w:p>
    <w:p w:rsidR="000A4E30" w:rsidRPr="002D60E6" w:rsidRDefault="000A4E30" w:rsidP="000A4E30">
      <w:pPr>
        <w:spacing w:line="360" w:lineRule="auto"/>
        <w:ind w:left="567" w:right="539"/>
        <w:jc w:val="both"/>
        <w:rPr>
          <w:rFonts w:ascii="Palatino Linotype" w:hAnsi="Palatino Linotype" w:cs="Tahoma"/>
          <w:bCs/>
          <w:i/>
          <w:lang w:val="es-ES" w:eastAsia="en-US"/>
        </w:rPr>
      </w:pPr>
      <w:r w:rsidRPr="002D60E6">
        <w:rPr>
          <w:rFonts w:ascii="Palatino Linotype" w:hAnsi="Palatino Linotype" w:cs="Tahoma"/>
          <w:b/>
          <w:bCs/>
          <w:i/>
          <w:lang w:val="es-ES" w:eastAsia="en-US"/>
        </w:rPr>
        <w:t>Denominación o razón social, y Registro Federal de Contribuyentes de personas morales, no constituyen información confidencial</w:t>
      </w:r>
      <w:r w:rsidRPr="002D60E6">
        <w:rPr>
          <w:rFonts w:ascii="Palatino Linotype" w:hAnsi="Palatino Linotype" w:cs="Tahoma"/>
          <w:bCs/>
          <w:i/>
          <w:lang w:val="es-ES" w:eastAsia="en-US"/>
        </w:rPr>
        <w:t xml:space="preserve">. La denominación o razón social de personas morales es pública, por encontrarse inscritas en el Registro Público de Comercio. Por lo que respecta a su Registro Federal de Contribuyentes (RFC), en principio, también es público, ya que no se refiere a hechos o actos de carácter económico, contable, jurídico o administrativo que sean útiles o representen una ventaja a sus competidores, en términos de lo dispuesto en el artículo 18, fracción I de la Ley Federal de Transparencia y Acceso a la Información Pública Gubernamental y en el Trigésimo Sexto de los Lineamientos Generales para la clasificación y desclasificación de la información de las dependencias y entidades de la Administración Pública Federal; aunado al hecho de que tampoco se trata </w:t>
      </w:r>
      <w:r w:rsidRPr="002D60E6">
        <w:rPr>
          <w:rFonts w:ascii="Palatino Linotype" w:hAnsi="Palatino Linotype" w:cs="Tahoma"/>
          <w:bCs/>
          <w:i/>
          <w:lang w:val="es-ES" w:eastAsia="en-US"/>
        </w:rPr>
        <w:lastRenderedPageBreak/>
        <w:t>de información concerniente a personas físicas, por lo que no puede considerarse un dato personal, con fundamento en lo previsto en el artículo 18, fracción II de ese ordenamiento legal. Por lo anterior, la denominación o razón social, así como el RFC de personas morales, no constituye información confidencial.</w:t>
      </w:r>
    </w:p>
    <w:p w:rsidR="000A4E30" w:rsidRPr="002D60E6" w:rsidRDefault="000A4E30" w:rsidP="000A4E30">
      <w:pPr>
        <w:spacing w:line="360" w:lineRule="auto"/>
        <w:ind w:right="-91"/>
        <w:jc w:val="both"/>
        <w:rPr>
          <w:rFonts w:ascii="Palatino Linotype" w:hAnsi="Palatino Linotype" w:cs="Tahoma"/>
          <w:bCs/>
          <w:lang w:val="es-ES" w:eastAsia="en-US"/>
        </w:rPr>
      </w:pPr>
    </w:p>
    <w:p w:rsidR="00F87712" w:rsidRDefault="000A4E30" w:rsidP="00F87712">
      <w:pPr>
        <w:numPr>
          <w:ilvl w:val="0"/>
          <w:numId w:val="3"/>
        </w:numPr>
        <w:pBdr>
          <w:top w:val="nil"/>
          <w:left w:val="nil"/>
          <w:bottom w:val="nil"/>
          <w:right w:val="nil"/>
          <w:between w:val="nil"/>
        </w:pBdr>
        <w:spacing w:line="360" w:lineRule="auto"/>
        <w:ind w:left="0" w:firstLine="0"/>
        <w:jc w:val="both"/>
        <w:rPr>
          <w:rFonts w:ascii="Palatino Linotype" w:hAnsi="Palatino Linotype" w:cs="Tahoma"/>
          <w:bCs/>
          <w:lang w:val="es-ES" w:eastAsia="en-US"/>
        </w:rPr>
      </w:pPr>
      <w:r w:rsidRPr="002D60E6">
        <w:rPr>
          <w:rFonts w:ascii="Palatino Linotype" w:hAnsi="Palatino Linotype" w:cs="Tahoma"/>
          <w:bCs/>
          <w:lang w:val="es-ES" w:eastAsia="en-US"/>
        </w:rPr>
        <w:t>Por consiguiente, no procede clasificar como confidencial con fundamento en el artículo 143, fracción I, de la Ley de Transparencia y Acceso a la Información Pública del Estado de México y Municipios y, eliminar RFC de personas físicas ni de personas jurídico-colectivas en los documentos que pudiera proporcionar el Sujeto Obligado.</w:t>
      </w:r>
    </w:p>
    <w:p w:rsidR="00F87712" w:rsidRPr="00F87712" w:rsidRDefault="00F87712" w:rsidP="00F87712">
      <w:pPr>
        <w:pBdr>
          <w:top w:val="nil"/>
          <w:left w:val="nil"/>
          <w:bottom w:val="nil"/>
          <w:right w:val="nil"/>
          <w:between w:val="nil"/>
        </w:pBdr>
        <w:spacing w:line="360" w:lineRule="auto"/>
        <w:jc w:val="both"/>
        <w:rPr>
          <w:rFonts w:ascii="Palatino Linotype" w:hAnsi="Palatino Linotype" w:cs="Tahoma"/>
          <w:bCs/>
          <w:lang w:val="es-ES" w:eastAsia="en-US"/>
        </w:rPr>
      </w:pPr>
    </w:p>
    <w:p w:rsidR="000A4E30" w:rsidRPr="002D60E6" w:rsidRDefault="000A4E30"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 xml:space="preserve">Igualmente, resulta importante destacar que el </w:t>
      </w:r>
      <w:r w:rsidRPr="002D60E6">
        <w:rPr>
          <w:rFonts w:ascii="Palatino Linotype" w:eastAsia="Palatino Linotype" w:hAnsi="Palatino Linotype" w:cs="Palatino Linotype"/>
          <w:i/>
        </w:rPr>
        <w:t>número de cuenta bancaria</w:t>
      </w:r>
      <w:r w:rsidRPr="002D60E6">
        <w:rPr>
          <w:rFonts w:ascii="Palatino Linotype" w:eastAsia="Palatino Linotype" w:hAnsi="Palatino Linotype" w:cs="Palatino Linotype"/>
        </w:rPr>
        <w:t xml:space="preserve"> de las personas físicas o</w:t>
      </w:r>
      <w:r w:rsidRPr="002D60E6">
        <w:rPr>
          <w:rFonts w:ascii="Palatino Linotype" w:hAnsi="Palatino Linotype" w:cs="Tahoma"/>
          <w:bCs/>
          <w:lang w:val="es-ES" w:eastAsia="en-US"/>
        </w:rPr>
        <w:t xml:space="preserve"> jurídico-colectivas</w:t>
      </w:r>
      <w:r w:rsidRPr="002D60E6">
        <w:rPr>
          <w:rFonts w:ascii="Palatino Linotype" w:eastAsia="Palatino Linotype" w:hAnsi="Palatino Linotype" w:cs="Palatino Linotype"/>
        </w:rPr>
        <w:t xml:space="preserve"> es información </w:t>
      </w:r>
      <w:r w:rsidRPr="002D60E6">
        <w:rPr>
          <w:rFonts w:ascii="Palatino Linotype" w:hAnsi="Palatino Linotype" w:cs="Tahoma"/>
          <w:bCs/>
          <w:lang w:val="es-ES" w:eastAsia="en-US"/>
        </w:rPr>
        <w:t>que</w:t>
      </w:r>
      <w:r w:rsidRPr="002D60E6">
        <w:rPr>
          <w:rFonts w:ascii="Palatino Linotype" w:eastAsia="Palatino Linotype" w:hAnsi="Palatino Linotype" w:cs="Palatino Linotype"/>
        </w:rPr>
        <w:t xml:space="preserv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rsidR="000A4E30" w:rsidRPr="002D60E6" w:rsidRDefault="000A4E30" w:rsidP="000A4E30">
      <w:pPr>
        <w:pStyle w:val="Prrafodelista"/>
        <w:rPr>
          <w:rFonts w:ascii="Palatino Linotype" w:eastAsia="Palatino Linotype" w:hAnsi="Palatino Linotype" w:cs="Palatino Linotype"/>
        </w:rPr>
      </w:pPr>
    </w:p>
    <w:p w:rsidR="000A4E30" w:rsidRPr="002D60E6" w:rsidRDefault="000A4E30"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rsidR="000A4E30" w:rsidRPr="002D60E6" w:rsidRDefault="000A4E30" w:rsidP="000A4E30">
      <w:pPr>
        <w:spacing w:line="360" w:lineRule="auto"/>
        <w:ind w:right="50"/>
        <w:jc w:val="both"/>
        <w:rPr>
          <w:rFonts w:ascii="Palatino Linotype" w:eastAsia="Palatino Linotype" w:hAnsi="Palatino Linotype" w:cs="Palatino Linotype"/>
        </w:rPr>
      </w:pPr>
    </w:p>
    <w:p w:rsidR="000A4E30" w:rsidRPr="002D60E6" w:rsidRDefault="000A4E30"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w:t>
      </w:r>
      <w:r w:rsidRPr="002D60E6">
        <w:rPr>
          <w:rFonts w:ascii="Palatino Linotype" w:eastAsia="Palatino Linotype" w:hAnsi="Palatino Linotype" w:cs="Palatino Linotype"/>
        </w:rPr>
        <w:lastRenderedPageBreak/>
        <w:t xml:space="preserve">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0A4E30" w:rsidRPr="002D60E6" w:rsidRDefault="000A4E30" w:rsidP="000A4E30">
      <w:pPr>
        <w:spacing w:line="360" w:lineRule="auto"/>
        <w:ind w:right="50"/>
        <w:jc w:val="both"/>
        <w:rPr>
          <w:rFonts w:ascii="Palatino Linotype" w:eastAsia="Palatino Linotype" w:hAnsi="Palatino Linotype" w:cs="Palatino Linotype"/>
        </w:rPr>
      </w:pPr>
    </w:p>
    <w:p w:rsidR="000A4E30" w:rsidRDefault="000A4E30"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 xml:space="preserve">En esa virtud, este Pleno determina que dicha información no puede ser del dominio público, toda vez que se podría dar un uso inadecuado a la misma o cometer algún ilícito o fraude como ya ha sido expuesto. </w:t>
      </w:r>
    </w:p>
    <w:p w:rsidR="00F87712" w:rsidRPr="002D60E6" w:rsidRDefault="00F87712" w:rsidP="00F87712">
      <w:pPr>
        <w:pBdr>
          <w:top w:val="nil"/>
          <w:left w:val="nil"/>
          <w:bottom w:val="nil"/>
          <w:right w:val="nil"/>
          <w:between w:val="nil"/>
        </w:pBdr>
        <w:spacing w:line="360" w:lineRule="auto"/>
        <w:jc w:val="both"/>
        <w:rPr>
          <w:rFonts w:ascii="Palatino Linotype" w:eastAsia="Palatino Linotype" w:hAnsi="Palatino Linotype" w:cs="Palatino Linotype"/>
        </w:rPr>
      </w:pPr>
    </w:p>
    <w:p w:rsidR="000A4E30" w:rsidRPr="002D60E6" w:rsidRDefault="000A4E30"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Es por esta razón que se debe omitir el o los números de cuentas bancarias de particulares en las versiones públicas que de las facturas se hagan, para ser entregadas.</w:t>
      </w:r>
    </w:p>
    <w:p w:rsidR="000A4E30" w:rsidRPr="002D60E6" w:rsidRDefault="000A4E30" w:rsidP="000A4E30">
      <w:pPr>
        <w:spacing w:line="360" w:lineRule="auto"/>
        <w:ind w:right="50"/>
        <w:jc w:val="both"/>
        <w:rPr>
          <w:rFonts w:ascii="Palatino Linotype" w:eastAsia="Palatino Linotype" w:hAnsi="Palatino Linotype" w:cs="Palatino Linotype"/>
        </w:rPr>
      </w:pPr>
    </w:p>
    <w:p w:rsidR="000A4E30" w:rsidRPr="002D60E6" w:rsidRDefault="000A4E30"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w:t>
      </w:r>
    </w:p>
    <w:p w:rsidR="000A4E30" w:rsidRPr="002D60E6" w:rsidRDefault="000A4E30" w:rsidP="000A4E30">
      <w:pPr>
        <w:pStyle w:val="Prrafodelista"/>
        <w:rPr>
          <w:rFonts w:ascii="Palatino Linotype" w:eastAsia="Palatino Linotype" w:hAnsi="Palatino Linotype" w:cs="Palatino Linotype"/>
        </w:rPr>
      </w:pPr>
    </w:p>
    <w:p w:rsidR="000A4E30" w:rsidRPr="002D60E6" w:rsidRDefault="000A4E30"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Lo argumentado encuentra sustento en los criterios 10/17 y 11/17 emitidos por el Instituto Nacional de Transparencia, Acceso a la Información y Protección de Datos Personales, INAI, que llevan por rubro y texto los siguientes:</w:t>
      </w:r>
    </w:p>
    <w:p w:rsidR="000A4E30" w:rsidRPr="002D60E6" w:rsidRDefault="000A4E30" w:rsidP="000A4E30">
      <w:pPr>
        <w:spacing w:after="240" w:line="276" w:lineRule="auto"/>
        <w:ind w:left="851" w:right="900"/>
        <w:jc w:val="both"/>
        <w:rPr>
          <w:rFonts w:ascii="Palatino Linotype" w:eastAsia="Palatino Linotype" w:hAnsi="Palatino Linotype" w:cs="Palatino Linotype"/>
          <w:i/>
        </w:rPr>
      </w:pPr>
      <w:r w:rsidRPr="002D60E6">
        <w:rPr>
          <w:rFonts w:ascii="Palatino Linotype" w:eastAsia="Palatino Linotype" w:hAnsi="Palatino Linotype" w:cs="Palatino Linotype"/>
          <w:b/>
          <w:i/>
        </w:rPr>
        <w:t>“Cuentas bancarias y/o CLABE interbancaria de personas físicas y morales privadas.</w:t>
      </w:r>
      <w:r w:rsidRPr="002D60E6">
        <w:rPr>
          <w:rFonts w:ascii="Palatino Linotype" w:eastAsia="Palatino Linotype" w:hAnsi="Palatino Linotype" w:cs="Palatino Linotype"/>
          <w:i/>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w:t>
      </w:r>
      <w:r w:rsidRPr="002D60E6">
        <w:rPr>
          <w:rFonts w:ascii="Palatino Linotype" w:eastAsia="Palatino Linotype" w:hAnsi="Palatino Linotype" w:cs="Palatino Linotype"/>
          <w:i/>
        </w:rPr>
        <w:lastRenderedPageBreak/>
        <w:t>fundamento en los artículos 116 de la Ley General de Transparencia y Acceso a la Información Pública y 113 de la Ley Federal de Transparencia y Acceso a la Información Pública.</w:t>
      </w:r>
    </w:p>
    <w:p w:rsidR="000A4E30" w:rsidRPr="002D60E6" w:rsidRDefault="000A4E30" w:rsidP="000A4E30">
      <w:pPr>
        <w:spacing w:before="240" w:line="276" w:lineRule="auto"/>
        <w:ind w:left="851" w:right="900"/>
        <w:jc w:val="both"/>
        <w:rPr>
          <w:rFonts w:ascii="Palatino Linotype" w:eastAsia="Palatino Linotype" w:hAnsi="Palatino Linotype" w:cs="Palatino Linotype"/>
          <w:i/>
        </w:rPr>
      </w:pPr>
      <w:r w:rsidRPr="002D60E6">
        <w:rPr>
          <w:rFonts w:ascii="Palatino Linotype" w:eastAsia="Palatino Linotype" w:hAnsi="Palatino Linotype" w:cs="Palatino Linotype"/>
          <w:b/>
          <w:i/>
        </w:rPr>
        <w:t>Cuentas bancarias y/o CLABE interbancaria de sujetos obligados que reciben y/o transfieren recursos públicos, son información pública</w:t>
      </w:r>
      <w:r w:rsidRPr="002D60E6">
        <w:rPr>
          <w:rFonts w:ascii="Palatino Linotype" w:eastAsia="Palatino Linotype" w:hAnsi="Palatino Linotype" w:cs="Palatino Linotype"/>
          <w:i/>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0A4E30" w:rsidRPr="002D60E6" w:rsidRDefault="000A4E30" w:rsidP="000A4E30">
      <w:pPr>
        <w:spacing w:line="360" w:lineRule="auto"/>
        <w:ind w:left="851" w:right="900"/>
        <w:jc w:val="both"/>
        <w:rPr>
          <w:rFonts w:ascii="Palatino Linotype" w:eastAsia="Palatino Linotype" w:hAnsi="Palatino Linotype" w:cs="Palatino Linotype"/>
          <w:i/>
        </w:rPr>
      </w:pPr>
    </w:p>
    <w:p w:rsidR="00987A13" w:rsidRPr="002D60E6" w:rsidRDefault="00987A13"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 xml:space="preserve">Relacionado con lo anterior, el </w:t>
      </w:r>
      <w:r w:rsidRPr="002D60E6">
        <w:rPr>
          <w:rFonts w:ascii="Palatino Linotype" w:eastAsia="Palatino Linotype" w:hAnsi="Palatino Linotype" w:cs="Palatino Linotype"/>
          <w:b/>
        </w:rPr>
        <w:t>nombre de las personas físicas</w:t>
      </w:r>
      <w:r w:rsidRPr="002D60E6">
        <w:rPr>
          <w:rFonts w:ascii="Palatino Linotype" w:eastAsia="Palatino Linotype" w:hAnsi="Palatino Linotype" w:cs="Palatino Linotype"/>
        </w:rPr>
        <w:t xml:space="preserve"> o los </w:t>
      </w:r>
      <w:r w:rsidRPr="002D60E6">
        <w:rPr>
          <w:rFonts w:ascii="Palatino Linotype" w:eastAsia="Palatino Linotype" w:hAnsi="Palatino Linotype" w:cs="Palatino Linotype"/>
          <w:b/>
        </w:rPr>
        <w:t>representantes legales de las personas morales</w:t>
      </w:r>
      <w:r w:rsidRPr="002D60E6">
        <w:rPr>
          <w:rFonts w:ascii="Palatino Linotype" w:eastAsia="Palatino Linotype" w:hAnsi="Palatino Linotype" w:cs="Palatino Linotype"/>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rsidR="00987A13" w:rsidRPr="002D60E6" w:rsidRDefault="00987A13" w:rsidP="00987A13">
      <w:pPr>
        <w:spacing w:line="360" w:lineRule="auto"/>
        <w:ind w:right="51"/>
        <w:jc w:val="both"/>
        <w:rPr>
          <w:rFonts w:ascii="Palatino Linotype" w:eastAsia="Palatino Linotype" w:hAnsi="Palatino Linotype" w:cs="Palatino Linotype"/>
        </w:rPr>
      </w:pPr>
    </w:p>
    <w:p w:rsidR="00987A13" w:rsidRPr="002D60E6" w:rsidRDefault="00987A13"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Argumentación que guarda sustento en lo estipulado por el artículo 23 de la Ley de Transparencia y Acceso a la Información Pública del Estado de México y Municipios en su penúltimo párrafo, mismo que es del tenor literal siguiente:</w:t>
      </w:r>
    </w:p>
    <w:p w:rsidR="00987A13" w:rsidRPr="002D60E6" w:rsidRDefault="00987A13" w:rsidP="00987A13">
      <w:pPr>
        <w:spacing w:after="120" w:line="276" w:lineRule="auto"/>
        <w:ind w:left="851" w:right="902"/>
        <w:jc w:val="both"/>
        <w:rPr>
          <w:rFonts w:ascii="Palatino Linotype" w:eastAsia="Palatino Linotype" w:hAnsi="Palatino Linotype" w:cs="Palatino Linotype"/>
          <w:i/>
        </w:rPr>
      </w:pPr>
      <w:r w:rsidRPr="002D60E6">
        <w:rPr>
          <w:rFonts w:ascii="Palatino Linotype" w:eastAsia="Palatino Linotype" w:hAnsi="Palatino Linotype" w:cs="Palatino Linotype"/>
          <w:i/>
        </w:rPr>
        <w:lastRenderedPageBreak/>
        <w:t>“</w:t>
      </w:r>
      <w:r w:rsidRPr="002D60E6">
        <w:rPr>
          <w:rFonts w:ascii="Palatino Linotype" w:eastAsia="Palatino Linotype" w:hAnsi="Palatino Linotype" w:cs="Palatino Linotype"/>
          <w:b/>
          <w:i/>
        </w:rPr>
        <w:t>Artículo 23.</w:t>
      </w:r>
      <w:r w:rsidRPr="002D60E6">
        <w:rPr>
          <w:rFonts w:ascii="Palatino Linotype" w:eastAsia="Palatino Linotype" w:hAnsi="Palatino Linotype" w:cs="Palatino Linotype"/>
          <w:i/>
        </w:rPr>
        <w:t xml:space="preserve"> (…)</w:t>
      </w:r>
    </w:p>
    <w:p w:rsidR="00987A13" w:rsidRPr="002D60E6" w:rsidRDefault="00987A13" w:rsidP="00987A13">
      <w:pPr>
        <w:spacing w:before="120" w:line="276" w:lineRule="auto"/>
        <w:ind w:left="851" w:right="902"/>
        <w:jc w:val="both"/>
        <w:rPr>
          <w:rFonts w:ascii="Palatino Linotype" w:eastAsia="Palatino Linotype" w:hAnsi="Palatino Linotype" w:cs="Palatino Linotype"/>
          <w:i/>
        </w:rPr>
      </w:pPr>
      <w:r w:rsidRPr="002D60E6">
        <w:rPr>
          <w:rFonts w:ascii="Palatino Linotype" w:eastAsia="Palatino Linotype" w:hAnsi="Palatino Linotype" w:cs="Palatino Linotype"/>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987A13" w:rsidRPr="002D60E6" w:rsidRDefault="00987A13" w:rsidP="00987A13">
      <w:pPr>
        <w:spacing w:before="120" w:line="276" w:lineRule="auto"/>
        <w:ind w:left="851" w:right="902"/>
        <w:jc w:val="both"/>
        <w:rPr>
          <w:rFonts w:ascii="Palatino Linotype" w:eastAsia="Palatino Linotype" w:hAnsi="Palatino Linotype" w:cs="Palatino Linotype"/>
          <w:i/>
        </w:rPr>
      </w:pPr>
    </w:p>
    <w:p w:rsidR="00987A13" w:rsidRPr="002D60E6" w:rsidRDefault="00987A13"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rPr>
        <w:t>Asimismo, resulta aplicable el contenido del Criterio de interpretación 01/19 emitido por el entonces Instituto Nacional de Transparencia, Acceso a la Información, y Protección de Datos Personales, INAI, que lleva por rubro y texto los siguientes</w:t>
      </w:r>
    </w:p>
    <w:p w:rsidR="00987A13" w:rsidRPr="002D60E6" w:rsidRDefault="00987A13" w:rsidP="00987A13">
      <w:pPr>
        <w:spacing w:line="276" w:lineRule="auto"/>
        <w:ind w:left="851" w:right="900"/>
        <w:jc w:val="both"/>
        <w:rPr>
          <w:rFonts w:ascii="Palatino Linotype" w:eastAsia="Palatino Linotype" w:hAnsi="Palatino Linotype" w:cs="Palatino Linotype"/>
          <w:i/>
        </w:rPr>
      </w:pPr>
      <w:r w:rsidRPr="002D60E6">
        <w:rPr>
          <w:rFonts w:ascii="Palatino Linotype" w:eastAsia="Palatino Linotype" w:hAnsi="Palatino Linotype" w:cs="Palatino Linotype"/>
          <w:b/>
          <w:i/>
        </w:rPr>
        <w:t>“Datos de identificación del representante o apoderado legal.</w:t>
      </w:r>
      <w:r w:rsidRPr="002D60E6">
        <w:rPr>
          <w:rFonts w:ascii="Palatino Linotype" w:eastAsia="Palatino Linotype" w:hAnsi="Palatino Linotype" w:cs="Palatino Linotype"/>
          <w:i/>
        </w:rPr>
        <w:t xml:space="preserve"> </w:t>
      </w:r>
      <w:r w:rsidRPr="002D60E6">
        <w:rPr>
          <w:rFonts w:ascii="Palatino Linotype" w:eastAsia="Palatino Linotype" w:hAnsi="Palatino Linotype" w:cs="Palatino Linotype"/>
          <w:b/>
          <w:i/>
        </w:rPr>
        <w:t xml:space="preserve">Naturaleza jurídica. </w:t>
      </w:r>
      <w:r w:rsidRPr="002D60E6">
        <w:rPr>
          <w:rFonts w:ascii="Palatino Linotype" w:eastAsia="Palatino Linotype" w:hAnsi="Palatino Linotype" w:cs="Palatino Linotype"/>
          <w:i/>
        </w:rPr>
        <w:t xml:space="preserve">El nombre, la firma y la rúbrica de una persona física, que actúe como representante o apoderado legal de un tercero que haya celebrado un acto jurídico, con algún sujeto obligado, </w:t>
      </w:r>
      <w:r w:rsidRPr="002D60E6">
        <w:rPr>
          <w:rFonts w:ascii="Palatino Linotype" w:eastAsia="Palatino Linotype" w:hAnsi="Palatino Linotype" w:cs="Palatino Linotype"/>
          <w:b/>
          <w:i/>
        </w:rPr>
        <w:t>es información pública, en razón de que tales datos fueron proporcionados con el objeto de expresar el consentimiento obligacional del tercero y otorgar validez a dicho instrumento jurídico</w:t>
      </w:r>
      <w:r w:rsidRPr="002D60E6">
        <w:rPr>
          <w:rFonts w:ascii="Palatino Linotype" w:eastAsia="Palatino Linotype" w:hAnsi="Palatino Linotype" w:cs="Palatino Linotype"/>
          <w:i/>
        </w:rPr>
        <w:t>.”</w:t>
      </w:r>
    </w:p>
    <w:p w:rsidR="000A4E30" w:rsidRPr="002D60E6" w:rsidRDefault="000A4E30" w:rsidP="000A4E30">
      <w:pPr>
        <w:spacing w:line="360" w:lineRule="auto"/>
        <w:ind w:right="-93"/>
        <w:contextualSpacing/>
        <w:jc w:val="both"/>
        <w:rPr>
          <w:rFonts w:ascii="Palatino Linotype" w:hAnsi="Palatino Linotype" w:cs="Tahoma"/>
          <w:bCs/>
          <w:iCs/>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Por lo tanto, la entrega de documentos en su versión pública debe acompañarse necesariamente del Acuerdo del Comité de Transparencia que la sustente, en el que se expongan los fundamentos y razonamientos que llevaron al </w:t>
      </w:r>
      <w:r w:rsidRPr="002D60E6">
        <w:rPr>
          <w:rFonts w:ascii="Palatino Linotype" w:eastAsia="Palatino Linotype" w:hAnsi="Palatino Linotype" w:cs="Palatino Linotype"/>
          <w:b/>
          <w:bCs/>
          <w:color w:val="000000"/>
        </w:rPr>
        <w:t>SUJETO OBLIGADO</w:t>
      </w:r>
      <w:r w:rsidRPr="002D60E6">
        <w:rPr>
          <w:rFonts w:ascii="Palatino Linotype" w:eastAsia="Palatino Linotype" w:hAnsi="Palatino Linotype" w:cs="Palatino Linotype"/>
          <w:color w:val="000000"/>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w:t>
      </w:r>
      <w:r w:rsidRPr="002D60E6">
        <w:rPr>
          <w:rFonts w:ascii="Palatino Linotype" w:eastAsia="Palatino Linotype" w:hAnsi="Palatino Linotype" w:cs="Palatino Linotype"/>
          <w:color w:val="000000"/>
        </w:rPr>
        <w:lastRenderedPageBreak/>
        <w:t>violentando desde un inicio el derecho de acceso a la información del solicitante, por lo que el acuerdo respectivo, deberá hacerse del conocimiento del </w:t>
      </w:r>
      <w:r w:rsidRPr="002D60E6">
        <w:rPr>
          <w:rFonts w:ascii="Palatino Linotype" w:eastAsia="Palatino Linotype" w:hAnsi="Palatino Linotype" w:cs="Palatino Linotype"/>
          <w:b/>
          <w:bCs/>
          <w:color w:val="000000"/>
        </w:rPr>
        <w:t>RECURRENTE.</w:t>
      </w:r>
    </w:p>
    <w:p w:rsidR="00F72507" w:rsidRPr="002D60E6" w:rsidRDefault="00F72507">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rsidR="00F72507" w:rsidRPr="002D60E6" w:rsidRDefault="00F72507">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F72507" w:rsidRPr="002D60E6" w:rsidRDefault="00F72507">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Entorno a lo que aquí nos interesa, los Lineamientos Quincuagésimo sexto, Quincuagésimo séptimo y Quincuagésimo octavo, establecen lo siguiente:</w:t>
      </w:r>
    </w:p>
    <w:p w:rsidR="00F72507" w:rsidRPr="002D60E6" w:rsidRDefault="001C4B97">
      <w:pPr>
        <w:spacing w:line="360" w:lineRule="auto"/>
        <w:ind w:left="851" w:right="90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“Quincuagésimo sexto</w:t>
      </w:r>
      <w:r w:rsidRPr="002D60E6">
        <w:rPr>
          <w:rFonts w:ascii="Palatino Linotype" w:eastAsia="Palatino Linotype" w:hAnsi="Palatino Linotype" w:cs="Palatino Linotype"/>
          <w:b/>
          <w:bCs/>
          <w:i/>
          <w:iCs/>
        </w:rPr>
        <w:t xml:space="preserve">. La versión pública del documento o expediente que contenga partes o secciones reservadas o confidenciales, será elaborada por </w:t>
      </w:r>
      <w:r w:rsidRPr="002D60E6">
        <w:rPr>
          <w:rFonts w:ascii="Palatino Linotype" w:eastAsia="Palatino Linotype" w:hAnsi="Palatino Linotype" w:cs="Palatino Linotype"/>
          <w:b/>
          <w:bCs/>
          <w:i/>
          <w:iCs/>
        </w:rPr>
        <w:lastRenderedPageBreak/>
        <w:t>los sujetos obligados, previo pago de los costos de reproducción, a través de sus áreas y deberá ser aprobada por su Comité de Transparencia</w:t>
      </w:r>
    </w:p>
    <w:p w:rsidR="00F72507" w:rsidRPr="002D60E6" w:rsidRDefault="001C4B97">
      <w:pPr>
        <w:spacing w:line="360" w:lineRule="auto"/>
        <w:ind w:left="851" w:right="90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 xml:space="preserve">Quincuagésimo séptimo. Se considera, en principio, como información pública y no podrá omitirse de las versiones públicas la siguiente: </w:t>
      </w:r>
    </w:p>
    <w:p w:rsidR="00F72507" w:rsidRPr="002D60E6" w:rsidRDefault="001C4B97">
      <w:pPr>
        <w:spacing w:line="360" w:lineRule="auto"/>
        <w:ind w:left="851" w:right="90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rsidR="00F72507" w:rsidRPr="002D60E6" w:rsidRDefault="001C4B97">
      <w:pPr>
        <w:spacing w:line="360" w:lineRule="auto"/>
        <w:ind w:left="851" w:right="90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 xml:space="preserve">II. El nombre de los servidores públicos en los documentos, y sus firmas autógrafas, cuando sean utilizados en el ejercicio de las facultades conferidas para el desempeño del servicio público, y </w:t>
      </w:r>
    </w:p>
    <w:p w:rsidR="00F72507" w:rsidRPr="002D60E6" w:rsidRDefault="001C4B97">
      <w:pPr>
        <w:spacing w:line="360" w:lineRule="auto"/>
        <w:ind w:left="851" w:right="90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III. La información que documente decisiones y los actos de autoridad concluidos de los sujetos obligados, así como el ejercicio de las facultades o actividades de los servidores públicos, de manera que se pueda valorar el desempeño de los mismos.</w:t>
      </w:r>
    </w:p>
    <w:p w:rsidR="00F72507" w:rsidRPr="002D60E6" w:rsidRDefault="001C4B97">
      <w:pPr>
        <w:spacing w:line="360" w:lineRule="auto"/>
        <w:ind w:left="851" w:right="90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 xml:space="preserve">Lo anterior, siempre y cuando no se acredite alguna causal de clasificación, prevista en las leyes o en los tratados internaciones suscritos por el Estado mexicano. </w:t>
      </w:r>
    </w:p>
    <w:p w:rsidR="00F72507" w:rsidRPr="002D60E6" w:rsidRDefault="001C4B97">
      <w:pPr>
        <w:spacing w:line="360" w:lineRule="auto"/>
        <w:ind w:left="851" w:right="902"/>
        <w:jc w:val="both"/>
        <w:rPr>
          <w:rFonts w:ascii="Palatino Linotype" w:eastAsia="Palatino Linotype" w:hAnsi="Palatino Linotype" w:cs="Palatino Linotype"/>
          <w:i/>
          <w:iCs/>
        </w:rPr>
      </w:pPr>
      <w:r w:rsidRPr="002D60E6">
        <w:rPr>
          <w:rFonts w:ascii="Palatino Linotype" w:eastAsia="Palatino Linotype" w:hAnsi="Palatino Linotype" w:cs="Palatino Linotype"/>
          <w:i/>
          <w:iCs/>
        </w:rPr>
        <w:t>Quincuagésimo octavo. Los sujetos obligados garantizarán que los sistemas o medios empleados para eliminar la información en las versiones públicas no permitan la recuperación o visualización de la misma.”</w:t>
      </w:r>
    </w:p>
    <w:p w:rsidR="00F72507" w:rsidRPr="002D60E6" w:rsidRDefault="00F72507">
      <w:pPr>
        <w:spacing w:line="360" w:lineRule="auto"/>
        <w:ind w:left="851" w:right="902"/>
        <w:jc w:val="both"/>
        <w:rPr>
          <w:rFonts w:ascii="Palatino Linotype" w:eastAsia="Palatino Linotype" w:hAnsi="Palatino Linotype" w:cs="Palatino Linotype"/>
          <w:i/>
          <w:iCs/>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Por lo tanto, </w:t>
      </w:r>
      <w:r w:rsidRPr="002D60E6">
        <w:rPr>
          <w:rFonts w:ascii="Palatino Linotype" w:eastAsia="Palatino Linotype" w:hAnsi="Palatino Linotype" w:cs="Palatino Linotype"/>
          <w:b/>
          <w:bCs/>
          <w:color w:val="000000"/>
        </w:rPr>
        <w:t xml:space="preserve">la entrega de documentos en su versión pública debe </w:t>
      </w:r>
      <w:r w:rsidRPr="002D60E6">
        <w:rPr>
          <w:rFonts w:ascii="Palatino Linotype" w:eastAsia="Palatino Linotype" w:hAnsi="Palatino Linotype" w:cs="Palatino Linotype"/>
          <w:color w:val="000000"/>
        </w:rPr>
        <w:t>acompañarse</w:t>
      </w:r>
      <w:r w:rsidRPr="002D60E6">
        <w:rPr>
          <w:rFonts w:ascii="Palatino Linotype" w:eastAsia="Palatino Linotype" w:hAnsi="Palatino Linotype" w:cs="Palatino Linotype"/>
          <w:b/>
          <w:bCs/>
          <w:color w:val="000000"/>
        </w:rPr>
        <w:t xml:space="preserve"> </w:t>
      </w:r>
      <w:r w:rsidRPr="002D60E6">
        <w:rPr>
          <w:rFonts w:ascii="Palatino Linotype" w:eastAsia="Palatino Linotype" w:hAnsi="Palatino Linotype" w:cs="Palatino Linotype"/>
          <w:color w:val="000000"/>
        </w:rPr>
        <w:t>necesariamente</w:t>
      </w:r>
      <w:r w:rsidRPr="002D60E6">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2D60E6">
        <w:rPr>
          <w:rFonts w:ascii="Palatino Linotype" w:eastAsia="Palatino Linotype" w:hAnsi="Palatino Linotype" w:cs="Palatino Linotype"/>
          <w:color w:val="000000"/>
        </w:rPr>
        <w:t xml:space="preserve">, ya que no hacerlo, se reitera que lo entregado no tendría un sustento </w:t>
      </w:r>
      <w:r w:rsidRPr="002D60E6">
        <w:rPr>
          <w:rFonts w:ascii="Palatino Linotype" w:eastAsia="Palatino Linotype" w:hAnsi="Palatino Linotype" w:cs="Palatino Linotype"/>
          <w:color w:val="000000"/>
        </w:rPr>
        <w:lastRenderedPageBreak/>
        <w:t>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F72507" w:rsidRPr="002D60E6" w:rsidRDefault="00F72507">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color w:val="000000"/>
        </w:rPr>
      </w:pPr>
    </w:p>
    <w:p w:rsidR="00F72507"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Los sujetos obligados</w:t>
      </w:r>
      <w:r w:rsidRPr="002D60E6">
        <w:rPr>
          <w:rFonts w:ascii="Palatino Linotype" w:eastAsia="Palatino Linotype" w:hAnsi="Palatino Linotype" w:cs="Palatino Linotype"/>
          <w:b/>
          <w:bCs/>
          <w:color w:val="000000"/>
        </w:rPr>
        <w:t xml:space="preserve"> </w:t>
      </w:r>
      <w:r w:rsidRPr="002D60E6">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F87712" w:rsidRPr="002D60E6" w:rsidRDefault="00F87712" w:rsidP="00F8771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Style w:val="a2"/>
        <w:tblW w:w="991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F72507" w:rsidRPr="002D60E6" w:rsidTr="00F87712">
        <w:tc>
          <w:tcPr>
            <w:tcW w:w="2689" w:type="dxa"/>
          </w:tcPr>
          <w:p w:rsidR="00F72507" w:rsidRPr="002D60E6" w:rsidRDefault="001C4B97">
            <w:pPr>
              <w:tabs>
                <w:tab w:val="left" w:pos="284"/>
              </w:tabs>
              <w:rPr>
                <w:rFonts w:ascii="Palatino Linotype" w:eastAsia="Palatino Linotype" w:hAnsi="Palatino Linotype" w:cs="Palatino Linotype"/>
              </w:rPr>
            </w:pPr>
            <w:r w:rsidRPr="002D60E6">
              <w:rPr>
                <w:rFonts w:ascii="Palatino Linotype" w:eastAsia="Palatino Linotype" w:hAnsi="Palatino Linotype" w:cs="Palatino Linotype"/>
              </w:rPr>
              <w:t>a) Requisitos previos.</w:t>
            </w:r>
          </w:p>
        </w:tc>
        <w:tc>
          <w:tcPr>
            <w:tcW w:w="7229" w:type="dxa"/>
          </w:tcPr>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F72507" w:rsidRPr="002D60E6" w:rsidRDefault="001C4B97">
            <w:pPr>
              <w:tabs>
                <w:tab w:val="left" w:pos="284"/>
              </w:tabs>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2D60E6">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2D60E6">
              <w:rPr>
                <w:rFonts w:ascii="Palatino Linotype" w:eastAsia="Palatino Linotype" w:hAnsi="Palatino Linotype" w:cs="Palatino Linotype"/>
                <w:color w:val="000000"/>
              </w:rPr>
              <w:t xml:space="preserve"> individualizar su análisis y tampoco se puede hacer un acuerdo por cada dato que </w:t>
            </w:r>
            <w:r w:rsidRPr="002D60E6">
              <w:rPr>
                <w:rFonts w:ascii="Palatino Linotype" w:eastAsia="Palatino Linotype" w:hAnsi="Palatino Linotype" w:cs="Palatino Linotype"/>
                <w:color w:val="000000"/>
              </w:rPr>
              <w:lastRenderedPageBreak/>
              <w:t>se vaya a clasificar dentro de un documento con diez datos, por ejemplo, susceptibles de ser clasificados.</w:t>
            </w:r>
          </w:p>
          <w:p w:rsidR="00F72507" w:rsidRPr="002D60E6" w:rsidRDefault="00F72507">
            <w:pPr>
              <w:tabs>
                <w:tab w:val="left" w:pos="284"/>
              </w:tabs>
              <w:jc w:val="both"/>
              <w:rPr>
                <w:rFonts w:ascii="Palatino Linotype" w:eastAsia="Palatino Linotype" w:hAnsi="Palatino Linotype" w:cs="Palatino Linotype"/>
              </w:rPr>
            </w:pPr>
          </w:p>
        </w:tc>
      </w:tr>
      <w:tr w:rsidR="00F72507" w:rsidRPr="002D60E6" w:rsidTr="00F87712">
        <w:tc>
          <w:tcPr>
            <w:tcW w:w="2689" w:type="dxa"/>
          </w:tcPr>
          <w:p w:rsidR="00F72507" w:rsidRPr="002D60E6" w:rsidRDefault="001C4B97">
            <w:pPr>
              <w:tabs>
                <w:tab w:val="left" w:pos="284"/>
              </w:tabs>
              <w:rPr>
                <w:rFonts w:ascii="Palatino Linotype" w:eastAsia="Palatino Linotype" w:hAnsi="Palatino Linotype" w:cs="Palatino Linotype"/>
              </w:rPr>
            </w:pPr>
            <w:r w:rsidRPr="002D60E6">
              <w:rPr>
                <w:rFonts w:ascii="Palatino Linotype" w:eastAsia="Palatino Linotype" w:hAnsi="Palatino Linotype" w:cs="Palatino Linotype"/>
              </w:rPr>
              <w:lastRenderedPageBreak/>
              <w:t>b) Supuestos de clasificación.</w:t>
            </w:r>
          </w:p>
        </w:tc>
        <w:tc>
          <w:tcPr>
            <w:tcW w:w="7229" w:type="dxa"/>
          </w:tcPr>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72507" w:rsidRPr="002D60E6" w:rsidRDefault="001C4B97">
            <w:pPr>
              <w:tabs>
                <w:tab w:val="left" w:pos="284"/>
              </w:tabs>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El </w:t>
            </w:r>
            <w:r w:rsidRPr="002D60E6">
              <w:rPr>
                <w:rFonts w:ascii="Palatino Linotype" w:eastAsia="Palatino Linotype" w:hAnsi="Palatino Linotype" w:cs="Palatino Linotype"/>
                <w:b/>
                <w:bCs/>
                <w:color w:val="000000"/>
              </w:rPr>
              <w:t>Sujeto Obligado</w:t>
            </w:r>
            <w:r w:rsidRPr="002D60E6">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F72507" w:rsidRPr="002D60E6" w:rsidRDefault="00F72507">
            <w:pPr>
              <w:tabs>
                <w:tab w:val="left" w:pos="284"/>
              </w:tabs>
              <w:jc w:val="both"/>
              <w:rPr>
                <w:rFonts w:ascii="Palatino Linotype" w:eastAsia="Palatino Linotype" w:hAnsi="Palatino Linotype" w:cs="Palatino Linotype"/>
              </w:rPr>
            </w:pPr>
          </w:p>
        </w:tc>
      </w:tr>
      <w:tr w:rsidR="00F72507" w:rsidRPr="002D60E6" w:rsidTr="00F87712">
        <w:tc>
          <w:tcPr>
            <w:tcW w:w="2689" w:type="dxa"/>
          </w:tcPr>
          <w:p w:rsidR="00F72507" w:rsidRPr="002D60E6" w:rsidRDefault="001C4B97">
            <w:pPr>
              <w:tabs>
                <w:tab w:val="left" w:pos="284"/>
              </w:tabs>
              <w:rPr>
                <w:rFonts w:ascii="Palatino Linotype" w:eastAsia="Palatino Linotype" w:hAnsi="Palatino Linotype" w:cs="Palatino Linotype"/>
              </w:rPr>
            </w:pPr>
            <w:r w:rsidRPr="002D60E6">
              <w:rPr>
                <w:rFonts w:ascii="Palatino Linotype" w:eastAsia="Palatino Linotype" w:hAnsi="Palatino Linotype" w:cs="Palatino Linotype"/>
              </w:rPr>
              <w:t>c) Formalidades para emitir el acuerdo de clasificación.</w:t>
            </w:r>
          </w:p>
        </w:tc>
        <w:tc>
          <w:tcPr>
            <w:tcW w:w="7229" w:type="dxa"/>
          </w:tcPr>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Es necesario que </w:t>
            </w:r>
            <w:r w:rsidRPr="002D60E6">
              <w:rPr>
                <w:rFonts w:ascii="Palatino Linotype" w:eastAsia="Palatino Linotype" w:hAnsi="Palatino Linotype" w:cs="Palatino Linotype"/>
                <w:b/>
                <w:bCs/>
                <w:color w:val="000000"/>
                <w:u w:val="single"/>
              </w:rPr>
              <w:t>el acto reúna con los requisitos elementales</w:t>
            </w:r>
            <w:r w:rsidRPr="002D60E6">
              <w:rPr>
                <w:rFonts w:ascii="Palatino Linotype" w:eastAsia="Palatino Linotype" w:hAnsi="Palatino Linotype" w:cs="Palatino Linotype"/>
                <w:color w:val="000000"/>
              </w:rPr>
              <w:t>, entre ellos, que la autoridad que va a emitir el acto de autoridad sea la legalmente facultada para ello.</w:t>
            </w:r>
          </w:p>
          <w:p w:rsidR="00F72507" w:rsidRPr="002D60E6" w:rsidRDefault="001C4B97">
            <w:pPr>
              <w:tabs>
                <w:tab w:val="left" w:pos="284"/>
              </w:tabs>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w:t>
            </w:r>
            <w:r w:rsidRPr="002D60E6">
              <w:rPr>
                <w:rFonts w:ascii="Palatino Linotype" w:eastAsia="Palatino Linotype" w:hAnsi="Palatino Linotype" w:cs="Palatino Linotype"/>
                <w:color w:val="000000"/>
              </w:rPr>
              <w:lastRenderedPageBreak/>
              <w:t>previamente por los titulares de áreas y que son sujetas a control, en primera instancia, por el Comité de Transparencia.</w:t>
            </w:r>
          </w:p>
          <w:p w:rsidR="00F72507" w:rsidRPr="002D60E6" w:rsidRDefault="00F72507">
            <w:pPr>
              <w:tabs>
                <w:tab w:val="left" w:pos="284"/>
              </w:tabs>
              <w:jc w:val="both"/>
              <w:rPr>
                <w:rFonts w:ascii="Palatino Linotype" w:eastAsia="Palatino Linotype" w:hAnsi="Palatino Linotype" w:cs="Palatino Linotype"/>
              </w:rPr>
            </w:pPr>
          </w:p>
        </w:tc>
      </w:tr>
      <w:tr w:rsidR="00F72507" w:rsidRPr="002D60E6" w:rsidTr="00F87712">
        <w:tc>
          <w:tcPr>
            <w:tcW w:w="2689" w:type="dxa"/>
          </w:tcPr>
          <w:p w:rsidR="00F72507" w:rsidRPr="002D60E6" w:rsidRDefault="00F72507">
            <w:pPr>
              <w:tabs>
                <w:tab w:val="left" w:pos="284"/>
              </w:tabs>
              <w:rPr>
                <w:rFonts w:ascii="Palatino Linotype" w:eastAsia="Palatino Linotype" w:hAnsi="Palatino Linotype" w:cs="Palatino Linotype"/>
              </w:rPr>
            </w:pPr>
          </w:p>
          <w:p w:rsidR="00F72507" w:rsidRPr="002D60E6" w:rsidRDefault="001C4B97">
            <w:pPr>
              <w:tabs>
                <w:tab w:val="left" w:pos="284"/>
              </w:tabs>
              <w:jc w:val="both"/>
              <w:rPr>
                <w:rFonts w:ascii="Palatino Linotype" w:eastAsia="Palatino Linotype" w:hAnsi="Palatino Linotype" w:cs="Palatino Linotype"/>
              </w:rPr>
            </w:pPr>
            <w:r w:rsidRPr="002D60E6">
              <w:rPr>
                <w:rFonts w:ascii="Palatino Linotype" w:eastAsia="Palatino Linotype" w:hAnsi="Palatino Linotype" w:cs="Palatino Linotype"/>
                <w:color w:val="000000"/>
              </w:rPr>
              <w:t xml:space="preserve">d) Requisitos de fondo del acuerdo de clasificación. </w:t>
            </w:r>
          </w:p>
        </w:tc>
        <w:tc>
          <w:tcPr>
            <w:tcW w:w="7229" w:type="dxa"/>
          </w:tcPr>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2D60E6">
              <w:rPr>
                <w:rFonts w:ascii="Palatino Linotype" w:eastAsia="Palatino Linotype" w:hAnsi="Palatino Linotype" w:cs="Palatino Linotype"/>
                <w:b/>
                <w:bCs/>
                <w:color w:val="000000"/>
              </w:rPr>
              <w:t>Sujetos Obligados</w:t>
            </w:r>
            <w:r w:rsidRPr="002D60E6">
              <w:rPr>
                <w:rFonts w:ascii="Palatino Linotype" w:eastAsia="Palatino Linotype" w:hAnsi="Palatino Linotype" w:cs="Palatino Linotype"/>
                <w:color w:val="000000"/>
              </w:rPr>
              <w:t xml:space="preserve">, por lo que deberán fundar y motivar debidamente la clasificación. </w:t>
            </w:r>
          </w:p>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De lo anterior, se desprende que para una correcta </w:t>
            </w:r>
            <w:r w:rsidRPr="002D60E6">
              <w:rPr>
                <w:rFonts w:ascii="Palatino Linotype" w:eastAsia="Palatino Linotype" w:hAnsi="Palatino Linotype" w:cs="Palatino Linotype"/>
                <w:b/>
                <w:bCs/>
                <w:color w:val="000000"/>
              </w:rPr>
              <w:t>clasificación total o parcial</w:t>
            </w:r>
            <w:r w:rsidRPr="002D60E6">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Ahora bien, </w:t>
            </w:r>
            <w:r w:rsidRPr="002D60E6">
              <w:rPr>
                <w:rFonts w:ascii="Palatino Linotype" w:eastAsia="Palatino Linotype" w:hAnsi="Palatino Linotype" w:cs="Palatino Linotype"/>
                <w:b/>
                <w:bCs/>
                <w:color w:val="000000"/>
                <w:u w:val="single"/>
              </w:rPr>
              <w:t>para cada caso además de fundar y motivar</w:t>
            </w:r>
            <w:r w:rsidRPr="002D60E6">
              <w:rPr>
                <w:rFonts w:ascii="Palatino Linotype" w:eastAsia="Palatino Linotype" w:hAnsi="Palatino Linotype" w:cs="Palatino Linotype"/>
                <w:color w:val="000000"/>
              </w:rPr>
              <w:t xml:space="preserve">, se debe identificar con claridad que datos contenidos en las documentales que son susceptibles de suprimirse, por ejemplo; Clave Única de Registro de Población (CURP), Registro Federal de Contribuyentes (R.F.C.), claves de seguros, préstamos o </w:t>
            </w:r>
            <w:r w:rsidRPr="002D60E6">
              <w:rPr>
                <w:rFonts w:ascii="Palatino Linotype" w:eastAsia="Palatino Linotype" w:hAnsi="Palatino Linotype" w:cs="Palatino Linotype"/>
                <w:color w:val="000000"/>
              </w:rPr>
              <w:lastRenderedPageBreak/>
              <w:t>descuentos personales, secretos bancario, fiduciario, industrial, comercial, fiscal, bursátil y postal, cuya titularidad corresponda a particulares, entre otros.</w:t>
            </w:r>
          </w:p>
          <w:p w:rsidR="00F72507" w:rsidRPr="002D60E6" w:rsidRDefault="00F72507">
            <w:pPr>
              <w:tabs>
                <w:tab w:val="left" w:pos="284"/>
              </w:tabs>
              <w:ind w:right="49"/>
              <w:jc w:val="both"/>
              <w:rPr>
                <w:rFonts w:ascii="Palatino Linotype" w:eastAsia="Palatino Linotype" w:hAnsi="Palatino Linotype" w:cs="Palatino Linotype"/>
                <w:color w:val="000000"/>
              </w:rPr>
            </w:pPr>
          </w:p>
        </w:tc>
      </w:tr>
      <w:tr w:rsidR="00F72507" w:rsidRPr="002D60E6" w:rsidTr="00F87712">
        <w:tc>
          <w:tcPr>
            <w:tcW w:w="2689" w:type="dxa"/>
          </w:tcPr>
          <w:p w:rsidR="00F72507" w:rsidRPr="002D60E6" w:rsidRDefault="001C4B97">
            <w:pPr>
              <w:tabs>
                <w:tab w:val="left" w:pos="284"/>
              </w:tabs>
              <w:ind w:right="49"/>
              <w:jc w:val="both"/>
              <w:rPr>
                <w:rFonts w:ascii="Palatino Linotype" w:eastAsia="Palatino Linotype" w:hAnsi="Palatino Linotype" w:cs="Palatino Linotype"/>
              </w:rPr>
            </w:pPr>
            <w:r w:rsidRPr="002D60E6">
              <w:rPr>
                <w:rFonts w:ascii="Palatino Linotype" w:eastAsia="Palatino Linotype" w:hAnsi="Palatino Linotype" w:cs="Palatino Linotype"/>
              </w:rPr>
              <w:lastRenderedPageBreak/>
              <w:t xml:space="preserve">e) Condiciones especiales de la clasificación de la información como confidencial. </w:t>
            </w:r>
          </w:p>
        </w:tc>
        <w:tc>
          <w:tcPr>
            <w:tcW w:w="7229" w:type="dxa"/>
          </w:tcPr>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F72507" w:rsidRPr="002D60E6" w:rsidRDefault="001C4B97">
            <w:pPr>
              <w:tabs>
                <w:tab w:val="left" w:pos="284"/>
              </w:tabs>
              <w:ind w:right="49"/>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72507" w:rsidRPr="002D60E6" w:rsidRDefault="001C4B97">
            <w:pPr>
              <w:tabs>
                <w:tab w:val="left" w:pos="284"/>
              </w:tabs>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F72507" w:rsidRPr="002D60E6" w:rsidRDefault="00F72507">
            <w:pPr>
              <w:tabs>
                <w:tab w:val="left" w:pos="284"/>
              </w:tabs>
              <w:rPr>
                <w:rFonts w:ascii="Palatino Linotype" w:eastAsia="Palatino Linotype" w:hAnsi="Palatino Linotype" w:cs="Palatino Linotype"/>
              </w:rPr>
            </w:pPr>
          </w:p>
        </w:tc>
      </w:tr>
    </w:tbl>
    <w:p w:rsidR="00F72507" w:rsidRPr="002D60E6" w:rsidRDefault="00F72507">
      <w:pPr>
        <w:tabs>
          <w:tab w:val="left" w:pos="284"/>
        </w:tabs>
        <w:spacing w:line="360" w:lineRule="auto"/>
        <w:rPr>
          <w:rFonts w:ascii="Palatino Linotype" w:eastAsia="Palatino Linotype" w:hAnsi="Palatino Linotype" w:cs="Palatino Linotype"/>
          <w:color w:val="000000"/>
        </w:rPr>
      </w:pPr>
    </w:p>
    <w:p w:rsidR="00F72507" w:rsidRPr="002D60E6" w:rsidRDefault="001C4B97" w:rsidP="00F8771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D60E6">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F72507" w:rsidRPr="002D60E6" w:rsidRDefault="00F72507">
      <w:pPr>
        <w:pBdr>
          <w:top w:val="nil"/>
          <w:left w:val="nil"/>
          <w:bottom w:val="nil"/>
          <w:right w:val="nil"/>
          <w:between w:val="nil"/>
        </w:pBdr>
        <w:tabs>
          <w:tab w:val="left" w:pos="851"/>
        </w:tabs>
        <w:spacing w:line="360" w:lineRule="auto"/>
        <w:ind w:right="476"/>
        <w:jc w:val="both"/>
        <w:rPr>
          <w:rFonts w:ascii="Palatino Linotype" w:eastAsia="Palatino Linotype" w:hAnsi="Palatino Linotype" w:cs="Palatino Linotype"/>
          <w:i/>
          <w:iCs/>
          <w:color w:val="000000"/>
        </w:rPr>
      </w:pPr>
    </w:p>
    <w:p w:rsidR="00F72507" w:rsidRPr="00F87712" w:rsidRDefault="001C4B9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2D60E6">
        <w:rPr>
          <w:rFonts w:ascii="Palatino Linotype" w:eastAsia="Palatino Linotype" w:hAnsi="Palatino Linotype" w:cs="Palatino Linotype"/>
          <w:color w:val="222222"/>
        </w:rPr>
        <w:t xml:space="preserve">Por lo </w:t>
      </w:r>
      <w:r w:rsidRPr="002D60E6">
        <w:rPr>
          <w:rFonts w:ascii="Palatino Linotype" w:eastAsia="Palatino Linotype" w:hAnsi="Palatino Linotype" w:cs="Palatino Linotype"/>
        </w:rPr>
        <w:t>anteriormente</w:t>
      </w:r>
      <w:r w:rsidRPr="002D60E6">
        <w:rPr>
          <w:rFonts w:ascii="Palatino Linotype" w:eastAsia="Palatino Linotype" w:hAnsi="Palatino Linotype" w:cs="Palatino Linotype"/>
          <w:color w:val="222222"/>
        </w:rPr>
        <w:t xml:space="preserve"> expuesto y fundado, este </w:t>
      </w:r>
      <w:r w:rsidRPr="002D60E6">
        <w:rPr>
          <w:rFonts w:ascii="Palatino Linotype" w:eastAsia="Palatino Linotype" w:hAnsi="Palatino Linotype" w:cs="Palatino Linotype"/>
          <w:b/>
          <w:bCs/>
          <w:color w:val="222222"/>
        </w:rPr>
        <w:t>ÓRGANO GARANTE</w:t>
      </w:r>
      <w:r w:rsidRPr="002D60E6">
        <w:rPr>
          <w:rFonts w:ascii="Palatino Linotype" w:eastAsia="Palatino Linotype" w:hAnsi="Palatino Linotype" w:cs="Palatino Linotype"/>
          <w:color w:val="222222"/>
        </w:rPr>
        <w:t xml:space="preserve"> emite los </w:t>
      </w:r>
      <w:r w:rsidRPr="002D60E6">
        <w:rPr>
          <w:rFonts w:ascii="Palatino Linotype" w:eastAsia="Palatino Linotype" w:hAnsi="Palatino Linotype" w:cs="Palatino Linotype"/>
        </w:rPr>
        <w:t>siguientes</w:t>
      </w:r>
      <w:r w:rsidRPr="002D60E6">
        <w:rPr>
          <w:rFonts w:ascii="Palatino Linotype" w:eastAsia="Palatino Linotype" w:hAnsi="Palatino Linotype" w:cs="Palatino Linotype"/>
          <w:color w:val="222222"/>
        </w:rPr>
        <w:t>:</w:t>
      </w:r>
      <w:r w:rsidR="00F87712">
        <w:rPr>
          <w:rFonts w:ascii="Palatino Linotype" w:eastAsia="Palatino Linotype" w:hAnsi="Palatino Linotype" w:cs="Palatino Linotype"/>
          <w:color w:val="222222"/>
        </w:rPr>
        <w:t xml:space="preserve"> -----------------------------------------------------------------------------------------------------------</w:t>
      </w:r>
    </w:p>
    <w:p w:rsidR="00F87712" w:rsidRDefault="00F87712" w:rsidP="00F87712">
      <w:pPr>
        <w:pStyle w:val="Prrafodelista"/>
        <w:rPr>
          <w:rFonts w:ascii="Palatino Linotype" w:eastAsia="Palatino Linotype" w:hAnsi="Palatino Linotype" w:cs="Palatino Linotype"/>
        </w:rPr>
      </w:pPr>
    </w:p>
    <w:p w:rsidR="00F87712" w:rsidRPr="002D60E6" w:rsidRDefault="00F87712" w:rsidP="00F87712">
      <w:pPr>
        <w:pBdr>
          <w:top w:val="nil"/>
          <w:left w:val="nil"/>
          <w:bottom w:val="nil"/>
          <w:right w:val="nil"/>
          <w:between w:val="nil"/>
        </w:pBdr>
        <w:spacing w:line="360" w:lineRule="auto"/>
        <w:jc w:val="both"/>
        <w:rPr>
          <w:rFonts w:ascii="Palatino Linotype" w:eastAsia="Palatino Linotype" w:hAnsi="Palatino Linotype" w:cs="Palatino Linotype"/>
        </w:rPr>
      </w:pPr>
    </w:p>
    <w:p w:rsidR="00F72507" w:rsidRPr="002D60E6" w:rsidRDefault="001C4B97">
      <w:pPr>
        <w:keepNext/>
        <w:keepLines/>
        <w:spacing w:line="360" w:lineRule="auto"/>
        <w:jc w:val="center"/>
        <w:rPr>
          <w:rFonts w:ascii="Palatino Linotype" w:eastAsia="Palatino Linotype" w:hAnsi="Palatino Linotype" w:cs="Palatino Linotype"/>
          <w:b/>
          <w:bCs/>
          <w:color w:val="000000"/>
        </w:rPr>
      </w:pPr>
      <w:r w:rsidRPr="002D60E6">
        <w:rPr>
          <w:rFonts w:ascii="Palatino Linotype" w:eastAsia="Palatino Linotype" w:hAnsi="Palatino Linotype" w:cs="Palatino Linotype"/>
          <w:b/>
          <w:bCs/>
          <w:color w:val="000000"/>
        </w:rPr>
        <w:lastRenderedPageBreak/>
        <w:t>R E S O L U T I V O S</w:t>
      </w:r>
    </w:p>
    <w:p w:rsidR="00F72507" w:rsidRPr="002D60E6" w:rsidRDefault="001C4B97">
      <w:pPr>
        <w:spacing w:line="360" w:lineRule="auto"/>
        <w:ind w:right="-929"/>
        <w:jc w:val="both"/>
        <w:rPr>
          <w:rFonts w:ascii="Palatino Linotype" w:eastAsia="Palatino Linotype" w:hAnsi="Palatino Linotype" w:cs="Palatino Linotype"/>
          <w:b/>
          <w:bCs/>
        </w:rPr>
      </w:pPr>
      <w:r w:rsidRPr="002D60E6">
        <w:rPr>
          <w:rFonts w:ascii="Palatino Linotype" w:eastAsia="Palatino Linotype" w:hAnsi="Palatino Linotype" w:cs="Palatino Linotype"/>
          <w:b/>
          <w:bCs/>
        </w:rPr>
        <w:tab/>
      </w:r>
    </w:p>
    <w:p w:rsidR="00F72507" w:rsidRPr="002D60E6" w:rsidRDefault="001C4B97">
      <w:pPr>
        <w:spacing w:line="360" w:lineRule="auto"/>
        <w:jc w:val="both"/>
        <w:rPr>
          <w:rFonts w:ascii="Palatino Linotype" w:eastAsia="Palatino Linotype" w:hAnsi="Palatino Linotype" w:cs="Palatino Linotype"/>
        </w:rPr>
      </w:pPr>
      <w:r w:rsidRPr="002D60E6">
        <w:rPr>
          <w:rFonts w:ascii="Palatino Linotype" w:eastAsia="Palatino Linotype" w:hAnsi="Palatino Linotype" w:cs="Palatino Linotype"/>
          <w:b/>
          <w:bCs/>
        </w:rPr>
        <w:t>PRIMERO</w:t>
      </w:r>
      <w:r w:rsidRPr="002D60E6">
        <w:rPr>
          <w:rFonts w:ascii="Palatino Linotype" w:eastAsia="Palatino Linotype" w:hAnsi="Palatino Linotype" w:cs="Palatino Linotype"/>
        </w:rPr>
        <w:t xml:space="preserve">. Resultan fundadas las razones o motivos de inconformidad hechos valer en el Recurso de Revisión </w:t>
      </w:r>
      <w:r w:rsidR="004A4D37" w:rsidRPr="002D60E6">
        <w:rPr>
          <w:rFonts w:ascii="Palatino Linotype" w:eastAsia="Palatino Linotype" w:hAnsi="Palatino Linotype" w:cs="Palatino Linotype"/>
          <w:b/>
          <w:bCs/>
        </w:rPr>
        <w:t>13898/INFOEM/IP/RR/2025</w:t>
      </w:r>
      <w:r w:rsidRPr="002D60E6">
        <w:rPr>
          <w:rFonts w:ascii="Palatino Linotype" w:eastAsia="Palatino Linotype" w:hAnsi="Palatino Linotype" w:cs="Palatino Linotype"/>
          <w:b/>
          <w:bCs/>
        </w:rPr>
        <w:t xml:space="preserve">, </w:t>
      </w:r>
      <w:r w:rsidRPr="002D60E6">
        <w:rPr>
          <w:rFonts w:ascii="Palatino Linotype" w:eastAsia="Palatino Linotype" w:hAnsi="Palatino Linotype" w:cs="Palatino Linotype"/>
        </w:rPr>
        <w:t xml:space="preserve">en términos de los </w:t>
      </w:r>
      <w:r w:rsidRPr="002D60E6">
        <w:rPr>
          <w:rFonts w:ascii="Palatino Linotype" w:eastAsia="Palatino Linotype" w:hAnsi="Palatino Linotype" w:cs="Palatino Linotype"/>
          <w:b/>
          <w:bCs/>
        </w:rPr>
        <w:t>Considerandos</w:t>
      </w:r>
      <w:r w:rsidRPr="002D60E6">
        <w:rPr>
          <w:rFonts w:ascii="Palatino Linotype" w:eastAsia="Palatino Linotype" w:hAnsi="Palatino Linotype" w:cs="Palatino Linotype"/>
        </w:rPr>
        <w:t xml:space="preserve"> </w:t>
      </w:r>
      <w:r w:rsidRPr="002D60E6">
        <w:rPr>
          <w:rFonts w:ascii="Palatino Linotype" w:eastAsia="Palatino Linotype" w:hAnsi="Palatino Linotype" w:cs="Palatino Linotype"/>
          <w:b/>
          <w:bCs/>
        </w:rPr>
        <w:t xml:space="preserve">Cuarto </w:t>
      </w:r>
      <w:r w:rsidRPr="00A92E55">
        <w:rPr>
          <w:rFonts w:ascii="Palatino Linotype" w:eastAsia="Palatino Linotype" w:hAnsi="Palatino Linotype" w:cs="Palatino Linotype"/>
          <w:bCs/>
        </w:rPr>
        <w:t>y</w:t>
      </w:r>
      <w:r w:rsidRPr="002D60E6">
        <w:rPr>
          <w:rFonts w:ascii="Palatino Linotype" w:eastAsia="Palatino Linotype" w:hAnsi="Palatino Linotype" w:cs="Palatino Linotype"/>
          <w:b/>
          <w:bCs/>
        </w:rPr>
        <w:t xml:space="preserve"> Quinto </w:t>
      </w:r>
      <w:r w:rsidRPr="002D60E6">
        <w:rPr>
          <w:rFonts w:ascii="Palatino Linotype" w:eastAsia="Palatino Linotype" w:hAnsi="Palatino Linotype" w:cs="Palatino Linotype"/>
        </w:rPr>
        <w:t>de la presente Resolución.</w:t>
      </w:r>
    </w:p>
    <w:p w:rsidR="00F72507" w:rsidRPr="002D60E6" w:rsidRDefault="00F72507">
      <w:pPr>
        <w:spacing w:line="360" w:lineRule="auto"/>
        <w:jc w:val="both"/>
        <w:rPr>
          <w:rFonts w:ascii="Palatino Linotype" w:eastAsia="Palatino Linotype" w:hAnsi="Palatino Linotype" w:cs="Palatino Linotype"/>
        </w:rPr>
      </w:pPr>
    </w:p>
    <w:p w:rsidR="00F72507" w:rsidRPr="002D60E6" w:rsidRDefault="001C4B97" w:rsidP="002D60E6">
      <w:pPr>
        <w:spacing w:line="360" w:lineRule="auto"/>
        <w:jc w:val="both"/>
        <w:rPr>
          <w:rFonts w:ascii="Palatino Linotype" w:eastAsia="Palatino Linotype" w:hAnsi="Palatino Linotype" w:cs="Palatino Linotype"/>
        </w:rPr>
      </w:pPr>
      <w:r w:rsidRPr="002D60E6">
        <w:rPr>
          <w:rFonts w:ascii="Palatino Linotype" w:eastAsia="Palatino Linotype" w:hAnsi="Palatino Linotype" w:cs="Palatino Linotype"/>
          <w:b/>
          <w:bCs/>
        </w:rPr>
        <w:t xml:space="preserve">SEGUNDO. </w:t>
      </w:r>
      <w:r w:rsidRPr="002D60E6">
        <w:rPr>
          <w:rFonts w:ascii="Palatino Linotype" w:eastAsia="Palatino Linotype" w:hAnsi="Palatino Linotype" w:cs="Palatino Linotype"/>
          <w:color w:val="000000"/>
        </w:rPr>
        <w:t xml:space="preserve">Se </w:t>
      </w:r>
      <w:r w:rsidRPr="002D60E6">
        <w:rPr>
          <w:rFonts w:ascii="Palatino Linotype" w:eastAsia="Palatino Linotype" w:hAnsi="Palatino Linotype" w:cs="Palatino Linotype"/>
          <w:b/>
          <w:bCs/>
          <w:color w:val="000000"/>
        </w:rPr>
        <w:t xml:space="preserve">REVOCA </w:t>
      </w:r>
      <w:r w:rsidRPr="002D60E6">
        <w:rPr>
          <w:rFonts w:ascii="Palatino Linotype" w:eastAsia="Palatino Linotype" w:hAnsi="Palatino Linotype" w:cs="Palatino Linotype"/>
          <w:color w:val="000000"/>
        </w:rPr>
        <w:t xml:space="preserve">la respuesta emitida por el </w:t>
      </w:r>
      <w:r w:rsidR="00470A9E" w:rsidRPr="002D60E6">
        <w:rPr>
          <w:rFonts w:ascii="Palatino Linotype" w:eastAsia="Palatino Linotype" w:hAnsi="Palatino Linotype" w:cs="Palatino Linotype"/>
          <w:b/>
          <w:bCs/>
          <w:color w:val="000000"/>
        </w:rPr>
        <w:t>Sistema Municipal para el Desarrollo Integral de la Familia de Juchitepec</w:t>
      </w:r>
      <w:r w:rsidRPr="002D60E6">
        <w:rPr>
          <w:rFonts w:ascii="Palatino Linotype" w:eastAsia="Palatino Linotype" w:hAnsi="Palatino Linotype" w:cs="Palatino Linotype"/>
          <w:b/>
          <w:bCs/>
        </w:rPr>
        <w:t>;</w:t>
      </w:r>
      <w:r w:rsidRPr="002D60E6">
        <w:rPr>
          <w:rFonts w:ascii="Palatino Linotype" w:eastAsia="Palatino Linotype" w:hAnsi="Palatino Linotype" w:cs="Palatino Linotype"/>
        </w:rPr>
        <w:t xml:space="preserve"> por lo que</w:t>
      </w:r>
      <w:r w:rsidRPr="002D60E6">
        <w:rPr>
          <w:rFonts w:ascii="Palatino Linotype" w:eastAsia="Palatino Linotype" w:hAnsi="Palatino Linotype" w:cs="Palatino Linotype"/>
          <w:color w:val="000000"/>
        </w:rPr>
        <w:t xml:space="preserve"> se </w:t>
      </w:r>
      <w:r w:rsidRPr="002D60E6">
        <w:rPr>
          <w:rFonts w:ascii="Palatino Linotype" w:eastAsia="Palatino Linotype" w:hAnsi="Palatino Linotype" w:cs="Palatino Linotype"/>
          <w:b/>
          <w:bCs/>
          <w:color w:val="000000"/>
        </w:rPr>
        <w:t>ORDENA</w:t>
      </w:r>
      <w:r w:rsidRPr="002D60E6">
        <w:rPr>
          <w:rFonts w:ascii="Palatino Linotype" w:eastAsia="Palatino Linotype" w:hAnsi="Palatino Linotype" w:cs="Palatino Linotype"/>
          <w:color w:val="000000"/>
        </w:rPr>
        <w:t xml:space="preserve"> entregar vía Sistema de Acceso a la Información Mexiquense (</w:t>
      </w:r>
      <w:r w:rsidRPr="002D60E6">
        <w:rPr>
          <w:rFonts w:ascii="Palatino Linotype" w:eastAsia="Palatino Linotype" w:hAnsi="Palatino Linotype" w:cs="Palatino Linotype"/>
          <w:b/>
          <w:bCs/>
          <w:color w:val="000000"/>
        </w:rPr>
        <w:t>SAIMEX</w:t>
      </w:r>
      <w:r w:rsidRPr="002D60E6">
        <w:rPr>
          <w:rFonts w:ascii="Palatino Linotype" w:eastAsia="Palatino Linotype" w:hAnsi="Palatino Linotype" w:cs="Palatino Linotype"/>
          <w:color w:val="000000"/>
        </w:rPr>
        <w:t>), la siguiente información en versión pública</w:t>
      </w:r>
      <w:r w:rsidRPr="002D60E6">
        <w:rPr>
          <w:rFonts w:ascii="Palatino Linotype" w:eastAsia="Palatino Linotype" w:hAnsi="Palatino Linotype" w:cs="Palatino Linotype"/>
        </w:rPr>
        <w:t>:</w:t>
      </w:r>
    </w:p>
    <w:p w:rsidR="00F72507" w:rsidRPr="002D60E6" w:rsidRDefault="00F72507" w:rsidP="002D60E6">
      <w:pPr>
        <w:spacing w:line="360" w:lineRule="auto"/>
        <w:jc w:val="both"/>
        <w:rPr>
          <w:rFonts w:ascii="Palatino Linotype" w:eastAsia="Palatino Linotype" w:hAnsi="Palatino Linotype" w:cs="Palatino Linotype"/>
        </w:rPr>
      </w:pPr>
    </w:p>
    <w:p w:rsidR="002D60E6" w:rsidRPr="002D60E6" w:rsidRDefault="002D60E6" w:rsidP="00A92E55">
      <w:pPr>
        <w:pStyle w:val="Prrafodelista"/>
        <w:numPr>
          <w:ilvl w:val="0"/>
          <w:numId w:val="1"/>
        </w:numPr>
        <w:autoSpaceDE w:val="0"/>
        <w:autoSpaceDN w:val="0"/>
        <w:adjustRightInd w:val="0"/>
        <w:spacing w:line="360" w:lineRule="auto"/>
        <w:ind w:right="426"/>
        <w:jc w:val="both"/>
        <w:rPr>
          <w:rFonts w:ascii="Palatino Linotype" w:hAnsi="Palatino Linotype" w:cs="Consolas"/>
          <w:b/>
          <w:color w:val="000000"/>
          <w:lang w:val="es-MX"/>
        </w:rPr>
      </w:pPr>
      <w:r w:rsidRPr="002D60E6">
        <w:rPr>
          <w:rFonts w:ascii="Palatino Linotype" w:hAnsi="Palatino Linotype" w:cs="Consolas"/>
          <w:b/>
          <w:color w:val="000000"/>
          <w:lang w:val="es-MX"/>
        </w:rPr>
        <w:t>Contratos celebrados y facturas pagadas</w:t>
      </w:r>
      <w:r>
        <w:rPr>
          <w:rFonts w:ascii="Palatino Linotype" w:hAnsi="Palatino Linotype" w:cs="Consolas"/>
          <w:b/>
          <w:color w:val="000000"/>
          <w:lang w:val="es-MX"/>
        </w:rPr>
        <w:t xml:space="preserve"> al 31 de octubre de 2025,</w:t>
      </w:r>
      <w:r w:rsidRPr="002D60E6">
        <w:rPr>
          <w:rFonts w:ascii="Palatino Linotype" w:hAnsi="Palatino Linotype" w:cs="Consolas"/>
          <w:b/>
          <w:color w:val="000000"/>
          <w:lang w:val="es-MX"/>
        </w:rPr>
        <w:t xml:space="preserve"> relacionadas con </w:t>
      </w:r>
      <w:r>
        <w:rPr>
          <w:rFonts w:ascii="Palatino Linotype" w:hAnsi="Palatino Linotype" w:cs="Consolas"/>
          <w:b/>
          <w:color w:val="000000"/>
          <w:lang w:val="es-MX"/>
        </w:rPr>
        <w:t>la celebración del día del adulto mayor de fecha 28 de agosto de 2025</w:t>
      </w:r>
      <w:r w:rsidRPr="002D60E6">
        <w:rPr>
          <w:rFonts w:ascii="Palatino Linotype" w:hAnsi="Palatino Linotype" w:cs="Consolas"/>
          <w:b/>
          <w:color w:val="000000"/>
          <w:lang w:val="es-MX"/>
        </w:rPr>
        <w:t>.</w:t>
      </w:r>
    </w:p>
    <w:p w:rsidR="00F72507" w:rsidRPr="002D60E6" w:rsidRDefault="001C4B97" w:rsidP="002D60E6">
      <w:pPr>
        <w:pBdr>
          <w:top w:val="nil"/>
          <w:left w:val="nil"/>
          <w:bottom w:val="nil"/>
          <w:right w:val="nil"/>
          <w:between w:val="nil"/>
        </w:pBdr>
        <w:spacing w:line="360" w:lineRule="auto"/>
        <w:ind w:left="778" w:right="709"/>
        <w:jc w:val="both"/>
        <w:rPr>
          <w:rFonts w:ascii="Palatino Linotype" w:eastAsia="Palatino Linotype" w:hAnsi="Palatino Linotype" w:cs="Palatino Linotype"/>
          <w:b/>
          <w:bCs/>
          <w:color w:val="000000"/>
        </w:rPr>
      </w:pPr>
      <w:r w:rsidRPr="002D60E6">
        <w:rPr>
          <w:rFonts w:ascii="Palatino Linotype" w:eastAsia="Palatino Linotype" w:hAnsi="Palatino Linotype" w:cs="Palatino Linotype"/>
          <w:b/>
          <w:bCs/>
          <w:color w:val="000000"/>
        </w:rPr>
        <w:t xml:space="preserve"> </w:t>
      </w:r>
    </w:p>
    <w:p w:rsidR="00F72507" w:rsidRPr="002D60E6" w:rsidRDefault="001C4B97" w:rsidP="002D60E6">
      <w:pPr>
        <w:spacing w:line="360" w:lineRule="auto"/>
        <w:jc w:val="both"/>
        <w:rPr>
          <w:rFonts w:ascii="Palatino Linotype" w:eastAsia="Palatino Linotype" w:hAnsi="Palatino Linotype" w:cs="Palatino Linotype"/>
        </w:rPr>
      </w:pPr>
      <w:r w:rsidRPr="002D60E6">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F72507" w:rsidRPr="002D60E6" w:rsidRDefault="00F72507">
      <w:pPr>
        <w:spacing w:line="360" w:lineRule="auto"/>
        <w:jc w:val="both"/>
        <w:rPr>
          <w:rFonts w:ascii="Palatino Linotype" w:eastAsia="Palatino Linotype" w:hAnsi="Palatino Linotype" w:cs="Palatino Linotype"/>
        </w:rPr>
      </w:pPr>
    </w:p>
    <w:p w:rsidR="00F72507" w:rsidRPr="002D60E6" w:rsidRDefault="001C4B97">
      <w:pPr>
        <w:spacing w:line="360" w:lineRule="auto"/>
        <w:ind w:right="51"/>
        <w:jc w:val="both"/>
        <w:rPr>
          <w:rFonts w:ascii="Palatino Linotype" w:eastAsia="Palatino Linotype" w:hAnsi="Palatino Linotype" w:cs="Palatino Linotype"/>
        </w:rPr>
      </w:pPr>
      <w:r w:rsidRPr="002D60E6">
        <w:rPr>
          <w:rFonts w:ascii="Palatino Linotype" w:eastAsia="Palatino Linotype" w:hAnsi="Palatino Linotype" w:cs="Palatino Linotype"/>
          <w:b/>
          <w:bCs/>
        </w:rPr>
        <w:t xml:space="preserve">TERCERO. Notifíquese </w:t>
      </w:r>
      <w:r w:rsidRPr="002D60E6">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w:t>
      </w:r>
      <w:r w:rsidRPr="002D60E6">
        <w:rPr>
          <w:rFonts w:ascii="Palatino Linotype" w:eastAsia="Palatino Linotype" w:hAnsi="Palatino Linotype" w:cs="Palatino Linotype"/>
        </w:rPr>
        <w:lastRenderedPageBreak/>
        <w:t xml:space="preserve">México y Municipios; </w:t>
      </w:r>
      <w:r w:rsidRPr="002D60E6">
        <w:rPr>
          <w:rFonts w:ascii="Palatino Linotype" w:eastAsia="Palatino Linotype" w:hAnsi="Palatino Linotype" w:cs="Palatino Linotype"/>
          <w:b/>
          <w:bCs/>
        </w:rPr>
        <w:t>dé cumplimiento a lo ordenado dentro del plazo de diez días hábiles,</w:t>
      </w:r>
      <w:r w:rsidRPr="002D60E6">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72507" w:rsidRPr="002D60E6" w:rsidRDefault="00F72507">
      <w:pPr>
        <w:spacing w:line="360" w:lineRule="auto"/>
        <w:ind w:right="51"/>
        <w:jc w:val="both"/>
        <w:rPr>
          <w:rFonts w:ascii="Palatino Linotype" w:eastAsia="Palatino Linotype" w:hAnsi="Palatino Linotype" w:cs="Palatino Linotype"/>
        </w:rPr>
      </w:pPr>
    </w:p>
    <w:p w:rsidR="00F72507" w:rsidRPr="002D60E6" w:rsidRDefault="001C4B97">
      <w:pPr>
        <w:spacing w:line="360" w:lineRule="auto"/>
        <w:ind w:right="51"/>
        <w:jc w:val="both"/>
        <w:rPr>
          <w:rFonts w:ascii="Palatino Linotype" w:eastAsia="Palatino Linotype" w:hAnsi="Palatino Linotype" w:cs="Palatino Linotype"/>
        </w:rPr>
      </w:pPr>
      <w:r w:rsidRPr="002D60E6">
        <w:rPr>
          <w:rFonts w:ascii="Palatino Linotype" w:eastAsia="Palatino Linotype" w:hAnsi="Palatino Linotype" w:cs="Palatino Linotype"/>
          <w:b/>
          <w:bCs/>
        </w:rPr>
        <w:t xml:space="preserve">CUARTO. </w:t>
      </w:r>
      <w:r w:rsidRPr="002D60E6">
        <w:rPr>
          <w:rFonts w:ascii="Palatino Linotype" w:eastAsia="Palatino Linotype" w:hAnsi="Palatino Linotype" w:cs="Palatino Linotype"/>
        </w:rPr>
        <w:t>De conformidad con el artículo 198</w:t>
      </w:r>
      <w:r w:rsidR="00A1327F">
        <w:rPr>
          <w:rFonts w:ascii="Palatino Linotype" w:eastAsia="Palatino Linotype" w:hAnsi="Palatino Linotype" w:cs="Palatino Linotype"/>
        </w:rPr>
        <w:t>,</w:t>
      </w:r>
      <w:r w:rsidRPr="002D60E6">
        <w:rPr>
          <w:rFonts w:ascii="Palatino Linotype" w:eastAsia="Palatino Linotype" w:hAnsi="Palatino Linotype" w:cs="Palatino Linotype"/>
        </w:rPr>
        <w:t xml:space="preserve"> de la Ley de Transparencia y Acceso a la Información Pública del Estado de México y Municipios, de considerarlo procedente, el </w:t>
      </w:r>
      <w:r w:rsidRPr="002D60E6">
        <w:rPr>
          <w:rFonts w:ascii="Palatino Linotype" w:eastAsia="Palatino Linotype" w:hAnsi="Palatino Linotype" w:cs="Palatino Linotype"/>
          <w:b/>
          <w:bCs/>
        </w:rPr>
        <w:t>SUJETO OBLIGADO</w:t>
      </w:r>
      <w:r w:rsidRPr="002D60E6">
        <w:rPr>
          <w:rFonts w:ascii="Palatino Linotype" w:eastAsia="Palatino Linotype" w:hAnsi="Palatino Linotype" w:cs="Palatino Linotype"/>
        </w:rPr>
        <w:t xml:space="preserve"> de manera fundada y motivada, podrá solicitar una ampliación de plazo para el cumplimiento de la presente Resolución.</w:t>
      </w:r>
    </w:p>
    <w:p w:rsidR="00F72507" w:rsidRPr="002D60E6" w:rsidRDefault="00F72507">
      <w:pPr>
        <w:spacing w:line="360" w:lineRule="auto"/>
        <w:ind w:right="51"/>
        <w:jc w:val="both"/>
        <w:rPr>
          <w:rFonts w:ascii="Palatino Linotype" w:eastAsia="Palatino Linotype" w:hAnsi="Palatino Linotype" w:cs="Palatino Linotype"/>
        </w:rPr>
      </w:pPr>
    </w:p>
    <w:p w:rsidR="00F72507" w:rsidRPr="002D60E6" w:rsidRDefault="001C4B97">
      <w:pPr>
        <w:tabs>
          <w:tab w:val="left" w:pos="8080"/>
        </w:tabs>
        <w:spacing w:line="360" w:lineRule="auto"/>
        <w:ind w:right="51"/>
        <w:jc w:val="both"/>
        <w:rPr>
          <w:rFonts w:ascii="Palatino Linotype" w:eastAsia="Palatino Linotype" w:hAnsi="Palatino Linotype" w:cs="Palatino Linotype"/>
        </w:rPr>
      </w:pPr>
      <w:bookmarkStart w:id="9" w:name="_heading=h.lnxbz9" w:colFirst="0" w:colLast="0"/>
      <w:bookmarkEnd w:id="9"/>
      <w:r w:rsidRPr="002D60E6">
        <w:rPr>
          <w:rFonts w:ascii="Palatino Linotype" w:eastAsia="Palatino Linotype" w:hAnsi="Palatino Linotype" w:cs="Palatino Linotype"/>
          <w:b/>
          <w:bCs/>
        </w:rPr>
        <w:t xml:space="preserve">QUINTO. </w:t>
      </w:r>
      <w:r w:rsidRPr="002D60E6">
        <w:rPr>
          <w:rFonts w:ascii="Palatino Linotype" w:eastAsia="Palatino Linotype" w:hAnsi="Palatino Linotype" w:cs="Palatino Linotype"/>
        </w:rPr>
        <w:t xml:space="preserve">Notifíquese al </w:t>
      </w:r>
      <w:r w:rsidRPr="002D60E6">
        <w:rPr>
          <w:rFonts w:ascii="Palatino Linotype" w:eastAsia="Palatino Linotype" w:hAnsi="Palatino Linotype" w:cs="Palatino Linotype"/>
          <w:b/>
          <w:bCs/>
        </w:rPr>
        <w:t>RECURRENTE</w:t>
      </w:r>
      <w:r w:rsidRPr="002D60E6">
        <w:rPr>
          <w:rFonts w:ascii="Palatino Linotype" w:eastAsia="Palatino Linotype" w:hAnsi="Palatino Linotype" w:cs="Palatino Linotype"/>
        </w:rPr>
        <w:t xml:space="preserve"> la presente Resolución, vía </w:t>
      </w:r>
      <w:r w:rsidRPr="002D60E6">
        <w:rPr>
          <w:rFonts w:ascii="Palatino Linotype" w:eastAsia="Palatino Linotype" w:hAnsi="Palatino Linotype" w:cs="Palatino Linotype"/>
          <w:b/>
          <w:bCs/>
        </w:rPr>
        <w:t>SAIMEX</w:t>
      </w:r>
      <w:r w:rsidRPr="002D60E6">
        <w:rPr>
          <w:rFonts w:ascii="Palatino Linotype" w:eastAsia="Palatino Linotype" w:hAnsi="Palatino Linotype" w:cs="Palatino Linotype"/>
        </w:rPr>
        <w:t>.</w:t>
      </w:r>
    </w:p>
    <w:p w:rsidR="00F72507" w:rsidRPr="002D60E6" w:rsidRDefault="001C4B97">
      <w:pPr>
        <w:shd w:val="clear" w:color="auto" w:fill="FFFFFF"/>
        <w:spacing w:line="360" w:lineRule="auto"/>
        <w:ind w:right="51"/>
        <w:jc w:val="both"/>
        <w:rPr>
          <w:rFonts w:ascii="Palatino Linotype" w:eastAsia="Palatino Linotype" w:hAnsi="Palatino Linotype" w:cs="Palatino Linotype"/>
        </w:rPr>
      </w:pPr>
      <w:r w:rsidRPr="002D60E6">
        <w:rPr>
          <w:rFonts w:ascii="Palatino Linotype" w:eastAsia="Palatino Linotype" w:hAnsi="Palatino Linotype" w:cs="Palatino Linotype"/>
          <w:b/>
          <w:bCs/>
        </w:rPr>
        <w:t xml:space="preserve">SEXTO. </w:t>
      </w:r>
      <w:r w:rsidRPr="002D60E6">
        <w:rPr>
          <w:rFonts w:ascii="Palatino Linotype" w:eastAsia="Palatino Linotype" w:hAnsi="Palatino Linotype" w:cs="Palatino Linotype"/>
        </w:rPr>
        <w:t>Se hace del conocimiento del</w:t>
      </w:r>
      <w:r w:rsidRPr="002D60E6">
        <w:rPr>
          <w:rFonts w:ascii="Palatino Linotype" w:eastAsia="Palatino Linotype" w:hAnsi="Palatino Linotype" w:cs="Palatino Linotype"/>
          <w:b/>
          <w:bCs/>
        </w:rPr>
        <w:t xml:space="preserve"> RECURRENTE </w:t>
      </w:r>
      <w:r w:rsidRPr="002D60E6">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F72507" w:rsidRPr="002D60E6" w:rsidRDefault="00F72507">
      <w:pPr>
        <w:spacing w:line="360" w:lineRule="auto"/>
        <w:jc w:val="both"/>
        <w:rPr>
          <w:rFonts w:ascii="Palatino Linotype" w:eastAsia="Palatino Linotype" w:hAnsi="Palatino Linotype" w:cs="Palatino Linotype"/>
          <w:color w:val="000000"/>
        </w:rPr>
      </w:pPr>
    </w:p>
    <w:p w:rsidR="00A1327F" w:rsidRDefault="00A1327F" w:rsidP="00A1327F">
      <w:pPr>
        <w:spacing w:before="240" w:after="240" w:line="360" w:lineRule="auto"/>
        <w:ind w:firstLine="1"/>
        <w:jc w:val="both"/>
        <w:rPr>
          <w:rFonts w:ascii="Palatino Linotype" w:hAnsi="Palatino Linotype"/>
        </w:rPr>
      </w:pPr>
      <w:bookmarkStart w:id="10" w:name="_Hlk99014733"/>
      <w:r>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Pr>
          <w:rFonts w:ascii="Palatino Linotype" w:hAnsi="Palatino Linotype" w:cs="Palatino Linotype"/>
        </w:rPr>
        <w:lastRenderedPageBreak/>
        <w:t xml:space="preserve">GUADALUPE RAMÍREZ PEÑA; EN LA QUINTA SESIÓN ORDINARIA, CELEBRADA EL ONCE (11) DE FEBRERO DE DOS MIL VEINTISÉIS, ANTE EL SECRETARIO TÉCNICO DEL PLENO </w:t>
      </w:r>
      <w:r w:rsidRPr="008304B6">
        <w:rPr>
          <w:rFonts w:ascii="Palatino Linotype" w:hAnsi="Palatino Linotype" w:cs="Palatino Linotype"/>
          <w:color w:val="000000" w:themeColor="text1"/>
        </w:rPr>
        <w:t>ALEXIS TAPIA RAMÍREZ.</w:t>
      </w:r>
    </w:p>
    <w:bookmarkEnd w:id="10"/>
    <w:p w:rsidR="00F72507" w:rsidRPr="002D60E6" w:rsidRDefault="00F72507">
      <w:pPr>
        <w:spacing w:line="360" w:lineRule="auto"/>
        <w:jc w:val="both"/>
        <w:rPr>
          <w:rFonts w:ascii="Palatino Linotype" w:eastAsia="Palatino Linotype" w:hAnsi="Palatino Linotype" w:cs="Palatino Linotype"/>
        </w:rPr>
      </w:pPr>
    </w:p>
    <w:p w:rsidR="00F72507" w:rsidRPr="002D60E6" w:rsidRDefault="00F72507">
      <w:pPr>
        <w:spacing w:line="360" w:lineRule="auto"/>
        <w:jc w:val="both"/>
        <w:rPr>
          <w:rFonts w:ascii="Palatino Linotype" w:eastAsia="Palatino Linotype" w:hAnsi="Palatino Linotype" w:cs="Palatino Linotype"/>
        </w:rPr>
      </w:pPr>
    </w:p>
    <w:p w:rsidR="00F72507" w:rsidRPr="002D60E6" w:rsidRDefault="00F72507">
      <w:pPr>
        <w:spacing w:line="360" w:lineRule="auto"/>
        <w:jc w:val="both"/>
        <w:rPr>
          <w:rFonts w:ascii="Palatino Linotype" w:eastAsia="Palatino Linotype" w:hAnsi="Palatino Linotype" w:cs="Palatino Linotype"/>
        </w:rPr>
      </w:pPr>
    </w:p>
    <w:p w:rsidR="00F72507" w:rsidRPr="002D60E6" w:rsidRDefault="00F72507">
      <w:pPr>
        <w:spacing w:line="360" w:lineRule="auto"/>
        <w:jc w:val="both"/>
        <w:rPr>
          <w:rFonts w:ascii="Palatino Linotype" w:eastAsia="Palatino Linotype" w:hAnsi="Palatino Linotype" w:cs="Palatino Linotype"/>
        </w:rPr>
      </w:pPr>
    </w:p>
    <w:p w:rsidR="00F72507" w:rsidRPr="002D60E6" w:rsidRDefault="00F72507">
      <w:pPr>
        <w:spacing w:line="360" w:lineRule="auto"/>
        <w:jc w:val="both"/>
        <w:rPr>
          <w:rFonts w:ascii="Palatino Linotype" w:eastAsia="Palatino Linotype" w:hAnsi="Palatino Linotype" w:cs="Palatino Linotype"/>
        </w:rPr>
      </w:pPr>
    </w:p>
    <w:p w:rsidR="00F72507" w:rsidRPr="002D60E6" w:rsidRDefault="00F72507">
      <w:pPr>
        <w:spacing w:line="360" w:lineRule="auto"/>
        <w:jc w:val="both"/>
        <w:rPr>
          <w:rFonts w:ascii="Palatino Linotype" w:eastAsia="Palatino Linotype" w:hAnsi="Palatino Linotype" w:cs="Palatino Linotype"/>
        </w:rPr>
      </w:pPr>
    </w:p>
    <w:p w:rsidR="00F72507" w:rsidRPr="002D60E6" w:rsidRDefault="00F72507">
      <w:pPr>
        <w:spacing w:line="360" w:lineRule="auto"/>
        <w:rPr>
          <w:rFonts w:ascii="Palatino Linotype" w:eastAsia="Palatino Linotype" w:hAnsi="Palatino Linotype" w:cs="Palatino Linotype"/>
        </w:rPr>
      </w:pPr>
    </w:p>
    <w:p w:rsidR="00F72507" w:rsidRPr="002D60E6" w:rsidRDefault="00F72507">
      <w:pPr>
        <w:spacing w:line="360" w:lineRule="auto"/>
        <w:rPr>
          <w:rFonts w:ascii="Palatino Linotype" w:eastAsia="Palatino Linotype" w:hAnsi="Palatino Linotype" w:cs="Palatino Linotype"/>
        </w:rPr>
      </w:pPr>
    </w:p>
    <w:p w:rsidR="00F72507" w:rsidRPr="002D60E6" w:rsidRDefault="00F72507">
      <w:pPr>
        <w:spacing w:line="360" w:lineRule="auto"/>
        <w:rPr>
          <w:rFonts w:ascii="Palatino Linotype" w:eastAsia="Palatino Linotype" w:hAnsi="Palatino Linotype" w:cs="Palatino Linotype"/>
        </w:rPr>
      </w:pPr>
    </w:p>
    <w:p w:rsidR="00F72507" w:rsidRPr="002D60E6" w:rsidRDefault="00F72507">
      <w:pPr>
        <w:spacing w:line="360" w:lineRule="auto"/>
        <w:rPr>
          <w:rFonts w:ascii="Palatino Linotype" w:eastAsia="Palatino Linotype" w:hAnsi="Palatino Linotype" w:cs="Palatino Linotype"/>
        </w:rPr>
      </w:pPr>
    </w:p>
    <w:p w:rsidR="00F72507" w:rsidRPr="002D60E6" w:rsidRDefault="00F72507">
      <w:pPr>
        <w:spacing w:line="360" w:lineRule="auto"/>
        <w:rPr>
          <w:rFonts w:ascii="Palatino Linotype" w:eastAsia="Palatino Linotype" w:hAnsi="Palatino Linotype" w:cs="Palatino Linotype"/>
        </w:rPr>
      </w:pPr>
    </w:p>
    <w:p w:rsidR="00F72507" w:rsidRPr="002D60E6" w:rsidRDefault="00F72507">
      <w:pPr>
        <w:spacing w:line="360" w:lineRule="auto"/>
        <w:rPr>
          <w:rFonts w:ascii="Palatino Linotype" w:eastAsia="Palatino Linotype" w:hAnsi="Palatino Linotype" w:cs="Palatino Linotype"/>
        </w:rPr>
      </w:pPr>
    </w:p>
    <w:p w:rsidR="00F72507" w:rsidRPr="002D60E6" w:rsidRDefault="00F72507">
      <w:pPr>
        <w:spacing w:line="360" w:lineRule="auto"/>
        <w:rPr>
          <w:rFonts w:ascii="Palatino Linotype" w:eastAsia="Palatino Linotype" w:hAnsi="Palatino Linotype" w:cs="Palatino Linotype"/>
        </w:rPr>
      </w:pPr>
    </w:p>
    <w:p w:rsidR="00F72507" w:rsidRPr="002D60E6" w:rsidRDefault="001C4B97">
      <w:pPr>
        <w:tabs>
          <w:tab w:val="left" w:pos="3374"/>
        </w:tabs>
        <w:spacing w:line="360" w:lineRule="auto"/>
        <w:rPr>
          <w:rFonts w:ascii="Palatino Linotype" w:eastAsia="Palatino Linotype" w:hAnsi="Palatino Linotype" w:cs="Palatino Linotype"/>
        </w:rPr>
      </w:pPr>
      <w:r w:rsidRPr="002D60E6">
        <w:rPr>
          <w:rFonts w:ascii="Palatino Linotype" w:eastAsia="Palatino Linotype" w:hAnsi="Palatino Linotype" w:cs="Palatino Linotype"/>
        </w:rPr>
        <w:tab/>
      </w:r>
    </w:p>
    <w:p w:rsidR="00F72507" w:rsidRPr="002D60E6" w:rsidRDefault="00F72507">
      <w:pPr>
        <w:tabs>
          <w:tab w:val="left" w:pos="3374"/>
        </w:tabs>
        <w:spacing w:line="360" w:lineRule="auto"/>
        <w:rPr>
          <w:rFonts w:ascii="Palatino Linotype" w:eastAsia="Palatino Linotype" w:hAnsi="Palatino Linotype" w:cs="Palatino Linotype"/>
        </w:rPr>
      </w:pPr>
    </w:p>
    <w:p w:rsidR="00F72507" w:rsidRPr="002D60E6" w:rsidRDefault="00F72507">
      <w:pPr>
        <w:tabs>
          <w:tab w:val="left" w:pos="3374"/>
        </w:tabs>
        <w:spacing w:line="360" w:lineRule="auto"/>
        <w:rPr>
          <w:rFonts w:ascii="Palatino Linotype" w:eastAsia="Palatino Linotype" w:hAnsi="Palatino Linotype" w:cs="Palatino Linotype"/>
        </w:rPr>
      </w:pPr>
    </w:p>
    <w:p w:rsidR="00F72507" w:rsidRPr="002D60E6" w:rsidRDefault="00F72507">
      <w:pPr>
        <w:tabs>
          <w:tab w:val="left" w:pos="3374"/>
        </w:tabs>
        <w:spacing w:line="360" w:lineRule="auto"/>
        <w:rPr>
          <w:rFonts w:ascii="Palatino Linotype" w:eastAsia="Palatino Linotype" w:hAnsi="Palatino Linotype" w:cs="Palatino Linotype"/>
        </w:rPr>
      </w:pPr>
    </w:p>
    <w:p w:rsidR="00F72507" w:rsidRPr="002D60E6" w:rsidRDefault="00F72507">
      <w:pPr>
        <w:tabs>
          <w:tab w:val="left" w:pos="3374"/>
        </w:tabs>
        <w:spacing w:line="360" w:lineRule="auto"/>
        <w:rPr>
          <w:rFonts w:ascii="Palatino Linotype" w:eastAsia="Palatino Linotype" w:hAnsi="Palatino Linotype" w:cs="Palatino Linotype"/>
        </w:rPr>
      </w:pPr>
    </w:p>
    <w:p w:rsidR="00F72507" w:rsidRPr="002D60E6" w:rsidRDefault="00F72507">
      <w:pPr>
        <w:tabs>
          <w:tab w:val="left" w:pos="3374"/>
        </w:tabs>
        <w:spacing w:line="360" w:lineRule="auto"/>
        <w:rPr>
          <w:rFonts w:ascii="Palatino Linotype" w:eastAsia="Palatino Linotype" w:hAnsi="Palatino Linotype" w:cs="Palatino Linotype"/>
        </w:rPr>
      </w:pPr>
    </w:p>
    <w:p w:rsidR="00F72507" w:rsidRPr="002D60E6" w:rsidRDefault="00F72507">
      <w:pPr>
        <w:tabs>
          <w:tab w:val="left" w:pos="3374"/>
        </w:tabs>
        <w:spacing w:line="360" w:lineRule="auto"/>
        <w:rPr>
          <w:rFonts w:ascii="Palatino Linotype" w:eastAsia="Palatino Linotype" w:hAnsi="Palatino Linotype" w:cs="Palatino Linotype"/>
        </w:rPr>
      </w:pPr>
    </w:p>
    <w:p w:rsidR="00F72507" w:rsidRPr="002D60E6" w:rsidRDefault="00F72507">
      <w:pPr>
        <w:tabs>
          <w:tab w:val="left" w:pos="3374"/>
        </w:tabs>
        <w:spacing w:line="360" w:lineRule="auto"/>
        <w:rPr>
          <w:rFonts w:ascii="Palatino Linotype" w:eastAsia="Palatino Linotype" w:hAnsi="Palatino Linotype" w:cs="Palatino Linotype"/>
        </w:rPr>
      </w:pPr>
    </w:p>
    <w:p w:rsidR="00F72507" w:rsidRPr="002D60E6" w:rsidRDefault="00F72507">
      <w:pPr>
        <w:tabs>
          <w:tab w:val="left" w:pos="3374"/>
        </w:tabs>
        <w:spacing w:line="360" w:lineRule="auto"/>
        <w:rPr>
          <w:rFonts w:ascii="Palatino Linotype" w:eastAsia="Palatino Linotype" w:hAnsi="Palatino Linotype" w:cs="Palatino Linotype"/>
        </w:rPr>
      </w:pPr>
    </w:p>
    <w:p w:rsidR="00F72507" w:rsidRPr="002D60E6" w:rsidRDefault="00F72507">
      <w:pPr>
        <w:tabs>
          <w:tab w:val="left" w:pos="3374"/>
        </w:tabs>
        <w:spacing w:line="360" w:lineRule="auto"/>
        <w:rPr>
          <w:rFonts w:ascii="Palatino Linotype" w:eastAsia="Palatino Linotype" w:hAnsi="Palatino Linotype" w:cs="Palatino Linotype"/>
        </w:rPr>
      </w:pPr>
    </w:p>
    <w:p w:rsidR="00F72507" w:rsidRPr="002D60E6" w:rsidRDefault="00F72507">
      <w:pPr>
        <w:tabs>
          <w:tab w:val="left" w:pos="3374"/>
        </w:tabs>
        <w:spacing w:line="360" w:lineRule="auto"/>
        <w:rPr>
          <w:rFonts w:ascii="Palatino Linotype" w:eastAsia="Palatino Linotype" w:hAnsi="Palatino Linotype" w:cs="Palatino Linotype"/>
        </w:rPr>
      </w:pPr>
    </w:p>
    <w:p w:rsidR="00F72507" w:rsidRPr="002D60E6" w:rsidRDefault="00F72507">
      <w:pPr>
        <w:tabs>
          <w:tab w:val="left" w:pos="3374"/>
        </w:tabs>
        <w:spacing w:line="360" w:lineRule="auto"/>
        <w:rPr>
          <w:rFonts w:ascii="Palatino Linotype" w:eastAsia="Palatino Linotype" w:hAnsi="Palatino Linotype" w:cs="Palatino Linotype"/>
        </w:rPr>
      </w:pPr>
    </w:p>
    <w:p w:rsidR="00F72507" w:rsidRPr="002D60E6" w:rsidRDefault="00F72507">
      <w:pPr>
        <w:tabs>
          <w:tab w:val="left" w:pos="3374"/>
        </w:tabs>
        <w:spacing w:line="360" w:lineRule="auto"/>
        <w:rPr>
          <w:rFonts w:ascii="Palatino Linotype" w:eastAsia="Palatino Linotype" w:hAnsi="Palatino Linotype" w:cs="Palatino Linotype"/>
        </w:rPr>
      </w:pPr>
    </w:p>
    <w:p w:rsidR="00F72507" w:rsidRPr="002D60E6" w:rsidRDefault="00F72507">
      <w:pPr>
        <w:tabs>
          <w:tab w:val="left" w:pos="3374"/>
        </w:tabs>
        <w:spacing w:line="360" w:lineRule="auto"/>
        <w:rPr>
          <w:rFonts w:ascii="Palatino Linotype" w:eastAsia="Palatino Linotype" w:hAnsi="Palatino Linotype" w:cs="Palatino Linotype"/>
        </w:rPr>
      </w:pPr>
    </w:p>
    <w:p w:rsidR="00987A13" w:rsidRPr="002D60E6" w:rsidRDefault="00987A13">
      <w:pPr>
        <w:spacing w:line="360" w:lineRule="auto"/>
        <w:rPr>
          <w:rFonts w:ascii="Palatino Linotype" w:eastAsia="Palatino Linotype" w:hAnsi="Palatino Linotype" w:cs="Palatino Linotype"/>
        </w:rPr>
      </w:pPr>
    </w:p>
    <w:sectPr w:rsidR="00987A13" w:rsidRPr="002D60E6" w:rsidSect="00F87712">
      <w:headerReference w:type="even" r:id="rId9"/>
      <w:headerReference w:type="default" r:id="rId10"/>
      <w:footerReference w:type="default" r:id="rId11"/>
      <w:headerReference w:type="first" r:id="rId12"/>
      <w:footerReference w:type="first" r:id="rId13"/>
      <w:pgSz w:w="12240" w:h="15840"/>
      <w:pgMar w:top="2552"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D42" w:rsidRDefault="001F3D42">
      <w:r>
        <w:separator/>
      </w:r>
    </w:p>
  </w:endnote>
  <w:endnote w:type="continuationSeparator" w:id="0">
    <w:p w:rsidR="001F3D42" w:rsidRDefault="001F3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8D3AF4B6-A279-44EE-944E-A5D0233F88DC}"/>
    <w:embedBold r:id="rId2" w:fontKey="{89FFA1EF-775A-4327-AC35-B1D88968E27E}"/>
    <w:embedItalic r:id="rId3" w:fontKey="{8E8EEEA5-15AE-478C-BFC4-A50AC5B8A909}"/>
    <w:embedBoldItalic r:id="rId4" w:fontKey="{936AD79B-1058-4392-8584-CD60908187D9}"/>
  </w:font>
  <w:font w:name="Noto Sans Symbols">
    <w:altName w:val="Times New Roman"/>
    <w:charset w:val="00"/>
    <w:family w:val="auto"/>
    <w:pitch w:val="default"/>
    <w:embedRegular r:id="rId5" w:fontKey="{BDC236D4-2DB1-4CA0-AD60-C67A040CFF3D}"/>
  </w:font>
  <w:font w:name="Calibri">
    <w:panose1 w:val="020F0502020204030204"/>
    <w:charset w:val="00"/>
    <w:family w:val="swiss"/>
    <w:pitch w:val="variable"/>
    <w:sig w:usb0="E4002EFF" w:usb1="C200247B" w:usb2="00000009" w:usb3="00000000" w:csb0="000001FF" w:csb1="00000000"/>
    <w:embedRegular r:id="rId6" w:fontKey="{1AF487F0-5A1B-454F-A3EF-F9052A021E23}"/>
    <w:embedBold r:id="rId7" w:fontKey="{D6170D4E-5A64-47C3-AE3C-8ED67A5C745F}"/>
    <w:embedItalic r:id="rId8" w:fontKey="{48F7571A-5C97-428D-8DF5-AB0B646EEFC6}"/>
    <w:embedBoldItalic r:id="rId9" w:fontKey="{9AFCBFD2-39DE-4630-9609-41EAD3598187}"/>
  </w:font>
  <w:font w:name="Calibri Light">
    <w:panose1 w:val="020F0302020204030204"/>
    <w:charset w:val="00"/>
    <w:family w:val="swiss"/>
    <w:pitch w:val="variable"/>
    <w:sig w:usb0="E4002EFF" w:usb1="C200247B" w:usb2="00000009" w:usb3="00000000" w:csb0="000001FF" w:csb1="00000000"/>
    <w:embedRegular r:id="rId10" w:fontKey="{F3A044B4-EEFD-41E6-AA34-3424F91EE2DD}"/>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1" w:fontKey="{3C13B02D-F5EE-410E-892B-5CD002F6A025}"/>
  </w:font>
  <w:font w:name="Consolas">
    <w:panose1 w:val="020B0609020204030204"/>
    <w:charset w:val="00"/>
    <w:family w:val="modern"/>
    <w:pitch w:val="fixed"/>
    <w:sig w:usb0="E00006FF" w:usb1="0000FCFF" w:usb2="00000001" w:usb3="00000000" w:csb0="0000019F" w:csb1="00000000"/>
    <w:embedRegular r:id="rId12" w:fontKey="{90CA45C3-E407-472D-888B-5B81F22141A6}"/>
  </w:font>
  <w:font w:name="Tahoma">
    <w:panose1 w:val="020B0604030504040204"/>
    <w:charset w:val="00"/>
    <w:family w:val="swiss"/>
    <w:pitch w:val="variable"/>
    <w:sig w:usb0="E1002EFF" w:usb1="C000605B" w:usb2="00000029" w:usb3="00000000" w:csb0="000101FF" w:csb1="00000000"/>
    <w:embedBold r:id="rId13" w:fontKey="{15F48F85-4BD8-420F-807E-91C06623A498}"/>
    <w:embedBoldItalic r:id="rId14" w:fontKey="{9E50463D-DE07-4F64-A68C-549A602946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095" w:rsidRPr="00F87712" w:rsidRDefault="00405095">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F87712">
      <w:rPr>
        <w:rFonts w:ascii="Palatino Linotype" w:eastAsia="Palatino Linotype" w:hAnsi="Palatino Linotype" w:cs="Palatino Linotype"/>
        <w:b/>
        <w:color w:val="000000"/>
        <w:sz w:val="22"/>
        <w:szCs w:val="20"/>
      </w:rPr>
      <w:t xml:space="preserve">Página </w:t>
    </w:r>
    <w:r w:rsidRPr="00F87712">
      <w:rPr>
        <w:rFonts w:ascii="Palatino Linotype" w:eastAsia="Palatino Linotype" w:hAnsi="Palatino Linotype" w:cs="Palatino Linotype"/>
        <w:b/>
        <w:color w:val="000000"/>
        <w:sz w:val="22"/>
        <w:szCs w:val="20"/>
      </w:rPr>
      <w:fldChar w:fldCharType="begin"/>
    </w:r>
    <w:r w:rsidRPr="00F87712">
      <w:rPr>
        <w:rFonts w:ascii="Palatino Linotype" w:eastAsia="Palatino Linotype" w:hAnsi="Palatino Linotype" w:cs="Palatino Linotype"/>
        <w:b/>
        <w:color w:val="000000"/>
        <w:sz w:val="22"/>
        <w:szCs w:val="20"/>
      </w:rPr>
      <w:instrText>PAGE</w:instrText>
    </w:r>
    <w:r w:rsidRPr="00F87712">
      <w:rPr>
        <w:rFonts w:ascii="Palatino Linotype" w:eastAsia="Palatino Linotype" w:hAnsi="Palatino Linotype" w:cs="Palatino Linotype"/>
        <w:b/>
        <w:color w:val="000000"/>
        <w:sz w:val="22"/>
        <w:szCs w:val="20"/>
      </w:rPr>
      <w:fldChar w:fldCharType="separate"/>
    </w:r>
    <w:r w:rsidR="00043DFF">
      <w:rPr>
        <w:rFonts w:ascii="Palatino Linotype" w:eastAsia="Palatino Linotype" w:hAnsi="Palatino Linotype" w:cs="Palatino Linotype"/>
        <w:b/>
        <w:noProof/>
        <w:color w:val="000000"/>
        <w:sz w:val="22"/>
        <w:szCs w:val="20"/>
      </w:rPr>
      <w:t>21</w:t>
    </w:r>
    <w:r w:rsidRPr="00F87712">
      <w:rPr>
        <w:rFonts w:ascii="Palatino Linotype" w:eastAsia="Palatino Linotype" w:hAnsi="Palatino Linotype" w:cs="Palatino Linotype"/>
        <w:b/>
        <w:color w:val="000000"/>
        <w:sz w:val="22"/>
        <w:szCs w:val="20"/>
      </w:rPr>
      <w:fldChar w:fldCharType="end"/>
    </w:r>
    <w:r w:rsidRPr="00F87712">
      <w:rPr>
        <w:rFonts w:ascii="Palatino Linotype" w:eastAsia="Palatino Linotype" w:hAnsi="Palatino Linotype" w:cs="Palatino Linotype"/>
        <w:b/>
        <w:color w:val="000000"/>
        <w:sz w:val="22"/>
        <w:szCs w:val="20"/>
      </w:rPr>
      <w:t xml:space="preserve"> de </w:t>
    </w:r>
    <w:r w:rsidRPr="00F87712">
      <w:rPr>
        <w:rFonts w:ascii="Palatino Linotype" w:eastAsia="Palatino Linotype" w:hAnsi="Palatino Linotype" w:cs="Palatino Linotype"/>
        <w:b/>
        <w:color w:val="000000"/>
        <w:sz w:val="22"/>
        <w:szCs w:val="20"/>
      </w:rPr>
      <w:fldChar w:fldCharType="begin"/>
    </w:r>
    <w:r w:rsidRPr="00F87712">
      <w:rPr>
        <w:rFonts w:ascii="Palatino Linotype" w:eastAsia="Palatino Linotype" w:hAnsi="Palatino Linotype" w:cs="Palatino Linotype"/>
        <w:b/>
        <w:color w:val="000000"/>
        <w:sz w:val="22"/>
        <w:szCs w:val="20"/>
      </w:rPr>
      <w:instrText>NUMPAGES</w:instrText>
    </w:r>
    <w:r w:rsidRPr="00F87712">
      <w:rPr>
        <w:rFonts w:ascii="Palatino Linotype" w:eastAsia="Palatino Linotype" w:hAnsi="Palatino Linotype" w:cs="Palatino Linotype"/>
        <w:b/>
        <w:color w:val="000000"/>
        <w:sz w:val="22"/>
        <w:szCs w:val="20"/>
      </w:rPr>
      <w:fldChar w:fldCharType="separate"/>
    </w:r>
    <w:r w:rsidR="00043DFF">
      <w:rPr>
        <w:rFonts w:ascii="Palatino Linotype" w:eastAsia="Palatino Linotype" w:hAnsi="Palatino Linotype" w:cs="Palatino Linotype"/>
        <w:b/>
        <w:noProof/>
        <w:color w:val="000000"/>
        <w:sz w:val="22"/>
        <w:szCs w:val="20"/>
      </w:rPr>
      <w:t>47</w:t>
    </w:r>
    <w:r w:rsidRPr="00F87712">
      <w:rPr>
        <w:rFonts w:ascii="Palatino Linotype" w:eastAsia="Palatino Linotype" w:hAnsi="Palatino Linotype" w:cs="Palatino Linotype"/>
        <w:b/>
        <w:color w:val="000000"/>
        <w:sz w:val="22"/>
        <w:szCs w:val="20"/>
      </w:rPr>
      <w:fldChar w:fldCharType="end"/>
    </w:r>
  </w:p>
  <w:p w:rsidR="00405095" w:rsidRDefault="0040509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095" w:rsidRPr="00F87712" w:rsidRDefault="00405095">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F87712">
      <w:rPr>
        <w:rFonts w:ascii="Palatino Linotype" w:eastAsia="Palatino Linotype" w:hAnsi="Palatino Linotype" w:cs="Palatino Linotype"/>
        <w:b/>
        <w:color w:val="000000"/>
        <w:sz w:val="22"/>
        <w:szCs w:val="20"/>
      </w:rPr>
      <w:t xml:space="preserve">Página </w:t>
    </w:r>
    <w:r w:rsidRPr="00F87712">
      <w:rPr>
        <w:rFonts w:ascii="Palatino Linotype" w:eastAsia="Palatino Linotype" w:hAnsi="Palatino Linotype" w:cs="Palatino Linotype"/>
        <w:b/>
        <w:color w:val="000000"/>
        <w:sz w:val="22"/>
        <w:szCs w:val="20"/>
      </w:rPr>
      <w:fldChar w:fldCharType="begin"/>
    </w:r>
    <w:r w:rsidRPr="00F87712">
      <w:rPr>
        <w:rFonts w:ascii="Palatino Linotype" w:eastAsia="Palatino Linotype" w:hAnsi="Palatino Linotype" w:cs="Palatino Linotype"/>
        <w:b/>
        <w:color w:val="000000"/>
        <w:sz w:val="22"/>
        <w:szCs w:val="20"/>
      </w:rPr>
      <w:instrText>PAGE</w:instrText>
    </w:r>
    <w:r w:rsidRPr="00F87712">
      <w:rPr>
        <w:rFonts w:ascii="Palatino Linotype" w:eastAsia="Palatino Linotype" w:hAnsi="Palatino Linotype" w:cs="Palatino Linotype"/>
        <w:b/>
        <w:color w:val="000000"/>
        <w:sz w:val="22"/>
        <w:szCs w:val="20"/>
      </w:rPr>
      <w:fldChar w:fldCharType="separate"/>
    </w:r>
    <w:r w:rsidR="00043DFF">
      <w:rPr>
        <w:rFonts w:ascii="Palatino Linotype" w:eastAsia="Palatino Linotype" w:hAnsi="Palatino Linotype" w:cs="Palatino Linotype"/>
        <w:b/>
        <w:noProof/>
        <w:color w:val="000000"/>
        <w:sz w:val="22"/>
        <w:szCs w:val="20"/>
      </w:rPr>
      <w:t>1</w:t>
    </w:r>
    <w:r w:rsidRPr="00F87712">
      <w:rPr>
        <w:rFonts w:ascii="Palatino Linotype" w:eastAsia="Palatino Linotype" w:hAnsi="Palatino Linotype" w:cs="Palatino Linotype"/>
        <w:b/>
        <w:color w:val="000000"/>
        <w:sz w:val="22"/>
        <w:szCs w:val="20"/>
      </w:rPr>
      <w:fldChar w:fldCharType="end"/>
    </w:r>
    <w:r w:rsidRPr="00F87712">
      <w:rPr>
        <w:rFonts w:ascii="Palatino Linotype" w:eastAsia="Palatino Linotype" w:hAnsi="Palatino Linotype" w:cs="Palatino Linotype"/>
        <w:b/>
        <w:color w:val="000000"/>
        <w:sz w:val="22"/>
        <w:szCs w:val="20"/>
      </w:rPr>
      <w:t xml:space="preserve"> de </w:t>
    </w:r>
    <w:r w:rsidRPr="00F87712">
      <w:rPr>
        <w:rFonts w:ascii="Palatino Linotype" w:eastAsia="Palatino Linotype" w:hAnsi="Palatino Linotype" w:cs="Palatino Linotype"/>
        <w:b/>
        <w:color w:val="000000"/>
        <w:sz w:val="22"/>
        <w:szCs w:val="20"/>
      </w:rPr>
      <w:fldChar w:fldCharType="begin"/>
    </w:r>
    <w:r w:rsidRPr="00F87712">
      <w:rPr>
        <w:rFonts w:ascii="Palatino Linotype" w:eastAsia="Palatino Linotype" w:hAnsi="Palatino Linotype" w:cs="Palatino Linotype"/>
        <w:b/>
        <w:color w:val="000000"/>
        <w:sz w:val="22"/>
        <w:szCs w:val="20"/>
      </w:rPr>
      <w:instrText>NUMPAGES</w:instrText>
    </w:r>
    <w:r w:rsidRPr="00F87712">
      <w:rPr>
        <w:rFonts w:ascii="Palatino Linotype" w:eastAsia="Palatino Linotype" w:hAnsi="Palatino Linotype" w:cs="Palatino Linotype"/>
        <w:b/>
        <w:color w:val="000000"/>
        <w:sz w:val="22"/>
        <w:szCs w:val="20"/>
      </w:rPr>
      <w:fldChar w:fldCharType="separate"/>
    </w:r>
    <w:r w:rsidR="00043DFF">
      <w:rPr>
        <w:rFonts w:ascii="Palatino Linotype" w:eastAsia="Palatino Linotype" w:hAnsi="Palatino Linotype" w:cs="Palatino Linotype"/>
        <w:b/>
        <w:noProof/>
        <w:color w:val="000000"/>
        <w:sz w:val="22"/>
        <w:szCs w:val="20"/>
      </w:rPr>
      <w:t>47</w:t>
    </w:r>
    <w:r w:rsidRPr="00F87712">
      <w:rPr>
        <w:rFonts w:ascii="Palatino Linotype" w:eastAsia="Palatino Linotype" w:hAnsi="Palatino Linotype" w:cs="Palatino Linotype"/>
        <w:b/>
        <w:color w:val="000000"/>
        <w:sz w:val="22"/>
        <w:szCs w:val="20"/>
      </w:rPr>
      <w:fldChar w:fldCharType="end"/>
    </w:r>
  </w:p>
  <w:p w:rsidR="00405095" w:rsidRDefault="0040509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D42" w:rsidRDefault="001F3D42">
      <w:r>
        <w:separator/>
      </w:r>
    </w:p>
  </w:footnote>
  <w:footnote w:type="continuationSeparator" w:id="0">
    <w:p w:rsidR="001F3D42" w:rsidRDefault="001F3D42">
      <w:r>
        <w:continuationSeparator/>
      </w:r>
    </w:p>
  </w:footnote>
  <w:footnote w:id="1">
    <w:p w:rsidR="00405095" w:rsidRDefault="0040509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405095" w:rsidRDefault="0040509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405095" w:rsidRDefault="00405095">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405095" w:rsidRDefault="00405095">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405095" w:rsidRDefault="00405095">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405095" w:rsidRDefault="00405095">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405095" w:rsidRDefault="00405095">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405095" w:rsidRDefault="00405095">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095" w:rsidRDefault="001F3D4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7229" w:type="dxa"/>
      <w:tblInd w:w="2694" w:type="dxa"/>
      <w:tblLayout w:type="fixed"/>
      <w:tblLook w:val="0400" w:firstRow="0" w:lastRow="0" w:firstColumn="0" w:lastColumn="0" w:noHBand="0" w:noVBand="1"/>
    </w:tblPr>
    <w:tblGrid>
      <w:gridCol w:w="2976"/>
      <w:gridCol w:w="4253"/>
    </w:tblGrid>
    <w:tr w:rsidR="00405095" w:rsidTr="00F87712">
      <w:trPr>
        <w:trHeight w:val="227"/>
      </w:trPr>
      <w:tc>
        <w:tcPr>
          <w:tcW w:w="2976" w:type="dxa"/>
          <w:vAlign w:val="center"/>
        </w:tcPr>
        <w:p w:rsidR="00405095" w:rsidRPr="00F87712" w:rsidRDefault="00405095">
          <w:pPr>
            <w:ind w:right="34"/>
            <w:jc w:val="right"/>
            <w:rPr>
              <w:rFonts w:ascii="Palatino Linotype" w:eastAsia="Palatino Linotype" w:hAnsi="Palatino Linotype" w:cs="Palatino Linotype"/>
              <w:b/>
              <w:bCs/>
              <w:szCs w:val="22"/>
            </w:rPr>
          </w:pPr>
          <w:r w:rsidRPr="00F87712">
            <w:rPr>
              <w:rFonts w:ascii="Palatino Linotype" w:eastAsia="Palatino Linotype" w:hAnsi="Palatino Linotype" w:cs="Palatino Linotype"/>
              <w:b/>
              <w:bCs/>
              <w:szCs w:val="22"/>
            </w:rPr>
            <w:t>Recurso de Revisión:</w:t>
          </w:r>
        </w:p>
      </w:tc>
      <w:tc>
        <w:tcPr>
          <w:tcW w:w="4253" w:type="dxa"/>
          <w:vAlign w:val="center"/>
        </w:tcPr>
        <w:p w:rsidR="00405095" w:rsidRPr="00F87712" w:rsidRDefault="00405095" w:rsidP="00F87712">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F87712">
            <w:rPr>
              <w:rFonts w:ascii="Palatino Linotype" w:eastAsia="Palatino Linotype" w:hAnsi="Palatino Linotype" w:cs="Palatino Linotype"/>
              <w:color w:val="000000"/>
              <w:szCs w:val="22"/>
            </w:rPr>
            <w:t>13898/INFOEM/IP/RR/2025</w:t>
          </w:r>
        </w:p>
      </w:tc>
    </w:tr>
    <w:tr w:rsidR="00405095" w:rsidTr="00F87712">
      <w:trPr>
        <w:trHeight w:val="242"/>
      </w:trPr>
      <w:tc>
        <w:tcPr>
          <w:tcW w:w="2976" w:type="dxa"/>
          <w:vAlign w:val="center"/>
        </w:tcPr>
        <w:p w:rsidR="00405095" w:rsidRPr="00F87712" w:rsidRDefault="00405095">
          <w:pPr>
            <w:ind w:right="34"/>
            <w:jc w:val="right"/>
            <w:rPr>
              <w:rFonts w:ascii="Palatino Linotype" w:eastAsia="Palatino Linotype" w:hAnsi="Palatino Linotype" w:cs="Palatino Linotype"/>
              <w:b/>
              <w:bCs/>
              <w:szCs w:val="22"/>
            </w:rPr>
          </w:pPr>
          <w:r w:rsidRPr="00F87712">
            <w:rPr>
              <w:rFonts w:ascii="Palatino Linotype" w:eastAsia="Palatino Linotype" w:hAnsi="Palatino Linotype" w:cs="Palatino Linotype"/>
              <w:b/>
              <w:bCs/>
              <w:szCs w:val="22"/>
            </w:rPr>
            <w:t>Sujeto Obligado:</w:t>
          </w:r>
        </w:p>
      </w:tc>
      <w:tc>
        <w:tcPr>
          <w:tcW w:w="4253" w:type="dxa"/>
          <w:vAlign w:val="center"/>
        </w:tcPr>
        <w:p w:rsidR="00405095" w:rsidRPr="00F87712" w:rsidRDefault="00405095" w:rsidP="00F87712">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F87712">
            <w:rPr>
              <w:rFonts w:ascii="Palatino Linotype" w:eastAsia="Palatino Linotype" w:hAnsi="Palatino Linotype" w:cs="Palatino Linotype"/>
              <w:color w:val="000000"/>
              <w:szCs w:val="22"/>
            </w:rPr>
            <w:t>Sistema Municipal para el Desarrollo Integral de la Familia de Juchitepec</w:t>
          </w:r>
        </w:p>
      </w:tc>
    </w:tr>
    <w:tr w:rsidR="00405095" w:rsidTr="00F87712">
      <w:trPr>
        <w:trHeight w:val="342"/>
      </w:trPr>
      <w:tc>
        <w:tcPr>
          <w:tcW w:w="2976" w:type="dxa"/>
          <w:vAlign w:val="center"/>
        </w:tcPr>
        <w:p w:rsidR="00405095" w:rsidRPr="00F87712" w:rsidRDefault="00405095">
          <w:pPr>
            <w:ind w:right="34"/>
            <w:jc w:val="right"/>
            <w:rPr>
              <w:rFonts w:ascii="Palatino Linotype" w:eastAsia="Palatino Linotype" w:hAnsi="Palatino Linotype" w:cs="Palatino Linotype"/>
              <w:b/>
              <w:bCs/>
              <w:szCs w:val="22"/>
            </w:rPr>
          </w:pPr>
          <w:r w:rsidRPr="00F87712">
            <w:rPr>
              <w:rFonts w:ascii="Palatino Linotype" w:eastAsia="Palatino Linotype" w:hAnsi="Palatino Linotype" w:cs="Palatino Linotype"/>
              <w:b/>
              <w:bCs/>
              <w:szCs w:val="22"/>
            </w:rPr>
            <w:t>Comisionada Ponente:</w:t>
          </w:r>
        </w:p>
      </w:tc>
      <w:tc>
        <w:tcPr>
          <w:tcW w:w="4253" w:type="dxa"/>
          <w:vAlign w:val="center"/>
        </w:tcPr>
        <w:p w:rsidR="00405095" w:rsidRPr="00F87712" w:rsidRDefault="00405095" w:rsidP="00F87712">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F87712">
            <w:rPr>
              <w:rFonts w:ascii="Palatino Linotype" w:eastAsia="Palatino Linotype" w:hAnsi="Palatino Linotype" w:cs="Palatino Linotype"/>
              <w:color w:val="000000"/>
              <w:szCs w:val="22"/>
            </w:rPr>
            <w:t>María del Rosario Mejía Ayala</w:t>
          </w:r>
        </w:p>
      </w:tc>
    </w:tr>
  </w:tbl>
  <w:p w:rsidR="00405095" w:rsidRDefault="001F3D42">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8.6pt;margin-top:-130.9pt;width:609.4pt;height:793.75pt;z-index:-251659776;mso-position-horizontal-relative:margin;mso-position-vertical-relative:margin">
          <v:imagedata r:id="rId1" o:title="image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4"/>
      <w:tblW w:w="7513" w:type="dxa"/>
      <w:tblInd w:w="2552" w:type="dxa"/>
      <w:tblLayout w:type="fixed"/>
      <w:tblLook w:val="0400" w:firstRow="0" w:lastRow="0" w:firstColumn="0" w:lastColumn="0" w:noHBand="0" w:noVBand="1"/>
    </w:tblPr>
    <w:tblGrid>
      <w:gridCol w:w="2977"/>
      <w:gridCol w:w="4536"/>
    </w:tblGrid>
    <w:tr w:rsidR="00405095" w:rsidTr="00F87712">
      <w:trPr>
        <w:trHeight w:val="227"/>
      </w:trPr>
      <w:tc>
        <w:tcPr>
          <w:tcW w:w="2977" w:type="dxa"/>
          <w:vAlign w:val="center"/>
        </w:tcPr>
        <w:p w:rsidR="00405095" w:rsidRPr="00F87712" w:rsidRDefault="00405095">
          <w:pPr>
            <w:jc w:val="right"/>
            <w:rPr>
              <w:rFonts w:ascii="Palatino Linotype" w:eastAsia="Palatino Linotype" w:hAnsi="Palatino Linotype" w:cs="Palatino Linotype"/>
              <w:b/>
              <w:bCs/>
              <w:szCs w:val="22"/>
            </w:rPr>
          </w:pPr>
          <w:r w:rsidRPr="00F87712">
            <w:rPr>
              <w:rFonts w:ascii="Palatino Linotype" w:eastAsia="Palatino Linotype" w:hAnsi="Palatino Linotype" w:cs="Palatino Linotype"/>
              <w:b/>
              <w:bCs/>
              <w:szCs w:val="22"/>
            </w:rPr>
            <w:t>Recurso de Revisión:</w:t>
          </w:r>
        </w:p>
      </w:tc>
      <w:tc>
        <w:tcPr>
          <w:tcW w:w="4536" w:type="dxa"/>
          <w:vAlign w:val="center"/>
        </w:tcPr>
        <w:p w:rsidR="00405095" w:rsidRPr="00F87712" w:rsidRDefault="0040509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F87712">
            <w:rPr>
              <w:rFonts w:ascii="Palatino Linotype" w:eastAsia="Palatino Linotype" w:hAnsi="Palatino Linotype" w:cs="Palatino Linotype"/>
              <w:color w:val="000000"/>
              <w:szCs w:val="22"/>
            </w:rPr>
            <w:t>13898/INFOEM/IP/RR/2025</w:t>
          </w:r>
        </w:p>
      </w:tc>
    </w:tr>
    <w:tr w:rsidR="00405095" w:rsidTr="00F87712">
      <w:trPr>
        <w:trHeight w:val="242"/>
      </w:trPr>
      <w:tc>
        <w:tcPr>
          <w:tcW w:w="2977" w:type="dxa"/>
          <w:vAlign w:val="center"/>
        </w:tcPr>
        <w:p w:rsidR="00405095" w:rsidRPr="00F87712" w:rsidRDefault="00405095">
          <w:pPr>
            <w:jc w:val="right"/>
            <w:rPr>
              <w:rFonts w:ascii="Palatino Linotype" w:eastAsia="Palatino Linotype" w:hAnsi="Palatino Linotype" w:cs="Palatino Linotype"/>
              <w:b/>
              <w:bCs/>
              <w:szCs w:val="22"/>
            </w:rPr>
          </w:pPr>
          <w:r w:rsidRPr="00F87712">
            <w:rPr>
              <w:rFonts w:ascii="Palatino Linotype" w:eastAsia="Palatino Linotype" w:hAnsi="Palatino Linotype" w:cs="Palatino Linotype"/>
              <w:b/>
              <w:bCs/>
              <w:szCs w:val="22"/>
            </w:rPr>
            <w:t>Recurrente:</w:t>
          </w:r>
        </w:p>
      </w:tc>
      <w:tc>
        <w:tcPr>
          <w:tcW w:w="4536" w:type="dxa"/>
        </w:tcPr>
        <w:p w:rsidR="00405095" w:rsidRPr="00F87712" w:rsidRDefault="00043DFF">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szCs w:val="22"/>
              <w:highlight w:val="green"/>
            </w:rPr>
          </w:pPr>
          <w:r>
            <w:rPr>
              <w:rFonts w:ascii="Palatino Linotype" w:eastAsia="Palatino Linotype" w:hAnsi="Palatino Linotype" w:cs="Palatino Linotype"/>
              <w:szCs w:val="22"/>
            </w:rPr>
            <w:t>XXXX</w:t>
          </w:r>
        </w:p>
      </w:tc>
    </w:tr>
    <w:tr w:rsidR="00405095" w:rsidTr="00F87712">
      <w:trPr>
        <w:trHeight w:val="342"/>
      </w:trPr>
      <w:tc>
        <w:tcPr>
          <w:tcW w:w="2977" w:type="dxa"/>
          <w:vAlign w:val="center"/>
        </w:tcPr>
        <w:p w:rsidR="00405095" w:rsidRPr="00F87712" w:rsidRDefault="00405095">
          <w:pPr>
            <w:jc w:val="right"/>
            <w:rPr>
              <w:rFonts w:ascii="Palatino Linotype" w:eastAsia="Palatino Linotype" w:hAnsi="Palatino Linotype" w:cs="Palatino Linotype"/>
              <w:b/>
              <w:bCs/>
              <w:szCs w:val="22"/>
            </w:rPr>
          </w:pPr>
          <w:r w:rsidRPr="00F87712">
            <w:rPr>
              <w:rFonts w:ascii="Palatino Linotype" w:eastAsia="Palatino Linotype" w:hAnsi="Palatino Linotype" w:cs="Palatino Linotype"/>
              <w:b/>
              <w:bCs/>
              <w:szCs w:val="22"/>
            </w:rPr>
            <w:t>Sujeto Obligado:</w:t>
          </w:r>
        </w:p>
      </w:tc>
      <w:tc>
        <w:tcPr>
          <w:tcW w:w="4536" w:type="dxa"/>
          <w:vAlign w:val="center"/>
        </w:tcPr>
        <w:p w:rsidR="00405095" w:rsidRPr="00F87712" w:rsidRDefault="00405095">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F87712">
            <w:rPr>
              <w:rFonts w:ascii="Palatino Linotype" w:eastAsia="Palatino Linotype" w:hAnsi="Palatino Linotype" w:cs="Palatino Linotype"/>
              <w:color w:val="000000"/>
              <w:szCs w:val="22"/>
            </w:rPr>
            <w:t>Sistema Municipal para el Desarrollo Integral de la Familia de Juchitepec</w:t>
          </w:r>
        </w:p>
      </w:tc>
    </w:tr>
    <w:tr w:rsidR="00405095" w:rsidTr="00F87712">
      <w:trPr>
        <w:trHeight w:val="342"/>
      </w:trPr>
      <w:tc>
        <w:tcPr>
          <w:tcW w:w="2977" w:type="dxa"/>
          <w:vAlign w:val="center"/>
        </w:tcPr>
        <w:p w:rsidR="00405095" w:rsidRPr="00F87712" w:rsidRDefault="00405095">
          <w:pPr>
            <w:jc w:val="right"/>
            <w:rPr>
              <w:rFonts w:ascii="Palatino Linotype" w:eastAsia="Palatino Linotype" w:hAnsi="Palatino Linotype" w:cs="Palatino Linotype"/>
              <w:b/>
              <w:bCs/>
              <w:szCs w:val="22"/>
            </w:rPr>
          </w:pPr>
          <w:r w:rsidRPr="00F87712">
            <w:rPr>
              <w:rFonts w:ascii="Palatino Linotype" w:eastAsia="Palatino Linotype" w:hAnsi="Palatino Linotype" w:cs="Palatino Linotype"/>
              <w:b/>
              <w:bCs/>
              <w:szCs w:val="22"/>
            </w:rPr>
            <w:t>Comisionada Ponente:</w:t>
          </w:r>
        </w:p>
      </w:tc>
      <w:tc>
        <w:tcPr>
          <w:tcW w:w="4536" w:type="dxa"/>
          <w:vAlign w:val="center"/>
        </w:tcPr>
        <w:p w:rsidR="00405095" w:rsidRPr="00F87712" w:rsidRDefault="00405095">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F87712">
            <w:rPr>
              <w:rFonts w:ascii="Palatino Linotype" w:eastAsia="Palatino Linotype" w:hAnsi="Palatino Linotype" w:cs="Palatino Linotype"/>
              <w:color w:val="000000"/>
              <w:szCs w:val="22"/>
            </w:rPr>
            <w:t>María del Rosario Mejía Ayala</w:t>
          </w:r>
        </w:p>
      </w:tc>
    </w:tr>
  </w:tbl>
  <w:p w:rsidR="00405095" w:rsidRDefault="001F3D42">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1.6pt;margin-top:-132.55pt;width:609.4pt;height:793.75pt;z-index:-251658752;mso-position-horizontal-relative:margin;mso-position-vertical-relative:margin">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75745"/>
    <w:multiLevelType w:val="multilevel"/>
    <w:tmpl w:val="6BE255EE"/>
    <w:lvl w:ilvl="0">
      <w:start w:val="1"/>
      <w:numFmt w:val="lowerLetter"/>
      <w:lvlText w:val="%1)"/>
      <w:lvlJc w:val="left"/>
      <w:pPr>
        <w:ind w:left="778"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470C43"/>
    <w:multiLevelType w:val="hybridMultilevel"/>
    <w:tmpl w:val="D5E2B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101733"/>
    <w:multiLevelType w:val="multilevel"/>
    <w:tmpl w:val="5C64F6FC"/>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D03ABC"/>
    <w:multiLevelType w:val="multilevel"/>
    <w:tmpl w:val="1076E4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C8078EB"/>
    <w:multiLevelType w:val="multilevel"/>
    <w:tmpl w:val="5C581CF8"/>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317490"/>
    <w:multiLevelType w:val="hybridMultilevel"/>
    <w:tmpl w:val="4E50E004"/>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B792C1A"/>
    <w:multiLevelType w:val="multilevel"/>
    <w:tmpl w:val="4DB80EDA"/>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7" w15:restartNumberingAfterBreak="0">
    <w:nsid w:val="58C96DD5"/>
    <w:multiLevelType w:val="multilevel"/>
    <w:tmpl w:val="89249512"/>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CF56402"/>
    <w:multiLevelType w:val="multilevel"/>
    <w:tmpl w:val="E62850E2"/>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4873195"/>
    <w:multiLevelType w:val="multilevel"/>
    <w:tmpl w:val="9BA6ACCA"/>
    <w:lvl w:ilvl="0">
      <w:start w:val="24"/>
      <w:numFmt w:val="decimal"/>
      <w:lvlText w:val="%1."/>
      <w:lvlJc w:val="left"/>
      <w:pPr>
        <w:ind w:left="644"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9"/>
  </w:num>
  <w:num w:numId="3">
    <w:abstractNumId w:val="2"/>
  </w:num>
  <w:num w:numId="4">
    <w:abstractNumId w:val="7"/>
  </w:num>
  <w:num w:numId="5">
    <w:abstractNumId w:val="4"/>
  </w:num>
  <w:num w:numId="6">
    <w:abstractNumId w:val="6"/>
  </w:num>
  <w:num w:numId="7">
    <w:abstractNumId w:val="3"/>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507"/>
    <w:rsid w:val="00043DFF"/>
    <w:rsid w:val="00080AF4"/>
    <w:rsid w:val="000A4E30"/>
    <w:rsid w:val="001C4B97"/>
    <w:rsid w:val="001E4667"/>
    <w:rsid w:val="001F3D42"/>
    <w:rsid w:val="002D60E6"/>
    <w:rsid w:val="00405095"/>
    <w:rsid w:val="00435D0D"/>
    <w:rsid w:val="00470A9E"/>
    <w:rsid w:val="004A4D37"/>
    <w:rsid w:val="00526330"/>
    <w:rsid w:val="00563ADF"/>
    <w:rsid w:val="006966F6"/>
    <w:rsid w:val="006A368D"/>
    <w:rsid w:val="007E0F1F"/>
    <w:rsid w:val="008B2A6C"/>
    <w:rsid w:val="00900F21"/>
    <w:rsid w:val="00965760"/>
    <w:rsid w:val="00987A13"/>
    <w:rsid w:val="00A1327F"/>
    <w:rsid w:val="00A92E55"/>
    <w:rsid w:val="00CC6C0C"/>
    <w:rsid w:val="00EC76AD"/>
    <w:rsid w:val="00F342F4"/>
    <w:rsid w:val="00F721CB"/>
    <w:rsid w:val="00F72507"/>
    <w:rsid w:val="00F87712"/>
    <w:rsid w:val="00F87973"/>
    <w:rsid w:val="00FB3A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17289C8-7E89-4669-A53D-9DF138DF2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nhideWhenUsed/>
    <w:rsid w:val="004C20DC"/>
    <w:pPr>
      <w:spacing w:before="120" w:after="120"/>
      <w:ind w:left="283"/>
      <w:jc w:val="center"/>
    </w:pPr>
    <w:rPr>
      <w:rFonts w:cs="Times New Roman"/>
      <w:sz w:val="22"/>
      <w:szCs w:val="22"/>
      <w:lang w:val="x-none" w:eastAsia="en-US"/>
    </w:rPr>
  </w:style>
  <w:style w:type="character" w:customStyle="1" w:styleId="SangradetextonormalCar">
    <w:name w:val="Sangría de texto normal Car"/>
    <w:basedOn w:val="Fuentedeprrafopredeter"/>
    <w:link w:val="Sangradetextonormal"/>
    <w:rsid w:val="004C20DC"/>
    <w:rPr>
      <w:rFonts w:ascii="Calibri" w:eastAsia="Calibri" w:hAnsi="Calibri" w:cs="Times New Roman"/>
      <w:lang w:val="x-none"/>
    </w:rPr>
  </w:style>
  <w:style w:type="table" w:customStyle="1" w:styleId="a">
    <w:basedOn w:val="TableNormal0"/>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Default">
    <w:name w:val="Default"/>
    <w:qFormat/>
    <w:rsid w:val="00D1478B"/>
    <w:pPr>
      <w:autoSpaceDE w:val="0"/>
      <w:autoSpaceDN w:val="0"/>
      <w:adjustRightInd w:val="0"/>
    </w:pPr>
    <w:rPr>
      <w:rFonts w:ascii="Arial" w:eastAsiaTheme="minorHAnsi" w:hAnsi="Arial" w:cs="Arial"/>
      <w:color w:val="000000"/>
      <w:lang w:val="es-MX" w:eastAsia="en-US"/>
    </w:rPr>
  </w:style>
  <w:style w:type="paragraph" w:styleId="Sinespaciado">
    <w:name w:val="No Spacing"/>
    <w:aliases w:val="Francesa,INAI"/>
    <w:link w:val="SinespaciadoCar"/>
    <w:uiPriority w:val="1"/>
    <w:qFormat/>
    <w:rsid w:val="00293D4F"/>
    <w:rPr>
      <w:rFonts w:asciiTheme="minorHAnsi" w:eastAsiaTheme="minorHAnsi" w:hAnsiTheme="minorHAnsi" w:cstheme="minorBidi"/>
      <w:sz w:val="22"/>
      <w:szCs w:val="22"/>
      <w:lang w:val="es-MX" w:eastAsia="en-US"/>
    </w:rPr>
  </w:style>
  <w:style w:type="character" w:customStyle="1" w:styleId="SinespaciadoCar">
    <w:name w:val="Sin espaciado Car"/>
    <w:aliases w:val="Francesa Car,INAI Car"/>
    <w:link w:val="Sinespaciado"/>
    <w:uiPriority w:val="1"/>
    <w:qFormat/>
    <w:locked/>
    <w:rsid w:val="00293D4F"/>
    <w:rPr>
      <w:rFonts w:asciiTheme="minorHAnsi" w:eastAsiaTheme="minorHAnsi" w:hAnsiTheme="minorHAnsi" w:cstheme="minorBidi"/>
      <w:sz w:val="22"/>
      <w:szCs w:val="22"/>
      <w:lang w:val="es-MX" w:eastAsia="en-US"/>
    </w:rPr>
  </w:style>
  <w:style w:type="paragraph" w:styleId="NormalWeb">
    <w:name w:val="Normal (Web)"/>
    <w:basedOn w:val="Normal"/>
    <w:uiPriority w:val="99"/>
    <w:unhideWhenUsed/>
    <w:rsid w:val="00012B2E"/>
    <w:pPr>
      <w:spacing w:before="100" w:beforeAutospacing="1" w:after="100" w:afterAutospacing="1"/>
    </w:pPr>
    <w:rPr>
      <w:rFonts w:ascii="Times New Roman" w:eastAsia="Times New Roman" w:hAnsi="Times New Roman" w:cs="Times New Roman"/>
      <w:lang w:val="es-MX"/>
    </w:rPr>
  </w:style>
  <w:style w:type="paragraph" w:customStyle="1" w:styleId="m5907675151158779931gmail-msolistparagraph">
    <w:name w:val="m_5907675151158779931gmail-msolistparagraph"/>
    <w:basedOn w:val="Normal"/>
    <w:rsid w:val="00BF46D9"/>
    <w:pPr>
      <w:spacing w:before="100" w:beforeAutospacing="1" w:after="100" w:afterAutospacing="1"/>
    </w:pPr>
    <w:rPr>
      <w:rFonts w:ascii="Times New Roman" w:eastAsia="Times New Roman" w:hAnsi="Times New Roman" w:cs="Times New Roman"/>
      <w:lang w:val="es-MX"/>
    </w:rPr>
  </w:style>
  <w:style w:type="paragraph" w:styleId="Listaconvietas2">
    <w:name w:val="List Bullet 2"/>
    <w:basedOn w:val="Normal"/>
    <w:uiPriority w:val="99"/>
    <w:unhideWhenUsed/>
    <w:rsid w:val="00C45B65"/>
    <w:pPr>
      <w:numPr>
        <w:numId w:val="8"/>
      </w:numPr>
      <w:contextualSpacing/>
    </w:pPr>
    <w:rPr>
      <w:rFonts w:ascii="Times New Roman" w:eastAsia="Times New Roman" w:hAnsi="Times New Roman" w:cs="Times New Roman"/>
      <w:sz w:val="20"/>
      <w:szCs w:val="20"/>
      <w:lang w:val="es-MX"/>
    </w:rPr>
  </w:style>
  <w:style w:type="numbering" w:customStyle="1" w:styleId="Estiloimportado22">
    <w:name w:val="Estilo importado 22"/>
    <w:rsid w:val="003C3C97"/>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ZoyHAXlCLvWSBcsB9Lyz5v7CPw==">CgMxLjAyDmgucHQyMTNldDA3d2xmMghoLmdqZGd4czIJaC4zMGowemxsMgloLjFmb2I5dGUyCWguM3pueXNoNzIJaC4yZXQ5MnAwMghoLnR5amN3dDIJaC4zZHk2dmttMghoLmxueGJ6OTgAciExLVh5VnJabDlfT2V0UnJXUkNsNUgxS1FlbE1YYWg1Y04=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47</Pages>
  <Words>10738</Words>
  <Characters>59064</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69663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15</cp:revision>
  <cp:lastPrinted>2026-02-13T16:05:00Z</cp:lastPrinted>
  <dcterms:created xsi:type="dcterms:W3CDTF">2026-02-05T18:22:00Z</dcterms:created>
  <dcterms:modified xsi:type="dcterms:W3CDTF">2026-02-24T19:02:00Z</dcterms:modified>
</cp:coreProperties>
</file>