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13C4" w:rsidRDefault="005C13C4">
      <w:pPr>
        <w:widowControl w:val="0"/>
        <w:pBdr>
          <w:top w:val="nil"/>
          <w:left w:val="nil"/>
          <w:bottom w:val="nil"/>
          <w:right w:val="nil"/>
          <w:between w:val="nil"/>
        </w:pBdr>
        <w:spacing w:after="0" w:line="276" w:lineRule="auto"/>
        <w:jc w:val="left"/>
      </w:pPr>
    </w:p>
    <w:p w:rsidR="005C13C4" w:rsidRDefault="005C13C4">
      <w:pPr>
        <w:widowControl w:val="0"/>
        <w:pBdr>
          <w:top w:val="nil"/>
          <w:left w:val="nil"/>
          <w:bottom w:val="nil"/>
          <w:right w:val="nil"/>
          <w:between w:val="nil"/>
        </w:pBdr>
        <w:spacing w:after="0" w:line="276" w:lineRule="auto"/>
        <w:jc w:val="left"/>
      </w:pPr>
    </w:p>
    <w:p w:rsidR="005C13C4" w:rsidRDefault="005C13C4">
      <w:pPr>
        <w:tabs>
          <w:tab w:val="left" w:pos="8931"/>
        </w:tabs>
        <w:spacing w:after="0" w:line="360" w:lineRule="auto"/>
      </w:pPr>
    </w:p>
    <w:p w:rsidR="005C13C4" w:rsidRDefault="00070667">
      <w:pPr>
        <w:keepNext/>
        <w:keepLines/>
        <w:pBdr>
          <w:top w:val="nil"/>
          <w:left w:val="nil"/>
          <w:bottom w:val="nil"/>
          <w:right w:val="nil"/>
          <w:between w:val="nil"/>
        </w:pBdr>
        <w:spacing w:after="0" w:line="360" w:lineRule="auto"/>
        <w:jc w:val="center"/>
        <w:rPr>
          <w:color w:val="000000"/>
        </w:rPr>
      </w:pPr>
      <w:r>
        <w:rPr>
          <w:color w:val="000000"/>
        </w:rPr>
        <w:t>RESOLUCIÓN DEL RECURSO DE REVISIÓN 09816/INFOEM/IP/RR/2025</w:t>
      </w:r>
    </w:p>
    <w:p w:rsidR="005C13C4" w:rsidRDefault="005C13C4">
      <w:pPr>
        <w:spacing w:after="0" w:line="360" w:lineRule="auto"/>
      </w:pPr>
    </w:p>
    <w:sdt>
      <w:sdtPr>
        <w:id w:val="257480311"/>
        <w:docPartObj>
          <w:docPartGallery w:val="Table of Contents"/>
          <w:docPartUnique/>
        </w:docPartObj>
      </w:sdtPr>
      <w:sdtEndPr/>
      <w:sdtContent>
        <w:p w:rsidR="005C13C4" w:rsidRDefault="00070667">
          <w:pPr>
            <w:pBdr>
              <w:top w:val="nil"/>
              <w:left w:val="nil"/>
              <w:bottom w:val="nil"/>
              <w:right w:val="nil"/>
              <w:between w:val="nil"/>
            </w:pBdr>
            <w:tabs>
              <w:tab w:val="right" w:pos="8921"/>
            </w:tabs>
            <w:spacing w:after="0" w:line="360" w:lineRule="auto"/>
            <w:rPr>
              <w:rFonts w:ascii="Cambria" w:eastAsia="Cambria" w:hAnsi="Cambria" w:cs="Cambria"/>
              <w:color w:val="000000"/>
            </w:rPr>
          </w:pPr>
          <w:r>
            <w:fldChar w:fldCharType="begin"/>
          </w:r>
          <w:r>
            <w:instrText xml:space="preserve"> TOC \h \u \z \t "Heading 1,1,Heading 2,2,Heading 3,3,"</w:instrText>
          </w:r>
          <w:r>
            <w:fldChar w:fldCharType="separate"/>
          </w:r>
          <w:hyperlink w:anchor="_heading=h.saroqsgzzmh8">
            <w:r>
              <w:rPr>
                <w:color w:val="000000"/>
              </w:rPr>
              <w:t>A N T E C E D E N T E S</w:t>
            </w:r>
            <w:r>
              <w:rPr>
                <w:color w:val="000000"/>
              </w:rPr>
              <w:tab/>
              <w:t>2</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ln16xd27zxb">
            <w:r w:rsidR="00070667">
              <w:rPr>
                <w:color w:val="000000"/>
              </w:rPr>
              <w:t>I. Presentación de la solicitud de información</w:t>
            </w:r>
            <w:r w:rsidR="00070667">
              <w:rPr>
                <w:color w:val="000000"/>
              </w:rPr>
              <w:tab/>
              <w:t>2</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mnmsjgwgwsit">
            <w:r w:rsidR="00070667">
              <w:rPr>
                <w:color w:val="000000"/>
              </w:rPr>
              <w:t>II. Respuesta del Sujeto Obligado</w:t>
            </w:r>
            <w:r w:rsidR="00070667">
              <w:rPr>
                <w:color w:val="000000"/>
              </w:rPr>
              <w:tab/>
              <w:t>3</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ffyb1ty4xv7a">
            <w:r w:rsidR="00070667">
              <w:rPr>
                <w:color w:val="000000"/>
              </w:rPr>
              <w:t>III. Interposición del Recurso de Revisión</w:t>
            </w:r>
            <w:r w:rsidR="00070667">
              <w:rPr>
                <w:color w:val="000000"/>
              </w:rPr>
              <w:tab/>
              <w:t>3</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rb7dy0u85wz7">
            <w:r w:rsidR="00070667">
              <w:rPr>
                <w:color w:val="000000"/>
              </w:rPr>
              <w:t>IV. Trámite del Recurso de Revisión ante este Instituto</w:t>
            </w:r>
            <w:r w:rsidR="00070667">
              <w:rPr>
                <w:color w:val="000000"/>
              </w:rPr>
              <w:tab/>
              <w:t>4</w:t>
            </w:r>
          </w:hyperlink>
        </w:p>
        <w:p w:rsidR="005C13C4" w:rsidRDefault="001D51C7">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q6c5ed6nw5l3">
            <w:r w:rsidR="00070667">
              <w:rPr>
                <w:color w:val="000000"/>
              </w:rPr>
              <w:t>C O N S I D E R A N D O S</w:t>
            </w:r>
            <w:r w:rsidR="00070667">
              <w:rPr>
                <w:color w:val="000000"/>
              </w:rPr>
              <w:tab/>
              <w:t>6</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6l6p2shgev51">
            <w:r w:rsidR="00070667">
              <w:rPr>
                <w:color w:val="000000"/>
              </w:rPr>
              <w:t>PRIMERO. Competencia</w:t>
            </w:r>
            <w:r w:rsidR="00070667">
              <w:rPr>
                <w:color w:val="000000"/>
              </w:rPr>
              <w:tab/>
              <w:t>6</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ybc83chbbf8p">
            <w:r w:rsidR="00070667">
              <w:rPr>
                <w:color w:val="000000"/>
              </w:rPr>
              <w:t>SEGUNDO. Causales de improcedencia y sobreseimiento</w:t>
            </w:r>
            <w:r w:rsidR="00070667">
              <w:rPr>
                <w:color w:val="000000"/>
              </w:rPr>
              <w:tab/>
              <w:t>7</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9ck13rdar94q">
            <w:r w:rsidR="00070667">
              <w:rPr>
                <w:color w:val="000000"/>
              </w:rPr>
              <w:t>TERCERO. Determinación de la Controversia</w:t>
            </w:r>
            <w:r w:rsidR="00070667">
              <w:rPr>
                <w:color w:val="000000"/>
              </w:rPr>
              <w:tab/>
              <w:t>9</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mo4k8bdmmlzi">
            <w:r w:rsidR="00070667">
              <w:rPr>
                <w:color w:val="000000"/>
              </w:rPr>
              <w:t>CUARTO. Marco normativo aplicable en materia de transparencia y acceso a la información pública</w:t>
            </w:r>
            <w:r w:rsidR="00070667">
              <w:rPr>
                <w:color w:val="000000"/>
              </w:rPr>
              <w:tab/>
              <w:t>10</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akir1zsulmd1">
            <w:r w:rsidR="00070667">
              <w:rPr>
                <w:color w:val="000000"/>
              </w:rPr>
              <w:t>QUINTO. Estudio de Fondo</w:t>
            </w:r>
            <w:r w:rsidR="00070667">
              <w:rPr>
                <w:color w:val="000000"/>
              </w:rPr>
              <w:tab/>
              <w:t>11</w:t>
            </w:r>
          </w:hyperlink>
        </w:p>
        <w:p w:rsidR="005C13C4" w:rsidRDefault="001D51C7">
          <w:pPr>
            <w:pBdr>
              <w:top w:val="nil"/>
              <w:left w:val="nil"/>
              <w:bottom w:val="nil"/>
              <w:right w:val="nil"/>
              <w:between w:val="nil"/>
            </w:pBdr>
            <w:tabs>
              <w:tab w:val="right" w:pos="8921"/>
            </w:tabs>
            <w:spacing w:after="0" w:line="360" w:lineRule="auto"/>
            <w:ind w:left="220"/>
            <w:rPr>
              <w:rFonts w:ascii="Cambria" w:eastAsia="Cambria" w:hAnsi="Cambria" w:cs="Cambria"/>
              <w:color w:val="000000"/>
            </w:rPr>
          </w:pPr>
          <w:hyperlink w:anchor="_heading=h.4trngpihqofg">
            <w:r w:rsidR="00070667">
              <w:rPr>
                <w:color w:val="000000"/>
              </w:rPr>
              <w:t>SEXTO. Decisión</w:t>
            </w:r>
            <w:r w:rsidR="00070667">
              <w:rPr>
                <w:color w:val="000000"/>
              </w:rPr>
              <w:tab/>
              <w:t>32</w:t>
            </w:r>
          </w:hyperlink>
        </w:p>
        <w:p w:rsidR="005C13C4" w:rsidRDefault="001D51C7">
          <w:pPr>
            <w:pBdr>
              <w:top w:val="nil"/>
              <w:left w:val="nil"/>
              <w:bottom w:val="nil"/>
              <w:right w:val="nil"/>
              <w:between w:val="nil"/>
            </w:pBdr>
            <w:tabs>
              <w:tab w:val="right" w:pos="8921"/>
            </w:tabs>
            <w:spacing w:after="0" w:line="360" w:lineRule="auto"/>
            <w:rPr>
              <w:rFonts w:ascii="Cambria" w:eastAsia="Cambria" w:hAnsi="Cambria" w:cs="Cambria"/>
              <w:color w:val="000000"/>
            </w:rPr>
          </w:pPr>
          <w:hyperlink w:anchor="_heading=h.exmy535y8ieh">
            <w:r w:rsidR="00070667">
              <w:rPr>
                <w:color w:val="000000"/>
              </w:rPr>
              <w:t>R E S U E L V E</w:t>
            </w:r>
            <w:r w:rsidR="00070667">
              <w:rPr>
                <w:color w:val="000000"/>
              </w:rPr>
              <w:tab/>
              <w:t>33</w:t>
            </w:r>
          </w:hyperlink>
        </w:p>
        <w:p w:rsidR="005C13C4" w:rsidRDefault="00070667">
          <w:pPr>
            <w:spacing w:after="0" w:line="360" w:lineRule="auto"/>
          </w:pPr>
          <w:r>
            <w:fldChar w:fldCharType="end"/>
          </w:r>
        </w:p>
      </w:sdtContent>
    </w:sdt>
    <w:p w:rsidR="005C13C4" w:rsidRDefault="005C13C4">
      <w:pPr>
        <w:tabs>
          <w:tab w:val="left" w:pos="8931"/>
        </w:tabs>
        <w:spacing w:after="0" w:line="360" w:lineRule="auto"/>
      </w:pPr>
    </w:p>
    <w:p w:rsidR="005C13C4" w:rsidRDefault="005C13C4">
      <w:pPr>
        <w:tabs>
          <w:tab w:val="left" w:pos="8931"/>
        </w:tabs>
        <w:spacing w:after="0" w:line="360" w:lineRule="auto"/>
      </w:pPr>
    </w:p>
    <w:p w:rsidR="005C13C4" w:rsidRDefault="005C13C4">
      <w:pPr>
        <w:tabs>
          <w:tab w:val="left" w:pos="8931"/>
        </w:tabs>
        <w:spacing w:after="0" w:line="360" w:lineRule="auto"/>
      </w:pPr>
    </w:p>
    <w:p w:rsidR="005C13C4" w:rsidRDefault="005C13C4">
      <w:pPr>
        <w:tabs>
          <w:tab w:val="left" w:pos="8931"/>
        </w:tabs>
        <w:spacing w:after="0" w:line="360" w:lineRule="auto"/>
      </w:pPr>
    </w:p>
    <w:p w:rsidR="005C13C4" w:rsidRDefault="005C13C4">
      <w:pPr>
        <w:tabs>
          <w:tab w:val="left" w:pos="8931"/>
        </w:tabs>
        <w:spacing w:after="0" w:line="360" w:lineRule="auto"/>
      </w:pPr>
    </w:p>
    <w:p w:rsidR="005C13C4" w:rsidRDefault="005C13C4">
      <w:pPr>
        <w:tabs>
          <w:tab w:val="left" w:pos="8931"/>
        </w:tabs>
        <w:spacing w:after="0" w:line="360" w:lineRule="auto"/>
      </w:pPr>
    </w:p>
    <w:p w:rsidR="005C13C4" w:rsidRDefault="005C13C4">
      <w:pPr>
        <w:tabs>
          <w:tab w:val="left" w:pos="8931"/>
        </w:tabs>
        <w:spacing w:after="0" w:line="360" w:lineRule="auto"/>
      </w:pPr>
    </w:p>
    <w:p w:rsidR="005C13C4" w:rsidRDefault="00070667">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dieciocho de febrero de dos mil veintiséis. </w:t>
      </w:r>
    </w:p>
    <w:p w:rsidR="005C13C4" w:rsidRDefault="005C13C4">
      <w:pPr>
        <w:spacing w:after="0" w:line="360" w:lineRule="auto"/>
        <w:rPr>
          <w:b/>
          <w:bCs/>
        </w:rPr>
      </w:pPr>
    </w:p>
    <w:p w:rsidR="005C13C4" w:rsidRDefault="00070667">
      <w:pPr>
        <w:spacing w:after="0" w:line="360" w:lineRule="auto"/>
        <w:rPr>
          <w:color w:val="0D0D0D"/>
        </w:rPr>
      </w:pPr>
      <w:r>
        <w:rPr>
          <w:b/>
          <w:bCs/>
        </w:rPr>
        <w:t xml:space="preserve">VISTO </w:t>
      </w:r>
      <w:r>
        <w:t xml:space="preserve">el expediente electrónico conformado con motivo del Recurso de Revisión </w:t>
      </w:r>
      <w:r w:rsidRPr="00F702BA">
        <w:rPr>
          <w:b/>
        </w:rPr>
        <w:t>09816/INFOEM/IP/RR/2025</w:t>
      </w:r>
      <w:r>
        <w:t xml:space="preserve">, interpuesto por la persona </w:t>
      </w:r>
      <w:r>
        <w:rPr>
          <w:color w:val="0D0D0D"/>
        </w:rPr>
        <w:t xml:space="preserve">Recurrente o Particular, en contra de la respuesta del Sujeto Obligado, </w:t>
      </w:r>
      <w:r w:rsidRPr="00F702BA">
        <w:rPr>
          <w:b/>
          <w:color w:val="0D0D0D"/>
        </w:rPr>
        <w:t>Ayuntamiento de Chicoloapan</w:t>
      </w:r>
      <w:r>
        <w:t>,</w:t>
      </w:r>
      <w:r>
        <w:rPr>
          <w:color w:val="0D0D0D"/>
        </w:rPr>
        <w:t xml:space="preserve"> a la solicitud de acceso a la información pública </w:t>
      </w:r>
      <w:r>
        <w:t>00192/CHICOLOA/IP/2025</w:t>
      </w:r>
      <w:r>
        <w:rPr>
          <w:color w:val="000000"/>
        </w:rPr>
        <w:t xml:space="preserve">, </w:t>
      </w:r>
      <w:r>
        <w:rPr>
          <w:color w:val="0D0D0D"/>
        </w:rPr>
        <w:t>se emite la presente Resolución, con base en los Antecedentes y Considerandos que se exponen a continuación:</w:t>
      </w:r>
    </w:p>
    <w:p w:rsidR="005C13C4" w:rsidRDefault="005C13C4">
      <w:pPr>
        <w:spacing w:after="0" w:line="360" w:lineRule="auto"/>
        <w:rPr>
          <w:b/>
          <w:bCs/>
        </w:rPr>
      </w:pPr>
    </w:p>
    <w:p w:rsidR="005C13C4" w:rsidRDefault="00070667">
      <w:pPr>
        <w:pStyle w:val="Ttulo1"/>
        <w:spacing w:before="0" w:after="0" w:line="360" w:lineRule="auto"/>
        <w:jc w:val="center"/>
        <w:rPr>
          <w:b w:val="0"/>
          <w:bCs w:val="0"/>
          <w:sz w:val="22"/>
          <w:szCs w:val="22"/>
        </w:rPr>
      </w:pPr>
      <w:bookmarkStart w:id="0" w:name="_heading=h.saroqsgzzmh8" w:colFirst="0" w:colLast="0"/>
      <w:bookmarkEnd w:id="0"/>
      <w:r>
        <w:rPr>
          <w:sz w:val="22"/>
          <w:szCs w:val="22"/>
        </w:rPr>
        <w:t>A N T E C E D E N T E S</w:t>
      </w:r>
    </w:p>
    <w:p w:rsidR="005C13C4" w:rsidRDefault="005C13C4">
      <w:pPr>
        <w:spacing w:after="0" w:line="360" w:lineRule="auto"/>
        <w:jc w:val="center"/>
        <w:rPr>
          <w:b/>
          <w:bCs/>
        </w:rPr>
      </w:pPr>
    </w:p>
    <w:p w:rsidR="005C13C4" w:rsidRDefault="00070667">
      <w:pPr>
        <w:pStyle w:val="Ttulo2"/>
        <w:spacing w:before="0" w:after="0" w:line="360" w:lineRule="auto"/>
        <w:rPr>
          <w:sz w:val="22"/>
          <w:szCs w:val="22"/>
        </w:rPr>
      </w:pPr>
      <w:bookmarkStart w:id="1" w:name="_heading=h.ln16xd27zxb" w:colFirst="0" w:colLast="0"/>
      <w:bookmarkEnd w:id="1"/>
      <w:r>
        <w:rPr>
          <w:sz w:val="22"/>
          <w:szCs w:val="22"/>
        </w:rPr>
        <w:t>I. Presentación de la solicitud de información</w:t>
      </w:r>
    </w:p>
    <w:p w:rsidR="005C13C4" w:rsidRDefault="005C13C4">
      <w:pPr>
        <w:tabs>
          <w:tab w:val="left" w:pos="567"/>
        </w:tabs>
        <w:spacing w:after="0" w:line="360" w:lineRule="auto"/>
      </w:pPr>
    </w:p>
    <w:p w:rsidR="005C13C4" w:rsidRDefault="00070667">
      <w:pPr>
        <w:spacing w:after="0" w:line="360" w:lineRule="auto"/>
      </w:pPr>
      <w:r>
        <w:t>El ocho de julio de dos mil veinticinco, la persona Recurrente presentó una solicitud de acceso a la información pública, a través del Sistema de Acceso a la Información Mexiquense (SAIMEX), ante el Ayuntamiento de Chicoloapan</w:t>
      </w:r>
      <w:r>
        <w:rPr>
          <w:color w:val="000000"/>
        </w:rPr>
        <w:t>,</w:t>
      </w:r>
      <w:r>
        <w:t xml:space="preserve"> en los siguientes términos: </w:t>
      </w:r>
    </w:p>
    <w:p w:rsidR="005C13C4" w:rsidRDefault="005C13C4">
      <w:pPr>
        <w:spacing w:after="0" w:line="360" w:lineRule="auto"/>
      </w:pPr>
    </w:p>
    <w:p w:rsidR="005C13C4" w:rsidRDefault="00070667">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rsidR="005C13C4" w:rsidRDefault="00070667">
      <w:pPr>
        <w:tabs>
          <w:tab w:val="left" w:pos="4667"/>
        </w:tabs>
        <w:spacing w:after="0" w:line="360" w:lineRule="auto"/>
        <w:ind w:left="567" w:right="567"/>
        <w:rPr>
          <w:i/>
          <w:iCs/>
          <w:sz w:val="20"/>
          <w:szCs w:val="20"/>
        </w:rPr>
      </w:pPr>
      <w:r>
        <w:rPr>
          <w:i/>
          <w:iCs/>
          <w:sz w:val="20"/>
          <w:szCs w:val="20"/>
        </w:rPr>
        <w:t xml:space="preserve">Se solicita al Gobierno de Chicoloapan Edo </w:t>
      </w:r>
      <w:proofErr w:type="spellStart"/>
      <w:r>
        <w:rPr>
          <w:i/>
          <w:iCs/>
          <w:sz w:val="20"/>
          <w:szCs w:val="20"/>
        </w:rPr>
        <w:t>Mex</w:t>
      </w:r>
      <w:proofErr w:type="spellEnd"/>
      <w:r>
        <w:rPr>
          <w:i/>
          <w:iCs/>
          <w:sz w:val="20"/>
          <w:szCs w:val="20"/>
        </w:rPr>
        <w:t xml:space="preserve"> a 08 de Julio del 2025. Me proporcione por este plataforma SAIMEX, la siguiente información: </w:t>
      </w:r>
      <w:proofErr w:type="spellStart"/>
      <w:r>
        <w:rPr>
          <w:i/>
          <w:iCs/>
          <w:sz w:val="20"/>
          <w:szCs w:val="20"/>
        </w:rPr>
        <w:t>Curriculum</w:t>
      </w:r>
      <w:proofErr w:type="spellEnd"/>
      <w:r>
        <w:rPr>
          <w:i/>
          <w:iCs/>
          <w:sz w:val="20"/>
          <w:szCs w:val="20"/>
        </w:rPr>
        <w:t xml:space="preserve"> Vitae "C.V" del Director de Seguridad Publica, Sub-Director, Secretaria Técnica y del Titular de C4, así mismo el su </w:t>
      </w:r>
      <w:proofErr w:type="spellStart"/>
      <w:r>
        <w:rPr>
          <w:i/>
          <w:iCs/>
          <w:sz w:val="20"/>
          <w:szCs w:val="20"/>
        </w:rPr>
        <w:t>ultimo</w:t>
      </w:r>
      <w:proofErr w:type="spellEnd"/>
      <w:r>
        <w:rPr>
          <w:i/>
          <w:iCs/>
          <w:sz w:val="20"/>
          <w:szCs w:val="20"/>
        </w:rPr>
        <w:t xml:space="preserve"> recibo de </w:t>
      </w:r>
      <w:proofErr w:type="spellStart"/>
      <w:r>
        <w:rPr>
          <w:i/>
          <w:iCs/>
          <w:sz w:val="20"/>
          <w:szCs w:val="20"/>
        </w:rPr>
        <w:t>nomina</w:t>
      </w:r>
      <w:proofErr w:type="spellEnd"/>
      <w:r>
        <w:rPr>
          <w:i/>
          <w:iCs/>
          <w:sz w:val="20"/>
          <w:szCs w:val="20"/>
        </w:rPr>
        <w:t xml:space="preserve"> de la </w:t>
      </w:r>
      <w:proofErr w:type="spellStart"/>
      <w:r>
        <w:rPr>
          <w:i/>
          <w:iCs/>
          <w:sz w:val="20"/>
          <w:szCs w:val="20"/>
        </w:rPr>
        <w:t>ultima</w:t>
      </w:r>
      <w:proofErr w:type="spellEnd"/>
      <w:r>
        <w:rPr>
          <w:i/>
          <w:iCs/>
          <w:sz w:val="20"/>
          <w:szCs w:val="20"/>
        </w:rPr>
        <w:t xml:space="preserve"> vez siendo servidor </w:t>
      </w:r>
      <w:proofErr w:type="spellStart"/>
      <w:r>
        <w:rPr>
          <w:i/>
          <w:iCs/>
          <w:sz w:val="20"/>
          <w:szCs w:val="20"/>
        </w:rPr>
        <w:t>publico</w:t>
      </w:r>
      <w:proofErr w:type="spellEnd"/>
      <w:r>
        <w:rPr>
          <w:i/>
          <w:iCs/>
          <w:sz w:val="20"/>
          <w:szCs w:val="20"/>
        </w:rPr>
        <w:t xml:space="preserve"> habilitado, anterior a este </w:t>
      </w:r>
      <w:proofErr w:type="spellStart"/>
      <w:r>
        <w:rPr>
          <w:i/>
          <w:iCs/>
          <w:sz w:val="20"/>
          <w:szCs w:val="20"/>
        </w:rPr>
        <w:t>ultimo</w:t>
      </w:r>
      <w:proofErr w:type="spellEnd"/>
      <w:r>
        <w:rPr>
          <w:i/>
          <w:iCs/>
          <w:sz w:val="20"/>
          <w:szCs w:val="20"/>
        </w:rPr>
        <w:t xml:space="preserve"> y del actual recibo de </w:t>
      </w:r>
      <w:proofErr w:type="spellStart"/>
      <w:r>
        <w:rPr>
          <w:i/>
          <w:iCs/>
          <w:sz w:val="20"/>
          <w:szCs w:val="20"/>
        </w:rPr>
        <w:t>nomina</w:t>
      </w:r>
      <w:proofErr w:type="spellEnd"/>
      <w:r>
        <w:rPr>
          <w:i/>
          <w:iCs/>
          <w:sz w:val="20"/>
          <w:szCs w:val="20"/>
        </w:rPr>
        <w:t xml:space="preserve">.” (Sic.) </w:t>
      </w:r>
    </w:p>
    <w:p w:rsidR="005C13C4" w:rsidRDefault="005C13C4">
      <w:pPr>
        <w:tabs>
          <w:tab w:val="left" w:pos="4667"/>
        </w:tabs>
        <w:spacing w:after="0" w:line="360" w:lineRule="auto"/>
        <w:ind w:right="567"/>
        <w:rPr>
          <w:b/>
          <w:bCs/>
          <w:i/>
          <w:iCs/>
          <w:sz w:val="20"/>
          <w:szCs w:val="20"/>
        </w:rPr>
      </w:pPr>
    </w:p>
    <w:p w:rsidR="005C13C4" w:rsidRDefault="00070667">
      <w:pPr>
        <w:tabs>
          <w:tab w:val="left" w:pos="4667"/>
        </w:tabs>
        <w:spacing w:after="0" w:line="360" w:lineRule="auto"/>
        <w:ind w:left="567" w:right="567"/>
        <w:rPr>
          <w:b/>
          <w:bCs/>
          <w:i/>
          <w:iCs/>
          <w:sz w:val="20"/>
          <w:szCs w:val="20"/>
        </w:rPr>
      </w:pPr>
      <w:r>
        <w:rPr>
          <w:b/>
          <w:bCs/>
          <w:i/>
          <w:iCs/>
          <w:sz w:val="20"/>
          <w:szCs w:val="20"/>
        </w:rPr>
        <w:t>“MODALIDAD DE ENTREGA</w:t>
      </w:r>
    </w:p>
    <w:p w:rsidR="005C13C4" w:rsidRDefault="00070667">
      <w:pPr>
        <w:spacing w:after="0" w:line="360" w:lineRule="auto"/>
        <w:ind w:left="567" w:right="567"/>
        <w:rPr>
          <w:i/>
          <w:iCs/>
          <w:sz w:val="20"/>
          <w:szCs w:val="20"/>
        </w:rPr>
      </w:pPr>
      <w:r>
        <w:rPr>
          <w:i/>
          <w:iCs/>
          <w:sz w:val="20"/>
          <w:szCs w:val="20"/>
        </w:rPr>
        <w:t>A través del SAIMEX”</w:t>
      </w:r>
    </w:p>
    <w:p w:rsidR="005C13C4" w:rsidRDefault="005C13C4">
      <w:pPr>
        <w:spacing w:after="0" w:line="360" w:lineRule="auto"/>
        <w:ind w:left="567" w:right="567"/>
        <w:rPr>
          <w:i/>
          <w:iCs/>
          <w:sz w:val="20"/>
          <w:szCs w:val="20"/>
        </w:rPr>
      </w:pPr>
    </w:p>
    <w:p w:rsidR="005C13C4" w:rsidRDefault="00070667">
      <w:pPr>
        <w:pStyle w:val="Ttulo2"/>
        <w:spacing w:before="0" w:after="0" w:line="360" w:lineRule="auto"/>
        <w:rPr>
          <w:sz w:val="22"/>
          <w:szCs w:val="22"/>
        </w:rPr>
      </w:pPr>
      <w:bookmarkStart w:id="2" w:name="_heading=h.mnmsjgwgwsit" w:colFirst="0" w:colLast="0"/>
      <w:bookmarkEnd w:id="2"/>
      <w:r>
        <w:rPr>
          <w:sz w:val="22"/>
          <w:szCs w:val="22"/>
        </w:rPr>
        <w:lastRenderedPageBreak/>
        <w:t>II. Respuesta del Sujeto Obligado</w:t>
      </w:r>
    </w:p>
    <w:p w:rsidR="005C13C4" w:rsidRDefault="005C13C4">
      <w:pPr>
        <w:spacing w:after="0" w:line="360" w:lineRule="auto"/>
        <w:rPr>
          <w:b/>
          <w:bCs/>
        </w:rPr>
      </w:pPr>
    </w:p>
    <w:p w:rsidR="005C13C4" w:rsidRDefault="00070667">
      <w:pPr>
        <w:spacing w:after="0" w:line="360" w:lineRule="auto"/>
      </w:pPr>
      <w:r>
        <w:t xml:space="preserve">El dieciocho de agosto de dos mil veinticinco, el Sujeto Obligado notificó, a través del Sistema de Acceso a la Información Mexiquense (SAIMEX), la respuesta a la solicitud de acceso a la información pública, a través de los documentos siguientes: </w:t>
      </w:r>
    </w:p>
    <w:p w:rsidR="005C13C4" w:rsidRDefault="005C13C4">
      <w:pPr>
        <w:spacing w:after="0" w:line="360" w:lineRule="auto"/>
      </w:pPr>
    </w:p>
    <w:p w:rsidR="005C13C4" w:rsidRDefault="00070667">
      <w:pPr>
        <w:spacing w:after="0" w:line="360" w:lineRule="auto"/>
      </w:pPr>
      <w:r>
        <w:t xml:space="preserve">i) Oficio número CHICO/DA/CDP/0368/2025 del dieciséis de julio de dos mil veinticinco,  suscrito por el Coordinador de Desarrollo de Personal  y dirigido al Solicitante por medio del cual precisó adjuntar de manera digital la información en versión pública.  </w:t>
      </w:r>
    </w:p>
    <w:p w:rsidR="005C13C4" w:rsidRDefault="005C13C4">
      <w:pPr>
        <w:spacing w:after="0" w:line="360" w:lineRule="auto"/>
      </w:pPr>
    </w:p>
    <w:p w:rsidR="005C13C4" w:rsidRDefault="00070667">
      <w:pPr>
        <w:spacing w:after="0" w:line="360" w:lineRule="auto"/>
        <w:rPr>
          <w:i/>
          <w:iCs/>
          <w:sz w:val="20"/>
          <w:szCs w:val="20"/>
        </w:rPr>
      </w:pPr>
      <w:r>
        <w:t>ii) Adjuntó la digitalización de los Currículum Vitae de Josafat Green Ramírez, Carlos Daniel Cruz Guadarrama, Cesar Moran Morales y Elsa Hernández Flores, en versión pública en los que clasificó CURP, RFC, CUIP, domicilio, teléfonos, fecha de nacimiento y lugar de nacimiento. (Se dejó a la vista el estado civil, edad y correo electrónico personal en los currículums)</w:t>
      </w:r>
    </w:p>
    <w:p w:rsidR="005C13C4" w:rsidRDefault="005C13C4">
      <w:pPr>
        <w:spacing w:after="0" w:line="360" w:lineRule="auto"/>
        <w:ind w:right="567"/>
        <w:rPr>
          <w:sz w:val="20"/>
          <w:szCs w:val="20"/>
        </w:rPr>
      </w:pPr>
    </w:p>
    <w:p w:rsidR="005C13C4" w:rsidRDefault="00070667">
      <w:pPr>
        <w:spacing w:after="0" w:line="360" w:lineRule="auto"/>
      </w:pPr>
      <w:r>
        <w:t xml:space="preserve">iv) Adjuntó la digitalización de dos recibos de nómina correspondientes a la segunda quincena de julio de dos mil veinticinco, del Director de Seguridad Pública y Movilidad (Josafat Green Ramírez) y Cesar Moran Morales (Subdirector), en los que clasificó RFC, CURP, clave </w:t>
      </w:r>
      <w:proofErr w:type="spellStart"/>
      <w:r>
        <w:t>ISEMMyM</w:t>
      </w:r>
      <w:proofErr w:type="spellEnd"/>
      <w:r>
        <w:t xml:space="preserve"> y percepciones. </w:t>
      </w:r>
    </w:p>
    <w:p w:rsidR="005C13C4" w:rsidRDefault="005C13C4">
      <w:pPr>
        <w:spacing w:after="0" w:line="360" w:lineRule="auto"/>
      </w:pPr>
    </w:p>
    <w:p w:rsidR="005C13C4" w:rsidRDefault="00070667">
      <w:pPr>
        <w:pStyle w:val="Ttulo2"/>
        <w:spacing w:before="0" w:after="0" w:line="360" w:lineRule="auto"/>
        <w:rPr>
          <w:sz w:val="22"/>
          <w:szCs w:val="22"/>
        </w:rPr>
      </w:pPr>
      <w:bookmarkStart w:id="3" w:name="_heading=h.ffyb1ty4xv7a" w:colFirst="0" w:colLast="0"/>
      <w:bookmarkEnd w:id="3"/>
      <w:r>
        <w:rPr>
          <w:sz w:val="22"/>
          <w:szCs w:val="22"/>
        </w:rPr>
        <w:t>III. Interposición del Recurso de Revisión</w:t>
      </w:r>
    </w:p>
    <w:p w:rsidR="005C13C4" w:rsidRDefault="005C13C4">
      <w:pPr>
        <w:spacing w:after="0" w:line="360" w:lineRule="auto"/>
        <w:rPr>
          <w:b/>
          <w:bCs/>
        </w:rPr>
      </w:pPr>
    </w:p>
    <w:p w:rsidR="005C13C4" w:rsidRDefault="00070667">
      <w:pPr>
        <w:spacing w:after="0" w:line="360" w:lineRule="auto"/>
      </w:pPr>
      <w:r>
        <w:t xml:space="preserve">El veinte de agosto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 </w:t>
      </w:r>
    </w:p>
    <w:p w:rsidR="005C13C4" w:rsidRDefault="00070667">
      <w:pPr>
        <w:spacing w:after="0" w:line="360" w:lineRule="auto"/>
        <w:ind w:left="567" w:right="567"/>
        <w:rPr>
          <w:i/>
          <w:iCs/>
          <w:sz w:val="20"/>
          <w:szCs w:val="20"/>
        </w:rPr>
      </w:pPr>
      <w:r>
        <w:rPr>
          <w:b/>
          <w:bCs/>
          <w:i/>
          <w:iCs/>
          <w:sz w:val="20"/>
          <w:szCs w:val="20"/>
        </w:rPr>
        <w:lastRenderedPageBreak/>
        <w:t>‘’ACTO IMPUGNADO</w:t>
      </w:r>
    </w:p>
    <w:p w:rsidR="005C13C4" w:rsidRDefault="00070667">
      <w:pPr>
        <w:spacing w:after="0" w:line="360" w:lineRule="auto"/>
        <w:ind w:left="567" w:right="567"/>
        <w:rPr>
          <w:i/>
          <w:iCs/>
          <w:sz w:val="20"/>
          <w:szCs w:val="20"/>
        </w:rPr>
      </w:pPr>
      <w:r>
        <w:rPr>
          <w:i/>
          <w:iCs/>
          <w:sz w:val="20"/>
          <w:szCs w:val="20"/>
        </w:rPr>
        <w:t xml:space="preserve">Información incompleta dejando el archivo </w:t>
      </w:r>
      <w:proofErr w:type="spellStart"/>
      <w:r>
        <w:rPr>
          <w:i/>
          <w:iCs/>
          <w:sz w:val="20"/>
          <w:szCs w:val="20"/>
        </w:rPr>
        <w:t>CVs</w:t>
      </w:r>
      <w:proofErr w:type="spellEnd"/>
      <w:r>
        <w:rPr>
          <w:i/>
          <w:iCs/>
          <w:sz w:val="20"/>
          <w:szCs w:val="20"/>
        </w:rPr>
        <w:t xml:space="preserve"> Seguri_merged.pdf que se me fue enviado para su revisión.”</w:t>
      </w:r>
    </w:p>
    <w:p w:rsidR="005C13C4" w:rsidRDefault="005C13C4">
      <w:pPr>
        <w:spacing w:after="0" w:line="360" w:lineRule="auto"/>
        <w:ind w:left="567" w:right="567"/>
        <w:rPr>
          <w:i/>
          <w:iCs/>
          <w:sz w:val="20"/>
          <w:szCs w:val="20"/>
        </w:rPr>
      </w:pPr>
    </w:p>
    <w:p w:rsidR="005C13C4" w:rsidRDefault="00070667">
      <w:pPr>
        <w:spacing w:after="0" w:line="360" w:lineRule="auto"/>
        <w:ind w:left="567" w:right="567"/>
        <w:rPr>
          <w:b/>
          <w:bCs/>
          <w:i/>
          <w:iCs/>
          <w:sz w:val="20"/>
          <w:szCs w:val="20"/>
        </w:rPr>
      </w:pPr>
      <w:r>
        <w:rPr>
          <w:b/>
          <w:bCs/>
          <w:i/>
          <w:iCs/>
          <w:sz w:val="20"/>
          <w:szCs w:val="20"/>
        </w:rPr>
        <w:t>‘’RAZONES O MOTIVOS DE LA INCONFORMIDAD</w:t>
      </w:r>
    </w:p>
    <w:p w:rsidR="005C13C4" w:rsidRDefault="00070667">
      <w:pPr>
        <w:spacing w:after="0" w:line="360" w:lineRule="auto"/>
        <w:ind w:left="567" w:right="567"/>
        <w:rPr>
          <w:i/>
          <w:iCs/>
          <w:sz w:val="20"/>
          <w:szCs w:val="20"/>
        </w:rPr>
      </w:pPr>
      <w:r>
        <w:rPr>
          <w:i/>
          <w:iCs/>
          <w:sz w:val="20"/>
          <w:szCs w:val="20"/>
        </w:rPr>
        <w:t xml:space="preserve">Si bien solicite por medio de este la información completa de estos cuatro servidores solo me </w:t>
      </w:r>
      <w:proofErr w:type="gramStart"/>
      <w:r>
        <w:rPr>
          <w:i/>
          <w:iCs/>
          <w:sz w:val="20"/>
          <w:szCs w:val="20"/>
        </w:rPr>
        <w:t>mandaron</w:t>
      </w:r>
      <w:proofErr w:type="gramEnd"/>
      <w:r>
        <w:rPr>
          <w:i/>
          <w:iCs/>
          <w:sz w:val="20"/>
          <w:szCs w:val="20"/>
        </w:rPr>
        <w:t xml:space="preserve"> dos perfiles completos. De nueva cuenta ingreso el </w:t>
      </w:r>
      <w:proofErr w:type="spellStart"/>
      <w:r>
        <w:rPr>
          <w:i/>
          <w:iCs/>
          <w:sz w:val="20"/>
          <w:szCs w:val="20"/>
        </w:rPr>
        <w:t>dia</w:t>
      </w:r>
      <w:proofErr w:type="spellEnd"/>
      <w:r>
        <w:rPr>
          <w:i/>
          <w:iCs/>
          <w:sz w:val="20"/>
          <w:szCs w:val="20"/>
        </w:rPr>
        <w:t xml:space="preserve"> 20 de agosto del 2025 mí recurso de revisión para volver a solicitar una vez más, la información completa: de (Carlos Daniel Cruz G*********) y (Elsa Hernández F*****). Que si bien mandaron solo su C. V falto en su recibo de </w:t>
      </w:r>
      <w:proofErr w:type="spellStart"/>
      <w:r>
        <w:rPr>
          <w:i/>
          <w:iCs/>
          <w:sz w:val="20"/>
          <w:szCs w:val="20"/>
        </w:rPr>
        <w:t>nomina</w:t>
      </w:r>
      <w:proofErr w:type="spellEnd"/>
      <w:r>
        <w:rPr>
          <w:i/>
          <w:iCs/>
          <w:sz w:val="20"/>
          <w:szCs w:val="20"/>
        </w:rPr>
        <w:t xml:space="preserve"> actual. Agradezco a los 2 anteriores servidores públicos por su cumplimiento en tiempo y forma.” </w:t>
      </w:r>
    </w:p>
    <w:p w:rsidR="005C13C4" w:rsidRDefault="005C13C4">
      <w:pPr>
        <w:spacing w:after="0" w:line="360" w:lineRule="auto"/>
        <w:ind w:right="567"/>
        <w:rPr>
          <w:i/>
          <w:iCs/>
          <w:sz w:val="20"/>
          <w:szCs w:val="20"/>
        </w:rPr>
      </w:pPr>
    </w:p>
    <w:p w:rsidR="005C13C4" w:rsidRDefault="00070667">
      <w:pPr>
        <w:spacing w:after="0" w:line="360" w:lineRule="auto"/>
      </w:pPr>
      <w:r>
        <w:t>El Particular adjuntó la digitalización de los currículos y recibos de nómina remitidos en respuesta, descritos en el Antecedente II.</w:t>
      </w:r>
    </w:p>
    <w:p w:rsidR="005C13C4" w:rsidRDefault="005C13C4">
      <w:pPr>
        <w:spacing w:after="0" w:line="360" w:lineRule="auto"/>
        <w:ind w:right="567"/>
      </w:pPr>
    </w:p>
    <w:p w:rsidR="005C13C4" w:rsidRDefault="00070667">
      <w:pPr>
        <w:pStyle w:val="Ttulo2"/>
        <w:spacing w:before="0" w:after="0" w:line="360" w:lineRule="auto"/>
        <w:rPr>
          <w:sz w:val="22"/>
          <w:szCs w:val="22"/>
        </w:rPr>
      </w:pPr>
      <w:bookmarkStart w:id="4" w:name="_heading=h.rb7dy0u85wz7" w:colFirst="0" w:colLast="0"/>
      <w:bookmarkEnd w:id="4"/>
      <w:r>
        <w:rPr>
          <w:sz w:val="22"/>
          <w:szCs w:val="22"/>
        </w:rPr>
        <w:t>IV. Trámite del Recurso de Revisión ante este Instituto</w:t>
      </w:r>
    </w:p>
    <w:p w:rsidR="005C13C4" w:rsidRDefault="005C13C4">
      <w:pPr>
        <w:spacing w:after="0" w:line="360" w:lineRule="auto"/>
        <w:rPr>
          <w:b/>
          <w:bCs/>
        </w:rPr>
      </w:pPr>
    </w:p>
    <w:p w:rsidR="005C13C4" w:rsidRDefault="00070667">
      <w:pPr>
        <w:spacing w:after="0" w:line="360" w:lineRule="auto"/>
      </w:pPr>
      <w:r>
        <w:rPr>
          <w:b/>
          <w:bCs/>
        </w:rPr>
        <w:t>a) Turno del Medio de Impugnación.</w:t>
      </w:r>
      <w:r>
        <w:t xml:space="preserve"> El veinte de agosto de dos mil veinticinco, el Sistema de Acceso a la Información Mexiquense (SAIMEX), asignó el número de expediente </w:t>
      </w:r>
      <w:r>
        <w:rPr>
          <w:b/>
          <w:bCs/>
        </w:rPr>
        <w:t>09816/INFOEM/IP/RR/2025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5C13C4" w:rsidRDefault="005C13C4">
      <w:pPr>
        <w:spacing w:after="0" w:line="360" w:lineRule="auto"/>
        <w:rPr>
          <w:b/>
          <w:bCs/>
        </w:rPr>
      </w:pPr>
    </w:p>
    <w:p w:rsidR="005C13C4" w:rsidRDefault="00070667">
      <w:pPr>
        <w:spacing w:after="0" w:line="360" w:lineRule="auto"/>
      </w:pPr>
      <w:r>
        <w:rPr>
          <w:b/>
          <w:bCs/>
        </w:rPr>
        <w:t xml:space="preserve">b) Admisión del Recurso de Revisión. </w:t>
      </w:r>
      <w:r>
        <w:t xml:space="preserve">El veinticinco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w:t>
      </w:r>
      <w:r>
        <w:lastRenderedPageBreak/>
        <w:t>a las partes el mismo día, a través del Sistema de Acceso a la Información Mexiquense (SAIMEX), en el que se les otorgó un plazo de siete días hábiles posteriores a la misma, para que manifestaran lo que a su derecho conviniera y formularan alegatos.</w:t>
      </w:r>
    </w:p>
    <w:p w:rsidR="005C13C4" w:rsidRDefault="005C13C4">
      <w:pPr>
        <w:spacing w:after="0" w:line="360" w:lineRule="auto"/>
      </w:pPr>
    </w:p>
    <w:p w:rsidR="005C13C4" w:rsidRDefault="00070667">
      <w:pPr>
        <w:spacing w:after="0" w:line="360" w:lineRule="auto"/>
      </w:pPr>
      <w:bookmarkStart w:id="5" w:name="_heading=h.6kmtotasyqw1" w:colFirst="0" w:colLast="0"/>
      <w:bookmarkEnd w:id="5"/>
      <w:r>
        <w:rPr>
          <w:b/>
          <w:bCs/>
        </w:rPr>
        <w:t xml:space="preserve">c) Informe Justificado. </w:t>
      </w:r>
      <w:r>
        <w:t xml:space="preserve">El veintinueve de septiembre de dos mil veinticinco, se recibió, a través del Sistema de Acceso a la Información Mexiquense (SAIMEX), el Informe Justificado del Sujeto Obligado, a través de los documentos siguientes: </w:t>
      </w:r>
    </w:p>
    <w:p w:rsidR="005C13C4" w:rsidRDefault="005C13C4">
      <w:pPr>
        <w:spacing w:after="0" w:line="360" w:lineRule="auto"/>
      </w:pPr>
    </w:p>
    <w:p w:rsidR="005C13C4" w:rsidRDefault="00070667">
      <w:pPr>
        <w:spacing w:after="0" w:line="360" w:lineRule="auto"/>
      </w:pPr>
      <w:r>
        <w:t xml:space="preserve">i) Oficio número CHICO/DA/CDP/0569/2025 del diecinueve de dos mil veinticinco, suscrito por el Coordinador de Desarrollo de Personal y dirigido al Titular de la Unidad de Transparencia, por medio del cual precisó que en el momento de la respuesta de la solicitud no se contaba con el recibo de nómina del Titular del Centro de Control, Comando, Comunicación y Cómputo C4, ya que fue designado en fecha reciente a la solicitud y aún no se había generado recibo de nómina del mismo, no obstante, refirió anexar el recibo de nómina de la quincena inmediata anterior al igual que el recibo de nómina de la Secretaria Técnica del Consejo Municipal de Seguridad Pública. </w:t>
      </w:r>
    </w:p>
    <w:p w:rsidR="005C13C4" w:rsidRDefault="005C13C4">
      <w:pPr>
        <w:spacing w:after="0" w:line="360" w:lineRule="auto"/>
      </w:pPr>
    </w:p>
    <w:p w:rsidR="005C13C4" w:rsidRDefault="00070667">
      <w:pPr>
        <w:spacing w:after="0" w:line="360" w:lineRule="auto"/>
      </w:pPr>
      <w:r>
        <w:t xml:space="preserve">ii) Adjuntó la digitalización de los recibos de nómina del Coordinador del Centro de Control, Comando, Comunicación y Cómputo C4  (Carlos Daniel Cruz Guadarrama) y la Secretaria Técnica del Consejo Municipal de Seguridad (Elsa Hernández Flores), correspondiente a la segunda quincena de agosto de dos mil veinticinco. </w:t>
      </w:r>
    </w:p>
    <w:p w:rsidR="005C13C4" w:rsidRDefault="005C13C4">
      <w:pPr>
        <w:spacing w:after="0" w:line="360" w:lineRule="auto"/>
      </w:pPr>
    </w:p>
    <w:p w:rsidR="005C13C4" w:rsidRDefault="00070667">
      <w:pPr>
        <w:spacing w:after="0" w:line="360" w:lineRule="auto"/>
        <w:rPr>
          <w:b/>
          <w:bCs/>
        </w:rPr>
      </w:pPr>
      <w:r>
        <w:rPr>
          <w:b/>
          <w:bCs/>
          <w:color w:val="000000"/>
        </w:rPr>
        <w:t>d) Vista del Informe Justificado.</w:t>
      </w:r>
      <w:r>
        <w:t xml:space="preserve"> El diez de febrero de dos mil veintiséis,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rsidR="005C13C4" w:rsidRDefault="005C13C4">
      <w:pPr>
        <w:spacing w:after="0" w:line="360" w:lineRule="auto"/>
      </w:pPr>
    </w:p>
    <w:p w:rsidR="005C13C4" w:rsidRDefault="00070667">
      <w:pPr>
        <w:spacing w:after="0" w:line="360" w:lineRule="auto"/>
      </w:pPr>
      <w:r>
        <w:rPr>
          <w:b/>
          <w:bCs/>
        </w:rPr>
        <w:t xml:space="preserve">e) Ampliación de plazo para resolver. </w:t>
      </w:r>
      <w:r>
        <w:t>El diez de febrero de dos mil veintiséis, el Comisionado Ponente, con fundamento en lo dispuesto por el artículo 181, párrafo tercero, de la Ley de Transparencia y Acceso a la Información Pública del Estado de México y Municipios, acordó ampliar por un plazo razonable, el plazo para resolver el Recurso de Revisión que nos ocupa; acto que fue notificado a las partes el día hábil siguiente, mediante el Sistema de Acceso a la Información Mexiquense (SAIMEX).</w:t>
      </w:r>
    </w:p>
    <w:p w:rsidR="005C13C4" w:rsidRDefault="005C13C4">
      <w:pPr>
        <w:spacing w:after="0" w:line="360" w:lineRule="auto"/>
      </w:pPr>
    </w:p>
    <w:p w:rsidR="005C13C4" w:rsidRDefault="00070667">
      <w:pPr>
        <w:spacing w:after="0" w:line="360" w:lineRule="auto"/>
      </w:pPr>
      <w:r>
        <w:rPr>
          <w:b/>
          <w:bCs/>
        </w:rPr>
        <w:t>f) Cierre de instrucción.</w:t>
      </w:r>
      <w:r>
        <w:t xml:space="preserve"> El diecisiete de febrero de dos mil veintiséis,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5C13C4" w:rsidRDefault="005C13C4">
      <w:pPr>
        <w:spacing w:after="0" w:line="360" w:lineRule="auto"/>
      </w:pPr>
    </w:p>
    <w:p w:rsidR="005C13C4" w:rsidRDefault="00070667">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rsidR="005C13C4" w:rsidRDefault="005C13C4">
      <w:pPr>
        <w:spacing w:after="0" w:line="360" w:lineRule="auto"/>
      </w:pPr>
    </w:p>
    <w:p w:rsidR="005C13C4" w:rsidRDefault="00070667">
      <w:pPr>
        <w:pStyle w:val="Ttulo1"/>
        <w:spacing w:before="0" w:after="0" w:line="360" w:lineRule="auto"/>
        <w:jc w:val="center"/>
        <w:rPr>
          <w:sz w:val="22"/>
          <w:szCs w:val="22"/>
        </w:rPr>
      </w:pPr>
      <w:bookmarkStart w:id="6" w:name="_heading=h.q6c5ed6nw5l3" w:colFirst="0" w:colLast="0"/>
      <w:bookmarkEnd w:id="6"/>
      <w:r>
        <w:rPr>
          <w:sz w:val="22"/>
          <w:szCs w:val="22"/>
        </w:rPr>
        <w:t>C O N S I D E R A N D O S</w:t>
      </w:r>
    </w:p>
    <w:p w:rsidR="005C13C4" w:rsidRDefault="005C13C4">
      <w:pPr>
        <w:spacing w:after="0" w:line="360" w:lineRule="auto"/>
        <w:jc w:val="center"/>
        <w:rPr>
          <w:b/>
          <w:bCs/>
          <w:color w:val="000000"/>
        </w:rPr>
      </w:pPr>
    </w:p>
    <w:p w:rsidR="005C13C4" w:rsidRDefault="00070667">
      <w:pPr>
        <w:pStyle w:val="Ttulo2"/>
        <w:spacing w:before="0" w:after="0" w:line="360" w:lineRule="auto"/>
        <w:rPr>
          <w:sz w:val="22"/>
          <w:szCs w:val="22"/>
        </w:rPr>
      </w:pPr>
      <w:bookmarkStart w:id="7" w:name="_heading=h.6l6p2shgev51" w:colFirst="0" w:colLast="0"/>
      <w:bookmarkEnd w:id="7"/>
      <w:r>
        <w:rPr>
          <w:sz w:val="22"/>
          <w:szCs w:val="22"/>
        </w:rPr>
        <w:t>PRIMERO. Competencia</w:t>
      </w:r>
    </w:p>
    <w:p w:rsidR="005C13C4" w:rsidRDefault="005C13C4">
      <w:pPr>
        <w:spacing w:after="0" w:line="360" w:lineRule="auto"/>
      </w:pPr>
      <w:bookmarkStart w:id="8" w:name="_heading=h.30j0zll" w:colFirst="0" w:colLast="0"/>
      <w:bookmarkEnd w:id="8"/>
    </w:p>
    <w:p w:rsidR="005C13C4" w:rsidRDefault="00070667">
      <w:pPr>
        <w:spacing w:after="0" w:line="360" w:lineRule="auto"/>
        <w:rPr>
          <w:color w:val="000000"/>
        </w:rPr>
      </w:pPr>
      <w:r>
        <w:rPr>
          <w:color w:val="000000"/>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w:t>
      </w:r>
      <w:r>
        <w:rPr>
          <w:color w:val="000000"/>
        </w:rPr>
        <w:lastRenderedPageBreak/>
        <w:t>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5C13C4" w:rsidRDefault="005C13C4">
      <w:pPr>
        <w:spacing w:after="0" w:line="360" w:lineRule="auto"/>
        <w:rPr>
          <w:b/>
          <w:bCs/>
          <w:color w:val="000000"/>
        </w:rPr>
      </w:pPr>
    </w:p>
    <w:p w:rsidR="005C13C4" w:rsidRDefault="00070667">
      <w:pPr>
        <w:pStyle w:val="Ttulo2"/>
        <w:spacing w:before="0" w:after="0" w:line="360" w:lineRule="auto"/>
        <w:rPr>
          <w:sz w:val="22"/>
          <w:szCs w:val="22"/>
        </w:rPr>
      </w:pPr>
      <w:bookmarkStart w:id="9" w:name="_heading=h.ybc83chbbf8p" w:colFirst="0" w:colLast="0"/>
      <w:bookmarkEnd w:id="9"/>
      <w:r>
        <w:rPr>
          <w:sz w:val="22"/>
          <w:szCs w:val="22"/>
        </w:rPr>
        <w:t>SEGUNDO. Causales de improcedencia y sobreseimiento</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De las constancias que forma parte del Recurso de Revisión que se analiza, se advierte que previo al estudio del fondo de la </w:t>
      </w:r>
      <w:proofErr w:type="spellStart"/>
      <w:r>
        <w:rPr>
          <w:i/>
          <w:iCs/>
          <w:color w:val="000000"/>
        </w:rPr>
        <w:t>litis</w:t>
      </w:r>
      <w:proofErr w:type="spellEnd"/>
      <w:r>
        <w:rPr>
          <w:color w:val="000000"/>
        </w:rPr>
        <w:t>, es necesario estudiar las causales de improcedencia y sobreseimiento que se adviertan, para determinar lo que en Derecho proceda.</w:t>
      </w:r>
    </w:p>
    <w:p w:rsidR="005C13C4" w:rsidRDefault="005C13C4">
      <w:pPr>
        <w:spacing w:after="0" w:line="360" w:lineRule="auto"/>
        <w:rPr>
          <w:color w:val="000000"/>
        </w:rPr>
      </w:pPr>
    </w:p>
    <w:p w:rsidR="005C13C4" w:rsidRDefault="00070667">
      <w:pPr>
        <w:spacing w:after="0" w:line="360" w:lineRule="auto"/>
        <w:rPr>
          <w:b/>
          <w:bCs/>
        </w:rPr>
      </w:pPr>
      <w:r>
        <w:rPr>
          <w:b/>
          <w:bCs/>
        </w:rPr>
        <w:t>Causales de improcedencia</w:t>
      </w:r>
    </w:p>
    <w:p w:rsidR="005C13C4" w:rsidRDefault="005C13C4">
      <w:pPr>
        <w:spacing w:after="0" w:line="360" w:lineRule="auto"/>
        <w:rPr>
          <w:b/>
          <w:bCs/>
        </w:rPr>
      </w:pPr>
    </w:p>
    <w:p w:rsidR="005C13C4" w:rsidRDefault="00070667">
      <w:pPr>
        <w:spacing w:after="0" w:line="360" w:lineRule="auto"/>
        <w:rPr>
          <w:color w:val="000000"/>
        </w:rPr>
      </w:pPr>
      <w:r>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En el presente caso, </w:t>
      </w:r>
      <w:r>
        <w:rPr>
          <w:b/>
          <w:bCs/>
          <w:color w:val="000000"/>
        </w:rPr>
        <w:t>no se actualiza ninguna de las causales de improcedencia</w:t>
      </w:r>
      <w:r>
        <w:rPr>
          <w:color w:val="000000"/>
        </w:rPr>
        <w:t xml:space="preserve"> establecidas en el ordenamiento jurídico previamente señalado, toda vez que: este Instituto no tiene </w:t>
      </w:r>
      <w:r>
        <w:rPr>
          <w:color w:val="000000"/>
        </w:rPr>
        <w:lastRenderedPageBreak/>
        <w:t>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5C13C4" w:rsidRDefault="005C13C4">
      <w:pPr>
        <w:spacing w:after="0" w:line="360" w:lineRule="auto"/>
        <w:rPr>
          <w:color w:val="000000"/>
        </w:rPr>
      </w:pPr>
    </w:p>
    <w:p w:rsidR="005C13C4" w:rsidRDefault="00070667">
      <w:pPr>
        <w:spacing w:after="0" w:line="360" w:lineRule="auto"/>
      </w:pPr>
      <w:r>
        <w:t xml:space="preserve">Por lo cual, se actualiza la causal de procedencia del Recurso de Revisión señalada en el artículo 179, fracción V de la Ley en cita, pues la persona Recurrente se inconformó con la entrega de información incompleta. </w:t>
      </w:r>
    </w:p>
    <w:p w:rsidR="005C13C4" w:rsidRDefault="005C13C4">
      <w:pPr>
        <w:spacing w:after="0" w:line="360" w:lineRule="auto"/>
      </w:pPr>
    </w:p>
    <w:p w:rsidR="005C13C4" w:rsidRDefault="00070667">
      <w:pPr>
        <w:spacing w:after="0" w:line="360" w:lineRule="auto"/>
        <w:rPr>
          <w:color w:val="0D0D0D"/>
        </w:rPr>
      </w:pPr>
      <w:r>
        <w:rPr>
          <w:b/>
          <w:bCs/>
          <w:color w:val="0D0D0D"/>
        </w:rPr>
        <w:t>Causales de sobreseimiento</w:t>
      </w:r>
    </w:p>
    <w:p w:rsidR="005C13C4" w:rsidRDefault="005C13C4">
      <w:pPr>
        <w:spacing w:after="0" w:line="360" w:lineRule="auto"/>
        <w:rPr>
          <w:color w:val="0D0D0D"/>
        </w:rPr>
      </w:pPr>
    </w:p>
    <w:p w:rsidR="005C13C4" w:rsidRDefault="00070667">
      <w:pPr>
        <w:spacing w:after="0" w:line="360" w:lineRule="auto"/>
        <w:rPr>
          <w:color w:val="0D0D0D"/>
        </w:rPr>
      </w:pPr>
      <w:r>
        <w:rPr>
          <w:color w:val="0D0D0D"/>
        </w:rPr>
        <w:t>Por ser de previo y especial pronunciamiento, este Instituto analiza si se actualiza alguna causal de sobreseimiento.</w:t>
      </w:r>
    </w:p>
    <w:p w:rsidR="005C13C4" w:rsidRDefault="005C13C4">
      <w:pPr>
        <w:spacing w:after="0" w:line="360" w:lineRule="auto"/>
        <w:rPr>
          <w:color w:val="0D0D0D"/>
        </w:rPr>
      </w:pPr>
    </w:p>
    <w:p w:rsidR="005C13C4" w:rsidRDefault="00070667">
      <w:pPr>
        <w:spacing w:after="0" w:line="360" w:lineRule="auto"/>
        <w:rPr>
          <w:color w:val="000000"/>
        </w:rPr>
      </w:pPr>
      <w:r>
        <w:rPr>
          <w:color w:val="0D0D0D"/>
        </w:rPr>
        <w:t>Sobre el tema, e</w:t>
      </w:r>
      <w:r>
        <w:rPr>
          <w:color w:val="000000"/>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5C13C4" w:rsidRDefault="005C13C4">
      <w:pPr>
        <w:spacing w:after="0" w:line="360" w:lineRule="auto"/>
        <w:rPr>
          <w:color w:val="000000"/>
        </w:rPr>
      </w:pPr>
    </w:p>
    <w:p w:rsidR="005C13C4" w:rsidRDefault="00070667">
      <w:pPr>
        <w:spacing w:after="0" w:line="360" w:lineRule="auto"/>
        <w:rPr>
          <w:color w:val="0D0D0D"/>
        </w:rPr>
      </w:pPr>
      <w:r>
        <w:rPr>
          <w:color w:val="0D0D0D"/>
        </w:rPr>
        <w:t xml:space="preserve">Por tales motivos, se considera procedente entrar al fondo del presente asunto. </w:t>
      </w:r>
    </w:p>
    <w:p w:rsidR="005C13C4" w:rsidRDefault="005C13C4">
      <w:pPr>
        <w:spacing w:after="0" w:line="360" w:lineRule="auto"/>
        <w:rPr>
          <w:b/>
          <w:bCs/>
          <w:color w:val="000000"/>
          <w:highlight w:val="yellow"/>
        </w:rPr>
      </w:pPr>
    </w:p>
    <w:p w:rsidR="005C13C4" w:rsidRDefault="00070667">
      <w:pPr>
        <w:pStyle w:val="Ttulo2"/>
        <w:spacing w:before="0" w:after="0" w:line="360" w:lineRule="auto"/>
        <w:rPr>
          <w:sz w:val="22"/>
          <w:szCs w:val="22"/>
        </w:rPr>
      </w:pPr>
      <w:bookmarkStart w:id="10" w:name="_heading=h.9ck13rdar94q" w:colFirst="0" w:colLast="0"/>
      <w:bookmarkEnd w:id="10"/>
      <w:r>
        <w:rPr>
          <w:sz w:val="22"/>
          <w:szCs w:val="22"/>
        </w:rPr>
        <w:t>TERCERO. Determinación de la Controversia</w:t>
      </w:r>
    </w:p>
    <w:p w:rsidR="005C13C4" w:rsidRDefault="005C13C4">
      <w:pPr>
        <w:spacing w:after="0" w:line="360" w:lineRule="auto"/>
        <w:rPr>
          <w:b/>
          <w:bCs/>
          <w:color w:val="000000"/>
        </w:rPr>
      </w:pPr>
    </w:p>
    <w:p w:rsidR="005C13C4" w:rsidRDefault="00070667">
      <w:pPr>
        <w:spacing w:after="0" w:line="360" w:lineRule="auto"/>
      </w:pPr>
      <w:r>
        <w:lastRenderedPageBreak/>
        <w:t xml:space="preserve">Con el objetivo de ilustrar la controversia planteada, resulta conveniente precisar, que una vez realizado el estudio de las constancias que integran el expediente en el que se actúa, se desprende que el Particular requirió, el currículum vitae y los recibos de nóminas correspondientes a la primera quincena de junio y la primera quincena de julio de dos mil veinticinco, del Director de Seguridad Pública, Subdirector, Secretaria Técnica y del Titular de C4. </w:t>
      </w:r>
    </w:p>
    <w:p w:rsidR="005C13C4" w:rsidRDefault="005C13C4">
      <w:pPr>
        <w:spacing w:after="0" w:line="360" w:lineRule="auto"/>
      </w:pPr>
    </w:p>
    <w:p w:rsidR="005C13C4" w:rsidRDefault="00070667">
      <w:pPr>
        <w:spacing w:after="0" w:line="360" w:lineRule="auto"/>
        <w:rPr>
          <w:i/>
          <w:iCs/>
          <w:color w:val="000000"/>
        </w:rPr>
      </w:pPr>
      <w:r>
        <w:rPr>
          <w:color w:val="000000"/>
        </w:rPr>
        <w:t xml:space="preserve">En respuesta, el Sujeto Obligado, a través de la Coordinación de Desarrollo de Personal remitió los documentos con la información curricular de los servidores públicos referidos y dos recibos de nómina correspondientes a la segunda quincena de julio de dos mil veinticinco del Director de Seguridad Pública y Movilidad y el Subdirector; ante dicha circunstancia, el Particular se inconformó de la entrega de información incompleta respecto a los servidores públicos Carlos Daniel Cruz Guadarrama y Elsa Hernández Flores, al señalar que faltaban los recibos de nómina correspondientes a la </w:t>
      </w:r>
      <w:r>
        <w:rPr>
          <w:b/>
          <w:bCs/>
          <w:color w:val="000000"/>
        </w:rPr>
        <w:t>segunda quincena de julio de dos mil veinticinco</w:t>
      </w:r>
      <w:r>
        <w:rPr>
          <w:color w:val="000000"/>
        </w:rPr>
        <w:t xml:space="preserve">, lo cual actualiza la causal de procedencia prevista en la fracción V, del artículo 179 de la Ley de Transparencia y Acceso a la Información Pública del Estado de México y Municipios. </w:t>
      </w:r>
    </w:p>
    <w:p w:rsidR="005C13C4" w:rsidRDefault="005C13C4">
      <w:pPr>
        <w:spacing w:after="0" w:line="360" w:lineRule="auto"/>
        <w:rPr>
          <w:color w:val="FF0000"/>
        </w:rPr>
      </w:pPr>
    </w:p>
    <w:p w:rsidR="005C13C4" w:rsidRDefault="00070667">
      <w:pPr>
        <w:spacing w:after="0" w:line="360" w:lineRule="auto"/>
        <w:rPr>
          <w:color w:val="FF0000"/>
        </w:rPr>
      </w:pPr>
      <w:r>
        <w:rPr>
          <w:color w:val="000000"/>
        </w:rPr>
        <w:t xml:space="preserve">Conforme a lo anterior, se logra vislumbrar que el ahora Recurrente no se agravió de las documentales entregadas, sino que únicamente se inconformó de los documentos faltantes correspondientes a los recibos de nómina de la segunda quincena de julio de dos mil veinticinco, del Titular del C4 y la Secretaria Técnica; por lo que, no se hará pronunciamiento alguno, respecto a las documentales entregadas en respuesta,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Pr>
          <w:b/>
          <w:bCs/>
          <w:color w:val="000000"/>
        </w:rPr>
        <w:lastRenderedPageBreak/>
        <w:t>los actos que se hayan consentido tácitamente,</w:t>
      </w:r>
      <w:r>
        <w:rPr>
          <w:color w:val="000000"/>
        </w:rPr>
        <w:t xml:space="preserve"> entendiéndose por estos cuando el agravio no se haya promovido en el plazo señalado para el efecto.</w:t>
      </w:r>
    </w:p>
    <w:p w:rsidR="005C13C4" w:rsidRDefault="005C13C4">
      <w:pPr>
        <w:spacing w:after="0" w:line="360" w:lineRule="auto"/>
        <w:rPr>
          <w:color w:val="FF0000"/>
        </w:rPr>
      </w:pPr>
    </w:p>
    <w:p w:rsidR="005C13C4" w:rsidRDefault="00070667">
      <w:pPr>
        <w:spacing w:after="0" w:line="360" w:lineRule="auto"/>
        <w:rPr>
          <w:color w:val="000000"/>
        </w:rPr>
      </w:pPr>
      <w:r>
        <w:rPr>
          <w:color w:val="000000"/>
        </w:rPr>
        <w:t xml:space="preserve">De la misma manera resulta aplicable el criterio sostenido por el Poder Judicial de la Federación de rubro </w:t>
      </w:r>
      <w:r>
        <w:rPr>
          <w:b/>
          <w:bCs/>
          <w:color w:val="000000"/>
        </w:rPr>
        <w:t>ACTOS CONSENTIDOS TÁCITAMENTE</w:t>
      </w:r>
      <w:r>
        <w:rPr>
          <w:color w:val="000000"/>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Asimismo, resulta relevante traer a colación el Criterio de Interpretación, de la Segunda Época, con número de registro SO/001/2020, emitido por el Instituto Nacional de Transparencia, Acceso a la Información y Protección de Datos Personales, el cual establece que es improcedente entrar al análisis de las partes de la respuesta del Sujeto Obligado que no fueron impugnadas por la Recurrente.</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Así, en el presente caso, se tiene por consentida la información proporcionada por el Ente Recurrido y únicamente se entrará al análisis de los documentos faltantes de los recibos de nómina de la segunda quincena de julio de dos mil veinticinco, del Titular del C4 y la Secretaria Técnica. Así las cosas, una vez admitido y notificado el Recurso de Revisión a las </w:t>
      </w:r>
      <w:r>
        <w:rPr>
          <w:color w:val="000000"/>
        </w:rPr>
        <w:lastRenderedPageBreak/>
        <w:t xml:space="preserve">partes, el Sujeto Obligado remitió los recibos de nómina de la Secretaria Técnica del Consejo Municipal de Seguridad y del Titular del Centro de Control, Comando, Comunicación y Cómputo C4, de la segunda quincena de agosto de dos mil veinticinco. </w:t>
      </w:r>
    </w:p>
    <w:p w:rsidR="005C13C4" w:rsidRDefault="005C13C4">
      <w:pPr>
        <w:spacing w:after="0" w:line="360" w:lineRule="auto"/>
        <w:ind w:right="567"/>
        <w:rPr>
          <w:i/>
          <w:iCs/>
          <w:color w:val="FF0000"/>
          <w:sz w:val="20"/>
          <w:szCs w:val="20"/>
        </w:rPr>
      </w:pPr>
    </w:p>
    <w:p w:rsidR="005C13C4" w:rsidRDefault="00070667">
      <w:pPr>
        <w:tabs>
          <w:tab w:val="left" w:pos="4962"/>
        </w:tabs>
        <w:spacing w:after="0" w:line="360" w:lineRule="auto"/>
        <w:rPr>
          <w:color w:val="000000"/>
        </w:rPr>
      </w:pPr>
      <w:r>
        <w:rPr>
          <w:color w:val="000000"/>
        </w:rPr>
        <w:t xml:space="preserve">Lo anterior, se desprende de las documentales que obran en el expediente de referencia, materia de la presente resolución, consistente en: la solicitud de acceso a la información, el escrito </w:t>
      </w:r>
      <w:proofErr w:type="spellStart"/>
      <w:r>
        <w:rPr>
          <w:color w:val="000000"/>
        </w:rPr>
        <w:t>recursal</w:t>
      </w:r>
      <w:proofErr w:type="spellEnd"/>
      <w:r>
        <w:rPr>
          <w:color w:val="000000"/>
        </w:rPr>
        <w:t xml:space="preserve">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rsidR="005C13C4" w:rsidRDefault="005C13C4">
      <w:pPr>
        <w:pStyle w:val="Ttulo2"/>
        <w:spacing w:before="0" w:after="0" w:line="360" w:lineRule="auto"/>
        <w:rPr>
          <w:sz w:val="22"/>
          <w:szCs w:val="22"/>
        </w:rPr>
      </w:pPr>
    </w:p>
    <w:p w:rsidR="005C13C4" w:rsidRDefault="00070667">
      <w:pPr>
        <w:pStyle w:val="Ttulo2"/>
        <w:spacing w:before="0" w:after="0" w:line="360" w:lineRule="auto"/>
        <w:rPr>
          <w:sz w:val="22"/>
          <w:szCs w:val="22"/>
        </w:rPr>
      </w:pPr>
      <w:bookmarkStart w:id="11" w:name="_heading=h.mo4k8bdmmlzi" w:colFirst="0" w:colLast="0"/>
      <w:bookmarkEnd w:id="11"/>
      <w:r>
        <w:rPr>
          <w:sz w:val="22"/>
          <w:szCs w:val="22"/>
        </w:rPr>
        <w:t>CUARTO. Marco normativo aplicable en materia de transparencia y acceso a la información pública</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lastRenderedPageBreak/>
        <w:t>El artículo 12, que, quienes generen, recopilen, administren, manejen, procesen, archiven o conserven información pública serán responsables de la misma.</w:t>
      </w:r>
    </w:p>
    <w:p w:rsidR="005C13C4" w:rsidRDefault="005C13C4">
      <w:pPr>
        <w:spacing w:after="0" w:line="360" w:lineRule="auto"/>
        <w:rPr>
          <w:color w:val="000000"/>
        </w:rPr>
      </w:pPr>
    </w:p>
    <w:p w:rsidR="005C13C4" w:rsidRDefault="00070667">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5C13C4" w:rsidRDefault="005C13C4">
      <w:pPr>
        <w:widowControl w:val="0"/>
        <w:spacing w:after="0" w:line="360" w:lineRule="auto"/>
        <w:rPr>
          <w:color w:val="000000"/>
        </w:rPr>
      </w:pPr>
    </w:p>
    <w:p w:rsidR="005C13C4" w:rsidRDefault="00070667">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5C13C4" w:rsidRDefault="005C13C4">
      <w:pPr>
        <w:spacing w:after="0" w:line="360" w:lineRule="auto"/>
      </w:pPr>
    </w:p>
    <w:p w:rsidR="005C13C4" w:rsidRDefault="00070667">
      <w:pPr>
        <w:pStyle w:val="Ttulo2"/>
        <w:spacing w:before="0" w:after="0" w:line="360" w:lineRule="auto"/>
        <w:rPr>
          <w:sz w:val="22"/>
          <w:szCs w:val="22"/>
        </w:rPr>
      </w:pPr>
      <w:bookmarkStart w:id="12" w:name="_heading=h.akir1zsulmd1" w:colFirst="0" w:colLast="0"/>
      <w:bookmarkEnd w:id="12"/>
      <w:r>
        <w:rPr>
          <w:sz w:val="22"/>
          <w:szCs w:val="22"/>
        </w:rPr>
        <w:t>QUINTO. Estudio de Fondo</w:t>
      </w:r>
    </w:p>
    <w:p w:rsidR="005C13C4" w:rsidRDefault="005C13C4">
      <w:pPr>
        <w:spacing w:after="0" w:line="360" w:lineRule="auto"/>
        <w:rPr>
          <w:b/>
          <w:bCs/>
          <w:color w:val="000000"/>
        </w:rPr>
      </w:pPr>
    </w:p>
    <w:p w:rsidR="005C13C4" w:rsidRDefault="00070667">
      <w:pPr>
        <w:spacing w:after="0" w:line="360" w:lineRule="auto"/>
      </w:pPr>
      <w:r>
        <w:rPr>
          <w:color w:val="000000"/>
        </w:rPr>
        <w:t>Expuestas las posturas de las partes, se procede al análisis de los agravios hechos valer por la persona Recurrente</w:t>
      </w:r>
      <w:r>
        <w:t>, por lo que, en principio es necesario contextualizar la solicitud de información.</w:t>
      </w:r>
    </w:p>
    <w:p w:rsidR="005C13C4" w:rsidRDefault="005C13C4">
      <w:pPr>
        <w:spacing w:after="0" w:line="360" w:lineRule="auto"/>
      </w:pPr>
    </w:p>
    <w:p w:rsidR="005C13C4" w:rsidRDefault="00070667">
      <w:pPr>
        <w:spacing w:after="0" w:line="360" w:lineRule="auto"/>
        <w:rPr>
          <w:color w:val="000000"/>
        </w:rPr>
      </w:pPr>
      <w:r>
        <w:t xml:space="preserve">Sobre el tema, el </w:t>
      </w:r>
      <w:r>
        <w:rPr>
          <w:color w:val="000000"/>
        </w:rPr>
        <w:t>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En orden de ideas, el artículo 3°, fracción LXVIII,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rsidR="005C13C4" w:rsidRDefault="005C13C4">
      <w:pPr>
        <w:spacing w:after="0" w:line="360" w:lineRule="auto"/>
      </w:pPr>
    </w:p>
    <w:p w:rsidR="005C13C4" w:rsidRDefault="00070667">
      <w:pPr>
        <w:spacing w:after="0" w:line="360" w:lineRule="auto"/>
        <w:rPr>
          <w:color w:val="000000"/>
        </w:rPr>
      </w:pPr>
      <w:r>
        <w:rPr>
          <w:color w:val="000000"/>
        </w:rPr>
        <w:t>De la misma manera, el Manual para la Planeación, Programación y presupuesto de egresos Municipal para el ejercicio fiscal dos mil veinticinco, refiere que las remuneraciones consisten en la percepción de un trabajador o retribución monetaria que se da en pago por su servicio o actividad desarrollada.</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Ahora bien, la Ley del Trabajo de los Servidores Públicos del Estado y Municipios, en su artículo 220 K, fracciones II y IV, establece los documentos que tiene la obligación de conservar el Sujeto Obligado, entre los que se encuentra los </w:t>
      </w:r>
      <w:r>
        <w:rPr>
          <w:b/>
          <w:bCs/>
          <w:color w:val="000000"/>
        </w:rPr>
        <w:t>recibos de pago de salarios o las</w:t>
      </w:r>
      <w:r>
        <w:rPr>
          <w:color w:val="000000"/>
        </w:rPr>
        <w:t xml:space="preserve"> </w:t>
      </w:r>
      <w:r>
        <w:rPr>
          <w:b/>
          <w:bCs/>
          <w:color w:val="000000"/>
        </w:rPr>
        <w:t xml:space="preserve">constancias documentales del pago de sueldos, </w:t>
      </w:r>
      <w:r>
        <w:rPr>
          <w:color w:val="000000"/>
        </w:rPr>
        <w:t xml:space="preserve">cuando sea por depósito o mediante información electrónica; así como los recibos o constancias de depósito o del medio de información magnética o electrónica que sean utilizadas para el pago de salarios, prima vacacional, aguinaldo y demás prestaciones. </w:t>
      </w:r>
    </w:p>
    <w:p w:rsidR="005C13C4" w:rsidRDefault="005C13C4">
      <w:pPr>
        <w:spacing w:after="0" w:line="360" w:lineRule="auto"/>
        <w:ind w:right="-28"/>
        <w:rPr>
          <w:color w:val="000000"/>
        </w:rPr>
      </w:pPr>
    </w:p>
    <w:p w:rsidR="005C13C4" w:rsidRDefault="00070667">
      <w:pPr>
        <w:spacing w:after="0" w:line="360" w:lineRule="auto"/>
        <w:rPr>
          <w:color w:val="000000"/>
        </w:rPr>
      </w:pPr>
      <w:r>
        <w:rPr>
          <w:color w:val="000000"/>
        </w:rPr>
        <w:t>Lo anterior, toma sustento en la Tesis aislada número I.6o.T.154 L (10a.), emitida por los Tribunales Colegiados de Circuito, publicada el abril de dos mil dieciséis, en la Gaceta del Semanario Judicial de la Federación, en su Libro 29, Tomo III, misma que señala lo siguiente:</w:t>
      </w:r>
    </w:p>
    <w:p w:rsidR="005C13C4" w:rsidRDefault="005C13C4">
      <w:pPr>
        <w:spacing w:after="0" w:line="360" w:lineRule="auto"/>
        <w:rPr>
          <w:color w:val="000000"/>
        </w:rPr>
      </w:pPr>
    </w:p>
    <w:p w:rsidR="005C13C4" w:rsidRDefault="00070667">
      <w:pPr>
        <w:spacing w:after="0" w:line="360" w:lineRule="auto"/>
        <w:ind w:left="567" w:right="567"/>
        <w:rPr>
          <w:i/>
          <w:iCs/>
          <w:color w:val="000000"/>
          <w:sz w:val="20"/>
          <w:szCs w:val="20"/>
        </w:rPr>
      </w:pPr>
      <w:r>
        <w:rPr>
          <w:b/>
          <w:bCs/>
          <w:i/>
          <w:iCs/>
          <w:color w:val="000000"/>
          <w:sz w:val="20"/>
          <w:szCs w:val="20"/>
        </w:rPr>
        <w:t>“RECIBOS DE PAGO</w:t>
      </w:r>
      <w:r>
        <w:rPr>
          <w:i/>
          <w:iCs/>
          <w:color w:val="000000"/>
          <w:sz w:val="20"/>
          <w:szCs w:val="20"/>
        </w:rPr>
        <w:t xml:space="preserve"> </w:t>
      </w:r>
      <w:r>
        <w:rPr>
          <w:b/>
          <w:bCs/>
          <w:i/>
          <w:iCs/>
          <w:color w:val="000000"/>
          <w:sz w:val="20"/>
          <w:szCs w:val="20"/>
        </w:rPr>
        <w:t xml:space="preserve">EMITIDOS POR MEDIOS ELECTRÓNICOS SIN FIRMA DEL TRABAJADOR. SON VÁLIDOS PARA ACREDITAR LOS CONCEPTOS Y MONTOS </w:t>
      </w:r>
      <w:r>
        <w:rPr>
          <w:b/>
          <w:bCs/>
          <w:i/>
          <w:iCs/>
          <w:color w:val="000000"/>
          <w:sz w:val="20"/>
          <w:szCs w:val="20"/>
        </w:rPr>
        <w:lastRenderedPageBreak/>
        <w:t xml:space="preserve">QUE EN ELLOS SE INSERTAN (APLICACIÓN SUPLETORIA DEL ARTÍCULO 776, FRACCIONES II Y VIII, DE LA LEY FEDERAL DEL TRABAJO, A LA LEY FEDERAL DE LOS TRABAJADORES AL SERVICIO DEL ESTADO). </w:t>
      </w:r>
      <w:r>
        <w:rPr>
          <w:i/>
          <w:iCs/>
          <w:color w:val="000000"/>
          <w:sz w:val="20"/>
          <w:szCs w:val="20"/>
        </w:rPr>
        <w:t>En materia burocrática los recibos de pago que se obtienen por medios electrónicos son válidos para acreditar los conceptos y montos que en ellos se insertan, en términos del artículo 776, fracciones II y VIII, de la Ley Federal del Trabajo, aplicada supletoriamente a la Ley Federal de los Trabajadores al Servicio del Estado; lo anterior por no ser contrarios a la moral ni al derecho, por lo que la falta de firma de esos documentos, no les resta convicción plena, porque el avance de la ciencia y la necesidad propia de evitar pagos en efectivo, han impuesto al patrón-Estado pagar a sus trabajadores por la vía electrónica; por tanto, si para demostrar las percepciones y montos los recibos correspondientes se exhiben de esta forma sin prueba en contrario que los desvirtúe, entonces no hay razón jurídica para condicionar su eficacia probatoria a que deban adminicularse con otras pruebas; resolver en contrario, implicaría desatender el artículo 137 de la referida Ley Federal de los Trabajadores al Servicio del Estado.”</w:t>
      </w:r>
    </w:p>
    <w:p w:rsidR="005C13C4" w:rsidRDefault="005C13C4">
      <w:pPr>
        <w:spacing w:after="0" w:line="360" w:lineRule="auto"/>
        <w:rPr>
          <w:b/>
          <w:bCs/>
          <w:i/>
          <w:iCs/>
          <w:color w:val="000000"/>
        </w:rPr>
      </w:pPr>
    </w:p>
    <w:p w:rsidR="005C13C4" w:rsidRDefault="00070667">
      <w:pPr>
        <w:spacing w:after="0" w:line="360" w:lineRule="auto"/>
        <w:rPr>
          <w:color w:val="000000"/>
        </w:rPr>
      </w:pPr>
      <w:r>
        <w:rPr>
          <w:color w:val="000000"/>
        </w:rPr>
        <w:t xml:space="preserve">De la tesis transcrita, se desprende que </w:t>
      </w:r>
      <w:r>
        <w:rPr>
          <w:b/>
          <w:bCs/>
          <w:color w:val="000000"/>
        </w:rPr>
        <w:t>en materia burocrática</w:t>
      </w:r>
      <w:r>
        <w:rPr>
          <w:color w:val="000000"/>
        </w:rPr>
        <w:t xml:space="preserve"> </w:t>
      </w:r>
      <w:r>
        <w:rPr>
          <w:b/>
          <w:bCs/>
          <w:color w:val="000000"/>
        </w:rPr>
        <w:t>los recibos de pago acreditan los conceptos y montos que en ellos se insertan</w:t>
      </w:r>
      <w:r>
        <w:rPr>
          <w:color w:val="000000"/>
        </w:rPr>
        <w:t>, y constituyen prueba para demostrar las percepciones y montos que reciben los servidores públicos.</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Ahora bien, respecto a los servidores públicos Carlos Daniel Cruz Guadarrama y Elsa Hernández Flores, este Instituto localizo en la fracción VII “El directorio de todos los servidores públicos” del sistema de Información Pública de Oficio Mexiquense (IPOMEX 4.0), lo siguiente:</w:t>
      </w:r>
    </w:p>
    <w:p w:rsidR="005C13C4" w:rsidRDefault="005C13C4">
      <w:pPr>
        <w:spacing w:after="0" w:line="360" w:lineRule="auto"/>
        <w:rPr>
          <w:color w:val="000000"/>
        </w:rPr>
      </w:pPr>
    </w:p>
    <w:p w:rsidR="005C13C4" w:rsidRDefault="00070667">
      <w:pPr>
        <w:spacing w:after="0" w:line="360" w:lineRule="auto"/>
        <w:jc w:val="center"/>
        <w:rPr>
          <w:color w:val="000000"/>
        </w:rPr>
      </w:pPr>
      <w:r>
        <w:rPr>
          <w:noProof/>
          <w:color w:val="000000"/>
        </w:rPr>
        <w:lastRenderedPageBreak/>
        <w:drawing>
          <wp:inline distT="0" distB="0" distL="0" distR="0">
            <wp:extent cx="4748646" cy="2065670"/>
            <wp:effectExtent l="0" t="0" r="0" b="0"/>
            <wp:docPr id="1638951987" name="image5.png" descr="Interfaz de usuario gráfica, Texto, Aplicación, Correo electrónico,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5.png" descr="Interfaz de usuario gráfica, Texto, Aplicación, Correo electrónico, Sitio web&#10;&#10;El contenido generado por IA puede ser incorrecto."/>
                    <pic:cNvPicPr preferRelativeResize="0"/>
                  </pic:nvPicPr>
                  <pic:blipFill>
                    <a:blip r:embed="rId8"/>
                    <a:srcRect/>
                    <a:stretch>
                      <a:fillRect/>
                    </a:stretch>
                  </pic:blipFill>
                  <pic:spPr>
                    <a:xfrm>
                      <a:off x="0" y="0"/>
                      <a:ext cx="4748646" cy="2065670"/>
                    </a:xfrm>
                    <a:prstGeom prst="rect">
                      <a:avLst/>
                    </a:prstGeom>
                    <a:ln/>
                  </pic:spPr>
                </pic:pic>
              </a:graphicData>
            </a:graphic>
          </wp:inline>
        </w:drawing>
      </w:r>
    </w:p>
    <w:p w:rsidR="005C13C4" w:rsidRDefault="005C13C4">
      <w:pPr>
        <w:spacing w:after="0" w:line="360" w:lineRule="auto"/>
        <w:jc w:val="center"/>
        <w:rPr>
          <w:color w:val="000000"/>
        </w:rPr>
      </w:pPr>
    </w:p>
    <w:p w:rsidR="005C13C4" w:rsidRDefault="00070667">
      <w:pPr>
        <w:spacing w:after="0" w:line="360" w:lineRule="auto"/>
        <w:jc w:val="center"/>
        <w:rPr>
          <w:color w:val="000000"/>
        </w:rPr>
      </w:pPr>
      <w:r>
        <w:rPr>
          <w:noProof/>
          <w:color w:val="000000"/>
        </w:rPr>
        <w:drawing>
          <wp:inline distT="0" distB="0" distL="0" distR="0">
            <wp:extent cx="4742623" cy="2384322"/>
            <wp:effectExtent l="0" t="0" r="0" b="0"/>
            <wp:docPr id="1638951989" name="image4.png" descr="Interfaz de usuario gráfica, Aplicación, Tabla, Sitio web&#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0" name="image4.png" descr="Interfaz de usuario gráfica, Aplicación, Tabla, Sitio web&#10;&#10;El contenido generado por IA puede ser incorrecto."/>
                    <pic:cNvPicPr preferRelativeResize="0"/>
                  </pic:nvPicPr>
                  <pic:blipFill>
                    <a:blip r:embed="rId9"/>
                    <a:srcRect/>
                    <a:stretch>
                      <a:fillRect/>
                    </a:stretch>
                  </pic:blipFill>
                  <pic:spPr>
                    <a:xfrm>
                      <a:off x="0" y="0"/>
                      <a:ext cx="4742623" cy="2384322"/>
                    </a:xfrm>
                    <a:prstGeom prst="rect">
                      <a:avLst/>
                    </a:prstGeom>
                    <a:ln/>
                  </pic:spPr>
                </pic:pic>
              </a:graphicData>
            </a:graphic>
          </wp:inline>
        </w:drawing>
      </w:r>
    </w:p>
    <w:p w:rsidR="005C13C4" w:rsidRDefault="00070667">
      <w:pPr>
        <w:spacing w:after="0" w:line="360" w:lineRule="auto"/>
      </w:pPr>
      <w:r>
        <w:t xml:space="preserve">Así, se logra vislumbrar que la pretensión de la persona Recurrente es obtener, los recibos de nómina de Carlos Daniel Cruz Guadarrama </w:t>
      </w:r>
      <w:r>
        <w:rPr>
          <w:b/>
          <w:bCs/>
        </w:rPr>
        <w:t xml:space="preserve">(Coordinador del Centro de Control, Comando, Comunicación y Computo C4) </w:t>
      </w:r>
      <w:r>
        <w:t xml:space="preserve">y Elsa Hernández Flores (Secretaria Técnica del Consejo Municipal de Seguridad Pública), de la segunda quincena de julio de dos mil veinticinco.  </w:t>
      </w:r>
    </w:p>
    <w:p w:rsidR="005C13C4" w:rsidRDefault="005C13C4">
      <w:pPr>
        <w:spacing w:after="0" w:line="360" w:lineRule="auto"/>
        <w:rPr>
          <w:color w:val="000000"/>
        </w:rPr>
      </w:pPr>
    </w:p>
    <w:p w:rsidR="005C13C4" w:rsidRDefault="00070667">
      <w:pPr>
        <w:spacing w:after="0" w:line="360" w:lineRule="auto"/>
      </w:pPr>
      <w:r>
        <w:rPr>
          <w:color w:val="000000"/>
        </w:rPr>
        <w:t>Conforme a lo anterior, de las constancias que obran en el expediente electrónico, se advierte que el Sujeto Obligado</w:t>
      </w:r>
      <w:r>
        <w:rPr>
          <w:color w:val="0D0D0D"/>
        </w:rPr>
        <w:t xml:space="preserve">, turnó la solicitud de información a la </w:t>
      </w:r>
      <w:r>
        <w:t>Coordinación de Desarrollo de Personal</w:t>
      </w:r>
      <w:r>
        <w:rPr>
          <w:color w:val="000000"/>
        </w:rPr>
        <w:t xml:space="preserve">; </w:t>
      </w:r>
      <w:r>
        <w:t xml:space="preserve">por lo que, es oportuno hacer referencia al </w:t>
      </w:r>
      <w:r>
        <w:rPr>
          <w:b/>
          <w:bCs/>
        </w:rPr>
        <w:t>procedimiento de búsqueda que deben de seguir los Sujetos Obligados para localizar la información</w:t>
      </w:r>
      <w:r>
        <w:t xml:space="preserve">, el cual se encuentra previsto </w:t>
      </w:r>
      <w:r>
        <w:lastRenderedPageBreak/>
        <w:t>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rsidR="005C13C4" w:rsidRDefault="005C13C4">
      <w:pPr>
        <w:spacing w:after="0" w:line="360" w:lineRule="auto"/>
        <w:rPr>
          <w:color w:val="0D0D0D"/>
        </w:rPr>
      </w:pPr>
    </w:p>
    <w:p w:rsidR="005C13C4" w:rsidRDefault="00070667">
      <w:pPr>
        <w:spacing w:after="0" w:line="360" w:lineRule="auto"/>
        <w:rPr>
          <w:color w:val="0D0D0D"/>
        </w:rPr>
      </w:pPr>
      <w:r>
        <w:rPr>
          <w:color w:val="0D0D0D"/>
        </w:rPr>
        <w:t xml:space="preserve">Al respecto, el artículo 52, inciso B, fracción XI del Bando Municipal, dos mil veinticinco, de Chicoloapan, precisan que para el ejercicio de sus atribuciones el Ayuntamiento se auxiliará de las dependencias administrativas, como la Coordinación de Desarrollo de Personal, encargada de coordinar la integración del presupuesto del capítulo 1000 Servicios Personales y llevar el seguimiento de los movimientos de personal. </w:t>
      </w:r>
    </w:p>
    <w:p w:rsidR="005C13C4" w:rsidRDefault="005C13C4">
      <w:pPr>
        <w:spacing w:after="0" w:line="360" w:lineRule="auto"/>
        <w:rPr>
          <w:color w:val="0D0D0D"/>
        </w:rPr>
      </w:pPr>
    </w:p>
    <w:p w:rsidR="005C13C4" w:rsidRDefault="00070667">
      <w:pPr>
        <w:spacing w:after="0" w:line="360" w:lineRule="auto"/>
        <w:rPr>
          <w:color w:val="000000"/>
        </w:rPr>
      </w:pPr>
      <w:r>
        <w:rPr>
          <w:color w:val="000000"/>
        </w:rPr>
        <w:t xml:space="preserve">Así, </w:t>
      </w:r>
      <w:r>
        <w:t xml:space="preserve">se logra colegir que el Sujeto Obligado cumplió con el procedimiento de búsqueda </w:t>
      </w:r>
      <w:r>
        <w:rPr>
          <w:color w:val="000000"/>
        </w:rPr>
        <w:t xml:space="preserve">establecido en el artículo 162 de la Ley de Transparencia y Acceso a la Información Pública del Estado de México y Municipios, toda vez, que gestionó el requerimiento de información al área competente para conocer de la información solicitada. </w:t>
      </w:r>
    </w:p>
    <w:p w:rsidR="00FE31CE" w:rsidRDefault="00FE31CE">
      <w:pPr>
        <w:spacing w:after="0" w:line="360" w:lineRule="auto"/>
        <w:rPr>
          <w:color w:val="000000"/>
        </w:rPr>
      </w:pPr>
    </w:p>
    <w:p w:rsidR="005C13C4" w:rsidRDefault="00070667">
      <w:pPr>
        <w:spacing w:after="0" w:line="360" w:lineRule="auto"/>
        <w:rPr>
          <w:color w:val="000000"/>
        </w:rPr>
      </w:pPr>
      <w:r>
        <w:rPr>
          <w:color w:val="000000"/>
        </w:rPr>
        <w:t>Ahora bien, mediante informe justificado, dicha área precisó que al momento de dar respuesta no se contaba con el recibo de nómina del Titular del Centro de Control, Comando, Comunicación y Cómputo C4 (Carlos Daniel Cruz Guadarrama), toda vez que fue designado en fecha reciente a la solicitud de información y no se había generado recibo de nómina del mismo, correspondiente a la segunda quincena de julio de dos mil veinticinco.</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 Es decir, aludió que la información era inexistente; sobre el tema, el Criterio SO/014/2017, emitido por el Instituto Nacional de Transparencia, Acceso a la Información Pública y Protección de Datos Personales en el Estado de México y Municipios, a manera de referencia, </w:t>
      </w:r>
      <w:r>
        <w:rPr>
          <w:color w:val="000000"/>
        </w:rPr>
        <w:lastRenderedPageBreak/>
        <w:t xml:space="preserve">establece que la inexistencia de la información, es una cuestión de hecho que se le atribuye a la misma, cuando ésta no se encuentra en los archivos del sujeto obligado. </w:t>
      </w:r>
    </w:p>
    <w:p w:rsidR="005C13C4" w:rsidRDefault="005C13C4">
      <w:pPr>
        <w:tabs>
          <w:tab w:val="left" w:pos="4962"/>
        </w:tabs>
        <w:spacing w:after="0" w:line="360" w:lineRule="auto"/>
        <w:rPr>
          <w:color w:val="000000"/>
        </w:rPr>
      </w:pPr>
    </w:p>
    <w:p w:rsidR="005C13C4" w:rsidRDefault="00070667">
      <w:pPr>
        <w:tabs>
          <w:tab w:val="left" w:pos="4962"/>
        </w:tabs>
        <w:spacing w:after="0" w:line="360" w:lineRule="auto"/>
        <w:rPr>
          <w:color w:val="000000"/>
        </w:rPr>
      </w:pPr>
      <w:r>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rsidR="005C13C4" w:rsidRDefault="005C13C4">
      <w:pPr>
        <w:spacing w:after="0" w:line="360" w:lineRule="auto"/>
        <w:rPr>
          <w:color w:val="000000"/>
        </w:rPr>
      </w:pPr>
    </w:p>
    <w:p w:rsidR="005C13C4" w:rsidRDefault="00070667">
      <w:pPr>
        <w:widowControl w:val="0"/>
        <w:spacing w:after="0" w:line="360" w:lineRule="auto"/>
        <w:rPr>
          <w:color w:val="000000"/>
        </w:rPr>
      </w:pPr>
      <w:r>
        <w:rPr>
          <w:color w:val="000000"/>
        </w:rPr>
        <w:t xml:space="preserve">Así, es posible concluir que la </w:t>
      </w:r>
      <w:r>
        <w:rPr>
          <w:b/>
          <w:bCs/>
          <w:color w:val="000000"/>
        </w:rPr>
        <w:t>inexistencia</w:t>
      </w:r>
      <w:r>
        <w:rPr>
          <w:color w:val="000000"/>
        </w:rPr>
        <w:t xml:space="preserve"> presupone la competencia del sujeto obligado para conocer de la información, pero por alguna circunstancia, la documentación solicitada no obra en sus archivos. Para tal situación, no basta con que los sujetos obligados señalen dicha circunstancia, sino que también debe de señalar las razones por las cuales no cuentan con lo peticionado, es decir, las circunstancias que dan lugar a la inexistencia.</w:t>
      </w:r>
    </w:p>
    <w:p w:rsidR="005C13C4" w:rsidRDefault="005C13C4">
      <w:pPr>
        <w:widowControl w:val="0"/>
        <w:spacing w:after="0" w:line="360" w:lineRule="auto"/>
        <w:rPr>
          <w:color w:val="000000"/>
        </w:rPr>
      </w:pPr>
    </w:p>
    <w:p w:rsidR="005C13C4" w:rsidRDefault="00070667">
      <w:pPr>
        <w:spacing w:after="0" w:line="360" w:lineRule="auto"/>
        <w:rPr>
          <w:color w:val="000000"/>
        </w:rPr>
      </w:pPr>
      <w:r>
        <w:rPr>
          <w:color w:val="000000"/>
        </w:rPr>
        <w:t xml:space="preserve">Así, es posible concluir que la </w:t>
      </w:r>
      <w:r>
        <w:rPr>
          <w:b/>
          <w:bCs/>
          <w:color w:val="000000"/>
        </w:rPr>
        <w:t>inexistencia</w:t>
      </w:r>
      <w:r>
        <w:rPr>
          <w:color w:val="000000"/>
        </w:rPr>
        <w:t xml:space="preserve"> presupone la competencia del sujeto obligado para conocer de la información, pero por alguna circunstancia, la documentación solicitada no obra en sus archivos. Para tal situación, no basta con que los sujetos obligados señalen dicha circunstancia, sino que también debe de señalar las razones por las cuales no cuentan con lo peticionado, es decir, las circunstancias que dan lugar a la inexistencia.</w:t>
      </w:r>
    </w:p>
    <w:p w:rsidR="005C13C4" w:rsidRDefault="005C13C4">
      <w:pPr>
        <w:spacing w:after="0" w:line="360" w:lineRule="auto"/>
        <w:rPr>
          <w:color w:val="000000"/>
        </w:rPr>
      </w:pPr>
    </w:p>
    <w:p w:rsidR="005C13C4" w:rsidRDefault="00070667">
      <w:pPr>
        <w:spacing w:after="0" w:line="360" w:lineRule="auto"/>
        <w:rPr>
          <w:color w:val="C0504D"/>
        </w:rPr>
      </w:pPr>
      <w:r>
        <w:rPr>
          <w:color w:val="000000"/>
        </w:rPr>
        <w:t xml:space="preserve">En ese contexto, el Sujeto Obligado precisó las razones por las cuales no contaba con lo peticionado, a saber, que </w:t>
      </w:r>
      <w:r>
        <w:rPr>
          <w:b/>
          <w:bCs/>
          <w:color w:val="000000"/>
        </w:rPr>
        <w:t>Carlos Daniel Cruz Guadarrama</w:t>
      </w:r>
      <w:r>
        <w:rPr>
          <w:color w:val="000000"/>
        </w:rPr>
        <w:t xml:space="preserve"> fue designado como Coordinador del Centro de Control, Comando, Comunicación y Computo C4 en fecha reciente a la contestación de la solicitud de información, motivo por el cual no se había generado recibo de nómina correspondiente a la segunda quincena de julio de dos mil veinticinco; además, como se precisó en párrafos que anteceden</w:t>
      </w:r>
      <w:r>
        <w:t xml:space="preserve">,  este Instituto realizó una búsqueda en la página del Portal de Información Pública de Oficio Mexiquense del Sujeto Obligado y se logró </w:t>
      </w:r>
      <w:r>
        <w:lastRenderedPageBreak/>
        <w:t xml:space="preserve">vislumbrar que dicho servidor público causó alta como Coordinador del Centro de Control, Comando, Comunicación y Computo C4, el primero de agosto de dos mil veinticinco, tal como se muestra a continuación: </w:t>
      </w:r>
    </w:p>
    <w:p w:rsidR="005C13C4" w:rsidRDefault="005C13C4">
      <w:pPr>
        <w:spacing w:after="0" w:line="360" w:lineRule="auto"/>
        <w:rPr>
          <w:color w:val="C0504D"/>
        </w:rPr>
      </w:pPr>
    </w:p>
    <w:p w:rsidR="005C13C4" w:rsidRDefault="00070667">
      <w:pPr>
        <w:spacing w:after="0" w:line="360" w:lineRule="auto"/>
        <w:rPr>
          <w:color w:val="000000"/>
        </w:rPr>
      </w:pPr>
      <w:r>
        <w:rPr>
          <w:noProof/>
          <w:color w:val="000000"/>
        </w:rPr>
        <w:drawing>
          <wp:inline distT="0" distB="0" distL="0" distR="0">
            <wp:extent cx="5671185" cy="2468880"/>
            <wp:effectExtent l="0" t="0" r="0" b="0"/>
            <wp:docPr id="163895198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671185" cy="2468880"/>
                    </a:xfrm>
                    <a:prstGeom prst="rect">
                      <a:avLst/>
                    </a:prstGeom>
                    <a:ln/>
                  </pic:spPr>
                </pic:pic>
              </a:graphicData>
            </a:graphic>
          </wp:inline>
        </w:drawing>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Así, se logra colegir que la información solicitada por el ahora Recurrente es inexistente, pues el Sujeto Obligado, realizó una búsqueda exhaustiva y razonable en los archivos de la unidad administrativa competente y esta señaló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 </w:t>
      </w:r>
    </w:p>
    <w:p w:rsidR="005C13C4" w:rsidRDefault="005C13C4">
      <w:pPr>
        <w:widowControl w:val="0"/>
        <w:spacing w:after="0" w:line="360" w:lineRule="auto"/>
        <w:rPr>
          <w:color w:val="000000"/>
        </w:rPr>
      </w:pPr>
    </w:p>
    <w:p w:rsidR="005C13C4" w:rsidRDefault="00070667">
      <w:pPr>
        <w:spacing w:after="0" w:line="360" w:lineRule="auto"/>
        <w:rPr>
          <w:color w:val="000000"/>
        </w:rPr>
      </w:pPr>
      <w:r>
        <w:rPr>
          <w:color w:val="000000"/>
        </w:rPr>
        <w:t xml:space="preserve">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w:t>
      </w:r>
      <w:r>
        <w:rPr>
          <w:color w:val="000000"/>
        </w:rPr>
        <w:lastRenderedPageBreak/>
        <w:t>aplicables no se desprenda obligación alguna de contar con la información solicitada, ni se advierta algún otro elemento de convicción que apunto a su existencia.</w:t>
      </w:r>
    </w:p>
    <w:p w:rsidR="005C13C4" w:rsidRDefault="00070667">
      <w:pPr>
        <w:spacing w:after="0" w:line="360" w:lineRule="auto"/>
        <w:rPr>
          <w:color w:val="000000"/>
        </w:rPr>
      </w:pPr>
      <w:r>
        <w:rPr>
          <w:color w:val="000000"/>
        </w:rPr>
        <w:t xml:space="preserve"> </w:t>
      </w:r>
    </w:p>
    <w:p w:rsidR="005C13C4" w:rsidRDefault="00070667">
      <w:pPr>
        <w:spacing w:after="0" w:line="360" w:lineRule="auto"/>
        <w:rPr>
          <w:color w:val="000000"/>
        </w:rPr>
      </w:pPr>
      <w:r>
        <w:rPr>
          <w:color w:val="000000"/>
        </w:rPr>
        <w:t xml:space="preserve">No obstante, remitió los recibos de nómina correspondientes a la segunda quincena de agosto de dos mil veinticinco, del Coordinador del Centro de Control, Comando, Comunicación y Cómputo C4  (Carlos Daniel Cruz Guadarrama) y la Secretaria Técnica del Consejo Municipal de Seguridad (Elsa Hernández Flores), no obstante, toda vez que ya quedó acreditado en párrafos anteriores que el Sujeto Obligado no se encontraba obligado a entregar el recibo de nómina de la segunda quincena de julio de dos mil veinticinco del  Coordinador del Centro de Control, Comando, Comunicación y Cómputo C4, no resulta procedente su entrega; por lo se coligue que el agravio de la persona Recurrente es </w:t>
      </w:r>
      <w:r>
        <w:rPr>
          <w:b/>
          <w:bCs/>
          <w:color w:val="000000"/>
        </w:rPr>
        <w:t>PARCIALMENTE FUNDADO.</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 Sin embargo, para atender el requerimiento de información deberá hacer entrega del recibo de nómina de la segunda quincena de julio de dos mil veinticinco de la Secretaria Técnica del Consejo Municipal de Seguridad (Elsa Hernández Flores), toda vez que si bien el Sujeto Obligado proporcionó un recibo de nómina, no corresponde con la temporalidad aceptada y requerida durante el medio de impugnación, además que del contraste de los recibos entregados en respuesta y el informe justificado, se logró vislumbrar que el recibo remitido en informe justificado se encuentra alterado, pues se suprimieron datos como CURP, RFC, Clave </w:t>
      </w:r>
      <w:proofErr w:type="spellStart"/>
      <w:r>
        <w:rPr>
          <w:color w:val="000000"/>
        </w:rPr>
        <w:t>ISSEMyM</w:t>
      </w:r>
      <w:proofErr w:type="spellEnd"/>
      <w:r>
        <w:rPr>
          <w:color w:val="000000"/>
        </w:rPr>
        <w:t xml:space="preserve">, además clasificó sellos y cadenas digitales del SAT y Código QR. </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Por lo que para atender el requerimiento de información, el Sujeto Obligado deberá realizar una búsqueda exhaustiva y razonable en los archivos de la Coordinación de Desarrollo de Personal, a efecto que proporcione el recibo de nómina de la </w:t>
      </w:r>
      <w:r>
        <w:t>Secretaria Técnica del Consejo Municipal de Seguridad, correspondiente a la segunda quincena de julio de dos mil veinticinco</w:t>
      </w:r>
      <w:r>
        <w:rPr>
          <w:color w:val="000000"/>
        </w:rPr>
        <w:t xml:space="preserve">; dicha situación, toma sustento en el artículo 12 de la Ley de Transparencia y </w:t>
      </w:r>
      <w:r>
        <w:rPr>
          <w:color w:val="000000"/>
        </w:rPr>
        <w:lastRenderedPageBreak/>
        <w:t>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5C13C4" w:rsidRDefault="005C13C4">
      <w:pPr>
        <w:spacing w:after="0" w:line="360" w:lineRule="auto"/>
        <w:rPr>
          <w:color w:val="000000"/>
        </w:rPr>
      </w:pPr>
    </w:p>
    <w:p w:rsidR="005C13C4" w:rsidRDefault="00070667">
      <w:pPr>
        <w:spacing w:after="0" w:line="360" w:lineRule="auto"/>
        <w:rPr>
          <w:color w:val="FF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iCs/>
          <w:color w:val="000000"/>
        </w:rPr>
        <w:t>ad hoc</w:t>
      </w:r>
      <w:r>
        <w:rPr>
          <w:color w:val="000000"/>
        </w:rPr>
        <w:t>; lo cual, de conformidad con en el artículo 160 de la Ley de Transparencia y Acceso a la Información Pública del Estado de México y Municipios, el cual refiere que los sujetos obligados deberán entregar la información que obre en sus archivos.</w:t>
      </w:r>
    </w:p>
    <w:p w:rsidR="005C13C4" w:rsidRDefault="005C13C4">
      <w:pPr>
        <w:spacing w:after="0" w:line="360" w:lineRule="auto"/>
        <w:rPr>
          <w:color w:val="FF0000"/>
        </w:rPr>
      </w:pPr>
    </w:p>
    <w:p w:rsidR="005C13C4" w:rsidRDefault="00070667">
      <w:pPr>
        <w:spacing w:after="0" w:line="360" w:lineRule="auto"/>
        <w:rPr>
          <w:color w:val="000000"/>
        </w:rPr>
      </w:pPr>
      <w:r>
        <w:rPr>
          <w:color w:val="000000"/>
        </w:rPr>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el recibo de nómina de la Secretaria Técnica del Consejo Municipal de Seguridad, correspondiente a la segunda quincena de julio de dos mil veinticinco. </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 xml:space="preserve">Ahora bien, los recibos pudieran contener los siguientes datos, los cuales se precisan de manera enunciativa, más no limitativa: </w:t>
      </w:r>
    </w:p>
    <w:p w:rsidR="005C13C4" w:rsidRDefault="005C13C4">
      <w:pPr>
        <w:spacing w:after="0" w:line="360" w:lineRule="auto"/>
        <w:rPr>
          <w:color w:val="000000"/>
        </w:rPr>
      </w:pPr>
    </w:p>
    <w:p w:rsidR="005C13C4" w:rsidRDefault="00070667">
      <w:pPr>
        <w:numPr>
          <w:ilvl w:val="0"/>
          <w:numId w:val="1"/>
        </w:numPr>
        <w:spacing w:after="0" w:line="360" w:lineRule="auto"/>
        <w:jc w:val="left"/>
        <w:rPr>
          <w:color w:val="000000"/>
        </w:rPr>
      </w:pPr>
      <w:r>
        <w:rPr>
          <w:color w:val="000000"/>
        </w:rPr>
        <w:t>Clave Única de Registro de Población;</w:t>
      </w:r>
    </w:p>
    <w:p w:rsidR="005C13C4" w:rsidRDefault="00070667">
      <w:pPr>
        <w:numPr>
          <w:ilvl w:val="0"/>
          <w:numId w:val="1"/>
        </w:numPr>
        <w:spacing w:after="0" w:line="360" w:lineRule="auto"/>
        <w:jc w:val="left"/>
        <w:rPr>
          <w:color w:val="000000"/>
        </w:rPr>
      </w:pPr>
      <w:r>
        <w:rPr>
          <w:color w:val="000000"/>
        </w:rPr>
        <w:t>Registro Federal de Contribuyentes de servidores públicos y del Sujeto Obligado;</w:t>
      </w:r>
    </w:p>
    <w:p w:rsidR="005C13C4" w:rsidRDefault="00070667">
      <w:pPr>
        <w:numPr>
          <w:ilvl w:val="0"/>
          <w:numId w:val="1"/>
        </w:numPr>
        <w:spacing w:after="0" w:line="360" w:lineRule="auto"/>
        <w:rPr>
          <w:color w:val="000000"/>
        </w:rPr>
      </w:pPr>
      <w:r>
        <w:t>Código bidimensional o QR;</w:t>
      </w:r>
    </w:p>
    <w:p w:rsidR="005C13C4" w:rsidRDefault="00070667">
      <w:pPr>
        <w:numPr>
          <w:ilvl w:val="0"/>
          <w:numId w:val="1"/>
        </w:numPr>
        <w:spacing w:after="0" w:line="360" w:lineRule="auto"/>
        <w:jc w:val="left"/>
        <w:rPr>
          <w:color w:val="000000"/>
        </w:rPr>
      </w:pPr>
      <w:r>
        <w:rPr>
          <w:color w:val="000000"/>
        </w:rPr>
        <w:lastRenderedPageBreak/>
        <w:t>Número de seguridad social del Instituto de Seguridad Social del Estado de México y Municipios;</w:t>
      </w:r>
    </w:p>
    <w:p w:rsidR="005C13C4" w:rsidRDefault="00070667">
      <w:pPr>
        <w:numPr>
          <w:ilvl w:val="0"/>
          <w:numId w:val="1"/>
        </w:numPr>
        <w:spacing w:after="0" w:line="360" w:lineRule="auto"/>
        <w:jc w:val="left"/>
        <w:rPr>
          <w:color w:val="000000"/>
        </w:rPr>
      </w:pPr>
      <w:r>
        <w:rPr>
          <w:color w:val="000000"/>
        </w:rPr>
        <w:t>Deducciones personales;</w:t>
      </w:r>
    </w:p>
    <w:p w:rsidR="005C13C4" w:rsidRDefault="00070667">
      <w:pPr>
        <w:numPr>
          <w:ilvl w:val="0"/>
          <w:numId w:val="1"/>
        </w:numPr>
        <w:spacing w:after="0" w:line="360" w:lineRule="auto"/>
        <w:jc w:val="left"/>
        <w:rPr>
          <w:color w:val="000000"/>
        </w:rPr>
      </w:pPr>
      <w:r>
        <w:rPr>
          <w:color w:val="000000"/>
        </w:rPr>
        <w:t xml:space="preserve">Cuenta bancaria de servidores públicos; </w:t>
      </w:r>
    </w:p>
    <w:p w:rsidR="005C13C4" w:rsidRDefault="00070667">
      <w:pPr>
        <w:numPr>
          <w:ilvl w:val="0"/>
          <w:numId w:val="1"/>
        </w:numPr>
        <w:pBdr>
          <w:top w:val="nil"/>
          <w:left w:val="nil"/>
          <w:bottom w:val="nil"/>
          <w:right w:val="nil"/>
          <w:between w:val="nil"/>
        </w:pBdr>
        <w:spacing w:after="0" w:line="360" w:lineRule="auto"/>
        <w:rPr>
          <w:color w:val="000000"/>
        </w:rPr>
      </w:pPr>
      <w:r>
        <w:rPr>
          <w:color w:val="000000"/>
        </w:rPr>
        <w:t>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rsidR="005C13C4" w:rsidRDefault="005C13C4">
      <w:pPr>
        <w:spacing w:after="0" w:line="360" w:lineRule="auto"/>
      </w:pPr>
    </w:p>
    <w:p w:rsidR="005C13C4" w:rsidRDefault="00070667">
      <w:pPr>
        <w:spacing w:after="0" w:line="360" w:lineRule="auto"/>
      </w:pPr>
      <w:r>
        <w:t>Al respecto,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5C13C4" w:rsidRDefault="00070667">
      <w:pPr>
        <w:spacing w:after="0" w:line="360" w:lineRule="auto"/>
      </w:pPr>
      <w:r>
        <w:t xml:space="preserve"> </w:t>
      </w:r>
      <w:r>
        <w:tab/>
      </w:r>
    </w:p>
    <w:p w:rsidR="005C13C4" w:rsidRDefault="00070667">
      <w:pPr>
        <w:spacing w:after="0" w:line="360" w:lineRule="auto"/>
      </w:pPr>
      <w: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005C13C4" w:rsidRDefault="00070667">
      <w:pPr>
        <w:spacing w:after="0" w:line="360" w:lineRule="auto"/>
      </w:pPr>
      <w:r>
        <w:t xml:space="preserve"> </w:t>
      </w:r>
    </w:p>
    <w:p w:rsidR="005C13C4" w:rsidRDefault="00070667">
      <w:pPr>
        <w:spacing w:after="0" w:line="360" w:lineRule="auto"/>
      </w:pPr>
      <w: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5C13C4" w:rsidRDefault="00070667">
      <w:pPr>
        <w:spacing w:after="0" w:line="360" w:lineRule="auto"/>
      </w:pPr>
      <w:r>
        <w:t xml:space="preserve"> </w:t>
      </w:r>
    </w:p>
    <w:p w:rsidR="005C13C4" w:rsidRDefault="00070667">
      <w:pPr>
        <w:spacing w:after="0" w:line="360" w:lineRule="auto"/>
      </w:pPr>
      <w:r>
        <w:t>En concordancia con lo previo, el artículo 143, fracción I, de la Ley previamente citada, establece que la información privada y los datos personales, concernientes a una persona física o jurídica colectiva identificada o identificable son confidenciales.</w:t>
      </w:r>
    </w:p>
    <w:p w:rsidR="005C13C4" w:rsidRDefault="00070667">
      <w:pPr>
        <w:spacing w:after="0" w:line="360" w:lineRule="auto"/>
      </w:pPr>
      <w:r>
        <w:t xml:space="preserve"> </w:t>
      </w:r>
    </w:p>
    <w:p w:rsidR="005C13C4" w:rsidRDefault="00070667">
      <w:pPr>
        <w:spacing w:after="0" w:line="360" w:lineRule="auto"/>
      </w:pPr>
      <w: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005C13C4" w:rsidRDefault="00070667">
      <w:pPr>
        <w:spacing w:after="0" w:line="360" w:lineRule="auto"/>
      </w:pPr>
      <w:r>
        <w:t xml:space="preserve"> </w:t>
      </w:r>
    </w:p>
    <w:p w:rsidR="005C13C4" w:rsidRDefault="00070667">
      <w:pPr>
        <w:spacing w:after="0" w:line="360" w:lineRule="auto"/>
      </w:pPr>
      <w:r>
        <w:t>En términos de lo expuesto, la documentación y aquellos datos que se consideren confidenciales, serán una limitante del derecho de acceso a la información, siempre y cuando:</w:t>
      </w:r>
    </w:p>
    <w:p w:rsidR="005C13C4" w:rsidRDefault="00070667">
      <w:pPr>
        <w:spacing w:after="0" w:line="360" w:lineRule="auto"/>
      </w:pPr>
      <w:r>
        <w:t xml:space="preserve"> </w:t>
      </w:r>
    </w:p>
    <w:p w:rsidR="005C13C4" w:rsidRDefault="00070667">
      <w:pPr>
        <w:numPr>
          <w:ilvl w:val="0"/>
          <w:numId w:val="2"/>
        </w:numPr>
        <w:spacing w:after="0" w:line="360" w:lineRule="auto"/>
      </w:pPr>
      <w:r>
        <w:t xml:space="preserve">Se trate de datos personales o información privada; esto es, información concerniente a una persona física o jurídico colectiva y que esta sea identificada o identificable. </w:t>
      </w:r>
    </w:p>
    <w:p w:rsidR="005C13C4" w:rsidRDefault="005C13C4">
      <w:pPr>
        <w:spacing w:after="0" w:line="360" w:lineRule="auto"/>
        <w:ind w:left="720"/>
      </w:pPr>
    </w:p>
    <w:p w:rsidR="005C13C4" w:rsidRDefault="00070667">
      <w:pPr>
        <w:numPr>
          <w:ilvl w:val="0"/>
          <w:numId w:val="2"/>
        </w:numPr>
        <w:spacing w:after="0" w:line="360" w:lineRule="auto"/>
      </w:pPr>
      <w:r>
        <w:t xml:space="preserve">Para la difusión de los datos, se requiera el consentimiento del titular. </w:t>
      </w:r>
    </w:p>
    <w:p w:rsidR="005C13C4" w:rsidRDefault="00070667">
      <w:pPr>
        <w:spacing w:after="0" w:line="360" w:lineRule="auto"/>
      </w:pPr>
      <w:r>
        <w:t xml:space="preserve"> </w:t>
      </w:r>
    </w:p>
    <w:p w:rsidR="005C13C4" w:rsidRDefault="00070667">
      <w:pPr>
        <w:spacing w:after="0" w:line="360" w:lineRule="auto"/>
      </w:pPr>
      <w:r>
        <w:lastRenderedPageBreak/>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rsidR="005C13C4" w:rsidRDefault="00070667">
      <w:pPr>
        <w:spacing w:after="0" w:line="360" w:lineRule="auto"/>
      </w:pPr>
      <w:r>
        <w:t xml:space="preserve"> </w:t>
      </w:r>
    </w:p>
    <w:p w:rsidR="005C13C4" w:rsidRDefault="00070667">
      <w:pPr>
        <w:spacing w:after="0" w:line="360" w:lineRule="auto"/>
      </w:pPr>
      <w: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 Bajo ese contexto, se analizarán si los datos mencionados de manera enunciativa, son confidenciales o públicos.</w:t>
      </w:r>
    </w:p>
    <w:p w:rsidR="005C13C4" w:rsidRDefault="00070667">
      <w:pPr>
        <w:spacing w:after="0" w:line="360" w:lineRule="auto"/>
      </w:pPr>
      <w:r>
        <w:t xml:space="preserve"> </w:t>
      </w:r>
    </w:p>
    <w:p w:rsidR="005C13C4" w:rsidRDefault="00070667">
      <w:pPr>
        <w:numPr>
          <w:ilvl w:val="0"/>
          <w:numId w:val="3"/>
        </w:numPr>
        <w:spacing w:after="0" w:line="360" w:lineRule="auto"/>
        <w:rPr>
          <w:b/>
          <w:bCs/>
        </w:rPr>
      </w:pPr>
      <w:r>
        <w:rPr>
          <w:b/>
          <w:bCs/>
        </w:rPr>
        <w:t>Clave Única de Registro de Población (CURP)</w:t>
      </w:r>
    </w:p>
    <w:p w:rsidR="005C13C4" w:rsidRDefault="00070667">
      <w:pPr>
        <w:spacing w:after="0" w:line="360" w:lineRule="auto"/>
      </w:pPr>
      <w:r>
        <w:t xml:space="preserve"> </w:t>
      </w:r>
    </w:p>
    <w:p w:rsidR="005C13C4" w:rsidRDefault="00070667">
      <w:pPr>
        <w:spacing w:after="0" w:line="360" w:lineRule="auto"/>
      </w:pPr>
      <w: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005C13C4" w:rsidRDefault="00070667">
      <w:pPr>
        <w:spacing w:after="0" w:line="360" w:lineRule="auto"/>
      </w:pPr>
      <w:r>
        <w:t xml:space="preserve"> </w:t>
      </w:r>
    </w:p>
    <w:p w:rsidR="005C13C4" w:rsidRDefault="00070667">
      <w:pPr>
        <w:spacing w:after="0" w:line="360" w:lineRule="auto"/>
      </w:pPr>
      <w: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005C13C4" w:rsidRDefault="00070667">
      <w:pPr>
        <w:spacing w:after="0" w:line="360" w:lineRule="auto"/>
      </w:pPr>
      <w:r>
        <w:t xml:space="preserve"> </w:t>
      </w:r>
    </w:p>
    <w:p w:rsidR="005C13C4" w:rsidRDefault="00070667">
      <w:pPr>
        <w:spacing w:after="0" w:line="360" w:lineRule="auto"/>
      </w:pPr>
      <w:r>
        <w:t>En ese orden de ideas, la Secretaría de Gobernación en las direcciones https://consultas.curp.gob.mx/CurpSP/html/informacionecurpPS.html y https://www.gob.mx/segob/renapo/acciones-y-programas/clave-unica-de-registro-de-</w:t>
      </w:r>
    </w:p>
    <w:p w:rsidR="005C13C4" w:rsidRDefault="00070667">
      <w:pPr>
        <w:spacing w:after="0" w:line="360" w:lineRule="auto"/>
      </w:pPr>
      <w:r>
        <w:t xml:space="preserve">poblacion-curp-142226 (consultadas el diecisiete de mayo de dos mil veintitrés),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Pr>
          <w:b/>
          <w:bCs/>
        </w:rPr>
        <w:t>se generan a partir de los datos contenidos en el documento probatorio de la identidad del interesado</w:t>
      </w:r>
      <w:r>
        <w:t xml:space="preserve"> (acta de nacimiento, carta de naturalización o documento migratorio) de la siguiente forma:</w:t>
      </w:r>
    </w:p>
    <w:p w:rsidR="005C13C4" w:rsidRDefault="00070667">
      <w:pPr>
        <w:spacing w:after="0" w:line="360" w:lineRule="auto"/>
      </w:pPr>
      <w:r>
        <w:t xml:space="preserve"> </w:t>
      </w:r>
    </w:p>
    <w:p w:rsidR="005C13C4" w:rsidRDefault="00070667">
      <w:pPr>
        <w:numPr>
          <w:ilvl w:val="0"/>
          <w:numId w:val="4"/>
        </w:numPr>
        <w:spacing w:after="0" w:line="360" w:lineRule="auto"/>
      </w:pPr>
      <w:r>
        <w:t>El primero y segundo apellidos, así como al nombre de pila;</w:t>
      </w:r>
    </w:p>
    <w:p w:rsidR="005C13C4" w:rsidRDefault="00070667">
      <w:pPr>
        <w:numPr>
          <w:ilvl w:val="0"/>
          <w:numId w:val="4"/>
        </w:numPr>
        <w:spacing w:after="0" w:line="360" w:lineRule="auto"/>
        <w:rPr>
          <w:b/>
          <w:bCs/>
        </w:rPr>
      </w:pPr>
      <w:r>
        <w:rPr>
          <w:b/>
          <w:bCs/>
        </w:rPr>
        <w:t>La fecha de nacimiento;</w:t>
      </w:r>
    </w:p>
    <w:p w:rsidR="005C13C4" w:rsidRDefault="00070667">
      <w:pPr>
        <w:numPr>
          <w:ilvl w:val="0"/>
          <w:numId w:val="4"/>
        </w:numPr>
        <w:spacing w:after="0" w:line="360" w:lineRule="auto"/>
      </w:pPr>
      <w:r>
        <w:t>El sexo, y</w:t>
      </w:r>
    </w:p>
    <w:p w:rsidR="005C13C4" w:rsidRDefault="00070667">
      <w:pPr>
        <w:numPr>
          <w:ilvl w:val="0"/>
          <w:numId w:val="4"/>
        </w:numPr>
        <w:spacing w:after="0" w:line="360" w:lineRule="auto"/>
        <w:rPr>
          <w:b/>
          <w:bCs/>
        </w:rPr>
      </w:pPr>
      <w:r>
        <w:rPr>
          <w:b/>
          <w:bCs/>
        </w:rPr>
        <w:t>La entidad federativa de nacimiento.</w:t>
      </w:r>
    </w:p>
    <w:p w:rsidR="005C13C4" w:rsidRDefault="00070667">
      <w:pPr>
        <w:spacing w:after="0" w:line="360" w:lineRule="auto"/>
      </w:pPr>
      <w:r>
        <w:t xml:space="preserve"> </w:t>
      </w:r>
    </w:p>
    <w:p w:rsidR="005C13C4" w:rsidRDefault="00070667">
      <w:pPr>
        <w:spacing w:after="0" w:line="360" w:lineRule="auto"/>
      </w:pPr>
      <w:r>
        <w:t>Los dos últimos elementos de la Clave Única de Registro de Población evitan la duplicidad de la Clave y garantizan su correcta integración.</w:t>
      </w:r>
    </w:p>
    <w:p w:rsidR="005C13C4" w:rsidRDefault="00070667">
      <w:pPr>
        <w:spacing w:after="0" w:line="360" w:lineRule="auto"/>
      </w:pPr>
      <w:r>
        <w:t xml:space="preserve"> </w:t>
      </w:r>
    </w:p>
    <w:p w:rsidR="005C13C4" w:rsidRDefault="00070667">
      <w:pPr>
        <w:spacing w:after="0" w:line="360" w:lineRule="auto"/>
      </w:pPr>
      <w:r>
        <w:lastRenderedPageBreak/>
        <w:t>Como se desprende de lo anterior, la Clave Única de Registro de Población, fecha de nacimiento y entidad de nacimiento, son datos personales confidenciales,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005C13C4" w:rsidRDefault="00070667">
      <w:pPr>
        <w:spacing w:after="0" w:line="360" w:lineRule="auto"/>
      </w:pPr>
      <w:r>
        <w:t xml:space="preserve"> </w:t>
      </w:r>
    </w:p>
    <w:p w:rsidR="005C13C4" w:rsidRDefault="00070667">
      <w:pPr>
        <w:spacing w:after="0" w:line="360" w:lineRule="auto"/>
      </w:pPr>
      <w:r>
        <w:t>Situación que se robustece, con el Criterio Orientador, de la Segunda Época, con número de registro SO/018/2017, emitido por el entonces Instituto Nacional de Transparencia, Acceso a la Información y Protección de Datos Personales, que establece lo siguiente:</w:t>
      </w:r>
    </w:p>
    <w:p w:rsidR="005C13C4" w:rsidRDefault="00070667">
      <w:pPr>
        <w:spacing w:after="0" w:line="360" w:lineRule="auto"/>
      </w:pPr>
      <w:r>
        <w:t xml:space="preserve"> </w:t>
      </w:r>
    </w:p>
    <w:p w:rsidR="005C13C4" w:rsidRDefault="00070667">
      <w:pPr>
        <w:spacing w:after="0" w:line="360" w:lineRule="auto"/>
        <w:ind w:left="567" w:right="567"/>
        <w:rPr>
          <w:i/>
          <w:iCs/>
        </w:rPr>
      </w:pPr>
      <w:r>
        <w:rPr>
          <w:b/>
          <w:bCs/>
          <w:i/>
          <w:iCs/>
        </w:rPr>
        <w:t xml:space="preserve">“Clave Única de Registro de Población (CURP). </w:t>
      </w:r>
      <w:r>
        <w:rPr>
          <w:i/>
          <w:iCs/>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5C13C4" w:rsidRDefault="00070667">
      <w:pPr>
        <w:spacing w:after="0" w:line="360" w:lineRule="auto"/>
        <w:rPr>
          <w:i/>
          <w:iCs/>
        </w:rPr>
      </w:pPr>
      <w:r>
        <w:rPr>
          <w:i/>
          <w:iCs/>
        </w:rPr>
        <w:t xml:space="preserve"> </w:t>
      </w:r>
    </w:p>
    <w:p w:rsidR="005C13C4" w:rsidRDefault="00070667">
      <w:pPr>
        <w:spacing w:after="0" w:line="360" w:lineRule="auto"/>
      </w:pPr>
      <w:r>
        <w:t xml:space="preserve">De acuerdo con lo anterior, resulta procedente la clasificación de </w:t>
      </w:r>
      <w:r>
        <w:rPr>
          <w:b/>
          <w:bCs/>
        </w:rPr>
        <w:t>la Clave Única de Registro de Población</w:t>
      </w:r>
      <w:r>
        <w:t xml:space="preserve">, por tratarse de un dato personal confidencial, en términos del artículo 143, fracción I, de la Ley de Transparencia y Acceso a la Información Pública del Estado de México y Municipios. </w:t>
      </w:r>
    </w:p>
    <w:p w:rsidR="005C13C4" w:rsidRDefault="00070667">
      <w:pPr>
        <w:spacing w:after="0" w:line="360" w:lineRule="auto"/>
      </w:pPr>
      <w:r>
        <w:t xml:space="preserve"> </w:t>
      </w:r>
    </w:p>
    <w:p w:rsidR="005C13C4" w:rsidRDefault="00070667">
      <w:pPr>
        <w:numPr>
          <w:ilvl w:val="0"/>
          <w:numId w:val="3"/>
        </w:numPr>
        <w:spacing w:after="0" w:line="360" w:lineRule="auto"/>
        <w:rPr>
          <w:b/>
          <w:bCs/>
        </w:rPr>
      </w:pPr>
      <w:r>
        <w:rPr>
          <w:b/>
          <w:bCs/>
        </w:rPr>
        <w:t>Registro Federal de Contribuyentes (RFC) de servidores públicos</w:t>
      </w:r>
    </w:p>
    <w:p w:rsidR="005C13C4" w:rsidRDefault="00070667">
      <w:pPr>
        <w:spacing w:after="0" w:line="360" w:lineRule="auto"/>
      </w:pPr>
      <w:r>
        <w:t xml:space="preserve"> </w:t>
      </w:r>
    </w:p>
    <w:p w:rsidR="005C13C4" w:rsidRDefault="00070667">
      <w:pPr>
        <w:spacing w:after="0" w:line="360" w:lineRule="auto"/>
      </w:pPr>
      <w:r>
        <w:t xml:space="preserve">Al respecto, cabe precisar que las personas físicas que deban presentar declaraciones periódicas o que están obligadas a expedir comprobantes fiscales, tienen que solicitar su </w:t>
      </w:r>
      <w:r>
        <w:lastRenderedPageBreak/>
        <w:t>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5C13C4" w:rsidRDefault="00070667">
      <w:pPr>
        <w:spacing w:after="0" w:line="360" w:lineRule="auto"/>
      </w:pPr>
      <w:r>
        <w:t xml:space="preserve"> </w:t>
      </w:r>
    </w:p>
    <w:p w:rsidR="005C13C4" w:rsidRDefault="00070667">
      <w:pPr>
        <w:spacing w:after="0" w:line="360" w:lineRule="auto"/>
      </w:pPr>
      <w:r>
        <w:t xml:space="preserve">De acuerdo a lo establecido en el artículo en comento, esta clave se compone de trece caracteres alfanuméricos, con datos obtenidos de los apellidos, nombre(s), fecha de nacimiento del titular, más una </w:t>
      </w:r>
      <w:proofErr w:type="spellStart"/>
      <w:r>
        <w:t>homoclave</w:t>
      </w:r>
      <w:proofErr w:type="spellEnd"/>
      <w:r>
        <w:t xml:space="preserve"> que establece el sistema automático del Servicio de Administración Tributaria.</w:t>
      </w:r>
    </w:p>
    <w:p w:rsidR="005C13C4" w:rsidRDefault="00070667">
      <w:pPr>
        <w:spacing w:after="0" w:line="360" w:lineRule="auto"/>
      </w:pPr>
      <w:r>
        <w:t xml:space="preserve"> </w:t>
      </w:r>
    </w:p>
    <w:p w:rsidR="005C13C4" w:rsidRDefault="00070667">
      <w:pPr>
        <w:spacing w:after="0" w:line="360" w:lineRule="auto"/>
      </w:pPr>
      <w: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5C13C4" w:rsidRDefault="00070667">
      <w:pPr>
        <w:spacing w:after="0" w:line="360" w:lineRule="auto"/>
      </w:pPr>
      <w:r>
        <w:t xml:space="preserve"> 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5C13C4" w:rsidRDefault="005C13C4">
      <w:pPr>
        <w:spacing w:after="0" w:line="360" w:lineRule="auto"/>
      </w:pPr>
    </w:p>
    <w:p w:rsidR="005C13C4" w:rsidRDefault="00070667">
      <w:pPr>
        <w:spacing w:after="0" w:line="360" w:lineRule="auto"/>
      </w:pPr>
      <w:r>
        <w:t>Lo anterior, resulta congruente con el Criterio Orientador, de la Segunda Época, con número de registro SO/019/2017, emitido por el entones Instituto Nacional de Transparencia, Acceso a la Información y Protección de Datos Personales, en el cual se señala lo siguiente:</w:t>
      </w:r>
    </w:p>
    <w:p w:rsidR="005C13C4" w:rsidRDefault="00070667">
      <w:pPr>
        <w:spacing w:after="0" w:line="360" w:lineRule="auto"/>
      </w:pPr>
      <w:r>
        <w:t xml:space="preserve"> </w:t>
      </w:r>
    </w:p>
    <w:p w:rsidR="005C13C4" w:rsidRDefault="00070667">
      <w:pPr>
        <w:spacing w:after="0" w:line="360" w:lineRule="auto"/>
        <w:ind w:left="567" w:right="567"/>
        <w:rPr>
          <w:i/>
          <w:iCs/>
        </w:rPr>
      </w:pPr>
      <w:r>
        <w:rPr>
          <w:b/>
          <w:bCs/>
          <w:i/>
          <w:iCs/>
        </w:rPr>
        <w:lastRenderedPageBreak/>
        <w:t>“Registro Federal de Contribuyentes (RFC) de personas físicas.</w:t>
      </w:r>
      <w:r>
        <w:rPr>
          <w:i/>
          <w:iCs/>
        </w:rPr>
        <w:t xml:space="preserve"> El RFC es una clave de carácter fiscal, única e irrepetible, que permite identificar al titular, su edad y fecha de nacimiento, por lo que es un dato personal de carácter confidencial.”</w:t>
      </w:r>
    </w:p>
    <w:p w:rsidR="005C13C4" w:rsidRDefault="00070667">
      <w:pPr>
        <w:spacing w:after="0" w:line="360" w:lineRule="auto"/>
      </w:pPr>
      <w:r>
        <w:t xml:space="preserve"> </w:t>
      </w:r>
    </w:p>
    <w:p w:rsidR="005C13C4" w:rsidRDefault="00070667">
      <w:pPr>
        <w:spacing w:after="0" w:line="360" w:lineRule="auto"/>
        <w:rPr>
          <w:b/>
          <w:bCs/>
        </w:rPr>
      </w:pPr>
      <w: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r>
        <w:rPr>
          <w:b/>
          <w:bCs/>
        </w:rPr>
        <w:t xml:space="preserve"> </w:t>
      </w:r>
    </w:p>
    <w:p w:rsidR="005C13C4" w:rsidRDefault="005C13C4">
      <w:pPr>
        <w:spacing w:after="0" w:line="360" w:lineRule="auto"/>
        <w:rPr>
          <w:b/>
          <w:bCs/>
        </w:rPr>
      </w:pPr>
    </w:p>
    <w:p w:rsidR="005C13C4" w:rsidRDefault="00070667">
      <w:pPr>
        <w:numPr>
          <w:ilvl w:val="0"/>
          <w:numId w:val="7"/>
        </w:numPr>
        <w:spacing w:after="0" w:line="360" w:lineRule="auto"/>
        <w:jc w:val="left"/>
        <w:rPr>
          <w:b/>
          <w:bCs/>
          <w:color w:val="000000"/>
        </w:rPr>
      </w:pPr>
      <w:r>
        <w:rPr>
          <w:b/>
          <w:bCs/>
          <w:color w:val="000000"/>
        </w:rPr>
        <w:t xml:space="preserve">Código bidimensional o </w:t>
      </w:r>
      <w:proofErr w:type="spellStart"/>
      <w:r>
        <w:rPr>
          <w:b/>
          <w:bCs/>
          <w:color w:val="000000"/>
        </w:rPr>
        <w:t>Qr</w:t>
      </w:r>
      <w:proofErr w:type="spellEnd"/>
    </w:p>
    <w:p w:rsidR="005C13C4" w:rsidRDefault="005C13C4">
      <w:pPr>
        <w:spacing w:after="0" w:line="360" w:lineRule="auto"/>
        <w:ind w:left="720"/>
        <w:jc w:val="left"/>
        <w:rPr>
          <w:b/>
          <w:bCs/>
          <w:color w:val="000000"/>
        </w:rPr>
      </w:pPr>
    </w:p>
    <w:p w:rsidR="005C13C4" w:rsidRDefault="00070667">
      <w:pPr>
        <w:spacing w:after="0" w:line="360" w:lineRule="auto"/>
        <w:rPr>
          <w:color w:val="000000"/>
        </w:rPr>
      </w:pPr>
      <w:r>
        <w:rPr>
          <w:color w:val="000000"/>
        </w:rPr>
        <w:t xml:space="preserve">En principio, resulta necesario señalar que los comprobantes fiscales digitales por Internet, deben de incluir un código bidimensional conforme al formato </w:t>
      </w:r>
      <w:r>
        <w:rPr>
          <w:i/>
          <w:iCs/>
          <w:color w:val="000000"/>
        </w:rPr>
        <w:t xml:space="preserve">QR </w:t>
      </w:r>
      <w:proofErr w:type="spellStart"/>
      <w:r>
        <w:rPr>
          <w:i/>
          <w:iCs/>
          <w:color w:val="000000"/>
        </w:rPr>
        <w:t>Code</w:t>
      </w:r>
      <w:proofErr w:type="spellEnd"/>
      <w:r>
        <w:rPr>
          <w:i/>
          <w:iCs/>
          <w:color w:val="000000"/>
        </w:rPr>
        <w:t xml:space="preserve"> (Quick Response </w:t>
      </w:r>
      <w:proofErr w:type="spellStart"/>
      <w:r>
        <w:rPr>
          <w:i/>
          <w:iCs/>
          <w:color w:val="000000"/>
        </w:rPr>
        <w:t>Code</w:t>
      </w:r>
      <w:proofErr w:type="spellEnd"/>
      <w:r>
        <w:rPr>
          <w:i/>
          <w:iCs/>
          <w:color w:val="000000"/>
        </w:rPr>
        <w:t>)</w:t>
      </w:r>
      <w:r>
        <w:rPr>
          <w:color w:val="000000"/>
        </w:rPr>
        <w:t xml:space="preserve">, el cual contiene el Registro Federal de Contribuyentes del receptor, del emisor, o de ambos; lo anterior, conforme al Anexo 20 de la Segunda Resolución de modificación a la Resolución Miscelánea Fiscal. </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Incluso con la captura de dicho código, a través de la aplicación móvil del Servicio de Administración Tributaria, permite el acceso al Registro Federal de Contribuyentes, como del Sujeto Obligado, como de los servidores públicos.</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005C13C4" w:rsidRDefault="005C13C4">
      <w:pPr>
        <w:spacing w:after="0" w:line="360" w:lineRule="auto"/>
        <w:rPr>
          <w:b/>
          <w:bCs/>
        </w:rPr>
      </w:pPr>
    </w:p>
    <w:p w:rsidR="005C13C4" w:rsidRDefault="00070667">
      <w:pPr>
        <w:numPr>
          <w:ilvl w:val="0"/>
          <w:numId w:val="5"/>
        </w:numPr>
        <w:spacing w:after="0" w:line="360" w:lineRule="auto"/>
        <w:rPr>
          <w:b/>
          <w:bCs/>
        </w:rPr>
      </w:pPr>
      <w:r>
        <w:rPr>
          <w:b/>
          <w:bCs/>
        </w:rPr>
        <w:lastRenderedPageBreak/>
        <w:t>Número de seguridad social del Instituto de Seguridad Social del Estado de México y Municipios.</w:t>
      </w:r>
    </w:p>
    <w:p w:rsidR="005C13C4" w:rsidRDefault="00070667">
      <w:pPr>
        <w:spacing w:after="0" w:line="360" w:lineRule="auto"/>
        <w:rPr>
          <w:b/>
          <w:bCs/>
        </w:rPr>
      </w:pPr>
      <w:r>
        <w:rPr>
          <w:b/>
          <w:bCs/>
        </w:rPr>
        <w:t xml:space="preserve"> </w:t>
      </w:r>
    </w:p>
    <w:p w:rsidR="005C13C4" w:rsidRDefault="00070667">
      <w:pPr>
        <w:spacing w:after="0" w:line="360" w:lineRule="auto"/>
      </w:pPr>
      <w: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rsidR="005C13C4" w:rsidRDefault="00070667">
      <w:pPr>
        <w:spacing w:after="0" w:line="360" w:lineRule="auto"/>
      </w:pPr>
      <w:r>
        <w:t xml:space="preserve"> </w:t>
      </w:r>
    </w:p>
    <w:p w:rsidR="005C13C4" w:rsidRDefault="00070667">
      <w:pPr>
        <w:spacing w:after="0" w:line="360" w:lineRule="auto"/>
      </w:pPr>
      <w: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Pr>
          <w:b/>
          <w:bCs/>
        </w:rPr>
        <w:t>y se le asigna una clave para hacer identificable al trabajador con el objetivo de poder proporcionar los servicios que brinda el Instituto de Seguridad Social del Estado de México y Municipios.</w:t>
      </w:r>
    </w:p>
    <w:p w:rsidR="005C13C4" w:rsidRDefault="00070667">
      <w:pPr>
        <w:spacing w:after="0" w:line="360" w:lineRule="auto"/>
      </w:pPr>
      <w:r>
        <w:t xml:space="preserve"> </w:t>
      </w:r>
    </w:p>
    <w:p w:rsidR="005C13C4" w:rsidRDefault="00070667">
      <w:pPr>
        <w:spacing w:after="0" w:line="360" w:lineRule="auto"/>
      </w:pPr>
      <w: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rsidR="005C13C4" w:rsidRDefault="00070667">
      <w:pPr>
        <w:spacing w:after="0" w:line="360" w:lineRule="auto"/>
      </w:pPr>
      <w:r>
        <w:t xml:space="preserve"> </w:t>
      </w:r>
    </w:p>
    <w:p w:rsidR="005C13C4" w:rsidRDefault="00070667">
      <w:pPr>
        <w:spacing w:after="0" w:line="360" w:lineRule="auto"/>
      </w:pPr>
      <w:r>
        <w:lastRenderedPageBreak/>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005C13C4" w:rsidRDefault="005C13C4">
      <w:pPr>
        <w:spacing w:after="0" w:line="360" w:lineRule="auto"/>
      </w:pPr>
    </w:p>
    <w:p w:rsidR="005C13C4" w:rsidRDefault="00070667">
      <w:pPr>
        <w:numPr>
          <w:ilvl w:val="0"/>
          <w:numId w:val="3"/>
        </w:numPr>
        <w:spacing w:after="0" w:line="360" w:lineRule="auto"/>
        <w:rPr>
          <w:b/>
          <w:bCs/>
        </w:rPr>
      </w:pPr>
      <w:r>
        <w:rPr>
          <w:b/>
          <w:bCs/>
        </w:rPr>
        <w:t>Descuentos personales</w:t>
      </w:r>
    </w:p>
    <w:p w:rsidR="005C13C4" w:rsidRDefault="00070667">
      <w:pPr>
        <w:spacing w:after="0" w:line="360" w:lineRule="auto"/>
        <w:rPr>
          <w:b/>
          <w:bCs/>
        </w:rPr>
      </w:pPr>
      <w:r>
        <w:rPr>
          <w:b/>
          <w:bCs/>
        </w:rPr>
        <w:t xml:space="preserve"> </w:t>
      </w:r>
    </w:p>
    <w:p w:rsidR="005C13C4" w:rsidRDefault="00070667">
      <w:pPr>
        <w:spacing w:after="0" w:line="360" w:lineRule="auto"/>
      </w:pPr>
      <w:r>
        <w:t>Es necesario precisar que existen deducciones que se generan con motivo de una decisión libre y voluntaria de los servidores públicos, como son: créditos personales, cuotas sindicales, los fondos de resistencia, de mutualidad y de ahorro del Sindicato Único de Trabajadores de los Poderes, Municipios e Institución Descentralizadas del Estado de México, seguro de vida, accidentes y enfermedades.</w:t>
      </w:r>
    </w:p>
    <w:p w:rsidR="005C13C4" w:rsidRDefault="00070667">
      <w:pPr>
        <w:spacing w:after="0" w:line="360" w:lineRule="auto"/>
      </w:pPr>
      <w:r>
        <w:t xml:space="preserve"> </w:t>
      </w:r>
    </w:p>
    <w:p w:rsidR="005C13C4" w:rsidRDefault="00070667">
      <w:pPr>
        <w:spacing w:after="0" w:line="360" w:lineRule="auto"/>
      </w:pPr>
      <w:r>
        <w:t xml:space="preserve">Asimismo, hay otras que se generan con motivo de una sentencia judicial, como es la pensión alimenticia que periódicamente se retira de la cuenta de un empleado, a efecto de que sea entregado a un tercero.  </w:t>
      </w:r>
    </w:p>
    <w:p w:rsidR="005C13C4" w:rsidRDefault="00070667">
      <w:pPr>
        <w:spacing w:after="0" w:line="360" w:lineRule="auto"/>
      </w:pPr>
      <w:r>
        <w:t xml:space="preserve"> </w:t>
      </w:r>
    </w:p>
    <w:p w:rsidR="005C13C4" w:rsidRDefault="00070667">
      <w:pPr>
        <w:spacing w:after="0" w:line="360" w:lineRule="auto"/>
      </w:pPr>
      <w: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005C13C4" w:rsidRDefault="00070667">
      <w:pPr>
        <w:spacing w:after="0" w:line="360" w:lineRule="auto"/>
      </w:pPr>
      <w:r>
        <w:t xml:space="preserve"> </w:t>
      </w:r>
    </w:p>
    <w:p w:rsidR="005C13C4" w:rsidRDefault="00070667">
      <w:pPr>
        <w:spacing w:after="0" w:line="360" w:lineRule="auto"/>
      </w:pPr>
      <w:r>
        <w:lastRenderedPageBreak/>
        <w:t xml:space="preserve">Así, dichas deducciones reflejan el destino que un servidor público da a su patrimonio y, por lo tanto, resulta procedente clasificar dichos datos, en los comprobantes de pago, en términos del artículo 143, fracción I de la Ley de Transparencia y Acceso a la Información Pública del Estado de México y Municipios. </w:t>
      </w:r>
    </w:p>
    <w:p w:rsidR="005C13C4" w:rsidRDefault="005C13C4">
      <w:pPr>
        <w:spacing w:after="0" w:line="360" w:lineRule="auto"/>
        <w:rPr>
          <w:color w:val="000000"/>
        </w:rPr>
      </w:pPr>
    </w:p>
    <w:p w:rsidR="005C13C4" w:rsidRDefault="00070667">
      <w:pPr>
        <w:numPr>
          <w:ilvl w:val="0"/>
          <w:numId w:val="3"/>
        </w:numPr>
        <w:pBdr>
          <w:top w:val="nil"/>
          <w:left w:val="nil"/>
          <w:bottom w:val="nil"/>
          <w:right w:val="nil"/>
          <w:between w:val="nil"/>
        </w:pBdr>
        <w:spacing w:after="0" w:line="360" w:lineRule="auto"/>
        <w:rPr>
          <w:b/>
          <w:bCs/>
          <w:color w:val="000000"/>
        </w:rPr>
      </w:pPr>
      <w:r>
        <w:rPr>
          <w:b/>
          <w:bCs/>
          <w:color w:val="000000"/>
        </w:rPr>
        <w:t xml:space="preserve"> Sellos digitales del emisor y del Servicio de Administración Tributaria y cadena original del complemento de certificación digital del órgano previamente señalado; así como sus respectivos números de serie de los certificados de sellos digitales, folio fiscal, y la fecha y hora de certificación.</w:t>
      </w:r>
    </w:p>
    <w:p w:rsidR="005C13C4" w:rsidRDefault="005C13C4">
      <w:pPr>
        <w:spacing w:after="0" w:line="360" w:lineRule="auto"/>
        <w:ind w:right="-93"/>
        <w:rPr>
          <w:b/>
          <w:bCs/>
        </w:rPr>
      </w:pPr>
    </w:p>
    <w:p w:rsidR="005C13C4" w:rsidRDefault="00070667">
      <w:pPr>
        <w:spacing w:after="0" w:line="360" w:lineRule="auto"/>
        <w:ind w:right="-91"/>
      </w:pPr>
      <w: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005C13C4" w:rsidRDefault="005C13C4">
      <w:pPr>
        <w:spacing w:after="0" w:line="360" w:lineRule="auto"/>
        <w:ind w:right="-91"/>
      </w:pPr>
    </w:p>
    <w:p w:rsidR="005C13C4" w:rsidRDefault="00070667">
      <w:pPr>
        <w:spacing w:after="0" w:line="360" w:lineRule="auto"/>
        <w:ind w:right="-91"/>
      </w:pPr>
      <w:r>
        <w:t xml:space="preserve">Las cadenas originales y sellos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w:t>
      </w:r>
      <w:r>
        <w:lastRenderedPageBreak/>
        <w:t>de los que se componen los elementos de seguridad y se puntualiza que dicha información está encriptada.</w:t>
      </w:r>
    </w:p>
    <w:p w:rsidR="005C13C4" w:rsidRDefault="005C13C4">
      <w:pPr>
        <w:spacing w:after="0" w:line="360" w:lineRule="auto"/>
        <w:ind w:right="-91"/>
      </w:pPr>
    </w:p>
    <w:p w:rsidR="005C13C4" w:rsidRDefault="00070667">
      <w:pPr>
        <w:spacing w:after="0" w:line="360" w:lineRule="auto"/>
        <w:ind w:left="567" w:right="539"/>
        <w:rPr>
          <w:i/>
          <w:iCs/>
        </w:rPr>
      </w:pPr>
      <w:r>
        <w:rPr>
          <w:i/>
          <w:iCs/>
        </w:rPr>
        <w:t>“Elementos utilizados en la generación de Sellos Digitales:</w:t>
      </w:r>
    </w:p>
    <w:p w:rsidR="005C13C4" w:rsidRDefault="00070667">
      <w:pPr>
        <w:spacing w:after="0" w:line="360" w:lineRule="auto"/>
        <w:ind w:left="567" w:right="539"/>
        <w:rPr>
          <w:i/>
          <w:iCs/>
        </w:rPr>
      </w:pPr>
      <w:r>
        <w:rPr>
          <w:i/>
          <w:iCs/>
        </w:rPr>
        <w:t>•</w:t>
      </w:r>
      <w:r>
        <w:rPr>
          <w:i/>
          <w:iCs/>
        </w:rPr>
        <w:tab/>
        <w:t>Cadena Original, el elemento a sellar, en este caso de un comprobante fiscal digital a través de Internet.</w:t>
      </w:r>
    </w:p>
    <w:p w:rsidR="005C13C4" w:rsidRDefault="00070667">
      <w:pPr>
        <w:spacing w:after="0" w:line="360" w:lineRule="auto"/>
        <w:ind w:left="567" w:right="539"/>
        <w:rPr>
          <w:i/>
          <w:iCs/>
        </w:rPr>
      </w:pPr>
      <w:r>
        <w:rPr>
          <w:i/>
          <w:iCs/>
        </w:rPr>
        <w:t>•</w:t>
      </w:r>
      <w:r>
        <w:rPr>
          <w:i/>
          <w:iCs/>
        </w:rPr>
        <w:tab/>
        <w:t>Certificado de Sello Digital y su correspondiente clave privada.</w:t>
      </w:r>
    </w:p>
    <w:p w:rsidR="005C13C4" w:rsidRDefault="00070667">
      <w:pPr>
        <w:spacing w:after="0" w:line="360" w:lineRule="auto"/>
        <w:ind w:left="567" w:right="539"/>
        <w:rPr>
          <w:i/>
          <w:iCs/>
        </w:rPr>
      </w:pPr>
      <w:r>
        <w:rPr>
          <w:i/>
          <w:iCs/>
        </w:rPr>
        <w:t>•</w:t>
      </w:r>
      <w:r>
        <w:rPr>
          <w:i/>
          <w:iCs/>
        </w:rPr>
        <w:tab/>
        <w:t>Algoritmos de criptografía de clave pública para firma electrónica avanzada.</w:t>
      </w:r>
    </w:p>
    <w:p w:rsidR="005C13C4" w:rsidRDefault="00070667">
      <w:pPr>
        <w:spacing w:after="0" w:line="360" w:lineRule="auto"/>
        <w:ind w:left="567" w:right="539"/>
        <w:rPr>
          <w:i/>
          <w:iCs/>
        </w:rPr>
      </w:pPr>
      <w:r>
        <w:rPr>
          <w:i/>
          <w:iCs/>
        </w:rPr>
        <w:t>•</w:t>
      </w:r>
      <w:r>
        <w:rPr>
          <w:i/>
          <w:iCs/>
        </w:rPr>
        <w:tab/>
        <w:t>Especificaciones de conversión de la firma electrónica avanzada a Base 64.</w:t>
      </w:r>
    </w:p>
    <w:p w:rsidR="005C13C4" w:rsidRDefault="00070667">
      <w:pPr>
        <w:spacing w:after="0" w:line="360" w:lineRule="auto"/>
        <w:ind w:left="567" w:right="539"/>
        <w:rPr>
          <w:i/>
          <w:iCs/>
        </w:rPr>
      </w:pPr>
      <w:r>
        <w:rPr>
          <w:i/>
          <w:iCs/>
        </w:rPr>
        <w:t>Para la generación de sellos digitales se utiliza criptografía de clave pública aplicada a una cadena original.</w:t>
      </w:r>
    </w:p>
    <w:p w:rsidR="005C13C4" w:rsidRDefault="005C13C4">
      <w:pPr>
        <w:spacing w:after="0" w:line="360" w:lineRule="auto"/>
        <w:ind w:left="567" w:right="539"/>
        <w:rPr>
          <w:i/>
          <w:iCs/>
        </w:rPr>
      </w:pPr>
    </w:p>
    <w:p w:rsidR="005C13C4" w:rsidRDefault="00070667">
      <w:pPr>
        <w:spacing w:after="0" w:line="360" w:lineRule="auto"/>
        <w:ind w:left="567" w:right="539"/>
        <w:rPr>
          <w:i/>
          <w:iCs/>
        </w:rPr>
      </w:pPr>
      <w:r>
        <w:rPr>
          <w:i/>
          <w:iCs/>
        </w:rPr>
        <w:t>Criptografía de la Clave Pública</w:t>
      </w:r>
    </w:p>
    <w:p w:rsidR="005C13C4" w:rsidRDefault="00070667">
      <w:pPr>
        <w:spacing w:after="0" w:line="360" w:lineRule="auto"/>
        <w:ind w:left="567" w:right="539"/>
        <w:rPr>
          <w:i/>
          <w:iCs/>
        </w:rPr>
      </w:pPr>
      <w:r>
        <w:rPr>
          <w:i/>
          <w:iCs/>
        </w:rPr>
        <w:t xml:space="preserve">La criptografía de Clave Pública se basa en la generación de una pareja de números muy grandes relacionados íntimamente entre sí, de tal manera que una operación de </w:t>
      </w:r>
      <w:proofErr w:type="spellStart"/>
      <w:r>
        <w:rPr>
          <w:i/>
          <w:iCs/>
        </w:rPr>
        <w:t>encripción</w:t>
      </w:r>
      <w:proofErr w:type="spellEnd"/>
      <w:r>
        <w:rPr>
          <w:i/>
          <w:iCs/>
        </w:rPr>
        <w:t xml:space="preserve"> sobre un mensaje tomando como clave de </w:t>
      </w:r>
      <w:proofErr w:type="spellStart"/>
      <w:r>
        <w:rPr>
          <w:i/>
          <w:iCs/>
        </w:rPr>
        <w:t>encripción</w:t>
      </w:r>
      <w:proofErr w:type="spellEnd"/>
      <w:r>
        <w:rPr>
          <w:i/>
          <w:iCs/>
        </w:rPr>
        <w:t xml:space="preserve"> a uno de los dos números, produce un mensaje alterado en su significado que solo puede ser devuelto a su estado original mediante la operación de descripción correspondiente tomando como clave de descripción al otro número de la pareja.”</w:t>
      </w:r>
    </w:p>
    <w:p w:rsidR="005C13C4" w:rsidRDefault="005C13C4">
      <w:pPr>
        <w:spacing w:after="0" w:line="360" w:lineRule="auto"/>
        <w:ind w:right="-91"/>
      </w:pPr>
    </w:p>
    <w:p w:rsidR="005C13C4" w:rsidRDefault="00070667">
      <w:pPr>
        <w:spacing w:after="0" w:line="360" w:lineRule="auto"/>
      </w:pPr>
      <w: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005C13C4" w:rsidRDefault="005C13C4">
      <w:pPr>
        <w:spacing w:after="0" w:line="360" w:lineRule="auto"/>
      </w:pPr>
    </w:p>
    <w:p w:rsidR="005C13C4" w:rsidRDefault="00070667">
      <w:pPr>
        <w:spacing w:after="0" w:line="360" w:lineRule="auto"/>
      </w:pPr>
      <w:r>
        <w:lastRenderedPageBreak/>
        <w:t xml:space="preserve">Por otra parte, por lo que hace al número de serie de los certificados de Sello Digitales del emisor y del Servicio de Administración Tributaria, el ANEXO 20 de la Segunda Resolución de modificaciones a la Resolución Miscelánea Fiscal para dos mil  diecisiete, precisa que dichos datos se conforman por veinte caracteres numéricos; dicha situación se robustece con el ejemplo localizado en el documento denominado “Cómo ubicar el Folio Fiscal en una factura”, emitido por el Instituto Nacional electoral (página electrónica </w:t>
      </w:r>
      <w:hyperlink r:id="rId11">
        <w:r>
          <w:rPr>
            <w:color w:val="0000FF"/>
            <w:u w:val="single"/>
          </w:rPr>
          <w:t>https://portalanterior.ine.mx/archivos2/tutoriales/sistemas/ApoyoInstitucional/SIF/docs/candidatos/folioFiscalFactura.pdf</w:t>
        </w:r>
      </w:hyperlink>
      <w:r>
        <w:t>), en la cual se advierte que únicamente se encuentra conformado por números, se muestra a continuación:</w:t>
      </w:r>
    </w:p>
    <w:p w:rsidR="005C13C4" w:rsidRDefault="005C13C4">
      <w:pPr>
        <w:spacing w:after="0" w:line="360" w:lineRule="auto"/>
      </w:pPr>
    </w:p>
    <w:p w:rsidR="005C13C4" w:rsidRDefault="00070667">
      <w:pPr>
        <w:spacing w:after="0" w:line="360" w:lineRule="auto"/>
      </w:pPr>
      <w:r>
        <w:rPr>
          <w:noProof/>
        </w:rPr>
        <w:drawing>
          <wp:inline distT="0" distB="0" distL="0" distR="0">
            <wp:extent cx="5456959" cy="1061076"/>
            <wp:effectExtent l="0" t="0" r="0" b="0"/>
            <wp:docPr id="163895199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456959" cy="1061076"/>
                    </a:xfrm>
                    <a:prstGeom prst="rect">
                      <a:avLst/>
                    </a:prstGeom>
                    <a:ln/>
                  </pic:spPr>
                </pic:pic>
              </a:graphicData>
            </a:graphic>
          </wp:inline>
        </w:drawing>
      </w:r>
      <w:r>
        <w:rPr>
          <w:noProof/>
        </w:rPr>
        <mc:AlternateContent>
          <mc:Choice Requires="wpg">
            <w:drawing>
              <wp:anchor distT="0" distB="0" distL="114300" distR="114300" simplePos="0" relativeHeight="251658240" behindDoc="0" locked="0" layoutInCell="1" hidden="0" allowOverlap="1">
                <wp:simplePos x="0" y="0"/>
                <wp:positionH relativeFrom="column">
                  <wp:posOffset>287019</wp:posOffset>
                </wp:positionH>
                <wp:positionV relativeFrom="paragraph">
                  <wp:posOffset>808991</wp:posOffset>
                </wp:positionV>
                <wp:extent cx="3514725" cy="276225"/>
                <wp:effectExtent l="0" t="0" r="0" b="0"/>
                <wp:wrapNone/>
                <wp:docPr id="1638951986" name="Rectángulo 1638951986"/>
                <wp:cNvGraphicFramePr/>
                <a:graphic xmlns:a="http://schemas.openxmlformats.org/drawingml/2006/main">
                  <a:graphicData uri="http://schemas.microsoft.com/office/word/2010/wordprocessingShape">
                    <wps:wsp>
                      <wps:cNvSpPr/>
                      <wps:spPr>
                        <a:xfrm>
                          <a:off x="3617213" y="3670463"/>
                          <a:ext cx="3457575" cy="219075"/>
                        </a:xfrm>
                        <a:prstGeom prst="rect">
                          <a:avLst/>
                        </a:prstGeom>
                        <a:noFill/>
                        <a:ln w="28575" cap="flat" cmpd="sng">
                          <a:solidFill>
                            <a:srgbClr val="000000"/>
                          </a:solidFill>
                          <a:prstDash val="solid"/>
                          <a:miter lim="800000"/>
                          <a:headEnd type="none" w="sm" len="sm"/>
                          <a:tailEnd type="none" w="sm" len="sm"/>
                        </a:ln>
                      </wps:spPr>
                      <wps:txbx>
                        <w:txbxContent>
                          <w:p w:rsidR="005C13C4" w:rsidRDefault="005C13C4">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287019</wp:posOffset>
                </wp:positionH>
                <wp:positionV relativeFrom="paragraph">
                  <wp:posOffset>808991</wp:posOffset>
                </wp:positionV>
                <wp:extent cx="3514725" cy="276225"/>
                <wp:effectExtent b="0" l="0" r="0" t="0"/>
                <wp:wrapNone/>
                <wp:docPr id="1638951986"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514725" cy="276225"/>
                        </a:xfrm>
                        <a:prstGeom prst="rect"/>
                        <a:ln/>
                      </pic:spPr>
                    </pic:pic>
                  </a:graphicData>
                </a:graphic>
              </wp:anchor>
            </w:drawing>
          </mc:Fallback>
        </mc:AlternateContent>
      </w:r>
    </w:p>
    <w:p w:rsidR="005C13C4" w:rsidRDefault="005C13C4">
      <w:pPr>
        <w:spacing w:after="0" w:line="360" w:lineRule="auto"/>
      </w:pPr>
    </w:p>
    <w:p w:rsidR="005C13C4" w:rsidRDefault="00070667">
      <w:pPr>
        <w:spacing w:after="0" w:line="360" w:lineRule="auto"/>
      </w:pPr>
      <w:r>
        <w:t xml:space="preserve">Como se logra observar, los números de serie del certificado de sello digital no contiene datos personales y con dichos dígitos tampoco se puede obtener información de carácter confidencial, por lo que, tampoco actualizan la causal de clasificación, establecida en el artículo 143, fracción I, de la Ley de Transparencia y Acceso a la Información Pública del Estado de México y Municipios. </w:t>
      </w:r>
      <w:r>
        <w:rPr>
          <w:b/>
          <w:bCs/>
        </w:rPr>
        <w:t>Máxime que permite corroborar la legitimidad a la factura, pues amparan la utilización de los certificados de sellos digitales válidos.</w:t>
      </w:r>
    </w:p>
    <w:p w:rsidR="005C13C4" w:rsidRDefault="005C13C4">
      <w:pPr>
        <w:spacing w:after="0" w:line="360" w:lineRule="auto"/>
      </w:pPr>
    </w:p>
    <w:p w:rsidR="005C13C4" w:rsidRDefault="00070667">
      <w:pPr>
        <w:spacing w:after="0" w:line="360" w:lineRule="auto"/>
      </w:pPr>
      <w:r>
        <w:t xml:space="preserve">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w:t>
      </w:r>
      <w:r>
        <w:lastRenderedPageBreak/>
        <w:t>comprobante fiscal. Es un número consecutivo contenido en los comprobantes fiscales digitales, compuesto por 5 grupos de números y letras separados por guiones, tal como se muestra a continuación:</w:t>
      </w:r>
    </w:p>
    <w:p w:rsidR="005C13C4" w:rsidRDefault="005C13C4">
      <w:pPr>
        <w:spacing w:after="0" w:line="360" w:lineRule="auto"/>
      </w:pPr>
    </w:p>
    <w:p w:rsidR="005C13C4" w:rsidRDefault="00070667">
      <w:pPr>
        <w:spacing w:after="0" w:line="360" w:lineRule="auto"/>
      </w:pPr>
      <w:r>
        <w:rPr>
          <w:noProof/>
        </w:rPr>
        <w:drawing>
          <wp:inline distT="0" distB="0" distL="0" distR="0">
            <wp:extent cx="5457825" cy="1562100"/>
            <wp:effectExtent l="0" t="0" r="0" b="0"/>
            <wp:docPr id="16389519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b="32787"/>
                    <a:stretch>
                      <a:fillRect/>
                    </a:stretch>
                  </pic:blipFill>
                  <pic:spPr>
                    <a:xfrm>
                      <a:off x="0" y="0"/>
                      <a:ext cx="5457825" cy="1562100"/>
                    </a:xfrm>
                    <a:prstGeom prst="rect">
                      <a:avLst/>
                    </a:prstGeom>
                    <a:ln/>
                  </pic:spPr>
                </pic:pic>
              </a:graphicData>
            </a:graphic>
          </wp:inline>
        </w:drawing>
      </w:r>
    </w:p>
    <w:p w:rsidR="005C13C4" w:rsidRDefault="005C13C4">
      <w:pPr>
        <w:spacing w:after="0" w:line="360" w:lineRule="auto"/>
        <w:rPr>
          <w:b/>
          <w:bCs/>
          <w:u w:val="single"/>
        </w:rPr>
      </w:pPr>
    </w:p>
    <w:p w:rsidR="005C13C4" w:rsidRDefault="00070667">
      <w:pPr>
        <w:spacing w:after="0" w:line="360" w:lineRule="auto"/>
      </w:pPr>
      <w: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005C13C4" w:rsidRDefault="005C13C4">
      <w:pPr>
        <w:spacing w:after="0" w:line="360" w:lineRule="auto"/>
      </w:pPr>
    </w:p>
    <w:p w:rsidR="005C13C4" w:rsidRDefault="00070667">
      <w:pPr>
        <w:spacing w:after="0" w:line="360" w:lineRule="auto"/>
      </w:pPr>
      <w:r>
        <w:t>Así, este Instituto considera que el Sujeto Obligado deberá proporcionar lo solicitado en versión pública, en atención a lo analizado en el presente Considerando;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rsidR="005C13C4" w:rsidRDefault="005C13C4">
      <w:pPr>
        <w:spacing w:after="0" w:line="360" w:lineRule="auto"/>
      </w:pPr>
    </w:p>
    <w:p w:rsidR="005C13C4" w:rsidRDefault="00070667">
      <w:pPr>
        <w:spacing w:after="0" w:line="360" w:lineRule="auto"/>
      </w:pPr>
      <w: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5C13C4" w:rsidRDefault="005C13C4">
      <w:pPr>
        <w:spacing w:after="0" w:line="360" w:lineRule="auto"/>
      </w:pPr>
    </w:p>
    <w:p w:rsidR="005C13C4" w:rsidRDefault="00070667">
      <w:pPr>
        <w:pStyle w:val="Ttulo2"/>
        <w:spacing w:before="0" w:after="0" w:line="360" w:lineRule="auto"/>
        <w:rPr>
          <w:sz w:val="22"/>
          <w:szCs w:val="22"/>
        </w:rPr>
      </w:pPr>
      <w:bookmarkStart w:id="13" w:name="_heading=h.4trngpihqofg" w:colFirst="0" w:colLast="0"/>
      <w:bookmarkEnd w:id="13"/>
      <w:r>
        <w:rPr>
          <w:sz w:val="22"/>
          <w:szCs w:val="22"/>
        </w:rPr>
        <w:t>SEXTO. Decisión</w:t>
      </w:r>
    </w:p>
    <w:p w:rsidR="005C13C4" w:rsidRDefault="005C13C4">
      <w:pPr>
        <w:spacing w:after="0" w:line="360" w:lineRule="auto"/>
        <w:rPr>
          <w:b/>
          <w:bCs/>
        </w:rPr>
      </w:pPr>
    </w:p>
    <w:p w:rsidR="005C13C4" w:rsidRDefault="00070667">
      <w:pPr>
        <w:spacing w:after="0" w:line="360" w:lineRule="auto"/>
      </w:pPr>
      <w:r>
        <w:t xml:space="preserve">De acuerdo con lo expuesto y, con fundamento en el artículo 186, fracción III, de la Ley de Transparencia y Acceso a la Información Pública del Estado de México y Municipios, este Instituto considera procedente </w:t>
      </w:r>
      <w:r>
        <w:rPr>
          <w:b/>
          <w:bCs/>
        </w:rPr>
        <w:t xml:space="preserve">MODIFICAR </w:t>
      </w:r>
      <w:r>
        <w:t>la respuesta del Ayuntamiento de Chicoloapan</w:t>
      </w:r>
      <w:r>
        <w:rPr>
          <w:b/>
          <w:bCs/>
        </w:rPr>
        <w:t xml:space="preserve">, </w:t>
      </w:r>
      <w:r>
        <w:t xml:space="preserve">a efecto de que previa búsqueda exhaustiva y razonable entregue, en su caso en versión pública, la información faltante. </w:t>
      </w:r>
    </w:p>
    <w:p w:rsidR="005C13C4" w:rsidRDefault="005C13C4">
      <w:pPr>
        <w:spacing w:after="0" w:line="360" w:lineRule="auto"/>
      </w:pPr>
    </w:p>
    <w:p w:rsidR="005C13C4" w:rsidRDefault="00070667">
      <w:pPr>
        <w:spacing w:after="0" w:line="360" w:lineRule="auto"/>
        <w:rPr>
          <w:b/>
          <w:bCs/>
          <w:color w:val="000000"/>
        </w:rPr>
      </w:pPr>
      <w:r>
        <w:rPr>
          <w:b/>
          <w:bCs/>
          <w:color w:val="000000"/>
        </w:rPr>
        <w:t>SÉPTIMO. Vista la Dirección General de</w:t>
      </w:r>
      <w:r w:rsidR="00FE31CE">
        <w:rPr>
          <w:b/>
          <w:bCs/>
          <w:color w:val="000000"/>
        </w:rPr>
        <w:t xml:space="preserve"> Protección de Datos Personales</w:t>
      </w:r>
    </w:p>
    <w:p w:rsidR="005C13C4" w:rsidRDefault="005C13C4">
      <w:pPr>
        <w:spacing w:after="0" w:line="360" w:lineRule="auto"/>
        <w:rPr>
          <w:b/>
          <w:bCs/>
          <w:color w:val="000000"/>
        </w:rPr>
      </w:pPr>
    </w:p>
    <w:p w:rsidR="005C13C4" w:rsidRDefault="00070667">
      <w:pPr>
        <w:spacing w:after="0" w:line="360" w:lineRule="auto"/>
        <w:rPr>
          <w:color w:val="000000"/>
        </w:rPr>
      </w:pPr>
      <w:r>
        <w:rPr>
          <w:color w:val="000000"/>
        </w:rPr>
        <w:t>Ahora bien, toda vez que el Sujeto Obligado dejó visibles datos personales de Particulares tales como</w:t>
      </w:r>
      <w:r>
        <w:t xml:space="preserve"> </w:t>
      </w:r>
      <w:r>
        <w:rPr>
          <w:color w:val="000000"/>
        </w:rPr>
        <w:t>estado civil, edad y correo electrónico personal en los documentos que contienen la información curricular de los Servidores Públicos, circunstancia que vulnera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 Sobre el particular, si bien, la presente resolución no tiene por objetivo investigar y determinar posibles violaciones al derecho de acceso a la información.</w:t>
      </w:r>
    </w:p>
    <w:p w:rsidR="005C13C4" w:rsidRDefault="005C13C4">
      <w:pPr>
        <w:spacing w:after="0" w:line="360" w:lineRule="auto"/>
        <w:rPr>
          <w:color w:val="000000"/>
        </w:rPr>
      </w:pPr>
    </w:p>
    <w:p w:rsidR="005C13C4" w:rsidRDefault="00070667">
      <w:pPr>
        <w:spacing w:after="0" w:line="360" w:lineRule="auto"/>
        <w:rPr>
          <w:color w:val="000000"/>
        </w:rPr>
      </w:pPr>
      <w:r>
        <w:rPr>
          <w:color w:val="000000"/>
        </w:rPr>
        <w:lastRenderedPageBreak/>
        <w:t>Así,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rsidR="005C13C4" w:rsidRDefault="005C13C4">
      <w:pPr>
        <w:spacing w:after="0" w:line="360" w:lineRule="auto"/>
      </w:pPr>
    </w:p>
    <w:p w:rsidR="005C13C4" w:rsidRDefault="00070667">
      <w:pPr>
        <w:spacing w:after="0" w:line="360" w:lineRule="auto"/>
        <w:rPr>
          <w:b/>
          <w:bCs/>
        </w:rPr>
      </w:pPr>
      <w:r>
        <w:rPr>
          <w:b/>
          <w:bCs/>
        </w:rPr>
        <w:t>Términos de la Resolución para conocimiento del Particular</w:t>
      </w:r>
    </w:p>
    <w:p w:rsidR="005C13C4" w:rsidRDefault="005C13C4">
      <w:pPr>
        <w:spacing w:after="0" w:line="360" w:lineRule="auto"/>
        <w:rPr>
          <w:b/>
          <w:bCs/>
        </w:rPr>
      </w:pPr>
    </w:p>
    <w:p w:rsidR="005C13C4" w:rsidRDefault="00070667">
      <w:pPr>
        <w:spacing w:after="0" w:line="360" w:lineRule="auto"/>
      </w:pPr>
      <w:r>
        <w:t xml:space="preserve">Se le hace del conocimiento a la persona Recurrente que, en el presente asunto, se le daba parcialmente la razón, pues el Sujeto Obligado proporcionó la información incompleta, por lo que, deberá hacer la entrega del recibo de nómina faltante; </w:t>
      </w:r>
      <w:r>
        <w:rPr>
          <w:color w:val="000000"/>
        </w:rPr>
        <w:t>la labor del Instituto es apoyar a la población a acceder a la información pública y garantizar la protección de sus datos personales.</w:t>
      </w:r>
    </w:p>
    <w:p w:rsidR="005C13C4" w:rsidRDefault="005C13C4">
      <w:pPr>
        <w:spacing w:after="0" w:line="360" w:lineRule="auto"/>
      </w:pPr>
    </w:p>
    <w:p w:rsidR="005C13C4" w:rsidRDefault="00070667">
      <w:pPr>
        <w:spacing w:after="0" w:line="360" w:lineRule="auto"/>
      </w:pPr>
      <w:r>
        <w:t>Por lo expuesto y fundado, este Pleno:</w:t>
      </w:r>
    </w:p>
    <w:p w:rsidR="005C13C4" w:rsidRDefault="005C13C4">
      <w:pPr>
        <w:spacing w:after="0" w:line="360" w:lineRule="auto"/>
      </w:pPr>
    </w:p>
    <w:p w:rsidR="005C13C4" w:rsidRDefault="00070667">
      <w:pPr>
        <w:pStyle w:val="Ttulo1"/>
        <w:spacing w:before="0" w:after="0" w:line="360" w:lineRule="auto"/>
        <w:jc w:val="center"/>
        <w:rPr>
          <w:sz w:val="22"/>
          <w:szCs w:val="22"/>
        </w:rPr>
      </w:pPr>
      <w:bookmarkStart w:id="14" w:name="_heading=h.exmy535y8ieh" w:colFirst="0" w:colLast="0"/>
      <w:bookmarkEnd w:id="14"/>
      <w:r>
        <w:rPr>
          <w:sz w:val="22"/>
          <w:szCs w:val="22"/>
        </w:rPr>
        <w:t>R E S U E L V E</w:t>
      </w:r>
    </w:p>
    <w:p w:rsidR="005C13C4" w:rsidRDefault="005C13C4">
      <w:pPr>
        <w:spacing w:after="0" w:line="360" w:lineRule="auto"/>
        <w:rPr>
          <w:b/>
          <w:bCs/>
        </w:rPr>
      </w:pPr>
    </w:p>
    <w:p w:rsidR="005C13C4" w:rsidRDefault="00070667">
      <w:pPr>
        <w:spacing w:after="0" w:line="360" w:lineRule="auto"/>
      </w:pPr>
      <w:r>
        <w:rPr>
          <w:b/>
          <w:bCs/>
        </w:rPr>
        <w:t xml:space="preserve">PRIMERO. </w:t>
      </w:r>
      <w:r>
        <w:t xml:space="preserve">Se </w:t>
      </w:r>
      <w:r>
        <w:rPr>
          <w:b/>
          <w:bCs/>
        </w:rPr>
        <w:t xml:space="preserve">MODIFICA </w:t>
      </w:r>
      <w:r>
        <w:t xml:space="preserve">la respuesta entregada por el Ayuntamiento de Chicoloapan, a la solicitud de información 00192/CHICOLOA/IP/2025, por resultar </w:t>
      </w:r>
      <w:r>
        <w:rPr>
          <w:b/>
          <w:bCs/>
        </w:rPr>
        <w:t xml:space="preserve">PARCIALMENTE FUNDADAS </w:t>
      </w:r>
      <w:r>
        <w:t>las razones o motivos de inconformidad hechos valer por el Recurrente, en términos de los considerandos QUINTO y SEXTO de la presente Resolución.</w:t>
      </w:r>
    </w:p>
    <w:p w:rsidR="005C13C4" w:rsidRDefault="005C13C4">
      <w:pPr>
        <w:spacing w:after="0" w:line="360" w:lineRule="auto"/>
      </w:pPr>
    </w:p>
    <w:p w:rsidR="005C13C4" w:rsidRDefault="00070667">
      <w:pPr>
        <w:spacing w:after="0" w:line="360" w:lineRule="auto"/>
      </w:pPr>
      <w:r>
        <w:rPr>
          <w:b/>
          <w:bCs/>
        </w:rPr>
        <w:t xml:space="preserve">SEGUNDO. </w:t>
      </w:r>
      <w:r>
        <w:t xml:space="preserve">Se </w:t>
      </w:r>
      <w:r>
        <w:rPr>
          <w:b/>
          <w:bCs/>
        </w:rPr>
        <w:t>ORDENA</w:t>
      </w:r>
      <w:r>
        <w:t xml:space="preserve"> al Ente Recurrido</w:t>
      </w:r>
      <w:r>
        <w:rPr>
          <w:b/>
          <w:bCs/>
        </w:rPr>
        <w:t xml:space="preserve">, </w:t>
      </w:r>
      <w:r>
        <w:t>a efecto de que entregue a través del Sistema de Acceso a la Información Mexiquense (SAIMEX), en versión pública, lo siguiente:</w:t>
      </w:r>
    </w:p>
    <w:p w:rsidR="005C13C4" w:rsidRDefault="005C13C4">
      <w:pPr>
        <w:spacing w:after="0" w:line="360" w:lineRule="auto"/>
      </w:pPr>
    </w:p>
    <w:p w:rsidR="005C13C4" w:rsidRDefault="00070667">
      <w:pPr>
        <w:numPr>
          <w:ilvl w:val="0"/>
          <w:numId w:val="6"/>
        </w:numPr>
        <w:pBdr>
          <w:top w:val="nil"/>
          <w:left w:val="nil"/>
          <w:bottom w:val="nil"/>
          <w:right w:val="nil"/>
          <w:between w:val="nil"/>
        </w:pBdr>
        <w:spacing w:after="0" w:line="360" w:lineRule="auto"/>
      </w:pPr>
      <w:r>
        <w:rPr>
          <w:color w:val="000000"/>
        </w:rPr>
        <w:lastRenderedPageBreak/>
        <w:t>El recibo de nómina de la Secretaría Técnica del Consejo Municipal de Seguridad, correspondiente a la segunda quincena de julio de dos mil veinticinco.</w:t>
      </w:r>
    </w:p>
    <w:p w:rsidR="005C13C4" w:rsidRDefault="005C13C4">
      <w:pPr>
        <w:pBdr>
          <w:top w:val="nil"/>
          <w:left w:val="nil"/>
          <w:bottom w:val="nil"/>
          <w:right w:val="nil"/>
          <w:between w:val="nil"/>
        </w:pBdr>
        <w:spacing w:after="0" w:line="360" w:lineRule="auto"/>
        <w:ind w:left="720"/>
        <w:rPr>
          <w:color w:val="000000"/>
        </w:rPr>
      </w:pPr>
    </w:p>
    <w:p w:rsidR="005C13C4" w:rsidRDefault="00070667">
      <w:pPr>
        <w:spacing w:after="0" w:line="360" w:lineRule="auto"/>
      </w:pPr>
      <w:r>
        <w:t>Además, deberá proporcionar el Acuerdo de Clasificación donde el Comité de Transparencia, confirme la eliminación de los datos, conforme a lo analizado en el Considerando QUINTO, en la versión pública, de conformidad con los artículos 49, fracciones II y VIII y 132, fracción II de la Ley de Transparencia y Acceso a la Información Pública del Estado de México y Municipios.</w:t>
      </w:r>
    </w:p>
    <w:p w:rsidR="005C13C4" w:rsidRDefault="005C13C4">
      <w:pPr>
        <w:spacing w:after="0" w:line="360" w:lineRule="auto"/>
        <w:ind w:right="-91"/>
        <w:rPr>
          <w:b/>
          <w:bCs/>
        </w:rPr>
      </w:pPr>
    </w:p>
    <w:p w:rsidR="005C13C4" w:rsidRDefault="00070667">
      <w:pPr>
        <w:spacing w:after="0" w:line="360" w:lineRule="auto"/>
        <w:ind w:right="-28"/>
      </w:pPr>
      <w:r>
        <w:rPr>
          <w:b/>
          <w:bCs/>
        </w:rPr>
        <w:t xml:space="preserve">TERCERO. NOTIFÍQUESE POR SAIMEX </w:t>
      </w:r>
      <w: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 </w:t>
      </w:r>
    </w:p>
    <w:p w:rsidR="005C13C4" w:rsidRDefault="005C13C4">
      <w:pPr>
        <w:spacing w:after="0" w:line="360" w:lineRule="auto"/>
        <w:ind w:right="-28"/>
      </w:pPr>
    </w:p>
    <w:p w:rsidR="005C13C4" w:rsidRDefault="00070667">
      <w:pPr>
        <w:spacing w:after="0" w:line="360" w:lineRule="auto"/>
        <w:ind w:right="-28"/>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rsidR="005C13C4" w:rsidRDefault="005C13C4">
      <w:pPr>
        <w:spacing w:after="0" w:line="360" w:lineRule="auto"/>
        <w:rPr>
          <w:color w:val="000000"/>
        </w:rPr>
      </w:pPr>
    </w:p>
    <w:p w:rsidR="005C13C4" w:rsidRDefault="00070667">
      <w:pPr>
        <w:spacing w:after="0" w:line="360" w:lineRule="auto"/>
      </w:pPr>
      <w:r>
        <w:rPr>
          <w:b/>
          <w:bCs/>
        </w:rPr>
        <w:t>CUARTO. NOTIFÍQUESE POR SAIMEX</w:t>
      </w:r>
      <w: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5C13C4" w:rsidRDefault="005C13C4">
      <w:pPr>
        <w:spacing w:after="0" w:line="360" w:lineRule="auto"/>
      </w:pPr>
    </w:p>
    <w:p w:rsidR="005C13C4" w:rsidRDefault="00070667">
      <w:pPr>
        <w:spacing w:after="0" w:line="360" w:lineRule="auto"/>
        <w:rPr>
          <w:color w:val="000000"/>
        </w:rPr>
      </w:pPr>
      <w:r>
        <w:rPr>
          <w:b/>
          <w:bCs/>
          <w:color w:val="000000"/>
        </w:rPr>
        <w:t>QUINTO.</w:t>
      </w:r>
      <w:r>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SÉPTIMO de la presente Resolución.</w:t>
      </w:r>
    </w:p>
    <w:p w:rsidR="005C13C4" w:rsidRDefault="005C13C4">
      <w:pPr>
        <w:spacing w:after="0" w:line="360" w:lineRule="auto"/>
        <w:rPr>
          <w:b/>
          <w:bCs/>
        </w:rPr>
      </w:pPr>
    </w:p>
    <w:p w:rsidR="005C13C4" w:rsidRDefault="00070667">
      <w:pPr>
        <w:spacing w:after="0" w:line="360" w:lineRule="auto"/>
        <w:rPr>
          <w:b/>
          <w:bCs/>
        </w:rPr>
      </w:pPr>
      <w:r>
        <w:t>ASÍ LO RESUELVE, POR </w:t>
      </w:r>
      <w:r>
        <w:rPr>
          <w:b/>
          <w:bCs/>
        </w:rPr>
        <w:t>UNANIMIDAD</w:t>
      </w:r>
      <w: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F702BA">
        <w:t xml:space="preserve"> </w:t>
      </w:r>
      <w:r>
        <w:t>CON VOTO PARTICULAR CONCURRENTE</w:t>
      </w:r>
      <w:bookmarkStart w:id="15" w:name="_GoBack"/>
      <w:bookmarkEnd w:id="15"/>
      <w:r>
        <w:t xml:space="preserve"> Y GUADALUPE RAMÍREZ PEÑA CON VOTO PARTICULAR CONCURRENTE, EN LA SEXTA SESIÓN ORDINARIA, CELEBRADA EL DIECIOCHO DE FEBRERO DE DOS MIL VEINTISÉIS, ANTE EL SECRETARIO TÉCNICO DEL PLENO, ALEXIS TAPIA RAMÍREZ.</w:t>
      </w:r>
    </w:p>
    <w:p w:rsidR="005C13C4" w:rsidRDefault="005C13C4">
      <w:pPr>
        <w:spacing w:after="0" w:line="360" w:lineRule="auto"/>
        <w:ind w:right="-28"/>
        <w:rPr>
          <w:color w:val="000000"/>
        </w:rPr>
      </w:pPr>
    </w:p>
    <w:p w:rsidR="005C13C4" w:rsidRDefault="005C13C4">
      <w:pPr>
        <w:spacing w:after="0" w:line="360" w:lineRule="auto"/>
        <w:rPr>
          <w:b/>
          <w:bCs/>
        </w:rPr>
      </w:pPr>
    </w:p>
    <w:p w:rsidR="005C13C4" w:rsidRDefault="005C13C4">
      <w:pPr>
        <w:spacing w:after="0" w:line="360" w:lineRule="auto"/>
        <w:rPr>
          <w:b/>
          <w:bCs/>
        </w:rPr>
      </w:pPr>
    </w:p>
    <w:p w:rsidR="005C13C4" w:rsidRDefault="005C13C4">
      <w:pPr>
        <w:spacing w:after="0" w:line="360" w:lineRule="auto"/>
        <w:rPr>
          <w:color w:val="000000"/>
        </w:rPr>
      </w:pPr>
    </w:p>
    <w:p w:rsidR="005C13C4" w:rsidRDefault="005C13C4">
      <w:pPr>
        <w:spacing w:after="0" w:line="360" w:lineRule="auto"/>
        <w:rPr>
          <w:color w:val="000000"/>
        </w:rPr>
      </w:pPr>
    </w:p>
    <w:p w:rsidR="005C13C4" w:rsidRDefault="005C13C4">
      <w:pPr>
        <w:spacing w:after="0" w:line="360" w:lineRule="auto"/>
      </w:pPr>
    </w:p>
    <w:p w:rsidR="005C13C4" w:rsidRDefault="005C13C4">
      <w:pPr>
        <w:spacing w:after="0" w:line="360" w:lineRule="auto"/>
      </w:pPr>
    </w:p>
    <w:p w:rsidR="005C13C4" w:rsidRDefault="005C13C4">
      <w:pPr>
        <w:spacing w:after="0" w:line="360" w:lineRule="auto"/>
        <w:rPr>
          <w:color w:val="000000"/>
        </w:rPr>
      </w:pPr>
    </w:p>
    <w:p w:rsidR="005C13C4" w:rsidRDefault="005C13C4">
      <w:pPr>
        <w:spacing w:after="0" w:line="360" w:lineRule="auto"/>
        <w:rPr>
          <w:color w:val="000000"/>
        </w:rPr>
      </w:pPr>
    </w:p>
    <w:p w:rsidR="005C13C4" w:rsidRDefault="005C13C4">
      <w:pPr>
        <w:tabs>
          <w:tab w:val="right" w:pos="8931"/>
        </w:tabs>
        <w:spacing w:after="0" w:line="360" w:lineRule="auto"/>
      </w:pPr>
    </w:p>
    <w:p w:rsidR="005C13C4" w:rsidRDefault="005C13C4">
      <w:pPr>
        <w:tabs>
          <w:tab w:val="right" w:pos="8931"/>
        </w:tabs>
        <w:spacing w:after="0" w:line="360" w:lineRule="auto"/>
      </w:pPr>
    </w:p>
    <w:p w:rsidR="005C13C4" w:rsidRDefault="005C13C4">
      <w:pPr>
        <w:spacing w:after="0" w:line="360" w:lineRule="auto"/>
      </w:pPr>
    </w:p>
    <w:p w:rsidR="005C13C4" w:rsidRDefault="005C13C4">
      <w:pPr>
        <w:spacing w:after="0" w:line="360" w:lineRule="auto"/>
      </w:pPr>
    </w:p>
    <w:sectPr w:rsidR="005C13C4">
      <w:headerReference w:type="even" r:id="rId15"/>
      <w:headerReference w:type="default" r:id="rId16"/>
      <w:footerReference w:type="even" r:id="rId17"/>
      <w:footerReference w:type="default" r:id="rId18"/>
      <w:headerReference w:type="first" r:id="rId19"/>
      <w:footerReference w:type="first" r:id="rId20"/>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1C7" w:rsidRDefault="001D51C7">
      <w:pPr>
        <w:spacing w:after="0" w:line="240" w:lineRule="auto"/>
      </w:pPr>
      <w:r>
        <w:separator/>
      </w:r>
    </w:p>
  </w:endnote>
  <w:endnote w:type="continuationSeparator" w:id="0">
    <w:p w:rsidR="001D51C7" w:rsidRDefault="001D51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5BD5DA02-4C70-4F6E-92A1-CBE482CE329C}"/>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CA563F3E-7BBB-4BFF-9FB6-BA6AB9274088}"/>
    <w:embedBold r:id="rId3" w:fontKey="{3CE01F7E-42CB-49C4-8D52-B5B94DB98972}"/>
    <w:embedItalic r:id="rId4" w:fontKey="{5E3AF3E1-1EED-4645-B017-C978FE1696A5}"/>
    <w:embedBoldItalic r:id="rId5" w:fontKey="{242B6DF3-4194-45B6-B040-7F738F56961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06FE740-8366-4D89-BCA8-575CE3F4BC28}"/>
  </w:font>
  <w:font w:name="Calibri">
    <w:panose1 w:val="020F0502020204030204"/>
    <w:charset w:val="00"/>
    <w:family w:val="swiss"/>
    <w:pitch w:val="variable"/>
    <w:sig w:usb0="E4002EFF" w:usb1="C200247B" w:usb2="00000009" w:usb3="00000000" w:csb0="000001FF" w:csb1="00000000"/>
    <w:embedRegular r:id="rId7" w:fontKey="{A77D736C-04A1-4E5F-865E-948AD9FE5A14}"/>
  </w:font>
  <w:font w:name="Georgia">
    <w:panose1 w:val="02040502050405020303"/>
    <w:charset w:val="00"/>
    <w:family w:val="roman"/>
    <w:pitch w:val="variable"/>
    <w:sig w:usb0="00000287" w:usb1="00000000" w:usb2="00000000" w:usb3="00000000" w:csb0="0000009F" w:csb1="00000000"/>
    <w:embedItalic r:id="rId8" w:fontKey="{05C087BD-CEDE-4CFA-8099-FBC231293F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C4" w:rsidRDefault="000706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4D0C57">
      <w:rPr>
        <w:b/>
        <w:bCs/>
        <w:color w:val="000000"/>
        <w:sz w:val="24"/>
        <w:szCs w:val="24"/>
      </w:rPr>
      <w:fldChar w:fldCharType="separate"/>
    </w:r>
    <w:r w:rsidR="004D0C57">
      <w:rPr>
        <w:b/>
        <w:bCs/>
        <w:noProof/>
        <w:color w:val="000000"/>
        <w:sz w:val="24"/>
        <w:szCs w:val="24"/>
      </w:rPr>
      <w:t>38</w:t>
    </w:r>
    <w:r>
      <w:rPr>
        <w:b/>
        <w:bCs/>
        <w:color w:val="000000"/>
        <w:sz w:val="24"/>
        <w:szCs w:val="24"/>
      </w:rPr>
      <w:fldChar w:fldCharType="end"/>
    </w:r>
  </w:p>
  <w:p w:rsidR="005C13C4" w:rsidRDefault="005C13C4">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C4" w:rsidRDefault="000706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D0C57">
      <w:rPr>
        <w:b/>
        <w:bCs/>
        <w:noProof/>
        <w:color w:val="000000"/>
        <w:sz w:val="24"/>
        <w:szCs w:val="24"/>
      </w:rPr>
      <w:t>37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D0C57">
      <w:rPr>
        <w:b/>
        <w:bCs/>
        <w:noProof/>
        <w:color w:val="000000"/>
        <w:sz w:val="24"/>
        <w:szCs w:val="24"/>
      </w:rPr>
      <w:t>38</w:t>
    </w:r>
    <w:r>
      <w:rPr>
        <w:b/>
        <w:bCs/>
        <w:color w:val="000000"/>
        <w:sz w:val="24"/>
        <w:szCs w:val="24"/>
      </w:rPr>
      <w:fldChar w:fldCharType="end"/>
    </w:r>
  </w:p>
  <w:p w:rsidR="005C13C4" w:rsidRDefault="005C13C4">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C4" w:rsidRDefault="00070667">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D0C57">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D0C57">
      <w:rPr>
        <w:b/>
        <w:bCs/>
        <w:noProof/>
        <w:color w:val="000000"/>
        <w:sz w:val="24"/>
        <w:szCs w:val="24"/>
      </w:rPr>
      <w:t>38</w:t>
    </w:r>
    <w:r>
      <w:rPr>
        <w:b/>
        <w:bCs/>
        <w:color w:val="000000"/>
        <w:sz w:val="24"/>
        <w:szCs w:val="24"/>
      </w:rPr>
      <w:fldChar w:fldCharType="end"/>
    </w:r>
  </w:p>
  <w:p w:rsidR="005C13C4" w:rsidRDefault="005C13C4">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1C7" w:rsidRDefault="001D51C7">
      <w:pPr>
        <w:spacing w:after="0" w:line="240" w:lineRule="auto"/>
      </w:pPr>
      <w:r>
        <w:separator/>
      </w:r>
    </w:p>
  </w:footnote>
  <w:footnote w:type="continuationSeparator" w:id="0">
    <w:p w:rsidR="001D51C7" w:rsidRDefault="001D51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C4" w:rsidRDefault="005C13C4">
    <w:pPr>
      <w:widowControl w:val="0"/>
      <w:pBdr>
        <w:top w:val="nil"/>
        <w:left w:val="nil"/>
        <w:bottom w:val="nil"/>
        <w:right w:val="nil"/>
        <w:between w:val="nil"/>
      </w:pBdr>
      <w:spacing w:after="0" w:line="276" w:lineRule="auto"/>
      <w:jc w:val="left"/>
      <w:rPr>
        <w:color w:val="000000"/>
      </w:rPr>
    </w:pPr>
  </w:p>
  <w:tbl>
    <w:tblPr>
      <w:tblStyle w:val="a2"/>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5C13C4">
      <w:trPr>
        <w:trHeight w:val="132"/>
      </w:trPr>
      <w:tc>
        <w:tcPr>
          <w:tcW w:w="0" w:type="auto"/>
        </w:tcPr>
        <w:p w:rsidR="005C13C4" w:rsidRDefault="00070667">
          <w:pPr>
            <w:tabs>
              <w:tab w:val="right" w:pos="8838"/>
            </w:tabs>
            <w:ind w:right="-105"/>
            <w:rPr>
              <w:b/>
              <w:bCs/>
            </w:rPr>
          </w:pPr>
          <w:r>
            <w:rPr>
              <w:b/>
              <w:bCs/>
            </w:rPr>
            <w:t>Recurso de Revisión:</w:t>
          </w:r>
        </w:p>
      </w:tc>
      <w:tc>
        <w:tcPr>
          <w:tcW w:w="0" w:type="auto"/>
        </w:tcPr>
        <w:p w:rsidR="005C13C4" w:rsidRDefault="00070667">
          <w:pPr>
            <w:tabs>
              <w:tab w:val="right" w:pos="8838"/>
            </w:tabs>
            <w:ind w:left="-28" w:right="-32"/>
          </w:pPr>
          <w:r>
            <w:t>03846/INFOEM/IP/RR/2020</w:t>
          </w:r>
        </w:p>
      </w:tc>
    </w:tr>
    <w:tr w:rsidR="005C13C4">
      <w:trPr>
        <w:trHeight w:val="261"/>
      </w:trPr>
      <w:tc>
        <w:tcPr>
          <w:tcW w:w="0" w:type="auto"/>
        </w:tcPr>
        <w:p w:rsidR="005C13C4" w:rsidRDefault="00070667">
          <w:pPr>
            <w:tabs>
              <w:tab w:val="right" w:pos="8838"/>
            </w:tabs>
            <w:ind w:right="-105"/>
            <w:rPr>
              <w:b/>
              <w:bCs/>
            </w:rPr>
          </w:pPr>
          <w:r>
            <w:rPr>
              <w:b/>
              <w:bCs/>
            </w:rPr>
            <w:t>Sujeto Obligado:</w:t>
          </w:r>
        </w:p>
      </w:tc>
      <w:tc>
        <w:tcPr>
          <w:tcW w:w="0" w:type="auto"/>
        </w:tcPr>
        <w:p w:rsidR="005C13C4" w:rsidRDefault="00070667">
          <w:pPr>
            <w:tabs>
              <w:tab w:val="right" w:pos="8838"/>
            </w:tabs>
            <w:ind w:right="-32"/>
          </w:pPr>
          <w:r>
            <w:t xml:space="preserve">Ayuntamiento de </w:t>
          </w:r>
          <w:proofErr w:type="spellStart"/>
          <w:r>
            <w:t>Temascalcingo</w:t>
          </w:r>
          <w:proofErr w:type="spellEnd"/>
        </w:p>
      </w:tc>
    </w:tr>
    <w:tr w:rsidR="005C13C4">
      <w:trPr>
        <w:trHeight w:val="261"/>
      </w:trPr>
      <w:tc>
        <w:tcPr>
          <w:tcW w:w="0" w:type="auto"/>
        </w:tcPr>
        <w:p w:rsidR="005C13C4" w:rsidRDefault="00070667">
          <w:pPr>
            <w:tabs>
              <w:tab w:val="right" w:pos="8838"/>
            </w:tabs>
            <w:ind w:right="-105"/>
            <w:rPr>
              <w:b/>
              <w:bCs/>
            </w:rPr>
          </w:pPr>
          <w:r>
            <w:rPr>
              <w:b/>
              <w:bCs/>
            </w:rPr>
            <w:t>Comisionado Ponente:</w:t>
          </w:r>
        </w:p>
      </w:tc>
      <w:tc>
        <w:tcPr>
          <w:tcW w:w="0" w:type="auto"/>
        </w:tcPr>
        <w:p w:rsidR="005C13C4" w:rsidRDefault="00070667">
          <w:pPr>
            <w:tabs>
              <w:tab w:val="right" w:pos="8838"/>
            </w:tabs>
            <w:ind w:right="-32"/>
            <w:rPr>
              <w:b/>
              <w:bCs/>
            </w:rPr>
          </w:pPr>
          <w:r>
            <w:t>Luis Gustavo Parra Noriega</w:t>
          </w:r>
        </w:p>
      </w:tc>
    </w:tr>
  </w:tbl>
  <w:p w:rsidR="005C13C4" w:rsidRDefault="001D51C7">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C4" w:rsidRDefault="001D51C7">
    <w:pPr>
      <w:widowControl w:val="0"/>
      <w:pBdr>
        <w:top w:val="nil"/>
        <w:left w:val="nil"/>
        <w:bottom w:val="nil"/>
        <w:right w:val="nil"/>
        <w:between w:val="nil"/>
      </w:pBdr>
      <w:spacing w:after="0" w:line="276" w:lineRule="auto"/>
      <w:jc w:val="left"/>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1"/>
          <w10:wrap anchorx="margin" anchory="margin"/>
        </v:shape>
      </w:pict>
    </w:r>
  </w:p>
  <w:tbl>
    <w:tblPr>
      <w:tblStyle w:val="a3"/>
      <w:tblW w:w="6662"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5C13C4">
      <w:trPr>
        <w:trHeight w:val="138"/>
      </w:trPr>
      <w:tc>
        <w:tcPr>
          <w:tcW w:w="2693" w:type="dxa"/>
          <w:vAlign w:val="center"/>
        </w:tcPr>
        <w:p w:rsidR="005C13C4" w:rsidRDefault="005C13C4">
          <w:pPr>
            <w:tabs>
              <w:tab w:val="right" w:pos="8838"/>
            </w:tabs>
            <w:ind w:left="-108" w:right="-105"/>
            <w:jc w:val="left"/>
            <w:rPr>
              <w:b/>
              <w:bCs/>
            </w:rPr>
          </w:pPr>
        </w:p>
        <w:p w:rsidR="005C13C4" w:rsidRDefault="00070667">
          <w:pPr>
            <w:tabs>
              <w:tab w:val="right" w:pos="8838"/>
            </w:tabs>
            <w:ind w:left="-108" w:right="-105"/>
            <w:jc w:val="left"/>
            <w:rPr>
              <w:b/>
              <w:bCs/>
            </w:rPr>
          </w:pPr>
          <w:r>
            <w:rPr>
              <w:b/>
              <w:bCs/>
            </w:rPr>
            <w:t>Recurso de Revisión:</w:t>
          </w:r>
        </w:p>
      </w:tc>
      <w:tc>
        <w:tcPr>
          <w:tcW w:w="3969" w:type="dxa"/>
        </w:tcPr>
        <w:p w:rsidR="005C13C4" w:rsidRDefault="005C13C4">
          <w:pPr>
            <w:tabs>
              <w:tab w:val="right" w:pos="8838"/>
            </w:tabs>
            <w:ind w:right="57"/>
          </w:pPr>
        </w:p>
        <w:p w:rsidR="005C13C4" w:rsidRDefault="00070667">
          <w:pPr>
            <w:tabs>
              <w:tab w:val="right" w:pos="8838"/>
            </w:tabs>
            <w:ind w:right="57"/>
          </w:pPr>
          <w:r>
            <w:t>09816/INFOEM/IP/RR/2025</w:t>
          </w:r>
        </w:p>
      </w:tc>
    </w:tr>
    <w:tr w:rsidR="005C13C4">
      <w:trPr>
        <w:trHeight w:val="273"/>
      </w:trPr>
      <w:tc>
        <w:tcPr>
          <w:tcW w:w="2693" w:type="dxa"/>
        </w:tcPr>
        <w:p w:rsidR="005C13C4" w:rsidRDefault="00070667">
          <w:pPr>
            <w:tabs>
              <w:tab w:val="right" w:pos="8838"/>
            </w:tabs>
            <w:ind w:left="-108" w:right="-105"/>
            <w:rPr>
              <w:b/>
              <w:bCs/>
            </w:rPr>
          </w:pPr>
          <w:r>
            <w:rPr>
              <w:b/>
              <w:bCs/>
            </w:rPr>
            <w:t>Sujeto Obligado:</w:t>
          </w:r>
        </w:p>
      </w:tc>
      <w:tc>
        <w:tcPr>
          <w:tcW w:w="3969" w:type="dxa"/>
        </w:tcPr>
        <w:p w:rsidR="005C13C4" w:rsidRDefault="00070667">
          <w:pPr>
            <w:tabs>
              <w:tab w:val="right" w:pos="8838"/>
            </w:tabs>
            <w:ind w:right="324"/>
          </w:pPr>
          <w:r>
            <w:t>Ayuntamiento de Chicoloapan</w:t>
          </w:r>
        </w:p>
      </w:tc>
    </w:tr>
    <w:tr w:rsidR="005C13C4">
      <w:trPr>
        <w:trHeight w:val="273"/>
      </w:trPr>
      <w:tc>
        <w:tcPr>
          <w:tcW w:w="2693" w:type="dxa"/>
        </w:tcPr>
        <w:p w:rsidR="005C13C4" w:rsidRDefault="00070667">
          <w:pPr>
            <w:tabs>
              <w:tab w:val="right" w:pos="8838"/>
            </w:tabs>
            <w:ind w:left="-108" w:right="-105"/>
            <w:rPr>
              <w:b/>
              <w:bCs/>
            </w:rPr>
          </w:pPr>
          <w:r>
            <w:rPr>
              <w:b/>
              <w:bCs/>
            </w:rPr>
            <w:t>Comisionado Ponente:</w:t>
          </w:r>
        </w:p>
      </w:tc>
      <w:tc>
        <w:tcPr>
          <w:tcW w:w="3969" w:type="dxa"/>
        </w:tcPr>
        <w:p w:rsidR="005C13C4" w:rsidRDefault="00070667">
          <w:pPr>
            <w:tabs>
              <w:tab w:val="right" w:pos="8838"/>
            </w:tabs>
            <w:ind w:right="-170"/>
          </w:pPr>
          <w:r>
            <w:t>Luis Gustavo Parra Noriega</w:t>
          </w:r>
        </w:p>
        <w:p w:rsidR="005C13C4" w:rsidRDefault="005C13C4">
          <w:pPr>
            <w:tabs>
              <w:tab w:val="right" w:pos="8838"/>
            </w:tabs>
            <w:ind w:right="-170"/>
            <w:rPr>
              <w:b/>
              <w:bCs/>
            </w:rPr>
          </w:pPr>
        </w:p>
      </w:tc>
    </w:tr>
  </w:tbl>
  <w:p w:rsidR="005C13C4" w:rsidRDefault="005C13C4">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13C4" w:rsidRDefault="001D51C7">
    <w:pPr>
      <w:widowControl w:val="0"/>
      <w:pBdr>
        <w:top w:val="nil"/>
        <w:left w:val="nil"/>
        <w:bottom w:val="nil"/>
        <w:right w:val="nil"/>
        <w:between w:val="nil"/>
      </w:pBdr>
      <w:spacing w:after="0" w:line="276" w:lineRule="auto"/>
      <w:jc w:val="left"/>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MARCA DE AGUA - HOJA RESOLUCIÓN" style="position:absolute;margin-left:-87.6pt;margin-top:-131.75pt;width:663.5pt;height:12in;z-index:-251658752;mso-position-horizontal:absolute;mso-position-horizontal-relative:margin;mso-position-vertical:absolute;mso-position-vertical-relative:margin">
          <v:imagedata r:id="rId1" o:title="image1"/>
          <w10:wrap anchorx="margin" anchory="margin"/>
        </v:shape>
      </w:pict>
    </w:r>
  </w:p>
  <w:tbl>
    <w:tblPr>
      <w:tblStyle w:val="a4"/>
      <w:tblW w:w="6804"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5C13C4">
      <w:trPr>
        <w:trHeight w:val="132"/>
      </w:trPr>
      <w:tc>
        <w:tcPr>
          <w:tcW w:w="2551" w:type="dxa"/>
        </w:tcPr>
        <w:p w:rsidR="005C13C4" w:rsidRDefault="00070667">
          <w:pPr>
            <w:tabs>
              <w:tab w:val="right" w:pos="8838"/>
            </w:tabs>
            <w:ind w:right="-105"/>
            <w:rPr>
              <w:b/>
              <w:bCs/>
            </w:rPr>
          </w:pPr>
          <w:r>
            <w:rPr>
              <w:b/>
              <w:bCs/>
            </w:rPr>
            <w:t>Recurso de Revisión:</w:t>
          </w:r>
        </w:p>
      </w:tc>
      <w:tc>
        <w:tcPr>
          <w:tcW w:w="4253" w:type="dxa"/>
        </w:tcPr>
        <w:p w:rsidR="005C13C4" w:rsidRDefault="00070667">
          <w:r>
            <w:t>09816/INFOEM/IP/RR/2025</w:t>
          </w:r>
        </w:p>
      </w:tc>
    </w:tr>
    <w:tr w:rsidR="005C13C4">
      <w:trPr>
        <w:trHeight w:val="132"/>
      </w:trPr>
      <w:tc>
        <w:tcPr>
          <w:tcW w:w="2551" w:type="dxa"/>
        </w:tcPr>
        <w:p w:rsidR="005C13C4" w:rsidRDefault="00070667">
          <w:pPr>
            <w:tabs>
              <w:tab w:val="left" w:pos="1875"/>
            </w:tabs>
            <w:ind w:right="-105"/>
            <w:rPr>
              <w:b/>
              <w:bCs/>
            </w:rPr>
          </w:pPr>
          <w:r>
            <w:rPr>
              <w:b/>
              <w:bCs/>
            </w:rPr>
            <w:t>Recurrente:</w:t>
          </w:r>
          <w:r>
            <w:rPr>
              <w:b/>
              <w:bCs/>
            </w:rPr>
            <w:tab/>
          </w:r>
        </w:p>
      </w:tc>
      <w:tc>
        <w:tcPr>
          <w:tcW w:w="4253" w:type="dxa"/>
        </w:tcPr>
        <w:p w:rsidR="005C13C4" w:rsidRDefault="005C13C4">
          <w:pPr>
            <w:tabs>
              <w:tab w:val="right" w:pos="8838"/>
            </w:tabs>
            <w:ind w:right="-250"/>
          </w:pPr>
        </w:p>
      </w:tc>
    </w:tr>
    <w:tr w:rsidR="005C13C4">
      <w:trPr>
        <w:trHeight w:val="261"/>
      </w:trPr>
      <w:tc>
        <w:tcPr>
          <w:tcW w:w="2551" w:type="dxa"/>
        </w:tcPr>
        <w:p w:rsidR="005C13C4" w:rsidRDefault="00070667">
          <w:pPr>
            <w:tabs>
              <w:tab w:val="right" w:pos="8838"/>
            </w:tabs>
            <w:ind w:right="-105"/>
            <w:rPr>
              <w:b/>
              <w:bCs/>
            </w:rPr>
          </w:pPr>
          <w:r>
            <w:rPr>
              <w:b/>
              <w:bCs/>
            </w:rPr>
            <w:t>Sujeto Obligado:</w:t>
          </w:r>
        </w:p>
      </w:tc>
      <w:tc>
        <w:tcPr>
          <w:tcW w:w="4253" w:type="dxa"/>
        </w:tcPr>
        <w:p w:rsidR="005C13C4" w:rsidRDefault="00070667">
          <w:pPr>
            <w:ind w:right="459"/>
          </w:pPr>
          <w:r>
            <w:t>Ayuntamiento de Chicoloapan</w:t>
          </w:r>
        </w:p>
      </w:tc>
    </w:tr>
    <w:tr w:rsidR="005C13C4">
      <w:trPr>
        <w:trHeight w:val="261"/>
      </w:trPr>
      <w:tc>
        <w:tcPr>
          <w:tcW w:w="2551" w:type="dxa"/>
        </w:tcPr>
        <w:p w:rsidR="005C13C4" w:rsidRDefault="00070667">
          <w:pPr>
            <w:tabs>
              <w:tab w:val="right" w:pos="8838"/>
            </w:tabs>
            <w:ind w:right="-105"/>
            <w:rPr>
              <w:b/>
              <w:bCs/>
            </w:rPr>
          </w:pPr>
          <w:r>
            <w:rPr>
              <w:b/>
              <w:bCs/>
            </w:rPr>
            <w:t>Comisionado Ponente:</w:t>
          </w:r>
        </w:p>
      </w:tc>
      <w:tc>
        <w:tcPr>
          <w:tcW w:w="4253" w:type="dxa"/>
        </w:tcPr>
        <w:p w:rsidR="005C13C4" w:rsidRDefault="00070667">
          <w:pPr>
            <w:tabs>
              <w:tab w:val="right" w:pos="8838"/>
            </w:tabs>
            <w:ind w:right="-32"/>
            <w:rPr>
              <w:b/>
              <w:bCs/>
            </w:rPr>
          </w:pPr>
          <w:r>
            <w:t>Luis Gustavo Parra Noriega</w:t>
          </w:r>
        </w:p>
      </w:tc>
    </w:tr>
  </w:tbl>
  <w:p w:rsidR="005C13C4" w:rsidRDefault="005C13C4">
    <w:pPr>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C7E3C"/>
    <w:multiLevelType w:val="multilevel"/>
    <w:tmpl w:val="40E06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1703D2"/>
    <w:multiLevelType w:val="multilevel"/>
    <w:tmpl w:val="A2180FE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1A2A60E0"/>
    <w:multiLevelType w:val="multilevel"/>
    <w:tmpl w:val="6D607378"/>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BC0516"/>
    <w:multiLevelType w:val="multilevel"/>
    <w:tmpl w:val="948E7E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37503AF"/>
    <w:multiLevelType w:val="multilevel"/>
    <w:tmpl w:val="0CAA1D7C"/>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7D63A11"/>
    <w:multiLevelType w:val="multilevel"/>
    <w:tmpl w:val="BB3C638A"/>
    <w:lvl w:ilvl="0">
      <w:start w:val="1"/>
      <w:numFmt w:val="upperLetter"/>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6" w15:restartNumberingAfterBreak="0">
    <w:nsid w:val="6D907209"/>
    <w:multiLevelType w:val="multilevel"/>
    <w:tmpl w:val="07D4999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5"/>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3C4"/>
    <w:rsid w:val="00070667"/>
    <w:rsid w:val="001D51C7"/>
    <w:rsid w:val="004D0C57"/>
    <w:rsid w:val="005C13C4"/>
    <w:rsid w:val="00F702BA"/>
    <w:rsid w:val="00FE31C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E71E6C-715E-484B-9C8E-78DE10F7D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4">
    <w:name w:val="4"/>
    <w:basedOn w:val="TableNormal1"/>
    <w:pPr>
      <w:spacing w:after="0" w:line="240" w:lineRule="auto"/>
    </w:pPr>
    <w:tblPr>
      <w:tblStyleRowBandSize w:val="1"/>
      <w:tblStyleColBandSize w:val="1"/>
      <w:tblCellMar>
        <w:left w:w="108" w:type="dxa"/>
        <w:right w:w="108" w:type="dxa"/>
      </w:tblCellMar>
    </w:tblPr>
  </w:style>
  <w:style w:type="table" w:customStyle="1" w:styleId="3">
    <w:name w:val="3"/>
    <w:basedOn w:val="TableNormal1"/>
    <w:pPr>
      <w:spacing w:after="0" w:line="240" w:lineRule="auto"/>
    </w:pPr>
    <w:tblPr>
      <w:tblStyleRowBandSize w:val="1"/>
      <w:tblStyleColBandSize w:val="1"/>
      <w:tblCellMar>
        <w:left w:w="108" w:type="dxa"/>
        <w:right w:w="108" w:type="dxa"/>
      </w:tblCellMar>
    </w:tblPr>
  </w:style>
  <w:style w:type="table" w:customStyle="1" w:styleId="2">
    <w:name w:val="2"/>
    <w:basedOn w:val="TableNormal1"/>
    <w:pPr>
      <w:spacing w:after="0" w:line="240" w:lineRule="auto"/>
    </w:pPr>
    <w:tblPr>
      <w:tblStyleRowBandSize w:val="1"/>
      <w:tblStyleColBandSize w:val="1"/>
      <w:tblCellMar>
        <w:left w:w="108" w:type="dxa"/>
        <w:right w:w="108" w:type="dxa"/>
      </w:tblCellMar>
    </w:tblPr>
  </w:style>
  <w:style w:type="table" w:customStyle="1" w:styleId="1">
    <w:name w:val="1"/>
    <w:basedOn w:val="TableNormal1"/>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E83159"/>
    <w:rPr>
      <w:color w:val="605E5C"/>
      <w:shd w:val="clear" w:color="auto" w:fill="E1DFDD"/>
    </w:rPr>
  </w:style>
  <w:style w:type="character" w:customStyle="1" w:styleId="Mencinsinresolver6">
    <w:name w:val="Mención sin resolver6"/>
    <w:basedOn w:val="Fuentedeprrafopredeter"/>
    <w:uiPriority w:val="99"/>
    <w:semiHidden/>
    <w:unhideWhenUsed/>
    <w:rsid w:val="00E66AFC"/>
    <w:rPr>
      <w:color w:val="605E5C"/>
      <w:shd w:val="clear" w:color="auto" w:fill="E1DFDD"/>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anterior.ine.mx/archivos2/tutoriales/sistemas/ApoyoInstitucional/SIF/docs/candidatos/folioFiscalFactura.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NuSrrDA2Tc0+JDwACPGjPnCJoQ==">CgMxLjAyDmguc2Fyb3FzZ3p6bWg4Mg1oLmxuMTZ4ZDI3enhiMg5oLm1ubXNqZ3dnd3NpdDIOaC5mZnliMXR5NHh2N2EyDmgucmI3ZHkwdTg1d3o3Mg5oLjZrbXRvdGFzeXF3MTIOaC5xNmM1ZWQ2bnc1bDMyDmguNmw2cDJzaGdldjUxMgloLjMwajB6bGwyDmgueWJjODNjaGJiZjhwMg5oLjljazEzcmRhcjk0cTIOaC5tbzRrOGJkbW1semkyDmguYWtpcjF6c3VsbWQxMg5oLjR0cm5ncGlocW9mZzIOaC5leG15NTM1eThpZWg4AHIhMUF1dlNKQTRhTHVTYUVtSVU2SFNhNndTVVlScy1USV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38</Pages>
  <Words>9398</Words>
  <Characters>51694</Characters>
  <Application>Microsoft Office Word</Application>
  <DocSecurity>0</DocSecurity>
  <Lines>430</Lines>
  <Paragraphs>121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3</cp:revision>
  <cp:lastPrinted>2026-02-20T15:46:00Z</cp:lastPrinted>
  <dcterms:created xsi:type="dcterms:W3CDTF">2026-02-20T15:46:00Z</dcterms:created>
  <dcterms:modified xsi:type="dcterms:W3CDTF">2026-02-20T15:48:00Z</dcterms:modified>
</cp:coreProperties>
</file>