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39814" w14:textId="7BECC92B" w:rsidR="00ED4C33" w:rsidRPr="00054F1A" w:rsidRDefault="00191702">
      <w:pPr>
        <w:spacing w:line="360" w:lineRule="auto"/>
        <w:ind w:right="-28"/>
        <w:jc w:val="both"/>
        <w:rPr>
          <w:rFonts w:ascii="Palatino Linotype" w:eastAsia="Palatino Linotype" w:hAnsi="Palatino Linotype" w:cs="Palatino Linotype"/>
        </w:rPr>
      </w:pPr>
      <w:bookmarkStart w:id="0" w:name="_heading=h.1fob9te" w:colFirst="0" w:colLast="0"/>
      <w:bookmarkEnd w:id="0"/>
      <w:r w:rsidRPr="00054F1A">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w:t>
      </w:r>
      <w:r w:rsidR="00346A01" w:rsidRPr="00054F1A">
        <w:rPr>
          <w:rFonts w:ascii="Palatino Linotype" w:eastAsia="Palatino Linotype" w:hAnsi="Palatino Linotype" w:cs="Palatino Linotype"/>
        </w:rPr>
        <w:t>ado de México; de fecha siete</w:t>
      </w:r>
      <w:r w:rsidR="00054F1A">
        <w:rPr>
          <w:rFonts w:ascii="Palatino Linotype" w:eastAsia="Palatino Linotype" w:hAnsi="Palatino Linotype" w:cs="Palatino Linotype"/>
        </w:rPr>
        <w:t xml:space="preserve"> (07)</w:t>
      </w:r>
      <w:r w:rsidR="00346A01" w:rsidRPr="00054F1A">
        <w:rPr>
          <w:rFonts w:ascii="Palatino Linotype" w:eastAsia="Palatino Linotype" w:hAnsi="Palatino Linotype" w:cs="Palatino Linotype"/>
        </w:rPr>
        <w:t xml:space="preserve"> de mayo de dos mil veintiséis</w:t>
      </w:r>
      <w:r w:rsidRPr="00054F1A">
        <w:rPr>
          <w:rFonts w:ascii="Palatino Linotype" w:eastAsia="Palatino Linotype" w:hAnsi="Palatino Linotype" w:cs="Palatino Linotype"/>
        </w:rPr>
        <w:t xml:space="preserve">. </w:t>
      </w:r>
    </w:p>
    <w:p w14:paraId="4C6E1C91" w14:textId="77777777" w:rsidR="00ED4C33" w:rsidRPr="00054F1A" w:rsidRDefault="00ED4C33">
      <w:pPr>
        <w:ind w:right="-28"/>
        <w:jc w:val="both"/>
        <w:rPr>
          <w:rFonts w:ascii="Palatino Linotype" w:eastAsia="Palatino Linotype" w:hAnsi="Palatino Linotype" w:cs="Palatino Linotype"/>
        </w:rPr>
      </w:pPr>
    </w:p>
    <w:p w14:paraId="374AD6B2" w14:textId="77777777" w:rsidR="00ED4C33" w:rsidRPr="00054F1A" w:rsidRDefault="00191702">
      <w:pPr>
        <w:spacing w:line="360" w:lineRule="auto"/>
        <w:ind w:right="-28"/>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VISTO</w:t>
      </w:r>
      <w:r w:rsidRPr="00054F1A">
        <w:rPr>
          <w:rFonts w:ascii="Palatino Linotype" w:eastAsia="Palatino Linotype" w:hAnsi="Palatino Linotype" w:cs="Palatino Linotype"/>
        </w:rPr>
        <w:t xml:space="preserve"> el expediente electrónico formado con motivo del Recurso de Revisión </w:t>
      </w:r>
      <w:r w:rsidRPr="00054F1A">
        <w:rPr>
          <w:rFonts w:ascii="Palatino Linotype" w:eastAsia="Palatino Linotype" w:hAnsi="Palatino Linotype" w:cs="Palatino Linotype"/>
          <w:b/>
          <w:bCs/>
        </w:rPr>
        <w:t xml:space="preserve">11268/INFOEM/IP/RR/2025, </w:t>
      </w:r>
      <w:r w:rsidRPr="00054F1A">
        <w:rPr>
          <w:rFonts w:ascii="Palatino Linotype" w:eastAsia="Palatino Linotype" w:hAnsi="Palatino Linotype" w:cs="Palatino Linotype"/>
        </w:rPr>
        <w:t>promovido por un</w:t>
      </w:r>
      <w:r w:rsidRPr="00054F1A">
        <w:rPr>
          <w:rFonts w:ascii="Palatino Linotype" w:eastAsia="Palatino Linotype" w:hAnsi="Palatino Linotype" w:cs="Palatino Linotype"/>
          <w:b/>
          <w:bCs/>
        </w:rPr>
        <w:t xml:space="preserve"> RECURRENTE</w:t>
      </w:r>
      <w:r w:rsidRPr="00054F1A">
        <w:rPr>
          <w:rFonts w:ascii="Palatino Linotype" w:eastAsia="Palatino Linotype" w:hAnsi="Palatino Linotype" w:cs="Palatino Linotype"/>
        </w:rPr>
        <w:t xml:space="preserve">, en contra de la respuesta de </w:t>
      </w:r>
      <w:r w:rsidRPr="00054F1A">
        <w:rPr>
          <w:rFonts w:ascii="Palatino Linotype" w:eastAsia="Palatino Linotype" w:hAnsi="Palatino Linotype" w:cs="Palatino Linotype"/>
          <w:b/>
          <w:bCs/>
        </w:rPr>
        <w:t>Gubernatura,</w:t>
      </w:r>
      <w:r w:rsidRPr="00054F1A">
        <w:rPr>
          <w:rFonts w:ascii="Palatino Linotype" w:eastAsia="Palatino Linotype" w:hAnsi="Palatino Linotype" w:cs="Palatino Linotype"/>
        </w:rPr>
        <w:t xml:space="preserve"> en adelante el</w:t>
      </w:r>
      <w:r w:rsidRPr="00054F1A">
        <w:rPr>
          <w:rFonts w:ascii="Palatino Linotype" w:eastAsia="Palatino Linotype" w:hAnsi="Palatino Linotype" w:cs="Palatino Linotype"/>
          <w:b/>
          <w:bCs/>
        </w:rPr>
        <w:t xml:space="preserve"> SUJETO OBLIGADO</w:t>
      </w:r>
      <w:r w:rsidRPr="00054F1A">
        <w:rPr>
          <w:rFonts w:ascii="Palatino Linotype" w:eastAsia="Palatino Linotype" w:hAnsi="Palatino Linotype" w:cs="Palatino Linotype"/>
        </w:rPr>
        <w:t xml:space="preserve">, por lo que se procede a dictar la presente resolución, con base en los siguientes: </w:t>
      </w:r>
    </w:p>
    <w:p w14:paraId="4D1B3358" w14:textId="77777777" w:rsidR="00ED4C33" w:rsidRPr="00054F1A" w:rsidRDefault="00ED4C33">
      <w:pPr>
        <w:ind w:right="-28"/>
        <w:jc w:val="both"/>
        <w:rPr>
          <w:rFonts w:ascii="Palatino Linotype" w:eastAsia="Palatino Linotype" w:hAnsi="Palatino Linotype" w:cs="Palatino Linotype"/>
        </w:rPr>
      </w:pPr>
    </w:p>
    <w:p w14:paraId="278D9827" w14:textId="77777777" w:rsidR="00ED4C33" w:rsidRPr="00054F1A" w:rsidRDefault="00191702">
      <w:pPr>
        <w:keepNext/>
        <w:keepLines/>
        <w:spacing w:line="360" w:lineRule="auto"/>
        <w:ind w:right="-28"/>
        <w:jc w:val="center"/>
        <w:rPr>
          <w:rFonts w:ascii="Palatino Linotype" w:eastAsia="Palatino Linotype" w:hAnsi="Palatino Linotype" w:cs="Palatino Linotype"/>
          <w:b/>
          <w:bCs/>
        </w:rPr>
      </w:pPr>
      <w:bookmarkStart w:id="1" w:name="_heading=h.gjdgxs" w:colFirst="0" w:colLast="0"/>
      <w:bookmarkEnd w:id="1"/>
      <w:r w:rsidRPr="00054F1A">
        <w:rPr>
          <w:rFonts w:ascii="Palatino Linotype" w:eastAsia="Palatino Linotype" w:hAnsi="Palatino Linotype" w:cs="Palatino Linotype"/>
          <w:b/>
          <w:bCs/>
        </w:rPr>
        <w:t>A N T E C E D E N T E S</w:t>
      </w:r>
    </w:p>
    <w:p w14:paraId="7E12DA32" w14:textId="77777777" w:rsidR="00ED4C33" w:rsidRPr="00054F1A" w:rsidRDefault="00ED4C33">
      <w:pPr>
        <w:ind w:right="-28"/>
        <w:rPr>
          <w:rFonts w:ascii="Palatino Linotype" w:eastAsia="Palatino Linotype" w:hAnsi="Palatino Linotype" w:cs="Palatino Linotype"/>
        </w:rPr>
      </w:pPr>
    </w:p>
    <w:p w14:paraId="34499BB0" w14:textId="6D078B96"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bookmarkStart w:id="2" w:name="_heading=h.91brjq2enpb6" w:colFirst="0" w:colLast="0"/>
      <w:bookmarkEnd w:id="2"/>
      <w:r w:rsidRPr="00054F1A">
        <w:rPr>
          <w:rFonts w:ascii="Palatino Linotype" w:eastAsia="Palatino Linotype" w:hAnsi="Palatino Linotype" w:cs="Palatino Linotype"/>
        </w:rPr>
        <w:t xml:space="preserve">El veintiséis de septiembre de dos mil veinticinco, se presentó ante el </w:t>
      </w:r>
      <w:r w:rsidRPr="00054F1A">
        <w:rPr>
          <w:rFonts w:ascii="Palatino Linotype" w:eastAsia="Palatino Linotype" w:hAnsi="Palatino Linotype" w:cs="Palatino Linotype"/>
          <w:b/>
          <w:bCs/>
        </w:rPr>
        <w:t xml:space="preserve">SUJETO OBLIGADO </w:t>
      </w:r>
      <w:r w:rsidRPr="00054F1A">
        <w:rPr>
          <w:rFonts w:ascii="Palatino Linotype" w:eastAsia="Palatino Linotype" w:hAnsi="Palatino Linotype" w:cs="Palatino Linotype"/>
        </w:rPr>
        <w:t>vía Sistema de Acceso a la Información; (SAIMEX), la solicitud de información pública registrada con el número de expediente</w:t>
      </w:r>
      <w:r w:rsidR="00346A01" w:rsidRPr="00054F1A">
        <w:rPr>
          <w:rFonts w:ascii="Palatino Linotype" w:eastAsia="Palatino Linotype" w:hAnsi="Palatino Linotype" w:cs="Palatino Linotype"/>
          <w:b/>
          <w:bCs/>
        </w:rPr>
        <w:t xml:space="preserve"> 00192/GUBERNA</w:t>
      </w:r>
      <w:r w:rsidRPr="00054F1A">
        <w:rPr>
          <w:rFonts w:ascii="Palatino Linotype" w:eastAsia="Palatino Linotype" w:hAnsi="Palatino Linotype" w:cs="Palatino Linotype"/>
          <w:b/>
          <w:bCs/>
        </w:rPr>
        <w:t>/IP/2025</w:t>
      </w:r>
      <w:r w:rsidRPr="00054F1A">
        <w:rPr>
          <w:rFonts w:ascii="Palatino Linotype" w:eastAsia="Palatino Linotype" w:hAnsi="Palatino Linotype" w:cs="Palatino Linotype"/>
        </w:rPr>
        <w:t>, en la que se solicitó:</w:t>
      </w:r>
    </w:p>
    <w:p w14:paraId="06E67B98" w14:textId="77777777" w:rsidR="00ED4C33" w:rsidRPr="00054F1A" w:rsidRDefault="00ED4C33">
      <w:pPr>
        <w:ind w:right="-28"/>
        <w:jc w:val="both"/>
        <w:rPr>
          <w:rFonts w:ascii="Palatino Linotype" w:eastAsia="Palatino Linotype" w:hAnsi="Palatino Linotype" w:cs="Palatino Linotype"/>
        </w:rPr>
      </w:pPr>
    </w:p>
    <w:p w14:paraId="532022BA" w14:textId="77777777" w:rsidR="00ED4C33" w:rsidRPr="00054F1A" w:rsidRDefault="00191702">
      <w:pPr>
        <w:pBdr>
          <w:top w:val="nil"/>
          <w:left w:val="nil"/>
          <w:bottom w:val="nil"/>
          <w:right w:val="nil"/>
          <w:between w:val="nil"/>
        </w:pBdr>
        <w:ind w:left="567"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“Con base en los puntos anteriores, se puede elaborar una solicitud ante la autoridad competente (por ejemplo, al Órgano Superior de Fiscalización del Estado de México o a la Secretaría de la Contraloría): &gt; A</w:t>
      </w:r>
      <w:bookmarkStart w:id="3" w:name="_GoBack"/>
      <w:bookmarkEnd w:id="3"/>
      <w:r w:rsidRPr="00054F1A">
        <w:rPr>
          <w:rFonts w:ascii="Palatino Linotype" w:eastAsia="Palatino Linotype" w:hAnsi="Palatino Linotype" w:cs="Palatino Linotype"/>
          <w:i/>
          <w:iCs/>
        </w:rPr>
        <w:t xml:space="preserve">sunto: Solicitud de Transparencia sobre el Segundo Informe de Gobierno 2025 A través de la presente, con fundamento en la Ley de Transparencia y Acceso a la Información Pública del Estado de México y Municipios, solicito se hagan públicos, de manera clara y verificable: 1. La base de datos completa y definitiva del Anexo Estadístico (Tomo II), especificando los ajustes posteriores a agosto de 2025. 2. Los contratos, montos y mecanismos de financiamiento de las obras de movilidad y transporte masivo (Mexibús, Mexicable, Trolebús Chalco – Santa Marta, Tren Interurbano). 3. El padrón nominal de beneficiarios de programas sociales (Mujeres con Bienestar, Ciudad Mujeres, canastas alimentarias para pueblos originarios), indicando criterios de selección y reglas de operación. 4. El marco normativo en elaboración para la gestión de residuos electrónicos, incluyendo presupuesto y cronograma de implementación. 5. Los informes finales de los </w:t>
      </w:r>
      <w:r w:rsidRPr="00054F1A">
        <w:rPr>
          <w:rFonts w:ascii="Palatino Linotype" w:eastAsia="Palatino Linotype" w:hAnsi="Palatino Linotype" w:cs="Palatino Linotype"/>
          <w:i/>
          <w:iCs/>
        </w:rPr>
        <w:lastRenderedPageBreak/>
        <w:t xml:space="preserve">comités de Contraloría Social (COCICOVI) y evidencia de la atención dada a sus recomendaciones.” (Sic) </w:t>
      </w:r>
    </w:p>
    <w:p w14:paraId="12E10F5E" w14:textId="77777777" w:rsidR="00ED4C33" w:rsidRPr="00054F1A" w:rsidRDefault="00ED4C33">
      <w:pPr>
        <w:pBdr>
          <w:top w:val="nil"/>
          <w:left w:val="nil"/>
          <w:bottom w:val="nil"/>
          <w:right w:val="nil"/>
          <w:between w:val="nil"/>
        </w:pBdr>
        <w:ind w:right="539"/>
        <w:jc w:val="both"/>
        <w:rPr>
          <w:rFonts w:ascii="Palatino Linotype" w:eastAsia="Palatino Linotype" w:hAnsi="Palatino Linotype" w:cs="Palatino Linotype"/>
        </w:rPr>
      </w:pPr>
    </w:p>
    <w:p w14:paraId="5F173BCC" w14:textId="77777777" w:rsidR="00ED4C33" w:rsidRPr="00054F1A" w:rsidRDefault="00191702">
      <w:pPr>
        <w:pBdr>
          <w:top w:val="nil"/>
          <w:left w:val="nil"/>
          <w:bottom w:val="nil"/>
          <w:right w:val="nil"/>
          <w:between w:val="nil"/>
        </w:pBdr>
        <w:ind w:right="539"/>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Archivos electrónicos adjuntos:</w:t>
      </w:r>
    </w:p>
    <w:p w14:paraId="195DF939" w14:textId="77777777" w:rsidR="00ED4C33" w:rsidRPr="00054F1A" w:rsidRDefault="002F6405">
      <w:pPr>
        <w:spacing w:before="280" w:after="280"/>
        <w:ind w:left="567" w:right="680"/>
        <w:rPr>
          <w:rFonts w:ascii="Palatino Linotype" w:eastAsia="Palatino Linotype" w:hAnsi="Palatino Linotype" w:cs="Palatino Linotype"/>
        </w:rPr>
      </w:pPr>
      <w:hyperlink r:id="rId8">
        <w:r w:rsidR="00191702" w:rsidRPr="00054F1A">
          <w:rPr>
            <w:rFonts w:ascii="Palatino Linotype" w:eastAsia="Palatino Linotype" w:hAnsi="Palatino Linotype" w:cs="Palatino Linotype"/>
            <w:b/>
            <w:bCs/>
            <w:color w:val="000000"/>
          </w:rPr>
          <w:t>2-ANEXO-ESTADISTICO-TOMOII-DGA (1).pdf</w:t>
        </w:r>
      </w:hyperlink>
      <w:r w:rsidR="00191702" w:rsidRPr="00054F1A">
        <w:rPr>
          <w:rFonts w:ascii="Palatino Linotype" w:eastAsia="Palatino Linotype" w:hAnsi="Palatino Linotype" w:cs="Palatino Linotype"/>
        </w:rPr>
        <w:t>: Documento consistente el Segundo Informe de Gobierno 2024-2025.</w:t>
      </w:r>
    </w:p>
    <w:p w14:paraId="452EB9B4" w14:textId="77777777" w:rsidR="00ED4C33" w:rsidRPr="00054F1A" w:rsidRDefault="002F6405">
      <w:pPr>
        <w:spacing w:before="280" w:after="280"/>
        <w:ind w:left="567" w:right="680"/>
        <w:rPr>
          <w:rFonts w:ascii="Palatino Linotype" w:eastAsia="Palatino Linotype" w:hAnsi="Palatino Linotype" w:cs="Palatino Linotype"/>
        </w:rPr>
      </w:pPr>
      <w:hyperlink r:id="rId9">
        <w:r w:rsidR="00191702" w:rsidRPr="00054F1A">
          <w:rPr>
            <w:rFonts w:ascii="Palatino Linotype" w:eastAsia="Palatino Linotype" w:hAnsi="Palatino Linotype" w:cs="Palatino Linotype"/>
            <w:b/>
            <w:bCs/>
            <w:color w:val="000000"/>
          </w:rPr>
          <w:t>2do-INFORME-2025-DGA.pdf</w:t>
        </w:r>
      </w:hyperlink>
      <w:r w:rsidR="00191702" w:rsidRPr="00054F1A">
        <w:rPr>
          <w:rFonts w:ascii="Palatino Linotype" w:eastAsia="Palatino Linotype" w:hAnsi="Palatino Linotype" w:cs="Palatino Linotype"/>
        </w:rPr>
        <w:t>: Documento consistente en el Segundo Informe de Gobierno 2024-2025.</w:t>
      </w:r>
    </w:p>
    <w:p w14:paraId="2C96F87F" w14:textId="77777777" w:rsidR="00ED4C33" w:rsidRPr="00054F1A" w:rsidRDefault="00ED4C33">
      <w:pPr>
        <w:spacing w:before="280" w:after="280"/>
        <w:ind w:right="680"/>
        <w:rPr>
          <w:rFonts w:ascii="Palatino Linotype" w:eastAsia="Palatino Linotype" w:hAnsi="Palatino Linotype" w:cs="Palatino Linotype"/>
        </w:rPr>
      </w:pPr>
    </w:p>
    <w:p w14:paraId="36C7EC44"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Se hace constar que se señaló como modalidad de entrega de la información a través del </w:t>
      </w:r>
      <w:r w:rsidRPr="00054F1A">
        <w:rPr>
          <w:rFonts w:ascii="Palatino Linotype" w:eastAsia="Palatino Linotype" w:hAnsi="Palatino Linotype" w:cs="Palatino Linotype"/>
          <w:b/>
          <w:bCs/>
        </w:rPr>
        <w:t>SAIMEX.</w:t>
      </w:r>
    </w:p>
    <w:p w14:paraId="2EBFB529" w14:textId="77777777" w:rsidR="00ED4C33" w:rsidRPr="00054F1A" w:rsidRDefault="00ED4C33">
      <w:pPr>
        <w:ind w:right="-28"/>
        <w:jc w:val="both"/>
        <w:rPr>
          <w:rFonts w:ascii="Palatino Linotype" w:eastAsia="Palatino Linotype" w:hAnsi="Palatino Linotype" w:cs="Palatino Linotype"/>
        </w:rPr>
      </w:pPr>
    </w:p>
    <w:p w14:paraId="0B95B22D"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El uno de octubre de dos mil veinticinco,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b/>
          <w:bCs/>
          <w:i/>
          <w:iCs/>
        </w:rPr>
        <w:t xml:space="preserve"> </w:t>
      </w:r>
      <w:r w:rsidRPr="00054F1A">
        <w:rPr>
          <w:rFonts w:ascii="Palatino Linotype" w:eastAsia="Palatino Linotype" w:hAnsi="Palatino Linotype" w:cs="Palatino Linotype"/>
        </w:rPr>
        <w:t>dio respuesta a la solicitud de información, en los siguientes términos:</w:t>
      </w:r>
    </w:p>
    <w:p w14:paraId="08E11861" w14:textId="77777777" w:rsidR="00ED4C33" w:rsidRPr="00054F1A" w:rsidRDefault="00ED4C33">
      <w:pPr>
        <w:ind w:right="680"/>
        <w:jc w:val="both"/>
        <w:rPr>
          <w:rFonts w:ascii="Palatino Linotype" w:eastAsia="Palatino Linotype" w:hAnsi="Palatino Linotype" w:cs="Palatino Linotype"/>
          <w:i/>
          <w:iCs/>
        </w:rPr>
      </w:pPr>
    </w:p>
    <w:p w14:paraId="3E710546" w14:textId="77777777" w:rsidR="00ED4C33" w:rsidRPr="00054F1A" w:rsidRDefault="00191702">
      <w:pPr>
        <w:ind w:left="567"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“Se anexa documento” (Sic)</w:t>
      </w:r>
    </w:p>
    <w:p w14:paraId="10E42593" w14:textId="77777777" w:rsidR="00ED4C33" w:rsidRPr="00054F1A" w:rsidRDefault="00ED4C33">
      <w:pPr>
        <w:ind w:right="680"/>
        <w:jc w:val="both"/>
        <w:rPr>
          <w:rFonts w:ascii="Palatino Linotype" w:eastAsia="Palatino Linotype" w:hAnsi="Palatino Linotype" w:cs="Palatino Linotype"/>
        </w:rPr>
      </w:pPr>
    </w:p>
    <w:p w14:paraId="1B823566" w14:textId="77777777" w:rsidR="00ED4C33" w:rsidRPr="00054F1A" w:rsidRDefault="00191702">
      <w:pPr>
        <w:ind w:right="680"/>
        <w:jc w:val="both"/>
        <w:rPr>
          <w:rFonts w:ascii="Palatino Linotype" w:eastAsia="Palatino Linotype" w:hAnsi="Palatino Linotype" w:cs="Palatino Linotype"/>
        </w:rPr>
      </w:pPr>
      <w:r w:rsidRPr="00054F1A">
        <w:rPr>
          <w:rFonts w:ascii="Palatino Linotype" w:eastAsia="Palatino Linotype" w:hAnsi="Palatino Linotype" w:cs="Palatino Linotype"/>
        </w:rPr>
        <w:t>Archivos electrónicos adjuntos:</w:t>
      </w:r>
    </w:p>
    <w:p w14:paraId="6D4737FC" w14:textId="77777777" w:rsidR="00ED4C33" w:rsidRPr="00054F1A" w:rsidRDefault="00ED4C33">
      <w:pPr>
        <w:ind w:right="680"/>
        <w:jc w:val="both"/>
        <w:rPr>
          <w:rFonts w:ascii="Palatino Linotype" w:eastAsia="Palatino Linotype" w:hAnsi="Palatino Linotype" w:cs="Palatino Linotype"/>
        </w:rPr>
      </w:pPr>
    </w:p>
    <w:p w14:paraId="603BA5A6" w14:textId="77777777" w:rsidR="00ED4C33" w:rsidRPr="00054F1A" w:rsidRDefault="002F6405">
      <w:pPr>
        <w:ind w:left="567" w:right="680"/>
        <w:jc w:val="both"/>
        <w:rPr>
          <w:rFonts w:ascii="Palatino Linotype" w:eastAsia="Palatino Linotype" w:hAnsi="Palatino Linotype" w:cs="Palatino Linotype"/>
        </w:rPr>
      </w:pPr>
      <w:hyperlink r:id="rId10">
        <w:r w:rsidR="00191702" w:rsidRPr="00054F1A">
          <w:rPr>
            <w:rFonts w:ascii="Palatino Linotype" w:eastAsia="Palatino Linotype" w:hAnsi="Palatino Linotype" w:cs="Palatino Linotype"/>
            <w:b/>
            <w:bCs/>
            <w:color w:val="000000"/>
          </w:rPr>
          <w:t>0192 respuesta 2025.pdf</w:t>
        </w:r>
      </w:hyperlink>
      <w:r w:rsidR="00191702" w:rsidRPr="00054F1A">
        <w:rPr>
          <w:rFonts w:ascii="Palatino Linotype" w:eastAsia="Palatino Linotype" w:hAnsi="Palatino Linotype" w:cs="Palatino Linotype"/>
        </w:rPr>
        <w:t xml:space="preserve">: Oficio suscrito por el Titular de la Unidad de Transparencia, mediante el cual, informó la incompetencia del </w:t>
      </w:r>
      <w:r w:rsidR="00191702" w:rsidRPr="00054F1A">
        <w:rPr>
          <w:rFonts w:ascii="Palatino Linotype" w:eastAsia="Palatino Linotype" w:hAnsi="Palatino Linotype" w:cs="Palatino Linotype"/>
          <w:b/>
          <w:bCs/>
        </w:rPr>
        <w:t>SUJETO OBLIGADO</w:t>
      </w:r>
      <w:r w:rsidR="00191702" w:rsidRPr="00054F1A">
        <w:rPr>
          <w:rFonts w:ascii="Palatino Linotype" w:eastAsia="Palatino Linotype" w:hAnsi="Palatino Linotype" w:cs="Palatino Linotype"/>
        </w:rPr>
        <w:t xml:space="preserve"> para atender los puntos vertidos en la solicitud de información, asimismo, orientó al Particular para que realizara las solicitudes de información respectivas ante los Sujeto Obligados correspondientes.</w:t>
      </w:r>
    </w:p>
    <w:p w14:paraId="6B4EA8BE" w14:textId="77777777" w:rsidR="00ED4C33" w:rsidRPr="00054F1A" w:rsidRDefault="00ED4C33">
      <w:pPr>
        <w:ind w:right="680"/>
        <w:jc w:val="both"/>
        <w:rPr>
          <w:rFonts w:ascii="Palatino Linotype" w:eastAsia="Palatino Linotype" w:hAnsi="Palatino Linotype" w:cs="Palatino Linotype"/>
          <w:i/>
          <w:iCs/>
        </w:rPr>
      </w:pPr>
    </w:p>
    <w:p w14:paraId="43AC8040"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El dos de octubre de dos mil veinticuatro,</w:t>
      </w:r>
      <w:r w:rsidRPr="00054F1A">
        <w:rPr>
          <w:rFonts w:ascii="Palatino Linotype" w:eastAsia="Palatino Linotype" w:hAnsi="Palatino Linotype" w:cs="Palatino Linotype"/>
          <w:b/>
          <w:bCs/>
        </w:rPr>
        <w:t xml:space="preserve"> </w:t>
      </w:r>
      <w:r w:rsidRPr="00054F1A">
        <w:rPr>
          <w:rFonts w:ascii="Palatino Linotype" w:eastAsia="Palatino Linotype" w:hAnsi="Palatino Linotype" w:cs="Palatino Linotype"/>
        </w:rPr>
        <w:t xml:space="preserve">el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interpuso Recurso de Revisión, el cual se registró con el número de expediente: </w:t>
      </w:r>
      <w:r w:rsidRPr="00054F1A">
        <w:rPr>
          <w:rFonts w:ascii="Palatino Linotype" w:eastAsia="Palatino Linotype" w:hAnsi="Palatino Linotype" w:cs="Palatino Linotype"/>
          <w:b/>
          <w:bCs/>
        </w:rPr>
        <w:t>11268/INFOEM/IP/RR/2025</w:t>
      </w:r>
      <w:r w:rsidRPr="00054F1A">
        <w:rPr>
          <w:rFonts w:ascii="Palatino Linotype" w:eastAsia="Palatino Linotype" w:hAnsi="Palatino Linotype" w:cs="Palatino Linotype"/>
        </w:rPr>
        <w:t>, señalando como:</w:t>
      </w:r>
    </w:p>
    <w:p w14:paraId="4BC10193" w14:textId="77777777" w:rsidR="00ED4C33" w:rsidRDefault="00ED4C33">
      <w:pPr>
        <w:ind w:right="-28"/>
        <w:jc w:val="both"/>
        <w:rPr>
          <w:rFonts w:ascii="Palatino Linotype" w:eastAsia="Palatino Linotype" w:hAnsi="Palatino Linotype" w:cs="Palatino Linotype"/>
        </w:rPr>
      </w:pPr>
    </w:p>
    <w:p w14:paraId="5C0EA728" w14:textId="77777777" w:rsidR="00054F1A" w:rsidRPr="00054F1A" w:rsidRDefault="00054F1A">
      <w:pPr>
        <w:ind w:right="-28"/>
        <w:jc w:val="both"/>
        <w:rPr>
          <w:rFonts w:ascii="Palatino Linotype" w:eastAsia="Palatino Linotype" w:hAnsi="Palatino Linotype" w:cs="Palatino Linotype"/>
        </w:rPr>
      </w:pPr>
    </w:p>
    <w:p w14:paraId="46663493" w14:textId="77777777" w:rsidR="00ED4C33" w:rsidRPr="00054F1A" w:rsidRDefault="00191702">
      <w:pPr>
        <w:ind w:left="567" w:right="680"/>
        <w:jc w:val="both"/>
        <w:rPr>
          <w:rFonts w:ascii="Palatino Linotype" w:eastAsia="Palatino Linotype" w:hAnsi="Palatino Linotype" w:cs="Palatino Linotype"/>
        </w:rPr>
      </w:pPr>
      <w:r w:rsidRPr="00054F1A">
        <w:rPr>
          <w:rFonts w:ascii="Palatino Linotype" w:eastAsia="Palatino Linotype" w:hAnsi="Palatino Linotype" w:cs="Palatino Linotype"/>
          <w:b/>
          <w:bCs/>
        </w:rPr>
        <w:lastRenderedPageBreak/>
        <w:t>Acto impugnado</w:t>
      </w:r>
      <w:r w:rsidRPr="00054F1A">
        <w:rPr>
          <w:rFonts w:ascii="Palatino Linotype" w:eastAsia="Palatino Linotype" w:hAnsi="Palatino Linotype" w:cs="Palatino Linotype"/>
        </w:rPr>
        <w:t>:</w:t>
      </w:r>
    </w:p>
    <w:p w14:paraId="59FBD2E1" w14:textId="77777777" w:rsidR="00ED4C33" w:rsidRPr="00054F1A" w:rsidRDefault="00191702">
      <w:pPr>
        <w:ind w:left="567"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“El oficio número UTG/00237/2025, de fecha 1 de octubre de 2025, emitido por la Unidad de Transparencia de la Gubernatura del Estado de México, mediante el cual se negó el acceso a la información solicitada, bajo el argumento de que la Gubernatura no genera ni posee dicha información.” (Sic) </w:t>
      </w:r>
    </w:p>
    <w:p w14:paraId="2CD5D5A9" w14:textId="77777777" w:rsidR="00ED4C33" w:rsidRPr="00054F1A" w:rsidRDefault="00ED4C33">
      <w:pPr>
        <w:ind w:left="567" w:right="680"/>
        <w:jc w:val="both"/>
        <w:rPr>
          <w:rFonts w:ascii="Palatino Linotype" w:eastAsia="Palatino Linotype" w:hAnsi="Palatino Linotype" w:cs="Palatino Linotype"/>
          <w:i/>
          <w:iCs/>
        </w:rPr>
      </w:pPr>
    </w:p>
    <w:p w14:paraId="227278A8" w14:textId="77777777" w:rsidR="00ED4C33" w:rsidRPr="00054F1A" w:rsidRDefault="00191702">
      <w:pPr>
        <w:ind w:left="567" w:right="680"/>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Razones o Motivos de Inconformidad:</w:t>
      </w:r>
    </w:p>
    <w:p w14:paraId="1C8B8AB8" w14:textId="77777777" w:rsidR="00ED4C33" w:rsidRPr="00054F1A" w:rsidRDefault="00191702">
      <w:pPr>
        <w:ind w:left="567"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“El 26 de septiembre de 2025 ingresé solicitud de acceso a la información pública a través del Sistema de Acceso a la Información Mexiquense (SAIMEX). El 1 de octubre de 2025 la Unidad de Transparencia de la Gubernatura emitió el oficio UTG/00237/2025, negando la entrega de la información y limitándose a remitir al suscrito a otras dependencias. III. AGRAVIOS La respuesta impugnada vulnera mi derecho de acceso a la información pública, por las siguientes razones: PRIMERO. Violación al principio de máxima publicidad (artículo 6° de la Constitución Federal y artículo 5° de la Constitución del Estado de México), ya que la negativa se sustentó en un alegato de incompetencia sin justificar legalmente por qué la información no puede ser entregada. SEGUNDO. Violación al principio de orientación al solicitante, previsto en la Ley de Transparencia del Estado de México, que obliga a los sujetos obligados a canalizar la petición a las instancias competentes, en lugar de desestimar la solicitud. TERCERO. Transgresión al artículo 12 de la Ley de Transparencia estatal, que ordena garantizar el acceso a la información mediante coordinación interinstitucional, lo cual la Gubernatura omitió realizar. CUARTO. Contradicción jurídica, ya que la propia autoridad reconoce que la información existe en dependencias estatales (Finanzas, Movilidad, Bienestar, Medio Ambiente y Contraloría), lo que implica que conoce el paradero de la información y, por ende, estaba obligada a turnar la solicitud de manera interna. QUINTO. Violación a estándares internacionales, en particular al artículo 13 de la Convención Americana sobre Derechos Humanos y a la jurisprudencia de la Corte Interamericana, que establecen la obligación del Estado de garantizar el acceso a la información pública sin obstáculos indebidos. IV. PETICIÓN Por lo anteriormente expuesto y fundado, solicito a este Instituto: Se admita el presente recurso de revisión. Se revoque el oficio UTG/00237/2025 por ser contrario a derecho. Se ordene a la Gubernatura del Estado de México canalizar la solicitud a las dependencias competentes y entregar la información solicitada, salvo aquella que legalmente deba clasificarse, en cuyo caso deberá fundarse y motivarse debidamente.” (Sic) </w:t>
      </w:r>
    </w:p>
    <w:p w14:paraId="30556579" w14:textId="77777777" w:rsidR="00ED4C33" w:rsidRPr="00054F1A" w:rsidRDefault="00ED4C33">
      <w:pPr>
        <w:ind w:right="963"/>
        <w:jc w:val="both"/>
        <w:rPr>
          <w:rFonts w:ascii="Palatino Linotype" w:eastAsia="Palatino Linotype" w:hAnsi="Palatino Linotype" w:cs="Palatino Linotype"/>
        </w:rPr>
      </w:pPr>
    </w:p>
    <w:p w14:paraId="5722A860" w14:textId="77777777" w:rsidR="00ED4C33" w:rsidRPr="00054F1A" w:rsidRDefault="00191702">
      <w:pPr>
        <w:ind w:right="963"/>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Archivos electrónicos adjuntos:</w:t>
      </w:r>
    </w:p>
    <w:p w14:paraId="67A24769" w14:textId="77777777" w:rsidR="00ED4C33" w:rsidRPr="00054F1A" w:rsidRDefault="002F6405">
      <w:pPr>
        <w:numPr>
          <w:ilvl w:val="0"/>
          <w:numId w:val="2"/>
        </w:numPr>
        <w:spacing w:before="280" w:after="280"/>
        <w:rPr>
          <w:rFonts w:ascii="Palatino Linotype" w:eastAsia="Palatino Linotype" w:hAnsi="Palatino Linotype" w:cs="Palatino Linotype"/>
        </w:rPr>
      </w:pPr>
      <w:hyperlink r:id="rId11">
        <w:r w:rsidR="00191702" w:rsidRPr="00054F1A">
          <w:rPr>
            <w:rFonts w:ascii="Palatino Linotype" w:eastAsia="Palatino Linotype" w:hAnsi="Palatino Linotype" w:cs="Palatino Linotype"/>
            <w:b/>
            <w:bCs/>
            <w:color w:val="000000"/>
          </w:rPr>
          <w:t>0192 respuesta 2025.pdf</w:t>
        </w:r>
      </w:hyperlink>
      <w:r w:rsidR="00191702" w:rsidRPr="00054F1A">
        <w:rPr>
          <w:rFonts w:ascii="Palatino Linotype" w:eastAsia="Palatino Linotype" w:hAnsi="Palatino Linotype" w:cs="Palatino Linotype"/>
        </w:rPr>
        <w:t>: Documento consistente en el oficio remitido en respuesta.</w:t>
      </w:r>
    </w:p>
    <w:p w14:paraId="5A677F9F"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lastRenderedPageBreak/>
        <w:t xml:space="preserve">Posteriormente, la Comisionada Ponente con fundamento en lo dispuesto por el artículo 185, fracción II, de la Ley de la materia, a través del acuerdo de admisión de fecha ocho de octubre de dos mil veinticinco, puso a disposición de las partes el expediente electrónico vía </w:t>
      </w:r>
      <w:r w:rsidRPr="00054F1A">
        <w:rPr>
          <w:rFonts w:ascii="Palatino Linotype" w:eastAsia="Palatino Linotype" w:hAnsi="Palatino Linotype" w:cs="Palatino Linotype"/>
          <w:b/>
          <w:bCs/>
        </w:rPr>
        <w:t xml:space="preserve">SAIMEX </w:t>
      </w:r>
      <w:r w:rsidRPr="00054F1A">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presentará el informe justificado procedente. </w:t>
      </w:r>
    </w:p>
    <w:p w14:paraId="4F97D279" w14:textId="77777777" w:rsidR="00ED4C33" w:rsidRPr="00054F1A" w:rsidRDefault="00ED4C33">
      <w:pPr>
        <w:spacing w:line="360" w:lineRule="auto"/>
        <w:ind w:right="-28"/>
        <w:jc w:val="both"/>
        <w:rPr>
          <w:rFonts w:ascii="Palatino Linotype" w:eastAsia="Palatino Linotype" w:hAnsi="Palatino Linotype" w:cs="Palatino Linotype"/>
        </w:rPr>
      </w:pPr>
    </w:p>
    <w:p w14:paraId="0E725263"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b/>
          <w:bCs/>
        </w:rPr>
      </w:pPr>
      <w:r w:rsidRPr="00054F1A">
        <w:rPr>
          <w:rFonts w:ascii="Palatino Linotype" w:eastAsia="Palatino Linotype" w:hAnsi="Palatino Linotype" w:cs="Palatino Linotype"/>
        </w:rPr>
        <w:t xml:space="preserve">El veinte de octubre de dos mil veinticinco,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emitió el informe justificado correspondiente, a través del archivo electrónico denominado </w:t>
      </w:r>
      <w:r w:rsidRPr="00054F1A">
        <w:rPr>
          <w:rFonts w:ascii="Palatino Linotype" w:eastAsia="Palatino Linotype" w:hAnsi="Palatino Linotype" w:cs="Palatino Linotype"/>
          <w:b/>
          <w:bCs/>
        </w:rPr>
        <w:t>“</w:t>
      </w:r>
      <w:hyperlink r:id="rId12">
        <w:r w:rsidRPr="00054F1A">
          <w:rPr>
            <w:rFonts w:ascii="Palatino Linotype" w:eastAsia="Palatino Linotype" w:hAnsi="Palatino Linotype" w:cs="Palatino Linotype"/>
            <w:b/>
            <w:bCs/>
            <w:color w:val="000000"/>
          </w:rPr>
          <w:t>Informe justificado 0192 2025.pdf</w:t>
        </w:r>
      </w:hyperlink>
      <w:r w:rsidRPr="00054F1A">
        <w:rPr>
          <w:rFonts w:ascii="Palatino Linotype" w:eastAsia="Palatino Linotype" w:hAnsi="Palatino Linotype" w:cs="Palatino Linotype"/>
          <w:b/>
          <w:bCs/>
        </w:rPr>
        <w:t>”</w:t>
      </w:r>
      <w:r w:rsidRPr="00054F1A">
        <w:rPr>
          <w:rFonts w:ascii="Palatino Linotype" w:eastAsia="Palatino Linotype" w:hAnsi="Palatino Linotype" w:cs="Palatino Linotype"/>
        </w:rPr>
        <w:t xml:space="preserve">, por medio de los cuales, </w:t>
      </w:r>
      <w:r w:rsidRPr="00054F1A">
        <w:rPr>
          <w:rFonts w:ascii="Palatino Linotype" w:eastAsia="Palatino Linotype" w:hAnsi="Palatino Linotype" w:cs="Palatino Linotype"/>
          <w:b/>
          <w:bCs/>
        </w:rPr>
        <w:t>ratificó la incompetencia.</w:t>
      </w:r>
    </w:p>
    <w:p w14:paraId="52CF5F0E" w14:textId="77777777" w:rsidR="00ED4C33" w:rsidRPr="00054F1A" w:rsidRDefault="00ED4C33">
      <w:pPr>
        <w:pBdr>
          <w:top w:val="nil"/>
          <w:left w:val="nil"/>
          <w:bottom w:val="nil"/>
          <w:right w:val="nil"/>
          <w:between w:val="nil"/>
        </w:pBdr>
        <w:rPr>
          <w:rFonts w:ascii="Palatino Linotype" w:eastAsia="Palatino Linotype" w:hAnsi="Palatino Linotype" w:cs="Palatino Linotype"/>
        </w:rPr>
      </w:pPr>
    </w:p>
    <w:p w14:paraId="787E73AD"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Por su parte, el nueve de octubre de dos mil veinticinco y el cinco de febrero de dos mil veintiséis el </w:t>
      </w:r>
      <w:r w:rsidRPr="00054F1A">
        <w:rPr>
          <w:rFonts w:ascii="Palatino Linotype" w:eastAsia="Palatino Linotype" w:hAnsi="Palatino Linotype" w:cs="Palatino Linotype"/>
          <w:b/>
          <w:bCs/>
        </w:rPr>
        <w:t xml:space="preserve">RECURRENTE </w:t>
      </w:r>
      <w:r w:rsidRPr="00054F1A">
        <w:rPr>
          <w:rFonts w:ascii="Palatino Linotype" w:eastAsia="Palatino Linotype" w:hAnsi="Palatino Linotype" w:cs="Palatino Linotype"/>
        </w:rPr>
        <w:t>adjuntó los siguientes archivos electrónicos:</w:t>
      </w:r>
    </w:p>
    <w:p w14:paraId="26289AA7" w14:textId="77777777" w:rsidR="00ED4C33" w:rsidRPr="00054F1A" w:rsidRDefault="00ED4C33">
      <w:pPr>
        <w:pBdr>
          <w:top w:val="nil"/>
          <w:left w:val="nil"/>
          <w:bottom w:val="nil"/>
          <w:right w:val="nil"/>
          <w:between w:val="nil"/>
        </w:pBdr>
        <w:ind w:left="567" w:right="680"/>
        <w:rPr>
          <w:rFonts w:ascii="Palatino Linotype" w:eastAsia="Palatino Linotype" w:hAnsi="Palatino Linotype" w:cs="Palatino Linotype"/>
          <w:color w:val="000000"/>
        </w:rPr>
      </w:pPr>
    </w:p>
    <w:p w14:paraId="7EC1B43C" w14:textId="77777777" w:rsidR="00ED4C33" w:rsidRPr="00054F1A" w:rsidRDefault="00191702" w:rsidP="00690CBA">
      <w:pPr>
        <w:spacing w:line="360" w:lineRule="auto"/>
        <w:ind w:left="567" w:right="680"/>
        <w:jc w:val="both"/>
        <w:rPr>
          <w:rFonts w:ascii="Palatino Linotype" w:eastAsia="Palatino Linotype" w:hAnsi="Palatino Linotype" w:cs="Palatino Linotype"/>
        </w:rPr>
      </w:pPr>
      <w:r w:rsidRPr="00054F1A">
        <w:rPr>
          <w:rFonts w:ascii="Palatino Linotype" w:eastAsia="Palatino Linotype" w:hAnsi="Palatino Linotype" w:cs="Palatino Linotype"/>
        </w:rPr>
        <w:t>-</w:t>
      </w:r>
      <w:hyperlink r:id="rId13">
        <w:r w:rsidRPr="00054F1A">
          <w:rPr>
            <w:rFonts w:ascii="Palatino Linotype" w:eastAsia="Palatino Linotype" w:hAnsi="Palatino Linotype" w:cs="Palatino Linotype"/>
            <w:b/>
            <w:bCs/>
            <w:color w:val="000000"/>
          </w:rPr>
          <w:t>alegato, pruebas .docx</w:t>
        </w:r>
      </w:hyperlink>
      <w:r w:rsidRPr="00054F1A">
        <w:rPr>
          <w:rFonts w:ascii="Palatino Linotype" w:eastAsia="Palatino Linotype" w:hAnsi="Palatino Linotype" w:cs="Palatino Linotype"/>
        </w:rPr>
        <w:t xml:space="preserve">: Documento consistente en un escrito, mediante el cual, la parte </w:t>
      </w:r>
      <w:r w:rsidRPr="00054F1A">
        <w:rPr>
          <w:rFonts w:ascii="Palatino Linotype" w:eastAsia="Palatino Linotype" w:hAnsi="Palatino Linotype" w:cs="Palatino Linotype"/>
          <w:b/>
          <w:bCs/>
        </w:rPr>
        <w:t>RECURRENTE</w:t>
      </w:r>
      <w:r w:rsidR="00690CBA" w:rsidRPr="00054F1A">
        <w:rPr>
          <w:rFonts w:ascii="Palatino Linotype" w:eastAsia="Palatino Linotype" w:hAnsi="Palatino Linotype" w:cs="Palatino Linotype"/>
        </w:rPr>
        <w:t xml:space="preserve"> manifestó lo</w:t>
      </w:r>
      <w:r w:rsidRPr="00054F1A">
        <w:rPr>
          <w:rFonts w:ascii="Palatino Linotype" w:eastAsia="Palatino Linotype" w:hAnsi="Palatino Linotype" w:cs="Palatino Linotype"/>
        </w:rPr>
        <w:t xml:space="preserve"> siguiente:</w:t>
      </w:r>
    </w:p>
    <w:p w14:paraId="682C4B25"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La </w:t>
      </w:r>
      <w:r w:rsidRPr="00054F1A">
        <w:rPr>
          <w:rFonts w:ascii="Palatino Linotype" w:eastAsia="Palatino Linotype" w:hAnsi="Palatino Linotype" w:cs="Palatino Linotype"/>
          <w:b/>
          <w:bCs/>
          <w:i/>
          <w:iCs/>
        </w:rPr>
        <w:t>respuesta negativa</w:t>
      </w:r>
      <w:r w:rsidRPr="00054F1A">
        <w:rPr>
          <w:rFonts w:ascii="Palatino Linotype" w:eastAsia="Palatino Linotype" w:hAnsi="Palatino Linotype" w:cs="Palatino Linotype"/>
          <w:i/>
          <w:iCs/>
        </w:rPr>
        <w:t xml:space="preserve"> o de </w:t>
      </w:r>
      <w:r w:rsidRPr="00054F1A">
        <w:rPr>
          <w:rFonts w:ascii="Palatino Linotype" w:eastAsia="Palatino Linotype" w:hAnsi="Palatino Linotype" w:cs="Palatino Linotype"/>
          <w:b/>
          <w:bCs/>
          <w:i/>
          <w:iCs/>
        </w:rPr>
        <w:t>inexistencia de información</w:t>
      </w:r>
      <w:r w:rsidRPr="00054F1A">
        <w:rPr>
          <w:rFonts w:ascii="Palatino Linotype" w:eastAsia="Palatino Linotype" w:hAnsi="Palatino Linotype" w:cs="Palatino Linotype"/>
          <w:i/>
          <w:iCs/>
        </w:rPr>
        <w:t xml:space="preserve">, contenida en el </w:t>
      </w:r>
      <w:r w:rsidRPr="00054F1A">
        <w:rPr>
          <w:rFonts w:ascii="Palatino Linotype" w:eastAsia="Palatino Linotype" w:hAnsi="Palatino Linotype" w:cs="Palatino Linotype"/>
          <w:b/>
          <w:bCs/>
          <w:i/>
          <w:iCs/>
        </w:rPr>
        <w:t>Oficio UTG/00237/2025</w:t>
      </w:r>
      <w:r w:rsidRPr="00054F1A">
        <w:rPr>
          <w:rFonts w:ascii="Palatino Linotype" w:eastAsia="Palatino Linotype" w:hAnsi="Palatino Linotype" w:cs="Palatino Linotype"/>
          <w:i/>
          <w:iCs/>
        </w:rPr>
        <w:t xml:space="preserve"> de fecha </w:t>
      </w:r>
      <w:r w:rsidRPr="00054F1A">
        <w:rPr>
          <w:rFonts w:ascii="Palatino Linotype" w:eastAsia="Palatino Linotype" w:hAnsi="Palatino Linotype" w:cs="Palatino Linotype"/>
          <w:b/>
          <w:bCs/>
          <w:i/>
          <w:iCs/>
        </w:rPr>
        <w:t>1 de octubre de 2025</w:t>
      </w:r>
      <w:r w:rsidRPr="00054F1A">
        <w:rPr>
          <w:rFonts w:ascii="Palatino Linotype" w:eastAsia="Palatino Linotype" w:hAnsi="Palatino Linotype" w:cs="Palatino Linotype"/>
          <w:i/>
          <w:iCs/>
        </w:rPr>
        <w:t xml:space="preserve">, emitida por la </w:t>
      </w:r>
      <w:r w:rsidRPr="00054F1A">
        <w:rPr>
          <w:rFonts w:ascii="Palatino Linotype" w:eastAsia="Palatino Linotype" w:hAnsi="Palatino Linotype" w:cs="Palatino Linotype"/>
          <w:b/>
          <w:bCs/>
          <w:i/>
          <w:iCs/>
        </w:rPr>
        <w:t>Unidad de Transparencia de la Gubernatura del Estado de México</w:t>
      </w:r>
      <w:r w:rsidRPr="00054F1A">
        <w:rPr>
          <w:rFonts w:ascii="Palatino Linotype" w:eastAsia="Palatino Linotype" w:hAnsi="Palatino Linotype" w:cs="Palatino Linotype"/>
          <w:i/>
          <w:iCs/>
        </w:rPr>
        <w:t xml:space="preserve">, relativa a la solicitud de acceso a la información </w:t>
      </w:r>
      <w:r w:rsidRPr="00054F1A">
        <w:rPr>
          <w:rFonts w:ascii="Palatino Linotype" w:eastAsia="Palatino Linotype" w:hAnsi="Palatino Linotype" w:cs="Palatino Linotype"/>
          <w:b/>
          <w:bCs/>
          <w:i/>
          <w:iCs/>
        </w:rPr>
        <w:t>número 00192/GUBERNA/IP/2025</w:t>
      </w:r>
      <w:r w:rsidRPr="00054F1A">
        <w:rPr>
          <w:rFonts w:ascii="Palatino Linotype" w:eastAsia="Palatino Linotype" w:hAnsi="Palatino Linotype" w:cs="Palatino Linotype"/>
          <w:i/>
          <w:iCs/>
        </w:rPr>
        <w:t xml:space="preserve">, presentada el </w:t>
      </w:r>
      <w:r w:rsidRPr="00054F1A">
        <w:rPr>
          <w:rFonts w:ascii="Palatino Linotype" w:eastAsia="Palatino Linotype" w:hAnsi="Palatino Linotype" w:cs="Palatino Linotype"/>
          <w:b/>
          <w:bCs/>
          <w:i/>
          <w:iCs/>
        </w:rPr>
        <w:t>26 de septiembre de 2025</w:t>
      </w:r>
      <w:r w:rsidRPr="00054F1A">
        <w:rPr>
          <w:rFonts w:ascii="Palatino Linotype" w:eastAsia="Palatino Linotype" w:hAnsi="Palatino Linotype" w:cs="Palatino Linotype"/>
          <w:i/>
          <w:iCs/>
        </w:rPr>
        <w:t>.</w:t>
      </w:r>
    </w:p>
    <w:p w14:paraId="064BB345" w14:textId="77777777" w:rsidR="00ED4C33" w:rsidRPr="00054F1A" w:rsidRDefault="00191702">
      <w:pPr>
        <w:spacing w:before="280" w:after="280"/>
        <w:ind w:left="1134" w:right="680"/>
        <w:jc w:val="both"/>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IV. ANTECEDENTES</w:t>
      </w:r>
    </w:p>
    <w:p w14:paraId="212915F7" w14:textId="77777777" w:rsidR="00ED4C33" w:rsidRPr="00054F1A" w:rsidRDefault="00191702">
      <w:pPr>
        <w:numPr>
          <w:ilvl w:val="0"/>
          <w:numId w:val="8"/>
        </w:numPr>
        <w:spacing w:before="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El </w:t>
      </w:r>
      <w:r w:rsidRPr="00054F1A">
        <w:rPr>
          <w:rFonts w:ascii="Palatino Linotype" w:eastAsia="Palatino Linotype" w:hAnsi="Palatino Linotype" w:cs="Palatino Linotype"/>
          <w:b/>
          <w:bCs/>
          <w:i/>
          <w:iCs/>
        </w:rPr>
        <w:t>26 de septiembre de 2025</w:t>
      </w:r>
      <w:r w:rsidRPr="00054F1A">
        <w:rPr>
          <w:rFonts w:ascii="Palatino Linotype" w:eastAsia="Palatino Linotype" w:hAnsi="Palatino Linotype" w:cs="Palatino Linotype"/>
          <w:i/>
          <w:iCs/>
        </w:rPr>
        <w:t xml:space="preserve">, ingresé por medio del </w:t>
      </w:r>
      <w:r w:rsidRPr="00054F1A">
        <w:rPr>
          <w:rFonts w:ascii="Palatino Linotype" w:eastAsia="Palatino Linotype" w:hAnsi="Palatino Linotype" w:cs="Palatino Linotype"/>
          <w:b/>
          <w:bCs/>
          <w:i/>
          <w:iCs/>
        </w:rPr>
        <w:t>Sistema de Acceso a la Información Mexiquense (SAIMEX)</w:t>
      </w:r>
      <w:r w:rsidRPr="00054F1A">
        <w:rPr>
          <w:rFonts w:ascii="Palatino Linotype" w:eastAsia="Palatino Linotype" w:hAnsi="Palatino Linotype" w:cs="Palatino Linotype"/>
          <w:i/>
          <w:iCs/>
        </w:rPr>
        <w:t xml:space="preserve"> la solicitud número </w:t>
      </w:r>
      <w:r w:rsidRPr="00054F1A">
        <w:rPr>
          <w:rFonts w:ascii="Palatino Linotype" w:eastAsia="Palatino Linotype" w:hAnsi="Palatino Linotype" w:cs="Palatino Linotype"/>
          <w:b/>
          <w:bCs/>
          <w:i/>
          <w:iCs/>
        </w:rPr>
        <w:t>00192/GUBERNA/IP/2025</w:t>
      </w:r>
      <w:r w:rsidRPr="00054F1A">
        <w:rPr>
          <w:rFonts w:ascii="Palatino Linotype" w:eastAsia="Palatino Linotype" w:hAnsi="Palatino Linotype" w:cs="Palatino Linotype"/>
          <w:i/>
          <w:iCs/>
        </w:rPr>
        <w:t xml:space="preserve">, mediante la cual requerí información pública sobre el </w:t>
      </w:r>
      <w:r w:rsidRPr="00054F1A">
        <w:rPr>
          <w:rFonts w:ascii="Palatino Linotype" w:eastAsia="Palatino Linotype" w:hAnsi="Palatino Linotype" w:cs="Palatino Linotype"/>
          <w:b/>
          <w:bCs/>
          <w:i/>
          <w:iCs/>
        </w:rPr>
        <w:t>Segundo Informe de Gobierno 2025</w:t>
      </w:r>
      <w:r w:rsidRPr="00054F1A">
        <w:rPr>
          <w:rFonts w:ascii="Palatino Linotype" w:eastAsia="Palatino Linotype" w:hAnsi="Palatino Linotype" w:cs="Palatino Linotype"/>
          <w:i/>
          <w:iCs/>
        </w:rPr>
        <w:t>, solicitando en específico:</w:t>
      </w:r>
    </w:p>
    <w:p w14:paraId="403C6B8A" w14:textId="77777777" w:rsidR="00ED4C33" w:rsidRPr="00054F1A" w:rsidRDefault="00191702">
      <w:pPr>
        <w:numPr>
          <w:ilvl w:val="1"/>
          <w:numId w:val="8"/>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La base de datos completa del </w:t>
      </w:r>
      <w:r w:rsidRPr="00054F1A">
        <w:rPr>
          <w:rFonts w:ascii="Palatino Linotype" w:eastAsia="Palatino Linotype" w:hAnsi="Palatino Linotype" w:cs="Palatino Linotype"/>
          <w:b/>
          <w:bCs/>
          <w:i/>
          <w:iCs/>
        </w:rPr>
        <w:t>Anexo Estadístico (Tomo II)</w:t>
      </w:r>
      <w:r w:rsidRPr="00054F1A">
        <w:rPr>
          <w:rFonts w:ascii="Palatino Linotype" w:eastAsia="Palatino Linotype" w:hAnsi="Palatino Linotype" w:cs="Palatino Linotype"/>
          <w:i/>
          <w:iCs/>
        </w:rPr>
        <w:t>.</w:t>
      </w:r>
    </w:p>
    <w:p w14:paraId="68F6598F" w14:textId="77777777" w:rsidR="00ED4C33" w:rsidRPr="00054F1A" w:rsidRDefault="00191702">
      <w:pPr>
        <w:numPr>
          <w:ilvl w:val="1"/>
          <w:numId w:val="8"/>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lastRenderedPageBreak/>
        <w:t>Los contratos y mecanismos de financiamiento de obras de movilidad (Mexibús, Trolebús, Tren Interurbano).</w:t>
      </w:r>
    </w:p>
    <w:p w14:paraId="4DD6A747" w14:textId="77777777" w:rsidR="00ED4C33" w:rsidRPr="00054F1A" w:rsidRDefault="00191702">
      <w:pPr>
        <w:numPr>
          <w:ilvl w:val="1"/>
          <w:numId w:val="8"/>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El padrón de beneficiarios de programas sociales (Mujeres con Bienestar, Ciudad Mujeres, Canastas Alimentarias).</w:t>
      </w:r>
    </w:p>
    <w:p w14:paraId="3EDC30F3" w14:textId="77777777" w:rsidR="00ED4C33" w:rsidRPr="00054F1A" w:rsidRDefault="00191702">
      <w:pPr>
        <w:numPr>
          <w:ilvl w:val="1"/>
          <w:numId w:val="8"/>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El marco normativo sobre gestión de residuos electrónicos.</w:t>
      </w:r>
    </w:p>
    <w:p w14:paraId="204EB22C" w14:textId="77777777" w:rsidR="00ED4C33" w:rsidRPr="00054F1A" w:rsidRDefault="00191702">
      <w:pPr>
        <w:numPr>
          <w:ilvl w:val="1"/>
          <w:numId w:val="8"/>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Los informes finales de los comités </w:t>
      </w:r>
      <w:r w:rsidRPr="00054F1A">
        <w:rPr>
          <w:rFonts w:ascii="Palatino Linotype" w:eastAsia="Palatino Linotype" w:hAnsi="Palatino Linotype" w:cs="Palatino Linotype"/>
          <w:b/>
          <w:bCs/>
          <w:i/>
          <w:iCs/>
        </w:rPr>
        <w:t>COCICOVI</w:t>
      </w:r>
      <w:r w:rsidRPr="00054F1A">
        <w:rPr>
          <w:rFonts w:ascii="Palatino Linotype" w:eastAsia="Palatino Linotype" w:hAnsi="Palatino Linotype" w:cs="Palatino Linotype"/>
          <w:i/>
          <w:iCs/>
        </w:rPr>
        <w:t>.</w:t>
      </w:r>
    </w:p>
    <w:p w14:paraId="0615F7F0" w14:textId="77777777" w:rsidR="00ED4C33" w:rsidRPr="00054F1A" w:rsidRDefault="00191702">
      <w:pPr>
        <w:numPr>
          <w:ilvl w:val="0"/>
          <w:numId w:val="8"/>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El </w:t>
      </w:r>
      <w:r w:rsidRPr="00054F1A">
        <w:rPr>
          <w:rFonts w:ascii="Palatino Linotype" w:eastAsia="Palatino Linotype" w:hAnsi="Palatino Linotype" w:cs="Palatino Linotype"/>
          <w:b/>
          <w:bCs/>
          <w:i/>
          <w:iCs/>
        </w:rPr>
        <w:t>1 de octubre de 2025</w:t>
      </w:r>
      <w:r w:rsidRPr="00054F1A">
        <w:rPr>
          <w:rFonts w:ascii="Palatino Linotype" w:eastAsia="Palatino Linotype" w:hAnsi="Palatino Linotype" w:cs="Palatino Linotype"/>
          <w:i/>
          <w:iCs/>
        </w:rPr>
        <w:t xml:space="preserve">, la Unidad de Transparencia de la Gubernatura emitió el </w:t>
      </w:r>
      <w:r w:rsidRPr="00054F1A">
        <w:rPr>
          <w:rFonts w:ascii="Palatino Linotype" w:eastAsia="Palatino Linotype" w:hAnsi="Palatino Linotype" w:cs="Palatino Linotype"/>
          <w:b/>
          <w:bCs/>
          <w:i/>
          <w:iCs/>
        </w:rPr>
        <w:t>Oficio UTG/00237/2025</w:t>
      </w:r>
      <w:r w:rsidRPr="00054F1A">
        <w:rPr>
          <w:rFonts w:ascii="Palatino Linotype" w:eastAsia="Palatino Linotype" w:hAnsi="Palatino Linotype" w:cs="Palatino Linotype"/>
          <w:i/>
          <w:iCs/>
        </w:rPr>
        <w:t xml:space="preserve">, señalando que </w:t>
      </w:r>
      <w:r w:rsidRPr="00054F1A">
        <w:rPr>
          <w:rFonts w:ascii="Palatino Linotype" w:eastAsia="Palatino Linotype" w:hAnsi="Palatino Linotype" w:cs="Palatino Linotype"/>
          <w:b/>
          <w:bCs/>
          <w:i/>
          <w:iCs/>
        </w:rPr>
        <w:t>no se encontró antecedente</w:t>
      </w:r>
      <w:r w:rsidRPr="00054F1A">
        <w:rPr>
          <w:rFonts w:ascii="Palatino Linotype" w:eastAsia="Palatino Linotype" w:hAnsi="Palatino Linotype" w:cs="Palatino Linotype"/>
          <w:i/>
          <w:iCs/>
        </w:rPr>
        <w:t xml:space="preserve"> relativo a lo solicitado, argumentando que </w:t>
      </w:r>
      <w:r w:rsidRPr="00054F1A">
        <w:rPr>
          <w:rFonts w:ascii="Palatino Linotype" w:eastAsia="Palatino Linotype" w:hAnsi="Palatino Linotype" w:cs="Palatino Linotype"/>
          <w:b/>
          <w:bCs/>
          <w:i/>
          <w:iCs/>
        </w:rPr>
        <w:t>la Gubernatura no genera la información</w:t>
      </w:r>
      <w:r w:rsidRPr="00054F1A">
        <w:rPr>
          <w:rFonts w:ascii="Palatino Linotype" w:eastAsia="Palatino Linotype" w:hAnsi="Palatino Linotype" w:cs="Palatino Linotype"/>
          <w:i/>
          <w:iCs/>
        </w:rPr>
        <w:t xml:space="preserve"> y que únicamente se sugiere dirigir la petición a otras dependencias estatales.</w:t>
      </w:r>
    </w:p>
    <w:p w14:paraId="13D55D46" w14:textId="77777777" w:rsidR="00ED4C33" w:rsidRPr="00054F1A" w:rsidRDefault="00191702">
      <w:pPr>
        <w:numPr>
          <w:ilvl w:val="0"/>
          <w:numId w:val="8"/>
        </w:numPr>
        <w:spacing w:after="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La respuesta </w:t>
      </w:r>
      <w:r w:rsidRPr="00054F1A">
        <w:rPr>
          <w:rFonts w:ascii="Palatino Linotype" w:eastAsia="Palatino Linotype" w:hAnsi="Palatino Linotype" w:cs="Palatino Linotype"/>
          <w:b/>
          <w:bCs/>
          <w:i/>
          <w:iCs/>
        </w:rPr>
        <w:t>no acredita búsqueda exhaustiva</w:t>
      </w:r>
      <w:r w:rsidRPr="00054F1A">
        <w:rPr>
          <w:rFonts w:ascii="Palatino Linotype" w:eastAsia="Palatino Linotype" w:hAnsi="Palatino Linotype" w:cs="Palatino Linotype"/>
          <w:i/>
          <w:iCs/>
        </w:rPr>
        <w:t xml:space="preserve">, ni demuestra la aplicación del </w:t>
      </w:r>
      <w:r w:rsidRPr="00054F1A">
        <w:rPr>
          <w:rFonts w:ascii="Palatino Linotype" w:eastAsia="Palatino Linotype" w:hAnsi="Palatino Linotype" w:cs="Palatino Linotype"/>
          <w:b/>
          <w:bCs/>
          <w:i/>
          <w:iCs/>
        </w:rPr>
        <w:t>principio de orientación</w:t>
      </w:r>
      <w:r w:rsidRPr="00054F1A">
        <w:rPr>
          <w:rFonts w:ascii="Palatino Linotype" w:eastAsia="Palatino Linotype" w:hAnsi="Palatino Linotype" w:cs="Palatino Linotype"/>
          <w:i/>
          <w:iCs/>
        </w:rPr>
        <w:t xml:space="preserve">, conforme a los artículos </w:t>
      </w:r>
      <w:r w:rsidRPr="00054F1A">
        <w:rPr>
          <w:rFonts w:ascii="Palatino Linotype" w:eastAsia="Palatino Linotype" w:hAnsi="Palatino Linotype" w:cs="Palatino Linotype"/>
          <w:b/>
          <w:bCs/>
          <w:i/>
          <w:iCs/>
        </w:rPr>
        <w:t>167 y 171 de la Ley de Transparencia</w:t>
      </w:r>
      <w:r w:rsidRPr="00054F1A">
        <w:rPr>
          <w:rFonts w:ascii="Palatino Linotype" w:eastAsia="Palatino Linotype" w:hAnsi="Palatino Linotype" w:cs="Palatino Linotype"/>
          <w:i/>
          <w:iCs/>
        </w:rPr>
        <w:t xml:space="preserve"> del Estado de México.</w:t>
      </w:r>
    </w:p>
    <w:p w14:paraId="7B680AE9"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V. AGRAVIOS</w:t>
      </w:r>
    </w:p>
    <w:p w14:paraId="61778D98"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PRIMERO.</w:t>
      </w:r>
      <w:r w:rsidRPr="00054F1A">
        <w:rPr>
          <w:rFonts w:ascii="Palatino Linotype" w:eastAsia="Palatino Linotype" w:hAnsi="Palatino Linotype" w:cs="Palatino Linotype"/>
          <w:i/>
          <w:iCs/>
        </w:rPr>
        <w:br/>
        <w:t xml:space="preserve">La autoridad responsable </w:t>
      </w:r>
      <w:r w:rsidRPr="00054F1A">
        <w:rPr>
          <w:rFonts w:ascii="Palatino Linotype" w:eastAsia="Palatino Linotype" w:hAnsi="Palatino Linotype" w:cs="Palatino Linotype"/>
          <w:b/>
          <w:bCs/>
          <w:i/>
          <w:iCs/>
        </w:rPr>
        <w:t>incumplió con la obligación de realizar una búsqueda exhaustiva</w:t>
      </w:r>
      <w:r w:rsidRPr="00054F1A">
        <w:rPr>
          <w:rFonts w:ascii="Palatino Linotype" w:eastAsia="Palatino Linotype" w:hAnsi="Palatino Linotype" w:cs="Palatino Linotype"/>
          <w:i/>
          <w:iCs/>
        </w:rPr>
        <w:t xml:space="preserve"> de la información, limitándose a afirmar su inexistencia sin aportar evidencia documental ni dictamen de archivo o comunicación interna que lo acredite.</w:t>
      </w:r>
      <w:r w:rsidRPr="00054F1A">
        <w:rPr>
          <w:rFonts w:ascii="Palatino Linotype" w:eastAsia="Palatino Linotype" w:hAnsi="Palatino Linotype" w:cs="Palatino Linotype"/>
          <w:i/>
          <w:iCs/>
        </w:rPr>
        <w:br/>
        <w:t xml:space="preserve">Esto vulnera el artículo </w:t>
      </w:r>
      <w:r w:rsidRPr="00054F1A">
        <w:rPr>
          <w:rFonts w:ascii="Palatino Linotype" w:eastAsia="Palatino Linotype" w:hAnsi="Palatino Linotype" w:cs="Palatino Linotype"/>
          <w:b/>
          <w:bCs/>
          <w:i/>
          <w:iCs/>
        </w:rPr>
        <w:t>167</w:t>
      </w:r>
      <w:r w:rsidRPr="00054F1A">
        <w:rPr>
          <w:rFonts w:ascii="Palatino Linotype" w:eastAsia="Palatino Linotype" w:hAnsi="Palatino Linotype" w:cs="Palatino Linotype"/>
          <w:i/>
          <w:iCs/>
        </w:rPr>
        <w:t xml:space="preserve"> de la Ley de Transparencia y Acceso a la Información Pública del Estado de México y Municipios.</w:t>
      </w:r>
    </w:p>
    <w:p w14:paraId="427FF149"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SEGUNDO.</w:t>
      </w:r>
      <w:r w:rsidRPr="00054F1A">
        <w:rPr>
          <w:rFonts w:ascii="Palatino Linotype" w:eastAsia="Palatino Linotype" w:hAnsi="Palatino Linotype" w:cs="Palatino Linotype"/>
          <w:i/>
          <w:iCs/>
        </w:rPr>
        <w:br/>
        <w:t xml:space="preserve">La Unidad de Transparencia </w:t>
      </w:r>
      <w:r w:rsidRPr="00054F1A">
        <w:rPr>
          <w:rFonts w:ascii="Palatino Linotype" w:eastAsia="Palatino Linotype" w:hAnsi="Palatino Linotype" w:cs="Palatino Linotype"/>
          <w:b/>
          <w:bCs/>
          <w:i/>
          <w:iCs/>
        </w:rPr>
        <w:t>omitió aplicar el principio de orientación</w:t>
      </w:r>
      <w:r w:rsidRPr="00054F1A">
        <w:rPr>
          <w:rFonts w:ascii="Palatino Linotype" w:eastAsia="Palatino Linotype" w:hAnsi="Palatino Linotype" w:cs="Palatino Linotype"/>
          <w:i/>
          <w:iCs/>
        </w:rPr>
        <w:t xml:space="preserve">, previsto en el artículo </w:t>
      </w:r>
      <w:r w:rsidRPr="00054F1A">
        <w:rPr>
          <w:rFonts w:ascii="Palatino Linotype" w:eastAsia="Palatino Linotype" w:hAnsi="Palatino Linotype" w:cs="Palatino Linotype"/>
          <w:b/>
          <w:bCs/>
          <w:i/>
          <w:iCs/>
        </w:rPr>
        <w:t>171</w:t>
      </w:r>
      <w:r w:rsidRPr="00054F1A">
        <w:rPr>
          <w:rFonts w:ascii="Palatino Linotype" w:eastAsia="Palatino Linotype" w:hAnsi="Palatino Linotype" w:cs="Palatino Linotype"/>
          <w:i/>
          <w:iCs/>
        </w:rPr>
        <w:t xml:space="preserve"> del mismo ordenamiento, al no turnar formalmente la solicitud a las dependencias competentes (Finanzas, Planeación, Bienestar, Movilidad, Contraloría, Medio Ambiente), pese a reconocer en el propio oficio que dichas entidades podrían contar con la información.</w:t>
      </w:r>
    </w:p>
    <w:p w14:paraId="41585B08"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TERCERO.</w:t>
      </w:r>
      <w:r w:rsidRPr="00054F1A">
        <w:rPr>
          <w:rFonts w:ascii="Palatino Linotype" w:eastAsia="Palatino Linotype" w:hAnsi="Palatino Linotype" w:cs="Palatino Linotype"/>
          <w:i/>
          <w:iCs/>
        </w:rPr>
        <w:br/>
        <w:t xml:space="preserve">La Gubernatura </w:t>
      </w:r>
      <w:r w:rsidRPr="00054F1A">
        <w:rPr>
          <w:rFonts w:ascii="Palatino Linotype" w:eastAsia="Palatino Linotype" w:hAnsi="Palatino Linotype" w:cs="Palatino Linotype"/>
          <w:b/>
          <w:bCs/>
          <w:i/>
          <w:iCs/>
        </w:rPr>
        <w:t>sí genera y posee información relacionada con los temas solicitados</w:t>
      </w:r>
      <w:r w:rsidRPr="00054F1A">
        <w:rPr>
          <w:rFonts w:ascii="Palatino Linotype" w:eastAsia="Palatino Linotype" w:hAnsi="Palatino Linotype" w:cs="Palatino Linotype"/>
          <w:i/>
          <w:iCs/>
        </w:rPr>
        <w:t xml:space="preserve">, como se acredita en el </w:t>
      </w:r>
      <w:r w:rsidRPr="00054F1A">
        <w:rPr>
          <w:rFonts w:ascii="Palatino Linotype" w:eastAsia="Palatino Linotype" w:hAnsi="Palatino Linotype" w:cs="Palatino Linotype"/>
          <w:b/>
          <w:bCs/>
          <w:i/>
          <w:iCs/>
        </w:rPr>
        <w:t>Segundo Informe de Gobierno 2025</w:t>
      </w:r>
      <w:r w:rsidRPr="00054F1A">
        <w:rPr>
          <w:rFonts w:ascii="Palatino Linotype" w:eastAsia="Palatino Linotype" w:hAnsi="Palatino Linotype" w:cs="Palatino Linotype"/>
          <w:i/>
          <w:iCs/>
        </w:rPr>
        <w:t>, en el cual:</w:t>
      </w:r>
    </w:p>
    <w:p w14:paraId="75A90FC1" w14:textId="77777777" w:rsidR="00ED4C33" w:rsidRPr="00054F1A" w:rsidRDefault="00191702">
      <w:pPr>
        <w:numPr>
          <w:ilvl w:val="0"/>
          <w:numId w:val="9"/>
        </w:numPr>
        <w:spacing w:before="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Se consignan datos cuantitativos y cualitativos del </w:t>
      </w:r>
      <w:r w:rsidRPr="00054F1A">
        <w:rPr>
          <w:rFonts w:ascii="Palatino Linotype" w:eastAsia="Palatino Linotype" w:hAnsi="Palatino Linotype" w:cs="Palatino Linotype"/>
          <w:b/>
          <w:bCs/>
          <w:i/>
          <w:iCs/>
        </w:rPr>
        <w:t>Anexo Estadístico</w:t>
      </w:r>
      <w:r w:rsidRPr="00054F1A">
        <w:rPr>
          <w:rFonts w:ascii="Palatino Linotype" w:eastAsia="Palatino Linotype" w:hAnsi="Palatino Linotype" w:cs="Palatino Linotype"/>
          <w:i/>
          <w:iCs/>
        </w:rPr>
        <w:t>.</w:t>
      </w:r>
    </w:p>
    <w:p w14:paraId="71CE54BF" w14:textId="77777777" w:rsidR="00ED4C33" w:rsidRPr="00054F1A" w:rsidRDefault="00191702">
      <w:pPr>
        <w:numPr>
          <w:ilvl w:val="0"/>
          <w:numId w:val="9"/>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Se detallan montos e inversiones de obras de movilidad y programas sociales.</w:t>
      </w:r>
    </w:p>
    <w:p w14:paraId="13962A7C" w14:textId="77777777" w:rsidR="00ED4C33" w:rsidRPr="00054F1A" w:rsidRDefault="00191702">
      <w:pPr>
        <w:numPr>
          <w:ilvl w:val="0"/>
          <w:numId w:val="9"/>
        </w:numPr>
        <w:spacing w:after="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lastRenderedPageBreak/>
        <w:t xml:space="preserve">Se informa sobre los </w:t>
      </w:r>
      <w:r w:rsidRPr="00054F1A">
        <w:rPr>
          <w:rFonts w:ascii="Palatino Linotype" w:eastAsia="Palatino Linotype" w:hAnsi="Palatino Linotype" w:cs="Palatino Linotype"/>
          <w:b/>
          <w:bCs/>
          <w:i/>
          <w:iCs/>
        </w:rPr>
        <w:t>7,635 Comités COCICOVI</w:t>
      </w:r>
      <w:r w:rsidRPr="00054F1A">
        <w:rPr>
          <w:rFonts w:ascii="Palatino Linotype" w:eastAsia="Palatino Linotype" w:hAnsi="Palatino Linotype" w:cs="Palatino Linotype"/>
          <w:i/>
          <w:iCs/>
        </w:rPr>
        <w:t xml:space="preserve"> y la emisión de </w:t>
      </w:r>
      <w:r w:rsidRPr="00054F1A">
        <w:rPr>
          <w:rFonts w:ascii="Palatino Linotype" w:eastAsia="Palatino Linotype" w:hAnsi="Palatino Linotype" w:cs="Palatino Linotype"/>
          <w:b/>
          <w:bCs/>
          <w:i/>
          <w:iCs/>
        </w:rPr>
        <w:t>2,853 informes finales</w:t>
      </w:r>
      <w:r w:rsidRPr="00054F1A">
        <w:rPr>
          <w:rFonts w:ascii="Palatino Linotype" w:eastAsia="Palatino Linotype" w:hAnsi="Palatino Linotype" w:cs="Palatino Linotype"/>
          <w:i/>
          <w:iCs/>
        </w:rPr>
        <w:t>.</w:t>
      </w:r>
      <w:r w:rsidRPr="00054F1A">
        <w:rPr>
          <w:rFonts w:ascii="Palatino Linotype" w:eastAsia="Palatino Linotype" w:hAnsi="Palatino Linotype" w:cs="Palatino Linotype"/>
          <w:i/>
          <w:iCs/>
        </w:rPr>
        <w:br/>
        <w:t xml:space="preserve">Por tanto, existe </w:t>
      </w:r>
      <w:r w:rsidRPr="00054F1A">
        <w:rPr>
          <w:rFonts w:ascii="Palatino Linotype" w:eastAsia="Palatino Linotype" w:hAnsi="Palatino Linotype" w:cs="Palatino Linotype"/>
          <w:b/>
          <w:bCs/>
          <w:i/>
          <w:iCs/>
        </w:rPr>
        <w:t>información en posesión o bajo custodia indirecta</w:t>
      </w:r>
      <w:r w:rsidRPr="00054F1A">
        <w:rPr>
          <w:rFonts w:ascii="Palatino Linotype" w:eastAsia="Palatino Linotype" w:hAnsi="Palatino Linotype" w:cs="Palatino Linotype"/>
          <w:i/>
          <w:iCs/>
        </w:rPr>
        <w:t xml:space="preserve"> de la Gubernatura, lo que contradice la afirmación de inexistencia.</w:t>
      </w:r>
    </w:p>
    <w:p w14:paraId="02E89DB5"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CUARTO.</w:t>
      </w:r>
      <w:r w:rsidRPr="00054F1A">
        <w:rPr>
          <w:rFonts w:ascii="Palatino Linotype" w:eastAsia="Palatino Linotype" w:hAnsi="Palatino Linotype" w:cs="Palatino Linotype"/>
          <w:i/>
          <w:iCs/>
        </w:rPr>
        <w:br/>
        <w:t xml:space="preserve">La respuesta impugnada </w:t>
      </w:r>
      <w:r w:rsidRPr="00054F1A">
        <w:rPr>
          <w:rFonts w:ascii="Palatino Linotype" w:eastAsia="Palatino Linotype" w:hAnsi="Palatino Linotype" w:cs="Palatino Linotype"/>
          <w:b/>
          <w:bCs/>
          <w:i/>
          <w:iCs/>
        </w:rPr>
        <w:t>contraviene el principio de máxima publicidad</w:t>
      </w:r>
      <w:r w:rsidRPr="00054F1A">
        <w:rPr>
          <w:rFonts w:ascii="Palatino Linotype" w:eastAsia="Palatino Linotype" w:hAnsi="Palatino Linotype" w:cs="Palatino Linotype"/>
          <w:i/>
          <w:iCs/>
        </w:rPr>
        <w:t xml:space="preserve"> consagrado en el artículo </w:t>
      </w:r>
      <w:r w:rsidRPr="00054F1A">
        <w:rPr>
          <w:rFonts w:ascii="Palatino Linotype" w:eastAsia="Palatino Linotype" w:hAnsi="Palatino Linotype" w:cs="Palatino Linotype"/>
          <w:b/>
          <w:bCs/>
          <w:i/>
          <w:iCs/>
        </w:rPr>
        <w:t>4 de la Ley de Transparencia del Estado de México</w:t>
      </w:r>
      <w:r w:rsidRPr="00054F1A">
        <w:rPr>
          <w:rFonts w:ascii="Palatino Linotype" w:eastAsia="Palatino Linotype" w:hAnsi="Palatino Linotype" w:cs="Palatino Linotype"/>
          <w:i/>
          <w:iCs/>
        </w:rPr>
        <w:t xml:space="preserve">, y en el artículo </w:t>
      </w:r>
      <w:r w:rsidRPr="00054F1A">
        <w:rPr>
          <w:rFonts w:ascii="Palatino Linotype" w:eastAsia="Palatino Linotype" w:hAnsi="Palatino Linotype" w:cs="Palatino Linotype"/>
          <w:b/>
          <w:bCs/>
          <w:i/>
          <w:iCs/>
        </w:rPr>
        <w:t>6º constitucional</w:t>
      </w:r>
      <w:r w:rsidRPr="00054F1A">
        <w:rPr>
          <w:rFonts w:ascii="Palatino Linotype" w:eastAsia="Palatino Linotype" w:hAnsi="Palatino Linotype" w:cs="Palatino Linotype"/>
          <w:i/>
          <w:iCs/>
        </w:rPr>
        <w:t>, al no garantizar el acceso pleno a la información pública derivada del ejercicio de gobierno y rendición de cuentas</w:t>
      </w:r>
    </w:p>
    <w:p w14:paraId="30F6E73F"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VI. PRUEBAS</w:t>
      </w:r>
    </w:p>
    <w:p w14:paraId="0B12221A" w14:textId="77777777" w:rsidR="00ED4C33" w:rsidRPr="00054F1A" w:rsidRDefault="00191702">
      <w:pPr>
        <w:numPr>
          <w:ilvl w:val="0"/>
          <w:numId w:val="10"/>
        </w:numPr>
        <w:spacing w:before="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Documental pública</w:t>
      </w:r>
      <w:r w:rsidRPr="00054F1A">
        <w:rPr>
          <w:rFonts w:ascii="Palatino Linotype" w:eastAsia="Palatino Linotype" w:hAnsi="Palatino Linotype" w:cs="Palatino Linotype"/>
          <w:i/>
          <w:iCs/>
        </w:rPr>
        <w:t xml:space="preserve"> consistente en copia del </w:t>
      </w:r>
      <w:r w:rsidRPr="00054F1A">
        <w:rPr>
          <w:rFonts w:ascii="Palatino Linotype" w:eastAsia="Palatino Linotype" w:hAnsi="Palatino Linotype" w:cs="Palatino Linotype"/>
          <w:b/>
          <w:bCs/>
          <w:i/>
          <w:iCs/>
        </w:rPr>
        <w:t>Oficio UTG/00237/2025</w:t>
      </w:r>
      <w:r w:rsidRPr="00054F1A">
        <w:rPr>
          <w:rFonts w:ascii="Palatino Linotype" w:eastAsia="Palatino Linotype" w:hAnsi="Palatino Linotype" w:cs="Palatino Linotype"/>
          <w:i/>
          <w:iCs/>
        </w:rPr>
        <w:t>, de fecha 1 de octubre de 2025.</w:t>
      </w:r>
    </w:p>
    <w:p w14:paraId="51B2EB21" w14:textId="77777777" w:rsidR="00ED4C33" w:rsidRPr="00054F1A" w:rsidRDefault="00191702">
      <w:pPr>
        <w:numPr>
          <w:ilvl w:val="0"/>
          <w:numId w:val="10"/>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Documental pública</w:t>
      </w:r>
      <w:r w:rsidRPr="00054F1A">
        <w:rPr>
          <w:rFonts w:ascii="Palatino Linotype" w:eastAsia="Palatino Linotype" w:hAnsi="Palatino Linotype" w:cs="Palatino Linotype"/>
          <w:i/>
          <w:iCs/>
        </w:rPr>
        <w:t xml:space="preserve"> consistente en copia del acuse de la </w:t>
      </w:r>
      <w:r w:rsidRPr="00054F1A">
        <w:rPr>
          <w:rFonts w:ascii="Palatino Linotype" w:eastAsia="Palatino Linotype" w:hAnsi="Palatino Linotype" w:cs="Palatino Linotype"/>
          <w:b/>
          <w:bCs/>
          <w:i/>
          <w:iCs/>
        </w:rPr>
        <w:t>solicitud 00192/GUBERNA/IP/2025</w:t>
      </w:r>
      <w:r w:rsidRPr="00054F1A">
        <w:rPr>
          <w:rFonts w:ascii="Palatino Linotype" w:eastAsia="Palatino Linotype" w:hAnsi="Palatino Linotype" w:cs="Palatino Linotype"/>
          <w:i/>
          <w:iCs/>
        </w:rPr>
        <w:t>.</w:t>
      </w:r>
    </w:p>
    <w:p w14:paraId="57F326DB" w14:textId="77777777" w:rsidR="00ED4C33" w:rsidRPr="00054F1A" w:rsidRDefault="00191702">
      <w:pPr>
        <w:numPr>
          <w:ilvl w:val="0"/>
          <w:numId w:val="10"/>
        </w:numPr>
        <w:spacing w:after="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Documental pública</w:t>
      </w:r>
      <w:r w:rsidRPr="00054F1A">
        <w:rPr>
          <w:rFonts w:ascii="Palatino Linotype" w:eastAsia="Palatino Linotype" w:hAnsi="Palatino Linotype" w:cs="Palatino Linotype"/>
          <w:i/>
          <w:iCs/>
        </w:rPr>
        <w:t xml:space="preserve"> consistente en el </w:t>
      </w:r>
      <w:r w:rsidRPr="00054F1A">
        <w:rPr>
          <w:rFonts w:ascii="Palatino Linotype" w:eastAsia="Palatino Linotype" w:hAnsi="Palatino Linotype" w:cs="Palatino Linotype"/>
          <w:b/>
          <w:bCs/>
          <w:i/>
          <w:iCs/>
        </w:rPr>
        <w:t>Segundo Informe de Gobierno 2025 del Estado de México</w:t>
      </w:r>
      <w:r w:rsidRPr="00054F1A">
        <w:rPr>
          <w:rFonts w:ascii="Palatino Linotype" w:eastAsia="Palatino Linotype" w:hAnsi="Palatino Linotype" w:cs="Palatino Linotype"/>
          <w:i/>
          <w:iCs/>
        </w:rPr>
        <w:t xml:space="preserve">, elaborado por la Mtra. </w:t>
      </w:r>
      <w:r w:rsidRPr="00054F1A">
        <w:rPr>
          <w:rFonts w:ascii="Palatino Linotype" w:eastAsia="Palatino Linotype" w:hAnsi="Palatino Linotype" w:cs="Palatino Linotype"/>
          <w:b/>
          <w:bCs/>
          <w:i/>
          <w:iCs/>
        </w:rPr>
        <w:t>Delfina Gómez Álvarez</w:t>
      </w:r>
      <w:r w:rsidRPr="00054F1A">
        <w:rPr>
          <w:rFonts w:ascii="Palatino Linotype" w:eastAsia="Palatino Linotype" w:hAnsi="Palatino Linotype" w:cs="Palatino Linotype"/>
          <w:i/>
          <w:iCs/>
        </w:rPr>
        <w:t xml:space="preserve">, en el cual se demuestra que la Gubernatura </w:t>
      </w:r>
      <w:r w:rsidRPr="00054F1A">
        <w:rPr>
          <w:rFonts w:ascii="Palatino Linotype" w:eastAsia="Palatino Linotype" w:hAnsi="Palatino Linotype" w:cs="Palatino Linotype"/>
          <w:b/>
          <w:bCs/>
          <w:i/>
          <w:iCs/>
        </w:rPr>
        <w:t>sí administra información relacionada con los temas solicitados</w:t>
      </w:r>
      <w:r w:rsidRPr="00054F1A">
        <w:rPr>
          <w:rFonts w:ascii="Palatino Linotype" w:eastAsia="Palatino Linotype" w:hAnsi="Palatino Linotype" w:cs="Palatino Linotype"/>
          <w:i/>
          <w:iCs/>
        </w:rPr>
        <w:t>.</w:t>
      </w:r>
    </w:p>
    <w:p w14:paraId="26267F8B" w14:textId="77777777" w:rsidR="00ED4C33" w:rsidRPr="00054F1A" w:rsidRDefault="00191702">
      <w:pPr>
        <w:spacing w:before="280" w:after="280"/>
        <w:ind w:left="1134" w:right="680"/>
        <w:jc w:val="both"/>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VII. PETICIÓN</w:t>
      </w:r>
    </w:p>
    <w:p w14:paraId="2DF7C520" w14:textId="77777777" w:rsidR="00ED4C33" w:rsidRPr="00054F1A" w:rsidRDefault="00191702">
      <w:pPr>
        <w:spacing w:before="280" w:after="280"/>
        <w:ind w:left="1134"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Con fundamento en los artículos </w:t>
      </w:r>
      <w:r w:rsidRPr="00054F1A">
        <w:rPr>
          <w:rFonts w:ascii="Palatino Linotype" w:eastAsia="Palatino Linotype" w:hAnsi="Palatino Linotype" w:cs="Palatino Linotype"/>
          <w:b/>
          <w:bCs/>
          <w:i/>
          <w:iCs/>
        </w:rPr>
        <w:t>178, 179, 180 y 181</w:t>
      </w:r>
      <w:r w:rsidRPr="00054F1A">
        <w:rPr>
          <w:rFonts w:ascii="Palatino Linotype" w:eastAsia="Palatino Linotype" w:hAnsi="Palatino Linotype" w:cs="Palatino Linotype"/>
          <w:i/>
          <w:iCs/>
        </w:rPr>
        <w:t xml:space="preserve"> de la </w:t>
      </w:r>
      <w:r w:rsidRPr="00054F1A">
        <w:rPr>
          <w:rFonts w:ascii="Palatino Linotype" w:eastAsia="Palatino Linotype" w:hAnsi="Palatino Linotype" w:cs="Palatino Linotype"/>
          <w:b/>
          <w:bCs/>
          <w:i/>
          <w:iCs/>
        </w:rPr>
        <w:t>Ley de Transparencia y Acceso a la Información Pública del Estado de México y Municipios</w:t>
      </w:r>
      <w:r w:rsidRPr="00054F1A">
        <w:rPr>
          <w:rFonts w:ascii="Palatino Linotype" w:eastAsia="Palatino Linotype" w:hAnsi="Palatino Linotype" w:cs="Palatino Linotype"/>
          <w:i/>
          <w:iCs/>
        </w:rPr>
        <w:t xml:space="preserve">, solicito respetuosamente al </w:t>
      </w:r>
      <w:r w:rsidRPr="00054F1A">
        <w:rPr>
          <w:rFonts w:ascii="Palatino Linotype" w:eastAsia="Palatino Linotype" w:hAnsi="Palatino Linotype" w:cs="Palatino Linotype"/>
          <w:b/>
          <w:bCs/>
          <w:i/>
          <w:iCs/>
        </w:rPr>
        <w:t>INFOEM</w:t>
      </w:r>
      <w:r w:rsidRPr="00054F1A">
        <w:rPr>
          <w:rFonts w:ascii="Palatino Linotype" w:eastAsia="Palatino Linotype" w:hAnsi="Palatino Linotype" w:cs="Palatino Linotype"/>
          <w:i/>
          <w:iCs/>
        </w:rPr>
        <w:t>:</w:t>
      </w:r>
    </w:p>
    <w:p w14:paraId="155216FF" w14:textId="77777777" w:rsidR="00ED4C33" w:rsidRPr="00054F1A" w:rsidRDefault="00191702">
      <w:pPr>
        <w:numPr>
          <w:ilvl w:val="0"/>
          <w:numId w:val="11"/>
        </w:numPr>
        <w:spacing w:before="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Admitir el presente Recurso de Revisión en tiempo y forma.</w:t>
      </w:r>
    </w:p>
    <w:p w14:paraId="0948FB39" w14:textId="77777777" w:rsidR="00ED4C33" w:rsidRPr="00054F1A" w:rsidRDefault="00191702">
      <w:pPr>
        <w:numPr>
          <w:ilvl w:val="0"/>
          <w:numId w:val="11"/>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Requerir a la Gubernatura del Estado de México </w:t>
      </w:r>
      <w:r w:rsidRPr="00054F1A">
        <w:rPr>
          <w:rFonts w:ascii="Palatino Linotype" w:eastAsia="Palatino Linotype" w:hAnsi="Palatino Linotype" w:cs="Palatino Linotype"/>
          <w:b/>
          <w:bCs/>
          <w:i/>
          <w:iCs/>
        </w:rPr>
        <w:t>acreditar la búsqueda exhaustiva</w:t>
      </w:r>
      <w:r w:rsidRPr="00054F1A">
        <w:rPr>
          <w:rFonts w:ascii="Palatino Linotype" w:eastAsia="Palatino Linotype" w:hAnsi="Palatino Linotype" w:cs="Palatino Linotype"/>
          <w:i/>
          <w:iCs/>
        </w:rPr>
        <w:t xml:space="preserve"> de la información solicitada.</w:t>
      </w:r>
    </w:p>
    <w:p w14:paraId="4FDA713A" w14:textId="77777777" w:rsidR="00ED4C33" w:rsidRPr="00054F1A" w:rsidRDefault="00191702">
      <w:pPr>
        <w:numPr>
          <w:ilvl w:val="0"/>
          <w:numId w:val="11"/>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Determinar que la respuesta impugnada </w:t>
      </w:r>
      <w:r w:rsidRPr="00054F1A">
        <w:rPr>
          <w:rFonts w:ascii="Palatino Linotype" w:eastAsia="Palatino Linotype" w:hAnsi="Palatino Linotype" w:cs="Palatino Linotype"/>
          <w:b/>
          <w:bCs/>
          <w:i/>
          <w:iCs/>
        </w:rPr>
        <w:t>no satisface el derecho de acceso a la información pública</w:t>
      </w:r>
      <w:r w:rsidRPr="00054F1A">
        <w:rPr>
          <w:rFonts w:ascii="Palatino Linotype" w:eastAsia="Palatino Linotype" w:hAnsi="Palatino Linotype" w:cs="Palatino Linotype"/>
          <w:i/>
          <w:iCs/>
        </w:rPr>
        <w:t>, al carecer de motivación, fundamentación y evidencia de gestión.</w:t>
      </w:r>
    </w:p>
    <w:p w14:paraId="0A36AEC4" w14:textId="77777777" w:rsidR="00ED4C33" w:rsidRPr="00054F1A" w:rsidRDefault="00191702">
      <w:pPr>
        <w:numPr>
          <w:ilvl w:val="0"/>
          <w:numId w:val="11"/>
        </w:numPr>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Ordenar al Sujeto Obligado </w:t>
      </w:r>
      <w:r w:rsidRPr="00054F1A">
        <w:rPr>
          <w:rFonts w:ascii="Palatino Linotype" w:eastAsia="Palatino Linotype" w:hAnsi="Palatino Linotype" w:cs="Palatino Linotype"/>
          <w:b/>
          <w:bCs/>
          <w:i/>
          <w:iCs/>
        </w:rPr>
        <w:t>entregar la información requerida</w:t>
      </w:r>
      <w:r w:rsidRPr="00054F1A">
        <w:rPr>
          <w:rFonts w:ascii="Palatino Linotype" w:eastAsia="Palatino Linotype" w:hAnsi="Palatino Linotype" w:cs="Palatino Linotype"/>
          <w:i/>
          <w:iCs/>
        </w:rPr>
        <w:t xml:space="preserve"> o, en su defecto, </w:t>
      </w:r>
      <w:r w:rsidRPr="00054F1A">
        <w:rPr>
          <w:rFonts w:ascii="Palatino Linotype" w:eastAsia="Palatino Linotype" w:hAnsi="Palatino Linotype" w:cs="Palatino Linotype"/>
          <w:b/>
          <w:bCs/>
          <w:i/>
          <w:iCs/>
        </w:rPr>
        <w:t>canalizar formalmente la solicitud a las dependencias competentes</w:t>
      </w:r>
      <w:r w:rsidRPr="00054F1A">
        <w:rPr>
          <w:rFonts w:ascii="Palatino Linotype" w:eastAsia="Palatino Linotype" w:hAnsi="Palatino Linotype" w:cs="Palatino Linotype"/>
          <w:i/>
          <w:iCs/>
        </w:rPr>
        <w:t xml:space="preserve">, conforme al artículo </w:t>
      </w:r>
      <w:r w:rsidRPr="00054F1A">
        <w:rPr>
          <w:rFonts w:ascii="Palatino Linotype" w:eastAsia="Palatino Linotype" w:hAnsi="Palatino Linotype" w:cs="Palatino Linotype"/>
          <w:b/>
          <w:bCs/>
          <w:i/>
          <w:iCs/>
        </w:rPr>
        <w:t>171</w:t>
      </w:r>
      <w:r w:rsidRPr="00054F1A">
        <w:rPr>
          <w:rFonts w:ascii="Palatino Linotype" w:eastAsia="Palatino Linotype" w:hAnsi="Palatino Linotype" w:cs="Palatino Linotype"/>
          <w:i/>
          <w:iCs/>
        </w:rPr>
        <w:t xml:space="preserve"> de la Ley de Transparencia.</w:t>
      </w:r>
    </w:p>
    <w:p w14:paraId="6EDB4FDF" w14:textId="77777777" w:rsidR="00ED4C33" w:rsidRPr="00054F1A" w:rsidRDefault="00191702">
      <w:pPr>
        <w:numPr>
          <w:ilvl w:val="0"/>
          <w:numId w:val="11"/>
        </w:numPr>
        <w:spacing w:after="280"/>
        <w:ind w:left="1134" w:right="680" w:firstLine="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lastRenderedPageBreak/>
        <w:t xml:space="preserve">En su caso, </w:t>
      </w:r>
      <w:r w:rsidRPr="00054F1A">
        <w:rPr>
          <w:rFonts w:ascii="Palatino Linotype" w:eastAsia="Palatino Linotype" w:hAnsi="Palatino Linotype" w:cs="Palatino Linotype"/>
          <w:b/>
          <w:bCs/>
          <w:i/>
          <w:iCs/>
        </w:rPr>
        <w:t>emitir medidas de apremio o recomendación pública</w:t>
      </w:r>
      <w:r w:rsidRPr="00054F1A">
        <w:rPr>
          <w:rFonts w:ascii="Palatino Linotype" w:eastAsia="Palatino Linotype" w:hAnsi="Palatino Linotype" w:cs="Palatino Linotype"/>
          <w:i/>
          <w:iCs/>
        </w:rPr>
        <w:t xml:space="preserve"> por incumplimiento al principio de máxima publicidad.</w:t>
      </w:r>
    </w:p>
    <w:p w14:paraId="6E940077" w14:textId="77777777" w:rsidR="00ED4C33" w:rsidRPr="00054F1A" w:rsidRDefault="00ED4C33">
      <w:pPr>
        <w:rPr>
          <w:rFonts w:ascii="Palatino Linotype" w:eastAsia="Palatino Linotype" w:hAnsi="Palatino Linotype" w:cs="Palatino Linotype"/>
        </w:rPr>
      </w:pPr>
    </w:p>
    <w:p w14:paraId="3EE2C925" w14:textId="77777777" w:rsidR="00ED4C33" w:rsidRPr="00054F1A" w:rsidRDefault="00ED4C33">
      <w:pPr>
        <w:spacing w:line="360" w:lineRule="auto"/>
        <w:ind w:right="680"/>
        <w:jc w:val="both"/>
        <w:rPr>
          <w:rFonts w:ascii="Palatino Linotype" w:eastAsia="Palatino Linotype" w:hAnsi="Palatino Linotype" w:cs="Palatino Linotype"/>
        </w:rPr>
      </w:pPr>
    </w:p>
    <w:p w14:paraId="1D4B6A48" w14:textId="77777777" w:rsidR="00ED4C33" w:rsidRPr="00054F1A" w:rsidRDefault="00191702">
      <w:pPr>
        <w:spacing w:line="360" w:lineRule="auto"/>
        <w:ind w:left="567" w:right="680"/>
        <w:jc w:val="both"/>
        <w:rPr>
          <w:rFonts w:ascii="Palatino Linotype" w:eastAsia="Palatino Linotype" w:hAnsi="Palatino Linotype" w:cs="Palatino Linotype"/>
          <w:b/>
          <w:bCs/>
        </w:rPr>
      </w:pPr>
      <w:r w:rsidRPr="00054F1A">
        <w:rPr>
          <w:rFonts w:ascii="Palatino Linotype" w:eastAsia="Palatino Linotype" w:hAnsi="Palatino Linotype" w:cs="Palatino Linotype"/>
        </w:rPr>
        <w:t>-</w:t>
      </w:r>
      <w:hyperlink r:id="rId14">
        <w:r w:rsidRPr="00054F1A">
          <w:rPr>
            <w:rFonts w:ascii="Palatino Linotype" w:eastAsia="Palatino Linotype" w:hAnsi="Palatino Linotype" w:cs="Palatino Linotype"/>
            <w:b/>
            <w:bCs/>
            <w:color w:val="000000"/>
          </w:rPr>
          <w:t>0192 respuesta 2025 (5).pdf</w:t>
        </w:r>
      </w:hyperlink>
      <w:r w:rsidRPr="00054F1A">
        <w:rPr>
          <w:rFonts w:ascii="Palatino Linotype" w:eastAsia="Palatino Linotype" w:hAnsi="Palatino Linotype" w:cs="Palatino Linotype"/>
        </w:rPr>
        <w:t xml:space="preserve">: Documento consistente en el oficio de respuesta emitido por el </w:t>
      </w:r>
      <w:r w:rsidRPr="00054F1A">
        <w:rPr>
          <w:rFonts w:ascii="Palatino Linotype" w:eastAsia="Palatino Linotype" w:hAnsi="Palatino Linotype" w:cs="Palatino Linotype"/>
          <w:b/>
          <w:bCs/>
        </w:rPr>
        <w:t>SUJETO OBLIGADO.</w:t>
      </w:r>
    </w:p>
    <w:p w14:paraId="71391DD3" w14:textId="77777777" w:rsidR="00ED4C33" w:rsidRPr="00054F1A" w:rsidRDefault="00ED4C33">
      <w:pPr>
        <w:spacing w:line="360" w:lineRule="auto"/>
        <w:ind w:left="567" w:right="680"/>
        <w:jc w:val="both"/>
        <w:rPr>
          <w:rFonts w:ascii="Palatino Linotype" w:eastAsia="Palatino Linotype" w:hAnsi="Palatino Linotype" w:cs="Palatino Linotype"/>
        </w:rPr>
      </w:pPr>
    </w:p>
    <w:p w14:paraId="373A2768" w14:textId="77777777" w:rsidR="00ED4C33" w:rsidRPr="00054F1A" w:rsidRDefault="00191702">
      <w:pPr>
        <w:ind w:left="567" w:right="680"/>
        <w:jc w:val="both"/>
        <w:rPr>
          <w:rFonts w:ascii="Palatino Linotype" w:eastAsia="Palatino Linotype" w:hAnsi="Palatino Linotype" w:cs="Palatino Linotype"/>
        </w:rPr>
      </w:pPr>
      <w:r w:rsidRPr="00054F1A">
        <w:rPr>
          <w:rFonts w:ascii="Palatino Linotype" w:eastAsia="Palatino Linotype" w:hAnsi="Palatino Linotype" w:cs="Palatino Linotype"/>
        </w:rPr>
        <w:t>-</w:t>
      </w:r>
      <w:hyperlink r:id="rId15">
        <w:r w:rsidRPr="00054F1A">
          <w:rPr>
            <w:rFonts w:ascii="Palatino Linotype" w:eastAsia="Palatino Linotype" w:hAnsi="Palatino Linotype" w:cs="Palatino Linotype"/>
            <w:b/>
            <w:bCs/>
            <w:color w:val="000000"/>
          </w:rPr>
          <w:t>doc12.docx</w:t>
        </w:r>
      </w:hyperlink>
      <w:r w:rsidRPr="00054F1A">
        <w:rPr>
          <w:rFonts w:ascii="Palatino Linotype" w:eastAsia="Palatino Linotype" w:hAnsi="Palatino Linotype" w:cs="Palatino Linotype"/>
        </w:rPr>
        <w:t xml:space="preserve">: Documento consistente en un escrito, mediante el cual, la parte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manifestó </w:t>
      </w:r>
      <w:r w:rsidR="00690CBA" w:rsidRPr="00054F1A">
        <w:rPr>
          <w:rFonts w:ascii="Palatino Linotype" w:eastAsia="Palatino Linotype" w:hAnsi="Palatino Linotype" w:cs="Palatino Linotype"/>
        </w:rPr>
        <w:t>lo siguiente</w:t>
      </w:r>
      <w:r w:rsidRPr="00054F1A">
        <w:rPr>
          <w:rFonts w:ascii="Palatino Linotype" w:eastAsia="Palatino Linotype" w:hAnsi="Palatino Linotype" w:cs="Palatino Linotype"/>
        </w:rPr>
        <w:t>:</w:t>
      </w:r>
    </w:p>
    <w:p w14:paraId="4D068F15" w14:textId="77777777" w:rsidR="00ED4C33" w:rsidRPr="00054F1A" w:rsidRDefault="00ED4C33">
      <w:pPr>
        <w:ind w:left="567" w:right="680"/>
        <w:jc w:val="both"/>
        <w:rPr>
          <w:rFonts w:ascii="Palatino Linotype" w:eastAsia="Palatino Linotype" w:hAnsi="Palatino Linotype" w:cs="Palatino Linotype"/>
        </w:rPr>
      </w:pPr>
    </w:p>
    <w:p w14:paraId="0FABEB5A" w14:textId="77777777" w:rsidR="00ED4C33" w:rsidRPr="00054F1A" w:rsidRDefault="00191702">
      <w:pPr>
        <w:pStyle w:val="Ttulo2"/>
        <w:spacing w:line="240" w:lineRule="auto"/>
        <w:ind w:left="1134" w:right="963"/>
        <w:jc w:val="both"/>
        <w:rPr>
          <w:rFonts w:ascii="Palatino Linotype" w:eastAsia="Palatino Linotype" w:hAnsi="Palatino Linotype" w:cs="Palatino Linotype"/>
          <w:i/>
          <w:iCs/>
          <w:color w:val="000000"/>
          <w:sz w:val="24"/>
          <w:szCs w:val="24"/>
        </w:rPr>
      </w:pPr>
      <w:r w:rsidRPr="00054F1A">
        <w:rPr>
          <w:rFonts w:ascii="Palatino Linotype" w:eastAsia="Palatino Linotype" w:hAnsi="Palatino Linotype" w:cs="Palatino Linotype"/>
          <w:i/>
          <w:iCs/>
          <w:color w:val="000000"/>
          <w:sz w:val="24"/>
          <w:szCs w:val="24"/>
        </w:rPr>
        <w:t>I. INTERPOSICIÓN DEL RECURSO</w:t>
      </w:r>
    </w:p>
    <w:p w14:paraId="5170A38D"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 xml:space="preserve">Con fundamento en los artículos 176, 177, 178, 179, 180 y demás relativos de la Ley de Transparencia y Acceso a la Información Pública del Estado de México y Municipios, interpongo el presente </w:t>
      </w:r>
      <w:r w:rsidRPr="00054F1A">
        <w:rPr>
          <w:rFonts w:ascii="Palatino Linotype" w:eastAsia="Palatino Linotype" w:hAnsi="Palatino Linotype" w:cs="Palatino Linotype"/>
          <w:b/>
          <w:bCs/>
          <w:i/>
          <w:iCs/>
          <w:color w:val="000000"/>
        </w:rPr>
        <w:t>RECURSO DE REVISIÓN</w:t>
      </w:r>
      <w:r w:rsidRPr="00054F1A">
        <w:rPr>
          <w:rFonts w:ascii="Palatino Linotype" w:eastAsia="Palatino Linotype" w:hAnsi="Palatino Linotype" w:cs="Palatino Linotype"/>
          <w:i/>
          <w:iCs/>
          <w:color w:val="000000"/>
        </w:rPr>
        <w:t>, al existir una negativa ilegal, infundada y carente de motivación suficiente.</w:t>
      </w:r>
    </w:p>
    <w:p w14:paraId="693F397A" w14:textId="77777777" w:rsidR="00ED4C33" w:rsidRPr="00054F1A" w:rsidRDefault="00191702">
      <w:pPr>
        <w:pStyle w:val="Ttulo2"/>
        <w:spacing w:line="240" w:lineRule="auto"/>
        <w:ind w:left="1134" w:right="963"/>
        <w:jc w:val="both"/>
        <w:rPr>
          <w:rFonts w:ascii="Palatino Linotype" w:eastAsia="Palatino Linotype" w:hAnsi="Palatino Linotype" w:cs="Palatino Linotype"/>
          <w:i/>
          <w:iCs/>
          <w:color w:val="000000"/>
          <w:sz w:val="24"/>
          <w:szCs w:val="24"/>
        </w:rPr>
      </w:pPr>
      <w:r w:rsidRPr="00054F1A">
        <w:rPr>
          <w:rFonts w:ascii="Palatino Linotype" w:eastAsia="Palatino Linotype" w:hAnsi="Palatino Linotype" w:cs="Palatino Linotype"/>
          <w:i/>
          <w:iCs/>
          <w:color w:val="000000"/>
          <w:sz w:val="24"/>
          <w:szCs w:val="24"/>
        </w:rPr>
        <w:t>II. ANTECEDENTES</w:t>
      </w:r>
    </w:p>
    <w:p w14:paraId="398CF4AF"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PRIMERO.</w:t>
      </w:r>
      <w:r w:rsidRPr="00054F1A">
        <w:rPr>
          <w:rFonts w:ascii="Palatino Linotype" w:eastAsia="Palatino Linotype" w:hAnsi="Palatino Linotype" w:cs="Palatino Linotype"/>
          <w:i/>
          <w:iCs/>
          <w:color w:val="000000"/>
        </w:rPr>
        <w:t xml:space="preserve"> Presenté solicitud de acceso a la información pública ante la Gubernatura del Estado de México, solicitando los documentos, registros, soportes documentales, bases de datos y demás elementos que sustentan el informe referido por dicha autoridad.</w:t>
      </w:r>
    </w:p>
    <w:p w14:paraId="6F939E9C"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SEGUNDO.</w:t>
      </w:r>
      <w:r w:rsidRPr="00054F1A">
        <w:rPr>
          <w:rFonts w:ascii="Palatino Linotype" w:eastAsia="Palatino Linotype" w:hAnsi="Palatino Linotype" w:cs="Palatino Linotype"/>
          <w:i/>
          <w:iCs/>
          <w:color w:val="000000"/>
        </w:rPr>
        <w:t xml:space="preserve"> El sujeto obligado emitió respuesta mediante oficio UTG/00233/2025, manifestando la inexistencia de la información solicitada, argumentando que su entrega implicaría generar un documento nuevo.</w:t>
      </w:r>
    </w:p>
    <w:p w14:paraId="0D38B9FD"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TERCERO.</w:t>
      </w:r>
      <w:r w:rsidRPr="00054F1A">
        <w:rPr>
          <w:rFonts w:ascii="Palatino Linotype" w:eastAsia="Palatino Linotype" w:hAnsi="Palatino Linotype" w:cs="Palatino Linotype"/>
          <w:i/>
          <w:iCs/>
          <w:color w:val="000000"/>
        </w:rPr>
        <w:t xml:space="preserve"> La respuesta es ilegal, ya que no acredita una búsqueda exhaustiva ni cumple con los criterios establecidos por la Ley de Transparencia ni por los precedentes obligatorios emitidos por el INFOEM.</w:t>
      </w:r>
    </w:p>
    <w:p w14:paraId="5443E75D" w14:textId="77777777" w:rsidR="00ED4C33" w:rsidRPr="00054F1A" w:rsidRDefault="00191702">
      <w:pPr>
        <w:pStyle w:val="Ttulo2"/>
        <w:spacing w:line="240" w:lineRule="auto"/>
        <w:ind w:left="1134" w:right="963"/>
        <w:jc w:val="both"/>
        <w:rPr>
          <w:rFonts w:ascii="Palatino Linotype" w:eastAsia="Palatino Linotype" w:hAnsi="Palatino Linotype" w:cs="Palatino Linotype"/>
          <w:i/>
          <w:iCs/>
          <w:color w:val="000000"/>
          <w:sz w:val="24"/>
          <w:szCs w:val="24"/>
        </w:rPr>
      </w:pPr>
      <w:r w:rsidRPr="00054F1A">
        <w:rPr>
          <w:rFonts w:ascii="Palatino Linotype" w:eastAsia="Palatino Linotype" w:hAnsi="Palatino Linotype" w:cs="Palatino Linotype"/>
          <w:i/>
          <w:iCs/>
          <w:color w:val="000000"/>
          <w:sz w:val="24"/>
          <w:szCs w:val="24"/>
        </w:rPr>
        <w:t>III. AGRAVIOS</w:t>
      </w:r>
    </w:p>
    <w:p w14:paraId="4C0FCD6D" w14:textId="77777777" w:rsidR="00ED4C33" w:rsidRPr="00054F1A" w:rsidRDefault="00191702">
      <w:pPr>
        <w:pStyle w:val="Ttulo3"/>
        <w:ind w:left="1134" w:right="963"/>
        <w:jc w:val="both"/>
        <w:rPr>
          <w:rFonts w:ascii="Palatino Linotype" w:eastAsia="Palatino Linotype" w:hAnsi="Palatino Linotype" w:cs="Palatino Linotype"/>
          <w:i/>
          <w:iCs/>
          <w:sz w:val="24"/>
          <w:szCs w:val="24"/>
        </w:rPr>
      </w:pPr>
      <w:r w:rsidRPr="00054F1A">
        <w:rPr>
          <w:rFonts w:ascii="Palatino Linotype" w:eastAsia="Palatino Linotype" w:hAnsi="Palatino Linotype" w:cs="Palatino Linotype"/>
          <w:i/>
          <w:iCs/>
          <w:sz w:val="24"/>
          <w:szCs w:val="24"/>
        </w:rPr>
        <w:t>PRIMER AGRAVIO</w:t>
      </w:r>
    </w:p>
    <w:p w14:paraId="1548A4FE"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DECLARATORIA DE INEXISTENCIA SIN ACREDITAR BÚSQUEDA EXHAUSTIVA, EN VIOLACIÓN AL CRITERIO REITERADO DEL INFOEM</w:t>
      </w:r>
    </w:p>
    <w:p w14:paraId="1EEE6850"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El INFOEM ha sostenido de manera reiterada que la inexistencia de la información debe estar plenamente acreditada mediante una búsqueda exhaustiva.</w:t>
      </w:r>
    </w:p>
    <w:p w14:paraId="3B2475D7"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lastRenderedPageBreak/>
        <w:t xml:space="preserve">En la resolución del recurso de revisión </w:t>
      </w:r>
      <w:r w:rsidRPr="00054F1A">
        <w:rPr>
          <w:rFonts w:ascii="Palatino Linotype" w:eastAsia="Palatino Linotype" w:hAnsi="Palatino Linotype" w:cs="Palatino Linotype"/>
          <w:b/>
          <w:bCs/>
          <w:i/>
          <w:iCs/>
          <w:color w:val="000000"/>
        </w:rPr>
        <w:t>RR/0419/2018</w:t>
      </w:r>
      <w:r w:rsidRPr="00054F1A">
        <w:rPr>
          <w:rFonts w:ascii="Palatino Linotype" w:eastAsia="Palatino Linotype" w:hAnsi="Palatino Linotype" w:cs="Palatino Linotype"/>
          <w:i/>
          <w:iCs/>
          <w:color w:val="000000"/>
        </w:rPr>
        <w:t>, el INFOEM determinó que:</w:t>
      </w:r>
    </w:p>
    <w:p w14:paraId="00C99C77"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"La inexistencia de la información no se acredita con la simple manifestación del sujeto obligado, sino que debe demostrarse que se realizó una búsqueda exhaustiva en todas las unidades administrativas competentes."</w:t>
      </w:r>
    </w:p>
    <w:p w14:paraId="51842F29"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 xml:space="preserve">Asimismo, en la resolución </w:t>
      </w:r>
      <w:r w:rsidRPr="00054F1A">
        <w:rPr>
          <w:rFonts w:ascii="Palatino Linotype" w:eastAsia="Palatino Linotype" w:hAnsi="Palatino Linotype" w:cs="Palatino Linotype"/>
          <w:b/>
          <w:bCs/>
          <w:i/>
          <w:iCs/>
          <w:color w:val="000000"/>
        </w:rPr>
        <w:t>RR/1583/2019</w:t>
      </w:r>
      <w:r w:rsidRPr="00054F1A">
        <w:rPr>
          <w:rFonts w:ascii="Palatino Linotype" w:eastAsia="Palatino Linotype" w:hAnsi="Palatino Linotype" w:cs="Palatino Linotype"/>
          <w:i/>
          <w:iCs/>
          <w:color w:val="000000"/>
        </w:rPr>
        <w:t>, el INFOEM resolvió:</w:t>
      </w:r>
    </w:p>
    <w:p w14:paraId="57121EFF"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"El sujeto obligado debe acreditar de manera fundada y motivada el procedimiento de búsqueda, señalando las unidades administrativas consultadas, los archivos revisados y las razones jurídicas de la inexistencia."</w:t>
      </w:r>
    </w:p>
    <w:p w14:paraId="6D3BFF8A"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En el presente caso, el sujeto obligado no acredita:</w:t>
      </w:r>
    </w:p>
    <w:p w14:paraId="31C74858" w14:textId="77777777" w:rsidR="00ED4C33" w:rsidRPr="00054F1A" w:rsidRDefault="00191702">
      <w:pPr>
        <w:numPr>
          <w:ilvl w:val="0"/>
          <w:numId w:val="4"/>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Qué unidades administrativas fueron consultadas</w:t>
      </w:r>
    </w:p>
    <w:p w14:paraId="452F3182" w14:textId="77777777" w:rsidR="00ED4C33" w:rsidRPr="00054F1A" w:rsidRDefault="00191702">
      <w:pPr>
        <w:numPr>
          <w:ilvl w:val="0"/>
          <w:numId w:val="4"/>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Qué archivos fueron revisados</w:t>
      </w:r>
    </w:p>
    <w:p w14:paraId="3E8B2464" w14:textId="77777777" w:rsidR="00ED4C33" w:rsidRPr="00054F1A" w:rsidRDefault="00191702">
      <w:pPr>
        <w:numPr>
          <w:ilvl w:val="0"/>
          <w:numId w:val="4"/>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Qué servidores públicos realizaron la búsqueda</w:t>
      </w:r>
    </w:p>
    <w:p w14:paraId="7AFFD3D6" w14:textId="77777777" w:rsidR="00ED4C33" w:rsidRPr="00054F1A" w:rsidRDefault="00191702">
      <w:pPr>
        <w:numPr>
          <w:ilvl w:val="0"/>
          <w:numId w:val="4"/>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Qué procedimiento se siguió</w:t>
      </w:r>
    </w:p>
    <w:p w14:paraId="436EABD5"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Por lo tanto, la inexistencia declarada carece de validez jurídica.</w:t>
      </w:r>
    </w:p>
    <w:p w14:paraId="07C2E439" w14:textId="77777777" w:rsidR="00ED4C33" w:rsidRPr="00054F1A" w:rsidRDefault="00191702">
      <w:pPr>
        <w:pStyle w:val="Ttulo3"/>
        <w:ind w:left="1134" w:right="963"/>
        <w:jc w:val="both"/>
        <w:rPr>
          <w:rFonts w:ascii="Palatino Linotype" w:eastAsia="Palatino Linotype" w:hAnsi="Palatino Linotype" w:cs="Palatino Linotype"/>
          <w:i/>
          <w:iCs/>
          <w:sz w:val="24"/>
          <w:szCs w:val="24"/>
        </w:rPr>
      </w:pPr>
      <w:r w:rsidRPr="00054F1A">
        <w:rPr>
          <w:rFonts w:ascii="Palatino Linotype" w:eastAsia="Palatino Linotype" w:hAnsi="Palatino Linotype" w:cs="Palatino Linotype"/>
          <w:i/>
          <w:iCs/>
          <w:sz w:val="24"/>
          <w:szCs w:val="24"/>
        </w:rPr>
        <w:t>SEGUNDO AGRAVIO</w:t>
      </w:r>
    </w:p>
    <w:p w14:paraId="5ABA0A04"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VIOLACIÓN AL PRINCIPIO DE MÁXIMA PUBLICIDAD RECONOCIDO POR EL INFOEM</w:t>
      </w:r>
    </w:p>
    <w:p w14:paraId="2E1F14D8"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 xml:space="preserve">El INFOEM, en la resolución </w:t>
      </w:r>
      <w:r w:rsidRPr="00054F1A">
        <w:rPr>
          <w:rFonts w:ascii="Palatino Linotype" w:eastAsia="Palatino Linotype" w:hAnsi="Palatino Linotype" w:cs="Palatino Linotype"/>
          <w:b/>
          <w:bCs/>
          <w:i/>
          <w:iCs/>
          <w:color w:val="000000"/>
        </w:rPr>
        <w:t>RR/0724/2020</w:t>
      </w:r>
      <w:r w:rsidRPr="00054F1A">
        <w:rPr>
          <w:rFonts w:ascii="Palatino Linotype" w:eastAsia="Palatino Linotype" w:hAnsi="Palatino Linotype" w:cs="Palatino Linotype"/>
          <w:i/>
          <w:iCs/>
          <w:color w:val="000000"/>
        </w:rPr>
        <w:t>, estableció que:</w:t>
      </w:r>
    </w:p>
    <w:p w14:paraId="796F70B1"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"El derecho de acceso a la información se rige por el principio de máxima publicidad, por lo que cualquier interpretación debe favorecer el acceso a la información."</w:t>
      </w:r>
    </w:p>
    <w:p w14:paraId="4343286B"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La autoridad, al negar la información sin acreditar la inexistencia real, vulnera directamente este principio.</w:t>
      </w:r>
    </w:p>
    <w:p w14:paraId="02725CED" w14:textId="77777777" w:rsidR="00ED4C33" w:rsidRPr="00054F1A" w:rsidRDefault="00191702">
      <w:pPr>
        <w:pStyle w:val="Ttulo3"/>
        <w:ind w:left="1134" w:right="963"/>
        <w:jc w:val="both"/>
        <w:rPr>
          <w:rFonts w:ascii="Palatino Linotype" w:eastAsia="Palatino Linotype" w:hAnsi="Palatino Linotype" w:cs="Palatino Linotype"/>
          <w:i/>
          <w:iCs/>
          <w:sz w:val="24"/>
          <w:szCs w:val="24"/>
        </w:rPr>
      </w:pPr>
      <w:r w:rsidRPr="00054F1A">
        <w:rPr>
          <w:rFonts w:ascii="Palatino Linotype" w:eastAsia="Palatino Linotype" w:hAnsi="Palatino Linotype" w:cs="Palatino Linotype"/>
          <w:i/>
          <w:iCs/>
          <w:sz w:val="24"/>
          <w:szCs w:val="24"/>
        </w:rPr>
        <w:t>TERCER AGRAVIO</w:t>
      </w:r>
    </w:p>
    <w:p w14:paraId="7863B195"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INCUMPLIMIENTO DE LA OBLIGACIÓN DE DOCUMENTAR LOS ACTOS DE AUTORIDAD, CONFORME AL CRITERIO DEL INFOEM</w:t>
      </w:r>
    </w:p>
    <w:p w14:paraId="23A097E5"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 xml:space="preserve">El INFOEM, en la resolución </w:t>
      </w:r>
      <w:r w:rsidRPr="00054F1A">
        <w:rPr>
          <w:rFonts w:ascii="Palatino Linotype" w:eastAsia="Palatino Linotype" w:hAnsi="Palatino Linotype" w:cs="Palatino Linotype"/>
          <w:b/>
          <w:bCs/>
          <w:i/>
          <w:iCs/>
          <w:color w:val="000000"/>
        </w:rPr>
        <w:t>RR/2145/2021</w:t>
      </w:r>
      <w:r w:rsidRPr="00054F1A">
        <w:rPr>
          <w:rFonts w:ascii="Palatino Linotype" w:eastAsia="Palatino Linotype" w:hAnsi="Palatino Linotype" w:cs="Palatino Linotype"/>
          <w:i/>
          <w:iCs/>
          <w:color w:val="000000"/>
        </w:rPr>
        <w:t>, determinó:</w:t>
      </w:r>
    </w:p>
    <w:p w14:paraId="62EFF2D9"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"Los sujetos obligados tienen la responsabilidad de documentar todo acto derivado del ejercicio de sus atribuciones, por lo que no pueden declarar la inexistencia de información que debió generarse en el ejercicio de sus funciones."</w:t>
      </w:r>
    </w:p>
    <w:p w14:paraId="2A4453B0"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En el presente caso, si el sujeto obligado elaboró o utilizó información para generar informes, necesariamente existen documentos fuente.</w:t>
      </w:r>
    </w:p>
    <w:p w14:paraId="1A4B4D26"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La inexistencia implica:</w:t>
      </w:r>
    </w:p>
    <w:p w14:paraId="55DB65D9" w14:textId="77777777" w:rsidR="00ED4C33" w:rsidRPr="00054F1A" w:rsidRDefault="00191702">
      <w:pPr>
        <w:numPr>
          <w:ilvl w:val="0"/>
          <w:numId w:val="5"/>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Una búsqueda deficiente, o</w:t>
      </w:r>
    </w:p>
    <w:p w14:paraId="5CDF14C4" w14:textId="77777777" w:rsidR="00ED4C33" w:rsidRPr="00054F1A" w:rsidRDefault="00191702">
      <w:pPr>
        <w:numPr>
          <w:ilvl w:val="0"/>
          <w:numId w:val="5"/>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El incumplimiento de la obligación legal de documentar sus actos</w:t>
      </w:r>
    </w:p>
    <w:p w14:paraId="752C825C"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lastRenderedPageBreak/>
        <w:t>Ambas situaciones constituyen violaciones a la Ley.</w:t>
      </w:r>
    </w:p>
    <w:p w14:paraId="4791F77C" w14:textId="77777777" w:rsidR="00ED4C33" w:rsidRPr="00054F1A" w:rsidRDefault="00191702">
      <w:pPr>
        <w:pStyle w:val="Ttulo3"/>
        <w:ind w:left="1134" w:right="963"/>
        <w:jc w:val="both"/>
        <w:rPr>
          <w:rFonts w:ascii="Palatino Linotype" w:eastAsia="Palatino Linotype" w:hAnsi="Palatino Linotype" w:cs="Palatino Linotype"/>
          <w:i/>
          <w:iCs/>
          <w:sz w:val="24"/>
          <w:szCs w:val="24"/>
        </w:rPr>
      </w:pPr>
      <w:r w:rsidRPr="00054F1A">
        <w:rPr>
          <w:rFonts w:ascii="Palatino Linotype" w:eastAsia="Palatino Linotype" w:hAnsi="Palatino Linotype" w:cs="Palatino Linotype"/>
          <w:i/>
          <w:iCs/>
          <w:sz w:val="24"/>
          <w:szCs w:val="24"/>
        </w:rPr>
        <w:t>CUARTO AGRAVIO</w:t>
      </w:r>
    </w:p>
    <w:p w14:paraId="45D037D3"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CRITERIO DEL INFOEM QUE PROHÍBE NEGAR INFORMACIÓN BAJO EL ARGUMENTO DE QUE IMPLICARÍA GENERAR UN DOCUMENTO NUEVO</w:t>
      </w:r>
    </w:p>
    <w:p w14:paraId="5FFA6315"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 xml:space="preserve">En la resolución </w:t>
      </w:r>
      <w:r w:rsidRPr="00054F1A">
        <w:rPr>
          <w:rFonts w:ascii="Palatino Linotype" w:eastAsia="Palatino Linotype" w:hAnsi="Palatino Linotype" w:cs="Palatino Linotype"/>
          <w:b/>
          <w:bCs/>
          <w:i/>
          <w:iCs/>
          <w:color w:val="000000"/>
        </w:rPr>
        <w:t>RR/0987/2020</w:t>
      </w:r>
      <w:r w:rsidRPr="00054F1A">
        <w:rPr>
          <w:rFonts w:ascii="Palatino Linotype" w:eastAsia="Palatino Linotype" w:hAnsi="Palatino Linotype" w:cs="Palatino Linotype"/>
          <w:i/>
          <w:iCs/>
          <w:color w:val="000000"/>
        </w:rPr>
        <w:t>, el INFOEM estableció:</w:t>
      </w:r>
    </w:p>
    <w:p w14:paraId="23B7F6C5"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"El sujeto obligado no puede negar el acceso a información existente bajo el argumento de que su entrega implica procesarla, sistematizarla o integrarla, ya que ello forma parte de su obligación de garantizar el acceso a la información."</w:t>
      </w:r>
    </w:p>
    <w:p w14:paraId="6382AABF"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El suscrito no solicitó la creación de información nueva, sino el acceso a los documentos existentes que sustentan el informe referido.</w:t>
      </w:r>
    </w:p>
    <w:p w14:paraId="26DD50A8"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Por lo tanto, la respuesta del sujeto obligado constituye una negativa ilegal.</w:t>
      </w:r>
    </w:p>
    <w:p w14:paraId="136C0CC2" w14:textId="77777777" w:rsidR="00ED4C33" w:rsidRPr="00054F1A" w:rsidRDefault="00191702">
      <w:pPr>
        <w:pStyle w:val="Ttulo3"/>
        <w:ind w:left="1134" w:right="963"/>
        <w:jc w:val="both"/>
        <w:rPr>
          <w:rFonts w:ascii="Palatino Linotype" w:eastAsia="Palatino Linotype" w:hAnsi="Palatino Linotype" w:cs="Palatino Linotype"/>
          <w:i/>
          <w:iCs/>
          <w:sz w:val="24"/>
          <w:szCs w:val="24"/>
        </w:rPr>
      </w:pPr>
      <w:r w:rsidRPr="00054F1A">
        <w:rPr>
          <w:rFonts w:ascii="Palatino Linotype" w:eastAsia="Palatino Linotype" w:hAnsi="Palatino Linotype" w:cs="Palatino Linotype"/>
          <w:i/>
          <w:iCs/>
          <w:sz w:val="24"/>
          <w:szCs w:val="24"/>
        </w:rPr>
        <w:t>QUINTO AGRAVIO</w:t>
      </w:r>
    </w:p>
    <w:p w14:paraId="33322C25"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VIOLACIÓN A LOS ARTÍCULOS 14, 16 Y 6º CONSTITUCIONALES</w:t>
      </w:r>
    </w:p>
    <w:p w14:paraId="26D44DBA"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La respuesta carece de:</w:t>
      </w:r>
    </w:p>
    <w:p w14:paraId="39B69A95" w14:textId="77777777" w:rsidR="00ED4C33" w:rsidRPr="00054F1A" w:rsidRDefault="00191702">
      <w:pPr>
        <w:numPr>
          <w:ilvl w:val="0"/>
          <w:numId w:val="6"/>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Fundamentación suficiente</w:t>
      </w:r>
    </w:p>
    <w:p w14:paraId="2D5520F2" w14:textId="77777777" w:rsidR="00ED4C33" w:rsidRPr="00054F1A" w:rsidRDefault="00191702">
      <w:pPr>
        <w:numPr>
          <w:ilvl w:val="0"/>
          <w:numId w:val="6"/>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Motivación adecuada</w:t>
      </w:r>
    </w:p>
    <w:p w14:paraId="35DD9D16" w14:textId="77777777" w:rsidR="00ED4C33" w:rsidRPr="00054F1A" w:rsidRDefault="00191702">
      <w:pPr>
        <w:numPr>
          <w:ilvl w:val="0"/>
          <w:numId w:val="6"/>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Exhaustividad</w:t>
      </w:r>
    </w:p>
    <w:p w14:paraId="11E01F2D" w14:textId="77777777" w:rsidR="00ED4C33" w:rsidRPr="00054F1A" w:rsidRDefault="00191702">
      <w:pPr>
        <w:numPr>
          <w:ilvl w:val="0"/>
          <w:numId w:val="6"/>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Legalidad</w:t>
      </w:r>
    </w:p>
    <w:p w14:paraId="5E18AE14"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Lo que viola el principio de seguridad jurídica reconocido constitucionalmente.</w:t>
      </w:r>
    </w:p>
    <w:p w14:paraId="73DB1FF6" w14:textId="77777777" w:rsidR="00ED4C33" w:rsidRPr="00054F1A" w:rsidRDefault="00191702">
      <w:pPr>
        <w:pStyle w:val="Ttulo2"/>
        <w:spacing w:line="240" w:lineRule="auto"/>
        <w:ind w:left="1134" w:right="963"/>
        <w:jc w:val="both"/>
        <w:rPr>
          <w:rFonts w:ascii="Palatino Linotype" w:eastAsia="Palatino Linotype" w:hAnsi="Palatino Linotype" w:cs="Palatino Linotype"/>
          <w:i/>
          <w:iCs/>
          <w:color w:val="000000"/>
          <w:sz w:val="24"/>
          <w:szCs w:val="24"/>
        </w:rPr>
      </w:pPr>
      <w:r w:rsidRPr="00054F1A">
        <w:rPr>
          <w:rFonts w:ascii="Palatino Linotype" w:eastAsia="Palatino Linotype" w:hAnsi="Palatino Linotype" w:cs="Palatino Linotype"/>
          <w:i/>
          <w:iCs/>
          <w:color w:val="000000"/>
          <w:sz w:val="24"/>
          <w:szCs w:val="24"/>
        </w:rPr>
        <w:t>IV. PRUEBAS</w:t>
      </w:r>
    </w:p>
    <w:p w14:paraId="38661362"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b/>
          <w:bCs/>
          <w:i/>
          <w:iCs/>
          <w:color w:val="000000"/>
        </w:rPr>
        <w:t>DOCUMENTAL PÚBLICA</w:t>
      </w:r>
    </w:p>
    <w:p w14:paraId="3F02698C"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Consistente en el oficio número UTG/00233/2025 emitido por la Gubernatura del Estado de México, el cual se acompaña al presente recurso.</w:t>
      </w:r>
    </w:p>
    <w:p w14:paraId="5A97FC9F" w14:textId="77777777" w:rsidR="00ED4C33" w:rsidRPr="00054F1A" w:rsidRDefault="00191702">
      <w:pPr>
        <w:pStyle w:val="Ttulo2"/>
        <w:spacing w:line="240" w:lineRule="auto"/>
        <w:ind w:left="1134" w:right="963"/>
        <w:jc w:val="both"/>
        <w:rPr>
          <w:rFonts w:ascii="Palatino Linotype" w:eastAsia="Palatino Linotype" w:hAnsi="Palatino Linotype" w:cs="Palatino Linotype"/>
          <w:i/>
          <w:iCs/>
          <w:color w:val="000000"/>
          <w:sz w:val="24"/>
          <w:szCs w:val="24"/>
        </w:rPr>
      </w:pPr>
      <w:r w:rsidRPr="00054F1A">
        <w:rPr>
          <w:rFonts w:ascii="Palatino Linotype" w:eastAsia="Palatino Linotype" w:hAnsi="Palatino Linotype" w:cs="Palatino Linotype"/>
          <w:i/>
          <w:iCs/>
          <w:color w:val="000000"/>
          <w:sz w:val="24"/>
          <w:szCs w:val="24"/>
        </w:rPr>
        <w:t>V. DERECHO</w:t>
      </w:r>
    </w:p>
    <w:p w14:paraId="13C334A9"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Son aplicables:</w:t>
      </w:r>
    </w:p>
    <w:p w14:paraId="42C7E327" w14:textId="77777777" w:rsidR="00ED4C33" w:rsidRPr="00054F1A" w:rsidRDefault="00191702">
      <w:pPr>
        <w:numPr>
          <w:ilvl w:val="0"/>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Artículo 6º de la Constitución Política de los Estados Unidos Mexicanos</w:t>
      </w:r>
    </w:p>
    <w:p w14:paraId="09622C02" w14:textId="77777777" w:rsidR="00ED4C33" w:rsidRPr="00054F1A" w:rsidRDefault="00191702">
      <w:pPr>
        <w:numPr>
          <w:ilvl w:val="0"/>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Artículos 176, 177, 178, 179, 180 y demás relativos de la Ley de Transparencia del Estado de México</w:t>
      </w:r>
    </w:p>
    <w:p w14:paraId="163EFE3A" w14:textId="77777777" w:rsidR="00ED4C33" w:rsidRPr="00054F1A" w:rsidRDefault="00191702">
      <w:pPr>
        <w:numPr>
          <w:ilvl w:val="0"/>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Criterios y precedentes emitidos por el INFOEM en los recursos de revisión:</w:t>
      </w:r>
    </w:p>
    <w:p w14:paraId="09ABC513" w14:textId="77777777" w:rsidR="00ED4C33" w:rsidRPr="00054F1A" w:rsidRDefault="00191702">
      <w:pPr>
        <w:numPr>
          <w:ilvl w:val="1"/>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RR/0419/2018</w:t>
      </w:r>
    </w:p>
    <w:p w14:paraId="1DB420C1" w14:textId="77777777" w:rsidR="00ED4C33" w:rsidRPr="00054F1A" w:rsidRDefault="00191702">
      <w:pPr>
        <w:numPr>
          <w:ilvl w:val="1"/>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RR/1583/2019</w:t>
      </w:r>
    </w:p>
    <w:p w14:paraId="22593E18" w14:textId="77777777" w:rsidR="00ED4C33" w:rsidRPr="00054F1A" w:rsidRDefault="00191702">
      <w:pPr>
        <w:numPr>
          <w:ilvl w:val="1"/>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RR/0724/2020</w:t>
      </w:r>
    </w:p>
    <w:p w14:paraId="54AFD81D" w14:textId="77777777" w:rsidR="00ED4C33" w:rsidRPr="00054F1A" w:rsidRDefault="00191702">
      <w:pPr>
        <w:numPr>
          <w:ilvl w:val="1"/>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RR/0987/2020</w:t>
      </w:r>
    </w:p>
    <w:p w14:paraId="7902AF9E" w14:textId="77777777" w:rsidR="00ED4C33" w:rsidRPr="00054F1A" w:rsidRDefault="00191702">
      <w:pPr>
        <w:numPr>
          <w:ilvl w:val="1"/>
          <w:numId w:val="7"/>
        </w:numPr>
        <w:pBdr>
          <w:top w:val="nil"/>
          <w:left w:val="nil"/>
          <w:bottom w:val="nil"/>
          <w:right w:val="nil"/>
          <w:between w:val="nil"/>
        </w:pBdr>
        <w:ind w:left="1134" w:right="963" w:firstLine="0"/>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lastRenderedPageBreak/>
        <w:t>RR/2145/2021</w:t>
      </w:r>
    </w:p>
    <w:p w14:paraId="77182D7E" w14:textId="77777777" w:rsidR="00ED4C33" w:rsidRPr="00054F1A" w:rsidRDefault="00ED4C33">
      <w:pPr>
        <w:ind w:left="1134" w:right="963"/>
        <w:jc w:val="both"/>
        <w:rPr>
          <w:rFonts w:ascii="Palatino Linotype" w:eastAsia="Palatino Linotype" w:hAnsi="Palatino Linotype" w:cs="Palatino Linotype"/>
          <w:i/>
          <w:iCs/>
        </w:rPr>
      </w:pPr>
    </w:p>
    <w:p w14:paraId="75962698" w14:textId="77777777" w:rsidR="00ED4C33" w:rsidRPr="00054F1A" w:rsidRDefault="00191702">
      <w:pPr>
        <w:pStyle w:val="Ttulo2"/>
        <w:spacing w:line="240" w:lineRule="auto"/>
        <w:ind w:left="1134" w:right="963"/>
        <w:jc w:val="both"/>
        <w:rPr>
          <w:rFonts w:ascii="Palatino Linotype" w:eastAsia="Palatino Linotype" w:hAnsi="Palatino Linotype" w:cs="Palatino Linotype"/>
          <w:i/>
          <w:iCs/>
          <w:color w:val="000000"/>
          <w:sz w:val="24"/>
          <w:szCs w:val="24"/>
        </w:rPr>
      </w:pPr>
      <w:r w:rsidRPr="00054F1A">
        <w:rPr>
          <w:rFonts w:ascii="Palatino Linotype" w:eastAsia="Palatino Linotype" w:hAnsi="Palatino Linotype" w:cs="Palatino Linotype"/>
          <w:i/>
          <w:iCs/>
          <w:color w:val="000000"/>
          <w:sz w:val="24"/>
          <w:szCs w:val="24"/>
        </w:rPr>
        <w:t>VI. PUNTOS PETITORIOS</w:t>
      </w:r>
    </w:p>
    <w:p w14:paraId="1C537DBF"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PRIMERO. Tenerme por presentado interponiendo Recurso de Revisión.</w:t>
      </w:r>
    </w:p>
    <w:p w14:paraId="4A0BCAD9"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SEGUNDO. Admitir el presente recurso.</w:t>
      </w:r>
    </w:p>
    <w:p w14:paraId="4171C518"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TERCERO. Declarar FUNDADO el presente recurso, conforme a los criterios reiterados del INFOEM.</w:t>
      </w:r>
    </w:p>
    <w:p w14:paraId="44A2F087"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CUARTO. REVOCAR la respuesta emitida mediante oficio UTG/00233/2025.</w:t>
      </w:r>
    </w:p>
    <w:p w14:paraId="39F23778"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QUINTO. ORDENAR al sujeto obligado realizar una búsqueda exhaustiva en todas sus unidades administrativas.</w:t>
      </w:r>
    </w:p>
    <w:p w14:paraId="1C46DAED"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SEXTO. ORDENAR la entrega de todos los documentos, registros, archivos, bases de datos y soportes documentales existentes.</w:t>
      </w:r>
    </w:p>
    <w:p w14:paraId="654971E3" w14:textId="77777777" w:rsidR="00ED4C33" w:rsidRPr="00054F1A" w:rsidRDefault="00191702">
      <w:pPr>
        <w:pBdr>
          <w:top w:val="nil"/>
          <w:left w:val="nil"/>
          <w:bottom w:val="nil"/>
          <w:right w:val="nil"/>
          <w:between w:val="nil"/>
        </w:pBdr>
        <w:ind w:left="1134" w:right="963"/>
        <w:jc w:val="both"/>
        <w:rPr>
          <w:rFonts w:ascii="Palatino Linotype" w:eastAsia="Palatino Linotype" w:hAnsi="Palatino Linotype" w:cs="Palatino Linotype"/>
          <w:i/>
          <w:iCs/>
          <w:color w:val="000000"/>
        </w:rPr>
      </w:pPr>
      <w:r w:rsidRPr="00054F1A">
        <w:rPr>
          <w:rFonts w:ascii="Palatino Linotype" w:eastAsia="Palatino Linotype" w:hAnsi="Palatino Linotype" w:cs="Palatino Linotype"/>
          <w:i/>
          <w:iCs/>
          <w:color w:val="000000"/>
        </w:rPr>
        <w:t>SÉPTIMO. En caso de insistir en la inexistencia, ORDENAR la emisión de acta formal del Comité de Transparencia debidamente fundada y motivada.</w:t>
      </w:r>
    </w:p>
    <w:p w14:paraId="4DA30FB8" w14:textId="77777777" w:rsidR="00690CBA" w:rsidRPr="00054F1A" w:rsidRDefault="00690CBA">
      <w:pPr>
        <w:pBdr>
          <w:top w:val="nil"/>
          <w:left w:val="nil"/>
          <w:bottom w:val="nil"/>
          <w:right w:val="nil"/>
          <w:between w:val="nil"/>
        </w:pBdr>
        <w:ind w:left="1134" w:right="963"/>
        <w:jc w:val="both"/>
        <w:rPr>
          <w:rFonts w:ascii="Palatino Linotype" w:eastAsia="Palatino Linotype" w:hAnsi="Palatino Linotype" w:cs="Palatino Linotype"/>
          <w:i/>
          <w:iCs/>
          <w:color w:val="000000"/>
        </w:rPr>
      </w:pPr>
    </w:p>
    <w:p w14:paraId="039EE229" w14:textId="77777777" w:rsidR="00ED4C33" w:rsidRPr="00054F1A" w:rsidRDefault="00191702">
      <w:pPr>
        <w:ind w:left="567" w:right="680"/>
        <w:jc w:val="both"/>
        <w:rPr>
          <w:rFonts w:ascii="Palatino Linotype" w:eastAsia="Palatino Linotype" w:hAnsi="Palatino Linotype" w:cs="Palatino Linotype"/>
          <w:b/>
          <w:bCs/>
        </w:rPr>
      </w:pPr>
      <w:r w:rsidRPr="00054F1A">
        <w:rPr>
          <w:rFonts w:ascii="Palatino Linotype" w:eastAsia="Palatino Linotype" w:hAnsi="Palatino Linotype" w:cs="Palatino Linotype"/>
        </w:rPr>
        <w:t>-</w:t>
      </w:r>
      <w:hyperlink r:id="rId16">
        <w:r w:rsidRPr="00054F1A">
          <w:rPr>
            <w:rFonts w:ascii="Palatino Linotype" w:eastAsia="Palatino Linotype" w:hAnsi="Palatino Linotype" w:cs="Palatino Linotype"/>
            <w:b/>
            <w:bCs/>
            <w:color w:val="000000"/>
          </w:rPr>
          <w:t>La respuesta emitida por el sujeto obligado median.docx</w:t>
        </w:r>
      </w:hyperlink>
      <w:r w:rsidRPr="00054F1A">
        <w:rPr>
          <w:rFonts w:ascii="Palatino Linotype" w:eastAsia="Palatino Linotype" w:hAnsi="Palatino Linotype" w:cs="Palatino Linotype"/>
        </w:rPr>
        <w:t xml:space="preserve">: Documento consistente en el oficio de respuesta emitido por el </w:t>
      </w:r>
      <w:r w:rsidRPr="00054F1A">
        <w:rPr>
          <w:rFonts w:ascii="Palatino Linotype" w:eastAsia="Palatino Linotype" w:hAnsi="Palatino Linotype" w:cs="Palatino Linotype"/>
          <w:b/>
          <w:bCs/>
        </w:rPr>
        <w:t>SUJETO OBLIGADO.</w:t>
      </w:r>
    </w:p>
    <w:p w14:paraId="0156E9FC" w14:textId="77777777" w:rsidR="00ED4C33" w:rsidRDefault="00ED4C33">
      <w:pPr>
        <w:ind w:right="-28"/>
        <w:jc w:val="both"/>
        <w:rPr>
          <w:rFonts w:ascii="Palatino Linotype" w:eastAsia="Palatino Linotype" w:hAnsi="Palatino Linotype" w:cs="Palatino Linotype"/>
        </w:rPr>
      </w:pPr>
    </w:p>
    <w:p w14:paraId="718A25C1" w14:textId="77777777" w:rsidR="00054F1A" w:rsidRPr="00054F1A" w:rsidRDefault="00054F1A">
      <w:pPr>
        <w:ind w:right="-28"/>
        <w:jc w:val="both"/>
        <w:rPr>
          <w:rFonts w:ascii="Palatino Linotype" w:eastAsia="Palatino Linotype" w:hAnsi="Palatino Linotype" w:cs="Palatino Linotype"/>
        </w:rPr>
      </w:pPr>
    </w:p>
    <w:p w14:paraId="7E5B06AA" w14:textId="392F9594"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La Comisionada Ponente decretó el cierre de instrucción mediante el acuerdo del veintinueve de octubre de dos mil veinticinco. </w:t>
      </w:r>
    </w:p>
    <w:p w14:paraId="051BA8B7" w14:textId="77777777" w:rsidR="00ED4C33" w:rsidRPr="00054F1A" w:rsidRDefault="00ED4C33">
      <w:pPr>
        <w:ind w:right="-28"/>
        <w:jc w:val="both"/>
        <w:rPr>
          <w:rFonts w:ascii="Palatino Linotype" w:eastAsia="Palatino Linotype" w:hAnsi="Palatino Linotype" w:cs="Palatino Linotype"/>
        </w:rPr>
      </w:pPr>
    </w:p>
    <w:p w14:paraId="1124245D" w14:textId="77777777" w:rsidR="00ED4C33" w:rsidRPr="00054F1A" w:rsidRDefault="00191702">
      <w:pPr>
        <w:keepNext/>
        <w:keepLines/>
        <w:spacing w:line="360" w:lineRule="auto"/>
        <w:ind w:right="-28"/>
        <w:jc w:val="center"/>
        <w:rPr>
          <w:rFonts w:ascii="Palatino Linotype" w:eastAsia="Palatino Linotype" w:hAnsi="Palatino Linotype" w:cs="Palatino Linotype"/>
        </w:rPr>
      </w:pPr>
      <w:r w:rsidRPr="00054F1A">
        <w:rPr>
          <w:rFonts w:ascii="Palatino Linotype" w:eastAsia="Palatino Linotype" w:hAnsi="Palatino Linotype" w:cs="Palatino Linotype"/>
          <w:b/>
          <w:bCs/>
        </w:rPr>
        <w:t xml:space="preserve">C O N S I D E R A N D O </w:t>
      </w:r>
    </w:p>
    <w:p w14:paraId="3293B9E2" w14:textId="77777777" w:rsidR="00ED4C33" w:rsidRPr="00054F1A" w:rsidRDefault="00ED4C33">
      <w:pPr>
        <w:ind w:right="-28"/>
        <w:rPr>
          <w:rFonts w:ascii="Palatino Linotype" w:eastAsia="Palatino Linotype" w:hAnsi="Palatino Linotype" w:cs="Palatino Linotype"/>
        </w:rPr>
      </w:pPr>
    </w:p>
    <w:p w14:paraId="684EF27C" w14:textId="77777777" w:rsidR="00ED4C33" w:rsidRPr="00054F1A" w:rsidRDefault="00191702">
      <w:pPr>
        <w:keepNext/>
        <w:keepLines/>
        <w:spacing w:line="360" w:lineRule="auto"/>
        <w:ind w:right="-28"/>
        <w:rPr>
          <w:rFonts w:ascii="Palatino Linotype" w:eastAsia="Palatino Linotype" w:hAnsi="Palatino Linotype" w:cs="Palatino Linotype"/>
          <w:b/>
          <w:bCs/>
        </w:rPr>
      </w:pPr>
      <w:bookmarkStart w:id="4" w:name="_heading=h.3znysh7" w:colFirst="0" w:colLast="0"/>
      <w:bookmarkEnd w:id="4"/>
      <w:r w:rsidRPr="00054F1A">
        <w:rPr>
          <w:rFonts w:ascii="Palatino Linotype" w:eastAsia="Palatino Linotype" w:hAnsi="Palatino Linotype" w:cs="Palatino Linotype"/>
          <w:b/>
          <w:bCs/>
        </w:rPr>
        <w:t>PRIMERO. De la competencia.</w:t>
      </w:r>
    </w:p>
    <w:p w14:paraId="5DE41F01"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w:t>
      </w:r>
      <w:r w:rsidRPr="00054F1A">
        <w:rPr>
          <w:rFonts w:ascii="Palatino Linotype" w:eastAsia="Palatino Linotype" w:hAnsi="Palatino Linotype" w:cs="Palatino Linotype"/>
        </w:rPr>
        <w:lastRenderedPageBreak/>
        <w:t>y 11 del Reglamento Interior del Instituto de Transparencia, Acceso a la Información Pública y Protección de Datos Personales del Estado de México y Municipios.</w:t>
      </w:r>
    </w:p>
    <w:p w14:paraId="13865351" w14:textId="77777777" w:rsidR="00ED4C33" w:rsidRPr="00054F1A" w:rsidRDefault="00ED4C33">
      <w:pPr>
        <w:ind w:right="-28"/>
        <w:jc w:val="both"/>
        <w:rPr>
          <w:rFonts w:ascii="Palatino Linotype" w:eastAsia="Palatino Linotype" w:hAnsi="Palatino Linotype" w:cs="Palatino Linotype"/>
        </w:rPr>
      </w:pPr>
    </w:p>
    <w:p w14:paraId="2336F7C2" w14:textId="77777777" w:rsidR="00ED4C33" w:rsidRPr="00054F1A" w:rsidRDefault="00191702">
      <w:pPr>
        <w:keepNext/>
        <w:keepLines/>
        <w:spacing w:line="360" w:lineRule="auto"/>
        <w:ind w:right="-28"/>
        <w:rPr>
          <w:rFonts w:ascii="Palatino Linotype" w:eastAsia="Palatino Linotype" w:hAnsi="Palatino Linotype" w:cs="Palatino Linotype"/>
          <w:b/>
          <w:bCs/>
        </w:rPr>
      </w:pPr>
      <w:bookmarkStart w:id="5" w:name="_heading=h.2et92p0" w:colFirst="0" w:colLast="0"/>
      <w:bookmarkEnd w:id="5"/>
      <w:r w:rsidRPr="00054F1A">
        <w:rPr>
          <w:rFonts w:ascii="Palatino Linotype" w:eastAsia="Palatino Linotype" w:hAnsi="Palatino Linotype" w:cs="Palatino Linotype"/>
          <w:b/>
          <w:bCs/>
        </w:rPr>
        <w:t>SEGUNDO. De la oportunidad y procedencia.</w:t>
      </w:r>
    </w:p>
    <w:p w14:paraId="35408736"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El medio de impugnación fue presentado a través del </w:t>
      </w:r>
      <w:r w:rsidRPr="00054F1A">
        <w:rPr>
          <w:rFonts w:ascii="Palatino Linotype" w:eastAsia="Palatino Linotype" w:hAnsi="Palatino Linotype" w:cs="Palatino Linotype"/>
          <w:b/>
          <w:bCs/>
        </w:rPr>
        <w:t>SAIMEX,</w:t>
      </w:r>
      <w:r w:rsidRPr="00054F1A">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entregó respuesta el uno de octubre de dos mil veinticinco, de tal forma que el plazo para interponer el recurso de revisión transcurrió del dos al veintidós de octubre de dos mil veinticinco; en consecuencia, presentó su inconformidad el dos de octubre de dos mil veinticinco, por lo que se encuentra dentro de los márgenes temporales previstos en el artículo 178 de la </w:t>
      </w:r>
      <w:r w:rsidRPr="00054F1A">
        <w:rPr>
          <w:rFonts w:ascii="Palatino Linotype" w:eastAsia="Palatino Linotype" w:hAnsi="Palatino Linotype" w:cs="Palatino Linotype"/>
          <w:b/>
          <w:bCs/>
        </w:rPr>
        <w:t xml:space="preserve">Ley de Transparencia y Acceso a la Información Pública del Estado de México y Municipios </w:t>
      </w:r>
      <w:r w:rsidRPr="00054F1A">
        <w:rPr>
          <w:rFonts w:ascii="Palatino Linotype" w:eastAsia="Palatino Linotype" w:hAnsi="Palatino Linotype" w:cs="Palatino Linotype"/>
        </w:rPr>
        <w:t>vigente.</w:t>
      </w:r>
    </w:p>
    <w:p w14:paraId="078FF87D" w14:textId="77777777" w:rsidR="00ED4C33" w:rsidRPr="00054F1A" w:rsidRDefault="00ED4C33">
      <w:pPr>
        <w:ind w:right="-28"/>
        <w:jc w:val="both"/>
        <w:rPr>
          <w:rFonts w:ascii="Palatino Linotype" w:eastAsia="Palatino Linotype" w:hAnsi="Palatino Linotype" w:cs="Palatino Linotype"/>
        </w:rPr>
      </w:pPr>
    </w:p>
    <w:p w14:paraId="393C8D08"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bookmarkStart w:id="6" w:name="_heading=h.3dy6vkm" w:colFirst="0" w:colLast="0"/>
      <w:bookmarkEnd w:id="6"/>
      <w:r w:rsidRPr="00054F1A">
        <w:rPr>
          <w:rFonts w:ascii="Palatino Linotype" w:eastAsia="Palatino Linotype" w:hAnsi="Palatino Linotype" w:cs="Palatino Linotype"/>
        </w:rPr>
        <w:t>Por otro lado, el escrito contiene las formalidades previstas por el artículo 180 último párrafo de la Ley de la materia actual, por lo que resulta procedente que este Instituto de Transparencia, Acceso a la Información Pública y Protección de Datos Personales del Estado de México y Municipios, conozca y resuelva el presente recurso.</w:t>
      </w:r>
    </w:p>
    <w:p w14:paraId="62FB3988" w14:textId="77777777" w:rsidR="00ED4C33" w:rsidRPr="00054F1A" w:rsidRDefault="00ED4C33">
      <w:pPr>
        <w:ind w:right="-28"/>
        <w:jc w:val="both"/>
        <w:rPr>
          <w:rFonts w:ascii="Palatino Linotype" w:eastAsia="Palatino Linotype" w:hAnsi="Palatino Linotype" w:cs="Palatino Linotype"/>
        </w:rPr>
      </w:pPr>
    </w:p>
    <w:p w14:paraId="5ADAF723" w14:textId="77777777" w:rsidR="00ED4C33" w:rsidRPr="00054F1A" w:rsidRDefault="00191702">
      <w:pPr>
        <w:spacing w:line="360" w:lineRule="auto"/>
        <w:ind w:right="-28"/>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TERCERO. Planteamiento de la Litis.</w:t>
      </w:r>
    </w:p>
    <w:p w14:paraId="6A68BF47"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El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solicitó lo siguiente: </w:t>
      </w:r>
      <w:r w:rsidRPr="00054F1A">
        <w:rPr>
          <w:rFonts w:ascii="Palatino Linotype" w:eastAsia="Palatino Linotype" w:hAnsi="Palatino Linotype" w:cs="Palatino Linotype"/>
          <w:i/>
          <w:iCs/>
        </w:rPr>
        <w:t xml:space="preserve">“Con base en los puntos anteriores, se puede elaborar una solicitud ante la autoridad competente (por ejemplo, al Órgano Superior de Fiscalización del Estado de México o a la Secretaría de la Contraloría): &gt; Asunto: Solicitud de Transparencia sobre el Segundo Informe de Gobierno 2025 A través de la presente, con fundamento en la Ley de Transparencia y Acceso a la Información Pública del Estado de México y Municipios, solicito se hagan públicos, de manera clara y verificable: 1. La base de datos completa y definitiva del Anexo Estadístico (Tomo II), especificando los ajustes posteriores a agosto de 2025. 2. Los contratos, montos y mecanismos de financiamiento de las obras </w:t>
      </w:r>
      <w:r w:rsidRPr="00054F1A">
        <w:rPr>
          <w:rFonts w:ascii="Palatino Linotype" w:eastAsia="Palatino Linotype" w:hAnsi="Palatino Linotype" w:cs="Palatino Linotype"/>
          <w:i/>
          <w:iCs/>
        </w:rPr>
        <w:lastRenderedPageBreak/>
        <w:t xml:space="preserve">de movilidad y transporte masivo (Mexibús, Mexicable, Trolebús Chalco – Santa Marta, Tren Interurbano). 3. El padrón nominal de beneficiarios de programas sociales (Mujeres con Bienestar, Ciudad Mujeres, canastas alimentarias para pueblos originarios), indicando criterios de selección y reglas de operación. 4. El marco normativo en elaboración para la gestión de residuos electrónicos, incluyendo presupuesto y cronograma de implementación. 5. Los informes finales de los comités de Contraloría Social (COCICOVI) y evidencia de la atención dada a sus recomendaciones.” (Sic) </w:t>
      </w:r>
    </w:p>
    <w:p w14:paraId="4F7EF77C" w14:textId="77777777" w:rsidR="00ED4C33" w:rsidRPr="00054F1A" w:rsidRDefault="00ED4C33">
      <w:pPr>
        <w:spacing w:line="360" w:lineRule="auto"/>
        <w:ind w:right="-28"/>
        <w:jc w:val="both"/>
        <w:rPr>
          <w:rFonts w:ascii="Palatino Linotype" w:eastAsia="Palatino Linotype" w:hAnsi="Palatino Linotype" w:cs="Palatino Linotype"/>
        </w:rPr>
      </w:pPr>
    </w:p>
    <w:p w14:paraId="54E93114"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emitió respuesta en términos del </w:t>
      </w:r>
      <w:r w:rsidRPr="00054F1A">
        <w:rPr>
          <w:rFonts w:ascii="Palatino Linotype" w:eastAsia="Palatino Linotype" w:hAnsi="Palatino Linotype" w:cs="Palatino Linotype"/>
          <w:b/>
          <w:bCs/>
        </w:rPr>
        <w:t>párrafo 3</w:t>
      </w:r>
      <w:r w:rsidRPr="00054F1A">
        <w:rPr>
          <w:rFonts w:ascii="Palatino Linotype" w:eastAsia="Palatino Linotype" w:hAnsi="Palatino Linotype" w:cs="Palatino Linotype"/>
        </w:rPr>
        <w:t xml:space="preserve"> de la presente resolución.</w:t>
      </w:r>
    </w:p>
    <w:p w14:paraId="110CAEB9" w14:textId="77777777" w:rsidR="00ED4C33" w:rsidRPr="00054F1A" w:rsidRDefault="00ED4C33">
      <w:pPr>
        <w:spacing w:line="360" w:lineRule="auto"/>
        <w:ind w:right="-28"/>
        <w:jc w:val="both"/>
        <w:rPr>
          <w:rFonts w:ascii="Palatino Linotype" w:eastAsia="Palatino Linotype" w:hAnsi="Palatino Linotype" w:cs="Palatino Linotype"/>
        </w:rPr>
      </w:pPr>
    </w:p>
    <w:p w14:paraId="2E97BC9C"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En consecuencia, el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se inconformó por la declaración de incompetencia del </w:t>
      </w:r>
      <w:r w:rsidRPr="00054F1A">
        <w:rPr>
          <w:rFonts w:ascii="Palatino Linotype" w:eastAsia="Palatino Linotype" w:hAnsi="Palatino Linotype" w:cs="Palatino Linotype"/>
          <w:b/>
          <w:bCs/>
        </w:rPr>
        <w:t>SUJETO OBLIGADO.</w:t>
      </w:r>
    </w:p>
    <w:p w14:paraId="0E2B7881" w14:textId="77777777" w:rsidR="00ED4C33" w:rsidRPr="00054F1A" w:rsidRDefault="00ED4C33">
      <w:pPr>
        <w:ind w:right="-28"/>
        <w:jc w:val="both"/>
        <w:rPr>
          <w:rFonts w:ascii="Palatino Linotype" w:eastAsia="Palatino Linotype" w:hAnsi="Palatino Linotype" w:cs="Palatino Linotype"/>
        </w:rPr>
      </w:pPr>
    </w:p>
    <w:p w14:paraId="34BA9972" w14:textId="5BD758E5"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En dichas condiciones, la </w:t>
      </w:r>
      <w:r w:rsidRPr="00054F1A">
        <w:rPr>
          <w:rFonts w:ascii="Palatino Linotype" w:eastAsia="Palatino Linotype" w:hAnsi="Palatino Linotype" w:cs="Palatino Linotype"/>
          <w:i/>
          <w:iCs/>
        </w:rPr>
        <w:t>Litis</w:t>
      </w:r>
      <w:r w:rsidRPr="00054F1A">
        <w:rPr>
          <w:rFonts w:ascii="Palatino Linotype" w:eastAsia="Palatino Linotype" w:hAnsi="Palatino Linotype" w:cs="Palatino Linotype"/>
        </w:rPr>
        <w:t xml:space="preserve"> a resolver en el presente recurso de revisión se circunscribe a determinar, qué, sí se actualiza la causal de procedencia prevista en el artículo </w:t>
      </w:r>
      <w:r w:rsidRPr="00054F1A">
        <w:rPr>
          <w:rFonts w:ascii="Palatino Linotype" w:eastAsia="Palatino Linotype" w:hAnsi="Palatino Linotype" w:cs="Palatino Linotype"/>
          <w:b/>
          <w:bCs/>
        </w:rPr>
        <w:t>179, fracción I</w:t>
      </w:r>
      <w:r w:rsidRPr="00054F1A">
        <w:rPr>
          <w:rFonts w:ascii="Palatino Linotype" w:eastAsia="Palatino Linotype" w:hAnsi="Palatino Linotype" w:cs="Palatino Linotype"/>
        </w:rPr>
        <w:t>V</w:t>
      </w:r>
      <w:r w:rsidR="00054F1A">
        <w:rPr>
          <w:rFonts w:ascii="Palatino Linotype" w:eastAsia="Palatino Linotype" w:hAnsi="Palatino Linotype" w:cs="Palatino Linotype"/>
        </w:rPr>
        <w:t xml:space="preserve"> </w:t>
      </w:r>
      <w:r w:rsidRPr="00054F1A">
        <w:rPr>
          <w:rFonts w:ascii="Palatino Linotype" w:eastAsia="Palatino Linotype" w:hAnsi="Palatino Linotype" w:cs="Palatino Linotype"/>
        </w:rPr>
        <w:t>de la Ley de Transparencia y Acceso a la Información Pública del Estado de México y Municipios</w:t>
      </w:r>
      <w:r w:rsidRPr="00054F1A">
        <w:rPr>
          <w:rFonts w:ascii="Palatino Linotype" w:eastAsia="Palatino Linotype" w:hAnsi="Palatino Linotype" w:cs="Palatino Linotype"/>
          <w:b/>
          <w:bCs/>
        </w:rPr>
        <w:t>.</w:t>
      </w:r>
    </w:p>
    <w:p w14:paraId="759D872C" w14:textId="77777777" w:rsidR="00ED4C33" w:rsidRPr="00054F1A" w:rsidRDefault="00ED4C33">
      <w:pPr>
        <w:spacing w:line="360" w:lineRule="auto"/>
        <w:ind w:right="-28"/>
        <w:jc w:val="both"/>
        <w:rPr>
          <w:rFonts w:ascii="Palatino Linotype" w:eastAsia="Palatino Linotype" w:hAnsi="Palatino Linotype" w:cs="Palatino Linotype"/>
        </w:rPr>
      </w:pPr>
    </w:p>
    <w:p w14:paraId="37579E3E" w14:textId="77777777" w:rsidR="00ED4C33" w:rsidRPr="00054F1A" w:rsidRDefault="00191702">
      <w:pPr>
        <w:pStyle w:val="Ttulo2"/>
        <w:spacing w:before="0" w:line="360" w:lineRule="auto"/>
        <w:ind w:right="-28"/>
        <w:rPr>
          <w:rFonts w:ascii="Palatino Linotype" w:eastAsia="Palatino Linotype" w:hAnsi="Palatino Linotype" w:cs="Palatino Linotype"/>
          <w:b/>
          <w:bCs/>
          <w:color w:val="000000"/>
          <w:sz w:val="24"/>
          <w:szCs w:val="24"/>
        </w:rPr>
      </w:pPr>
      <w:bookmarkStart w:id="7" w:name="_heading=h.tyjcwt" w:colFirst="0" w:colLast="0"/>
      <w:bookmarkEnd w:id="7"/>
      <w:r w:rsidRPr="00054F1A">
        <w:rPr>
          <w:rFonts w:ascii="Palatino Linotype" w:eastAsia="Palatino Linotype" w:hAnsi="Palatino Linotype" w:cs="Palatino Linotype"/>
          <w:b/>
          <w:bCs/>
          <w:color w:val="000000"/>
          <w:sz w:val="24"/>
          <w:szCs w:val="24"/>
        </w:rPr>
        <w:t>CUARTO. Estudio y resolución del asunto.</w:t>
      </w:r>
    </w:p>
    <w:p w14:paraId="3FC9B0A6"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w:t>
      </w:r>
    </w:p>
    <w:p w14:paraId="378AA80C" w14:textId="77777777" w:rsidR="00ED4C33" w:rsidRPr="00054F1A" w:rsidRDefault="00ED4C33">
      <w:pPr>
        <w:ind w:right="-28"/>
        <w:jc w:val="both"/>
        <w:rPr>
          <w:rFonts w:ascii="Palatino Linotype" w:eastAsia="Palatino Linotype" w:hAnsi="Palatino Linotype" w:cs="Palatino Linotype"/>
        </w:rPr>
      </w:pPr>
    </w:p>
    <w:p w14:paraId="5D5DA2BC"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lastRenderedPageBreak/>
        <w:t xml:space="preserve">Definiendo el Derecho de Acceso a la Información Pública como: </w:t>
      </w:r>
      <w:r w:rsidRPr="00054F1A">
        <w:rPr>
          <w:rFonts w:ascii="Palatino Linotype" w:eastAsia="Palatino Linotype" w:hAnsi="Palatino Linotype" w:cs="Palatino Linotype"/>
          <w:i/>
          <w:iCs/>
        </w:rPr>
        <w:t xml:space="preserve">La igualdad de </w:t>
      </w:r>
      <w:r w:rsidRPr="00054F1A">
        <w:rPr>
          <w:rFonts w:ascii="Palatino Linotype" w:eastAsia="Palatino Linotype" w:hAnsi="Palatino Linotype" w:cs="Palatino Linotype"/>
        </w:rPr>
        <w:t>oportunidades</w:t>
      </w:r>
      <w:r w:rsidRPr="00054F1A">
        <w:rPr>
          <w:rFonts w:ascii="Palatino Linotype" w:eastAsia="Palatino Linotype" w:hAnsi="Palatino Linotype" w:cs="Palatino Linotype"/>
          <w:i/>
          <w:iCs/>
        </w:rPr>
        <w:t xml:space="preserve"> para recibir, buscar e impartir información</w:t>
      </w:r>
      <w:r w:rsidRPr="00054F1A">
        <w:rPr>
          <w:rFonts w:ascii="Palatino Linotype" w:eastAsia="Palatino Linotype" w:hAnsi="Palatino Linotype" w:cs="Palatino Linotype"/>
          <w:i/>
          <w:iCs/>
          <w:vertAlign w:val="superscript"/>
        </w:rPr>
        <w:footnoteReference w:id="1"/>
      </w:r>
      <w:r w:rsidRPr="00054F1A">
        <w:rPr>
          <w:rFonts w:ascii="Palatino Linotype" w:eastAsia="Palatino Linotype" w:hAnsi="Palatino Linotype" w:cs="Palatino Linotype"/>
          <w:i/>
          <w:iCs/>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54F1A">
        <w:rPr>
          <w:rFonts w:ascii="Palatino Linotype" w:eastAsia="Palatino Linotype" w:hAnsi="Palatino Linotype" w:cs="Palatino Linotype"/>
          <w:i/>
          <w:iCs/>
          <w:vertAlign w:val="superscript"/>
        </w:rPr>
        <w:footnoteReference w:id="2"/>
      </w:r>
      <w:r w:rsidRPr="00054F1A">
        <w:rPr>
          <w:rFonts w:ascii="Palatino Linotype" w:eastAsia="Palatino Linotype" w:hAnsi="Palatino Linotype" w:cs="Palatino Linotype"/>
        </w:rPr>
        <w:t>que se constituye como una herramienta fundamental para ejercer</w:t>
      </w:r>
      <w:r w:rsidRPr="00054F1A">
        <w:rPr>
          <w:rFonts w:ascii="Palatino Linotype" w:eastAsia="Palatino Linotype" w:hAnsi="Palatino Linotype" w:cs="Palatino Linotype"/>
          <w:i/>
          <w:iCs/>
        </w:rPr>
        <w:t xml:space="preserve"> el control democrático de las gestiones estatales, de forma tal que puedan cuestionar, indagar y considerar si se está dando un adecuado cumplimiento a las funciones públicas,</w:t>
      </w:r>
      <w:r w:rsidRPr="00054F1A">
        <w:rPr>
          <w:rFonts w:ascii="Palatino Linotype" w:eastAsia="Palatino Linotype" w:hAnsi="Palatino Linotype" w:cs="Palatino Linotype"/>
          <w:i/>
          <w:iCs/>
          <w:vertAlign w:val="superscript"/>
        </w:rPr>
        <w:footnoteReference w:id="3"/>
      </w:r>
      <w:r w:rsidRPr="00054F1A">
        <w:rPr>
          <w:rFonts w:ascii="Palatino Linotype" w:eastAsia="Palatino Linotype" w:hAnsi="Palatino Linotype" w:cs="Palatino Linotype"/>
        </w:rPr>
        <w:t>fomentando</w:t>
      </w:r>
      <w:r w:rsidRPr="00054F1A">
        <w:rPr>
          <w:rFonts w:ascii="Palatino Linotype" w:eastAsia="Palatino Linotype" w:hAnsi="Palatino Linotype" w:cs="Palatino Linotype"/>
          <w:i/>
          <w:iCs/>
        </w:rPr>
        <w:t xml:space="preserve"> la transparencia de las actividades estatales y </w:t>
      </w:r>
      <w:r w:rsidRPr="00054F1A">
        <w:rPr>
          <w:rFonts w:ascii="Palatino Linotype" w:eastAsia="Palatino Linotype" w:hAnsi="Palatino Linotype" w:cs="Palatino Linotype"/>
        </w:rPr>
        <w:t>promoviendo</w:t>
      </w:r>
      <w:r w:rsidRPr="00054F1A">
        <w:rPr>
          <w:rFonts w:ascii="Palatino Linotype" w:eastAsia="Palatino Linotype" w:hAnsi="Palatino Linotype" w:cs="Palatino Linotype"/>
          <w:i/>
          <w:iCs/>
        </w:rPr>
        <w:t xml:space="preserve"> la responsabilidad de los funcionarios sobre su gestión pública,</w:t>
      </w:r>
      <w:r w:rsidRPr="00054F1A">
        <w:rPr>
          <w:rFonts w:ascii="Palatino Linotype" w:eastAsia="Palatino Linotype" w:hAnsi="Palatino Linotype" w:cs="Palatino Linotype"/>
          <w:i/>
          <w:iCs/>
          <w:vertAlign w:val="superscript"/>
        </w:rPr>
        <w:footnoteReference w:id="4"/>
      </w:r>
      <w:r w:rsidRPr="00054F1A">
        <w:rPr>
          <w:rFonts w:ascii="Palatino Linotype" w:eastAsia="Palatino Linotype" w:hAnsi="Palatino Linotype" w:cs="Palatino Linotype"/>
        </w:rPr>
        <w:t>que permite</w:t>
      </w:r>
      <w:r w:rsidRPr="00054F1A">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p>
    <w:p w14:paraId="6C38DFFC" w14:textId="77777777" w:rsidR="00ED4C33" w:rsidRPr="00054F1A" w:rsidRDefault="00ED4C33" w:rsidP="00690CBA">
      <w:pPr>
        <w:spacing w:line="360" w:lineRule="auto"/>
        <w:ind w:right="-28"/>
        <w:jc w:val="both"/>
        <w:rPr>
          <w:rFonts w:ascii="Palatino Linotype" w:eastAsia="Palatino Linotype" w:hAnsi="Palatino Linotype" w:cs="Palatino Linotype"/>
          <w:iCs/>
        </w:rPr>
      </w:pPr>
    </w:p>
    <w:p w14:paraId="5CF5B0A5"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58868B92" w14:textId="77777777" w:rsidR="00ED4C33" w:rsidRPr="00054F1A" w:rsidRDefault="00ED4C33">
      <w:pPr>
        <w:spacing w:line="360" w:lineRule="auto"/>
        <w:ind w:right="-28"/>
        <w:jc w:val="both"/>
        <w:rPr>
          <w:rFonts w:ascii="Palatino Linotype" w:eastAsia="Palatino Linotype" w:hAnsi="Palatino Linotype" w:cs="Palatino Linotype"/>
        </w:rPr>
      </w:pPr>
    </w:p>
    <w:p w14:paraId="3CA553E1"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w:t>
      </w:r>
      <w:r w:rsidRPr="00054F1A">
        <w:rPr>
          <w:rFonts w:ascii="Palatino Linotype" w:eastAsia="Palatino Linotype" w:hAnsi="Palatino Linotype" w:cs="Palatino Linotype"/>
          <w:b/>
          <w:bCs/>
          <w:i/>
          <w:iCs/>
        </w:rPr>
        <w:t>Artículo 1.-</w:t>
      </w:r>
      <w:r w:rsidRPr="00054F1A">
        <w:rPr>
          <w:rFonts w:ascii="Palatino Linotype" w:eastAsia="Palatino Linotype" w:hAnsi="Palatino Linotype" w:cs="Palatino Linotype"/>
          <w:i/>
          <w:iCs/>
        </w:rPr>
        <w:t xml:space="preserve"> </w:t>
      </w:r>
    </w:p>
    <w:p w14:paraId="2D8FB189"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w:t>
      </w:r>
    </w:p>
    <w:p w14:paraId="7C9AA397"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Todas las</w:t>
      </w:r>
      <w:r w:rsidRPr="00054F1A">
        <w:rPr>
          <w:rFonts w:ascii="Palatino Linotype" w:eastAsia="Palatino Linotype" w:hAnsi="Palatino Linotype" w:cs="Palatino Linotype"/>
        </w:rPr>
        <w:t xml:space="preserve"> </w:t>
      </w:r>
      <w:r w:rsidRPr="00054F1A">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382DB5B" w14:textId="77777777" w:rsidR="00ED4C33" w:rsidRPr="00054F1A" w:rsidRDefault="00191702" w:rsidP="00690CBA">
      <w:pPr>
        <w:ind w:left="567" w:right="963"/>
        <w:jc w:val="both"/>
        <w:rPr>
          <w:rFonts w:ascii="Palatino Linotype" w:eastAsia="Palatino Linotype" w:hAnsi="Palatino Linotype" w:cs="Palatino Linotype"/>
        </w:rPr>
      </w:pPr>
      <w:r w:rsidRPr="00054F1A">
        <w:rPr>
          <w:rFonts w:ascii="Palatino Linotype" w:eastAsia="Palatino Linotype" w:hAnsi="Palatino Linotype" w:cs="Palatino Linotype"/>
          <w:i/>
          <w:iCs/>
        </w:rPr>
        <w:t>(…)</w:t>
      </w:r>
      <w:r w:rsidRPr="00054F1A">
        <w:rPr>
          <w:rFonts w:ascii="Palatino Linotype" w:eastAsia="Palatino Linotype" w:hAnsi="Palatino Linotype" w:cs="Palatino Linotype"/>
        </w:rPr>
        <w:t>”</w:t>
      </w:r>
    </w:p>
    <w:p w14:paraId="5E260381"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lastRenderedPageBreak/>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736156B5" w14:textId="77777777" w:rsidR="00ED4C33" w:rsidRPr="00054F1A" w:rsidRDefault="00ED4C33">
      <w:pPr>
        <w:ind w:right="-28"/>
        <w:jc w:val="both"/>
        <w:rPr>
          <w:rFonts w:ascii="Palatino Linotype" w:eastAsia="Palatino Linotype" w:hAnsi="Palatino Linotype" w:cs="Palatino Linotype"/>
        </w:rPr>
      </w:pPr>
    </w:p>
    <w:p w14:paraId="78485EB4"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Así, conforme a la Constitución Política de los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0B661076" w14:textId="77777777" w:rsidR="00ED4C33" w:rsidRPr="00054F1A" w:rsidRDefault="00ED4C33">
      <w:pPr>
        <w:ind w:right="-28"/>
        <w:jc w:val="both"/>
        <w:rPr>
          <w:rFonts w:ascii="Palatino Linotype" w:eastAsia="Palatino Linotype" w:hAnsi="Palatino Linotype" w:cs="Palatino Linotype"/>
        </w:rPr>
      </w:pPr>
    </w:p>
    <w:p w14:paraId="65923616" w14:textId="77777777" w:rsidR="00ED4C33" w:rsidRPr="00054F1A" w:rsidRDefault="00191702">
      <w:pPr>
        <w:ind w:left="567" w:right="963"/>
        <w:jc w:val="center"/>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Constitución Política de los Estados Unidos Mexicanos</w:t>
      </w:r>
    </w:p>
    <w:p w14:paraId="3531E52D" w14:textId="77777777" w:rsidR="00ED4C33" w:rsidRPr="00054F1A" w:rsidRDefault="00ED4C33">
      <w:pPr>
        <w:ind w:left="567" w:right="963"/>
        <w:jc w:val="center"/>
        <w:rPr>
          <w:rFonts w:ascii="Palatino Linotype" w:eastAsia="Palatino Linotype" w:hAnsi="Palatino Linotype" w:cs="Palatino Linotype"/>
          <w:b/>
          <w:bCs/>
          <w:i/>
          <w:iCs/>
        </w:rPr>
      </w:pPr>
    </w:p>
    <w:p w14:paraId="5631BA80" w14:textId="77777777" w:rsidR="00ED4C33" w:rsidRPr="00054F1A" w:rsidRDefault="00191702">
      <w:pPr>
        <w:ind w:left="567" w:right="963"/>
        <w:jc w:val="center"/>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“Artículo 6.</w:t>
      </w:r>
      <w:r w:rsidRPr="00054F1A">
        <w:rPr>
          <w:rFonts w:ascii="Palatino Linotype" w:eastAsia="Palatino Linotype" w:hAnsi="Palatino Linotype" w:cs="Palatino Linotype"/>
          <w:i/>
          <w:iCs/>
        </w:rPr>
        <w:t xml:space="preserve"> …</w:t>
      </w:r>
    </w:p>
    <w:p w14:paraId="4CCCA175"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w:t>
      </w:r>
    </w:p>
    <w:p w14:paraId="615AE0FD"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Para efectos de lo dispuesto en el presente artículo se observará lo siguiente:</w:t>
      </w:r>
    </w:p>
    <w:p w14:paraId="767641CB" w14:textId="77777777" w:rsidR="00ED4C33" w:rsidRPr="00054F1A" w:rsidRDefault="00191702">
      <w:pPr>
        <w:ind w:left="567" w:right="963"/>
        <w:jc w:val="both"/>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A</w:t>
      </w:r>
      <w:r w:rsidRPr="00054F1A">
        <w:rPr>
          <w:rFonts w:ascii="Palatino Linotype" w:eastAsia="Palatino Linotype" w:hAnsi="Palatino Linotype" w:cs="Palatino Linotype"/>
          <w:i/>
          <w:iCs/>
        </w:rPr>
        <w:t xml:space="preserve">. </w:t>
      </w:r>
      <w:r w:rsidRPr="00054F1A">
        <w:rPr>
          <w:rFonts w:ascii="Palatino Linotype" w:eastAsia="Palatino Linotype" w:hAnsi="Palatino Linotype" w:cs="Palatino Linotype"/>
          <w:b/>
          <w:bCs/>
          <w:i/>
          <w:iCs/>
        </w:rPr>
        <w:t>Para el ejercicio del derecho de acceso a la información</w:t>
      </w:r>
      <w:r w:rsidRPr="00054F1A">
        <w:rPr>
          <w:rFonts w:ascii="Palatino Linotype" w:eastAsia="Palatino Linotype" w:hAnsi="Palatino Linotype" w:cs="Palatino Linotype"/>
          <w:i/>
          <w:iCs/>
        </w:rPr>
        <w:t xml:space="preserve">, la Federación y </w:t>
      </w:r>
      <w:r w:rsidRPr="00054F1A">
        <w:rPr>
          <w:rFonts w:ascii="Palatino Linotype" w:eastAsia="Palatino Linotype" w:hAnsi="Palatino Linotype" w:cs="Palatino Linotype"/>
          <w:b/>
          <w:bCs/>
          <w:i/>
          <w:iCs/>
        </w:rPr>
        <w:t>las entidades federativas, en el ámbito de sus respectivas competencias, se regirán por los siguientes principios y bases:</w:t>
      </w:r>
    </w:p>
    <w:p w14:paraId="31C6FA90"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 xml:space="preserve">I. </w:t>
      </w:r>
      <w:r w:rsidRPr="00054F1A">
        <w:rPr>
          <w:rFonts w:ascii="Palatino Linotype" w:eastAsia="Palatino Linotype" w:hAnsi="Palatino Linotype" w:cs="Palatino Linotype"/>
          <w:b/>
          <w:bCs/>
          <w:i/>
          <w:iCs/>
        </w:rPr>
        <w:tab/>
        <w:t>Toda la información en posesión de cualquier</w:t>
      </w:r>
      <w:r w:rsidRPr="00054F1A">
        <w:rPr>
          <w:rFonts w:ascii="Palatino Linotype" w:eastAsia="Palatino Linotype" w:hAnsi="Palatino Linotype" w:cs="Palatino Linotype"/>
          <w:i/>
          <w:iCs/>
        </w:rPr>
        <w:t xml:space="preserve"> </w:t>
      </w:r>
      <w:r w:rsidRPr="00054F1A">
        <w:rPr>
          <w:rFonts w:ascii="Palatino Linotype" w:eastAsia="Palatino Linotype" w:hAnsi="Palatino Linotype" w:cs="Palatino Linotype"/>
          <w:b/>
          <w:bCs/>
          <w:i/>
          <w:iCs/>
        </w:rPr>
        <w:t>autoridad</w:t>
      </w:r>
      <w:r w:rsidRPr="00054F1A">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54F1A">
        <w:rPr>
          <w:rFonts w:ascii="Palatino Linotype" w:eastAsia="Palatino Linotype" w:hAnsi="Palatino Linotype" w:cs="Palatino Linotype"/>
          <w:b/>
          <w:bCs/>
          <w:i/>
          <w:iCs/>
        </w:rPr>
        <w:t>municipal</w:t>
      </w:r>
      <w:r w:rsidRPr="00054F1A">
        <w:rPr>
          <w:rFonts w:ascii="Palatino Linotype" w:eastAsia="Palatino Linotype" w:hAnsi="Palatino Linotype" w:cs="Palatino Linotype"/>
          <w:i/>
          <w:iCs/>
        </w:rPr>
        <w:t xml:space="preserve">, </w:t>
      </w:r>
      <w:r w:rsidRPr="00054F1A">
        <w:rPr>
          <w:rFonts w:ascii="Palatino Linotype" w:eastAsia="Palatino Linotype" w:hAnsi="Palatino Linotype" w:cs="Palatino Linotype"/>
          <w:b/>
          <w:bCs/>
          <w:i/>
          <w:iCs/>
        </w:rPr>
        <w:t>es pública</w:t>
      </w:r>
      <w:r w:rsidRPr="00054F1A">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054F1A">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054F1A">
        <w:rPr>
          <w:rFonts w:ascii="Palatino Linotype" w:eastAsia="Palatino Linotype" w:hAnsi="Palatino Linotype" w:cs="Palatino Linotype"/>
          <w:i/>
          <w:iCs/>
        </w:rPr>
        <w:t>, la ley determinará los supuestos específicos bajo los cuales procederá la declaración de inexistencia de la información.”</w:t>
      </w:r>
    </w:p>
    <w:p w14:paraId="39873CDB" w14:textId="77777777" w:rsidR="00ED4C33" w:rsidRPr="00054F1A" w:rsidRDefault="00ED4C33">
      <w:pPr>
        <w:tabs>
          <w:tab w:val="left" w:pos="426"/>
          <w:tab w:val="left" w:pos="567"/>
        </w:tabs>
        <w:ind w:left="567" w:right="963"/>
        <w:jc w:val="both"/>
        <w:rPr>
          <w:rFonts w:ascii="Palatino Linotype" w:eastAsia="Palatino Linotype" w:hAnsi="Palatino Linotype" w:cs="Palatino Linotype"/>
        </w:rPr>
      </w:pPr>
    </w:p>
    <w:p w14:paraId="14366F88" w14:textId="77777777" w:rsidR="00ED4C33" w:rsidRPr="00054F1A" w:rsidRDefault="00191702">
      <w:pPr>
        <w:ind w:left="567" w:right="963"/>
        <w:jc w:val="center"/>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Constitución Política del Estado Libre y Soberano de México</w:t>
      </w:r>
    </w:p>
    <w:p w14:paraId="0761834F" w14:textId="77777777" w:rsidR="00ED4C33" w:rsidRPr="00054F1A" w:rsidRDefault="00191702">
      <w:pPr>
        <w:ind w:left="567" w:right="963"/>
        <w:jc w:val="center"/>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“Artículo 5</w:t>
      </w:r>
      <w:r w:rsidRPr="00054F1A">
        <w:rPr>
          <w:rFonts w:ascii="Palatino Linotype" w:eastAsia="Palatino Linotype" w:hAnsi="Palatino Linotype" w:cs="Palatino Linotype"/>
          <w:i/>
          <w:iCs/>
        </w:rPr>
        <w:t>.-…</w:t>
      </w:r>
    </w:p>
    <w:p w14:paraId="42F72B71" w14:textId="77777777" w:rsidR="00ED4C33" w:rsidRPr="00054F1A" w:rsidRDefault="00191702">
      <w:pPr>
        <w:ind w:left="567" w:right="963"/>
        <w:rPr>
          <w:rFonts w:ascii="Palatino Linotype" w:eastAsia="Palatino Linotype" w:hAnsi="Palatino Linotype" w:cs="Palatino Linotype"/>
          <w:i/>
          <w:iCs/>
        </w:rPr>
      </w:pPr>
      <w:r w:rsidRPr="00054F1A">
        <w:rPr>
          <w:rFonts w:ascii="Palatino Linotype" w:eastAsia="Palatino Linotype" w:hAnsi="Palatino Linotype" w:cs="Palatino Linotype"/>
          <w:i/>
          <w:iCs/>
        </w:rPr>
        <w:lastRenderedPageBreak/>
        <w:t>…</w:t>
      </w:r>
    </w:p>
    <w:p w14:paraId="1F4A5B4E"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054F1A">
        <w:rPr>
          <w:rFonts w:ascii="Palatino Linotype" w:eastAsia="Palatino Linotype" w:hAnsi="Palatino Linotype" w:cs="Palatino Linotype"/>
          <w:i/>
          <w:iCs/>
        </w:rPr>
        <w:t>.</w:t>
      </w:r>
    </w:p>
    <w:p w14:paraId="029D7D3B"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ED9F541" w14:textId="77777777" w:rsidR="00ED4C33" w:rsidRPr="00054F1A" w:rsidRDefault="00ED4C33">
      <w:pPr>
        <w:ind w:left="567" w:right="963"/>
        <w:jc w:val="both"/>
        <w:rPr>
          <w:rFonts w:ascii="Palatino Linotype" w:eastAsia="Palatino Linotype" w:hAnsi="Palatino Linotype" w:cs="Palatino Linotype"/>
          <w:i/>
          <w:iCs/>
        </w:rPr>
      </w:pPr>
    </w:p>
    <w:p w14:paraId="3AA2C0FE"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Este derecho se regirá por los principios y bases siguientes</w:t>
      </w:r>
      <w:r w:rsidRPr="00054F1A">
        <w:rPr>
          <w:rFonts w:ascii="Palatino Linotype" w:eastAsia="Palatino Linotype" w:hAnsi="Palatino Linotype" w:cs="Palatino Linotype"/>
          <w:i/>
          <w:iCs/>
        </w:rPr>
        <w:t>:</w:t>
      </w:r>
    </w:p>
    <w:p w14:paraId="10D29CEE" w14:textId="77777777" w:rsidR="00ED4C33" w:rsidRPr="00054F1A" w:rsidRDefault="00191702">
      <w:pPr>
        <w:ind w:left="567" w:right="963"/>
        <w:jc w:val="both"/>
        <w:rPr>
          <w:rFonts w:ascii="Palatino Linotype" w:eastAsia="Palatino Linotype" w:hAnsi="Palatino Linotype" w:cs="Palatino Linotype"/>
        </w:rPr>
      </w:pPr>
      <w:r w:rsidRPr="00054F1A">
        <w:rPr>
          <w:rFonts w:ascii="Palatino Linotype" w:eastAsia="Palatino Linotype" w:hAnsi="Palatino Linotype" w:cs="Palatino Linotype"/>
          <w:b/>
          <w:bCs/>
          <w:i/>
          <w:iCs/>
        </w:rPr>
        <w:t>Toda la información en posesión de cualquier autoridad, entidad, órgano y organismos de los</w:t>
      </w:r>
      <w:r w:rsidRPr="00054F1A">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054F1A">
        <w:rPr>
          <w:rFonts w:ascii="Palatino Linotype" w:eastAsia="Palatino Linotype" w:hAnsi="Palatino Linotype" w:cs="Palatino Linotype"/>
          <w:b/>
          <w:bCs/>
          <w:i/>
          <w:iCs/>
        </w:rPr>
        <w:t>municipales</w:t>
      </w:r>
      <w:r w:rsidRPr="00054F1A">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54F1A">
        <w:rPr>
          <w:rFonts w:ascii="Palatino Linotype" w:eastAsia="Palatino Linotype" w:hAnsi="Palatino Linotype" w:cs="Palatino Linotype"/>
          <w:b/>
          <w:bCs/>
          <w:i/>
          <w:iCs/>
        </w:rPr>
        <w:t>es pública</w:t>
      </w:r>
      <w:r w:rsidRPr="00054F1A">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054F1A">
        <w:rPr>
          <w:rFonts w:ascii="Palatino Linotype" w:eastAsia="Palatino Linotype" w:hAnsi="Palatino Linotype" w:cs="Palatino Linotype"/>
          <w:b/>
          <w:bCs/>
          <w:i/>
          <w:iCs/>
        </w:rPr>
        <w:t>En la interpretación de este derecho deberá prevalecer el principio de máxima publicidad</w:t>
      </w:r>
      <w:r w:rsidRPr="00054F1A">
        <w:rPr>
          <w:rFonts w:ascii="Palatino Linotype" w:eastAsia="Palatino Linotype" w:hAnsi="Palatino Linotype" w:cs="Palatino Linotype"/>
          <w:i/>
          <w:iCs/>
        </w:rPr>
        <w:t xml:space="preserve">. </w:t>
      </w:r>
      <w:r w:rsidRPr="00054F1A">
        <w:rPr>
          <w:rFonts w:ascii="Palatino Linotype" w:eastAsia="Palatino Linotype" w:hAnsi="Palatino Linotype" w:cs="Palatino Linotype"/>
          <w:b/>
          <w:bCs/>
          <w:i/>
          <w:iCs/>
        </w:rPr>
        <w:t>Los sujetos obligados deberán documentar todo acto que derive del ejercicio de sus facultades, competencias o funciones</w:t>
      </w:r>
      <w:r w:rsidRPr="00054F1A">
        <w:rPr>
          <w:rFonts w:ascii="Palatino Linotype" w:eastAsia="Palatino Linotype" w:hAnsi="Palatino Linotype" w:cs="Palatino Linotype"/>
          <w:i/>
          <w:iCs/>
        </w:rPr>
        <w:t>, la ley determinará los supuestos específicos bajo los cuales procederá la declaración de inexistencia de la información.”</w:t>
      </w:r>
    </w:p>
    <w:p w14:paraId="7ADB02F7" w14:textId="77777777" w:rsidR="00ED4C33" w:rsidRPr="00054F1A" w:rsidRDefault="00ED4C33">
      <w:pPr>
        <w:ind w:right="-28"/>
        <w:jc w:val="both"/>
        <w:rPr>
          <w:rFonts w:ascii="Palatino Linotype" w:eastAsia="Palatino Linotype" w:hAnsi="Palatino Linotype" w:cs="Palatino Linotype"/>
        </w:rPr>
      </w:pPr>
    </w:p>
    <w:p w14:paraId="3F0DB9E3"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De acuerdo al artículo 150 de la Ley de Transparencia del Estado, la solicitud es la garantía primaria del Derecho de Acceso a la Información, además, establece que se regirá </w:t>
      </w:r>
      <w:r w:rsidRPr="00054F1A">
        <w:rPr>
          <w:rFonts w:ascii="Palatino Linotype" w:eastAsia="Palatino Linotype" w:hAnsi="Palatino Linotype" w:cs="Palatino Linotype"/>
          <w:i/>
          <w:iCs/>
        </w:rPr>
        <w:t>por los principios de simplicidad, rapidez gratuidad del procedimiento, auxilio y orientación a los particulares</w:t>
      </w:r>
      <w:r w:rsidRPr="00054F1A">
        <w:rPr>
          <w:rFonts w:ascii="Palatino Linotype" w:eastAsia="Palatino Linotype" w:hAnsi="Palatino Linotype" w:cs="Palatino Linotype"/>
        </w:rPr>
        <w:t>, contemplando el derecho de las personas con discapacidad y hablantes de lengua indígena.</w:t>
      </w:r>
    </w:p>
    <w:p w14:paraId="0CA1128F" w14:textId="77777777" w:rsidR="00ED4C33" w:rsidRPr="00054F1A" w:rsidRDefault="00ED4C33">
      <w:pPr>
        <w:spacing w:line="360" w:lineRule="auto"/>
        <w:ind w:right="-28"/>
        <w:jc w:val="both"/>
        <w:rPr>
          <w:rFonts w:ascii="Palatino Linotype" w:eastAsia="Palatino Linotype" w:hAnsi="Palatino Linotype" w:cs="Palatino Linotype"/>
        </w:rPr>
      </w:pPr>
    </w:p>
    <w:p w14:paraId="1A51AA4E"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El Derecho de Acceso a la Información se garantiza y respeta oportunamente, y según lo que dispone la Ley, las </w:t>
      </w:r>
      <w:r w:rsidRPr="00054F1A">
        <w:rPr>
          <w:rFonts w:ascii="Palatino Linotype" w:eastAsia="Palatino Linotype" w:hAnsi="Palatino Linotype" w:cs="Palatino Linotype"/>
          <w:i/>
          <w:iCs/>
        </w:rPr>
        <w:t>solicitudes de acceso a la información</w:t>
      </w:r>
      <w:r w:rsidRPr="00054F1A">
        <w:rPr>
          <w:rFonts w:ascii="Palatino Linotype" w:eastAsia="Palatino Linotype" w:hAnsi="Palatino Linotype" w:cs="Palatino Linotype"/>
        </w:rPr>
        <w:t>.</w:t>
      </w:r>
    </w:p>
    <w:p w14:paraId="49FF2836" w14:textId="77777777" w:rsidR="00ED4C33" w:rsidRPr="00054F1A" w:rsidRDefault="00ED4C33">
      <w:pPr>
        <w:ind w:right="-28"/>
        <w:jc w:val="both"/>
        <w:rPr>
          <w:rFonts w:ascii="Palatino Linotype" w:eastAsia="Palatino Linotype" w:hAnsi="Palatino Linotype" w:cs="Palatino Linotype"/>
        </w:rPr>
      </w:pPr>
    </w:p>
    <w:p w14:paraId="5CB66A18"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lastRenderedPageBreak/>
        <w:t xml:space="preserve">Así entonces, se procede analizar, en primer lugar, si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al atender la solicitud de acceso a la información, satisfice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D1109B0" w14:textId="77777777" w:rsidR="00ED4C33" w:rsidRPr="00054F1A" w:rsidRDefault="00ED4C33">
      <w:pPr>
        <w:ind w:right="-28"/>
        <w:jc w:val="both"/>
        <w:rPr>
          <w:rFonts w:ascii="Palatino Linotype" w:eastAsia="Palatino Linotype" w:hAnsi="Palatino Linotype" w:cs="Palatino Linotype"/>
        </w:rPr>
      </w:pPr>
    </w:p>
    <w:p w14:paraId="71AD7F26" w14:textId="77777777" w:rsidR="00ED4C33" w:rsidRPr="00054F1A" w:rsidRDefault="00191702">
      <w:pPr>
        <w:keepNext/>
        <w:keepLines/>
        <w:numPr>
          <w:ilvl w:val="1"/>
          <w:numId w:val="1"/>
        </w:numPr>
        <w:spacing w:line="360" w:lineRule="auto"/>
        <w:ind w:left="567" w:right="-28"/>
        <w:jc w:val="both"/>
        <w:rPr>
          <w:rFonts w:ascii="Palatino Linotype" w:eastAsia="Palatino Linotype" w:hAnsi="Palatino Linotype" w:cs="Palatino Linotype"/>
          <w:b/>
          <w:bCs/>
        </w:rPr>
      </w:pPr>
      <w:bookmarkStart w:id="8" w:name="_heading=h.lnxbz9" w:colFirst="0" w:colLast="0"/>
      <w:bookmarkEnd w:id="8"/>
      <w:r w:rsidRPr="00054F1A">
        <w:rPr>
          <w:rFonts w:ascii="Palatino Linotype" w:eastAsia="Palatino Linotype" w:hAnsi="Palatino Linotype" w:cs="Palatino Linotype"/>
          <w:b/>
          <w:bCs/>
        </w:rPr>
        <w:t>De la información solicitada y la respuesta del SUJETO OBLIGADO.</w:t>
      </w:r>
    </w:p>
    <w:p w14:paraId="4E7F13A6"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7C219E5E" w14:textId="77777777" w:rsidR="00ED4C33" w:rsidRPr="00054F1A" w:rsidRDefault="00ED4C33">
      <w:pPr>
        <w:ind w:right="-28"/>
        <w:jc w:val="both"/>
        <w:rPr>
          <w:rFonts w:ascii="Palatino Linotype" w:eastAsia="Palatino Linotype" w:hAnsi="Palatino Linotype" w:cs="Palatino Linotype"/>
        </w:rPr>
      </w:pPr>
    </w:p>
    <w:p w14:paraId="30C57EE6"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b/>
          <w:bCs/>
        </w:rPr>
      </w:pPr>
      <w:r w:rsidRPr="00054F1A">
        <w:rPr>
          <w:rFonts w:ascii="Palatino Linotype" w:eastAsia="Palatino Linotype" w:hAnsi="Palatino Linotype" w:cs="Palatino Linotype"/>
        </w:rPr>
        <w:t xml:space="preserve">Ahora bien, se reitera que el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w:t>
      </w:r>
      <w:r w:rsidRPr="00054F1A">
        <w:rPr>
          <w:rFonts w:ascii="Palatino Linotype" w:eastAsia="Palatino Linotype" w:hAnsi="Palatino Linotype" w:cs="Palatino Linotype"/>
          <w:b/>
          <w:bCs/>
        </w:rPr>
        <w:t>solicitó lo siguiente:</w:t>
      </w:r>
    </w:p>
    <w:p w14:paraId="23A2160C" w14:textId="77777777" w:rsidR="00ED4C33" w:rsidRPr="00054F1A" w:rsidRDefault="00ED4C33">
      <w:pPr>
        <w:spacing w:line="360" w:lineRule="auto"/>
        <w:ind w:right="-28"/>
        <w:jc w:val="both"/>
        <w:rPr>
          <w:rFonts w:ascii="Palatino Linotype" w:eastAsia="Palatino Linotype" w:hAnsi="Palatino Linotype" w:cs="Palatino Linotype"/>
          <w:b/>
          <w:bCs/>
        </w:rPr>
      </w:pPr>
    </w:p>
    <w:p w14:paraId="1C3491B2" w14:textId="77777777" w:rsidR="00ED4C33" w:rsidRPr="00054F1A" w:rsidRDefault="00191702">
      <w:pPr>
        <w:ind w:left="567" w:right="680"/>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 xml:space="preserve">“Con base en los puntos anteriores, se puede elaborar una solicitud ante la autoridad competente (por ejemplo, al Órgano Superior de Fiscalización del Estado de México o a la Secretaría de la Contraloría): &gt; Asunto: Solicitud de Transparencia sobre el Segundo Informe de Gobierno 2025 A través de la presente, con fundamento en la Ley de Transparencia y Acceso a la Información Pública del Estado de México y Municipios, solicito se hagan públicos, de manera clara y verificable: 1. La base de datos completa y definitiva del Anexo Estadístico (Tomo II), especificando los ajustes posteriores a agosto de 2025. 2. Los contratos, montos y mecanismos de financiamiento de las obras de movilidad y transporte masivo (Mexibús, Mexicable, Trolebús Chalco – Santa Marta, Tren Interurbano). 3. El padrón nominal de beneficiarios de programas sociales (Mujeres con Bienestar, Ciudad Mujeres, canastas alimentarias para pueblos originarios), indicando criterios de selección y reglas de operación. 4. El marco normativo en elaboración para la gestión de residuos electrónicos, incluyendo presupuesto y cronograma de implementación. 5. Los informes finales de los </w:t>
      </w:r>
      <w:r w:rsidRPr="00054F1A">
        <w:rPr>
          <w:rFonts w:ascii="Palatino Linotype" w:eastAsia="Palatino Linotype" w:hAnsi="Palatino Linotype" w:cs="Palatino Linotype"/>
          <w:i/>
          <w:iCs/>
        </w:rPr>
        <w:lastRenderedPageBreak/>
        <w:t xml:space="preserve">comités de Contraloría Social (COCICOVI) y evidencia de la atención dada a sus recomendaciones.” (Sic) </w:t>
      </w:r>
    </w:p>
    <w:p w14:paraId="27C60A25" w14:textId="77777777" w:rsidR="00ED4C33" w:rsidRPr="00054F1A" w:rsidRDefault="00ED4C33">
      <w:pPr>
        <w:ind w:right="-28"/>
        <w:jc w:val="both"/>
        <w:rPr>
          <w:rFonts w:ascii="Palatino Linotype" w:eastAsia="Palatino Linotype" w:hAnsi="Palatino Linotype" w:cs="Palatino Linotype"/>
        </w:rPr>
      </w:pPr>
    </w:p>
    <w:p w14:paraId="737FF4EC"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Por su parte,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por medio de la Unidad de Transparencia, informó su incompetencia para atender los puntos vertidos en la solicitud de información, asimismo, orientó al Particular para que realizara las solicitudes de información respectivas ante los Sujeto Obligados correspondientes. Como se observa:</w:t>
      </w:r>
    </w:p>
    <w:p w14:paraId="0EE3E684" w14:textId="77777777" w:rsidR="00ED4C33" w:rsidRPr="00054F1A" w:rsidRDefault="00ED4C33">
      <w:pPr>
        <w:spacing w:line="360" w:lineRule="auto"/>
        <w:ind w:right="-28"/>
        <w:jc w:val="both"/>
        <w:rPr>
          <w:rFonts w:ascii="Palatino Linotype" w:eastAsia="Palatino Linotype" w:hAnsi="Palatino Linotype" w:cs="Palatino Linotype"/>
        </w:rPr>
      </w:pPr>
    </w:p>
    <w:p w14:paraId="580F1544" w14:textId="77777777" w:rsidR="00ED4C33" w:rsidRPr="00054F1A" w:rsidRDefault="00191702">
      <w:pPr>
        <w:spacing w:line="360" w:lineRule="auto"/>
        <w:ind w:right="-28"/>
        <w:jc w:val="center"/>
        <w:rPr>
          <w:rFonts w:ascii="Palatino Linotype" w:eastAsia="Palatino Linotype" w:hAnsi="Palatino Linotype" w:cs="Palatino Linotype"/>
        </w:rPr>
      </w:pPr>
      <w:r w:rsidRPr="00054F1A">
        <w:rPr>
          <w:rFonts w:ascii="Palatino Linotype" w:eastAsia="Palatino Linotype" w:hAnsi="Palatino Linotype" w:cs="Palatino Linotype"/>
          <w:noProof/>
        </w:rPr>
        <w:drawing>
          <wp:inline distT="0" distB="0" distL="0" distR="0" wp14:anchorId="239CD34B" wp14:editId="5262B804">
            <wp:extent cx="6192520" cy="416242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6192520" cy="4162425"/>
                    </a:xfrm>
                    <a:prstGeom prst="rect">
                      <a:avLst/>
                    </a:prstGeom>
                    <a:ln/>
                  </pic:spPr>
                </pic:pic>
              </a:graphicData>
            </a:graphic>
          </wp:inline>
        </w:drawing>
      </w:r>
      <w:r w:rsidRPr="00054F1A">
        <w:rPr>
          <w:noProof/>
        </w:rPr>
        <mc:AlternateContent>
          <mc:Choice Requires="wps">
            <w:drawing>
              <wp:anchor distT="0" distB="0" distL="114300" distR="114300" simplePos="0" relativeHeight="251658240" behindDoc="0" locked="0" layoutInCell="1" hidden="0" allowOverlap="1" wp14:anchorId="303A4E24" wp14:editId="47D48901">
                <wp:simplePos x="0" y="0"/>
                <wp:positionH relativeFrom="column">
                  <wp:posOffset>3553460</wp:posOffset>
                </wp:positionH>
                <wp:positionV relativeFrom="paragraph">
                  <wp:posOffset>1333183</wp:posOffset>
                </wp:positionV>
                <wp:extent cx="1381125" cy="28575"/>
                <wp:effectExtent l="0" t="0" r="0" b="0"/>
                <wp:wrapNone/>
                <wp:docPr id="2" name="Conector recto de flecha 2"/>
                <wp:cNvGraphicFramePr/>
                <a:graphic xmlns:a="http://schemas.openxmlformats.org/drawingml/2006/main">
                  <a:graphicData uri="http://schemas.microsoft.com/office/word/2010/wordprocessingShape">
                    <wps:wsp>
                      <wps:cNvCnPr/>
                      <wps:spPr>
                        <a:xfrm>
                          <a:off x="4655438" y="3780000"/>
                          <a:ext cx="1381125" cy="0"/>
                        </a:xfrm>
                        <a:prstGeom prst="straightConnector1">
                          <a:avLst/>
                        </a:prstGeom>
                        <a:noFill/>
                        <a:ln w="28575" cap="flat" cmpd="sng">
                          <a:solidFill>
                            <a:srgbClr val="C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3553460</wp:posOffset>
                </wp:positionH>
                <wp:positionV relativeFrom="paragraph">
                  <wp:posOffset>1333183</wp:posOffset>
                </wp:positionV>
                <wp:extent cx="1381125" cy="28575"/>
                <wp:effectExtent b="0" l="0" r="0" t="0"/>
                <wp:wrapNone/>
                <wp:docPr id="2"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381125" cy="28575"/>
                        </a:xfrm>
                        <a:prstGeom prst="rect"/>
                        <a:ln/>
                      </pic:spPr>
                    </pic:pic>
                  </a:graphicData>
                </a:graphic>
              </wp:anchor>
            </w:drawing>
          </mc:Fallback>
        </mc:AlternateContent>
      </w:r>
      <w:r w:rsidRPr="00054F1A">
        <w:rPr>
          <w:noProof/>
        </w:rPr>
        <mc:AlternateContent>
          <mc:Choice Requires="wps">
            <w:drawing>
              <wp:anchor distT="0" distB="0" distL="114300" distR="114300" simplePos="0" relativeHeight="251659264" behindDoc="0" locked="0" layoutInCell="1" hidden="0" allowOverlap="1" wp14:anchorId="3F98C19B" wp14:editId="624833C5">
                <wp:simplePos x="0" y="0"/>
                <wp:positionH relativeFrom="column">
                  <wp:posOffset>2200909</wp:posOffset>
                </wp:positionH>
                <wp:positionV relativeFrom="paragraph">
                  <wp:posOffset>2895283</wp:posOffset>
                </wp:positionV>
                <wp:extent cx="3362325" cy="28575"/>
                <wp:effectExtent l="0" t="0" r="0" b="0"/>
                <wp:wrapNone/>
                <wp:docPr id="4" name="Conector recto de flecha 4"/>
                <wp:cNvGraphicFramePr/>
                <a:graphic xmlns:a="http://schemas.openxmlformats.org/drawingml/2006/main">
                  <a:graphicData uri="http://schemas.microsoft.com/office/word/2010/wordprocessingShape">
                    <wps:wsp>
                      <wps:cNvCnPr/>
                      <wps:spPr>
                        <a:xfrm>
                          <a:off x="3664838" y="3780000"/>
                          <a:ext cx="3362325" cy="0"/>
                        </a:xfrm>
                        <a:prstGeom prst="straightConnector1">
                          <a:avLst/>
                        </a:prstGeom>
                        <a:noFill/>
                        <a:ln w="28575" cap="flat" cmpd="sng">
                          <a:solidFill>
                            <a:srgbClr val="C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2200909</wp:posOffset>
                </wp:positionH>
                <wp:positionV relativeFrom="paragraph">
                  <wp:posOffset>2895283</wp:posOffset>
                </wp:positionV>
                <wp:extent cx="3362325" cy="28575"/>
                <wp:effectExtent b="0" l="0" r="0" t="0"/>
                <wp:wrapNone/>
                <wp:docPr id="4"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3362325" cy="28575"/>
                        </a:xfrm>
                        <a:prstGeom prst="rect"/>
                        <a:ln/>
                      </pic:spPr>
                    </pic:pic>
                  </a:graphicData>
                </a:graphic>
              </wp:anchor>
            </w:drawing>
          </mc:Fallback>
        </mc:AlternateContent>
      </w:r>
    </w:p>
    <w:p w14:paraId="55AFBE33" w14:textId="77777777" w:rsidR="00ED4C33" w:rsidRPr="00054F1A" w:rsidRDefault="00191702">
      <w:pPr>
        <w:spacing w:line="360" w:lineRule="auto"/>
        <w:ind w:right="-28"/>
        <w:jc w:val="center"/>
        <w:rPr>
          <w:rFonts w:ascii="Palatino Linotype" w:eastAsia="Palatino Linotype" w:hAnsi="Palatino Linotype" w:cs="Palatino Linotype"/>
          <w:b/>
          <w:bCs/>
        </w:rPr>
      </w:pPr>
      <w:r w:rsidRPr="00054F1A">
        <w:rPr>
          <w:rFonts w:ascii="Palatino Linotype" w:eastAsia="Palatino Linotype" w:hAnsi="Palatino Linotype" w:cs="Palatino Linotype"/>
          <w:b/>
          <w:bCs/>
          <w:noProof/>
        </w:rPr>
        <w:lastRenderedPageBreak/>
        <w:drawing>
          <wp:inline distT="0" distB="0" distL="0" distR="0" wp14:anchorId="06F6EBF4" wp14:editId="49C6ABE2">
            <wp:extent cx="5401429" cy="325800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401429" cy="3258005"/>
                    </a:xfrm>
                    <a:prstGeom prst="rect">
                      <a:avLst/>
                    </a:prstGeom>
                    <a:ln/>
                  </pic:spPr>
                </pic:pic>
              </a:graphicData>
            </a:graphic>
          </wp:inline>
        </w:drawing>
      </w:r>
      <w:r w:rsidRPr="00054F1A">
        <w:rPr>
          <w:noProof/>
        </w:rPr>
        <mc:AlternateContent>
          <mc:Choice Requires="wps">
            <w:drawing>
              <wp:anchor distT="0" distB="0" distL="114300" distR="114300" simplePos="0" relativeHeight="251660288" behindDoc="0" locked="0" layoutInCell="1" hidden="0" allowOverlap="1" wp14:anchorId="65BCD870" wp14:editId="18C82AA4">
                <wp:simplePos x="0" y="0"/>
                <wp:positionH relativeFrom="column">
                  <wp:posOffset>2419985</wp:posOffset>
                </wp:positionH>
                <wp:positionV relativeFrom="paragraph">
                  <wp:posOffset>273368</wp:posOffset>
                </wp:positionV>
                <wp:extent cx="1352550" cy="28575"/>
                <wp:effectExtent l="0" t="0" r="0" b="0"/>
                <wp:wrapNone/>
                <wp:docPr id="3" name="Conector recto de flecha 3"/>
                <wp:cNvGraphicFramePr/>
                <a:graphic xmlns:a="http://schemas.openxmlformats.org/drawingml/2006/main">
                  <a:graphicData uri="http://schemas.microsoft.com/office/word/2010/wordprocessingShape">
                    <wps:wsp>
                      <wps:cNvCnPr/>
                      <wps:spPr>
                        <a:xfrm>
                          <a:off x="4669725" y="3775238"/>
                          <a:ext cx="1352550" cy="9525"/>
                        </a:xfrm>
                        <a:prstGeom prst="straightConnector1">
                          <a:avLst/>
                        </a:prstGeom>
                        <a:noFill/>
                        <a:ln w="28575" cap="flat" cmpd="sng">
                          <a:solidFill>
                            <a:srgbClr val="C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2419985</wp:posOffset>
                </wp:positionH>
                <wp:positionV relativeFrom="paragraph">
                  <wp:posOffset>273368</wp:posOffset>
                </wp:positionV>
                <wp:extent cx="1352550" cy="28575"/>
                <wp:effectExtent b="0" l="0" r="0" t="0"/>
                <wp:wrapNone/>
                <wp:docPr id="3"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1352550" cy="28575"/>
                        </a:xfrm>
                        <a:prstGeom prst="rect"/>
                        <a:ln/>
                      </pic:spPr>
                    </pic:pic>
                  </a:graphicData>
                </a:graphic>
              </wp:anchor>
            </w:drawing>
          </mc:Fallback>
        </mc:AlternateContent>
      </w:r>
      <w:r w:rsidRPr="00054F1A">
        <w:rPr>
          <w:noProof/>
        </w:rPr>
        <mc:AlternateContent>
          <mc:Choice Requires="wps">
            <w:drawing>
              <wp:anchor distT="0" distB="0" distL="114300" distR="114300" simplePos="0" relativeHeight="251661312" behindDoc="0" locked="0" layoutInCell="1" hidden="0" allowOverlap="1" wp14:anchorId="521882E9" wp14:editId="1162FA5E">
                <wp:simplePos x="0" y="0"/>
                <wp:positionH relativeFrom="column">
                  <wp:posOffset>410845</wp:posOffset>
                </wp:positionH>
                <wp:positionV relativeFrom="paragraph">
                  <wp:posOffset>2616518</wp:posOffset>
                </wp:positionV>
                <wp:extent cx="1352550" cy="28575"/>
                <wp:effectExtent l="0" t="0" r="0" b="0"/>
                <wp:wrapNone/>
                <wp:docPr id="5" name="Conector recto de flecha 5"/>
                <wp:cNvGraphicFramePr/>
                <a:graphic xmlns:a="http://schemas.openxmlformats.org/drawingml/2006/main">
                  <a:graphicData uri="http://schemas.microsoft.com/office/word/2010/wordprocessingShape">
                    <wps:wsp>
                      <wps:cNvCnPr/>
                      <wps:spPr>
                        <a:xfrm>
                          <a:off x="4669725" y="3775238"/>
                          <a:ext cx="1352550" cy="9525"/>
                        </a:xfrm>
                        <a:prstGeom prst="straightConnector1">
                          <a:avLst/>
                        </a:prstGeom>
                        <a:noFill/>
                        <a:ln w="28575" cap="flat" cmpd="sng">
                          <a:solidFill>
                            <a:srgbClr val="C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410845</wp:posOffset>
                </wp:positionH>
                <wp:positionV relativeFrom="paragraph">
                  <wp:posOffset>2616518</wp:posOffset>
                </wp:positionV>
                <wp:extent cx="1352550" cy="28575"/>
                <wp:effectExtent b="0" l="0" r="0" t="0"/>
                <wp:wrapNone/>
                <wp:docPr id="5"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1352550" cy="28575"/>
                        </a:xfrm>
                        <a:prstGeom prst="rect"/>
                        <a:ln/>
                      </pic:spPr>
                    </pic:pic>
                  </a:graphicData>
                </a:graphic>
              </wp:anchor>
            </w:drawing>
          </mc:Fallback>
        </mc:AlternateContent>
      </w:r>
    </w:p>
    <w:p w14:paraId="522084F7" w14:textId="77777777" w:rsidR="00ED4C33" w:rsidRPr="00054F1A" w:rsidRDefault="00ED4C33">
      <w:pPr>
        <w:spacing w:line="360" w:lineRule="auto"/>
        <w:ind w:right="-28"/>
        <w:jc w:val="center"/>
        <w:rPr>
          <w:rFonts w:ascii="Palatino Linotype" w:eastAsia="Palatino Linotype" w:hAnsi="Palatino Linotype" w:cs="Palatino Linotype"/>
          <w:b/>
          <w:bCs/>
        </w:rPr>
      </w:pPr>
    </w:p>
    <w:p w14:paraId="4499DAC9" w14:textId="77777777" w:rsidR="00ED4C33" w:rsidRPr="00054F1A" w:rsidRDefault="00191702">
      <w:pPr>
        <w:spacing w:line="360" w:lineRule="auto"/>
        <w:ind w:right="-28"/>
        <w:jc w:val="both"/>
        <w:rPr>
          <w:rFonts w:ascii="Palatino Linotype" w:eastAsia="Palatino Linotype" w:hAnsi="Palatino Linotype" w:cs="Palatino Linotype"/>
        </w:rPr>
      </w:pPr>
      <w:r w:rsidRPr="00054F1A">
        <w:rPr>
          <w:rFonts w:ascii="Palatino Linotype" w:eastAsia="Palatino Linotype" w:hAnsi="Palatino Linotype" w:cs="Palatino Linotype"/>
          <w:noProof/>
        </w:rPr>
        <w:drawing>
          <wp:inline distT="0" distB="0" distL="0" distR="0" wp14:anchorId="1D2B93D6" wp14:editId="2BD32840">
            <wp:extent cx="6192520" cy="30099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6192520" cy="3009900"/>
                    </a:xfrm>
                    <a:prstGeom prst="rect">
                      <a:avLst/>
                    </a:prstGeom>
                    <a:ln/>
                  </pic:spPr>
                </pic:pic>
              </a:graphicData>
            </a:graphic>
          </wp:inline>
        </w:drawing>
      </w:r>
      <w:r w:rsidRPr="00054F1A">
        <w:rPr>
          <w:noProof/>
        </w:rPr>
        <mc:AlternateContent>
          <mc:Choice Requires="wps">
            <w:drawing>
              <wp:anchor distT="0" distB="0" distL="114300" distR="114300" simplePos="0" relativeHeight="251662336" behindDoc="0" locked="0" layoutInCell="1" hidden="0" allowOverlap="1" wp14:anchorId="5EBBD8DE" wp14:editId="677BB0A3">
                <wp:simplePos x="0" y="0"/>
                <wp:positionH relativeFrom="column">
                  <wp:posOffset>782320</wp:posOffset>
                </wp:positionH>
                <wp:positionV relativeFrom="paragraph">
                  <wp:posOffset>1382078</wp:posOffset>
                </wp:positionV>
                <wp:extent cx="1352550" cy="28575"/>
                <wp:effectExtent l="0" t="0" r="0" b="0"/>
                <wp:wrapNone/>
                <wp:docPr id="1" name="Conector recto de flecha 1"/>
                <wp:cNvGraphicFramePr/>
                <a:graphic xmlns:a="http://schemas.openxmlformats.org/drawingml/2006/main">
                  <a:graphicData uri="http://schemas.microsoft.com/office/word/2010/wordprocessingShape">
                    <wps:wsp>
                      <wps:cNvCnPr/>
                      <wps:spPr>
                        <a:xfrm>
                          <a:off x="4669725" y="3775238"/>
                          <a:ext cx="1352550" cy="9525"/>
                        </a:xfrm>
                        <a:prstGeom prst="straightConnector1">
                          <a:avLst/>
                        </a:prstGeom>
                        <a:noFill/>
                        <a:ln w="28575" cap="flat" cmpd="sng">
                          <a:solidFill>
                            <a:srgbClr val="C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782320</wp:posOffset>
                </wp:positionH>
                <wp:positionV relativeFrom="paragraph">
                  <wp:posOffset>1382078</wp:posOffset>
                </wp:positionV>
                <wp:extent cx="1352550" cy="28575"/>
                <wp:effectExtent b="0" l="0" r="0" t="0"/>
                <wp:wrapNone/>
                <wp:docPr id="1"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1352550" cy="28575"/>
                        </a:xfrm>
                        <a:prstGeom prst="rect"/>
                        <a:ln/>
                      </pic:spPr>
                    </pic:pic>
                  </a:graphicData>
                </a:graphic>
              </wp:anchor>
            </w:drawing>
          </mc:Fallback>
        </mc:AlternateContent>
      </w:r>
    </w:p>
    <w:p w14:paraId="5D6B2FCD" w14:textId="77777777" w:rsidR="00ED4C33" w:rsidRPr="00054F1A" w:rsidRDefault="00ED4C33">
      <w:pPr>
        <w:spacing w:line="360" w:lineRule="auto"/>
        <w:ind w:right="-28"/>
        <w:jc w:val="both"/>
        <w:rPr>
          <w:rFonts w:ascii="Palatino Linotype" w:eastAsia="Palatino Linotype" w:hAnsi="Palatino Linotype" w:cs="Palatino Linotype"/>
        </w:rPr>
      </w:pPr>
    </w:p>
    <w:p w14:paraId="7415C30E"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lastRenderedPageBreak/>
        <w:t xml:space="preserve">En consecuencia, del análisis realizado a las documentales proporcionadas, no se advierte que 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tenga acceso, administre o posea los documentos donde se conste la información solicitada.</w:t>
      </w:r>
    </w:p>
    <w:p w14:paraId="01E8EC65" w14:textId="77777777" w:rsidR="00690CBA" w:rsidRPr="00054F1A" w:rsidRDefault="00690CBA" w:rsidP="00690CBA">
      <w:pPr>
        <w:spacing w:line="360" w:lineRule="auto"/>
        <w:ind w:right="-28"/>
        <w:jc w:val="both"/>
        <w:rPr>
          <w:rFonts w:ascii="Palatino Linotype" w:eastAsia="Palatino Linotype" w:hAnsi="Palatino Linotype" w:cs="Palatino Linotype"/>
        </w:rPr>
      </w:pPr>
    </w:p>
    <w:p w14:paraId="5FC19F5A" w14:textId="77777777" w:rsidR="00690CBA" w:rsidRPr="00054F1A" w:rsidRDefault="00690CBA" w:rsidP="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Correlativo a lo anterior, el Manual de Organización de la Gubernatura establece que su estructura orgánica se integra de la siguiente manera: </w:t>
      </w:r>
    </w:p>
    <w:p w14:paraId="220B3689" w14:textId="77777777" w:rsidR="00690CBA" w:rsidRPr="00054F1A" w:rsidRDefault="00690CBA" w:rsidP="00690CBA">
      <w:pPr>
        <w:spacing w:line="360" w:lineRule="auto"/>
        <w:ind w:right="-28"/>
        <w:jc w:val="both"/>
        <w:rPr>
          <w:rFonts w:ascii="Palatino Linotype" w:eastAsia="Palatino Linotype" w:hAnsi="Palatino Linotype" w:cs="Palatino Linotype"/>
        </w:rPr>
      </w:pPr>
    </w:p>
    <w:p w14:paraId="2337F366" w14:textId="77777777" w:rsidR="00690CBA" w:rsidRPr="00054F1A" w:rsidRDefault="00690CBA" w:rsidP="00690CBA">
      <w:pPr>
        <w:spacing w:line="360" w:lineRule="auto"/>
        <w:ind w:right="-28"/>
        <w:jc w:val="center"/>
        <w:rPr>
          <w:rFonts w:ascii="Palatino Linotype" w:eastAsia="Palatino Linotype" w:hAnsi="Palatino Linotype" w:cs="Palatino Linotype"/>
        </w:rPr>
      </w:pPr>
      <w:r w:rsidRPr="00054F1A">
        <w:rPr>
          <w:rFonts w:ascii="Palatino Linotype" w:eastAsia="Palatino Linotype" w:hAnsi="Palatino Linotype" w:cs="Palatino Linotype"/>
          <w:noProof/>
        </w:rPr>
        <w:drawing>
          <wp:inline distT="0" distB="0" distL="0" distR="0" wp14:anchorId="0F343DF3" wp14:editId="623959DC">
            <wp:extent cx="3946754" cy="2929307"/>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58762" cy="2938219"/>
                    </a:xfrm>
                    <a:prstGeom prst="rect">
                      <a:avLst/>
                    </a:prstGeom>
                  </pic:spPr>
                </pic:pic>
              </a:graphicData>
            </a:graphic>
          </wp:inline>
        </w:drawing>
      </w:r>
    </w:p>
    <w:p w14:paraId="34814A6D" w14:textId="77777777" w:rsidR="00ED4C33" w:rsidRPr="00054F1A" w:rsidRDefault="00ED4C33">
      <w:pPr>
        <w:rPr>
          <w:rFonts w:ascii="Palatino Linotype" w:eastAsia="Palatino Linotype" w:hAnsi="Palatino Linotype" w:cs="Palatino Linotype"/>
        </w:rPr>
      </w:pPr>
    </w:p>
    <w:p w14:paraId="5F10FE2E" w14:textId="77777777" w:rsidR="00191702"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Del mismo ordenamiento legal, se advierte que el </w:t>
      </w:r>
      <w:r w:rsidRPr="00054F1A">
        <w:rPr>
          <w:rFonts w:ascii="Palatino Linotype" w:eastAsia="Palatino Linotype" w:hAnsi="Palatino Linotype" w:cs="Palatino Linotype"/>
          <w:b/>
        </w:rPr>
        <w:t>SUJETO OBLIGADO</w:t>
      </w:r>
      <w:r w:rsidRPr="00054F1A">
        <w:rPr>
          <w:rFonts w:ascii="Palatino Linotype" w:eastAsia="Palatino Linotype" w:hAnsi="Palatino Linotype" w:cs="Palatino Linotype"/>
        </w:rPr>
        <w:t xml:space="preserve"> no cuenta con las funciones y atribuciones para generar, poseer y/o administrar la información solicitada; como se observa:</w:t>
      </w:r>
    </w:p>
    <w:p w14:paraId="29F40899" w14:textId="77777777" w:rsidR="00191702" w:rsidRPr="00054F1A" w:rsidRDefault="00191702" w:rsidP="00191702">
      <w:pPr>
        <w:spacing w:line="360" w:lineRule="auto"/>
        <w:ind w:right="-28"/>
        <w:jc w:val="both"/>
        <w:rPr>
          <w:rFonts w:ascii="Palatino Linotype" w:eastAsia="Palatino Linotype" w:hAnsi="Palatino Linotype" w:cs="Palatino Linotype"/>
        </w:rPr>
      </w:pPr>
    </w:p>
    <w:p w14:paraId="11FA9FEA" w14:textId="77777777" w:rsidR="00191702" w:rsidRPr="00054F1A" w:rsidRDefault="00191702" w:rsidP="00A5515C">
      <w:pPr>
        <w:ind w:left="567" w:right="538"/>
        <w:jc w:val="center"/>
        <w:rPr>
          <w:rFonts w:ascii="Palatino Linotype" w:hAnsi="Palatino Linotype"/>
          <w:i/>
        </w:rPr>
      </w:pPr>
      <w:r w:rsidRPr="00054F1A">
        <w:rPr>
          <w:rFonts w:ascii="Palatino Linotype" w:hAnsi="Palatino Linotype"/>
          <w:i/>
        </w:rPr>
        <w:t xml:space="preserve">"... </w:t>
      </w:r>
      <w:r w:rsidRPr="00054F1A">
        <w:rPr>
          <w:rFonts w:ascii="Palatino Linotype" w:hAnsi="Palatino Linotype"/>
          <w:b/>
          <w:i/>
        </w:rPr>
        <w:t>V. OBJETIVO Y FUNCIONES POR UNIDAD ADMINISTRATIVA</w:t>
      </w:r>
    </w:p>
    <w:p w14:paraId="56D58EAD" w14:textId="77777777" w:rsidR="00191702" w:rsidRPr="00054F1A" w:rsidRDefault="00191702" w:rsidP="00A5515C">
      <w:pPr>
        <w:ind w:left="567" w:right="538"/>
        <w:jc w:val="center"/>
        <w:rPr>
          <w:rFonts w:ascii="Palatino Linotype" w:hAnsi="Palatino Linotype"/>
          <w:i/>
        </w:rPr>
      </w:pPr>
    </w:p>
    <w:p w14:paraId="59CF654D" w14:textId="77777777" w:rsidR="00191702" w:rsidRPr="00054F1A" w:rsidRDefault="00191702" w:rsidP="00A5515C">
      <w:pPr>
        <w:ind w:left="567" w:right="538"/>
        <w:jc w:val="center"/>
        <w:rPr>
          <w:rFonts w:ascii="Palatino Linotype" w:hAnsi="Palatino Linotype"/>
          <w:b/>
          <w:i/>
        </w:rPr>
      </w:pPr>
      <w:r w:rsidRPr="00054F1A">
        <w:rPr>
          <w:rFonts w:ascii="Palatino Linotype" w:hAnsi="Palatino Linotype"/>
          <w:b/>
          <w:i/>
        </w:rPr>
        <w:t>201100000 SECRETARÍA PARTICULAR</w:t>
      </w:r>
    </w:p>
    <w:p w14:paraId="046E2EBE"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OBJETIVO: </w:t>
      </w:r>
    </w:p>
    <w:p w14:paraId="1203D47E"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lastRenderedPageBreak/>
        <w:t xml:space="preserve">Contribuir al eficiente desarrollo de las funciones de la o del titular del Ejecutivo Estatal, mediante la organización y coordinación de las actividades propias de su cargo, así como mantenerla o mantenerlo informado sobre los compromisos oficiales contraídos. </w:t>
      </w:r>
    </w:p>
    <w:p w14:paraId="37FB925B" w14:textId="77777777" w:rsidR="00191702" w:rsidRPr="00054F1A" w:rsidRDefault="00191702" w:rsidP="00A5515C">
      <w:pPr>
        <w:ind w:left="567" w:right="538"/>
        <w:jc w:val="both"/>
        <w:rPr>
          <w:rFonts w:ascii="Palatino Linotype" w:hAnsi="Palatino Linotype"/>
          <w:i/>
        </w:rPr>
      </w:pPr>
    </w:p>
    <w:p w14:paraId="492A89D2"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FUNCIONES: </w:t>
      </w:r>
    </w:p>
    <w:p w14:paraId="7FF6122E"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-Programar, previo acuerdo con la o el titular del Ejecutivo Estatal, las solicitudes de audiencias, acuerdos, reuniones de trabajo, visitas, giras, entrevistas y demás eventos en los que la o el C. Gobernador deba participar, a fin de calendarizar y coordinar la realización de sus actividades. </w:t>
      </w:r>
    </w:p>
    <w:p w14:paraId="1E246733"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-Atender las solicitudes de audiencia personales y por escrito, que las y los ciudadanos formulen a la o al titular del Ejecutivo Estatal. </w:t>
      </w:r>
    </w:p>
    <w:p w14:paraId="7597C5FF"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-Registrar en la agenda de la o del titular del Ejecutivo Estatal, los compromisos derivados de sus funciones. </w:t>
      </w:r>
    </w:p>
    <w:p w14:paraId="5A93C9DC"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-Acordar periódicamente con la C. Gobernadora o el C. Gobernador, a fin de enterarla o enterarlo de los asuntos que le sean planteados en forma verbal o por escrito. </w:t>
      </w:r>
    </w:p>
    <w:p w14:paraId="72B3F16F"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-Preparar las reuniones de trabajo de la o del C. Gobernador con la o el C. Presidente de la República y con funcionarias y funcionarios de las dependencias de las diferentes instancias de Gobierno, proporcionándole la información necesaria para apoyar la adecuada toma de decisiones. </w:t>
      </w:r>
    </w:p>
    <w:p w14:paraId="7C421A78"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-Coordinar, dirigir y controlar las actividades de las unidades administrativas adscritas a la Secretaría Particular. </w:t>
      </w:r>
    </w:p>
    <w:p w14:paraId="0EFE6435" w14:textId="77777777" w:rsidR="00A5515C" w:rsidRPr="00054F1A" w:rsidRDefault="00191702" w:rsidP="00A5515C">
      <w:pPr>
        <w:ind w:left="567" w:right="538"/>
        <w:jc w:val="both"/>
        <w:rPr>
          <w:rFonts w:ascii="Palatino Linotype" w:hAnsi="Palatino Linotype"/>
          <w:i/>
        </w:rPr>
      </w:pPr>
      <w:r w:rsidRPr="00054F1A">
        <w:rPr>
          <w:rFonts w:ascii="Palatino Linotype" w:hAnsi="Palatino Linotype"/>
          <w:i/>
        </w:rPr>
        <w:t xml:space="preserve">-Coordinar los mecanismos de seguimiento a las instrucciones giradas por la C. Gobernadora o el C. Gobernador, tanto en las giras y eventos, como en la documentación que le sea presentada en audiencias y acuerdos. </w:t>
      </w:r>
    </w:p>
    <w:p w14:paraId="50570D69"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Coordinar la elaboración de los programas de actividades y supervisar que todo evento en el que participe la o el C. Gobernador, se realice conforme a lo previsto. </w:t>
      </w:r>
    </w:p>
    <w:p w14:paraId="36AA4BEA"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Supervisar, con base en el programa de giras de la o del C. Gobernador, la oportuna atención de los requerimientos para cada una de ellas, y coordinarse con las áreas correspondientes. </w:t>
      </w:r>
    </w:p>
    <w:p w14:paraId="3E2F1086"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Recibir y turnar las instrucciones de la C. Gobernadora o del C. Gobernador, a las y los titulares de las dependencias, realizando su seguimiento a fin de verificar su cumplimiento. </w:t>
      </w:r>
    </w:p>
    <w:p w14:paraId="2E99A738"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Establecer comunicación y coordinarse con las y los funcionarios designados por la o el C. Gobernador, para que asistan en su representación a diversos actos y/o eventos. </w:t>
      </w:r>
    </w:p>
    <w:p w14:paraId="57B0CE35"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Apoyar con oportunidad, eficacia y eficiencia los asuntos que atienda directamente la o el titular del Ejecutivo Estatal, garantizando el cumplimiento de los acuerdos y decisiones que dicte en cada caso. </w:t>
      </w:r>
    </w:p>
    <w:p w14:paraId="34E3B04E"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Establecer coordinación con autoridades federales, estatales y municipales, cuando las funciones propias de la o del C. Gobernador, así lo requieran. </w:t>
      </w:r>
    </w:p>
    <w:p w14:paraId="1DEF6D24"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lastRenderedPageBreak/>
        <w:t>-</w:t>
      </w:r>
      <w:r w:rsidR="00191702" w:rsidRPr="00054F1A">
        <w:rPr>
          <w:rFonts w:ascii="Palatino Linotype" w:hAnsi="Palatino Linotype"/>
          <w:i/>
        </w:rPr>
        <w:t>Controlar y tramitar la correspondencia dirigida a la C. Gobernadora o al C. Gobernador, así como analizar la información y llevar el control de la gestión de los compromisos del mismo.</w:t>
      </w:r>
    </w:p>
    <w:p w14:paraId="053AB887" w14:textId="77777777" w:rsidR="00191702"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Desarrollar las demás funciones inherentes al área de su competencia y las que le encomiende la o el C. Gobernador. </w:t>
      </w:r>
    </w:p>
    <w:p w14:paraId="38C5BA3B" w14:textId="77777777" w:rsidR="00191702" w:rsidRPr="00054F1A" w:rsidRDefault="00191702" w:rsidP="00A5515C">
      <w:pPr>
        <w:ind w:left="567" w:right="538"/>
        <w:jc w:val="both"/>
        <w:rPr>
          <w:rFonts w:ascii="Palatino Linotype" w:hAnsi="Palatino Linotype"/>
          <w:i/>
        </w:rPr>
      </w:pPr>
    </w:p>
    <w:p w14:paraId="14864333" w14:textId="77777777" w:rsidR="00191702" w:rsidRPr="00054F1A" w:rsidRDefault="00191702" w:rsidP="00A5515C">
      <w:pPr>
        <w:ind w:left="567" w:right="538"/>
        <w:jc w:val="center"/>
        <w:rPr>
          <w:rFonts w:ascii="Palatino Linotype" w:hAnsi="Palatino Linotype"/>
          <w:b/>
          <w:i/>
        </w:rPr>
      </w:pPr>
      <w:r w:rsidRPr="00054F1A">
        <w:rPr>
          <w:rFonts w:ascii="Palatino Linotype" w:hAnsi="Palatino Linotype"/>
          <w:b/>
          <w:i/>
        </w:rPr>
        <w:t>201200000 SECRETARÍA PARTICULAR ADJUNTA</w:t>
      </w:r>
    </w:p>
    <w:p w14:paraId="7DCCC63A" w14:textId="77777777" w:rsidR="00A5515C" w:rsidRPr="00054F1A" w:rsidRDefault="00A5515C" w:rsidP="00A5515C">
      <w:pPr>
        <w:ind w:left="567" w:right="538"/>
        <w:jc w:val="center"/>
        <w:rPr>
          <w:rFonts w:ascii="Palatino Linotype" w:hAnsi="Palatino Linotype"/>
          <w:b/>
          <w:i/>
        </w:rPr>
      </w:pPr>
    </w:p>
    <w:p w14:paraId="33DDA2F2"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OBJETIVO: </w:t>
      </w:r>
    </w:p>
    <w:p w14:paraId="58C0EBC3"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Coadyuvar en las actividades que realiza la C. Gobernadora o el C. Gobernador en giras, eventos, reuniones u otras, mediante el otorgamiento oportuno de apoyos informativos, de comunicación y atención directa, así como instruir el seguimiento de los asuntos que le sean turnados por la o el titular del Ejecutivo Estatal.</w:t>
      </w:r>
    </w:p>
    <w:p w14:paraId="7C218D79" w14:textId="77777777" w:rsidR="00191702" w:rsidRPr="00054F1A" w:rsidRDefault="00191702" w:rsidP="00A5515C">
      <w:pPr>
        <w:ind w:left="567" w:right="538"/>
        <w:jc w:val="both"/>
        <w:rPr>
          <w:rFonts w:ascii="Palatino Linotype" w:hAnsi="Palatino Linotype"/>
          <w:i/>
        </w:rPr>
      </w:pPr>
    </w:p>
    <w:p w14:paraId="2E3D61E8"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FUNCIONES: </w:t>
      </w:r>
    </w:p>
    <w:p w14:paraId="03E1BA02"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Asistir a la o al C. Gobernador en sus giras, reuniones y demás eventos en los que participe. </w:t>
      </w:r>
    </w:p>
    <w:p w14:paraId="05A97F19"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Integrar la información y documentos que requiera la C. Gobernadora o el C. Gobernador, en las actividades que realiza. </w:t>
      </w:r>
    </w:p>
    <w:p w14:paraId="527DA78A"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Atender y canalizar a las instancias correspondientes, a las personas que instruya la o el C. Gobernador. </w:t>
      </w:r>
    </w:p>
    <w:p w14:paraId="39914195"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Tramitar los asuntos que la o el titular del Ejecutivo Estatal le encomiende, y realizar el seguimiento en su atención. </w:t>
      </w:r>
    </w:p>
    <w:p w14:paraId="148DD2EA"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Revisar, analizar y resumir la información emitida en los medios de comunicación y órganos institucionales de los Gobiernos Estatal y Federal, para hacerla del conocimiento de la o del titular del Ejecutivo y de la Secretaria Particular. </w:t>
      </w:r>
    </w:p>
    <w:p w14:paraId="1FE1100F"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Mantener comunicación permanente con las áreas competentes, para coordinarse en el desarrollo de giras de trabajo y eventos, puntualizando la forma y los tiempos de éstas, y las necesidades de información o de apoyos materiales que se requieran. </w:t>
      </w:r>
    </w:p>
    <w:p w14:paraId="1831DA01"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Remitir a las instancias correspondientes las solicitudes y demandas de la población, recibidas por la o el C. Gobernador en los actos que participа. </w:t>
      </w:r>
    </w:p>
    <w:p w14:paraId="4B8527F0" w14:textId="77777777" w:rsidR="00191702"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Desarrollar las demás funciones inherentes al área de su competencia y las que le encomiende la o el titular del Ejecutivo Estatal y la Secretaria o el Secretario Particular de la o del C. Gobernador. </w:t>
      </w:r>
    </w:p>
    <w:p w14:paraId="4E59F848" w14:textId="77777777" w:rsidR="00191702" w:rsidRPr="00054F1A" w:rsidRDefault="00191702" w:rsidP="00A5515C">
      <w:pPr>
        <w:ind w:left="567" w:right="538"/>
        <w:jc w:val="both"/>
        <w:rPr>
          <w:rFonts w:ascii="Palatino Linotype" w:hAnsi="Palatino Linotype"/>
          <w:i/>
        </w:rPr>
      </w:pPr>
    </w:p>
    <w:p w14:paraId="6C96B0AE" w14:textId="77777777" w:rsidR="00191702" w:rsidRPr="00054F1A" w:rsidRDefault="00191702" w:rsidP="00A5515C">
      <w:pPr>
        <w:ind w:left="567" w:right="538"/>
        <w:jc w:val="center"/>
        <w:rPr>
          <w:rFonts w:ascii="Palatino Linotype" w:hAnsi="Palatino Linotype"/>
          <w:b/>
          <w:i/>
        </w:rPr>
      </w:pPr>
      <w:r w:rsidRPr="00054F1A">
        <w:rPr>
          <w:rFonts w:ascii="Palatino Linotype" w:hAnsi="Palatino Linotype"/>
          <w:b/>
          <w:i/>
        </w:rPr>
        <w:t>201120000 SECRETARÍA AUXILIAR</w:t>
      </w:r>
    </w:p>
    <w:p w14:paraId="6C04EAD6" w14:textId="77777777" w:rsidR="00191702" w:rsidRPr="00054F1A" w:rsidRDefault="00191702" w:rsidP="00A5515C">
      <w:pPr>
        <w:ind w:left="567" w:right="538"/>
        <w:jc w:val="both"/>
        <w:rPr>
          <w:rFonts w:ascii="Palatino Linotype" w:hAnsi="Palatino Linotype"/>
          <w:i/>
        </w:rPr>
      </w:pPr>
    </w:p>
    <w:p w14:paraId="13B1F5AD"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OBJETIVO: </w:t>
      </w:r>
    </w:p>
    <w:p w14:paraId="2D2AB0E9"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lastRenderedPageBreak/>
        <w:t xml:space="preserve">Apoyar a la o al Secretario Particular de la C. Gobernadora o del C. Gobernador del Estado, en la atención y tramitación de los asuntos que le confiera. </w:t>
      </w:r>
    </w:p>
    <w:p w14:paraId="59D1A3EC" w14:textId="77777777" w:rsidR="00A5515C" w:rsidRPr="00054F1A" w:rsidRDefault="00A5515C" w:rsidP="00A5515C">
      <w:pPr>
        <w:ind w:left="567" w:right="538"/>
        <w:jc w:val="both"/>
        <w:rPr>
          <w:rFonts w:ascii="Palatino Linotype" w:hAnsi="Palatino Linotype"/>
          <w:i/>
        </w:rPr>
      </w:pPr>
    </w:p>
    <w:p w14:paraId="5A8A874C"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FUNCIONES: </w:t>
      </w:r>
    </w:p>
    <w:p w14:paraId="0F756466"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Coordinar y atender los asuntos, así como desempeñar las comisiones que la o el Secretario Particular de la o del C. Gobernador le encomiende. </w:t>
      </w:r>
    </w:p>
    <w:p w14:paraId="25996536"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Apoyar a la o al Secretario Particular de la C. Gobernadora o del C. Gobernador en la planeación, coordinación, organización y supervisión de los programas para la celebración de los actos públicos y privados, que presida la o el titular del Poder Ejecutivo. </w:t>
      </w:r>
    </w:p>
    <w:p w14:paraId="08CC9F63"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Coadyuvar en el desarrollo de las audiencias que le sean delegadas por la o el Secretario Particular. </w:t>
      </w:r>
      <w:r w:rsidRPr="00054F1A">
        <w:rPr>
          <w:rFonts w:ascii="Palatino Linotype" w:hAnsi="Palatino Linotype"/>
          <w:i/>
        </w:rPr>
        <w:t>-</w:t>
      </w:r>
      <w:r w:rsidR="00191702" w:rsidRPr="00054F1A">
        <w:rPr>
          <w:rFonts w:ascii="Palatino Linotype" w:hAnsi="Palatino Linotype"/>
          <w:i/>
        </w:rPr>
        <w:t xml:space="preserve">Efectuar el seguimiento e informar a la Secretaria Particular de la o del C. Gobernador, sobre el cumplimiento de los acuerdos y asuntos turnados a las diversas instancias gubernamentales, así como a los diferentes sectores de la sociedad. </w:t>
      </w:r>
    </w:p>
    <w:p w14:paraId="2D0B597B"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Recibir, turnar y supervisar la adecuada y oportuna atención de demandas y solicitudes planteadas a la C. Gobernadora o al C. Gobernador. </w:t>
      </w:r>
    </w:p>
    <w:p w14:paraId="27748639"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Supervisar que los apoyos que se requieran para el desarrollo de los actos, eventos y ceremonias en que participe el C. Gobernador, se proporcionen de manera eficiente, oportuna y en los términos requeridos. </w:t>
      </w:r>
    </w:p>
    <w:p w14:paraId="3C4DF793"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Vigilar la recepción, trámite y control de la correspondencia dirigida a la o al titular del Ejecutivo Estatal. </w:t>
      </w:r>
    </w:p>
    <w:p w14:paraId="161F8517"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Supervisar que las audiencias públicas se desarrollen conforme a las normas y lineamientos que determine la o el titular del Ejecutivo Estatal, garantizando óptimos resultados. </w:t>
      </w:r>
    </w:p>
    <w:p w14:paraId="52419028"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Suplir a la Secretaria o al Secretario Particular de la C. Gobernadora o del C. Gobernador en sus ausencias para la atención del despacho de los asuntos a su cargo. </w:t>
      </w:r>
    </w:p>
    <w:p w14:paraId="38442F57" w14:textId="77777777" w:rsidR="00191702"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Desarrollar las demás funciones inherentes al área de su competencia y las que le encomiende la o el titular del Ejecutivo Estatal y la Secretaria o el Secretario Particular de la o del C. Gobernador. </w:t>
      </w:r>
    </w:p>
    <w:p w14:paraId="2AD8EA28" w14:textId="77777777" w:rsidR="00191702" w:rsidRPr="00054F1A" w:rsidRDefault="00191702" w:rsidP="00A5515C">
      <w:pPr>
        <w:ind w:left="567" w:right="538"/>
        <w:jc w:val="both"/>
        <w:rPr>
          <w:rFonts w:ascii="Palatino Linotype" w:hAnsi="Palatino Linotype"/>
          <w:i/>
        </w:rPr>
      </w:pPr>
    </w:p>
    <w:p w14:paraId="5E9BDA4B" w14:textId="77777777" w:rsidR="00191702" w:rsidRPr="00054F1A" w:rsidRDefault="00191702" w:rsidP="00A5515C">
      <w:pPr>
        <w:ind w:left="567" w:right="538"/>
        <w:jc w:val="center"/>
        <w:rPr>
          <w:rFonts w:ascii="Palatino Linotype" w:hAnsi="Palatino Linotype"/>
          <w:b/>
          <w:i/>
        </w:rPr>
      </w:pPr>
      <w:r w:rsidRPr="00054F1A">
        <w:rPr>
          <w:rFonts w:ascii="Palatino Linotype" w:hAnsi="Palatino Linotype"/>
          <w:b/>
          <w:i/>
        </w:rPr>
        <w:t>201101000 SECRETARÍA PRIVADA</w:t>
      </w:r>
    </w:p>
    <w:p w14:paraId="1C126051" w14:textId="77777777" w:rsidR="00191702" w:rsidRPr="00054F1A" w:rsidRDefault="00191702" w:rsidP="00A5515C">
      <w:pPr>
        <w:ind w:left="567" w:right="538"/>
        <w:jc w:val="both"/>
        <w:rPr>
          <w:rFonts w:ascii="Palatino Linotype" w:hAnsi="Palatino Linotype"/>
          <w:b/>
          <w:i/>
        </w:rPr>
      </w:pPr>
    </w:p>
    <w:p w14:paraId="0805BA94"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OBJETIVO: </w:t>
      </w:r>
    </w:p>
    <w:p w14:paraId="5ED36740" w14:textId="77777777" w:rsidR="00191702" w:rsidRPr="00054F1A" w:rsidRDefault="00191702" w:rsidP="00A5515C">
      <w:pPr>
        <w:ind w:left="567" w:right="538"/>
        <w:jc w:val="both"/>
        <w:rPr>
          <w:rFonts w:ascii="Palatino Linotype" w:hAnsi="Palatino Linotype"/>
          <w:i/>
        </w:rPr>
      </w:pPr>
      <w:r w:rsidRPr="00054F1A">
        <w:rPr>
          <w:rFonts w:ascii="Palatino Linotype" w:hAnsi="Palatino Linotype"/>
          <w:i/>
        </w:rPr>
        <w:t xml:space="preserve">Brindar atención directa a la C. Gobernadora o al C. Gobernador en las actividades de carácter privado, supervisando su desarrollo y realizando su seguimiento. </w:t>
      </w:r>
    </w:p>
    <w:p w14:paraId="6F2CF7E3" w14:textId="77777777" w:rsidR="00191702" w:rsidRPr="00054F1A" w:rsidRDefault="00191702" w:rsidP="00A5515C">
      <w:pPr>
        <w:ind w:left="567" w:right="538"/>
        <w:jc w:val="both"/>
        <w:rPr>
          <w:rFonts w:ascii="Palatino Linotype" w:hAnsi="Palatino Linotype"/>
          <w:i/>
        </w:rPr>
      </w:pPr>
    </w:p>
    <w:p w14:paraId="2B2EA00D" w14:textId="77777777" w:rsidR="00191702" w:rsidRPr="00054F1A" w:rsidRDefault="00191702" w:rsidP="00A5515C">
      <w:pPr>
        <w:ind w:left="567" w:right="538"/>
        <w:jc w:val="both"/>
        <w:rPr>
          <w:rFonts w:ascii="Palatino Linotype" w:hAnsi="Palatino Linotype"/>
          <w:b/>
          <w:i/>
        </w:rPr>
      </w:pPr>
      <w:r w:rsidRPr="00054F1A">
        <w:rPr>
          <w:rFonts w:ascii="Palatino Linotype" w:hAnsi="Palatino Linotype"/>
          <w:b/>
          <w:i/>
        </w:rPr>
        <w:t xml:space="preserve">FUNCIONES: </w:t>
      </w:r>
    </w:p>
    <w:p w14:paraId="36BECB72"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Atender los asuntos privados que le encomiende la o el C. Gobernador. </w:t>
      </w:r>
    </w:p>
    <w:p w14:paraId="508F9B25"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lastRenderedPageBreak/>
        <w:t>-</w:t>
      </w:r>
      <w:r w:rsidR="00191702" w:rsidRPr="00054F1A">
        <w:rPr>
          <w:rFonts w:ascii="Palatino Linotype" w:hAnsi="Palatino Linotype"/>
          <w:i/>
        </w:rPr>
        <w:t>Procurar atención a las personas que asisten a audiencia con la o el</w:t>
      </w:r>
      <w:r w:rsidRPr="00054F1A">
        <w:rPr>
          <w:rFonts w:ascii="Palatino Linotype" w:hAnsi="Palatino Linotype"/>
          <w:i/>
        </w:rPr>
        <w:t xml:space="preserve"> titular del Ejecutivo Estatal.</w:t>
      </w:r>
    </w:p>
    <w:p w14:paraId="303FC644"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Supervisar que las actividades oficiales que presida la o el C. Gobernador, se realicen conforme al protocolo que para el efecto corresponda. </w:t>
      </w:r>
    </w:p>
    <w:p w14:paraId="19A5E0CB"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Asistir a la C. Gobernadora o al C. Gobernador en las reuniones de trabajo que se realicen en recintos oficiales. </w:t>
      </w:r>
    </w:p>
    <w:p w14:paraId="0BAD872B"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Supervisar el estado que guardan las oficinas de la o del C. Gobernador, y gestionar ante las instancias correspondientes, la dotación de los recursos humanos y materiales, confirmando que sea la óptima para el desarrollo de las actividades programadas. </w:t>
      </w:r>
    </w:p>
    <w:p w14:paraId="1B2731AC"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Formular oportunamente las misivas de respuesta a las atenciones recibidas por la o el C. Gobernador, así como las y los integrantes de su familia. </w:t>
      </w:r>
    </w:p>
    <w:p w14:paraId="49A95E0A"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Mantener el registro y control sobre la correspondencia privada de la o del C. Gobernador y, en su caso, canalizarla a las instancias correspondientes para su atención. </w:t>
      </w:r>
    </w:p>
    <w:p w14:paraId="01897536"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Actualizar los directorios de consulta permanente de la o del titular del Ejecutivo Estatal. </w:t>
      </w:r>
    </w:p>
    <w:p w14:paraId="1162485A" w14:textId="77777777" w:rsidR="00A5515C"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Coordinar el protocolo de compromisos de carácter institucional y personales de la C. Gobernadora o del C. Gobernador en los recintos oficiales. </w:t>
      </w:r>
    </w:p>
    <w:p w14:paraId="027E4CDD" w14:textId="77777777" w:rsidR="00191702" w:rsidRPr="00054F1A" w:rsidRDefault="00A5515C" w:rsidP="00A5515C">
      <w:pPr>
        <w:ind w:left="567" w:right="538"/>
        <w:jc w:val="both"/>
        <w:rPr>
          <w:rFonts w:ascii="Palatino Linotype" w:hAnsi="Palatino Linotype"/>
          <w:i/>
        </w:rPr>
      </w:pPr>
      <w:r w:rsidRPr="00054F1A">
        <w:rPr>
          <w:rFonts w:ascii="Palatino Linotype" w:hAnsi="Palatino Linotype"/>
          <w:i/>
        </w:rPr>
        <w:t>-</w:t>
      </w:r>
      <w:r w:rsidR="00191702" w:rsidRPr="00054F1A">
        <w:rPr>
          <w:rFonts w:ascii="Palatino Linotype" w:hAnsi="Palatino Linotype"/>
          <w:i/>
        </w:rPr>
        <w:t xml:space="preserve">Atender las instrucciones y responsabilidades que le encomiende la o el titular del Ejecutivo Estatal. </w:t>
      </w:r>
      <w:r w:rsidRPr="00054F1A">
        <w:rPr>
          <w:rFonts w:ascii="Palatino Linotype" w:hAnsi="Palatino Linotype"/>
          <w:i/>
        </w:rPr>
        <w:t>-</w:t>
      </w:r>
      <w:r w:rsidR="00191702" w:rsidRPr="00054F1A">
        <w:rPr>
          <w:rFonts w:ascii="Palatino Linotype" w:hAnsi="Palatino Linotype"/>
          <w:i/>
        </w:rPr>
        <w:t>Desarrollar las demás funciones inherentes al área de su competencia y las que le encomiende la o el titular del Ejecutivo Estatal y la Secretaria o el Secretario Particular de la o del C. Gobernador.”</w:t>
      </w:r>
    </w:p>
    <w:p w14:paraId="425760B0" w14:textId="77777777" w:rsidR="00191702" w:rsidRPr="00054F1A" w:rsidRDefault="00191702" w:rsidP="00191702">
      <w:pPr>
        <w:spacing w:line="360" w:lineRule="auto"/>
        <w:ind w:right="-28"/>
        <w:jc w:val="both"/>
        <w:rPr>
          <w:rFonts w:ascii="Palatino Linotype" w:eastAsia="Palatino Linotype" w:hAnsi="Palatino Linotype" w:cs="Palatino Linotype"/>
        </w:rPr>
      </w:pPr>
    </w:p>
    <w:p w14:paraId="2D250A15"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Precisado lo anterior, tanto el acto impugnado como los motivos de inconformidad hechos valer por el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son improcedentes, </w:t>
      </w:r>
      <w:r w:rsidRPr="00054F1A">
        <w:rPr>
          <w:rFonts w:ascii="Palatino Linotype" w:eastAsia="Palatino Linotype" w:hAnsi="Palatino Linotype" w:cs="Palatino Linotype"/>
          <w:b/>
          <w:bCs/>
        </w:rPr>
        <w:t xml:space="preserve">puesto que la información que requirió es competencia de Sujetos Obligados distintos al que formuló la solicitud. </w:t>
      </w:r>
    </w:p>
    <w:p w14:paraId="01009B07" w14:textId="77777777" w:rsidR="00ED4C33" w:rsidRPr="00054F1A" w:rsidRDefault="00ED4C33">
      <w:pPr>
        <w:ind w:right="-28"/>
        <w:rPr>
          <w:rFonts w:ascii="Palatino Linotype" w:eastAsia="Palatino Linotype" w:hAnsi="Palatino Linotype" w:cs="Palatino Linotype"/>
        </w:rPr>
      </w:pPr>
    </w:p>
    <w:p w14:paraId="0F481564"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En atención a lo anterior, al ser entes distintos en materia de transparencia, resulta en obviedad que uno no puede atender las solicitudes de información de otros, puesto que es información que cada Sujeto Obligado posee, genera y administra.</w:t>
      </w:r>
    </w:p>
    <w:p w14:paraId="5B69597F" w14:textId="77777777" w:rsidR="00ED4C33" w:rsidRPr="00054F1A" w:rsidRDefault="00ED4C33">
      <w:pPr>
        <w:ind w:right="-28"/>
        <w:rPr>
          <w:rFonts w:ascii="Palatino Linotype" w:eastAsia="Palatino Linotype" w:hAnsi="Palatino Linotype" w:cs="Palatino Linotype"/>
        </w:rPr>
      </w:pPr>
    </w:p>
    <w:p w14:paraId="739B3D01"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Ahora bien, este Órgano Garante estima que el actuar del </w:t>
      </w:r>
      <w:r w:rsidRPr="00054F1A">
        <w:rPr>
          <w:rFonts w:ascii="Palatino Linotype" w:eastAsia="Palatino Linotype" w:hAnsi="Palatino Linotype" w:cs="Palatino Linotype"/>
          <w:b/>
          <w:bCs/>
        </w:rPr>
        <w:t>SUJETO OBLIGADO</w:t>
      </w:r>
      <w:r w:rsidRPr="00054F1A">
        <w:rPr>
          <w:rFonts w:ascii="Palatino Linotype" w:eastAsia="Palatino Linotype" w:hAnsi="Palatino Linotype" w:cs="Palatino Linotype"/>
        </w:rPr>
        <w:t xml:space="preserve"> encuadra en lo preceptuado por la Ley de la materia, por lo que es necesario señalar los siguientes preceptos legales:</w:t>
      </w:r>
    </w:p>
    <w:p w14:paraId="25804C0C" w14:textId="77777777" w:rsidR="00ED4C33" w:rsidRPr="00054F1A" w:rsidRDefault="00ED4C33">
      <w:pPr>
        <w:ind w:right="-28"/>
        <w:jc w:val="both"/>
        <w:rPr>
          <w:rFonts w:ascii="Palatino Linotype" w:eastAsia="Palatino Linotype" w:hAnsi="Palatino Linotype" w:cs="Palatino Linotype"/>
        </w:rPr>
      </w:pPr>
    </w:p>
    <w:p w14:paraId="45F2256D"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“Artículo 53</w:t>
      </w:r>
      <w:r w:rsidRPr="00054F1A">
        <w:rPr>
          <w:rFonts w:ascii="Palatino Linotype" w:eastAsia="Palatino Linotype" w:hAnsi="Palatino Linotype" w:cs="Palatino Linotype"/>
          <w:i/>
          <w:iCs/>
        </w:rPr>
        <w:t xml:space="preserve">. Las Unidades de Transparencia tendrán las siguientes funciones: </w:t>
      </w:r>
    </w:p>
    <w:p w14:paraId="7592A1DB"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w:t>
      </w:r>
    </w:p>
    <w:p w14:paraId="155857E8" w14:textId="77777777" w:rsidR="00ED4C33" w:rsidRPr="00054F1A" w:rsidRDefault="00191702">
      <w:pPr>
        <w:ind w:left="567" w:right="963"/>
        <w:jc w:val="both"/>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III. Auxiliar a los particulares en la elaboración de solicitudes de acceso a la información y, en su caso, orientarlos sobre los sujetos obligados competentes conforme a la normatividad aplicable;</w:t>
      </w:r>
    </w:p>
    <w:p w14:paraId="793110CE" w14:textId="77777777" w:rsidR="00ED4C33" w:rsidRPr="00054F1A" w:rsidRDefault="00191702">
      <w:pPr>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i/>
          <w:iCs/>
        </w:rPr>
        <w:t>(…)”</w:t>
      </w:r>
    </w:p>
    <w:p w14:paraId="6A5EB182" w14:textId="77777777" w:rsidR="00ED4C33" w:rsidRPr="00054F1A" w:rsidRDefault="00191702">
      <w:pPr>
        <w:pBdr>
          <w:top w:val="nil"/>
          <w:left w:val="nil"/>
          <w:bottom w:val="nil"/>
          <w:right w:val="nil"/>
          <w:between w:val="nil"/>
        </w:pBdr>
        <w:spacing w:before="240"/>
        <w:ind w:left="567" w:right="963"/>
        <w:jc w:val="center"/>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Capítulo I</w:t>
      </w:r>
    </w:p>
    <w:p w14:paraId="4DCCC009" w14:textId="77777777" w:rsidR="00ED4C33" w:rsidRPr="00054F1A" w:rsidRDefault="00191702">
      <w:pPr>
        <w:pBdr>
          <w:top w:val="nil"/>
          <w:left w:val="nil"/>
          <w:bottom w:val="nil"/>
          <w:right w:val="nil"/>
          <w:between w:val="nil"/>
        </w:pBdr>
        <w:ind w:left="567" w:right="963"/>
        <w:jc w:val="center"/>
        <w:rPr>
          <w:rFonts w:ascii="Palatino Linotype" w:eastAsia="Palatino Linotype" w:hAnsi="Palatino Linotype" w:cs="Palatino Linotype"/>
          <w:b/>
          <w:bCs/>
          <w:i/>
          <w:iCs/>
        </w:rPr>
      </w:pPr>
      <w:r w:rsidRPr="00054F1A">
        <w:rPr>
          <w:rFonts w:ascii="Palatino Linotype" w:eastAsia="Palatino Linotype" w:hAnsi="Palatino Linotype" w:cs="Palatino Linotype"/>
          <w:b/>
          <w:bCs/>
          <w:i/>
          <w:iCs/>
        </w:rPr>
        <w:t>Del Procedimiento de Acceso a la Información Pública</w:t>
      </w:r>
    </w:p>
    <w:p w14:paraId="42F0041E" w14:textId="77777777" w:rsidR="00ED4C33" w:rsidRPr="00054F1A" w:rsidRDefault="00ED4C33">
      <w:pPr>
        <w:pBdr>
          <w:top w:val="nil"/>
          <w:left w:val="nil"/>
          <w:bottom w:val="nil"/>
          <w:right w:val="nil"/>
          <w:between w:val="nil"/>
        </w:pBdr>
        <w:ind w:left="567" w:right="963"/>
        <w:jc w:val="center"/>
        <w:rPr>
          <w:rFonts w:ascii="Palatino Linotype" w:eastAsia="Palatino Linotype" w:hAnsi="Palatino Linotype" w:cs="Palatino Linotype"/>
          <w:b/>
          <w:bCs/>
          <w:i/>
          <w:iCs/>
        </w:rPr>
      </w:pPr>
    </w:p>
    <w:p w14:paraId="0CDACD7D" w14:textId="77777777" w:rsidR="00ED4C33" w:rsidRPr="00054F1A" w:rsidRDefault="00191702">
      <w:pPr>
        <w:pBdr>
          <w:top w:val="nil"/>
          <w:left w:val="nil"/>
          <w:bottom w:val="nil"/>
          <w:right w:val="nil"/>
          <w:between w:val="nil"/>
        </w:pBdr>
        <w:spacing w:after="240"/>
        <w:ind w:left="567" w:right="963"/>
        <w:jc w:val="both"/>
        <w:rPr>
          <w:rFonts w:ascii="Palatino Linotype" w:eastAsia="Palatino Linotype" w:hAnsi="Palatino Linotype" w:cs="Palatino Linotype"/>
          <w:i/>
          <w:iCs/>
        </w:rPr>
      </w:pPr>
      <w:r w:rsidRPr="00054F1A">
        <w:rPr>
          <w:rFonts w:ascii="Palatino Linotype" w:eastAsia="Palatino Linotype" w:hAnsi="Palatino Linotype" w:cs="Palatino Linotype"/>
          <w:b/>
          <w:bCs/>
          <w:i/>
          <w:iCs/>
        </w:rPr>
        <w:t>“Artículo 150.</w:t>
      </w:r>
      <w:r w:rsidRPr="00054F1A">
        <w:rPr>
          <w:rFonts w:ascii="Palatino Linotype" w:eastAsia="Palatino Linotype" w:hAnsi="Palatino Linotype" w:cs="Palatino Linotype"/>
          <w:i/>
          <w:iCs/>
        </w:rPr>
        <w:t xml:space="preserv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4109FF0A" w14:textId="77777777" w:rsidR="00ED4C33" w:rsidRPr="00054F1A" w:rsidRDefault="00ED4C33">
      <w:pPr>
        <w:pBdr>
          <w:top w:val="nil"/>
          <w:left w:val="nil"/>
          <w:bottom w:val="nil"/>
          <w:right w:val="nil"/>
          <w:between w:val="nil"/>
        </w:pBdr>
        <w:spacing w:after="240"/>
        <w:ind w:right="963"/>
        <w:jc w:val="both"/>
        <w:rPr>
          <w:rFonts w:ascii="Palatino Linotype" w:eastAsia="Palatino Linotype" w:hAnsi="Palatino Linotype" w:cs="Palatino Linotype"/>
          <w:i/>
          <w:iCs/>
        </w:rPr>
      </w:pPr>
    </w:p>
    <w:p w14:paraId="3789F92D"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De los artículos transcritos se deriva que prevalece en el procedimiento de acceso a la información pública el principio de auxilio y orientación en favor de los particulares, y, que en los casos en que un Sujeto Obligado determine que no es competente para atender una solicitud de información, por no corresponderle generar o administrar lo solicitado, debe orientar sobre el Sujeto Obligado competente, debiendo hacerlo en el plazo de tres días hábiles posteriores a la recepción de la solicitud.</w:t>
      </w:r>
    </w:p>
    <w:p w14:paraId="43290552" w14:textId="77777777" w:rsidR="00ED4C33" w:rsidRPr="00054F1A" w:rsidRDefault="00ED4C33">
      <w:pPr>
        <w:rPr>
          <w:rFonts w:ascii="Palatino Linotype" w:eastAsia="Palatino Linotype" w:hAnsi="Palatino Linotype" w:cs="Palatino Linotype"/>
        </w:rPr>
      </w:pPr>
    </w:p>
    <w:p w14:paraId="17BDE9B1"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y a fin de no dilatar el derecho de acceso a la información, como ya fue establecido, se dejan a salvo los derechos del </w:t>
      </w:r>
      <w:r w:rsidRPr="00054F1A">
        <w:rPr>
          <w:rFonts w:ascii="Palatino Linotype" w:eastAsia="Palatino Linotype" w:hAnsi="Palatino Linotype" w:cs="Palatino Linotype"/>
          <w:b/>
          <w:bCs/>
        </w:rPr>
        <w:lastRenderedPageBreak/>
        <w:t>RECURRENTE</w:t>
      </w:r>
      <w:r w:rsidRPr="00054F1A">
        <w:rPr>
          <w:rFonts w:ascii="Palatino Linotype" w:eastAsia="Palatino Linotype" w:hAnsi="Palatino Linotype" w:cs="Palatino Linotype"/>
        </w:rPr>
        <w:t xml:space="preserve"> para que pueda realizar la solicitud de información ante el o los Sujetos Obligados correspondiente.</w:t>
      </w:r>
    </w:p>
    <w:p w14:paraId="6BBAE90A" w14:textId="77777777" w:rsidR="00ED4C33" w:rsidRPr="00054F1A" w:rsidRDefault="00ED4C33">
      <w:pPr>
        <w:ind w:right="-28"/>
        <w:jc w:val="both"/>
        <w:rPr>
          <w:rFonts w:ascii="Palatino Linotype" w:eastAsia="Palatino Linotype" w:hAnsi="Palatino Linotype" w:cs="Palatino Linotype"/>
        </w:rPr>
      </w:pPr>
    </w:p>
    <w:p w14:paraId="7C8B183E"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r w:rsidRPr="00054F1A">
        <w:rPr>
          <w:rFonts w:ascii="Palatino Linotype" w:eastAsia="Palatino Linotype" w:hAnsi="Palatino Linotype" w:cs="Palatino Linotype"/>
        </w:rPr>
        <w:t xml:space="preserve">En este sentido, resultan </w:t>
      </w:r>
      <w:r w:rsidRPr="00054F1A">
        <w:rPr>
          <w:rFonts w:ascii="Palatino Linotype" w:eastAsia="Palatino Linotype" w:hAnsi="Palatino Linotype" w:cs="Palatino Linotype"/>
          <w:b/>
          <w:bCs/>
        </w:rPr>
        <w:t>INFUNDADAS</w:t>
      </w:r>
      <w:r w:rsidRPr="00054F1A">
        <w:rPr>
          <w:rFonts w:ascii="Palatino Linotype" w:eastAsia="Palatino Linotype" w:hAnsi="Palatino Linotype" w:cs="Palatino Linotype"/>
        </w:rPr>
        <w:t xml:space="preserve"> las razones o motivos de inconformidad hechos valer por el </w:t>
      </w:r>
      <w:r w:rsidRPr="00054F1A">
        <w:rPr>
          <w:rFonts w:ascii="Palatino Linotype" w:eastAsia="Palatino Linotype" w:hAnsi="Palatino Linotype" w:cs="Palatino Linotype"/>
          <w:b/>
          <w:bCs/>
        </w:rPr>
        <w:t>RECURRENTE,</w:t>
      </w:r>
      <w:r w:rsidRPr="00054F1A">
        <w:rPr>
          <w:rFonts w:ascii="Palatino Linotype" w:eastAsia="Palatino Linotype" w:hAnsi="Palatino Linotype" w:cs="Palatino Linotype"/>
        </w:rPr>
        <w:t xml:space="preserve"> toda vez que no se actualizan las hipótesis de procedencia contenidas en el artículo 179, de la Ley de Transparencia y Acceso a la Información Pública del Estado de México y Municipios, de tal manera que se </w:t>
      </w:r>
      <w:r w:rsidRPr="00054F1A">
        <w:rPr>
          <w:rFonts w:ascii="Palatino Linotype" w:eastAsia="Palatino Linotype" w:hAnsi="Palatino Linotype" w:cs="Palatino Linotype"/>
          <w:b/>
          <w:bCs/>
        </w:rPr>
        <w:t>CONFIRMA</w:t>
      </w:r>
      <w:r w:rsidRPr="00054F1A">
        <w:rPr>
          <w:rFonts w:ascii="Palatino Linotype" w:eastAsia="Palatino Linotype" w:hAnsi="Palatino Linotype" w:cs="Palatino Linotype"/>
        </w:rPr>
        <w:t xml:space="preserve"> la respuesta del </w:t>
      </w:r>
      <w:r w:rsidRPr="00054F1A">
        <w:rPr>
          <w:rFonts w:ascii="Palatino Linotype" w:eastAsia="Palatino Linotype" w:hAnsi="Palatino Linotype" w:cs="Palatino Linotype"/>
          <w:b/>
          <w:bCs/>
        </w:rPr>
        <w:t>SUJETO OBLIGADO.</w:t>
      </w:r>
    </w:p>
    <w:p w14:paraId="7F2E0D36" w14:textId="77777777" w:rsidR="00ED4C33" w:rsidRPr="00054F1A" w:rsidRDefault="00ED4C33">
      <w:pPr>
        <w:ind w:right="-28"/>
        <w:jc w:val="both"/>
        <w:rPr>
          <w:rFonts w:ascii="Palatino Linotype" w:eastAsia="Palatino Linotype" w:hAnsi="Palatino Linotype" w:cs="Palatino Linotype"/>
        </w:rPr>
      </w:pPr>
    </w:p>
    <w:p w14:paraId="24BDD937" w14:textId="77777777" w:rsidR="00ED4C33" w:rsidRPr="00054F1A" w:rsidRDefault="00191702">
      <w:pPr>
        <w:numPr>
          <w:ilvl w:val="0"/>
          <w:numId w:val="3"/>
        </w:numPr>
        <w:spacing w:line="360" w:lineRule="auto"/>
        <w:ind w:left="0" w:right="-28" w:firstLine="0"/>
        <w:jc w:val="both"/>
        <w:rPr>
          <w:rFonts w:ascii="Palatino Linotype" w:eastAsia="Palatino Linotype" w:hAnsi="Palatino Linotype" w:cs="Palatino Linotype"/>
        </w:rPr>
      </w:pPr>
      <w:bookmarkStart w:id="9" w:name="_heading=h.3rdcrjn" w:colFirst="0" w:colLast="0"/>
      <w:bookmarkEnd w:id="9"/>
      <w:r w:rsidRPr="00054F1A">
        <w:rPr>
          <w:rFonts w:ascii="Palatino Linotype" w:eastAsia="Palatino Linotype" w:hAnsi="Palatino Linotype" w:cs="Palatino Linotype"/>
        </w:rPr>
        <w:t xml:space="preserve">Por lo anteriormente expuesto y fundado, este </w:t>
      </w:r>
      <w:r w:rsidRPr="00054F1A">
        <w:rPr>
          <w:rFonts w:ascii="Palatino Linotype" w:eastAsia="Palatino Linotype" w:hAnsi="Palatino Linotype" w:cs="Palatino Linotype"/>
          <w:b/>
          <w:bCs/>
        </w:rPr>
        <w:t>ÓRGANO GARANTE</w:t>
      </w:r>
      <w:r w:rsidRPr="00054F1A">
        <w:rPr>
          <w:rFonts w:ascii="Palatino Linotype" w:eastAsia="Palatino Linotype" w:hAnsi="Palatino Linotype" w:cs="Palatino Linotype"/>
        </w:rPr>
        <w:t xml:space="preserve"> emite los siguientes:</w:t>
      </w:r>
    </w:p>
    <w:p w14:paraId="1191868C" w14:textId="77777777" w:rsidR="00346A01" w:rsidRPr="00054F1A" w:rsidRDefault="00346A01" w:rsidP="00346A01">
      <w:pPr>
        <w:pStyle w:val="Prrafodelista"/>
        <w:rPr>
          <w:rFonts w:ascii="Palatino Linotype" w:eastAsia="Palatino Linotype" w:hAnsi="Palatino Linotype" w:cs="Palatino Linotype"/>
        </w:rPr>
      </w:pPr>
    </w:p>
    <w:p w14:paraId="5A307F53" w14:textId="77777777" w:rsidR="00346A01" w:rsidRPr="00054F1A" w:rsidRDefault="00346A01" w:rsidP="00346A01">
      <w:pPr>
        <w:spacing w:line="360" w:lineRule="auto"/>
        <w:ind w:right="-28"/>
        <w:jc w:val="both"/>
        <w:rPr>
          <w:rFonts w:ascii="Palatino Linotype" w:eastAsia="Palatino Linotype" w:hAnsi="Palatino Linotype" w:cs="Palatino Linotype"/>
        </w:rPr>
      </w:pPr>
    </w:p>
    <w:p w14:paraId="2242CB8E" w14:textId="77777777" w:rsidR="00ED4C33" w:rsidRPr="00054F1A" w:rsidRDefault="00191702">
      <w:pPr>
        <w:keepNext/>
        <w:keepLines/>
        <w:spacing w:line="360" w:lineRule="auto"/>
        <w:ind w:right="-28"/>
        <w:jc w:val="center"/>
        <w:rPr>
          <w:rFonts w:ascii="Palatino Linotype" w:eastAsia="Palatino Linotype" w:hAnsi="Palatino Linotype" w:cs="Palatino Linotype"/>
          <w:b/>
          <w:bCs/>
        </w:rPr>
      </w:pPr>
      <w:r w:rsidRPr="00054F1A">
        <w:rPr>
          <w:rFonts w:ascii="Palatino Linotype" w:eastAsia="Palatino Linotype" w:hAnsi="Palatino Linotype" w:cs="Palatino Linotype"/>
          <w:b/>
          <w:bCs/>
        </w:rPr>
        <w:t>R E S O L U T I V O S</w:t>
      </w:r>
    </w:p>
    <w:p w14:paraId="7787BF61" w14:textId="77777777" w:rsidR="00ED4C33" w:rsidRPr="00054F1A" w:rsidRDefault="00ED4C33">
      <w:pPr>
        <w:keepNext/>
        <w:keepLines/>
        <w:ind w:right="-28"/>
        <w:jc w:val="center"/>
        <w:rPr>
          <w:rFonts w:ascii="Palatino Linotype" w:eastAsia="Palatino Linotype" w:hAnsi="Palatino Linotype" w:cs="Palatino Linotype"/>
          <w:b/>
          <w:bCs/>
        </w:rPr>
      </w:pPr>
    </w:p>
    <w:p w14:paraId="2DC5E04E" w14:textId="77777777" w:rsidR="00ED4C33" w:rsidRPr="00054F1A" w:rsidRDefault="00191702">
      <w:pPr>
        <w:spacing w:line="360" w:lineRule="auto"/>
        <w:ind w:right="-28"/>
        <w:jc w:val="both"/>
        <w:rPr>
          <w:rFonts w:ascii="Palatino Linotype" w:eastAsia="Palatino Linotype" w:hAnsi="Palatino Linotype" w:cs="Palatino Linotype"/>
        </w:rPr>
      </w:pPr>
      <w:r w:rsidRPr="00054F1A">
        <w:rPr>
          <w:rFonts w:ascii="Palatino Linotype" w:eastAsia="Palatino Linotype" w:hAnsi="Palatino Linotype" w:cs="Palatino Linotype"/>
          <w:b/>
          <w:bCs/>
        </w:rPr>
        <w:t xml:space="preserve">PRIMERO. </w:t>
      </w:r>
      <w:r w:rsidRPr="00054F1A">
        <w:rPr>
          <w:rFonts w:ascii="Palatino Linotype" w:eastAsia="Palatino Linotype" w:hAnsi="Palatino Linotype" w:cs="Palatino Linotype"/>
        </w:rPr>
        <w:t>Resultan infundadas las</w:t>
      </w:r>
      <w:r w:rsidRPr="00054F1A">
        <w:rPr>
          <w:rFonts w:ascii="Palatino Linotype" w:eastAsia="Palatino Linotype" w:hAnsi="Palatino Linotype" w:cs="Palatino Linotype"/>
          <w:b/>
          <w:bCs/>
        </w:rPr>
        <w:t xml:space="preserve"> </w:t>
      </w:r>
      <w:r w:rsidRPr="00054F1A">
        <w:rPr>
          <w:rFonts w:ascii="Palatino Linotype" w:eastAsia="Palatino Linotype" w:hAnsi="Palatino Linotype" w:cs="Palatino Linotype"/>
        </w:rPr>
        <w:t>razones o motivos de inconformidad hechos valer en el recurso de revisión</w:t>
      </w:r>
      <w:r w:rsidRPr="00054F1A">
        <w:rPr>
          <w:rFonts w:ascii="Palatino Linotype" w:eastAsia="Palatino Linotype" w:hAnsi="Palatino Linotype" w:cs="Palatino Linotype"/>
          <w:b/>
          <w:bCs/>
        </w:rPr>
        <w:t xml:space="preserve"> 11268/INFOEM/IP/RR/2025, </w:t>
      </w:r>
      <w:r w:rsidRPr="00054F1A">
        <w:rPr>
          <w:rFonts w:ascii="Palatino Linotype" w:eastAsia="Palatino Linotype" w:hAnsi="Palatino Linotype" w:cs="Palatino Linotype"/>
        </w:rPr>
        <w:t xml:space="preserve">en términos del </w:t>
      </w:r>
      <w:r w:rsidRPr="00054F1A">
        <w:rPr>
          <w:rFonts w:ascii="Palatino Linotype" w:eastAsia="Palatino Linotype" w:hAnsi="Palatino Linotype" w:cs="Palatino Linotype"/>
          <w:b/>
          <w:bCs/>
        </w:rPr>
        <w:t>Considerando</w:t>
      </w:r>
      <w:r w:rsidRPr="00054F1A">
        <w:rPr>
          <w:rFonts w:ascii="Palatino Linotype" w:eastAsia="Palatino Linotype" w:hAnsi="Palatino Linotype" w:cs="Palatino Linotype"/>
        </w:rPr>
        <w:t xml:space="preserve"> </w:t>
      </w:r>
      <w:r w:rsidRPr="00054F1A">
        <w:rPr>
          <w:rFonts w:ascii="Palatino Linotype" w:eastAsia="Palatino Linotype" w:hAnsi="Palatino Linotype" w:cs="Palatino Linotype"/>
          <w:b/>
          <w:bCs/>
        </w:rPr>
        <w:t>CUARTO</w:t>
      </w:r>
      <w:r w:rsidRPr="00054F1A">
        <w:rPr>
          <w:rFonts w:ascii="Palatino Linotype" w:eastAsia="Palatino Linotype" w:hAnsi="Palatino Linotype" w:cs="Palatino Linotype"/>
        </w:rPr>
        <w:t xml:space="preserve"> de la presente resolución.</w:t>
      </w:r>
    </w:p>
    <w:p w14:paraId="1B3AD1C0" w14:textId="77777777" w:rsidR="00ED4C33" w:rsidRPr="00054F1A" w:rsidRDefault="00ED4C33">
      <w:pPr>
        <w:ind w:right="-28"/>
        <w:jc w:val="both"/>
        <w:rPr>
          <w:rFonts w:ascii="Palatino Linotype" w:eastAsia="Palatino Linotype" w:hAnsi="Palatino Linotype" w:cs="Palatino Linotype"/>
        </w:rPr>
      </w:pPr>
    </w:p>
    <w:p w14:paraId="3A8D7C2E" w14:textId="23C0064A" w:rsidR="00ED4C33" w:rsidRPr="00054F1A" w:rsidRDefault="00191702">
      <w:pPr>
        <w:spacing w:line="360" w:lineRule="auto"/>
        <w:ind w:right="-28"/>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 xml:space="preserve">SEGUNDO. </w:t>
      </w:r>
      <w:r w:rsidRPr="00054F1A">
        <w:rPr>
          <w:rFonts w:ascii="Palatino Linotype" w:eastAsia="Palatino Linotype" w:hAnsi="Palatino Linotype" w:cs="Palatino Linotype"/>
        </w:rPr>
        <w:t>Se</w:t>
      </w:r>
      <w:r w:rsidRPr="00054F1A">
        <w:rPr>
          <w:rFonts w:ascii="Palatino Linotype" w:eastAsia="Palatino Linotype" w:hAnsi="Palatino Linotype" w:cs="Palatino Linotype"/>
          <w:b/>
          <w:bCs/>
        </w:rPr>
        <w:t xml:space="preserve"> CONFIRMA </w:t>
      </w:r>
      <w:r w:rsidRPr="00054F1A">
        <w:rPr>
          <w:rFonts w:ascii="Palatino Linotype" w:eastAsia="Palatino Linotype" w:hAnsi="Palatino Linotype" w:cs="Palatino Linotype"/>
        </w:rPr>
        <w:t xml:space="preserve">la respuesta emitida por </w:t>
      </w:r>
      <w:r w:rsidRPr="00054F1A">
        <w:rPr>
          <w:rFonts w:ascii="Palatino Linotype" w:eastAsia="Palatino Linotype" w:hAnsi="Palatino Linotype" w:cs="Palatino Linotype"/>
          <w:b/>
          <w:bCs/>
        </w:rPr>
        <w:t xml:space="preserve">Gubernatura </w:t>
      </w:r>
      <w:r w:rsidRPr="00054F1A">
        <w:rPr>
          <w:rFonts w:ascii="Palatino Linotype" w:eastAsia="Palatino Linotype" w:hAnsi="Palatino Linotype" w:cs="Palatino Linotype"/>
        </w:rPr>
        <w:t xml:space="preserve">a la solicitud </w:t>
      </w:r>
      <w:r w:rsidR="00346A01" w:rsidRPr="00054F1A">
        <w:rPr>
          <w:rFonts w:ascii="Palatino Linotype" w:eastAsia="Palatino Linotype" w:hAnsi="Palatino Linotype" w:cs="Palatino Linotype"/>
          <w:b/>
          <w:bCs/>
        </w:rPr>
        <w:t>00192/GUBERNA</w:t>
      </w:r>
      <w:r w:rsidRPr="00054F1A">
        <w:rPr>
          <w:rFonts w:ascii="Palatino Linotype" w:eastAsia="Palatino Linotype" w:hAnsi="Palatino Linotype" w:cs="Palatino Linotype"/>
          <w:b/>
          <w:bCs/>
        </w:rPr>
        <w:t>/IP/2025.</w:t>
      </w:r>
    </w:p>
    <w:p w14:paraId="60E1CAD9" w14:textId="77777777" w:rsidR="00ED4C33" w:rsidRPr="00054F1A" w:rsidRDefault="00ED4C33">
      <w:pPr>
        <w:ind w:right="-28"/>
        <w:jc w:val="both"/>
        <w:rPr>
          <w:rFonts w:ascii="Palatino Linotype" w:eastAsia="Palatino Linotype" w:hAnsi="Palatino Linotype" w:cs="Palatino Linotype"/>
          <w:b/>
          <w:bCs/>
        </w:rPr>
      </w:pPr>
    </w:p>
    <w:p w14:paraId="512FD460" w14:textId="77777777" w:rsidR="00ED4C33" w:rsidRPr="00054F1A" w:rsidRDefault="00191702">
      <w:pPr>
        <w:tabs>
          <w:tab w:val="left" w:pos="8080"/>
        </w:tabs>
        <w:spacing w:line="360" w:lineRule="auto"/>
        <w:ind w:right="-28"/>
        <w:jc w:val="both"/>
        <w:rPr>
          <w:rFonts w:ascii="Palatino Linotype" w:eastAsia="Palatino Linotype" w:hAnsi="Palatino Linotype" w:cs="Palatino Linotype"/>
          <w:b/>
          <w:bCs/>
        </w:rPr>
      </w:pPr>
      <w:r w:rsidRPr="00054F1A">
        <w:rPr>
          <w:rFonts w:ascii="Palatino Linotype" w:eastAsia="Palatino Linotype" w:hAnsi="Palatino Linotype" w:cs="Palatino Linotype"/>
          <w:b/>
          <w:bCs/>
        </w:rPr>
        <w:t xml:space="preserve">TERCERO. NOTIFÍQUESE, </w:t>
      </w:r>
      <w:r w:rsidRPr="00054F1A">
        <w:rPr>
          <w:rFonts w:ascii="Palatino Linotype" w:eastAsia="Palatino Linotype" w:hAnsi="Palatino Linotype" w:cs="Palatino Linotype"/>
        </w:rPr>
        <w:t xml:space="preserve">vía Sistema de Acceso a la Información Mexiquense </w:t>
      </w:r>
      <w:r w:rsidRPr="00054F1A">
        <w:rPr>
          <w:rFonts w:ascii="Palatino Linotype" w:eastAsia="Palatino Linotype" w:hAnsi="Palatino Linotype" w:cs="Palatino Linotype"/>
          <w:b/>
          <w:bCs/>
        </w:rPr>
        <w:t>(SAIMEX),</w:t>
      </w:r>
      <w:r w:rsidRPr="00054F1A">
        <w:rPr>
          <w:rFonts w:ascii="Palatino Linotype" w:eastAsia="Palatino Linotype" w:hAnsi="Palatino Linotype" w:cs="Palatino Linotype"/>
        </w:rPr>
        <w:t xml:space="preserve"> la presente resolución al Titular de la Unidad de Transparencia del </w:t>
      </w:r>
      <w:r w:rsidRPr="00054F1A">
        <w:rPr>
          <w:rFonts w:ascii="Palatino Linotype" w:eastAsia="Palatino Linotype" w:hAnsi="Palatino Linotype" w:cs="Palatino Linotype"/>
          <w:b/>
          <w:bCs/>
        </w:rPr>
        <w:t>SUJETO OBLIGADO.</w:t>
      </w:r>
    </w:p>
    <w:p w14:paraId="32F35625" w14:textId="77777777" w:rsidR="00ED4C33" w:rsidRPr="00054F1A" w:rsidRDefault="00ED4C33">
      <w:pPr>
        <w:tabs>
          <w:tab w:val="left" w:pos="8080"/>
        </w:tabs>
        <w:ind w:right="-28"/>
        <w:jc w:val="both"/>
        <w:rPr>
          <w:rFonts w:ascii="Palatino Linotype" w:eastAsia="Palatino Linotype" w:hAnsi="Palatino Linotype" w:cs="Palatino Linotype"/>
          <w:b/>
          <w:bCs/>
        </w:rPr>
      </w:pPr>
    </w:p>
    <w:p w14:paraId="3C3C992A" w14:textId="77777777" w:rsidR="00ED4C33" w:rsidRPr="00054F1A" w:rsidRDefault="00191702">
      <w:pPr>
        <w:shd w:val="clear" w:color="auto" w:fill="FFFFFF"/>
        <w:spacing w:line="360" w:lineRule="auto"/>
        <w:ind w:right="-28"/>
        <w:jc w:val="both"/>
        <w:rPr>
          <w:rFonts w:ascii="Palatino Linotype" w:eastAsia="Palatino Linotype" w:hAnsi="Palatino Linotype" w:cs="Palatino Linotype"/>
        </w:rPr>
      </w:pPr>
      <w:r w:rsidRPr="00054F1A">
        <w:rPr>
          <w:rFonts w:ascii="Palatino Linotype" w:eastAsia="Palatino Linotype" w:hAnsi="Palatino Linotype" w:cs="Palatino Linotype"/>
          <w:b/>
          <w:bCs/>
        </w:rPr>
        <w:t xml:space="preserve">CUARTO. Notifíquese al RECURRENTE </w:t>
      </w:r>
      <w:r w:rsidRPr="00054F1A">
        <w:rPr>
          <w:rFonts w:ascii="Palatino Linotype" w:eastAsia="Palatino Linotype" w:hAnsi="Palatino Linotype" w:cs="Palatino Linotype"/>
        </w:rPr>
        <w:t xml:space="preserve">la presente resolución a través del </w:t>
      </w:r>
      <w:r w:rsidRPr="00054F1A">
        <w:rPr>
          <w:rFonts w:ascii="Palatino Linotype" w:eastAsia="Palatino Linotype" w:hAnsi="Palatino Linotype" w:cs="Palatino Linotype"/>
          <w:b/>
          <w:bCs/>
        </w:rPr>
        <w:t>SAIMEX.</w:t>
      </w:r>
    </w:p>
    <w:p w14:paraId="7BCCC449" w14:textId="77777777" w:rsidR="00ED4C33" w:rsidRPr="00054F1A" w:rsidRDefault="00191702">
      <w:pPr>
        <w:spacing w:before="240" w:after="240" w:line="360" w:lineRule="auto"/>
        <w:ind w:right="-28"/>
        <w:jc w:val="both"/>
        <w:rPr>
          <w:rFonts w:ascii="Palatino Linotype" w:eastAsia="Palatino Linotype" w:hAnsi="Palatino Linotype" w:cs="Palatino Linotype"/>
        </w:rPr>
      </w:pPr>
      <w:r w:rsidRPr="00054F1A">
        <w:rPr>
          <w:rFonts w:ascii="Palatino Linotype" w:eastAsia="Palatino Linotype" w:hAnsi="Palatino Linotype" w:cs="Palatino Linotype"/>
          <w:b/>
          <w:bCs/>
        </w:rPr>
        <w:lastRenderedPageBreak/>
        <w:t>QUINTO.</w:t>
      </w:r>
      <w:r w:rsidRPr="00054F1A">
        <w:rPr>
          <w:rFonts w:ascii="Palatino Linotype" w:eastAsia="Palatino Linotype" w:hAnsi="Palatino Linotype" w:cs="Palatino Linotype"/>
        </w:rPr>
        <w:t xml:space="preserve"> Se hace del conocimiento del </w:t>
      </w:r>
      <w:r w:rsidRPr="00054F1A">
        <w:rPr>
          <w:rFonts w:ascii="Palatino Linotype" w:eastAsia="Palatino Linotype" w:hAnsi="Palatino Linotype" w:cs="Palatino Linotype"/>
          <w:b/>
          <w:bCs/>
        </w:rPr>
        <w:t xml:space="preserve">RECURRENTE </w:t>
      </w:r>
      <w:r w:rsidRPr="00054F1A">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5BE8C168" w14:textId="77777777" w:rsidR="00346A01" w:rsidRPr="00054F1A" w:rsidRDefault="00346A01" w:rsidP="00346A01">
      <w:pPr>
        <w:spacing w:before="240" w:after="240" w:line="360" w:lineRule="auto"/>
        <w:ind w:firstLine="1"/>
        <w:jc w:val="both"/>
        <w:rPr>
          <w:rFonts w:ascii="Palatino Linotype" w:hAnsi="Palatino Linotype"/>
        </w:rPr>
      </w:pPr>
      <w:bookmarkStart w:id="10" w:name="_Hlk99014733"/>
      <w:r w:rsidRPr="00054F1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054F1A">
        <w:rPr>
          <w:rFonts w:ascii="Palatino Linotype" w:hAnsi="Palatino Linotype" w:cs="Palatino Linotype"/>
          <w:color w:val="000000" w:themeColor="text1"/>
        </w:rPr>
        <w:t>ALEXIS TAPIA RAMÍREZ.</w:t>
      </w:r>
    </w:p>
    <w:bookmarkEnd w:id="10"/>
    <w:p w14:paraId="64E3F3C9" w14:textId="77777777" w:rsidR="00ED4C33" w:rsidRPr="00054F1A" w:rsidRDefault="00ED4C33">
      <w:pPr>
        <w:spacing w:line="360" w:lineRule="auto"/>
        <w:ind w:right="-28"/>
        <w:jc w:val="both"/>
        <w:rPr>
          <w:rFonts w:ascii="Palatino Linotype" w:eastAsia="Palatino Linotype" w:hAnsi="Palatino Linotype" w:cs="Palatino Linotype"/>
        </w:rPr>
      </w:pPr>
    </w:p>
    <w:p w14:paraId="180C61BB" w14:textId="77777777" w:rsidR="00ED4C33" w:rsidRPr="00054F1A" w:rsidRDefault="00ED4C33">
      <w:pPr>
        <w:spacing w:line="360" w:lineRule="auto"/>
        <w:ind w:right="-28"/>
        <w:jc w:val="both"/>
        <w:rPr>
          <w:rFonts w:ascii="Palatino Linotype" w:eastAsia="Palatino Linotype" w:hAnsi="Palatino Linotype" w:cs="Palatino Linotype"/>
        </w:rPr>
      </w:pPr>
    </w:p>
    <w:p w14:paraId="2E0DF224" w14:textId="77777777" w:rsidR="00ED4C33" w:rsidRPr="00054F1A" w:rsidRDefault="00ED4C33">
      <w:pPr>
        <w:spacing w:line="360" w:lineRule="auto"/>
        <w:ind w:right="-28"/>
        <w:jc w:val="both"/>
        <w:rPr>
          <w:rFonts w:ascii="Palatino Linotype" w:eastAsia="Palatino Linotype" w:hAnsi="Palatino Linotype" w:cs="Palatino Linotype"/>
        </w:rPr>
      </w:pPr>
    </w:p>
    <w:p w14:paraId="680F1330" w14:textId="77777777" w:rsidR="00ED4C33" w:rsidRPr="00054F1A" w:rsidRDefault="00ED4C33">
      <w:pPr>
        <w:spacing w:line="360" w:lineRule="auto"/>
        <w:ind w:right="-28"/>
        <w:jc w:val="both"/>
        <w:rPr>
          <w:rFonts w:ascii="Palatino Linotype" w:eastAsia="Palatino Linotype" w:hAnsi="Palatino Linotype" w:cs="Palatino Linotype"/>
        </w:rPr>
      </w:pPr>
    </w:p>
    <w:p w14:paraId="255FF68D" w14:textId="77777777" w:rsidR="00ED4C33" w:rsidRPr="00054F1A" w:rsidRDefault="00ED4C33">
      <w:pPr>
        <w:spacing w:line="360" w:lineRule="auto"/>
        <w:ind w:right="-28"/>
        <w:jc w:val="both"/>
        <w:rPr>
          <w:rFonts w:ascii="Palatino Linotype" w:eastAsia="Palatino Linotype" w:hAnsi="Palatino Linotype" w:cs="Palatino Linotype"/>
        </w:rPr>
      </w:pPr>
    </w:p>
    <w:p w14:paraId="6D823817" w14:textId="77777777" w:rsidR="00ED4C33" w:rsidRPr="00054F1A" w:rsidRDefault="00ED4C33">
      <w:pPr>
        <w:spacing w:line="360" w:lineRule="auto"/>
        <w:ind w:right="-28"/>
        <w:jc w:val="both"/>
        <w:rPr>
          <w:rFonts w:ascii="Palatino Linotype" w:eastAsia="Palatino Linotype" w:hAnsi="Palatino Linotype" w:cs="Palatino Linotype"/>
        </w:rPr>
      </w:pPr>
    </w:p>
    <w:p w14:paraId="37AEC563" w14:textId="77777777" w:rsidR="00ED4C33" w:rsidRPr="00054F1A" w:rsidRDefault="00ED4C33">
      <w:pPr>
        <w:spacing w:line="360" w:lineRule="auto"/>
        <w:ind w:right="-28"/>
        <w:jc w:val="both"/>
        <w:rPr>
          <w:rFonts w:ascii="Palatino Linotype" w:eastAsia="Palatino Linotype" w:hAnsi="Palatino Linotype" w:cs="Palatino Linotype"/>
        </w:rPr>
      </w:pPr>
    </w:p>
    <w:p w14:paraId="46D74AB2" w14:textId="77777777" w:rsidR="00ED4C33" w:rsidRPr="00054F1A" w:rsidRDefault="00ED4C33">
      <w:pPr>
        <w:spacing w:line="360" w:lineRule="auto"/>
        <w:ind w:right="-28"/>
        <w:rPr>
          <w:rFonts w:ascii="Palatino Linotype" w:eastAsia="Palatino Linotype" w:hAnsi="Palatino Linotype" w:cs="Palatino Linotype"/>
        </w:rPr>
      </w:pPr>
    </w:p>
    <w:p w14:paraId="4C595F70" w14:textId="77777777" w:rsidR="00ED4C33" w:rsidRPr="00054F1A" w:rsidRDefault="00ED4C33">
      <w:pPr>
        <w:spacing w:line="360" w:lineRule="auto"/>
        <w:ind w:right="-28"/>
        <w:rPr>
          <w:rFonts w:ascii="Palatino Linotype" w:eastAsia="Palatino Linotype" w:hAnsi="Palatino Linotype" w:cs="Palatino Linotype"/>
        </w:rPr>
      </w:pPr>
    </w:p>
    <w:p w14:paraId="1BAF1E30" w14:textId="77777777" w:rsidR="00ED4C33" w:rsidRPr="00054F1A" w:rsidRDefault="00ED4C33">
      <w:pPr>
        <w:spacing w:line="360" w:lineRule="auto"/>
        <w:ind w:right="-28"/>
        <w:rPr>
          <w:rFonts w:ascii="Palatino Linotype" w:eastAsia="Palatino Linotype" w:hAnsi="Palatino Linotype" w:cs="Palatino Linotype"/>
        </w:rPr>
      </w:pPr>
    </w:p>
    <w:p w14:paraId="2825CA64" w14:textId="77777777" w:rsidR="00ED4C33" w:rsidRPr="00054F1A" w:rsidRDefault="00ED4C33">
      <w:pPr>
        <w:spacing w:line="360" w:lineRule="auto"/>
        <w:ind w:right="-28"/>
        <w:rPr>
          <w:rFonts w:ascii="Palatino Linotype" w:eastAsia="Palatino Linotype" w:hAnsi="Palatino Linotype" w:cs="Palatino Linotype"/>
        </w:rPr>
      </w:pPr>
    </w:p>
    <w:p w14:paraId="4CD22596" w14:textId="77777777" w:rsidR="00ED4C33" w:rsidRPr="00054F1A" w:rsidRDefault="00ED4C33">
      <w:pPr>
        <w:spacing w:line="360" w:lineRule="auto"/>
        <w:ind w:right="-28"/>
        <w:rPr>
          <w:rFonts w:ascii="Palatino Linotype" w:eastAsia="Palatino Linotype" w:hAnsi="Palatino Linotype" w:cs="Palatino Linotype"/>
        </w:rPr>
      </w:pPr>
    </w:p>
    <w:p w14:paraId="4538D0C0" w14:textId="77777777" w:rsidR="00ED4C33" w:rsidRPr="00054F1A" w:rsidRDefault="00ED4C33">
      <w:pPr>
        <w:spacing w:line="360" w:lineRule="auto"/>
        <w:ind w:right="-28"/>
        <w:rPr>
          <w:rFonts w:ascii="Palatino Linotype" w:eastAsia="Palatino Linotype" w:hAnsi="Palatino Linotype" w:cs="Palatino Linotype"/>
        </w:rPr>
      </w:pPr>
    </w:p>
    <w:p w14:paraId="2708C60A" w14:textId="77777777" w:rsidR="000C2F18" w:rsidRPr="00054F1A" w:rsidRDefault="000C2F18">
      <w:pPr>
        <w:spacing w:line="360" w:lineRule="auto"/>
        <w:ind w:right="-28"/>
        <w:rPr>
          <w:rFonts w:ascii="Palatino Linotype" w:eastAsia="Palatino Linotype" w:hAnsi="Palatino Linotype" w:cs="Palatino Linotype"/>
        </w:rPr>
      </w:pPr>
    </w:p>
    <w:p w14:paraId="16A222E9" w14:textId="77777777" w:rsidR="000C2F18" w:rsidRPr="00054F1A" w:rsidRDefault="000C2F18">
      <w:pPr>
        <w:spacing w:line="360" w:lineRule="auto"/>
        <w:ind w:right="-28"/>
        <w:rPr>
          <w:rFonts w:ascii="Palatino Linotype" w:eastAsia="Palatino Linotype" w:hAnsi="Palatino Linotype" w:cs="Palatino Linotype"/>
        </w:rPr>
      </w:pPr>
    </w:p>
    <w:p w14:paraId="6521FDBD" w14:textId="77777777" w:rsidR="000C2F18" w:rsidRPr="00054F1A" w:rsidRDefault="000C2F18">
      <w:pPr>
        <w:spacing w:line="360" w:lineRule="auto"/>
        <w:ind w:right="-28"/>
        <w:rPr>
          <w:rFonts w:ascii="Palatino Linotype" w:eastAsia="Palatino Linotype" w:hAnsi="Palatino Linotype" w:cs="Palatino Linotype"/>
        </w:rPr>
      </w:pPr>
    </w:p>
    <w:p w14:paraId="6410253B" w14:textId="77777777" w:rsidR="000C2F18" w:rsidRPr="00054F1A" w:rsidRDefault="000C2F18">
      <w:pPr>
        <w:spacing w:line="360" w:lineRule="auto"/>
        <w:ind w:right="-28"/>
        <w:rPr>
          <w:rFonts w:ascii="Palatino Linotype" w:eastAsia="Palatino Linotype" w:hAnsi="Palatino Linotype" w:cs="Palatino Linotype"/>
        </w:rPr>
      </w:pPr>
    </w:p>
    <w:p w14:paraId="5A714603" w14:textId="77777777" w:rsidR="000C2F18" w:rsidRPr="00054F1A" w:rsidRDefault="000C2F18">
      <w:pPr>
        <w:spacing w:line="360" w:lineRule="auto"/>
        <w:ind w:right="-28"/>
        <w:rPr>
          <w:rFonts w:ascii="Palatino Linotype" w:eastAsia="Palatino Linotype" w:hAnsi="Palatino Linotype" w:cs="Palatino Linotype"/>
        </w:rPr>
      </w:pPr>
    </w:p>
    <w:p w14:paraId="2FAD3A28" w14:textId="77777777" w:rsidR="00ED4C33" w:rsidRPr="00054F1A" w:rsidRDefault="00ED4C33">
      <w:pPr>
        <w:spacing w:line="360" w:lineRule="auto"/>
        <w:ind w:right="-28"/>
        <w:rPr>
          <w:rFonts w:ascii="Palatino Linotype" w:eastAsia="Palatino Linotype" w:hAnsi="Palatino Linotype" w:cs="Palatino Linotype"/>
        </w:rPr>
      </w:pPr>
    </w:p>
    <w:sectPr w:rsidR="00ED4C33" w:rsidRPr="00054F1A" w:rsidSect="00054F1A">
      <w:headerReference w:type="even" r:id="rId22"/>
      <w:headerReference w:type="default" r:id="rId23"/>
      <w:footerReference w:type="default" r:id="rId24"/>
      <w:headerReference w:type="first" r:id="rId25"/>
      <w:footerReference w:type="first" r:id="rId26"/>
      <w:pgSz w:w="12240" w:h="15840"/>
      <w:pgMar w:top="1701"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548D2" w14:textId="77777777" w:rsidR="002F6405" w:rsidRDefault="002F6405">
      <w:r>
        <w:separator/>
      </w:r>
    </w:p>
  </w:endnote>
  <w:endnote w:type="continuationSeparator" w:id="0">
    <w:p w14:paraId="076FED42" w14:textId="77777777" w:rsidR="002F6405" w:rsidRDefault="002F6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87DEE96B-8260-4EE6-A5A9-16A9D2B69B1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3672706-AFD1-4A69-AAB1-B66AA0A8AEBF}"/>
    <w:embedBold r:id="rId3" w:fontKey="{6E047490-D5B0-4A7B-A530-3A7237C15D83}"/>
    <w:embedItalic r:id="rId4" w:fontKey="{34695945-501C-4CED-A468-C69C92FC1667}"/>
    <w:embedBoldItalic r:id="rId5" w:fontKey="{EE75F3C5-4D46-4C4B-8630-5249B049BE4B}"/>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138F678-A181-4578-AB9A-13373DF14B8A}"/>
  </w:font>
  <w:font w:name="Georgia">
    <w:panose1 w:val="02040502050405020303"/>
    <w:charset w:val="00"/>
    <w:family w:val="roman"/>
    <w:pitch w:val="variable"/>
    <w:sig w:usb0="00000287" w:usb1="00000000" w:usb2="00000000" w:usb3="00000000" w:csb0="0000009F" w:csb1="00000000"/>
    <w:embedItalic r:id="rId7" w:fontKey="{90166797-232C-4F5D-8256-482501CE02C2}"/>
  </w:font>
  <w:font w:name="Garamond">
    <w:panose1 w:val="02020404030301010803"/>
    <w:charset w:val="00"/>
    <w:family w:val="roman"/>
    <w:pitch w:val="variable"/>
    <w:sig w:usb0="00000287" w:usb1="00000000" w:usb2="00000000" w:usb3="00000000" w:csb0="0000009F" w:csb1="00000000"/>
    <w:embedRegular r:id="rId8" w:fontKey="{310C39E5-8CB4-4F01-A965-5E453DBFC95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C58ECEFE-BA29-4F4B-9C7A-9ED25E5B51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4892A" w14:textId="77777777" w:rsidR="00191702" w:rsidRPr="00054F1A" w:rsidRDefault="0019170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54F1A">
      <w:rPr>
        <w:rFonts w:ascii="Palatino Linotype" w:hAnsi="Palatino Linotype"/>
        <w:color w:val="000000"/>
        <w:sz w:val="22"/>
      </w:rPr>
      <w:t xml:space="preserve">Página </w:t>
    </w:r>
    <w:r w:rsidRPr="00054F1A">
      <w:rPr>
        <w:rFonts w:ascii="Palatino Linotype" w:hAnsi="Palatino Linotype"/>
        <w:b/>
        <w:bCs/>
        <w:color w:val="000000"/>
        <w:sz w:val="22"/>
      </w:rPr>
      <w:fldChar w:fldCharType="begin"/>
    </w:r>
    <w:r w:rsidRPr="00054F1A">
      <w:rPr>
        <w:rFonts w:ascii="Palatino Linotype" w:hAnsi="Palatino Linotype"/>
        <w:b/>
        <w:bCs/>
        <w:color w:val="000000"/>
        <w:sz w:val="22"/>
      </w:rPr>
      <w:instrText>PAGE</w:instrText>
    </w:r>
    <w:r w:rsidRPr="00054F1A">
      <w:rPr>
        <w:rFonts w:ascii="Palatino Linotype" w:hAnsi="Palatino Linotype"/>
        <w:b/>
        <w:bCs/>
        <w:color w:val="000000"/>
        <w:sz w:val="22"/>
      </w:rPr>
      <w:fldChar w:fldCharType="separate"/>
    </w:r>
    <w:r w:rsidR="002C73E2">
      <w:rPr>
        <w:rFonts w:ascii="Palatino Linotype" w:hAnsi="Palatino Linotype"/>
        <w:b/>
        <w:bCs/>
        <w:noProof/>
        <w:color w:val="000000"/>
        <w:sz w:val="22"/>
      </w:rPr>
      <w:t>3</w:t>
    </w:r>
    <w:r w:rsidRPr="00054F1A">
      <w:rPr>
        <w:rFonts w:ascii="Palatino Linotype" w:hAnsi="Palatino Linotype"/>
        <w:b/>
        <w:bCs/>
        <w:color w:val="000000"/>
        <w:sz w:val="22"/>
      </w:rPr>
      <w:fldChar w:fldCharType="end"/>
    </w:r>
    <w:r w:rsidRPr="00054F1A">
      <w:rPr>
        <w:rFonts w:ascii="Palatino Linotype" w:hAnsi="Palatino Linotype"/>
        <w:color w:val="000000"/>
        <w:sz w:val="22"/>
      </w:rPr>
      <w:t xml:space="preserve"> de </w:t>
    </w:r>
    <w:r w:rsidRPr="00054F1A">
      <w:rPr>
        <w:rFonts w:ascii="Palatino Linotype" w:hAnsi="Palatino Linotype"/>
        <w:b/>
        <w:bCs/>
        <w:color w:val="000000"/>
        <w:sz w:val="22"/>
      </w:rPr>
      <w:fldChar w:fldCharType="begin"/>
    </w:r>
    <w:r w:rsidRPr="00054F1A">
      <w:rPr>
        <w:rFonts w:ascii="Palatino Linotype" w:hAnsi="Palatino Linotype"/>
        <w:b/>
        <w:bCs/>
        <w:color w:val="000000"/>
        <w:sz w:val="22"/>
      </w:rPr>
      <w:instrText>NUMPAGES</w:instrText>
    </w:r>
    <w:r w:rsidRPr="00054F1A">
      <w:rPr>
        <w:rFonts w:ascii="Palatino Linotype" w:hAnsi="Palatino Linotype"/>
        <w:b/>
        <w:bCs/>
        <w:color w:val="000000"/>
        <w:sz w:val="22"/>
      </w:rPr>
      <w:fldChar w:fldCharType="separate"/>
    </w:r>
    <w:r w:rsidR="002C73E2">
      <w:rPr>
        <w:rFonts w:ascii="Palatino Linotype" w:hAnsi="Palatino Linotype"/>
        <w:b/>
        <w:bCs/>
        <w:noProof/>
        <w:color w:val="000000"/>
        <w:sz w:val="22"/>
      </w:rPr>
      <w:t>27</w:t>
    </w:r>
    <w:r w:rsidRPr="00054F1A">
      <w:rPr>
        <w:rFonts w:ascii="Palatino Linotype" w:hAnsi="Palatino Linotype"/>
        <w:b/>
        <w:bCs/>
        <w:color w:val="000000"/>
        <w:sz w:val="22"/>
      </w:rPr>
      <w:fldChar w:fldCharType="end"/>
    </w:r>
  </w:p>
  <w:p w14:paraId="568EF410" w14:textId="77777777" w:rsidR="00191702" w:rsidRDefault="0019170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CC44B" w14:textId="77777777" w:rsidR="00191702" w:rsidRPr="00054F1A" w:rsidRDefault="0019170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054F1A">
      <w:rPr>
        <w:rFonts w:ascii="Palatino Linotype" w:hAnsi="Palatino Linotype"/>
        <w:color w:val="000000"/>
        <w:sz w:val="22"/>
      </w:rPr>
      <w:t xml:space="preserve">Página </w:t>
    </w:r>
    <w:r w:rsidRPr="00054F1A">
      <w:rPr>
        <w:rFonts w:ascii="Palatino Linotype" w:hAnsi="Palatino Linotype"/>
        <w:b/>
        <w:bCs/>
        <w:color w:val="000000"/>
        <w:sz w:val="22"/>
      </w:rPr>
      <w:fldChar w:fldCharType="begin"/>
    </w:r>
    <w:r w:rsidRPr="00054F1A">
      <w:rPr>
        <w:rFonts w:ascii="Palatino Linotype" w:hAnsi="Palatino Linotype"/>
        <w:b/>
        <w:bCs/>
        <w:color w:val="000000"/>
        <w:sz w:val="22"/>
      </w:rPr>
      <w:instrText>PAGE</w:instrText>
    </w:r>
    <w:r w:rsidRPr="00054F1A">
      <w:rPr>
        <w:rFonts w:ascii="Palatino Linotype" w:hAnsi="Palatino Linotype"/>
        <w:b/>
        <w:bCs/>
        <w:color w:val="000000"/>
        <w:sz w:val="22"/>
      </w:rPr>
      <w:fldChar w:fldCharType="separate"/>
    </w:r>
    <w:r w:rsidR="002C73E2">
      <w:rPr>
        <w:rFonts w:ascii="Palatino Linotype" w:hAnsi="Palatino Linotype"/>
        <w:b/>
        <w:bCs/>
        <w:noProof/>
        <w:color w:val="000000"/>
        <w:sz w:val="22"/>
      </w:rPr>
      <w:t>1</w:t>
    </w:r>
    <w:r w:rsidRPr="00054F1A">
      <w:rPr>
        <w:rFonts w:ascii="Palatino Linotype" w:hAnsi="Palatino Linotype"/>
        <w:b/>
        <w:bCs/>
        <w:color w:val="000000"/>
        <w:sz w:val="22"/>
      </w:rPr>
      <w:fldChar w:fldCharType="end"/>
    </w:r>
    <w:r w:rsidRPr="00054F1A">
      <w:rPr>
        <w:rFonts w:ascii="Palatino Linotype" w:hAnsi="Palatino Linotype"/>
        <w:color w:val="000000"/>
        <w:sz w:val="22"/>
      </w:rPr>
      <w:t xml:space="preserve"> de </w:t>
    </w:r>
    <w:r w:rsidRPr="00054F1A">
      <w:rPr>
        <w:rFonts w:ascii="Palatino Linotype" w:hAnsi="Palatino Linotype"/>
        <w:b/>
        <w:bCs/>
        <w:color w:val="000000"/>
        <w:sz w:val="22"/>
      </w:rPr>
      <w:fldChar w:fldCharType="begin"/>
    </w:r>
    <w:r w:rsidRPr="00054F1A">
      <w:rPr>
        <w:rFonts w:ascii="Palatino Linotype" w:hAnsi="Palatino Linotype"/>
        <w:b/>
        <w:bCs/>
        <w:color w:val="000000"/>
        <w:sz w:val="22"/>
      </w:rPr>
      <w:instrText>NUMPAGES</w:instrText>
    </w:r>
    <w:r w:rsidRPr="00054F1A">
      <w:rPr>
        <w:rFonts w:ascii="Palatino Linotype" w:hAnsi="Palatino Linotype"/>
        <w:b/>
        <w:bCs/>
        <w:color w:val="000000"/>
        <w:sz w:val="22"/>
      </w:rPr>
      <w:fldChar w:fldCharType="separate"/>
    </w:r>
    <w:r w:rsidR="002C73E2">
      <w:rPr>
        <w:rFonts w:ascii="Palatino Linotype" w:hAnsi="Palatino Linotype"/>
        <w:b/>
        <w:bCs/>
        <w:noProof/>
        <w:color w:val="000000"/>
        <w:sz w:val="22"/>
      </w:rPr>
      <w:t>27</w:t>
    </w:r>
    <w:r w:rsidRPr="00054F1A">
      <w:rPr>
        <w:rFonts w:ascii="Palatino Linotype" w:hAnsi="Palatino Linotype"/>
        <w:b/>
        <w:bCs/>
        <w:color w:val="000000"/>
        <w:sz w:val="22"/>
      </w:rPr>
      <w:fldChar w:fldCharType="end"/>
    </w:r>
  </w:p>
  <w:p w14:paraId="3CD339B4" w14:textId="77777777" w:rsidR="00191702" w:rsidRDefault="0019170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F4D93" w14:textId="77777777" w:rsidR="002F6405" w:rsidRDefault="002F6405">
      <w:r>
        <w:separator/>
      </w:r>
    </w:p>
  </w:footnote>
  <w:footnote w:type="continuationSeparator" w:id="0">
    <w:p w14:paraId="117D7EFF" w14:textId="77777777" w:rsidR="002F6405" w:rsidRDefault="002F6405">
      <w:r>
        <w:continuationSeparator/>
      </w:r>
    </w:p>
  </w:footnote>
  <w:footnote w:id="1">
    <w:p w14:paraId="4917198F" w14:textId="77777777" w:rsidR="00191702" w:rsidRDefault="0019170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163C6A0E" w14:textId="77777777" w:rsidR="00191702" w:rsidRDefault="0019170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6BD4C2A" w14:textId="77777777" w:rsidR="00191702" w:rsidRDefault="0019170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471FC01F" w14:textId="77777777" w:rsidR="00191702" w:rsidRDefault="00191702">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E9573" w14:textId="77777777" w:rsidR="00191702" w:rsidRDefault="002F6405">
    <w:pPr>
      <w:pBdr>
        <w:top w:val="nil"/>
        <w:left w:val="nil"/>
        <w:bottom w:val="nil"/>
        <w:right w:val="nil"/>
        <w:between w:val="nil"/>
      </w:pBdr>
      <w:tabs>
        <w:tab w:val="center" w:pos="4419"/>
        <w:tab w:val="right" w:pos="8838"/>
      </w:tabs>
      <w:rPr>
        <w:color w:val="000000"/>
      </w:rPr>
    </w:pPr>
    <w:r>
      <w:rPr>
        <w:color w:val="000000"/>
      </w:rPr>
      <w:pict w14:anchorId="06F03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290" w:type="dxa"/>
      <w:tblInd w:w="0" w:type="dxa"/>
      <w:tblLayout w:type="fixed"/>
      <w:tblLook w:val="0400" w:firstRow="0" w:lastRow="0" w:firstColumn="0" w:lastColumn="0" w:noHBand="0" w:noVBand="1"/>
    </w:tblPr>
    <w:tblGrid>
      <w:gridCol w:w="2310"/>
      <w:gridCol w:w="7980"/>
    </w:tblGrid>
    <w:tr w:rsidR="00191702" w14:paraId="47729832" w14:textId="77777777">
      <w:trPr>
        <w:trHeight w:val="917"/>
      </w:trPr>
      <w:tc>
        <w:tcPr>
          <w:tcW w:w="2310" w:type="dxa"/>
          <w:shd w:val="clear" w:color="auto" w:fill="auto"/>
        </w:tcPr>
        <w:p w14:paraId="77B9C3DC" w14:textId="77777777" w:rsidR="00191702" w:rsidRDefault="00191702">
          <w:pPr>
            <w:tabs>
              <w:tab w:val="right" w:pos="4273"/>
            </w:tabs>
            <w:rPr>
              <w:rFonts w:ascii="Garamond" w:eastAsia="Garamond" w:hAnsi="Garamond" w:cs="Garamond"/>
              <w:sz w:val="16"/>
              <w:szCs w:val="16"/>
            </w:rPr>
          </w:pPr>
        </w:p>
      </w:tc>
      <w:tc>
        <w:tcPr>
          <w:tcW w:w="7980" w:type="dxa"/>
          <w:shd w:val="clear" w:color="auto" w:fill="auto"/>
        </w:tcPr>
        <w:tbl>
          <w:tblPr>
            <w:tblStyle w:val="a0"/>
            <w:tblW w:w="7588" w:type="dxa"/>
            <w:tblInd w:w="410" w:type="dxa"/>
            <w:tblLayout w:type="fixed"/>
            <w:tblLook w:val="0400" w:firstRow="0" w:lastRow="0" w:firstColumn="0" w:lastColumn="0" w:noHBand="0" w:noVBand="1"/>
          </w:tblPr>
          <w:tblGrid>
            <w:gridCol w:w="3628"/>
            <w:gridCol w:w="3960"/>
          </w:tblGrid>
          <w:tr w:rsidR="00191702" w14:paraId="1B18AE4A" w14:textId="77777777" w:rsidTr="00054F1A">
            <w:trPr>
              <w:trHeight w:val="68"/>
            </w:trPr>
            <w:tc>
              <w:tcPr>
                <w:tcW w:w="3628" w:type="dxa"/>
                <w:shd w:val="clear" w:color="auto" w:fill="auto"/>
              </w:tcPr>
              <w:p w14:paraId="71AAA1AE" w14:textId="77777777" w:rsidR="00191702" w:rsidRPr="00054F1A" w:rsidRDefault="00191702">
                <w:pPr>
                  <w:tabs>
                    <w:tab w:val="right" w:pos="8838"/>
                  </w:tabs>
                  <w:ind w:left="850" w:right="-274"/>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Recurso de Revisión:</w:t>
                </w:r>
              </w:p>
            </w:tc>
            <w:tc>
              <w:tcPr>
                <w:tcW w:w="3960" w:type="dxa"/>
                <w:shd w:val="clear" w:color="auto" w:fill="auto"/>
              </w:tcPr>
              <w:p w14:paraId="3A098AA5" w14:textId="77777777" w:rsidR="00191702" w:rsidRPr="00054F1A" w:rsidRDefault="00191702">
                <w:pPr>
                  <w:ind w:right="-1512"/>
                  <w:rPr>
                    <w:rFonts w:ascii="Palatino Linotype" w:eastAsia="Palatino Linotype" w:hAnsi="Palatino Linotype" w:cs="Palatino Linotype"/>
                    <w:szCs w:val="22"/>
                  </w:rPr>
                </w:pPr>
                <w:r w:rsidRPr="00054F1A">
                  <w:rPr>
                    <w:rFonts w:ascii="Palatino Linotype" w:eastAsia="Palatino Linotype" w:hAnsi="Palatino Linotype" w:cs="Palatino Linotype"/>
                    <w:szCs w:val="22"/>
                  </w:rPr>
                  <w:t>11268/INFOEM/IP/RR/2025</w:t>
                </w:r>
              </w:p>
            </w:tc>
          </w:tr>
          <w:tr w:rsidR="00191702" w14:paraId="15B5B43C" w14:textId="77777777" w:rsidTr="00054F1A">
            <w:trPr>
              <w:trHeight w:val="135"/>
            </w:trPr>
            <w:tc>
              <w:tcPr>
                <w:tcW w:w="3628" w:type="dxa"/>
                <w:shd w:val="clear" w:color="auto" w:fill="auto"/>
              </w:tcPr>
              <w:p w14:paraId="1CE31843" w14:textId="77777777" w:rsidR="00191702" w:rsidRPr="00054F1A" w:rsidRDefault="00191702">
                <w:pPr>
                  <w:tabs>
                    <w:tab w:val="right" w:pos="8838"/>
                  </w:tabs>
                  <w:ind w:left="850" w:right="-274"/>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Sujeto Obligado:</w:t>
                </w:r>
              </w:p>
            </w:tc>
            <w:tc>
              <w:tcPr>
                <w:tcW w:w="3960" w:type="dxa"/>
                <w:shd w:val="clear" w:color="auto" w:fill="auto"/>
              </w:tcPr>
              <w:p w14:paraId="4F2691D7" w14:textId="77777777" w:rsidR="00191702" w:rsidRPr="00054F1A" w:rsidRDefault="00191702">
                <w:pPr>
                  <w:tabs>
                    <w:tab w:val="left" w:pos="2834"/>
                  </w:tabs>
                  <w:ind w:right="-1512"/>
                  <w:rPr>
                    <w:rFonts w:ascii="Palatino Linotype" w:eastAsia="Palatino Linotype" w:hAnsi="Palatino Linotype" w:cs="Palatino Linotype"/>
                    <w:szCs w:val="22"/>
                  </w:rPr>
                </w:pPr>
                <w:r w:rsidRPr="00054F1A">
                  <w:rPr>
                    <w:rFonts w:ascii="Palatino Linotype" w:eastAsia="Palatino Linotype" w:hAnsi="Palatino Linotype" w:cs="Palatino Linotype"/>
                    <w:szCs w:val="22"/>
                  </w:rPr>
                  <w:t>Gubernatura</w:t>
                </w:r>
              </w:p>
            </w:tc>
          </w:tr>
          <w:tr w:rsidR="00191702" w14:paraId="4CF6023E" w14:textId="77777777" w:rsidTr="00054F1A">
            <w:trPr>
              <w:trHeight w:val="135"/>
            </w:trPr>
            <w:tc>
              <w:tcPr>
                <w:tcW w:w="3628" w:type="dxa"/>
                <w:shd w:val="clear" w:color="auto" w:fill="auto"/>
              </w:tcPr>
              <w:p w14:paraId="76D00E14" w14:textId="77777777" w:rsidR="00191702" w:rsidRPr="00054F1A" w:rsidRDefault="00191702">
                <w:pPr>
                  <w:tabs>
                    <w:tab w:val="right" w:pos="8838"/>
                  </w:tabs>
                  <w:ind w:left="850" w:right="-274"/>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Comisionada ponente:</w:t>
                </w:r>
              </w:p>
            </w:tc>
            <w:tc>
              <w:tcPr>
                <w:tcW w:w="3960" w:type="dxa"/>
                <w:shd w:val="clear" w:color="auto" w:fill="auto"/>
              </w:tcPr>
              <w:p w14:paraId="26B8FC85" w14:textId="77777777" w:rsidR="00191702" w:rsidRPr="00054F1A" w:rsidRDefault="00191702">
                <w:pPr>
                  <w:ind w:right="-1512"/>
                  <w:rPr>
                    <w:rFonts w:ascii="Palatino Linotype" w:eastAsia="Palatino Linotype" w:hAnsi="Palatino Linotype" w:cs="Palatino Linotype"/>
                    <w:szCs w:val="22"/>
                  </w:rPr>
                </w:pPr>
                <w:r w:rsidRPr="00054F1A">
                  <w:rPr>
                    <w:rFonts w:ascii="Palatino Linotype" w:eastAsia="Palatino Linotype" w:hAnsi="Palatino Linotype" w:cs="Palatino Linotype"/>
                    <w:szCs w:val="22"/>
                  </w:rPr>
                  <w:t>María del Rosario Mejía Ayala</w:t>
                </w:r>
              </w:p>
              <w:p w14:paraId="21BC397C" w14:textId="77777777" w:rsidR="00191702" w:rsidRPr="00054F1A" w:rsidRDefault="00191702">
                <w:pPr>
                  <w:ind w:right="-1512"/>
                  <w:rPr>
                    <w:rFonts w:ascii="Palatino Linotype" w:eastAsia="Palatino Linotype" w:hAnsi="Palatino Linotype" w:cs="Palatino Linotype"/>
                    <w:szCs w:val="22"/>
                  </w:rPr>
                </w:pPr>
              </w:p>
            </w:tc>
          </w:tr>
        </w:tbl>
        <w:p w14:paraId="14C0E735" w14:textId="77777777" w:rsidR="00191702" w:rsidRDefault="00191702">
          <w:pPr>
            <w:tabs>
              <w:tab w:val="right" w:pos="8838"/>
            </w:tabs>
            <w:ind w:left="-28"/>
            <w:jc w:val="both"/>
            <w:rPr>
              <w:rFonts w:ascii="Arial" w:eastAsia="Arial" w:hAnsi="Arial" w:cs="Arial"/>
              <w:b/>
              <w:bCs/>
              <w:sz w:val="22"/>
              <w:szCs w:val="22"/>
            </w:rPr>
          </w:pPr>
        </w:p>
      </w:tc>
    </w:tr>
  </w:tbl>
  <w:p w14:paraId="12459BFF" w14:textId="77777777" w:rsidR="00191702" w:rsidRDefault="002F6405">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48074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15pt;margin-top:-121.95pt;width:589.8pt;height:768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50" w:type="dxa"/>
      <w:tblInd w:w="0" w:type="dxa"/>
      <w:tblLayout w:type="fixed"/>
      <w:tblLook w:val="0400" w:firstRow="0" w:lastRow="0" w:firstColumn="0" w:lastColumn="0" w:noHBand="0" w:noVBand="1"/>
    </w:tblPr>
    <w:tblGrid>
      <w:gridCol w:w="3092"/>
      <w:gridCol w:w="7258"/>
    </w:tblGrid>
    <w:tr w:rsidR="00191702" w14:paraId="6D8161E4" w14:textId="77777777">
      <w:trPr>
        <w:trHeight w:val="2303"/>
      </w:trPr>
      <w:tc>
        <w:tcPr>
          <w:tcW w:w="3092" w:type="dxa"/>
          <w:shd w:val="clear" w:color="auto" w:fill="auto"/>
        </w:tcPr>
        <w:p w14:paraId="031C010F" w14:textId="77777777" w:rsidR="00191702" w:rsidRDefault="00191702">
          <w:pPr>
            <w:tabs>
              <w:tab w:val="right" w:pos="4273"/>
            </w:tabs>
            <w:rPr>
              <w:rFonts w:ascii="Garamond" w:eastAsia="Garamond" w:hAnsi="Garamond" w:cs="Garamond"/>
              <w:sz w:val="22"/>
              <w:szCs w:val="22"/>
            </w:rPr>
          </w:pPr>
        </w:p>
      </w:tc>
      <w:tc>
        <w:tcPr>
          <w:tcW w:w="7258" w:type="dxa"/>
          <w:shd w:val="clear" w:color="auto" w:fill="auto"/>
        </w:tcPr>
        <w:tbl>
          <w:tblPr>
            <w:tblStyle w:val="a2"/>
            <w:tblW w:w="7283" w:type="dxa"/>
            <w:tblInd w:w="0" w:type="dxa"/>
            <w:tblLayout w:type="fixed"/>
            <w:tblLook w:val="0400" w:firstRow="0" w:lastRow="0" w:firstColumn="0" w:lastColumn="0" w:noHBand="0" w:noVBand="1"/>
          </w:tblPr>
          <w:tblGrid>
            <w:gridCol w:w="2835"/>
            <w:gridCol w:w="4448"/>
          </w:tblGrid>
          <w:tr w:rsidR="00191702" w14:paraId="1DFE6787" w14:textId="77777777" w:rsidTr="00054F1A">
            <w:trPr>
              <w:trHeight w:val="144"/>
            </w:trPr>
            <w:tc>
              <w:tcPr>
                <w:tcW w:w="2835" w:type="dxa"/>
                <w:shd w:val="clear" w:color="auto" w:fill="auto"/>
              </w:tcPr>
              <w:p w14:paraId="06B3CCB6" w14:textId="77777777" w:rsidR="00191702" w:rsidRPr="00054F1A" w:rsidRDefault="00191702">
                <w:pPr>
                  <w:tabs>
                    <w:tab w:val="right" w:pos="8838"/>
                  </w:tabs>
                  <w:ind w:left="-264" w:right="-105" w:firstLine="264"/>
                  <w:jc w:val="both"/>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Recurso de Revisión:</w:t>
                </w:r>
              </w:p>
            </w:tc>
            <w:tc>
              <w:tcPr>
                <w:tcW w:w="4448" w:type="dxa"/>
                <w:shd w:val="clear" w:color="auto" w:fill="auto"/>
              </w:tcPr>
              <w:p w14:paraId="3AC1203C" w14:textId="77777777" w:rsidR="00191702" w:rsidRPr="00054F1A" w:rsidRDefault="00191702">
                <w:pPr>
                  <w:ind w:right="-810"/>
                  <w:rPr>
                    <w:rFonts w:ascii="Palatino Linotype" w:eastAsia="Palatino Linotype" w:hAnsi="Palatino Linotype" w:cs="Palatino Linotype"/>
                    <w:szCs w:val="22"/>
                  </w:rPr>
                </w:pPr>
                <w:r w:rsidRPr="00054F1A">
                  <w:rPr>
                    <w:rFonts w:ascii="Palatino Linotype" w:eastAsia="Palatino Linotype" w:hAnsi="Palatino Linotype" w:cs="Palatino Linotype"/>
                    <w:szCs w:val="22"/>
                  </w:rPr>
                  <w:t>11268/INFOEM/IP/RR/2025</w:t>
                </w:r>
              </w:p>
            </w:tc>
          </w:tr>
          <w:tr w:rsidR="00191702" w14:paraId="33DE8E31" w14:textId="77777777" w:rsidTr="00054F1A">
            <w:trPr>
              <w:trHeight w:val="144"/>
            </w:trPr>
            <w:tc>
              <w:tcPr>
                <w:tcW w:w="2835" w:type="dxa"/>
                <w:shd w:val="clear" w:color="auto" w:fill="auto"/>
              </w:tcPr>
              <w:p w14:paraId="43D675B1" w14:textId="77777777" w:rsidR="00191702" w:rsidRPr="00054F1A" w:rsidRDefault="00191702">
                <w:pPr>
                  <w:tabs>
                    <w:tab w:val="right" w:pos="8838"/>
                  </w:tabs>
                  <w:ind w:left="-74" w:right="-105" w:firstLine="74"/>
                  <w:jc w:val="both"/>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Recurrente:</w:t>
                </w:r>
              </w:p>
            </w:tc>
            <w:tc>
              <w:tcPr>
                <w:tcW w:w="4448" w:type="dxa"/>
                <w:shd w:val="clear" w:color="auto" w:fill="auto"/>
              </w:tcPr>
              <w:p w14:paraId="156DE45D" w14:textId="04CDB746" w:rsidR="00191702" w:rsidRPr="00054F1A" w:rsidRDefault="002C73E2">
                <w:pPr>
                  <w:tabs>
                    <w:tab w:val="left" w:pos="3122"/>
                  </w:tabs>
                  <w:ind w:right="-810"/>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191702" w14:paraId="0822C609" w14:textId="77777777" w:rsidTr="00054F1A">
            <w:trPr>
              <w:trHeight w:val="283"/>
            </w:trPr>
            <w:tc>
              <w:tcPr>
                <w:tcW w:w="2835" w:type="dxa"/>
                <w:shd w:val="clear" w:color="auto" w:fill="auto"/>
              </w:tcPr>
              <w:p w14:paraId="7C01AF6F" w14:textId="77777777" w:rsidR="00191702" w:rsidRPr="00054F1A" w:rsidRDefault="00191702">
                <w:pPr>
                  <w:tabs>
                    <w:tab w:val="right" w:pos="8838"/>
                  </w:tabs>
                  <w:ind w:left="-74" w:right="-105" w:firstLine="74"/>
                  <w:jc w:val="both"/>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Sujeto Obligado:</w:t>
                </w:r>
              </w:p>
            </w:tc>
            <w:tc>
              <w:tcPr>
                <w:tcW w:w="4448" w:type="dxa"/>
                <w:shd w:val="clear" w:color="auto" w:fill="auto"/>
              </w:tcPr>
              <w:p w14:paraId="67B43A05" w14:textId="77777777" w:rsidR="00191702" w:rsidRPr="00054F1A" w:rsidRDefault="00191702">
                <w:pPr>
                  <w:tabs>
                    <w:tab w:val="left" w:pos="2834"/>
                  </w:tabs>
                  <w:ind w:right="-810"/>
                  <w:rPr>
                    <w:rFonts w:ascii="Palatino Linotype" w:eastAsia="Palatino Linotype" w:hAnsi="Palatino Linotype" w:cs="Palatino Linotype"/>
                    <w:szCs w:val="22"/>
                  </w:rPr>
                </w:pPr>
                <w:r w:rsidRPr="00054F1A">
                  <w:rPr>
                    <w:rFonts w:ascii="Palatino Linotype" w:eastAsia="Palatino Linotype" w:hAnsi="Palatino Linotype" w:cs="Palatino Linotype"/>
                    <w:szCs w:val="22"/>
                  </w:rPr>
                  <w:t>Gubernatura</w:t>
                </w:r>
              </w:p>
            </w:tc>
          </w:tr>
          <w:tr w:rsidR="00191702" w14:paraId="5DDB2CBD" w14:textId="77777777" w:rsidTr="00054F1A">
            <w:trPr>
              <w:trHeight w:val="283"/>
            </w:trPr>
            <w:tc>
              <w:tcPr>
                <w:tcW w:w="2835" w:type="dxa"/>
                <w:shd w:val="clear" w:color="auto" w:fill="auto"/>
              </w:tcPr>
              <w:p w14:paraId="3913F02E" w14:textId="77777777" w:rsidR="00191702" w:rsidRPr="00054F1A" w:rsidRDefault="00191702">
                <w:pPr>
                  <w:tabs>
                    <w:tab w:val="right" w:pos="8838"/>
                  </w:tabs>
                  <w:ind w:left="-74" w:right="-105" w:firstLine="74"/>
                  <w:jc w:val="both"/>
                  <w:rPr>
                    <w:rFonts w:ascii="Palatino Linotype" w:eastAsia="Palatino Linotype" w:hAnsi="Palatino Linotype" w:cs="Palatino Linotype"/>
                    <w:b/>
                    <w:bCs/>
                    <w:szCs w:val="22"/>
                  </w:rPr>
                </w:pPr>
                <w:r w:rsidRPr="00054F1A">
                  <w:rPr>
                    <w:rFonts w:ascii="Palatino Linotype" w:eastAsia="Palatino Linotype" w:hAnsi="Palatino Linotype" w:cs="Palatino Linotype"/>
                    <w:b/>
                    <w:bCs/>
                    <w:szCs w:val="22"/>
                  </w:rPr>
                  <w:t>Comisionada ponente:</w:t>
                </w:r>
              </w:p>
            </w:tc>
            <w:tc>
              <w:tcPr>
                <w:tcW w:w="4448" w:type="dxa"/>
                <w:shd w:val="clear" w:color="auto" w:fill="auto"/>
              </w:tcPr>
              <w:p w14:paraId="4CF1F54B" w14:textId="77777777" w:rsidR="00191702" w:rsidRPr="00054F1A" w:rsidRDefault="00191702">
                <w:pPr>
                  <w:ind w:right="-810"/>
                  <w:rPr>
                    <w:rFonts w:ascii="Palatino Linotype" w:eastAsia="Palatino Linotype" w:hAnsi="Palatino Linotype" w:cs="Palatino Linotype"/>
                    <w:szCs w:val="22"/>
                  </w:rPr>
                </w:pPr>
                <w:r w:rsidRPr="00054F1A">
                  <w:rPr>
                    <w:rFonts w:ascii="Palatino Linotype" w:eastAsia="Palatino Linotype" w:hAnsi="Palatino Linotype" w:cs="Palatino Linotype"/>
                    <w:szCs w:val="22"/>
                  </w:rPr>
                  <w:t>María del Rosario Mejía Ayala</w:t>
                </w:r>
              </w:p>
              <w:p w14:paraId="795C1D41" w14:textId="77777777" w:rsidR="00191702" w:rsidRPr="00054F1A" w:rsidRDefault="00191702">
                <w:pPr>
                  <w:ind w:right="-810"/>
                  <w:rPr>
                    <w:rFonts w:ascii="Palatino Linotype" w:eastAsia="Palatino Linotype" w:hAnsi="Palatino Linotype" w:cs="Palatino Linotype"/>
                    <w:szCs w:val="22"/>
                  </w:rPr>
                </w:pPr>
              </w:p>
            </w:tc>
          </w:tr>
        </w:tbl>
        <w:p w14:paraId="3C503EAE" w14:textId="77777777" w:rsidR="00191702" w:rsidRDefault="00191702">
          <w:pPr>
            <w:tabs>
              <w:tab w:val="right" w:pos="8838"/>
            </w:tabs>
            <w:ind w:left="-28"/>
            <w:jc w:val="both"/>
            <w:rPr>
              <w:rFonts w:ascii="Arial" w:eastAsia="Arial" w:hAnsi="Arial" w:cs="Arial"/>
              <w:b/>
              <w:bCs/>
              <w:sz w:val="22"/>
              <w:szCs w:val="22"/>
            </w:rPr>
          </w:pPr>
        </w:p>
      </w:tc>
    </w:tr>
  </w:tbl>
  <w:p w14:paraId="17954903" w14:textId="77777777" w:rsidR="00191702" w:rsidRDefault="002F6405">
    <w:pPr>
      <w:pBdr>
        <w:top w:val="nil"/>
        <w:left w:val="nil"/>
        <w:bottom w:val="nil"/>
        <w:right w:val="nil"/>
        <w:between w:val="nil"/>
      </w:pBdr>
      <w:tabs>
        <w:tab w:val="center" w:pos="4419"/>
        <w:tab w:val="right" w:pos="8838"/>
      </w:tabs>
      <w:rPr>
        <w:color w:val="000000"/>
        <w:sz w:val="2"/>
        <w:szCs w:val="2"/>
      </w:rPr>
    </w:pPr>
    <w:r>
      <w:rPr>
        <w:color w:val="000000"/>
        <w:sz w:val="2"/>
        <w:szCs w:val="2"/>
      </w:rPr>
      <w:pict w14:anchorId="5A63FE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1.9pt;margin-top:-151.55pt;width:589.8pt;height:768pt;z-index:-25165875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45E3E"/>
    <w:multiLevelType w:val="multilevel"/>
    <w:tmpl w:val="575A75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1EF6902"/>
    <w:multiLevelType w:val="multilevel"/>
    <w:tmpl w:val="96861C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5E021C0"/>
    <w:multiLevelType w:val="multilevel"/>
    <w:tmpl w:val="D7E4C08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5522629"/>
    <w:multiLevelType w:val="multilevel"/>
    <w:tmpl w:val="7C7031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634630A6"/>
    <w:multiLevelType w:val="multilevel"/>
    <w:tmpl w:val="1102D632"/>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310795"/>
    <w:multiLevelType w:val="multilevel"/>
    <w:tmpl w:val="1EE6A2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93A2329"/>
    <w:multiLevelType w:val="multilevel"/>
    <w:tmpl w:val="2664410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710E4B"/>
    <w:multiLevelType w:val="multilevel"/>
    <w:tmpl w:val="EA1855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73C076B"/>
    <w:multiLevelType w:val="multilevel"/>
    <w:tmpl w:val="7A72D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D2F41E5"/>
    <w:multiLevelType w:val="multilevel"/>
    <w:tmpl w:val="6AF4B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E222EBB"/>
    <w:multiLevelType w:val="multilevel"/>
    <w:tmpl w:val="ED92AE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5"/>
  </w:num>
  <w:num w:numId="3">
    <w:abstractNumId w:val="6"/>
  </w:num>
  <w:num w:numId="4">
    <w:abstractNumId w:val="1"/>
  </w:num>
  <w:num w:numId="5">
    <w:abstractNumId w:val="9"/>
  </w:num>
  <w:num w:numId="6">
    <w:abstractNumId w:val="8"/>
  </w:num>
  <w:num w:numId="7">
    <w:abstractNumId w:val="10"/>
  </w:num>
  <w:num w:numId="8">
    <w:abstractNumId w:val="2"/>
  </w:num>
  <w:num w:numId="9">
    <w:abstractNumId w:val="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33"/>
    <w:rsid w:val="00054F1A"/>
    <w:rsid w:val="000C2F18"/>
    <w:rsid w:val="00191702"/>
    <w:rsid w:val="002C2B85"/>
    <w:rsid w:val="002C73E2"/>
    <w:rsid w:val="002F6405"/>
    <w:rsid w:val="00346A01"/>
    <w:rsid w:val="004D4F91"/>
    <w:rsid w:val="005D7264"/>
    <w:rsid w:val="00601458"/>
    <w:rsid w:val="006258BF"/>
    <w:rsid w:val="00690CBA"/>
    <w:rsid w:val="007379AD"/>
    <w:rsid w:val="00990638"/>
    <w:rsid w:val="00A5515C"/>
    <w:rsid w:val="00AA7DA3"/>
    <w:rsid w:val="00BB31F8"/>
    <w:rsid w:val="00E84A46"/>
    <w:rsid w:val="00ED4C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627674"/>
  <w15:docId w15:val="{2D269E58-B191-4EB2-A03C-813AB907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0">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1">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2">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346A01"/>
    <w:pPr>
      <w:ind w:left="720"/>
      <w:contextualSpacing/>
    </w:pPr>
  </w:style>
  <w:style w:type="paragraph" w:styleId="Piedepgina">
    <w:name w:val="footer"/>
    <w:basedOn w:val="Normal"/>
    <w:link w:val="PiedepginaCar"/>
    <w:uiPriority w:val="99"/>
    <w:unhideWhenUsed/>
    <w:rsid w:val="00054F1A"/>
    <w:pPr>
      <w:tabs>
        <w:tab w:val="center" w:pos="4419"/>
        <w:tab w:val="right" w:pos="8838"/>
      </w:tabs>
    </w:pPr>
  </w:style>
  <w:style w:type="character" w:customStyle="1" w:styleId="PiedepginaCar">
    <w:name w:val="Pie de página Car"/>
    <w:basedOn w:val="Fuentedeprrafopredeter"/>
    <w:link w:val="Piedepgina"/>
    <w:uiPriority w:val="99"/>
    <w:rsid w:val="00054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75825.page" TargetMode="External"/><Relationship Id="rId13" Type="http://schemas.openxmlformats.org/officeDocument/2006/relationships/hyperlink" Target="https://saimex.org.mx/saimex/solicitud/downloadAttach/2587033.page" TargetMode="Externa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saimex.org.mx/saimex/solicitud/downloadAttach/2595645.page"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aimex.org.mx/saimex/solicitud/downloadAttach/2747580.pag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80856.pag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aimex.org.mx/saimex/solicitud/downloadAttach/2683356.page"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saimex.org.mx/saimex/solicitud/downloadAttach/2580269.pag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aimex.org.mx/saimex/solicitud/downloadAttach/2575826.page" TargetMode="External"/><Relationship Id="rId14" Type="http://schemas.openxmlformats.org/officeDocument/2006/relationships/hyperlink" Target="https://saimex.org.mx/saimex/solicitud/downloadAttach/2676943.page" TargetMode="External"/><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z5igWKLvD5IJVTM4GhomMTmEg==">CgMxLjAyCWguMWZvYjl0ZTIIaC5namRneHMyDmguOTFicmpxMmVucGI2MgloLjN6bnlzaDcyCWguMmV0OTJwMDIJaC4zZHk2dmttMghoLnR5amN3dDIIaC5sbnhiejkyCWguM3JkY3JqbjIJaC4zMGowemxsOAByITFhT2xVNDgtdi0tbFg2RkFNV3RoaFl6bDd0LXF6c0dhYg==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27</Pages>
  <Words>6750</Words>
  <Characters>37130</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2026-05-08T20:51:00Z</cp:lastPrinted>
  <dcterms:created xsi:type="dcterms:W3CDTF">2026-04-30T21:02:00Z</dcterms:created>
  <dcterms:modified xsi:type="dcterms:W3CDTF">2026-05-14T19:10:00Z</dcterms:modified>
</cp:coreProperties>
</file>