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35177DAC" w:rsidR="00C877F6" w:rsidRPr="004440D5" w:rsidRDefault="00F36565" w:rsidP="00FD4DF9">
      <w:pPr>
        <w:spacing w:line="360" w:lineRule="auto"/>
        <w:ind w:right="49" w:hanging="22"/>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66D68" w:rsidRPr="004440D5">
        <w:rPr>
          <w:rFonts w:ascii="Palatino Linotype" w:eastAsia="Palatino Linotype" w:hAnsi="Palatino Linotype" w:cs="Palatino Linotype"/>
          <w:b/>
          <w:sz w:val="22"/>
          <w:szCs w:val="22"/>
        </w:rPr>
        <w:t>catorce</w:t>
      </w:r>
      <w:r w:rsidRPr="004440D5">
        <w:rPr>
          <w:rFonts w:ascii="Palatino Linotype" w:eastAsia="Palatino Linotype" w:hAnsi="Palatino Linotype" w:cs="Palatino Linotype"/>
          <w:b/>
          <w:sz w:val="22"/>
          <w:szCs w:val="22"/>
        </w:rPr>
        <w:t xml:space="preserve"> de </w:t>
      </w:r>
      <w:r w:rsidR="00966D68" w:rsidRPr="004440D5">
        <w:rPr>
          <w:rFonts w:ascii="Palatino Linotype" w:eastAsia="Palatino Linotype" w:hAnsi="Palatino Linotype" w:cs="Palatino Linotype"/>
          <w:b/>
          <w:sz w:val="22"/>
          <w:szCs w:val="22"/>
        </w:rPr>
        <w:t>enero</w:t>
      </w:r>
      <w:r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b/>
          <w:sz w:val="22"/>
          <w:szCs w:val="22"/>
        </w:rPr>
        <w:t>de dos mil veinti</w:t>
      </w:r>
      <w:r w:rsidR="00966D68" w:rsidRPr="004440D5">
        <w:rPr>
          <w:rFonts w:ascii="Palatino Linotype" w:eastAsia="Palatino Linotype" w:hAnsi="Palatino Linotype" w:cs="Palatino Linotype"/>
          <w:b/>
          <w:sz w:val="22"/>
          <w:szCs w:val="22"/>
        </w:rPr>
        <w:t>séis</w:t>
      </w:r>
      <w:r w:rsidRPr="004440D5">
        <w:rPr>
          <w:rFonts w:ascii="Palatino Linotype" w:eastAsia="Palatino Linotype" w:hAnsi="Palatino Linotype" w:cs="Palatino Linotype"/>
          <w:b/>
          <w:sz w:val="22"/>
          <w:szCs w:val="22"/>
        </w:rPr>
        <w:t xml:space="preserve">. </w:t>
      </w:r>
    </w:p>
    <w:p w14:paraId="140B2F9E" w14:textId="77777777" w:rsidR="00BE5880" w:rsidRPr="004440D5"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5F1DFB8E" w:rsidR="00C877F6" w:rsidRPr="004440D5" w:rsidRDefault="00F36565" w:rsidP="00FD4DF9">
      <w:pPr>
        <w:spacing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VISTO </w:t>
      </w:r>
      <w:r w:rsidRPr="004440D5">
        <w:rPr>
          <w:rFonts w:ascii="Palatino Linotype" w:eastAsia="Palatino Linotype" w:hAnsi="Palatino Linotype" w:cs="Palatino Linotype"/>
          <w:sz w:val="22"/>
          <w:szCs w:val="22"/>
        </w:rPr>
        <w:t xml:space="preserve">el expediente relativo al recurso de revisión </w:t>
      </w:r>
      <w:r w:rsidR="00966D68" w:rsidRPr="004440D5">
        <w:rPr>
          <w:rFonts w:ascii="Palatino Linotype" w:eastAsia="Palatino Linotype" w:hAnsi="Palatino Linotype" w:cs="Palatino Linotype"/>
          <w:b/>
          <w:sz w:val="22"/>
          <w:szCs w:val="22"/>
        </w:rPr>
        <w:t>0</w:t>
      </w:r>
      <w:r w:rsidR="006A09C2" w:rsidRPr="004440D5">
        <w:rPr>
          <w:rFonts w:ascii="Palatino Linotype" w:eastAsia="Palatino Linotype" w:hAnsi="Palatino Linotype" w:cs="Palatino Linotype"/>
          <w:b/>
          <w:sz w:val="22"/>
          <w:szCs w:val="22"/>
        </w:rPr>
        <w:t>9569</w:t>
      </w:r>
      <w:r w:rsidR="00020CF9" w:rsidRPr="004440D5">
        <w:rPr>
          <w:rFonts w:ascii="Palatino Linotype" w:eastAsia="Palatino Linotype" w:hAnsi="Palatino Linotype" w:cs="Palatino Linotype"/>
          <w:b/>
          <w:sz w:val="22"/>
          <w:szCs w:val="22"/>
        </w:rPr>
        <w:t>/INFOEM/IP/RR/2025</w:t>
      </w:r>
      <w:r w:rsidRPr="004440D5">
        <w:rPr>
          <w:rFonts w:ascii="Palatino Linotype" w:eastAsia="Palatino Linotype" w:hAnsi="Palatino Linotype" w:cs="Palatino Linotype"/>
          <w:b/>
          <w:sz w:val="22"/>
          <w:szCs w:val="22"/>
        </w:rPr>
        <w:t xml:space="preserve">, </w:t>
      </w:r>
      <w:r w:rsidRPr="004440D5">
        <w:rPr>
          <w:rFonts w:ascii="Palatino Linotype" w:eastAsia="Palatino Linotype" w:hAnsi="Palatino Linotype" w:cs="Palatino Linotype"/>
          <w:sz w:val="22"/>
          <w:szCs w:val="22"/>
        </w:rPr>
        <w:t xml:space="preserve">interpuesto por </w:t>
      </w:r>
      <w:r w:rsidR="008B71CF" w:rsidRPr="008B71CF">
        <w:rPr>
          <w:rFonts w:ascii="Palatino Linotype" w:eastAsia="Palatino Linotype" w:hAnsi="Palatino Linotype" w:cs="Palatino Linotype"/>
          <w:b/>
          <w:sz w:val="22"/>
          <w:szCs w:val="22"/>
        </w:rPr>
        <w:t>XXXXX XXXXXX XXXXXXXX</w:t>
      </w:r>
      <w:r w:rsidRPr="008B71CF">
        <w:rPr>
          <w:rFonts w:ascii="Palatino Linotype" w:eastAsia="Palatino Linotype" w:hAnsi="Palatino Linotype" w:cs="Palatino Linotype"/>
          <w:b/>
          <w:sz w:val="22"/>
          <w:szCs w:val="22"/>
        </w:rPr>
        <w:t>,</w:t>
      </w:r>
      <w:bookmarkStart w:id="0" w:name="_GoBack"/>
      <w:bookmarkEnd w:id="0"/>
      <w:r w:rsidRPr="004440D5">
        <w:rPr>
          <w:rFonts w:ascii="Palatino Linotype" w:eastAsia="Palatino Linotype" w:hAnsi="Palatino Linotype" w:cs="Palatino Linotype"/>
          <w:sz w:val="22"/>
          <w:szCs w:val="22"/>
        </w:rPr>
        <w:t xml:space="preserve"> en lo sucesivo la parte </w:t>
      </w:r>
      <w:r w:rsidRPr="004440D5">
        <w:rPr>
          <w:rFonts w:ascii="Palatino Linotype" w:eastAsia="Palatino Linotype" w:hAnsi="Palatino Linotype" w:cs="Palatino Linotype"/>
          <w:b/>
          <w:sz w:val="22"/>
          <w:szCs w:val="22"/>
        </w:rPr>
        <w:t>Recurrente</w:t>
      </w:r>
      <w:r w:rsidRPr="004440D5">
        <w:rPr>
          <w:rFonts w:ascii="Palatino Linotype" w:eastAsia="Palatino Linotype" w:hAnsi="Palatino Linotype" w:cs="Palatino Linotype"/>
          <w:sz w:val="22"/>
          <w:szCs w:val="22"/>
        </w:rPr>
        <w:t>, en contra de la respuesta a la solicitud de información por parte de</w:t>
      </w:r>
      <w:r w:rsidR="00020CF9" w:rsidRPr="004440D5">
        <w:rPr>
          <w:rFonts w:ascii="Palatino Linotype" w:eastAsia="Palatino Linotype" w:hAnsi="Palatino Linotype" w:cs="Palatino Linotype"/>
          <w:sz w:val="22"/>
          <w:szCs w:val="22"/>
        </w:rPr>
        <w:t>l</w:t>
      </w:r>
      <w:r w:rsidRPr="004440D5">
        <w:rPr>
          <w:rFonts w:ascii="Palatino Linotype" w:eastAsia="Palatino Linotype" w:hAnsi="Palatino Linotype" w:cs="Palatino Linotype"/>
          <w:sz w:val="22"/>
          <w:szCs w:val="22"/>
        </w:rPr>
        <w:t xml:space="preserve"> </w:t>
      </w:r>
      <w:r w:rsidR="00966D68" w:rsidRPr="004440D5">
        <w:rPr>
          <w:rFonts w:ascii="Palatino Linotype" w:eastAsia="Palatino Linotype" w:hAnsi="Palatino Linotype" w:cs="Palatino Linotype"/>
          <w:b/>
          <w:sz w:val="22"/>
          <w:szCs w:val="22"/>
        </w:rPr>
        <w:t>Oficialía Mayor</w:t>
      </w:r>
      <w:r w:rsidRPr="004440D5">
        <w:rPr>
          <w:rFonts w:ascii="Palatino Linotype" w:eastAsia="Palatino Linotype" w:hAnsi="Palatino Linotype" w:cs="Palatino Linotype"/>
          <w:sz w:val="22"/>
          <w:szCs w:val="22"/>
        </w:rPr>
        <w:t xml:space="preserve">, en lo sucesivo el </w:t>
      </w:r>
      <w:r w:rsidRPr="004440D5">
        <w:rPr>
          <w:rFonts w:ascii="Palatino Linotype" w:eastAsia="Palatino Linotype" w:hAnsi="Palatino Linotype" w:cs="Palatino Linotype"/>
          <w:b/>
          <w:sz w:val="22"/>
          <w:szCs w:val="22"/>
        </w:rPr>
        <w:t xml:space="preserve">Sujeto Obligado; </w:t>
      </w:r>
      <w:r w:rsidRPr="004440D5">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4440D5"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4440D5" w:rsidRDefault="00F36565" w:rsidP="00FD4DF9">
      <w:pPr>
        <w:spacing w:line="360" w:lineRule="auto"/>
        <w:ind w:right="49"/>
        <w:jc w:val="center"/>
        <w:rPr>
          <w:rFonts w:ascii="Palatino Linotype" w:eastAsia="Palatino Linotype" w:hAnsi="Palatino Linotype" w:cs="Palatino Linotype"/>
          <w:b/>
          <w:sz w:val="22"/>
          <w:szCs w:val="22"/>
        </w:rPr>
      </w:pPr>
      <w:r w:rsidRPr="004440D5">
        <w:rPr>
          <w:rFonts w:ascii="Palatino Linotype" w:eastAsia="Palatino Linotype" w:hAnsi="Palatino Linotype" w:cs="Palatino Linotype"/>
          <w:b/>
          <w:sz w:val="22"/>
          <w:szCs w:val="22"/>
        </w:rPr>
        <w:t>I.</w:t>
      </w:r>
      <w:r w:rsidRPr="004440D5">
        <w:rPr>
          <w:rFonts w:ascii="Palatino Linotype" w:eastAsia="Palatino Linotype" w:hAnsi="Palatino Linotype" w:cs="Palatino Linotype"/>
          <w:b/>
          <w:sz w:val="22"/>
          <w:szCs w:val="22"/>
        </w:rPr>
        <w:tab/>
        <w:t>A N T E C E D E N T E S</w:t>
      </w:r>
    </w:p>
    <w:p w14:paraId="3ACFD56D" w14:textId="77777777" w:rsidR="00C877F6" w:rsidRPr="004440D5" w:rsidRDefault="00C877F6" w:rsidP="00FD4DF9">
      <w:pPr>
        <w:spacing w:line="360" w:lineRule="auto"/>
        <w:ind w:right="49"/>
        <w:jc w:val="both"/>
        <w:rPr>
          <w:rFonts w:ascii="Palatino Linotype" w:eastAsia="Palatino Linotype" w:hAnsi="Palatino Linotype" w:cs="Palatino Linotype"/>
          <w:sz w:val="22"/>
          <w:szCs w:val="22"/>
        </w:rPr>
      </w:pPr>
    </w:p>
    <w:p w14:paraId="523B7B02" w14:textId="5BAC2BCA"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1.</w:t>
      </w:r>
      <w:r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b/>
          <w:sz w:val="22"/>
          <w:szCs w:val="22"/>
        </w:rPr>
        <w:t xml:space="preserve">Solicitud </w:t>
      </w:r>
      <w:r w:rsidR="00D3382D" w:rsidRPr="004440D5">
        <w:rPr>
          <w:rFonts w:ascii="Palatino Linotype" w:eastAsia="Palatino Linotype" w:hAnsi="Palatino Linotype" w:cs="Palatino Linotype"/>
          <w:b/>
          <w:sz w:val="22"/>
          <w:szCs w:val="22"/>
        </w:rPr>
        <w:t xml:space="preserve">de </w:t>
      </w:r>
      <w:r w:rsidR="009456FA" w:rsidRPr="004440D5">
        <w:rPr>
          <w:rFonts w:ascii="Palatino Linotype" w:eastAsia="Palatino Linotype" w:hAnsi="Palatino Linotype" w:cs="Palatino Linotype"/>
          <w:b/>
          <w:sz w:val="22"/>
          <w:szCs w:val="22"/>
        </w:rPr>
        <w:t xml:space="preserve">Acceso a la Información. El </w:t>
      </w:r>
      <w:r w:rsidR="006A09C2" w:rsidRPr="004440D5">
        <w:rPr>
          <w:rFonts w:ascii="Palatino Linotype" w:eastAsia="Palatino Linotype" w:hAnsi="Palatino Linotype" w:cs="Palatino Linotype"/>
          <w:b/>
          <w:sz w:val="22"/>
          <w:szCs w:val="22"/>
        </w:rPr>
        <w:t>ocho de julio</w:t>
      </w:r>
      <w:r w:rsidRPr="004440D5">
        <w:rPr>
          <w:rFonts w:ascii="Palatino Linotype" w:eastAsia="Palatino Linotype" w:hAnsi="Palatino Linotype" w:cs="Palatino Linotype"/>
          <w:b/>
          <w:sz w:val="22"/>
          <w:szCs w:val="22"/>
        </w:rPr>
        <w:t xml:space="preserve"> de dos mil veinticinco</w:t>
      </w:r>
      <w:r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b/>
          <w:sz w:val="22"/>
          <w:szCs w:val="22"/>
        </w:rPr>
        <w:t>LA PARTE</w:t>
      </w:r>
      <w:r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b/>
          <w:sz w:val="22"/>
          <w:szCs w:val="22"/>
        </w:rPr>
        <w:t>RECURRENTE</w:t>
      </w:r>
      <w:r w:rsidRPr="004440D5">
        <w:rPr>
          <w:rFonts w:ascii="Palatino Linotype" w:eastAsia="Palatino Linotype" w:hAnsi="Palatino Linotype" w:cs="Palatino Linotype"/>
          <w:sz w:val="22"/>
          <w:szCs w:val="22"/>
        </w:rPr>
        <w:t xml:space="preserve"> formuló solicitud de acceso a información pública a través del </w:t>
      </w:r>
      <w:r w:rsidRPr="004440D5">
        <w:rPr>
          <w:rFonts w:ascii="Palatino Linotype" w:eastAsia="Palatino Linotype" w:hAnsi="Palatino Linotype" w:cs="Palatino Linotype"/>
          <w:b/>
          <w:sz w:val="22"/>
          <w:szCs w:val="22"/>
        </w:rPr>
        <w:t>SAIMEX</w:t>
      </w:r>
      <w:r w:rsidRPr="004440D5">
        <w:rPr>
          <w:rFonts w:ascii="Palatino Linotype" w:eastAsia="Palatino Linotype" w:hAnsi="Palatino Linotype" w:cs="Palatino Linotype"/>
          <w:sz w:val="22"/>
          <w:szCs w:val="22"/>
        </w:rPr>
        <w:t xml:space="preserve">, en la que requirió lo siguiente: </w:t>
      </w:r>
    </w:p>
    <w:p w14:paraId="4EEACF59"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59081794" w14:textId="77777777" w:rsidR="006A09C2" w:rsidRPr="004440D5" w:rsidRDefault="006A09C2" w:rsidP="00FD4DF9">
      <w:pPr>
        <w:spacing w:line="360" w:lineRule="auto"/>
        <w:ind w:left="567" w:right="843"/>
        <w:jc w:val="both"/>
        <w:rPr>
          <w:rFonts w:ascii="Palatino Linotype" w:eastAsia="Palatino Linotype" w:hAnsi="Palatino Linotype" w:cs="Palatino Linotype"/>
          <w:b/>
          <w:sz w:val="22"/>
          <w:szCs w:val="22"/>
        </w:rPr>
      </w:pPr>
      <w:bookmarkStart w:id="1" w:name="_heading=h.3znysh7" w:colFirst="0" w:colLast="0"/>
      <w:bookmarkEnd w:id="1"/>
      <w:r w:rsidRPr="004440D5">
        <w:rPr>
          <w:rFonts w:ascii="Palatino Linotype" w:eastAsia="Palatino Linotype" w:hAnsi="Palatino Linotype" w:cs="Palatino Linotype"/>
          <w:b/>
          <w:sz w:val="22"/>
          <w:szCs w:val="22"/>
        </w:rPr>
        <w:t>00207/OFICIALIA/IP/2025</w:t>
      </w:r>
    </w:p>
    <w:p w14:paraId="366D0141" w14:textId="77777777" w:rsidR="006A09C2" w:rsidRPr="004440D5" w:rsidRDefault="006A09C2" w:rsidP="00FD4DF9">
      <w:pPr>
        <w:spacing w:line="360" w:lineRule="auto"/>
        <w:ind w:left="567" w:right="843"/>
        <w:jc w:val="both"/>
        <w:rPr>
          <w:rFonts w:ascii="Palatino Linotype" w:eastAsia="Palatino Linotype" w:hAnsi="Palatino Linotype" w:cs="Palatino Linotype"/>
          <w:b/>
          <w:sz w:val="22"/>
          <w:szCs w:val="22"/>
        </w:rPr>
      </w:pPr>
    </w:p>
    <w:p w14:paraId="173CF3CD" w14:textId="7298D502" w:rsidR="00C877F6" w:rsidRPr="004440D5" w:rsidRDefault="00F36565" w:rsidP="006A09C2">
      <w:pPr>
        <w:spacing w:line="360" w:lineRule="auto"/>
        <w:ind w:left="567" w:right="843"/>
        <w:jc w:val="both"/>
        <w:rPr>
          <w:rFonts w:ascii="Palatino Linotype" w:eastAsia="Palatino Linotype" w:hAnsi="Palatino Linotype" w:cs="Palatino Linotype"/>
          <w:b/>
          <w:i/>
          <w:sz w:val="22"/>
          <w:szCs w:val="22"/>
        </w:rPr>
      </w:pPr>
      <w:r w:rsidRPr="004440D5">
        <w:rPr>
          <w:rFonts w:ascii="Palatino Linotype" w:eastAsia="Palatino Linotype" w:hAnsi="Palatino Linotype" w:cs="Palatino Linotype"/>
          <w:i/>
          <w:sz w:val="22"/>
          <w:szCs w:val="22"/>
        </w:rPr>
        <w:t>"</w:t>
      </w:r>
      <w:r w:rsidR="006A09C2" w:rsidRPr="004440D5">
        <w:rPr>
          <w:rFonts w:ascii="Palatino Linotype" w:eastAsia="Palatino Linotype" w:hAnsi="Palatino Linotype" w:cs="Palatino Linotype"/>
          <w:i/>
          <w:sz w:val="22"/>
          <w:szCs w:val="22"/>
        </w:rPr>
        <w:t>solicito copia simple digitalizada a traves del sistema electrónico saimex de la nomina de trabajadores de confianza, sindicalizados, mandos medios y superiores correspondientes a la primera y segunda quincena del mes de junio de 2025.</w:t>
      </w:r>
      <w:r w:rsidR="00020CF9"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b/>
          <w:i/>
          <w:sz w:val="22"/>
          <w:szCs w:val="22"/>
        </w:rPr>
        <w:t>” (Sic.)</w:t>
      </w:r>
    </w:p>
    <w:p w14:paraId="1861AE9B" w14:textId="77777777" w:rsidR="00C877F6" w:rsidRPr="004440D5"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440D5" w:rsidRDefault="00F36565" w:rsidP="00FD4DF9">
      <w:pPr>
        <w:spacing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Modalidad elegida para la entrega de la información:</w:t>
      </w:r>
      <w:r w:rsidRPr="004440D5">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4440D5" w:rsidRDefault="00AB100B" w:rsidP="00FD4DF9">
      <w:pPr>
        <w:spacing w:line="360" w:lineRule="auto"/>
        <w:ind w:right="49"/>
        <w:jc w:val="both"/>
        <w:rPr>
          <w:rFonts w:ascii="Palatino Linotype" w:eastAsia="Palatino Linotype" w:hAnsi="Palatino Linotype" w:cs="Palatino Linotype"/>
          <w:sz w:val="22"/>
          <w:szCs w:val="22"/>
        </w:rPr>
      </w:pPr>
    </w:p>
    <w:p w14:paraId="7885D110" w14:textId="421EEE07" w:rsidR="008B602C" w:rsidRPr="004440D5" w:rsidRDefault="00F36565" w:rsidP="00FD4DF9">
      <w:pPr>
        <w:widowControl w:val="0"/>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2. Respuesta.</w:t>
      </w:r>
      <w:r w:rsidRPr="004440D5">
        <w:rPr>
          <w:rFonts w:ascii="Palatino Linotype" w:eastAsia="Palatino Linotype" w:hAnsi="Palatino Linotype" w:cs="Palatino Linotype"/>
          <w:sz w:val="22"/>
          <w:szCs w:val="22"/>
        </w:rPr>
        <w:t xml:space="preserve"> El </w:t>
      </w:r>
      <w:r w:rsidR="006A09C2" w:rsidRPr="004440D5">
        <w:rPr>
          <w:rFonts w:ascii="Palatino Linotype" w:eastAsia="Palatino Linotype" w:hAnsi="Palatino Linotype" w:cs="Palatino Linotype"/>
          <w:b/>
          <w:sz w:val="22"/>
          <w:szCs w:val="22"/>
        </w:rPr>
        <w:t>doce de agosto</w:t>
      </w:r>
      <w:r w:rsidR="009456FA" w:rsidRPr="004440D5">
        <w:rPr>
          <w:rFonts w:ascii="Palatino Linotype" w:eastAsia="Palatino Linotype" w:hAnsi="Palatino Linotype" w:cs="Palatino Linotype"/>
          <w:b/>
          <w:sz w:val="22"/>
          <w:szCs w:val="22"/>
        </w:rPr>
        <w:t xml:space="preserve"> </w:t>
      </w:r>
      <w:r w:rsidRPr="004440D5">
        <w:rPr>
          <w:rFonts w:ascii="Palatino Linotype" w:eastAsia="Palatino Linotype" w:hAnsi="Palatino Linotype" w:cs="Palatino Linotype"/>
          <w:b/>
          <w:sz w:val="22"/>
          <w:szCs w:val="22"/>
        </w:rPr>
        <w:t>de dos mil veinticinco</w:t>
      </w:r>
      <w:r w:rsidRPr="004440D5">
        <w:rPr>
          <w:rFonts w:ascii="Palatino Linotype" w:eastAsia="Palatino Linotype" w:hAnsi="Palatino Linotype" w:cs="Palatino Linotype"/>
          <w:sz w:val="22"/>
          <w:szCs w:val="22"/>
        </w:rPr>
        <w:t xml:space="preserve">, el Sujeto Obligado dio respuesta a la </w:t>
      </w:r>
      <w:r w:rsidRPr="004440D5">
        <w:rPr>
          <w:rFonts w:ascii="Palatino Linotype" w:eastAsia="Palatino Linotype" w:hAnsi="Palatino Linotype" w:cs="Palatino Linotype"/>
          <w:sz w:val="22"/>
          <w:szCs w:val="22"/>
        </w:rPr>
        <w:lastRenderedPageBreak/>
        <w:t>solicitud</w:t>
      </w:r>
      <w:r w:rsidR="00807BED" w:rsidRPr="004440D5">
        <w:rPr>
          <w:rFonts w:ascii="Palatino Linotype" w:eastAsia="Palatino Linotype" w:hAnsi="Palatino Linotype" w:cs="Palatino Linotype"/>
          <w:sz w:val="22"/>
          <w:szCs w:val="22"/>
        </w:rPr>
        <w:t xml:space="preserve">, </w:t>
      </w:r>
      <w:r w:rsidR="008B602C" w:rsidRPr="004440D5">
        <w:rPr>
          <w:rFonts w:ascii="Palatino Linotype" w:eastAsia="Palatino Linotype" w:hAnsi="Palatino Linotype" w:cs="Palatino Linotype"/>
          <w:sz w:val="22"/>
          <w:szCs w:val="22"/>
        </w:rPr>
        <w:t>señalando lo siguiente:</w:t>
      </w:r>
    </w:p>
    <w:p w14:paraId="126A062C" w14:textId="77777777" w:rsidR="008B602C" w:rsidRPr="004440D5" w:rsidRDefault="008B602C" w:rsidP="00FD4DF9">
      <w:pPr>
        <w:widowControl w:val="0"/>
        <w:spacing w:line="360" w:lineRule="auto"/>
        <w:jc w:val="both"/>
        <w:rPr>
          <w:rFonts w:ascii="Palatino Linotype" w:eastAsia="Palatino Linotype" w:hAnsi="Palatino Linotype" w:cs="Palatino Linotype"/>
          <w:sz w:val="22"/>
          <w:szCs w:val="22"/>
        </w:rPr>
      </w:pPr>
    </w:p>
    <w:p w14:paraId="6AA26543" w14:textId="77777777" w:rsidR="006A09C2" w:rsidRPr="004440D5" w:rsidRDefault="008B602C" w:rsidP="006A09C2">
      <w:pPr>
        <w:widowControl w:val="0"/>
        <w:spacing w:line="360" w:lineRule="auto"/>
        <w:ind w:left="567" w:right="843"/>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r w:rsidR="006A09C2" w:rsidRPr="004440D5">
        <w:rPr>
          <w:rFonts w:ascii="Palatino Linotype" w:eastAsia="Palatino Linotype" w:hAnsi="Palatino Linotype" w:cs="Palatino Linotype"/>
          <w:i/>
          <w:sz w:val="22"/>
          <w:szCs w:val="22"/>
        </w:rPr>
        <w:t>Folio de la solicitud: 00207/OFICIALIA/IP/2025</w:t>
      </w:r>
    </w:p>
    <w:p w14:paraId="7313BA7E" w14:textId="77777777" w:rsidR="006A09C2" w:rsidRPr="004440D5" w:rsidRDefault="006A09C2" w:rsidP="006A09C2">
      <w:pPr>
        <w:widowControl w:val="0"/>
        <w:spacing w:line="360" w:lineRule="auto"/>
        <w:ind w:left="567" w:right="843"/>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E656FA" w14:textId="77777777" w:rsidR="006A09C2" w:rsidRPr="004440D5" w:rsidRDefault="006A09C2" w:rsidP="006A09C2">
      <w:pPr>
        <w:widowControl w:val="0"/>
        <w:spacing w:line="360" w:lineRule="auto"/>
        <w:ind w:left="567" w:right="843"/>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Se adjunta oficio de respuesta.</w:t>
      </w:r>
    </w:p>
    <w:p w14:paraId="5DA3A18A" w14:textId="77777777" w:rsidR="006A09C2" w:rsidRPr="004440D5" w:rsidRDefault="006A09C2" w:rsidP="006A09C2">
      <w:pPr>
        <w:widowControl w:val="0"/>
        <w:spacing w:line="360" w:lineRule="auto"/>
        <w:ind w:left="567" w:right="843"/>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ATENTAMENTE</w:t>
      </w:r>
    </w:p>
    <w:p w14:paraId="087B91F7" w14:textId="69791A79" w:rsidR="008B602C" w:rsidRPr="004440D5" w:rsidRDefault="006A09C2" w:rsidP="006A09C2">
      <w:pPr>
        <w:widowControl w:val="0"/>
        <w:spacing w:line="360" w:lineRule="auto"/>
        <w:ind w:left="567" w:right="843"/>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Lic en Derecho Rafael Alejandro Contreras Carmona</w:t>
      </w:r>
      <w:r w:rsidR="008B602C" w:rsidRPr="004440D5">
        <w:rPr>
          <w:rFonts w:ascii="Palatino Linotype" w:eastAsia="Palatino Linotype" w:hAnsi="Palatino Linotype" w:cs="Palatino Linotype"/>
          <w:i/>
          <w:sz w:val="22"/>
          <w:szCs w:val="22"/>
        </w:rPr>
        <w:t>”</w:t>
      </w:r>
    </w:p>
    <w:p w14:paraId="6786E827" w14:textId="77777777" w:rsidR="008B602C" w:rsidRPr="004440D5" w:rsidRDefault="008B602C" w:rsidP="00FD4DF9">
      <w:pPr>
        <w:widowControl w:val="0"/>
        <w:spacing w:line="360" w:lineRule="auto"/>
        <w:jc w:val="both"/>
        <w:rPr>
          <w:rFonts w:ascii="Palatino Linotype" w:eastAsia="Palatino Linotype" w:hAnsi="Palatino Linotype" w:cs="Palatino Linotype"/>
          <w:sz w:val="22"/>
          <w:szCs w:val="22"/>
        </w:rPr>
      </w:pPr>
    </w:p>
    <w:p w14:paraId="2760BCC4" w14:textId="04EC910D" w:rsidR="0038550E" w:rsidRPr="004440D5" w:rsidRDefault="008B602C" w:rsidP="00FD4DF9">
      <w:pPr>
        <w:widowControl w:val="0"/>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Además, adjuntó a la respuesta </w:t>
      </w:r>
      <w:r w:rsidR="0038550E" w:rsidRPr="004440D5">
        <w:rPr>
          <w:rFonts w:ascii="Palatino Linotype" w:eastAsia="Palatino Linotype" w:hAnsi="Palatino Linotype" w:cs="Palatino Linotype"/>
          <w:sz w:val="22"/>
          <w:szCs w:val="22"/>
        </w:rPr>
        <w:t>los</w:t>
      </w:r>
      <w:r w:rsidR="00020CF9" w:rsidRPr="004440D5">
        <w:rPr>
          <w:rFonts w:ascii="Palatino Linotype" w:eastAsia="Palatino Linotype" w:hAnsi="Palatino Linotype" w:cs="Palatino Linotype"/>
          <w:sz w:val="22"/>
          <w:szCs w:val="22"/>
        </w:rPr>
        <w:t xml:space="preserve"> documento</w:t>
      </w:r>
      <w:r w:rsidR="0038550E" w:rsidRPr="004440D5">
        <w:rPr>
          <w:rFonts w:ascii="Palatino Linotype" w:eastAsia="Palatino Linotype" w:hAnsi="Palatino Linotype" w:cs="Palatino Linotype"/>
          <w:sz w:val="22"/>
          <w:szCs w:val="22"/>
        </w:rPr>
        <w:t>s</w:t>
      </w:r>
      <w:r w:rsidR="00020CF9" w:rsidRPr="004440D5">
        <w:rPr>
          <w:rFonts w:ascii="Palatino Linotype" w:eastAsia="Palatino Linotype" w:hAnsi="Palatino Linotype" w:cs="Palatino Linotype"/>
          <w:sz w:val="22"/>
          <w:szCs w:val="22"/>
        </w:rPr>
        <w:t xml:space="preserve"> electrónico</w:t>
      </w:r>
      <w:r w:rsidR="0038550E" w:rsidRPr="004440D5">
        <w:rPr>
          <w:rFonts w:ascii="Palatino Linotype" w:eastAsia="Palatino Linotype" w:hAnsi="Palatino Linotype" w:cs="Palatino Linotype"/>
          <w:sz w:val="22"/>
          <w:szCs w:val="22"/>
        </w:rPr>
        <w:t xml:space="preserve">s </w:t>
      </w:r>
      <w:r w:rsidR="006A09C2" w:rsidRPr="004440D5">
        <w:rPr>
          <w:rFonts w:ascii="Palatino Linotype" w:eastAsia="Palatino Linotype" w:hAnsi="Palatino Linotype" w:cs="Palatino Linotype"/>
          <w:sz w:val="22"/>
          <w:szCs w:val="22"/>
        </w:rPr>
        <w:t xml:space="preserve">cuyo contenido es el siguiente: </w:t>
      </w:r>
    </w:p>
    <w:p w14:paraId="0285536D" w14:textId="4FDE3CD0" w:rsidR="006A09C2" w:rsidRPr="004440D5" w:rsidRDefault="006A09C2" w:rsidP="00FD4DF9">
      <w:pPr>
        <w:widowControl w:val="0"/>
        <w:spacing w:line="360" w:lineRule="auto"/>
        <w:jc w:val="both"/>
        <w:rPr>
          <w:rFonts w:ascii="Palatino Linotype" w:eastAsia="Palatino Linotype" w:hAnsi="Palatino Linotype" w:cs="Palatino Linotype"/>
          <w:sz w:val="22"/>
          <w:szCs w:val="22"/>
        </w:rPr>
      </w:pPr>
    </w:p>
    <w:p w14:paraId="0CB5BB36" w14:textId="27C436FA" w:rsidR="006A09C2" w:rsidRPr="004440D5" w:rsidRDefault="006A09C2" w:rsidP="006A09C2">
      <w:pPr>
        <w:tabs>
          <w:tab w:val="left" w:pos="4667"/>
        </w:tabs>
        <w:spacing w:line="360" w:lineRule="auto"/>
        <w:contextualSpacing/>
        <w:jc w:val="both"/>
        <w:rPr>
          <w:rFonts w:ascii="Palatino Linotype" w:eastAsiaTheme="majorEastAsia" w:hAnsi="Palatino Linotype" w:cstheme="majorBidi"/>
          <w:sz w:val="22"/>
          <w:szCs w:val="22"/>
        </w:rPr>
      </w:pPr>
      <w:r w:rsidRPr="004440D5">
        <w:rPr>
          <w:rFonts w:ascii="Palatino Linotype" w:eastAsiaTheme="majorEastAsia" w:hAnsi="Palatino Linotype" w:cstheme="majorBidi"/>
          <w:sz w:val="22"/>
          <w:szCs w:val="22"/>
        </w:rPr>
        <w:t>i) Oficio número 234A00000/UT-0618-2025 del doce de agosto de dos mil veinticinco, suscrito por el Titular de la Unidad de Transparencia, dirigido al Solicitante, por medio del cual manifiesta que daba contestación a la solicitud.</w:t>
      </w:r>
    </w:p>
    <w:p w14:paraId="32DBBEBD" w14:textId="77777777" w:rsidR="006A09C2" w:rsidRPr="004440D5" w:rsidRDefault="006A09C2" w:rsidP="006A09C2">
      <w:pPr>
        <w:tabs>
          <w:tab w:val="left" w:pos="4667"/>
        </w:tabs>
        <w:spacing w:line="360" w:lineRule="auto"/>
        <w:contextualSpacing/>
        <w:jc w:val="both"/>
        <w:rPr>
          <w:rFonts w:ascii="Palatino Linotype" w:eastAsiaTheme="majorEastAsia" w:hAnsi="Palatino Linotype" w:cstheme="majorBidi"/>
          <w:sz w:val="22"/>
          <w:szCs w:val="22"/>
        </w:rPr>
      </w:pPr>
    </w:p>
    <w:p w14:paraId="33313460" w14:textId="29D51144" w:rsidR="006A09C2" w:rsidRPr="004440D5" w:rsidRDefault="006A09C2" w:rsidP="006A09C2">
      <w:pPr>
        <w:tabs>
          <w:tab w:val="left" w:pos="4667"/>
        </w:tabs>
        <w:spacing w:line="360" w:lineRule="auto"/>
        <w:contextualSpacing/>
        <w:jc w:val="both"/>
        <w:rPr>
          <w:rFonts w:ascii="Palatino Linotype" w:eastAsiaTheme="majorEastAsia" w:hAnsi="Palatino Linotype" w:cstheme="majorBidi"/>
          <w:sz w:val="22"/>
          <w:szCs w:val="22"/>
        </w:rPr>
      </w:pPr>
      <w:r w:rsidRPr="004440D5">
        <w:rPr>
          <w:rFonts w:ascii="Palatino Linotype" w:eastAsiaTheme="majorEastAsia" w:hAnsi="Palatino Linotype" w:cstheme="majorBidi"/>
          <w:sz w:val="22"/>
          <w:szCs w:val="22"/>
        </w:rPr>
        <w:t>ii) Oficio número 23400004000200S-222/2025 del ocho de agosto de la presente anualidad, suscrito por el Jefe de la Unidad de la Dirección General de Personal, dirigido al Titular de la Unidad de Transparencia, haciendo un cambio de modalidad argumentado que en el Sistema de Nómina del Sector Central del Poder Ejecutivo, que contiene la información del total de personas servidoras públicas del sector central del Poder Ejecutivo, que incluye al personal docente y personas servidoras públicas de los niveles 1 al 23 así como de los cuerpos de seguridad, lo que asciende a 159, 999 registros.</w:t>
      </w:r>
    </w:p>
    <w:p w14:paraId="01B306F1" w14:textId="77777777" w:rsidR="006A09C2" w:rsidRPr="004440D5" w:rsidRDefault="006A09C2" w:rsidP="006A09C2">
      <w:pPr>
        <w:tabs>
          <w:tab w:val="left" w:pos="4667"/>
        </w:tabs>
        <w:spacing w:line="360" w:lineRule="auto"/>
        <w:contextualSpacing/>
        <w:jc w:val="both"/>
        <w:rPr>
          <w:rFonts w:ascii="Palatino Linotype" w:eastAsiaTheme="majorEastAsia" w:hAnsi="Palatino Linotype" w:cstheme="majorBidi"/>
          <w:sz w:val="22"/>
          <w:szCs w:val="22"/>
        </w:rPr>
      </w:pPr>
    </w:p>
    <w:p w14:paraId="06DFF8F2" w14:textId="595E226C" w:rsidR="006A09C2" w:rsidRPr="004440D5" w:rsidRDefault="006A09C2" w:rsidP="00FD4DF9">
      <w:pPr>
        <w:widowControl w:val="0"/>
        <w:spacing w:line="360" w:lineRule="auto"/>
        <w:jc w:val="both"/>
        <w:rPr>
          <w:rFonts w:ascii="Palatino Linotype" w:eastAsia="Palatino Linotype" w:hAnsi="Palatino Linotype" w:cs="Palatino Linotype"/>
          <w:b/>
          <w:sz w:val="22"/>
          <w:szCs w:val="22"/>
        </w:rPr>
      </w:pPr>
    </w:p>
    <w:p w14:paraId="0B5B6028" w14:textId="77777777" w:rsidR="006A09C2" w:rsidRPr="004440D5" w:rsidRDefault="006A09C2" w:rsidP="00FD4DF9">
      <w:pPr>
        <w:widowControl w:val="0"/>
        <w:spacing w:line="360" w:lineRule="auto"/>
        <w:jc w:val="both"/>
        <w:rPr>
          <w:rFonts w:ascii="Palatino Linotype" w:eastAsia="Palatino Linotype" w:hAnsi="Palatino Linotype" w:cs="Palatino Linotype"/>
          <w:sz w:val="22"/>
          <w:szCs w:val="22"/>
        </w:rPr>
      </w:pPr>
    </w:p>
    <w:p w14:paraId="4DA0D391" w14:textId="03F97A26" w:rsidR="00C877F6" w:rsidRPr="004440D5" w:rsidRDefault="00431850"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lastRenderedPageBreak/>
        <w:t>3</w:t>
      </w:r>
      <w:r w:rsidR="00F36565" w:rsidRPr="004440D5">
        <w:rPr>
          <w:rFonts w:ascii="Palatino Linotype" w:eastAsia="Palatino Linotype" w:hAnsi="Palatino Linotype" w:cs="Palatino Linotype"/>
          <w:b/>
          <w:sz w:val="22"/>
          <w:szCs w:val="22"/>
        </w:rPr>
        <w:t xml:space="preserve">. Del Recurso de Revisión. </w:t>
      </w:r>
      <w:r w:rsidR="00F36565" w:rsidRPr="004440D5">
        <w:rPr>
          <w:rFonts w:ascii="Palatino Linotype" w:eastAsia="Palatino Linotype" w:hAnsi="Palatino Linotype" w:cs="Palatino Linotype"/>
          <w:sz w:val="22"/>
          <w:szCs w:val="22"/>
        </w:rPr>
        <w:t>Inconforme con la respuesta del</w:t>
      </w:r>
      <w:r w:rsidR="00F36565" w:rsidRPr="004440D5">
        <w:rPr>
          <w:rFonts w:ascii="Palatino Linotype" w:eastAsia="Palatino Linotype" w:hAnsi="Palatino Linotype" w:cs="Palatino Linotype"/>
          <w:b/>
          <w:sz w:val="22"/>
          <w:szCs w:val="22"/>
        </w:rPr>
        <w:t xml:space="preserve"> SUJETO OBLIGADO, </w:t>
      </w:r>
      <w:r w:rsidR="00F36565" w:rsidRPr="004440D5">
        <w:rPr>
          <w:rFonts w:ascii="Palatino Linotype" w:eastAsia="Palatino Linotype" w:hAnsi="Palatino Linotype" w:cs="Palatino Linotype"/>
          <w:sz w:val="22"/>
          <w:szCs w:val="22"/>
        </w:rPr>
        <w:t xml:space="preserve">el </w:t>
      </w:r>
      <w:r w:rsidR="006A09C2" w:rsidRPr="004440D5">
        <w:rPr>
          <w:rFonts w:ascii="Palatino Linotype" w:eastAsia="Palatino Linotype" w:hAnsi="Palatino Linotype" w:cs="Palatino Linotype"/>
          <w:b/>
          <w:sz w:val="22"/>
          <w:szCs w:val="22"/>
        </w:rPr>
        <w:t>catorce de agosto</w:t>
      </w:r>
      <w:r w:rsidR="00F36565" w:rsidRPr="004440D5">
        <w:rPr>
          <w:rFonts w:ascii="Palatino Linotype" w:eastAsia="Palatino Linotype" w:hAnsi="Palatino Linotype" w:cs="Palatino Linotype"/>
          <w:b/>
          <w:sz w:val="22"/>
          <w:szCs w:val="22"/>
        </w:rPr>
        <w:t xml:space="preserve"> de dos mil veinticinco, LA PARTE RECURRENTE </w:t>
      </w:r>
      <w:r w:rsidR="00F36565" w:rsidRPr="004440D5">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4440D5" w:rsidRDefault="00431850" w:rsidP="00FD4DF9">
      <w:pPr>
        <w:spacing w:line="360" w:lineRule="auto"/>
        <w:jc w:val="both"/>
        <w:rPr>
          <w:rFonts w:ascii="Palatino Linotype" w:eastAsia="Palatino Linotype" w:hAnsi="Palatino Linotype" w:cs="Palatino Linotype"/>
          <w:sz w:val="22"/>
          <w:szCs w:val="22"/>
        </w:rPr>
      </w:pPr>
    </w:p>
    <w:p w14:paraId="36671519" w14:textId="3AE77419" w:rsidR="00C877F6" w:rsidRPr="004440D5" w:rsidRDefault="00F36565" w:rsidP="00E67377">
      <w:pPr>
        <w:pStyle w:val="Listaconvietas3"/>
        <w:rPr>
          <w:rFonts w:ascii="Palatino Linotype" w:eastAsia="Palatino Linotype" w:hAnsi="Palatino Linotype" w:cs="Palatino Linotype"/>
          <w:i/>
          <w:sz w:val="22"/>
          <w:szCs w:val="22"/>
        </w:rPr>
      </w:pPr>
      <w:r w:rsidRPr="004440D5">
        <w:rPr>
          <w:rFonts w:eastAsia="Palatino Linotype"/>
        </w:rPr>
        <w:t>Acto Impugnado: “</w:t>
      </w:r>
      <w:r w:rsidR="006A09C2" w:rsidRPr="004440D5">
        <w:rPr>
          <w:rFonts w:ascii="Palatino Linotype" w:eastAsia="Palatino Linotype" w:hAnsi="Palatino Linotype" w:cs="Palatino Linotype"/>
          <w:i/>
          <w:sz w:val="22"/>
          <w:szCs w:val="22"/>
        </w:rPr>
        <w:t>RESPUESTA A LA SOLICITUD 00207/OFICIALIA/IP/2025</w:t>
      </w:r>
      <w:r w:rsidRPr="004440D5">
        <w:rPr>
          <w:rFonts w:eastAsia="Palatino Linotype"/>
        </w:rPr>
        <w:t>” (Sic.)</w:t>
      </w:r>
    </w:p>
    <w:p w14:paraId="2BA13102" w14:textId="77777777" w:rsidR="00C877F6" w:rsidRPr="004440D5" w:rsidRDefault="00C877F6" w:rsidP="00FD4DF9">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5DD67EF" w:rsidR="00C877F6" w:rsidRPr="004440D5" w:rsidRDefault="00F36565" w:rsidP="00E67377">
      <w:pPr>
        <w:pStyle w:val="Listaconvietas3"/>
        <w:spacing w:line="360" w:lineRule="auto"/>
        <w:jc w:val="both"/>
        <w:rPr>
          <w:rFonts w:ascii="Palatino Linotype" w:eastAsia="Palatino Linotype" w:hAnsi="Palatino Linotype"/>
          <w:sz w:val="22"/>
          <w:szCs w:val="22"/>
        </w:rPr>
      </w:pPr>
      <w:r w:rsidRPr="004440D5">
        <w:rPr>
          <w:rFonts w:ascii="Palatino Linotype" w:eastAsia="Palatino Linotype" w:hAnsi="Palatino Linotype"/>
          <w:b/>
          <w:sz w:val="22"/>
          <w:szCs w:val="22"/>
        </w:rPr>
        <w:t>Motivo de inconformidad:</w:t>
      </w:r>
      <w:r w:rsidRPr="004440D5">
        <w:rPr>
          <w:rFonts w:ascii="Palatino Linotype" w:eastAsia="Palatino Linotype" w:hAnsi="Palatino Linotype"/>
          <w:sz w:val="22"/>
          <w:szCs w:val="22"/>
        </w:rPr>
        <w:t xml:space="preserve"> “</w:t>
      </w:r>
      <w:r w:rsidR="006A09C2" w:rsidRPr="004440D5">
        <w:rPr>
          <w:rFonts w:ascii="Palatino Linotype" w:eastAsia="Palatino Linotype" w:hAnsi="Palatino Linotype"/>
          <w:i/>
          <w:sz w:val="22"/>
          <w:szCs w:val="22"/>
        </w:rPr>
        <w:t>EN SU RESPUESTA, EL SUJETO MENCIONA UN CAMBIO EN LA MODALIDAD DE ENTREGA QUE NO FUE APROBADA POR SU COMITE DE TRANSPARENCIA Y ADEMÁS CARECE DE FUNDAMENTO, PUES VIOLA EL PRINCIPIO DE MAXIMA ACCESIBILIDAD A LA INFORMACIÓN PÚBLICA DE LOS CIUDADANOS SOLICITANTES. EN ESTE CASO EL CAMBIO EN LA MODALIDAD DE ENTREGA RESULTA ARBITRARIA Y CONTRARIA A LO ESTABLECIDO EN LA LEY DE TRANSPARENCIA, POR LO QUE SOLICITO SE REVOQUE LA RESPUESTA DEL SUJETO OBLIGADO Y SE ORDENE LA ENTREGA DE LA INFORMACIÓN SOLICITADA, LA CUAL SE ENCUENTRA EN SU PODER, A TRAVÉS DE SISTEMA ELECTRÓNICO SAIMEX</w:t>
      </w:r>
      <w:r w:rsidR="00E67377" w:rsidRPr="004440D5">
        <w:rPr>
          <w:rFonts w:ascii="Palatino Linotype" w:eastAsia="Palatino Linotype" w:hAnsi="Palatino Linotype"/>
          <w:i/>
          <w:sz w:val="22"/>
          <w:szCs w:val="22"/>
        </w:rPr>
        <w:t>.</w:t>
      </w:r>
      <w:r w:rsidRPr="004440D5">
        <w:rPr>
          <w:rFonts w:ascii="Palatino Linotype" w:eastAsia="Palatino Linotype" w:hAnsi="Palatino Linotype"/>
          <w:sz w:val="22"/>
          <w:szCs w:val="22"/>
        </w:rPr>
        <w:t>” (Sic.)</w:t>
      </w:r>
    </w:p>
    <w:p w14:paraId="2F870A2F" w14:textId="77777777" w:rsidR="00C877F6" w:rsidRPr="004440D5"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742A062E" w:rsidR="00C877F6" w:rsidRPr="004440D5" w:rsidRDefault="00431850"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4</w:t>
      </w:r>
      <w:r w:rsidR="00F36565" w:rsidRPr="004440D5">
        <w:rPr>
          <w:rFonts w:ascii="Palatino Linotype" w:eastAsia="Palatino Linotype" w:hAnsi="Palatino Linotype" w:cs="Palatino Linotype"/>
          <w:b/>
          <w:sz w:val="22"/>
          <w:szCs w:val="22"/>
        </w:rPr>
        <w:t xml:space="preserve">. Turno. </w:t>
      </w:r>
      <w:r w:rsidR="00F36565" w:rsidRPr="004440D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966D68" w:rsidRPr="004440D5">
        <w:rPr>
          <w:rFonts w:ascii="Palatino Linotype" w:eastAsia="Palatino Linotype" w:hAnsi="Palatino Linotype" w:cs="Palatino Linotype"/>
          <w:b/>
          <w:sz w:val="22"/>
          <w:szCs w:val="22"/>
        </w:rPr>
        <w:t>0</w:t>
      </w:r>
      <w:r w:rsidR="006A09C2" w:rsidRPr="004440D5">
        <w:rPr>
          <w:rFonts w:ascii="Palatino Linotype" w:eastAsia="Palatino Linotype" w:hAnsi="Palatino Linotype" w:cs="Palatino Linotype"/>
          <w:b/>
          <w:sz w:val="22"/>
          <w:szCs w:val="22"/>
        </w:rPr>
        <w:t>9569</w:t>
      </w:r>
      <w:r w:rsidR="00966D68" w:rsidRPr="004440D5">
        <w:rPr>
          <w:rFonts w:ascii="Palatino Linotype" w:eastAsia="Palatino Linotype" w:hAnsi="Palatino Linotype" w:cs="Palatino Linotype"/>
          <w:b/>
          <w:sz w:val="22"/>
          <w:szCs w:val="22"/>
        </w:rPr>
        <w:t>/INFOEM/IP/RR/2025</w:t>
      </w:r>
      <w:r w:rsidR="00F36565" w:rsidRPr="004440D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4440D5">
        <w:rPr>
          <w:rFonts w:ascii="Palatino Linotype" w:eastAsia="Palatino Linotype" w:hAnsi="Palatino Linotype" w:cs="Palatino Linotype"/>
          <w:b/>
          <w:sz w:val="22"/>
          <w:szCs w:val="22"/>
        </w:rPr>
        <w:t>Guadalupe Ramírez Peña</w:t>
      </w:r>
      <w:r w:rsidR="00F36565" w:rsidRPr="004440D5">
        <w:rPr>
          <w:rFonts w:ascii="Palatino Linotype" w:eastAsia="Palatino Linotype" w:hAnsi="Palatino Linotype" w:cs="Palatino Linotype"/>
          <w:sz w:val="22"/>
          <w:szCs w:val="22"/>
        </w:rPr>
        <w:t>, para su análisis, estudio, elaboración del proyecto y presentación ante el Pleno de este Instituto.</w:t>
      </w:r>
      <w:r w:rsidR="00CD547C" w:rsidRPr="004440D5">
        <w:rPr>
          <w:rFonts w:ascii="Palatino Linotype" w:eastAsia="Palatino Linotype" w:hAnsi="Palatino Linotype" w:cs="Palatino Linotype"/>
          <w:sz w:val="22"/>
          <w:szCs w:val="22"/>
        </w:rPr>
        <w:t xml:space="preserve"> </w:t>
      </w:r>
    </w:p>
    <w:p w14:paraId="5BFE6F75"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4B06CA9F" w14:textId="36C25FB8" w:rsidR="00C877F6" w:rsidRPr="004440D5" w:rsidRDefault="00431850" w:rsidP="00FD4DF9">
      <w:pPr>
        <w:spacing w:line="360" w:lineRule="auto"/>
        <w:jc w:val="both"/>
        <w:rPr>
          <w:rFonts w:ascii="Palatino Linotype" w:eastAsia="Palatino Linotype" w:hAnsi="Palatino Linotype" w:cs="Palatino Linotype"/>
          <w:b/>
          <w:sz w:val="22"/>
          <w:szCs w:val="22"/>
        </w:rPr>
      </w:pPr>
      <w:r w:rsidRPr="004440D5">
        <w:rPr>
          <w:rFonts w:ascii="Palatino Linotype" w:eastAsia="Palatino Linotype" w:hAnsi="Palatino Linotype" w:cs="Palatino Linotype"/>
          <w:b/>
          <w:sz w:val="22"/>
          <w:szCs w:val="22"/>
        </w:rPr>
        <w:t>5</w:t>
      </w:r>
      <w:r w:rsidR="001D5226" w:rsidRPr="004440D5">
        <w:rPr>
          <w:rFonts w:ascii="Palatino Linotype" w:eastAsia="Palatino Linotype" w:hAnsi="Palatino Linotype" w:cs="Palatino Linotype"/>
          <w:b/>
          <w:sz w:val="22"/>
          <w:szCs w:val="22"/>
        </w:rPr>
        <w:t>.</w:t>
      </w:r>
      <w:r w:rsidR="00F36565" w:rsidRPr="004440D5">
        <w:rPr>
          <w:rFonts w:ascii="Palatino Linotype" w:eastAsia="Palatino Linotype" w:hAnsi="Palatino Linotype" w:cs="Palatino Linotype"/>
          <w:b/>
          <w:sz w:val="22"/>
          <w:szCs w:val="22"/>
        </w:rPr>
        <w:t xml:space="preserve"> Admisión. </w:t>
      </w:r>
      <w:r w:rsidR="00F36565" w:rsidRPr="004440D5">
        <w:rPr>
          <w:rFonts w:ascii="Palatino Linotype" w:eastAsia="Palatino Linotype" w:hAnsi="Palatino Linotype" w:cs="Palatino Linotype"/>
          <w:sz w:val="22"/>
          <w:szCs w:val="22"/>
        </w:rPr>
        <w:t xml:space="preserve">El </w:t>
      </w:r>
      <w:r w:rsidR="006A09C2" w:rsidRPr="004440D5">
        <w:rPr>
          <w:rFonts w:ascii="Palatino Linotype" w:eastAsia="Palatino Linotype" w:hAnsi="Palatino Linotype" w:cs="Palatino Linotype"/>
          <w:b/>
          <w:sz w:val="22"/>
          <w:szCs w:val="22"/>
        </w:rPr>
        <w:t>veinte de agosto</w:t>
      </w:r>
      <w:r w:rsidR="00F36565" w:rsidRPr="004440D5">
        <w:rPr>
          <w:rFonts w:ascii="Palatino Linotype" w:eastAsia="Palatino Linotype" w:hAnsi="Palatino Linotype" w:cs="Palatino Linotype"/>
          <w:b/>
          <w:sz w:val="22"/>
          <w:szCs w:val="22"/>
        </w:rPr>
        <w:t xml:space="preserve"> de dos mil veinticinco</w:t>
      </w:r>
      <w:r w:rsidR="00F36565" w:rsidRPr="004440D5">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4440D5">
        <w:rPr>
          <w:rFonts w:ascii="Palatino Linotype" w:eastAsia="Palatino Linotype" w:hAnsi="Palatino Linotype" w:cs="Palatino Linotype"/>
          <w:b/>
          <w:sz w:val="22"/>
          <w:szCs w:val="22"/>
        </w:rPr>
        <w:t>.</w:t>
      </w:r>
      <w:r w:rsidR="005A668A" w:rsidRPr="004440D5">
        <w:rPr>
          <w:rFonts w:ascii="Palatino Linotype" w:eastAsia="Palatino Linotype" w:hAnsi="Palatino Linotype" w:cs="Palatino Linotype"/>
          <w:b/>
          <w:sz w:val="22"/>
          <w:szCs w:val="22"/>
        </w:rPr>
        <w:t xml:space="preserve"> </w:t>
      </w:r>
    </w:p>
    <w:p w14:paraId="5E981DE9" w14:textId="77777777" w:rsidR="00C877F6" w:rsidRPr="004440D5" w:rsidRDefault="00C877F6" w:rsidP="00FD4DF9">
      <w:pPr>
        <w:spacing w:line="360" w:lineRule="auto"/>
        <w:jc w:val="both"/>
        <w:rPr>
          <w:rFonts w:ascii="Palatino Linotype" w:eastAsia="Palatino Linotype" w:hAnsi="Palatino Linotype" w:cs="Palatino Linotype"/>
          <w:b/>
          <w:sz w:val="22"/>
          <w:szCs w:val="22"/>
        </w:rPr>
      </w:pPr>
    </w:p>
    <w:p w14:paraId="19047010" w14:textId="449EE210" w:rsidR="00E67377" w:rsidRPr="004440D5" w:rsidRDefault="00431850" w:rsidP="00FD4DF9">
      <w:pPr>
        <w:spacing w:line="360" w:lineRule="auto"/>
        <w:jc w:val="both"/>
        <w:rPr>
          <w:rFonts w:ascii="Palatino Linotype" w:eastAsia="Palatino Linotype" w:hAnsi="Palatino Linotype" w:cs="Palatino Linotype"/>
          <w:bCs/>
          <w:sz w:val="22"/>
          <w:szCs w:val="22"/>
        </w:rPr>
      </w:pPr>
      <w:r w:rsidRPr="004440D5">
        <w:rPr>
          <w:rFonts w:ascii="Palatino Linotype" w:eastAsia="Palatino Linotype" w:hAnsi="Palatino Linotype" w:cs="Palatino Linotype"/>
          <w:b/>
          <w:sz w:val="22"/>
          <w:szCs w:val="22"/>
        </w:rPr>
        <w:t>6</w:t>
      </w:r>
      <w:r w:rsidR="00F36565" w:rsidRPr="004440D5">
        <w:rPr>
          <w:rFonts w:ascii="Palatino Linotype" w:eastAsia="Palatino Linotype" w:hAnsi="Palatino Linotype" w:cs="Palatino Linotype"/>
          <w:b/>
          <w:sz w:val="22"/>
          <w:szCs w:val="22"/>
        </w:rPr>
        <w:t>. Manifestaciones.</w:t>
      </w:r>
      <w:r w:rsidR="00F36565" w:rsidRPr="004440D5">
        <w:rPr>
          <w:rFonts w:ascii="Palatino Linotype" w:eastAsia="Palatino Linotype" w:hAnsi="Palatino Linotype" w:cs="Palatino Linotype"/>
          <w:sz w:val="22"/>
          <w:szCs w:val="22"/>
        </w:rPr>
        <w:t xml:space="preserve"> De las constancias que obran en el expediente electrón</w:t>
      </w:r>
      <w:r w:rsidR="00C562F4" w:rsidRPr="004440D5">
        <w:rPr>
          <w:rFonts w:ascii="Palatino Linotype" w:eastAsia="Palatino Linotype" w:hAnsi="Palatino Linotype" w:cs="Palatino Linotype"/>
          <w:sz w:val="22"/>
          <w:szCs w:val="22"/>
        </w:rPr>
        <w:t>ico del SAIMEX, se advierte que</w:t>
      </w:r>
      <w:r w:rsidR="00C66ED7" w:rsidRPr="004440D5">
        <w:rPr>
          <w:rFonts w:ascii="Palatino Linotype" w:eastAsia="Palatino Linotype" w:hAnsi="Palatino Linotype" w:cs="Palatino Linotype"/>
          <w:sz w:val="22"/>
          <w:szCs w:val="22"/>
        </w:rPr>
        <w:t xml:space="preserve"> el</w:t>
      </w:r>
      <w:r w:rsidR="00C562F4" w:rsidRPr="004440D5">
        <w:rPr>
          <w:rFonts w:ascii="Palatino Linotype" w:eastAsia="Palatino Linotype" w:hAnsi="Palatino Linotype" w:cs="Palatino Linotype"/>
          <w:sz w:val="22"/>
          <w:szCs w:val="22"/>
        </w:rPr>
        <w:t xml:space="preserve"> Sujeto Obligado</w:t>
      </w:r>
      <w:r w:rsidR="00E67377" w:rsidRPr="004440D5">
        <w:rPr>
          <w:rFonts w:ascii="Palatino Linotype" w:eastAsia="Palatino Linotype" w:hAnsi="Palatino Linotype" w:cs="Palatino Linotype"/>
          <w:sz w:val="22"/>
          <w:szCs w:val="22"/>
        </w:rPr>
        <w:t xml:space="preserve"> rindió su informe justificado el </w:t>
      </w:r>
      <w:r w:rsidR="006A09C2" w:rsidRPr="004440D5">
        <w:rPr>
          <w:rFonts w:ascii="Palatino Linotype" w:eastAsia="Palatino Linotype" w:hAnsi="Palatino Linotype" w:cs="Palatino Linotype"/>
          <w:b/>
          <w:sz w:val="22"/>
          <w:szCs w:val="22"/>
        </w:rPr>
        <w:t>veintinueve de agosto de dos mil veinticinco</w:t>
      </w:r>
      <w:r w:rsidR="00E67377" w:rsidRPr="004440D5">
        <w:rPr>
          <w:rFonts w:ascii="Palatino Linotype" w:eastAsia="Palatino Linotype" w:hAnsi="Palatino Linotype" w:cs="Palatino Linotype"/>
          <w:b/>
          <w:sz w:val="22"/>
          <w:szCs w:val="22"/>
        </w:rPr>
        <w:t xml:space="preserve"> </w:t>
      </w:r>
      <w:r w:rsidR="00E67377" w:rsidRPr="004440D5">
        <w:rPr>
          <w:rFonts w:ascii="Palatino Linotype" w:eastAsia="Palatino Linotype" w:hAnsi="Palatino Linotype" w:cs="Palatino Linotype"/>
          <w:sz w:val="22"/>
          <w:szCs w:val="22"/>
        </w:rPr>
        <w:t>mediante el cual se ratifica la respuesta inicia</w:t>
      </w:r>
      <w:r w:rsidR="00490CCB" w:rsidRPr="004440D5">
        <w:rPr>
          <w:rFonts w:ascii="Palatino Linotype" w:eastAsia="Palatino Linotype" w:hAnsi="Palatino Linotype" w:cs="Palatino Linotype"/>
          <w:sz w:val="22"/>
          <w:szCs w:val="22"/>
        </w:rPr>
        <w:t xml:space="preserve">l. </w:t>
      </w:r>
      <w:r w:rsidR="00FA4221" w:rsidRPr="004440D5">
        <w:rPr>
          <w:rFonts w:ascii="Palatino Linotype" w:eastAsia="Palatino Linotype" w:hAnsi="Palatino Linotype" w:cs="Palatino Linotype"/>
          <w:sz w:val="22"/>
          <w:szCs w:val="22"/>
        </w:rPr>
        <w:t>El informe justificado se puso a disposición del particular el diecisiete de diciembre de dos mil veinticinco.</w:t>
      </w:r>
    </w:p>
    <w:p w14:paraId="6E495844" w14:textId="77777777" w:rsidR="00E67377" w:rsidRPr="004440D5" w:rsidRDefault="00E67377" w:rsidP="00FD4DF9">
      <w:pPr>
        <w:spacing w:line="360" w:lineRule="auto"/>
        <w:jc w:val="both"/>
        <w:rPr>
          <w:rFonts w:ascii="Palatino Linotype" w:eastAsia="Palatino Linotype" w:hAnsi="Palatino Linotype" w:cs="Palatino Linotype"/>
          <w:b/>
          <w:sz w:val="22"/>
          <w:szCs w:val="22"/>
        </w:rPr>
      </w:pPr>
    </w:p>
    <w:p w14:paraId="49331F10" w14:textId="5D2C6126" w:rsidR="00E67377" w:rsidRPr="004440D5" w:rsidRDefault="00E67377" w:rsidP="00E6737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7. Ampliación de plazo. El </w:t>
      </w:r>
      <w:r w:rsidR="00490CCB" w:rsidRPr="004440D5">
        <w:rPr>
          <w:rFonts w:ascii="Palatino Linotype" w:eastAsia="Palatino Linotype" w:hAnsi="Palatino Linotype" w:cs="Palatino Linotype"/>
          <w:b/>
          <w:sz w:val="22"/>
          <w:szCs w:val="22"/>
        </w:rPr>
        <w:t>diecisiete</w:t>
      </w:r>
      <w:r w:rsidRPr="004440D5">
        <w:rPr>
          <w:rFonts w:ascii="Palatino Linotype" w:eastAsia="Palatino Linotype" w:hAnsi="Palatino Linotype" w:cs="Palatino Linotype"/>
          <w:b/>
          <w:sz w:val="22"/>
          <w:szCs w:val="22"/>
        </w:rPr>
        <w:t xml:space="preserve"> de diciembre de dos mil veinticinco</w:t>
      </w:r>
      <w:r w:rsidRPr="004440D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A41AFE" w:rsidRPr="004440D5">
        <w:rPr>
          <w:rFonts w:ascii="Palatino Linotype" w:eastAsia="Palatino Linotype" w:hAnsi="Palatino Linotype" w:cs="Palatino Linotype"/>
          <w:sz w:val="22"/>
          <w:szCs w:val="22"/>
        </w:rPr>
        <w:t xml:space="preserve">; acuerdo notificado el dieciocho de diciembre de dos mil veinticinco. </w:t>
      </w:r>
    </w:p>
    <w:p w14:paraId="493B83C6"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3B3067"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8BCA15A"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86F3E6"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47C8A7"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E95927" w14:textId="77777777" w:rsidR="00E67377" w:rsidRPr="004440D5"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Complejidad del Asunto:</w:t>
      </w:r>
      <w:r w:rsidRPr="004440D5">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60E06A2" w14:textId="77777777" w:rsidR="00E67377" w:rsidRPr="004440D5"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Actividad Procesal del interesado</w:t>
      </w:r>
      <w:r w:rsidRPr="004440D5">
        <w:rPr>
          <w:rFonts w:ascii="Palatino Linotype" w:eastAsia="Palatino Linotype" w:hAnsi="Palatino Linotype" w:cs="Palatino Linotype"/>
          <w:sz w:val="22"/>
          <w:szCs w:val="22"/>
        </w:rPr>
        <w:t>. Acciones u omisiones del interesado.</w:t>
      </w:r>
    </w:p>
    <w:p w14:paraId="23214A0C" w14:textId="77777777" w:rsidR="00E67377" w:rsidRPr="004440D5"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Conducta de la Autoridad:</w:t>
      </w:r>
      <w:r w:rsidRPr="004440D5">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F2275FD" w14:textId="77777777" w:rsidR="00E67377" w:rsidRPr="004440D5"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La afectación generada en la situación jurídica de la persona involucrada en el proceso:</w:t>
      </w:r>
      <w:r w:rsidRPr="004440D5">
        <w:rPr>
          <w:rFonts w:ascii="Palatino Linotype" w:eastAsia="Palatino Linotype" w:hAnsi="Palatino Linotype" w:cs="Palatino Linotype"/>
          <w:sz w:val="22"/>
          <w:szCs w:val="22"/>
        </w:rPr>
        <w:t xml:space="preserve"> Violación a sus derechos humanos.</w:t>
      </w:r>
    </w:p>
    <w:p w14:paraId="78155D9F"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B5A07C"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440D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440D5">
        <w:rPr>
          <w:rFonts w:ascii="Palatino Linotype" w:eastAsia="Palatino Linotype" w:hAnsi="Palatino Linotype" w:cs="Palatino Linotype"/>
          <w:sz w:val="22"/>
          <w:szCs w:val="22"/>
        </w:rPr>
        <w:t>, visible en la Gaceta del Seminario Judicial de la Federación con el registro digital 205635.</w:t>
      </w:r>
    </w:p>
    <w:p w14:paraId="60DA9B79"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8B5669"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57ED1BD" w14:textId="77777777" w:rsidR="00E67377" w:rsidRPr="004440D5"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b/>
          <w:i/>
          <w:sz w:val="22"/>
          <w:szCs w:val="22"/>
        </w:rPr>
        <w:t>“PLAZO RAZONABLE PARA RESOLVER. DIMENSIÓN Y EFECTOS DE ESTE CONCEPTO CUANDO SE ADUCE EXCESIVA CARGA DE TRABAJO</w:t>
      </w:r>
      <w:r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41001A" w14:textId="77777777" w:rsidR="00E67377" w:rsidRPr="004440D5"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440D5">
        <w:rPr>
          <w:rFonts w:ascii="Palatino Linotype" w:eastAsia="Palatino Linotype" w:hAnsi="Palatino Linotype" w:cs="Palatino Linotype"/>
          <w:sz w:val="22"/>
          <w:szCs w:val="22"/>
        </w:rPr>
        <w:t>, visible en el Seminario Judicial de la Federación y su gaceta, con el registro digital 2002350.</w:t>
      </w:r>
    </w:p>
    <w:p w14:paraId="11ADA104" w14:textId="77777777" w:rsidR="00E67377" w:rsidRPr="004440D5" w:rsidRDefault="00E67377" w:rsidP="00E67377">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1AFC6063" w:rsidR="00C877F6" w:rsidRPr="004440D5" w:rsidRDefault="00E67377"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8</w:t>
      </w:r>
      <w:r w:rsidR="00F36565" w:rsidRPr="004440D5">
        <w:rPr>
          <w:rFonts w:ascii="Palatino Linotype" w:eastAsia="Palatino Linotype" w:hAnsi="Palatino Linotype" w:cs="Palatino Linotype"/>
          <w:b/>
          <w:sz w:val="22"/>
          <w:szCs w:val="22"/>
        </w:rPr>
        <w:t>. Cierre de instrucción</w:t>
      </w:r>
      <w:r w:rsidR="00F36565" w:rsidRPr="004440D5">
        <w:rPr>
          <w:rFonts w:ascii="Palatino Linotype" w:eastAsia="Palatino Linotype" w:hAnsi="Palatino Linotype" w:cs="Palatino Linotype"/>
          <w:sz w:val="22"/>
          <w:szCs w:val="22"/>
        </w:rPr>
        <w:t xml:space="preserve">. En fecha </w:t>
      </w:r>
      <w:r w:rsidR="00A41AFE" w:rsidRPr="004440D5">
        <w:rPr>
          <w:rFonts w:ascii="Palatino Linotype" w:eastAsia="Palatino Linotype" w:hAnsi="Palatino Linotype" w:cs="Palatino Linotype"/>
          <w:b/>
          <w:sz w:val="22"/>
          <w:szCs w:val="22"/>
        </w:rPr>
        <w:t>catorce</w:t>
      </w:r>
      <w:r w:rsidR="00490CCB" w:rsidRPr="004440D5">
        <w:rPr>
          <w:rFonts w:ascii="Palatino Linotype" w:eastAsia="Palatino Linotype" w:hAnsi="Palatino Linotype" w:cs="Palatino Linotype"/>
          <w:b/>
          <w:sz w:val="22"/>
          <w:szCs w:val="22"/>
        </w:rPr>
        <w:t xml:space="preserve"> de enero</w:t>
      </w:r>
      <w:r w:rsidR="00F36565" w:rsidRPr="004440D5">
        <w:rPr>
          <w:rFonts w:ascii="Palatino Linotype" w:eastAsia="Palatino Linotype" w:hAnsi="Palatino Linotype" w:cs="Palatino Linotype"/>
          <w:b/>
          <w:sz w:val="22"/>
          <w:szCs w:val="22"/>
        </w:rPr>
        <w:t xml:space="preserve"> de dos mil </w:t>
      </w:r>
      <w:r w:rsidR="00490CCB" w:rsidRPr="004440D5">
        <w:rPr>
          <w:rFonts w:ascii="Palatino Linotype" w:eastAsia="Palatino Linotype" w:hAnsi="Palatino Linotype" w:cs="Palatino Linotype"/>
          <w:b/>
          <w:sz w:val="22"/>
          <w:szCs w:val="22"/>
        </w:rPr>
        <w:t>veintiséis</w:t>
      </w:r>
      <w:r w:rsidR="00F36565" w:rsidRPr="004440D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440D5"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4440D5" w:rsidRDefault="00F36565" w:rsidP="00FD4DF9">
      <w:pPr>
        <w:spacing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Debido a que fue</w:t>
      </w:r>
      <w:r w:rsidR="008D5D61" w:rsidRPr="004440D5">
        <w:rPr>
          <w:rFonts w:ascii="Palatino Linotype" w:eastAsia="Palatino Linotype" w:hAnsi="Palatino Linotype" w:cs="Palatino Linotype"/>
          <w:sz w:val="22"/>
          <w:szCs w:val="22"/>
        </w:rPr>
        <w:t xml:space="preserve"> debidamente sustanciado</w:t>
      </w:r>
      <w:r w:rsidRPr="004440D5">
        <w:rPr>
          <w:rFonts w:ascii="Palatino Linotype" w:eastAsia="Palatino Linotype" w:hAnsi="Palatino Linotype" w:cs="Palatino Linotype"/>
          <w:sz w:val="22"/>
          <w:szCs w:val="22"/>
        </w:rPr>
        <w:t xml:space="preserve"> </w:t>
      </w:r>
      <w:r w:rsidR="008D5D61" w:rsidRPr="004440D5">
        <w:rPr>
          <w:rFonts w:ascii="Palatino Linotype" w:eastAsia="Palatino Linotype" w:hAnsi="Palatino Linotype" w:cs="Palatino Linotype"/>
          <w:sz w:val="22"/>
          <w:szCs w:val="22"/>
        </w:rPr>
        <w:tab/>
        <w:t>el</w:t>
      </w:r>
      <w:r w:rsidRPr="004440D5">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51003F9B" w14:textId="77777777" w:rsidR="00E67377" w:rsidRPr="004440D5" w:rsidRDefault="00E67377" w:rsidP="00FD4DF9">
      <w:pPr>
        <w:spacing w:line="360" w:lineRule="auto"/>
        <w:ind w:right="49"/>
        <w:jc w:val="both"/>
        <w:rPr>
          <w:rFonts w:ascii="Palatino Linotype" w:eastAsia="Palatino Linotype" w:hAnsi="Palatino Linotype" w:cs="Palatino Linotype"/>
          <w:sz w:val="22"/>
          <w:szCs w:val="22"/>
        </w:rPr>
      </w:pPr>
    </w:p>
    <w:p w14:paraId="17694FE8" w14:textId="77777777" w:rsidR="00C877F6" w:rsidRPr="004440D5" w:rsidRDefault="00F36565" w:rsidP="00FD4DF9">
      <w:pPr>
        <w:spacing w:line="360" w:lineRule="auto"/>
        <w:ind w:right="49"/>
        <w:jc w:val="center"/>
        <w:rPr>
          <w:rFonts w:ascii="Palatino Linotype" w:eastAsia="Palatino Linotype" w:hAnsi="Palatino Linotype" w:cs="Palatino Linotype"/>
          <w:b/>
          <w:sz w:val="22"/>
          <w:szCs w:val="22"/>
        </w:rPr>
      </w:pPr>
      <w:r w:rsidRPr="004440D5">
        <w:rPr>
          <w:rFonts w:ascii="Palatino Linotype" w:eastAsia="Palatino Linotype" w:hAnsi="Palatino Linotype" w:cs="Palatino Linotype"/>
          <w:b/>
          <w:sz w:val="22"/>
          <w:szCs w:val="22"/>
        </w:rPr>
        <w:t>II.</w:t>
      </w:r>
      <w:r w:rsidRPr="004440D5">
        <w:rPr>
          <w:rFonts w:ascii="Palatino Linotype" w:eastAsia="Palatino Linotype" w:hAnsi="Palatino Linotype" w:cs="Palatino Linotype"/>
          <w:b/>
          <w:sz w:val="22"/>
          <w:szCs w:val="22"/>
        </w:rPr>
        <w:tab/>
        <w:t>C O N S I D E R A N D O:</w:t>
      </w:r>
    </w:p>
    <w:p w14:paraId="3E2B3FBD" w14:textId="77777777" w:rsidR="00C877F6" w:rsidRPr="004440D5"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Primero. Competencia.</w:t>
      </w:r>
      <w:r w:rsidRPr="004440D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Segundo. Oportunidad y Procedibilidad del Recurso de Revisión. </w:t>
      </w:r>
      <w:r w:rsidRPr="004440D5">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4440D5" w:rsidRDefault="00F36565" w:rsidP="00FD4DF9">
      <w:pPr>
        <w:spacing w:line="360" w:lineRule="auto"/>
        <w:ind w:left="851" w:right="900"/>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 xml:space="preserve">“Artículo 178. </w:t>
      </w:r>
      <w:r w:rsidRPr="004440D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2C1A13FE" w:rsidR="0047539B" w:rsidRPr="004440D5" w:rsidRDefault="00F36565" w:rsidP="00FD4DF9">
      <w:pPr>
        <w:spacing w:before="240" w:after="240"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440D5">
        <w:rPr>
          <w:rFonts w:ascii="Palatino Linotype" w:eastAsia="Palatino Linotype" w:hAnsi="Palatino Linotype" w:cs="Palatino Linotype"/>
          <w:b/>
          <w:sz w:val="22"/>
          <w:szCs w:val="22"/>
        </w:rPr>
        <w:t>SUJETO OBLIGADO</w:t>
      </w:r>
      <w:r w:rsidRPr="004440D5">
        <w:rPr>
          <w:rFonts w:ascii="Palatino Linotype" w:eastAsia="Palatino Linotype" w:hAnsi="Palatino Linotype" w:cs="Palatino Linotype"/>
          <w:sz w:val="22"/>
          <w:szCs w:val="22"/>
        </w:rPr>
        <w:t xml:space="preserve"> remitió la respuesta a la solicitud de información el día </w:t>
      </w:r>
      <w:r w:rsidR="00490CCB" w:rsidRPr="004440D5">
        <w:rPr>
          <w:rFonts w:ascii="Palatino Linotype" w:eastAsia="Palatino Linotype" w:hAnsi="Palatino Linotype" w:cs="Palatino Linotype"/>
          <w:b/>
          <w:sz w:val="22"/>
          <w:szCs w:val="22"/>
        </w:rPr>
        <w:t>doce de agosto</w:t>
      </w:r>
      <w:r w:rsidR="008E4A90" w:rsidRPr="004440D5">
        <w:rPr>
          <w:rFonts w:ascii="Palatino Linotype" w:eastAsia="Palatino Linotype" w:hAnsi="Palatino Linotype" w:cs="Palatino Linotype"/>
          <w:b/>
          <w:sz w:val="22"/>
          <w:szCs w:val="22"/>
        </w:rPr>
        <w:t xml:space="preserve"> </w:t>
      </w:r>
      <w:r w:rsidRPr="004440D5">
        <w:rPr>
          <w:rFonts w:ascii="Palatino Linotype" w:eastAsia="Palatino Linotype" w:hAnsi="Palatino Linotype" w:cs="Palatino Linotype"/>
          <w:b/>
          <w:sz w:val="22"/>
          <w:szCs w:val="22"/>
        </w:rPr>
        <w:t xml:space="preserve">de dos mil veinticinco, </w:t>
      </w:r>
      <w:r w:rsidRPr="004440D5">
        <w:rPr>
          <w:rFonts w:ascii="Palatino Linotype" w:eastAsia="Palatino Linotype" w:hAnsi="Palatino Linotype" w:cs="Palatino Linotype"/>
          <w:sz w:val="22"/>
          <w:szCs w:val="22"/>
        </w:rPr>
        <w:t xml:space="preserve">mientras que el recurso de revisión interpuesto por la parte </w:t>
      </w:r>
      <w:r w:rsidRPr="004440D5">
        <w:rPr>
          <w:rFonts w:ascii="Palatino Linotype" w:eastAsia="Palatino Linotype" w:hAnsi="Palatino Linotype" w:cs="Palatino Linotype"/>
          <w:b/>
          <w:sz w:val="22"/>
          <w:szCs w:val="22"/>
        </w:rPr>
        <w:t>RECURRENTE</w:t>
      </w:r>
      <w:r w:rsidRPr="004440D5">
        <w:rPr>
          <w:rFonts w:ascii="Palatino Linotype" w:eastAsia="Palatino Linotype" w:hAnsi="Palatino Linotype" w:cs="Palatino Linotype"/>
          <w:sz w:val="22"/>
          <w:szCs w:val="22"/>
        </w:rPr>
        <w:t xml:space="preserve">, se tuvo por presentado el </w:t>
      </w:r>
      <w:r w:rsidR="00490CCB" w:rsidRPr="004440D5">
        <w:rPr>
          <w:rFonts w:ascii="Palatino Linotype" w:eastAsia="Palatino Linotype" w:hAnsi="Palatino Linotype" w:cs="Palatino Linotype"/>
          <w:b/>
          <w:bCs/>
          <w:sz w:val="22"/>
          <w:szCs w:val="22"/>
        </w:rPr>
        <w:t>catorce de agosto</w:t>
      </w:r>
      <w:r w:rsidRPr="004440D5">
        <w:rPr>
          <w:rFonts w:ascii="Palatino Linotype" w:eastAsia="Palatino Linotype" w:hAnsi="Palatino Linotype" w:cs="Palatino Linotype"/>
          <w:b/>
          <w:sz w:val="22"/>
          <w:szCs w:val="22"/>
        </w:rPr>
        <w:t xml:space="preserve"> del año dos mil veinticinco</w:t>
      </w:r>
      <w:r w:rsidRPr="004440D5">
        <w:rPr>
          <w:rFonts w:ascii="Palatino Linotype" w:eastAsia="Palatino Linotype" w:hAnsi="Palatino Linotype" w:cs="Palatino Linotype"/>
          <w:sz w:val="22"/>
          <w:szCs w:val="22"/>
        </w:rPr>
        <w:t xml:space="preserve">; esto es, </w:t>
      </w:r>
      <w:r w:rsidR="00D57BE0" w:rsidRPr="004440D5">
        <w:rPr>
          <w:rFonts w:ascii="Palatino Linotype" w:eastAsia="Palatino Linotype" w:hAnsi="Palatino Linotype" w:cs="Palatino Linotype"/>
          <w:sz w:val="22"/>
          <w:szCs w:val="22"/>
        </w:rPr>
        <w:t xml:space="preserve">al </w:t>
      </w:r>
      <w:r w:rsidR="00490CCB" w:rsidRPr="004440D5">
        <w:rPr>
          <w:rFonts w:ascii="Palatino Linotype" w:eastAsia="Palatino Linotype" w:hAnsi="Palatino Linotype" w:cs="Palatino Linotype"/>
          <w:b/>
          <w:sz w:val="22"/>
          <w:szCs w:val="22"/>
        </w:rPr>
        <w:t>segundo</w:t>
      </w:r>
      <w:r w:rsidR="00E67377" w:rsidRPr="004440D5">
        <w:rPr>
          <w:rFonts w:ascii="Palatino Linotype" w:eastAsia="Palatino Linotype" w:hAnsi="Palatino Linotype" w:cs="Palatino Linotype"/>
          <w:b/>
          <w:sz w:val="22"/>
          <w:szCs w:val="22"/>
        </w:rPr>
        <w:t xml:space="preserve"> día hábil</w:t>
      </w:r>
      <w:r w:rsidR="00D57BE0"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sz w:val="22"/>
          <w:szCs w:val="22"/>
        </w:rPr>
        <w:t>que se tu</w:t>
      </w:r>
      <w:r w:rsidR="00D57BE0" w:rsidRPr="004440D5">
        <w:rPr>
          <w:rFonts w:ascii="Palatino Linotype" w:eastAsia="Palatino Linotype" w:hAnsi="Palatino Linotype" w:cs="Palatino Linotype"/>
          <w:sz w:val="22"/>
          <w:szCs w:val="22"/>
        </w:rPr>
        <w:t>vo conocimiento de la respuesta.</w:t>
      </w:r>
    </w:p>
    <w:p w14:paraId="3E440070" w14:textId="77777777" w:rsidR="00C877F6" w:rsidRPr="004440D5" w:rsidRDefault="00F36565" w:rsidP="00FD4DF9">
      <w:pPr>
        <w:spacing w:before="240" w:after="240"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72A07E3E"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4440D5">
        <w:rPr>
          <w:rFonts w:ascii="Palatino Linotype" w:eastAsia="Palatino Linotype" w:hAnsi="Palatino Linotype" w:cs="Palatino Linotype"/>
          <w:sz w:val="22"/>
          <w:szCs w:val="22"/>
        </w:rPr>
        <w:t>s en el artículo 179, fracci</w:t>
      </w:r>
      <w:r w:rsidR="00646662" w:rsidRPr="004440D5">
        <w:rPr>
          <w:rFonts w:ascii="Palatino Linotype" w:eastAsia="Palatino Linotype" w:hAnsi="Palatino Linotype" w:cs="Palatino Linotype"/>
          <w:sz w:val="22"/>
          <w:szCs w:val="22"/>
        </w:rPr>
        <w:t xml:space="preserve">ones </w:t>
      </w:r>
      <w:r w:rsidR="00490CCB" w:rsidRPr="004440D5">
        <w:rPr>
          <w:rFonts w:ascii="Palatino Linotype" w:eastAsia="Palatino Linotype" w:hAnsi="Palatino Linotype" w:cs="Palatino Linotype"/>
          <w:sz w:val="22"/>
          <w:szCs w:val="22"/>
        </w:rPr>
        <w:t>VII</w:t>
      </w:r>
      <w:r w:rsidR="00993A3E" w:rsidRPr="004440D5">
        <w:rPr>
          <w:rFonts w:ascii="Palatino Linotype" w:eastAsia="Palatino Linotype" w:hAnsi="Palatino Linotype" w:cs="Palatino Linotype"/>
          <w:sz w:val="22"/>
          <w:szCs w:val="22"/>
        </w:rPr>
        <w:t>I</w:t>
      </w:r>
      <w:r w:rsidRPr="004440D5">
        <w:rPr>
          <w:rFonts w:ascii="Palatino Linotype" w:eastAsia="Palatino Linotype" w:hAnsi="Palatino Linotype" w:cs="Palatino Linotype"/>
          <w:sz w:val="22"/>
          <w:szCs w:val="22"/>
        </w:rPr>
        <w:t xml:space="preserve"> de la ley de la materia, que a la letra dice:</w:t>
      </w:r>
    </w:p>
    <w:p w14:paraId="47475447" w14:textId="77777777" w:rsidR="00C877F6" w:rsidRPr="004440D5" w:rsidRDefault="00F36565" w:rsidP="00FD4DF9">
      <w:pPr>
        <w:spacing w:line="360" w:lineRule="auto"/>
        <w:ind w:left="851" w:right="1041"/>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b/>
          <w:i/>
          <w:sz w:val="22"/>
          <w:szCs w:val="22"/>
        </w:rPr>
        <w:t xml:space="preserve">Artículo 179. </w:t>
      </w:r>
      <w:r w:rsidRPr="004440D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0C282BE" w14:textId="3C5E2E53" w:rsidR="0017592D" w:rsidRPr="004440D5" w:rsidRDefault="00490CCB" w:rsidP="00490CCB">
      <w:pPr>
        <w:spacing w:line="360" w:lineRule="auto"/>
        <w:ind w:left="851" w:right="1041"/>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VIII. La notificación, entrega o puesta a disposición de información en una modalidad o formato distinto al solicitado;</w:t>
      </w:r>
      <w:r w:rsidR="0017592D" w:rsidRPr="004440D5">
        <w:rPr>
          <w:rFonts w:ascii="Palatino Linotype" w:eastAsia="Palatino Linotype" w:hAnsi="Palatino Linotype" w:cs="Palatino Linotype"/>
          <w:i/>
          <w:sz w:val="22"/>
          <w:szCs w:val="22"/>
        </w:rPr>
        <w:t>…</w:t>
      </w:r>
    </w:p>
    <w:p w14:paraId="1A2EB9D0" w14:textId="77777777"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Tercero. Materia de la revisión. </w:t>
      </w:r>
      <w:r w:rsidRPr="004440D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440D5">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440D5">
        <w:rPr>
          <w:rFonts w:ascii="Palatino Linotype" w:eastAsia="Palatino Linotype" w:hAnsi="Palatino Linotype" w:cs="Palatino Linotype"/>
          <w:sz w:val="22"/>
          <w:szCs w:val="22"/>
        </w:rPr>
        <w:t xml:space="preserve">de la parte </w:t>
      </w:r>
      <w:r w:rsidRPr="004440D5">
        <w:rPr>
          <w:rFonts w:ascii="Palatino Linotype" w:eastAsia="Palatino Linotype" w:hAnsi="Palatino Linotype" w:cs="Palatino Linotype"/>
          <w:b/>
          <w:sz w:val="22"/>
          <w:szCs w:val="22"/>
        </w:rPr>
        <w:t>Recurrente</w:t>
      </w:r>
      <w:r w:rsidRPr="004440D5">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Cuarto. Estudio del asunto. </w:t>
      </w:r>
      <w:r w:rsidRPr="004440D5">
        <w:rPr>
          <w:rFonts w:ascii="Palatino Linotype" w:eastAsia="Palatino Linotype" w:hAnsi="Palatino Linotype" w:cs="Palatino Linotype"/>
          <w:sz w:val="22"/>
          <w:szCs w:val="22"/>
        </w:rPr>
        <w:t xml:space="preserve">En principio, es conveniente analizar si la respuesta del </w:t>
      </w:r>
      <w:r w:rsidRPr="004440D5">
        <w:rPr>
          <w:rFonts w:ascii="Palatino Linotype" w:eastAsia="Palatino Linotype" w:hAnsi="Palatino Linotype" w:cs="Palatino Linotype"/>
          <w:b/>
          <w:sz w:val="22"/>
          <w:szCs w:val="22"/>
        </w:rPr>
        <w:t>SUJETO OBLIGADO</w:t>
      </w:r>
      <w:r w:rsidRPr="004440D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4440D5" w:rsidRDefault="00F36565" w:rsidP="00751375">
      <w:pPr>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b/>
          <w:i/>
          <w:sz w:val="22"/>
          <w:szCs w:val="22"/>
        </w:rPr>
        <w:t>Artículo 4</w:t>
      </w:r>
      <w:r w:rsidRPr="004440D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4440D5" w:rsidRDefault="00F36565" w:rsidP="00751375">
      <w:pPr>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440D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4440D5" w:rsidRDefault="00F36565" w:rsidP="00751375">
      <w:pPr>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440D5">
        <w:rPr>
          <w:rFonts w:ascii="Palatino Linotype" w:eastAsia="Palatino Linotype" w:hAnsi="Palatino Linotype" w:cs="Palatino Linotype"/>
          <w:i/>
          <w:sz w:val="22"/>
          <w:szCs w:val="22"/>
        </w:rPr>
        <w:t>.”</w:t>
      </w:r>
    </w:p>
    <w:p w14:paraId="6FBC13EC"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“Artículo 12.-</w:t>
      </w:r>
      <w:r w:rsidRPr="004440D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440D5" w:rsidRDefault="00C877F6" w:rsidP="00751375">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440D5">
        <w:rPr>
          <w:rFonts w:ascii="Palatino Linotype" w:eastAsia="Palatino Linotype" w:hAnsi="Palatino Linotype" w:cs="Palatino Linotype"/>
          <w:i/>
          <w:sz w:val="22"/>
          <w:szCs w:val="22"/>
        </w:rPr>
        <w:t xml:space="preserve">. </w:t>
      </w:r>
      <w:r w:rsidRPr="004440D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440D5"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4440D5" w:rsidRDefault="00F36565" w:rsidP="00FD4DF9">
      <w:pPr>
        <w:spacing w:line="360" w:lineRule="auto"/>
        <w:ind w:right="-93"/>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4440D5"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4440D5" w:rsidRDefault="00F36565" w:rsidP="00FD4DF9">
      <w:pPr>
        <w:spacing w:line="360" w:lineRule="auto"/>
        <w:ind w:right="-93"/>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440D5">
        <w:rPr>
          <w:rFonts w:ascii="Palatino Linotype" w:eastAsia="Palatino Linotype" w:hAnsi="Palatino Linotype" w:cs="Palatino Linotype"/>
          <w:b/>
          <w:sz w:val="22"/>
          <w:szCs w:val="22"/>
        </w:rPr>
        <w:t xml:space="preserve"> </w:t>
      </w:r>
    </w:p>
    <w:p w14:paraId="2E2DBFC3" w14:textId="77777777" w:rsidR="00C877F6" w:rsidRPr="004440D5"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b/>
          <w:i/>
          <w:sz w:val="22"/>
          <w:szCs w:val="22"/>
        </w:rPr>
        <w:t>No existe obligación de elaborar documentos ad hoc para atender las solicitudes de acceso a la información.</w:t>
      </w:r>
      <w:r w:rsidRPr="004440D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440D5"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4440D5" w:rsidRDefault="00F36565" w:rsidP="00FD4DF9">
      <w:pPr>
        <w:spacing w:line="360" w:lineRule="auto"/>
        <w:ind w:right="49"/>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4440D5"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440D5"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r w:rsidRPr="004440D5">
        <w:rPr>
          <w:rFonts w:ascii="Palatino Linotype" w:eastAsia="Palatino Linotype" w:hAnsi="Palatino Linotype" w:cs="Palatino Linotype"/>
          <w:b/>
          <w:i/>
          <w:sz w:val="22"/>
          <w:szCs w:val="22"/>
        </w:rPr>
        <w:t xml:space="preserve">Artículo 3. </w:t>
      </w:r>
      <w:r w:rsidRPr="004440D5">
        <w:rPr>
          <w:rFonts w:ascii="Palatino Linotype" w:eastAsia="Palatino Linotype" w:hAnsi="Palatino Linotype" w:cs="Palatino Linotype"/>
          <w:i/>
          <w:sz w:val="22"/>
          <w:szCs w:val="22"/>
        </w:rPr>
        <w:t>Para los efectos de la presente Ley se entenderá por:</w:t>
      </w:r>
    </w:p>
    <w:p w14:paraId="505D52C6"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w:t>
      </w:r>
    </w:p>
    <w:p w14:paraId="273D4E7F"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b/>
          <w:i/>
          <w:sz w:val="22"/>
          <w:szCs w:val="22"/>
        </w:rPr>
        <w:t>XI. Documento:</w:t>
      </w:r>
      <w:r w:rsidRPr="004440D5">
        <w:rPr>
          <w:rFonts w:ascii="Palatino Linotype" w:eastAsia="Palatino Linotype" w:hAnsi="Palatino Linotype" w:cs="Palatino Linotype"/>
          <w:i/>
          <w:sz w:val="22"/>
          <w:szCs w:val="22"/>
        </w:rPr>
        <w:t xml:space="preserve"> Los expedientes, reportes, estudios, actas</w:t>
      </w:r>
      <w:r w:rsidRPr="004440D5">
        <w:rPr>
          <w:rFonts w:ascii="Palatino Linotype" w:eastAsia="Palatino Linotype" w:hAnsi="Palatino Linotype" w:cs="Palatino Linotype"/>
          <w:b/>
          <w:i/>
          <w:sz w:val="22"/>
          <w:szCs w:val="22"/>
        </w:rPr>
        <w:t>,</w:t>
      </w:r>
      <w:r w:rsidRPr="004440D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440D5"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440D5"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4440D5" w:rsidRDefault="00F36565" w:rsidP="00751375">
      <w:pPr>
        <w:spacing w:line="276" w:lineRule="auto"/>
        <w:ind w:left="567" w:right="616"/>
        <w:jc w:val="both"/>
        <w:rPr>
          <w:rFonts w:ascii="Palatino Linotype" w:eastAsia="Palatino Linotype" w:hAnsi="Palatino Linotype" w:cs="Palatino Linotype"/>
          <w:b/>
          <w:i/>
          <w:sz w:val="22"/>
          <w:szCs w:val="22"/>
        </w:rPr>
      </w:pPr>
      <w:r w:rsidRPr="004440D5">
        <w:rPr>
          <w:rFonts w:ascii="Palatino Linotype" w:eastAsia="Palatino Linotype" w:hAnsi="Palatino Linotype" w:cs="Palatino Linotype"/>
          <w:b/>
          <w:sz w:val="22"/>
          <w:szCs w:val="22"/>
        </w:rPr>
        <w:t>“</w:t>
      </w:r>
      <w:r w:rsidRPr="004440D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440D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4440D5" w:rsidRDefault="00F36565" w:rsidP="00751375">
      <w:pPr>
        <w:spacing w:line="276" w:lineRule="auto"/>
        <w:ind w:left="567" w:right="616"/>
        <w:jc w:val="both"/>
        <w:rPr>
          <w:rFonts w:ascii="Palatino Linotype" w:eastAsia="Palatino Linotype" w:hAnsi="Palatino Linotype" w:cs="Palatino Linotype"/>
          <w:i/>
          <w:sz w:val="22"/>
          <w:szCs w:val="22"/>
        </w:rPr>
      </w:pPr>
      <w:r w:rsidRPr="004440D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440D5" w:rsidRDefault="00F36565" w:rsidP="00751375">
      <w:pPr>
        <w:spacing w:line="276" w:lineRule="auto"/>
        <w:ind w:left="567" w:right="616"/>
        <w:jc w:val="both"/>
        <w:rPr>
          <w:rFonts w:ascii="Palatino Linotype" w:eastAsia="Palatino Linotype" w:hAnsi="Palatino Linotype" w:cs="Palatino Linotype"/>
          <w:b/>
          <w:i/>
          <w:sz w:val="22"/>
          <w:szCs w:val="22"/>
        </w:rPr>
      </w:pPr>
      <w:r w:rsidRPr="004440D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440D5" w:rsidRDefault="00F36565" w:rsidP="00751375">
      <w:pPr>
        <w:spacing w:line="276" w:lineRule="auto"/>
        <w:ind w:left="567" w:right="616"/>
        <w:jc w:val="both"/>
        <w:rPr>
          <w:rFonts w:ascii="Palatino Linotype" w:eastAsia="Palatino Linotype" w:hAnsi="Palatino Linotype" w:cs="Palatino Linotype"/>
          <w:b/>
          <w:i/>
          <w:sz w:val="22"/>
          <w:szCs w:val="22"/>
        </w:rPr>
      </w:pPr>
      <w:r w:rsidRPr="004440D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440D5"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59EFFA04" w:rsidR="00894CCE" w:rsidRPr="004440D5" w:rsidRDefault="00F36565" w:rsidP="00FD4DF9">
      <w:pPr>
        <w:spacing w:after="240" w:line="360" w:lineRule="auto"/>
        <w:jc w:val="both"/>
        <w:rPr>
          <w:rFonts w:ascii="Palatino Linotype" w:eastAsia="Palatino Linotype" w:hAnsi="Palatino Linotype" w:cs="Palatino Linotype"/>
          <w:b/>
          <w:sz w:val="22"/>
          <w:szCs w:val="22"/>
        </w:rPr>
      </w:pPr>
      <w:r w:rsidRPr="004440D5">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4440D5">
        <w:rPr>
          <w:rFonts w:ascii="Palatino Linotype" w:eastAsia="Palatino Linotype" w:hAnsi="Palatino Linotype" w:cs="Palatino Linotype"/>
          <w:sz w:val="22"/>
          <w:szCs w:val="22"/>
        </w:rPr>
        <w:t xml:space="preserve">se tiene que el Recurrente solicitó al </w:t>
      </w:r>
      <w:r w:rsidR="00966D68" w:rsidRPr="004440D5">
        <w:rPr>
          <w:rFonts w:ascii="Palatino Linotype" w:eastAsia="Palatino Linotype" w:hAnsi="Palatino Linotype" w:cs="Palatino Linotype"/>
          <w:b/>
          <w:sz w:val="22"/>
          <w:szCs w:val="22"/>
        </w:rPr>
        <w:t>Oficialía Mayor</w:t>
      </w:r>
      <w:r w:rsidR="00020CF9" w:rsidRPr="004440D5">
        <w:rPr>
          <w:rFonts w:ascii="Palatino Linotype" w:eastAsia="Palatino Linotype" w:hAnsi="Palatino Linotype" w:cs="Palatino Linotype"/>
          <w:b/>
          <w:sz w:val="22"/>
          <w:szCs w:val="22"/>
        </w:rPr>
        <w:t>, lo sigu</w:t>
      </w:r>
      <w:r w:rsidR="00051065" w:rsidRPr="004440D5">
        <w:rPr>
          <w:rFonts w:ascii="Palatino Linotype" w:eastAsia="Palatino Linotype" w:hAnsi="Palatino Linotype" w:cs="Palatino Linotype"/>
          <w:b/>
          <w:sz w:val="22"/>
          <w:szCs w:val="22"/>
        </w:rPr>
        <w:t>ie</w:t>
      </w:r>
      <w:r w:rsidR="00020CF9" w:rsidRPr="004440D5">
        <w:rPr>
          <w:rFonts w:ascii="Palatino Linotype" w:eastAsia="Palatino Linotype" w:hAnsi="Palatino Linotype" w:cs="Palatino Linotype"/>
          <w:b/>
          <w:sz w:val="22"/>
          <w:szCs w:val="22"/>
        </w:rPr>
        <w:t>nte</w:t>
      </w:r>
      <w:r w:rsidR="00894CCE" w:rsidRPr="004440D5">
        <w:rPr>
          <w:rFonts w:ascii="Palatino Linotype" w:eastAsia="Palatino Linotype" w:hAnsi="Palatino Linotype" w:cs="Palatino Linotype"/>
          <w:b/>
          <w:sz w:val="22"/>
          <w:szCs w:val="22"/>
        </w:rPr>
        <w:t>:</w:t>
      </w:r>
    </w:p>
    <w:p w14:paraId="29F524F1" w14:textId="37789846" w:rsidR="00905B5E" w:rsidRPr="004440D5" w:rsidRDefault="00490CCB" w:rsidP="00FD4DF9">
      <w:pPr>
        <w:pStyle w:val="Prrafodelista"/>
        <w:numPr>
          <w:ilvl w:val="0"/>
          <w:numId w:val="24"/>
        </w:numPr>
        <w:spacing w:line="360" w:lineRule="auto"/>
        <w:ind w:left="851"/>
        <w:jc w:val="both"/>
        <w:rPr>
          <w:rFonts w:ascii="Palatino Linotype" w:hAnsi="Palatino Linotype"/>
          <w:b/>
          <w:iCs/>
          <w:sz w:val="22"/>
          <w:szCs w:val="22"/>
        </w:rPr>
      </w:pPr>
      <w:r w:rsidRPr="004440D5">
        <w:rPr>
          <w:rFonts w:ascii="Palatino Linotype" w:hAnsi="Palatino Linotype"/>
          <w:iCs/>
          <w:sz w:val="22"/>
          <w:szCs w:val="22"/>
        </w:rPr>
        <w:t>nómina de trabajadores de confianza, sindicalizados, mandos medios y superiores de la oficialía mayor correspondientes a la primera y segunda quincena del mes de junio de 2025.</w:t>
      </w:r>
    </w:p>
    <w:p w14:paraId="615AAE52" w14:textId="7B185C65" w:rsidR="00894CCE" w:rsidRPr="004440D5" w:rsidRDefault="00490CCB" w:rsidP="00490CCB">
      <w:pPr>
        <w:spacing w:line="360" w:lineRule="auto"/>
        <w:jc w:val="both"/>
        <w:rPr>
          <w:rFonts w:ascii="Palatino Linotype" w:hAnsi="Palatino Linotype"/>
          <w:bCs/>
          <w:sz w:val="22"/>
          <w:szCs w:val="22"/>
        </w:rPr>
      </w:pPr>
      <w:r w:rsidRPr="004440D5">
        <w:rPr>
          <w:rFonts w:ascii="Palatino Linotype" w:hAnsi="Palatino Linotype"/>
          <w:bCs/>
          <w:sz w:val="22"/>
          <w:szCs w:val="22"/>
        </w:rPr>
        <w:t xml:space="preserve">En respuesta, el sujeto obligado hizo un cambio de modalidad en la entrega de la información </w:t>
      </w:r>
      <w:r w:rsidR="005E1786" w:rsidRPr="004440D5">
        <w:rPr>
          <w:rFonts w:ascii="Palatino Linotype" w:hAnsi="Palatino Linotype"/>
          <w:bCs/>
          <w:sz w:val="22"/>
          <w:szCs w:val="22"/>
        </w:rPr>
        <w:t xml:space="preserve">argumentando que la misma comprende la información de todos los empleados del poder ejecutivo. </w:t>
      </w:r>
    </w:p>
    <w:p w14:paraId="709D926A" w14:textId="77777777" w:rsidR="005E1786" w:rsidRPr="004440D5" w:rsidRDefault="005E1786" w:rsidP="00490CCB">
      <w:pPr>
        <w:spacing w:line="360" w:lineRule="auto"/>
        <w:jc w:val="both"/>
        <w:rPr>
          <w:rFonts w:ascii="Palatino Linotype" w:hAnsi="Palatino Linotype"/>
          <w:bCs/>
          <w:sz w:val="22"/>
          <w:szCs w:val="22"/>
        </w:rPr>
      </w:pPr>
    </w:p>
    <w:p w14:paraId="5D0F6BFF"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w:t>
      </w:r>
    </w:p>
    <w:p w14:paraId="33AF01E9"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p>
    <w:p w14:paraId="5BE90D2D"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Además, el artículo 4°, fracción VI, de la Ley del Trabajo de los servidores públicos del Estado y Municipios, precisa que son </w:t>
      </w:r>
      <w:r w:rsidRPr="004440D5">
        <w:rPr>
          <w:rFonts w:ascii="Palatino Linotype" w:hAnsi="Palatino Linotype" w:cs="Tahoma"/>
          <w:b/>
          <w:bCs/>
          <w:iCs/>
          <w:sz w:val="22"/>
          <w:szCs w:val="22"/>
        </w:rPr>
        <w:t>servidores públicos</w:t>
      </w:r>
      <w:r w:rsidRPr="004440D5">
        <w:rPr>
          <w:rFonts w:ascii="Palatino Linotype" w:hAnsi="Palatino Linotype" w:cs="Tahoma"/>
          <w:bCs/>
          <w:iCs/>
          <w:sz w:val="22"/>
          <w:szCs w:val="22"/>
        </w:rPr>
        <w:t>, todas las personas físicas que preste a una institución pública un trabajo personal subordinado, mediante el pago de un sueldo.</w:t>
      </w:r>
    </w:p>
    <w:p w14:paraId="16AB66C5"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48924ADD"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F4EDC13"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7F5D8BEE"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2CE3128" w14:textId="77777777" w:rsidR="005E1786" w:rsidRPr="004440D5" w:rsidRDefault="005E1786" w:rsidP="005E1786">
      <w:pPr>
        <w:spacing w:line="360" w:lineRule="auto"/>
        <w:ind w:right="-28"/>
        <w:contextualSpacing/>
        <w:jc w:val="both"/>
        <w:rPr>
          <w:rFonts w:ascii="Palatino Linotype" w:hAnsi="Palatino Linotype" w:cs="Tahoma"/>
          <w:b/>
          <w:bCs/>
          <w:iCs/>
          <w:sz w:val="22"/>
          <w:szCs w:val="22"/>
        </w:rPr>
      </w:pPr>
      <w:r w:rsidRPr="004440D5">
        <w:rPr>
          <w:rFonts w:ascii="Palatino Linotype" w:hAnsi="Palatino Linotype" w:cs="Tahoma"/>
          <w:b/>
          <w:bCs/>
          <w:iCs/>
          <w:sz w:val="22"/>
          <w:szCs w:val="22"/>
        </w:rPr>
        <w:t xml:space="preserve"> </w:t>
      </w:r>
    </w:p>
    <w:p w14:paraId="7B40A392"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En ese orden de ideas, el Glosario localizado en la página de Transparencia Presupuestaria de la Secretaría de Hacienda y Crédito Público (</w:t>
      </w:r>
      <w:hyperlink r:id="rId8" w:history="1">
        <w:r w:rsidRPr="004440D5">
          <w:rPr>
            <w:rStyle w:val="Hipervnculo"/>
            <w:rFonts w:ascii="Palatino Linotype" w:hAnsi="Palatino Linotype" w:cs="Tahoma"/>
            <w:bCs/>
            <w:iCs/>
            <w:color w:val="auto"/>
            <w:sz w:val="22"/>
            <w:szCs w:val="22"/>
          </w:rPr>
          <w:t>http://www.transparenciapresupuestaria.gob.mx/es/PTP/Glosario</w:t>
        </w:r>
      </w:hyperlink>
      <w:r w:rsidRPr="004440D5">
        <w:rPr>
          <w:rFonts w:ascii="Palatino Linotype" w:hAnsi="Palatino Linotype" w:cs="Tahoma"/>
          <w:bCs/>
          <w:iCs/>
          <w:sz w:val="22"/>
          <w:szCs w:val="22"/>
        </w:rPr>
        <w:t xml:space="preserve">, </w:t>
      </w:r>
      <w:r w:rsidRPr="004440D5">
        <w:rPr>
          <w:rFonts w:ascii="Palatino Linotype" w:hAnsi="Palatino Linotype" w:cs="Tahoma"/>
          <w:b/>
          <w:iCs/>
          <w:sz w:val="22"/>
          <w:szCs w:val="22"/>
        </w:rPr>
        <w:t>establece que la nómina</w:t>
      </w:r>
      <w:r w:rsidRPr="004440D5">
        <w:rPr>
          <w:rFonts w:ascii="Palatino Linotype" w:hAnsi="Palatino Linotype" w:cs="Tahoma"/>
          <w:bCs/>
          <w:iCs/>
          <w:sz w:val="22"/>
          <w:szCs w:val="22"/>
        </w:rPr>
        <w:t xml:space="preserve"> </w:t>
      </w:r>
      <w:r w:rsidRPr="004440D5">
        <w:rPr>
          <w:rFonts w:ascii="Palatino Linotype" w:hAnsi="Palatino Linotype" w:cs="Tahoma"/>
          <w:b/>
          <w:bCs/>
          <w:iCs/>
          <w:sz w:val="22"/>
          <w:szCs w:val="22"/>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9D00249"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3BF49A3D" w14:textId="77777777" w:rsidR="005E1786" w:rsidRPr="004440D5" w:rsidRDefault="005E1786" w:rsidP="005E1786">
      <w:pPr>
        <w:spacing w:line="360" w:lineRule="auto"/>
        <w:ind w:right="-28"/>
        <w:contextualSpacing/>
        <w:jc w:val="both"/>
        <w:rPr>
          <w:rFonts w:ascii="Palatino Linotype" w:hAnsi="Palatino Linotype" w:cs="Tahoma"/>
          <w:b/>
          <w:bCs/>
          <w:iCs/>
          <w:sz w:val="22"/>
          <w:szCs w:val="22"/>
        </w:rPr>
      </w:pPr>
      <w:r w:rsidRPr="004440D5">
        <w:rPr>
          <w:rFonts w:ascii="Palatino Linotype" w:hAnsi="Palatino Linotype" w:cs="Tahoma"/>
          <w:bCs/>
          <w:iCs/>
          <w:sz w:val="22"/>
          <w:szCs w:val="22"/>
        </w:rPr>
        <w:t>De la misma manera, el Glosario de términos más usuales en la Administración Pública Federal, emitido por la Secretaría de Hacienda y Crédito Público (</w:t>
      </w:r>
      <w:hyperlink r:id="rId9" w:history="1">
        <w:r w:rsidRPr="004440D5">
          <w:rPr>
            <w:rStyle w:val="Hipervnculo"/>
            <w:rFonts w:ascii="Palatino Linotype" w:hAnsi="Palatino Linotype" w:cs="Tahoma"/>
            <w:bCs/>
            <w:iCs/>
            <w:color w:val="auto"/>
            <w:sz w:val="22"/>
            <w:szCs w:val="22"/>
          </w:rPr>
          <w:t>http://www.apartados.hacienda.gob.mx/contabilidad/documentos/informe_cuenta/1998/cuenta_publica/Glosario/n.htm</w:t>
        </w:r>
      </w:hyperlink>
      <w:r w:rsidRPr="004440D5">
        <w:rPr>
          <w:rFonts w:ascii="Palatino Linotype" w:hAnsi="Palatino Linotype" w:cs="Tahoma"/>
          <w:bCs/>
          <w:iCs/>
          <w:sz w:val="22"/>
          <w:szCs w:val="22"/>
        </w:rPr>
        <w:t xml:space="preserve">, establece que la </w:t>
      </w:r>
      <w:r w:rsidRPr="004440D5">
        <w:rPr>
          <w:rFonts w:ascii="Palatino Linotype" w:hAnsi="Palatino Linotype" w:cs="Tahoma"/>
          <w:b/>
          <w:bCs/>
          <w:iCs/>
          <w:sz w:val="22"/>
          <w:szCs w:val="22"/>
        </w:rPr>
        <w:t>nómina es un listado general de los trabajadores de una institución, en el cual se asientan las percepciones brutas, deducciones y alcance neto de las mismas.</w:t>
      </w:r>
    </w:p>
    <w:p w14:paraId="31CDE968"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43800D0D"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Conforme a lo anterior, se puede advertir que la nómina se puede referir a lo siguiente:</w:t>
      </w:r>
    </w:p>
    <w:p w14:paraId="2281967F"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607759C1" w14:textId="77777777" w:rsidR="005E1786" w:rsidRPr="004440D5" w:rsidRDefault="005E1786" w:rsidP="005E1786">
      <w:pPr>
        <w:numPr>
          <w:ilvl w:val="0"/>
          <w:numId w:val="42"/>
        </w:num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Relación de trabajadores con las percepciones monetarias de cada uno.</w:t>
      </w:r>
    </w:p>
    <w:p w14:paraId="5DBB363A"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721C253C" w14:textId="77777777" w:rsidR="005E1786" w:rsidRPr="004440D5" w:rsidRDefault="005E1786" w:rsidP="005E1786">
      <w:pPr>
        <w:numPr>
          <w:ilvl w:val="0"/>
          <w:numId w:val="42"/>
        </w:num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Recibo individual que contiene las prestaciones y deducciones de un trabajador.</w:t>
      </w:r>
    </w:p>
    <w:p w14:paraId="3CCD6AA7"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2F816C40" w14:textId="77777777" w:rsidR="005E1786" w:rsidRPr="004440D5" w:rsidRDefault="005E1786" w:rsidP="005E1786">
      <w:pPr>
        <w:numPr>
          <w:ilvl w:val="0"/>
          <w:numId w:val="42"/>
        </w:numPr>
        <w:spacing w:line="360" w:lineRule="auto"/>
        <w:ind w:right="-28"/>
        <w:contextualSpacing/>
        <w:jc w:val="both"/>
        <w:rPr>
          <w:rFonts w:ascii="Palatino Linotype" w:hAnsi="Palatino Linotype" w:cs="Tahoma"/>
          <w:b/>
          <w:bCs/>
          <w:iCs/>
          <w:sz w:val="22"/>
          <w:szCs w:val="22"/>
        </w:rPr>
      </w:pPr>
      <w:r w:rsidRPr="004440D5">
        <w:rPr>
          <w:rFonts w:ascii="Palatino Linotype" w:hAnsi="Palatino Linotype" w:cs="Tahoma"/>
          <w:b/>
          <w:bCs/>
          <w:iCs/>
          <w:sz w:val="22"/>
          <w:szCs w:val="22"/>
        </w:rPr>
        <w:t>Listado general de los servidores públicos de una institución o dependencia, en el cual se asientan las percepciones brutas, deducciones y alcance neto de las mismas.</w:t>
      </w:r>
    </w:p>
    <w:p w14:paraId="13229617"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p>
    <w:p w14:paraId="30E4A4BB"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En ese contexto, los Lineamientos para la Integración y Entrega del Informe Trimestrales Estatales y Municipales para el Ejercicio Fiscal 2025, emitidos por el Órgano Superior de Fiscalización del Estado de México, el cual precisa que las autoridades deben de proporcionar, para su fiscalización, diversos documentos, entre los cuales se encuentran aquellos del Módulo 4, que contienen la Nómina Detallada (generada de manera quincenal) y la Concilación de Nómina (elaborada de manera mensual)</w:t>
      </w:r>
    </w:p>
    <w:p w14:paraId="4E907280"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p>
    <w:p w14:paraId="168566CE" w14:textId="3CAC6C01"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Ahora bien, es necesario precisar que se requirió la información a la Oficialía Mayor, por lo que, se considera que se requiere la información del personal adscrito a este; sobre dicha circunstancia, se procedió a ingresar al Portal del Sujeto Obligado fracción VIII A “Remuneraciones”, visible en el siguiente enlace </w:t>
      </w:r>
      <w:hyperlink r:id="rId10" w:anchor="/info-fraccion/11/388/28" w:history="1">
        <w:r w:rsidRPr="004440D5">
          <w:rPr>
            <w:rStyle w:val="Hipervnculo"/>
            <w:rFonts w:ascii="Palatino Linotype" w:hAnsi="Palatino Linotype" w:cs="Tahoma"/>
            <w:bCs/>
            <w:iCs/>
            <w:color w:val="auto"/>
            <w:sz w:val="22"/>
            <w:szCs w:val="22"/>
          </w:rPr>
          <w:t>https://ipomex.org.mx/ipomex/#/info-fraccion/11/388/28</w:t>
        </w:r>
      </w:hyperlink>
      <w:r w:rsidRPr="004440D5">
        <w:rPr>
          <w:rFonts w:ascii="Palatino Linotype" w:hAnsi="Palatino Linotype" w:cs="Tahoma"/>
          <w:bCs/>
          <w:iCs/>
          <w:sz w:val="22"/>
          <w:szCs w:val="22"/>
        </w:rPr>
        <w:t>, del cual al ingresar a la información del segundo trimestre de dos mil veinticinco, se logró advertir que el Sujeto Obligado cuenta con un total de mil cien registros considerando que el Particular requirió información de las quincenas de junio de dos mil veinticinco, circunstancia que se logra advertid conforme a lo siguiente:</w:t>
      </w:r>
    </w:p>
    <w:p w14:paraId="16C59932"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p>
    <w:p w14:paraId="3592DB05"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noProof/>
          <w:sz w:val="22"/>
          <w:szCs w:val="22"/>
        </w:rPr>
        <w:drawing>
          <wp:inline distT="0" distB="0" distL="0" distR="0" wp14:anchorId="7D493B76" wp14:editId="7D7B1E37">
            <wp:extent cx="5639435" cy="1000125"/>
            <wp:effectExtent l="0" t="0" r="0" b="9525"/>
            <wp:docPr id="1993374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435" cy="1000125"/>
                    </a:xfrm>
                    <a:prstGeom prst="rect">
                      <a:avLst/>
                    </a:prstGeom>
                    <a:noFill/>
                  </pic:spPr>
                </pic:pic>
              </a:graphicData>
            </a:graphic>
          </wp:inline>
        </w:drawing>
      </w:r>
    </w:p>
    <w:p w14:paraId="5DE93012" w14:textId="77777777" w:rsidR="005E1786" w:rsidRPr="004440D5" w:rsidRDefault="005E1786" w:rsidP="005E1786">
      <w:pPr>
        <w:spacing w:line="360" w:lineRule="auto"/>
        <w:ind w:right="-28"/>
        <w:contextualSpacing/>
        <w:jc w:val="center"/>
        <w:rPr>
          <w:rFonts w:ascii="Palatino Linotype" w:hAnsi="Palatino Linotype" w:cs="Tahoma"/>
          <w:b/>
          <w:bCs/>
          <w:iCs/>
          <w:sz w:val="22"/>
          <w:szCs w:val="22"/>
        </w:rPr>
      </w:pPr>
      <w:r w:rsidRPr="004440D5">
        <w:rPr>
          <w:rFonts w:ascii="Palatino Linotype" w:hAnsi="Palatino Linotype" w:cs="Tahoma"/>
          <w:b/>
          <w:bCs/>
          <w:iCs/>
          <w:noProof/>
          <w:sz w:val="22"/>
          <w:szCs w:val="22"/>
        </w:rPr>
        <w:drawing>
          <wp:inline distT="0" distB="0" distL="0" distR="0" wp14:anchorId="77432A06" wp14:editId="66B026BB">
            <wp:extent cx="5572125" cy="2371725"/>
            <wp:effectExtent l="0" t="0" r="9525" b="9525"/>
            <wp:docPr id="815414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2371725"/>
                    </a:xfrm>
                    <a:prstGeom prst="rect">
                      <a:avLst/>
                    </a:prstGeom>
                    <a:noFill/>
                  </pic:spPr>
                </pic:pic>
              </a:graphicData>
            </a:graphic>
          </wp:inline>
        </w:drawing>
      </w:r>
    </w:p>
    <w:p w14:paraId="55E619E6"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777C73F4" w14:textId="728BEA60"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Conforme a lo anterior, se logra vislumbrar que la pretensión del ahora Recurrente, es obtener el documento donde conste la nómina pagada al personal adscrito a la Oficialía Mayor, de la primera y segunda quincena de junio de dos mil veinticinco.</w:t>
      </w:r>
    </w:p>
    <w:p w14:paraId="7C794AF4"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sz w:val="22"/>
          <w:szCs w:val="22"/>
        </w:rPr>
      </w:pPr>
    </w:p>
    <w:p w14:paraId="543D6175"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b/>
          <w:bCs/>
          <w:sz w:val="22"/>
          <w:szCs w:val="22"/>
        </w:rPr>
      </w:pPr>
      <w:r w:rsidRPr="004440D5">
        <w:rPr>
          <w:rFonts w:ascii="Palatino Linotype" w:eastAsia="Palatino Linotype" w:hAnsi="Palatino Linotype" w:cs="Palatino Linotype"/>
          <w:sz w:val="22"/>
          <w:szCs w:val="22"/>
        </w:rPr>
        <w:t xml:space="preserve">Así, de las constancias que obran en el expediente, se logra vislumbrar que el Sujeto Obligado turnó la solicitud de información a la </w:t>
      </w:r>
      <w:r w:rsidRPr="004440D5">
        <w:rPr>
          <w:rFonts w:ascii="Palatino Linotype" w:eastAsiaTheme="majorEastAsia" w:hAnsi="Palatino Linotype" w:cstheme="majorBidi"/>
          <w:sz w:val="22"/>
          <w:szCs w:val="22"/>
        </w:rPr>
        <w:t>Dirección General de Personal</w:t>
      </w:r>
      <w:r w:rsidRPr="004440D5">
        <w:rPr>
          <w:rFonts w:ascii="Palatino Linotype" w:eastAsia="Palatino Linotype" w:hAnsi="Palatino Linotype" w:cs="Palatino Linotype"/>
          <w:sz w:val="22"/>
          <w:szCs w:val="22"/>
        </w:rPr>
        <w:t>,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1D0B838"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bCs/>
          <w:sz w:val="22"/>
          <w:szCs w:val="22"/>
        </w:rPr>
      </w:pPr>
      <w:r w:rsidRPr="004440D5">
        <w:rPr>
          <w:rFonts w:ascii="Palatino Linotype" w:eastAsia="Palatino Linotype" w:hAnsi="Palatino Linotype" w:cs="Palatino Linotype"/>
          <w:bCs/>
          <w:sz w:val="22"/>
          <w:szCs w:val="22"/>
        </w:rPr>
        <w:t xml:space="preserve"> </w:t>
      </w:r>
    </w:p>
    <w:p w14:paraId="4F3819B4"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bCs/>
          <w:iCs/>
          <w:sz w:val="22"/>
          <w:szCs w:val="22"/>
        </w:rPr>
      </w:pPr>
      <w:r w:rsidRPr="004440D5">
        <w:rPr>
          <w:rFonts w:ascii="Palatino Linotype" w:eastAsia="Palatino Linotype" w:hAnsi="Palatino Linotype" w:cs="Palatino Linotype"/>
          <w:bCs/>
          <w:sz w:val="22"/>
          <w:szCs w:val="22"/>
        </w:rPr>
        <w:t>Así, es necesario traer al estudio el numeral 23400004000000L, el cual establece, que el Sujeto Obligado para el ejercicio de sus funciones contará con diversas unidades administrativas, entre otras la Dirección General de Personal</w:t>
      </w:r>
      <w:r w:rsidRPr="004440D5">
        <w:rPr>
          <w:rFonts w:ascii="Palatino Linotype" w:eastAsia="Palatino Linotype" w:hAnsi="Palatino Linotype" w:cs="Palatino Linotype"/>
          <w:bCs/>
          <w:iCs/>
          <w:sz w:val="22"/>
          <w:szCs w:val="22"/>
        </w:rPr>
        <w:t>, encargada de entregar las remuneraciones a las personas servidoras públicas de las dependencias y órganos administrativos desconcentrados del Poder Ejecutivo, en coordinación con la Secretaría de Finanzas.</w:t>
      </w:r>
    </w:p>
    <w:p w14:paraId="363EF4AB"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bCs/>
          <w:iCs/>
          <w:sz w:val="22"/>
          <w:szCs w:val="22"/>
        </w:rPr>
      </w:pPr>
      <w:r w:rsidRPr="004440D5">
        <w:rPr>
          <w:rFonts w:ascii="Palatino Linotype" w:eastAsia="Palatino Linotype" w:hAnsi="Palatino Linotype" w:cs="Palatino Linotype"/>
          <w:bCs/>
          <w:iCs/>
          <w:sz w:val="22"/>
          <w:szCs w:val="22"/>
        </w:rPr>
        <w:t xml:space="preserve"> </w:t>
      </w:r>
    </w:p>
    <w:p w14:paraId="283D1BA4"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bCs/>
          <w:iCs/>
          <w:sz w:val="22"/>
          <w:szCs w:val="22"/>
        </w:rPr>
      </w:pPr>
      <w:r w:rsidRPr="004440D5">
        <w:rPr>
          <w:rFonts w:ascii="Palatino Linotype" w:eastAsia="Palatino Linotype" w:hAnsi="Palatino Linotype" w:cs="Palatino Linotype"/>
          <w:bCs/>
          <w:iCs/>
          <w:sz w:val="22"/>
          <w:szCs w:val="22"/>
        </w:rPr>
        <w:t>Por lo expuesto, se considera que el Sujeto Obligado cumplió con el procedimiento de búsqueda previamente señalado, pues turnó la solicitud a la unidad administrativa competente para conocer sobre lo peticionado, por lo que, cumplió con el procedimiento de búsqueda establecido en el artículo 162 de la Ley de la materia.</w:t>
      </w:r>
    </w:p>
    <w:p w14:paraId="4B5A1C0C" w14:textId="77777777" w:rsidR="005E1786" w:rsidRPr="004440D5" w:rsidRDefault="005E1786" w:rsidP="005E1786">
      <w:pPr>
        <w:spacing w:line="360" w:lineRule="auto"/>
        <w:ind w:right="-28"/>
        <w:contextualSpacing/>
        <w:jc w:val="both"/>
        <w:rPr>
          <w:rFonts w:ascii="Palatino Linotype" w:eastAsia="Palatino Linotype" w:hAnsi="Palatino Linotype" w:cs="Palatino Linotype"/>
          <w:sz w:val="22"/>
          <w:szCs w:val="22"/>
        </w:rPr>
      </w:pPr>
    </w:p>
    <w:p w14:paraId="5AF2DE69" w14:textId="77777777" w:rsidR="005E1786" w:rsidRPr="004440D5" w:rsidRDefault="005E1786" w:rsidP="005E1786">
      <w:pPr>
        <w:spacing w:line="360" w:lineRule="auto"/>
        <w:ind w:right="-28"/>
        <w:contextualSpacing/>
        <w:jc w:val="both"/>
        <w:rPr>
          <w:rFonts w:ascii="Palatino Linotype" w:hAnsi="Palatino Linotype" w:cs="Tahoma"/>
          <w:sz w:val="22"/>
          <w:szCs w:val="22"/>
        </w:rPr>
      </w:pPr>
      <w:r w:rsidRPr="004440D5">
        <w:rPr>
          <w:rFonts w:ascii="Palatino Linotype" w:eastAsia="Palatino Linotype" w:hAnsi="Palatino Linotype" w:cs="Palatino Linotype"/>
          <w:sz w:val="22"/>
          <w:szCs w:val="22"/>
        </w:rPr>
        <w:t xml:space="preserve">Ahora bien, dicha área en respuesta señaló </w:t>
      </w:r>
      <w:r w:rsidRPr="004440D5">
        <w:rPr>
          <w:rFonts w:ascii="Palatino Linotype" w:hAnsi="Palatino Linotype" w:cs="Tahoma"/>
          <w:sz w:val="22"/>
          <w:szCs w:val="22"/>
        </w:rPr>
        <w:t>que de conformidad con lo dispuesto por el artículo 12 de la Ley de Transparencia que la obligación de proporcionar información no comprende el procesamiento de la misma ni presentarla conforme al interés del solicitante, lo cual implicaría generar un documento específico, por lo que no era posible atender de manera favorable la solicitud.</w:t>
      </w:r>
    </w:p>
    <w:p w14:paraId="324B4B1F" w14:textId="77777777" w:rsidR="005E1786" w:rsidRPr="004440D5" w:rsidRDefault="005E1786" w:rsidP="005E1786">
      <w:pPr>
        <w:spacing w:line="360" w:lineRule="auto"/>
        <w:ind w:right="-28"/>
        <w:contextualSpacing/>
        <w:jc w:val="both"/>
        <w:rPr>
          <w:rFonts w:ascii="Palatino Linotype" w:hAnsi="Palatino Linotype" w:cs="Tahoma"/>
          <w:sz w:val="22"/>
          <w:szCs w:val="22"/>
        </w:rPr>
      </w:pPr>
    </w:p>
    <w:p w14:paraId="0D8DAA19" w14:textId="77777777" w:rsidR="005E1786" w:rsidRPr="004440D5" w:rsidRDefault="005E1786" w:rsidP="005E1786">
      <w:pPr>
        <w:spacing w:line="360" w:lineRule="auto"/>
        <w:ind w:right="-28"/>
        <w:contextualSpacing/>
        <w:jc w:val="both"/>
        <w:rPr>
          <w:rFonts w:ascii="Palatino Linotype" w:hAnsi="Palatino Linotype" w:cs="Tahoma"/>
          <w:sz w:val="22"/>
          <w:szCs w:val="22"/>
        </w:rPr>
      </w:pPr>
      <w:r w:rsidRPr="004440D5">
        <w:rPr>
          <w:rFonts w:ascii="Palatino Linotype" w:hAnsi="Palatino Linotype" w:cs="Tahoma"/>
          <w:sz w:val="22"/>
          <w:szCs w:val="22"/>
        </w:rPr>
        <w:t>No obstante, durante la sustanciación del medio de impugnación el Sujeto Obligado a través de la unidad administrativa competente precisó que los datos necesarios para llevar a cabo la entrega de las remuneraciones, se encuentren albergados en el sistema de nómina del Sector Central del Poder Ejecutivo que contiene la información total de servidores públicos que incluye al personal docente así como de los cuerpos de seguridad, lo que asciende a 159, 999 registros por lo anterior circunstancia que sobrepasaba las capacidades técnicas, administrativas y humanas por lo que proponía el cambio de modalidad de entrega de la información a consulta directa previo el pago que se realice de los documentos solicitados.</w:t>
      </w:r>
    </w:p>
    <w:p w14:paraId="0EC33FA7" w14:textId="77777777" w:rsidR="005E1786" w:rsidRPr="004440D5" w:rsidRDefault="005E1786" w:rsidP="005E1786">
      <w:pPr>
        <w:spacing w:line="360" w:lineRule="auto"/>
        <w:ind w:right="-28"/>
        <w:contextualSpacing/>
        <w:jc w:val="both"/>
        <w:rPr>
          <w:rFonts w:ascii="Palatino Linotype" w:hAnsi="Palatino Linotype" w:cs="Tahoma"/>
          <w:sz w:val="22"/>
          <w:szCs w:val="22"/>
        </w:rPr>
      </w:pPr>
    </w:p>
    <w:p w14:paraId="736D907A"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sz w:val="22"/>
          <w:szCs w:val="22"/>
        </w:rPr>
        <w:t xml:space="preserve">Sobre el cambio de modalidad, </w:t>
      </w:r>
      <w:r w:rsidRPr="004440D5">
        <w:rPr>
          <w:rFonts w:ascii="Palatino Linotype" w:hAnsi="Palatino Linotype" w:cs="Tahoma"/>
          <w:bCs/>
          <w:iCs/>
          <w:sz w:val="22"/>
          <w:szCs w:val="22"/>
        </w:rPr>
        <w:t xml:space="preserve">el artículo 155, fracción V, de la Ley de Transparencia y Acceso a la Información Pública del Estado de México y Municipios, precisa que para presentar una solicitud, la particular podrá señalar </w:t>
      </w:r>
      <w:r w:rsidRPr="004440D5">
        <w:rPr>
          <w:rFonts w:ascii="Palatino Linotype" w:hAnsi="Palatino Linotype" w:cs="Tahoma"/>
          <w:b/>
          <w:bCs/>
          <w:iCs/>
          <w:sz w:val="22"/>
          <w:szCs w:val="22"/>
        </w:rPr>
        <w:t>la modalidad en la que prefiere se otorgue el acceso a la información</w:t>
      </w:r>
      <w:r w:rsidRPr="004440D5">
        <w:rPr>
          <w:rFonts w:ascii="Palatino Linotype" w:hAnsi="Palatino Linotype" w:cs="Tahoma"/>
          <w:bCs/>
          <w:iCs/>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4D4C9BF8"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0F08587B" w14:textId="77777777" w:rsidR="005E1786" w:rsidRPr="004440D5" w:rsidRDefault="005E1786" w:rsidP="005E1786">
      <w:pPr>
        <w:spacing w:line="360" w:lineRule="auto"/>
        <w:ind w:right="-28"/>
        <w:contextualSpacing/>
        <w:jc w:val="both"/>
        <w:rPr>
          <w:rFonts w:ascii="Palatino Linotype" w:hAnsi="Palatino Linotype" w:cs="Tahoma"/>
          <w:b/>
          <w:bCs/>
          <w:iCs/>
          <w:sz w:val="22"/>
          <w:szCs w:val="22"/>
        </w:rPr>
      </w:pPr>
      <w:r w:rsidRPr="004440D5">
        <w:rPr>
          <w:rFonts w:ascii="Palatino Linotype" w:hAnsi="Palatino Linotype" w:cs="Tahoma"/>
          <w:bCs/>
          <w:iCs/>
          <w:sz w:val="22"/>
          <w:szCs w:val="22"/>
        </w:rPr>
        <w:t xml:space="preserve">El artículo 158, dispone que, de manera excepcional, cuando de manera fundada y motivada lo determine el Sujeto Obligado, </w:t>
      </w:r>
      <w:r w:rsidRPr="004440D5">
        <w:rPr>
          <w:rFonts w:ascii="Palatino Linotype" w:hAnsi="Palatino Linotype" w:cs="Tahoma"/>
          <w:b/>
          <w:bCs/>
          <w:iCs/>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E3722ED"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3443B970"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En ese orden de ideas, el artículo 164 de dicho ordenamiento jurídico, prevé que el acceso se dará en la modalidad de entrega y, en su caso, de envío elegidos por al solicitante. </w:t>
      </w:r>
      <w:r w:rsidRPr="004440D5">
        <w:rPr>
          <w:rFonts w:ascii="Palatino Linotype" w:hAnsi="Palatino Linotype" w:cs="Tahoma"/>
          <w:b/>
          <w:bCs/>
          <w:iCs/>
          <w:sz w:val="22"/>
          <w:szCs w:val="22"/>
        </w:rPr>
        <w:t>Cuando la información no pueda entregarse o enviarse en la modalidad elegida, el sujeto obligado deberá ofrecer otra u otras modalidades de entrega.</w:t>
      </w:r>
      <w:r w:rsidRPr="004440D5">
        <w:rPr>
          <w:rFonts w:ascii="Palatino Linotype" w:hAnsi="Palatino Linotype" w:cs="Tahoma"/>
          <w:bCs/>
          <w:iCs/>
          <w:sz w:val="22"/>
          <w:szCs w:val="22"/>
        </w:rPr>
        <w:t xml:space="preserve"> En cualquier caso, </w:t>
      </w:r>
      <w:r w:rsidRPr="004440D5">
        <w:rPr>
          <w:rFonts w:ascii="Palatino Linotype" w:hAnsi="Palatino Linotype" w:cs="Tahoma"/>
          <w:b/>
          <w:bCs/>
          <w:iCs/>
          <w:sz w:val="22"/>
          <w:szCs w:val="22"/>
        </w:rPr>
        <w:t>se deberá fundar y motivar</w:t>
      </w:r>
      <w:r w:rsidRPr="004440D5">
        <w:rPr>
          <w:rFonts w:ascii="Palatino Linotype" w:hAnsi="Palatino Linotype" w:cs="Tahoma"/>
          <w:bCs/>
          <w:iCs/>
          <w:sz w:val="22"/>
          <w:szCs w:val="22"/>
        </w:rPr>
        <w:t xml:space="preserve"> la necesidad de ofrecer otras modalidades.</w:t>
      </w:r>
    </w:p>
    <w:p w14:paraId="252DC146"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675C6E1F"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4440D5">
        <w:rPr>
          <w:rFonts w:ascii="Palatino Linotype" w:hAnsi="Palatino Linotype" w:cs="Tahoma"/>
          <w:b/>
          <w:bCs/>
          <w:iCs/>
          <w:sz w:val="22"/>
          <w:szCs w:val="22"/>
        </w:rPr>
        <w:t>en la medida de lo posible, en la forma solicitada por el interesado, salvo que exista un impedimento justificado para atenderla</w:t>
      </w:r>
      <w:r w:rsidRPr="004440D5">
        <w:rPr>
          <w:rFonts w:ascii="Palatino Linotype" w:hAnsi="Palatino Linotype" w:cs="Tahoma"/>
          <w:bCs/>
          <w:iCs/>
          <w:sz w:val="22"/>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4440D5">
        <w:rPr>
          <w:rFonts w:ascii="Palatino Linotype" w:hAnsi="Palatino Linotype" w:cs="Tahoma"/>
          <w:b/>
          <w:bCs/>
          <w:iCs/>
          <w:sz w:val="22"/>
          <w:szCs w:val="22"/>
        </w:rPr>
        <w:t>sólo procede, en caso de que se acredite la imposibilidad de atenderla.</w:t>
      </w:r>
      <w:r w:rsidRPr="004440D5">
        <w:rPr>
          <w:rFonts w:ascii="Palatino Linotype" w:hAnsi="Palatino Linotype" w:cs="Tahoma"/>
          <w:bCs/>
          <w:iCs/>
          <w:sz w:val="22"/>
          <w:szCs w:val="22"/>
        </w:rPr>
        <w:t xml:space="preserve"> </w:t>
      </w:r>
    </w:p>
    <w:p w14:paraId="5FF99757"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052FDD05" w14:textId="77777777" w:rsidR="005E1786" w:rsidRPr="004440D5" w:rsidRDefault="005E1786" w:rsidP="005E1786">
      <w:pPr>
        <w:spacing w:line="360" w:lineRule="auto"/>
        <w:ind w:right="-28"/>
        <w:contextualSpacing/>
        <w:jc w:val="both"/>
        <w:rPr>
          <w:rFonts w:ascii="Palatino Linotype" w:hAnsi="Palatino Linotype" w:cs="Tahoma"/>
          <w:b/>
          <w:bCs/>
          <w:iCs/>
          <w:sz w:val="22"/>
          <w:szCs w:val="22"/>
        </w:rPr>
      </w:pPr>
      <w:r w:rsidRPr="004440D5">
        <w:rPr>
          <w:rFonts w:ascii="Palatino Linotype" w:hAnsi="Palatino Linotype" w:cs="Tahoma"/>
          <w:bCs/>
          <w:iCs/>
          <w:sz w:val="22"/>
          <w:szCs w:val="22"/>
        </w:rPr>
        <w:t xml:space="preserve">Así, cuando se justifique el impedimento, los </w:t>
      </w:r>
      <w:r w:rsidRPr="004440D5">
        <w:rPr>
          <w:rFonts w:ascii="Palatino Linotype" w:hAnsi="Palatino Linotype" w:cs="Tahoma"/>
          <w:b/>
          <w:bCs/>
          <w:iCs/>
          <w:sz w:val="22"/>
          <w:szCs w:val="22"/>
        </w:rPr>
        <w:t>Sujetos Obligados deberán ofrecer al particular otras modalidades de entrega que permita la información</w:t>
      </w:r>
      <w:r w:rsidRPr="004440D5">
        <w:rPr>
          <w:rFonts w:ascii="Palatino Linotype" w:hAnsi="Palatino Linotype" w:cs="Tahoma"/>
          <w:bCs/>
          <w:iCs/>
          <w:sz w:val="22"/>
          <w:szCs w:val="22"/>
        </w:rPr>
        <w:t xml:space="preserve">, como consulta directa en las oficinas de la Unidad de Transparencia; lo anterior, es robustecido con el Criterio de interpretación, con clave de control SO/008/2017, emitido por el Pleno del Instituto Nacional de Transparencia, Acceso a la Información y Protección de Datos Personales, el cual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4440D5">
        <w:rPr>
          <w:rFonts w:ascii="Palatino Linotype" w:hAnsi="Palatino Linotype" w:cs="Tahoma"/>
          <w:b/>
          <w:bCs/>
          <w:iCs/>
          <w:sz w:val="22"/>
          <w:szCs w:val="22"/>
        </w:rPr>
        <w:t>información en todas las modalidades que lo permitan, procurando reducir los costos de entrega.</w:t>
      </w:r>
    </w:p>
    <w:p w14:paraId="183EB853"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393201C6"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E7AD68E"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 xml:space="preserve"> </w:t>
      </w:r>
    </w:p>
    <w:p w14:paraId="5985E651" w14:textId="77777777" w:rsidR="005E1786" w:rsidRPr="004440D5" w:rsidRDefault="005E1786" w:rsidP="005E1786">
      <w:pPr>
        <w:numPr>
          <w:ilvl w:val="0"/>
          <w:numId w:val="43"/>
        </w:num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Las razones por las cuales la información implicaba un análisis, estudio o procesamiento de datos;</w:t>
      </w:r>
    </w:p>
    <w:p w14:paraId="00E19E60" w14:textId="77777777" w:rsidR="005E1786" w:rsidRPr="004440D5" w:rsidRDefault="005E1786" w:rsidP="005E1786">
      <w:pPr>
        <w:numPr>
          <w:ilvl w:val="0"/>
          <w:numId w:val="43"/>
        </w:num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Por qué motivo el tiempo, que se le otorga al Sujeto Obligado para dar respuesta, en la modalidad elegida a la solicitud de información, no le es suficiente, y</w:t>
      </w:r>
    </w:p>
    <w:p w14:paraId="6A858065" w14:textId="77777777" w:rsidR="005E1786" w:rsidRPr="004440D5" w:rsidRDefault="005E1786" w:rsidP="005E1786">
      <w:pPr>
        <w:numPr>
          <w:ilvl w:val="0"/>
          <w:numId w:val="43"/>
        </w:num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La cantidad de recursos humanos y materiales con los que cuenta el Sujeto Obligado son insuficientes.</w:t>
      </w:r>
    </w:p>
    <w:p w14:paraId="1E9B9363" w14:textId="77777777" w:rsidR="005E1786" w:rsidRPr="004440D5" w:rsidRDefault="005E1786" w:rsidP="005E1786">
      <w:pPr>
        <w:spacing w:line="360" w:lineRule="auto"/>
        <w:ind w:right="-28"/>
        <w:contextualSpacing/>
        <w:jc w:val="both"/>
        <w:rPr>
          <w:rFonts w:ascii="Palatino Linotype" w:hAnsi="Palatino Linotype" w:cs="Tahoma"/>
          <w:bCs/>
          <w:sz w:val="22"/>
          <w:szCs w:val="22"/>
        </w:rPr>
      </w:pPr>
      <w:r w:rsidRPr="004440D5">
        <w:rPr>
          <w:rFonts w:ascii="Palatino Linotype" w:hAnsi="Palatino Linotype" w:cs="Tahoma"/>
          <w:bCs/>
          <w:sz w:val="22"/>
          <w:szCs w:val="22"/>
        </w:rPr>
        <w:t xml:space="preserve"> </w:t>
      </w:r>
    </w:p>
    <w:p w14:paraId="51720319" w14:textId="46ED91D1" w:rsidR="005E1786" w:rsidRPr="004440D5" w:rsidRDefault="005E1786" w:rsidP="005E1786">
      <w:pPr>
        <w:spacing w:line="360" w:lineRule="auto"/>
        <w:ind w:right="-28"/>
        <w:contextualSpacing/>
        <w:jc w:val="both"/>
        <w:rPr>
          <w:rFonts w:ascii="Palatino Linotype" w:hAnsi="Palatino Linotype" w:cs="Tahoma"/>
          <w:bCs/>
          <w:sz w:val="22"/>
          <w:szCs w:val="22"/>
        </w:rPr>
      </w:pPr>
      <w:r w:rsidRPr="004440D5">
        <w:rPr>
          <w:rFonts w:ascii="Palatino Linotype" w:hAnsi="Palatino Linotype" w:cs="Tahoma"/>
          <w:bCs/>
          <w:sz w:val="22"/>
          <w:szCs w:val="22"/>
        </w:rPr>
        <w:t>Ahora bien, la Dirección General de Personal, durante la sustanciación del Medio de Impugnación, informó que ponía a disposición del ahora Recurrente la documentación peticionada en consulta directa, en las oficinas del Sujeto Obligado al contar con ciento cincuenta y nueve mil novecientos noventa y nueve registros; sin embargo, cabe resaltar que la pretensión del Recurrente, no es obtener la información de todos los servidores públicos adscritos al Poder Ejecutivo del Estado de México, sino únicamente aquellos adscritos a la Oficialía Mayor.</w:t>
      </w:r>
    </w:p>
    <w:p w14:paraId="1DEDB086" w14:textId="77777777" w:rsidR="005E1786" w:rsidRPr="004440D5" w:rsidRDefault="005E1786" w:rsidP="005E1786">
      <w:pPr>
        <w:spacing w:line="360" w:lineRule="auto"/>
        <w:ind w:right="-28"/>
        <w:contextualSpacing/>
        <w:jc w:val="both"/>
        <w:rPr>
          <w:rFonts w:ascii="Palatino Linotype" w:hAnsi="Palatino Linotype" w:cs="Tahoma"/>
          <w:bCs/>
          <w:sz w:val="22"/>
          <w:szCs w:val="22"/>
        </w:rPr>
      </w:pPr>
    </w:p>
    <w:p w14:paraId="4299C15F" w14:textId="77777777" w:rsidR="005E1786" w:rsidRPr="004440D5" w:rsidRDefault="005E1786" w:rsidP="005E1786">
      <w:pPr>
        <w:spacing w:line="360" w:lineRule="auto"/>
        <w:ind w:right="-28"/>
        <w:contextualSpacing/>
        <w:jc w:val="both"/>
        <w:rPr>
          <w:rFonts w:ascii="Palatino Linotype" w:hAnsi="Palatino Linotype" w:cs="Tahoma"/>
          <w:bCs/>
          <w:sz w:val="22"/>
          <w:szCs w:val="22"/>
        </w:rPr>
      </w:pPr>
      <w:r w:rsidRPr="004440D5">
        <w:rPr>
          <w:rFonts w:ascii="Palatino Linotype" w:hAnsi="Palatino Linotype" w:cs="Tahoma"/>
          <w:bCs/>
          <w:sz w:val="22"/>
          <w:szCs w:val="22"/>
        </w:rPr>
        <w:t>Por lo que, este Instituto considera que omitió fundar y motivar el cambio de modalidad, pues si bien precisó la cantidad de servidores públicos con los que cuenta el Poder Ejecutivo, no señaló el total adscritos al Sujeto Obligado; además, que de la revisión del Portal de Información Pública de Oficio Mexiquense, en la fracción VIII A, del Segundo Trimestre, se localizó que el Sujeto Obligado únicamente cuenta con 1008 registros, lo cual se traduce a ese número de trabajadores gubernamentales.</w:t>
      </w:r>
    </w:p>
    <w:p w14:paraId="1F9C384C" w14:textId="77777777" w:rsidR="005E1786" w:rsidRPr="004440D5" w:rsidRDefault="005E1786" w:rsidP="005E1786">
      <w:pPr>
        <w:spacing w:line="360" w:lineRule="auto"/>
        <w:ind w:right="-28"/>
        <w:contextualSpacing/>
        <w:jc w:val="both"/>
        <w:rPr>
          <w:rFonts w:ascii="Palatino Linotype" w:hAnsi="Palatino Linotype" w:cs="Tahoma"/>
          <w:bCs/>
          <w:sz w:val="22"/>
          <w:szCs w:val="22"/>
        </w:rPr>
      </w:pPr>
      <w:r w:rsidRPr="004440D5">
        <w:rPr>
          <w:rFonts w:ascii="Palatino Linotype" w:hAnsi="Palatino Linotype" w:cs="Tahoma"/>
          <w:bCs/>
          <w:sz w:val="22"/>
          <w:szCs w:val="22"/>
        </w:rPr>
        <w:t xml:space="preserve"> </w:t>
      </w:r>
    </w:p>
    <w:p w14:paraId="47288CD5" w14:textId="77777777" w:rsidR="005E1786" w:rsidRPr="004440D5" w:rsidRDefault="005E1786" w:rsidP="005E1786">
      <w:pPr>
        <w:spacing w:line="360" w:lineRule="auto"/>
        <w:ind w:right="-28"/>
        <w:contextualSpacing/>
        <w:jc w:val="both"/>
        <w:rPr>
          <w:rFonts w:ascii="Palatino Linotype" w:hAnsi="Palatino Linotype" w:cs="Tahoma"/>
          <w:bCs/>
          <w:iCs/>
          <w:sz w:val="22"/>
          <w:szCs w:val="22"/>
        </w:rPr>
      </w:pPr>
      <w:r w:rsidRPr="004440D5">
        <w:rPr>
          <w:rFonts w:ascii="Palatino Linotype" w:hAnsi="Palatino Linotype" w:cs="Tahoma"/>
          <w:bCs/>
          <w:iCs/>
          <w:sz w:val="22"/>
          <w:szCs w:val="22"/>
        </w:rPr>
        <w:t>Conforme a lo anterior, la Oficialía Mayor</w:t>
      </w:r>
      <w:r w:rsidRPr="004440D5">
        <w:rPr>
          <w:rFonts w:ascii="Palatino Linotype" w:hAnsi="Palatino Linotype" w:cs="Tahoma"/>
          <w:iCs/>
          <w:sz w:val="22"/>
          <w:szCs w:val="22"/>
        </w:rPr>
        <w:t xml:space="preserve">, no acreditó la imposibilidad humana, técnica y administrativa, establecida en el artículo 158 de la Ley de Transparencia y Acceso a la Información Pública del Estado de México y Municipios, para acreditar el cambio de modalidad a consulta directa; aunado a que proporcionó el número total de servidores públicos que estaban adscritos a la Oficialía Mayor, lo cual da como resultado que el agravio resulte </w:t>
      </w:r>
      <w:r w:rsidRPr="004440D5">
        <w:rPr>
          <w:rFonts w:ascii="Palatino Linotype" w:hAnsi="Palatino Linotype" w:cs="Tahoma"/>
          <w:b/>
          <w:bCs/>
          <w:iCs/>
          <w:sz w:val="22"/>
          <w:szCs w:val="22"/>
        </w:rPr>
        <w:t xml:space="preserve">FUNDADO. </w:t>
      </w:r>
    </w:p>
    <w:p w14:paraId="79AF9D52" w14:textId="77777777" w:rsidR="005E1786" w:rsidRPr="004440D5" w:rsidRDefault="005E1786" w:rsidP="005E1786">
      <w:pPr>
        <w:spacing w:line="360" w:lineRule="auto"/>
        <w:ind w:right="-28"/>
        <w:contextualSpacing/>
        <w:jc w:val="both"/>
        <w:rPr>
          <w:rFonts w:ascii="Palatino Linotype" w:hAnsi="Palatino Linotype" w:cs="Tahoma"/>
          <w:iCs/>
          <w:sz w:val="22"/>
          <w:szCs w:val="22"/>
        </w:rPr>
      </w:pPr>
      <w:r w:rsidRPr="004440D5">
        <w:rPr>
          <w:rFonts w:ascii="Palatino Linotype" w:hAnsi="Palatino Linotype" w:cs="Tahoma"/>
          <w:iCs/>
          <w:sz w:val="22"/>
          <w:szCs w:val="22"/>
        </w:rPr>
        <w:t xml:space="preserve"> </w:t>
      </w:r>
    </w:p>
    <w:p w14:paraId="613339BD" w14:textId="41FA72C4" w:rsidR="005E1786" w:rsidRPr="004440D5" w:rsidRDefault="005E1786" w:rsidP="005E1786">
      <w:pPr>
        <w:spacing w:line="360" w:lineRule="auto"/>
        <w:ind w:right="-28"/>
        <w:contextualSpacing/>
        <w:jc w:val="both"/>
        <w:rPr>
          <w:rFonts w:ascii="Palatino Linotype" w:eastAsiaTheme="majorEastAsia" w:hAnsi="Palatino Linotype" w:cstheme="majorBidi"/>
          <w:sz w:val="22"/>
          <w:szCs w:val="22"/>
        </w:rPr>
      </w:pPr>
      <w:r w:rsidRPr="004440D5">
        <w:rPr>
          <w:rFonts w:ascii="Palatino Linotype" w:hAnsi="Palatino Linotype" w:cs="Tahoma"/>
          <w:iCs/>
          <w:sz w:val="22"/>
          <w:szCs w:val="22"/>
        </w:rPr>
        <w:t>Por lo que, para atender el requerimiento de información, la Oficialía Mayor deberá realizar una búsqueda exhaustiva y razonable en sus archivos, a efecto de proporcionar el documento donde conste la información solicitada, que de manera enunciativa, mas no limitativa, se encuentra la Nómina Detallada quincenal; d</w:t>
      </w:r>
      <w:r w:rsidRPr="004440D5">
        <w:rPr>
          <w:rFonts w:ascii="Palatino Linotype" w:hAnsi="Palatino Linotype"/>
          <w:bCs/>
          <w:iCs/>
          <w:sz w:val="22"/>
          <w:szCs w:val="22"/>
        </w:rPr>
        <w:t>icha circunstancia,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53AF7AF" w14:textId="77777777" w:rsidR="005E1786" w:rsidRPr="004440D5" w:rsidRDefault="005E1786" w:rsidP="005E1786">
      <w:pPr>
        <w:spacing w:line="360" w:lineRule="auto"/>
        <w:contextualSpacing/>
        <w:jc w:val="both"/>
        <w:rPr>
          <w:rFonts w:ascii="Palatino Linotype" w:hAnsi="Palatino Linotype"/>
          <w:bCs/>
          <w:iCs/>
          <w:sz w:val="22"/>
          <w:szCs w:val="22"/>
        </w:rPr>
      </w:pPr>
    </w:p>
    <w:p w14:paraId="423C96E4" w14:textId="77777777" w:rsidR="005E1786" w:rsidRPr="004440D5" w:rsidRDefault="005E1786" w:rsidP="005E1786">
      <w:pPr>
        <w:spacing w:line="360" w:lineRule="auto"/>
        <w:contextualSpacing/>
        <w:jc w:val="both"/>
        <w:rPr>
          <w:rFonts w:ascii="Palatino Linotype" w:hAnsi="Palatino Linotype"/>
          <w:bCs/>
          <w:iCs/>
          <w:sz w:val="22"/>
          <w:szCs w:val="22"/>
        </w:rPr>
      </w:pPr>
      <w:r w:rsidRPr="004440D5">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4440D5">
        <w:rPr>
          <w:rFonts w:ascii="Palatino Linotype" w:hAnsi="Palatino Linotype"/>
          <w:bCs/>
          <w:i/>
          <w:iCs/>
          <w:sz w:val="22"/>
          <w:szCs w:val="22"/>
        </w:rPr>
        <w:t>ad hoc</w:t>
      </w:r>
      <w:r w:rsidRPr="004440D5">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29758A03" w14:textId="77777777" w:rsidR="005E1786" w:rsidRPr="004440D5" w:rsidRDefault="005E1786" w:rsidP="005E1786">
      <w:pPr>
        <w:spacing w:line="360" w:lineRule="auto"/>
        <w:contextualSpacing/>
        <w:jc w:val="both"/>
        <w:rPr>
          <w:rFonts w:ascii="Palatino Linotype" w:hAnsi="Palatino Linotype"/>
          <w:bCs/>
          <w:iCs/>
          <w:sz w:val="22"/>
          <w:szCs w:val="22"/>
        </w:rPr>
      </w:pPr>
      <w:r w:rsidRPr="004440D5">
        <w:rPr>
          <w:rFonts w:ascii="Palatino Linotype" w:hAnsi="Palatino Linotype"/>
          <w:bCs/>
          <w:iCs/>
          <w:sz w:val="22"/>
          <w:szCs w:val="22"/>
        </w:rPr>
        <w:t xml:space="preserve"> </w:t>
      </w:r>
    </w:p>
    <w:p w14:paraId="1D3C5F1F" w14:textId="77777777" w:rsidR="005E1786" w:rsidRPr="004440D5" w:rsidRDefault="005E1786" w:rsidP="005E1786">
      <w:pPr>
        <w:spacing w:line="360" w:lineRule="auto"/>
        <w:contextualSpacing/>
        <w:jc w:val="both"/>
        <w:rPr>
          <w:rFonts w:ascii="Palatino Linotype" w:eastAsiaTheme="majorEastAsia" w:hAnsi="Palatino Linotype" w:cstheme="majorBidi"/>
          <w:sz w:val="22"/>
          <w:szCs w:val="22"/>
        </w:rPr>
      </w:pPr>
      <w:r w:rsidRPr="004440D5">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anterior toma relevancia pues en el presente deberá proporcionar la nómina requerida.</w:t>
      </w:r>
      <w:r w:rsidRPr="004440D5">
        <w:rPr>
          <w:rFonts w:ascii="Palatino Linotype" w:eastAsiaTheme="majorEastAsia" w:hAnsi="Palatino Linotype" w:cstheme="majorBidi"/>
          <w:sz w:val="22"/>
          <w:szCs w:val="22"/>
        </w:rPr>
        <w:t xml:space="preserve"> </w:t>
      </w:r>
    </w:p>
    <w:p w14:paraId="3019ED6C" w14:textId="77777777" w:rsidR="005E1786" w:rsidRPr="004440D5" w:rsidRDefault="005E1786" w:rsidP="005E1786">
      <w:pPr>
        <w:spacing w:line="360" w:lineRule="auto"/>
        <w:contextualSpacing/>
        <w:jc w:val="both"/>
        <w:rPr>
          <w:rFonts w:ascii="Palatino Linotype" w:eastAsiaTheme="majorEastAsia" w:hAnsi="Palatino Linotype" w:cstheme="majorBidi"/>
          <w:sz w:val="22"/>
          <w:szCs w:val="22"/>
        </w:rPr>
      </w:pPr>
    </w:p>
    <w:p w14:paraId="6DB614CF" w14:textId="3C13F568" w:rsidR="005E1786" w:rsidRPr="004440D5" w:rsidRDefault="005E1786" w:rsidP="005E1786">
      <w:pPr>
        <w:spacing w:line="360" w:lineRule="auto"/>
        <w:contextualSpacing/>
        <w:jc w:val="both"/>
        <w:rPr>
          <w:rFonts w:ascii="Palatino Linotype" w:eastAsiaTheme="majorEastAsia" w:hAnsi="Palatino Linotype" w:cstheme="majorBidi"/>
          <w:sz w:val="22"/>
          <w:szCs w:val="22"/>
        </w:rPr>
      </w:pPr>
      <w:r w:rsidRPr="004440D5">
        <w:rPr>
          <w:rFonts w:ascii="Palatino Linotype" w:eastAsiaTheme="majorEastAsia" w:hAnsi="Palatino Linotype" w:cstheme="majorBidi"/>
          <w:sz w:val="22"/>
          <w:szCs w:val="22"/>
        </w:rPr>
        <w:t>Lo anterior toma sustento con base en los registros del portal de información del Sujeto Obligado pues de dichos registros se logró vislumbrar que los registros relacionados con las remuneraciones del personal adscrito al sujeto obligado no sobrepasan las capacidades del Sujeto Obligado, por lo que deberá proporcionar los documentos en los que se advierta la información solicitada.</w:t>
      </w:r>
    </w:p>
    <w:p w14:paraId="64BA60BC" w14:textId="77777777" w:rsidR="005E1786" w:rsidRPr="004440D5" w:rsidRDefault="005E1786" w:rsidP="005E1786">
      <w:pPr>
        <w:spacing w:line="360" w:lineRule="auto"/>
        <w:contextualSpacing/>
        <w:jc w:val="both"/>
        <w:rPr>
          <w:rFonts w:ascii="Palatino Linotype" w:eastAsiaTheme="majorEastAsia" w:hAnsi="Palatino Linotype" w:cstheme="majorBidi"/>
          <w:sz w:val="22"/>
          <w:szCs w:val="22"/>
        </w:rPr>
      </w:pPr>
    </w:p>
    <w:p w14:paraId="4BE99ACF" w14:textId="77777777" w:rsidR="005E1786" w:rsidRPr="004440D5" w:rsidRDefault="005E1786" w:rsidP="005E1786">
      <w:pPr>
        <w:spacing w:line="360" w:lineRule="auto"/>
        <w:jc w:val="both"/>
        <w:rPr>
          <w:rFonts w:ascii="Palatino Linotype" w:hAnsi="Palatino Linotype"/>
        </w:rPr>
      </w:pPr>
      <w:r w:rsidRPr="004440D5">
        <w:rPr>
          <w:rFonts w:ascii="Palatino Linotype" w:eastAsia="Palatino Linotype" w:hAnsi="Palatino Linotype" w:cs="Palatino Linotype"/>
          <w:b/>
        </w:rPr>
        <w:t xml:space="preserve">Quinto. Versión Pública. </w:t>
      </w:r>
      <w:r w:rsidRPr="004440D5">
        <w:rPr>
          <w:rFonts w:ascii="Palatino Linotype" w:hAnsi="Palatino Linotype"/>
        </w:rPr>
        <w:t>Como fue debidamente apuntado, el </w:t>
      </w:r>
      <w:r w:rsidRPr="004440D5">
        <w:rPr>
          <w:rFonts w:ascii="Palatino Linotype" w:hAnsi="Palatino Linotype"/>
          <w:bCs/>
        </w:rPr>
        <w:t>Sujeto Obligado</w:t>
      </w:r>
      <w:r w:rsidRPr="004440D5">
        <w:rPr>
          <w:rFonts w:ascii="Palatino Linotype" w:hAnsi="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BE4E02C" w14:textId="77777777" w:rsidR="005E1786" w:rsidRPr="004440D5" w:rsidRDefault="005E1786" w:rsidP="005E1786">
      <w:pPr>
        <w:spacing w:line="360" w:lineRule="auto"/>
        <w:jc w:val="both"/>
        <w:rPr>
          <w:rFonts w:ascii="Palatino Linotype" w:eastAsia="Palatino Linotype" w:hAnsi="Palatino Linotype" w:cs="Palatino Linotype"/>
          <w:b/>
        </w:rPr>
      </w:pPr>
    </w:p>
    <w:p w14:paraId="7678E42E" w14:textId="77777777" w:rsidR="005E1786" w:rsidRPr="004440D5" w:rsidRDefault="005E1786" w:rsidP="005E1786">
      <w:pPr>
        <w:pStyle w:val="NormalWeb"/>
        <w:spacing w:before="0" w:beforeAutospacing="0" w:after="0" w:afterAutospacing="0" w:line="360" w:lineRule="auto"/>
        <w:ind w:right="49"/>
        <w:jc w:val="both"/>
        <w:rPr>
          <w:rFonts w:ascii="Palatino Linotype" w:hAnsi="Palatino Linotype"/>
          <w:sz w:val="22"/>
          <w:szCs w:val="22"/>
        </w:rPr>
      </w:pPr>
      <w:r w:rsidRPr="004440D5">
        <w:rPr>
          <w:rFonts w:ascii="Palatino Linotype" w:hAnsi="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6D69DA4" w14:textId="77777777" w:rsidR="005E1786" w:rsidRPr="004440D5" w:rsidRDefault="005E1786" w:rsidP="005E1786">
      <w:pPr>
        <w:pStyle w:val="NormalWeb"/>
        <w:spacing w:before="0" w:beforeAutospacing="0" w:after="0" w:afterAutospacing="0" w:line="360" w:lineRule="auto"/>
        <w:ind w:right="49"/>
        <w:jc w:val="both"/>
        <w:rPr>
          <w:sz w:val="22"/>
          <w:szCs w:val="22"/>
        </w:rPr>
      </w:pPr>
    </w:p>
    <w:p w14:paraId="426A69D4" w14:textId="77777777" w:rsidR="005E1786" w:rsidRPr="004440D5" w:rsidRDefault="005E1786" w:rsidP="005E1786">
      <w:pPr>
        <w:pStyle w:val="NormalWeb"/>
        <w:spacing w:before="0" w:beforeAutospacing="0" w:after="0" w:afterAutospacing="0" w:line="360" w:lineRule="auto"/>
        <w:ind w:right="49"/>
        <w:jc w:val="both"/>
        <w:rPr>
          <w:rFonts w:ascii="Palatino Linotype" w:hAnsi="Palatino Linotype"/>
          <w:sz w:val="22"/>
          <w:szCs w:val="22"/>
        </w:rPr>
      </w:pPr>
      <w:r w:rsidRPr="004440D5">
        <w:rPr>
          <w:rFonts w:ascii="Palatino Linotype" w:hAnsi="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76ACE46" w14:textId="77777777" w:rsidR="005E1786" w:rsidRPr="004440D5" w:rsidRDefault="005E1786" w:rsidP="005E1786">
      <w:pPr>
        <w:pStyle w:val="NormalWeb"/>
        <w:spacing w:before="0" w:beforeAutospacing="0" w:after="0" w:afterAutospacing="0" w:line="360" w:lineRule="auto"/>
        <w:ind w:right="49"/>
        <w:jc w:val="both"/>
        <w:rPr>
          <w:sz w:val="22"/>
          <w:szCs w:val="22"/>
        </w:rPr>
      </w:pPr>
    </w:p>
    <w:p w14:paraId="27780842" w14:textId="77777777" w:rsidR="005E1786" w:rsidRPr="004440D5" w:rsidRDefault="005E1786" w:rsidP="005E1786">
      <w:pPr>
        <w:pStyle w:val="NormalWeb"/>
        <w:spacing w:before="0" w:beforeAutospacing="0" w:after="0" w:afterAutospacing="0" w:line="360" w:lineRule="auto"/>
        <w:ind w:right="49"/>
        <w:jc w:val="both"/>
        <w:rPr>
          <w:rFonts w:ascii="Palatino Linotype" w:hAnsi="Palatino Linotype"/>
          <w:sz w:val="22"/>
          <w:szCs w:val="22"/>
        </w:rPr>
      </w:pPr>
      <w:r w:rsidRPr="004440D5">
        <w:rPr>
          <w:rFonts w:ascii="Palatino Linotype" w:hAnsi="Palatino Linotype"/>
          <w:sz w:val="22"/>
          <w:szCs w:val="22"/>
        </w:rPr>
        <w:t>Al respecto, los artículos 3, fracciones IX, XX, XXI, XXXII, XLV; 6, 91, 132, 137, 143, fracción I, de la Ley de Transparencia y Acceso a la Información Pública del Estado de México y Municipios vigente establecen:</w:t>
      </w:r>
    </w:p>
    <w:p w14:paraId="42E181A0" w14:textId="77777777" w:rsidR="005E1786" w:rsidRPr="004440D5" w:rsidRDefault="005E1786" w:rsidP="005E1786">
      <w:pPr>
        <w:pStyle w:val="NormalWeb"/>
        <w:spacing w:before="0" w:beforeAutospacing="0" w:after="0" w:afterAutospacing="0" w:line="360" w:lineRule="auto"/>
        <w:ind w:left="567" w:right="49"/>
        <w:jc w:val="both"/>
        <w:rPr>
          <w:sz w:val="22"/>
          <w:szCs w:val="22"/>
        </w:rPr>
      </w:pPr>
    </w:p>
    <w:p w14:paraId="6036B30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sz w:val="22"/>
          <w:szCs w:val="22"/>
        </w:rPr>
        <w:t> </w:t>
      </w:r>
      <w:r w:rsidRPr="004440D5">
        <w:rPr>
          <w:rFonts w:ascii="Palatino Linotype" w:hAnsi="Palatino Linotype"/>
          <w:i/>
          <w:iCs/>
          <w:sz w:val="22"/>
          <w:szCs w:val="22"/>
        </w:rPr>
        <w:t>“</w:t>
      </w:r>
      <w:r w:rsidRPr="004440D5">
        <w:rPr>
          <w:rFonts w:ascii="Palatino Linotype" w:hAnsi="Palatino Linotype"/>
          <w:b/>
          <w:bCs/>
          <w:i/>
          <w:iCs/>
          <w:sz w:val="22"/>
          <w:szCs w:val="22"/>
        </w:rPr>
        <w:t>Artículo 3.</w:t>
      </w:r>
      <w:r w:rsidRPr="004440D5">
        <w:rPr>
          <w:rFonts w:ascii="Palatino Linotype" w:hAnsi="Palatino Linotype"/>
          <w:i/>
          <w:iCs/>
          <w:sz w:val="22"/>
          <w:szCs w:val="22"/>
        </w:rPr>
        <w:t xml:space="preserve"> Para los efectos de la presente Ley se entenderá por:</w:t>
      </w:r>
    </w:p>
    <w:p w14:paraId="2D8041C8"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w:t>
      </w:r>
    </w:p>
    <w:p w14:paraId="2C686EB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IX. Datos personales</w:t>
      </w:r>
      <w:r w:rsidRPr="004440D5">
        <w:rPr>
          <w:rFonts w:ascii="Palatino Linotype" w:hAnsi="Palatino Linotype"/>
          <w:i/>
          <w:iCs/>
          <w:sz w:val="22"/>
          <w:szCs w:val="22"/>
        </w:rPr>
        <w:t>: La información concerniente a una persona, identificada o identificable según lo dispuesto por la Ley de Protección de Datos Personales del Estado de México;</w:t>
      </w:r>
    </w:p>
    <w:p w14:paraId="3D6D6E1A"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w:t>
      </w:r>
    </w:p>
    <w:p w14:paraId="2A25B7A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XX. Información clasificada</w:t>
      </w:r>
      <w:r w:rsidRPr="004440D5">
        <w:rPr>
          <w:rFonts w:ascii="Palatino Linotype" w:hAnsi="Palatino Linotype"/>
          <w:i/>
          <w:iCs/>
          <w:sz w:val="22"/>
          <w:szCs w:val="22"/>
        </w:rPr>
        <w:t>: Aquella considerada por la presente Ley como reservada o confidencial;</w:t>
      </w:r>
    </w:p>
    <w:p w14:paraId="04047F0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XXI. Información confidencial</w:t>
      </w:r>
      <w:r w:rsidRPr="004440D5">
        <w:rPr>
          <w:rFonts w:ascii="Palatino Linotype" w:hAnsi="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B8B04B1"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w:t>
      </w:r>
    </w:p>
    <w:p w14:paraId="5F3FD483"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XXXII. Protección de Datos Personales</w:t>
      </w:r>
      <w:r w:rsidRPr="004440D5">
        <w:rPr>
          <w:rFonts w:ascii="Palatino Linotype" w:hAnsi="Palatino Linotype"/>
          <w:i/>
          <w:iCs/>
          <w:sz w:val="22"/>
          <w:szCs w:val="22"/>
        </w:rPr>
        <w:t>: Derecho humano que tutela la privacidad de datos personales en poder de los sujetos obligados y sujetos particulares;</w:t>
      </w:r>
    </w:p>
    <w:p w14:paraId="2EC89A1B"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w:t>
      </w:r>
    </w:p>
    <w:p w14:paraId="60CCC297"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XLV. Versión pública</w:t>
      </w:r>
      <w:r w:rsidRPr="004440D5">
        <w:rPr>
          <w:rFonts w:ascii="Palatino Linotype" w:hAnsi="Palatino Linotype"/>
          <w:i/>
          <w:iCs/>
          <w:sz w:val="22"/>
          <w:szCs w:val="22"/>
        </w:rPr>
        <w:t>: Documento en el que se elimine, suprime o borra la información clasificada como reservada o confidencial para permitir su acceso.</w:t>
      </w:r>
    </w:p>
    <w:p w14:paraId="2A521152"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 Artículo 6</w:t>
      </w:r>
      <w:r w:rsidRPr="004440D5">
        <w:rPr>
          <w:rFonts w:ascii="Palatino Linotype" w:hAnsi="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96F30E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w:t>
      </w:r>
    </w:p>
    <w:p w14:paraId="29B518DE"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Artículo 91.</w:t>
      </w:r>
      <w:r w:rsidRPr="004440D5">
        <w:rPr>
          <w:rFonts w:ascii="Palatino Linotype" w:hAnsi="Palatino Linotype"/>
          <w:i/>
          <w:iCs/>
          <w:sz w:val="22"/>
          <w:szCs w:val="22"/>
        </w:rPr>
        <w:t xml:space="preserve"> El acceso a la información pública será restringido excepcionalmente, cuando ésta sea clasificada como reservada o confidencial.</w:t>
      </w:r>
      <w:r w:rsidRPr="004440D5">
        <w:rPr>
          <w:rFonts w:ascii="Palatino Linotype" w:hAnsi="Palatino Linotype"/>
          <w:i/>
          <w:iCs/>
          <w:sz w:val="22"/>
          <w:szCs w:val="22"/>
        </w:rPr>
        <w:br/>
        <w:t>…</w:t>
      </w:r>
    </w:p>
    <w:p w14:paraId="2387C089"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Artículo 132.</w:t>
      </w:r>
      <w:r w:rsidRPr="004440D5">
        <w:rPr>
          <w:rFonts w:ascii="Palatino Linotype" w:hAnsi="Palatino Linotype"/>
          <w:i/>
          <w:iCs/>
          <w:sz w:val="22"/>
          <w:szCs w:val="22"/>
        </w:rPr>
        <w:t xml:space="preserve"> La clasificación de la información se llevará a cabo en el momento en que:</w:t>
      </w:r>
    </w:p>
    <w:p w14:paraId="29F210FA"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Se reciba una solicitud de acceso a la información;</w:t>
      </w:r>
    </w:p>
    <w:p w14:paraId="46820C0E"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xml:space="preserve"> Se determine mediante resolución de autoridad competente; o</w:t>
      </w:r>
    </w:p>
    <w:p w14:paraId="061548A3"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xml:space="preserve"> Se generen versiones públicas para dar cumplimiento a las obligaciones de transparencia previstas en esta Ley.</w:t>
      </w:r>
    </w:p>
    <w:p w14:paraId="799036A1"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w:t>
      </w:r>
    </w:p>
    <w:p w14:paraId="2C8CBF24"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Artículo 137.</w:t>
      </w:r>
      <w:r w:rsidRPr="004440D5">
        <w:rPr>
          <w:rFonts w:ascii="Palatino Linotype" w:hAnsi="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E8D9D46"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 Artículo 143.</w:t>
      </w:r>
      <w:r w:rsidRPr="004440D5">
        <w:rPr>
          <w:rFonts w:ascii="Palatino Linotype" w:hAnsi="Palatino Linotype"/>
          <w:i/>
          <w:iCs/>
          <w:sz w:val="22"/>
          <w:szCs w:val="22"/>
        </w:rPr>
        <w:t xml:space="preserve"> Para los efectos de esta Ley se considera información confidencial, la clasificada como tal, de manera permanente, por su naturaleza, cuando:</w:t>
      </w:r>
    </w:p>
    <w:p w14:paraId="09D74E11"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23DA882B" w14:textId="77777777" w:rsidR="005E1786" w:rsidRPr="004440D5" w:rsidRDefault="005E1786" w:rsidP="005E1786">
      <w:pPr>
        <w:pStyle w:val="NormalWeb"/>
        <w:spacing w:before="0" w:beforeAutospacing="0" w:after="0" w:afterAutospacing="0" w:line="360" w:lineRule="auto"/>
        <w:ind w:right="50"/>
        <w:jc w:val="both"/>
        <w:rPr>
          <w:rFonts w:ascii="Palatino Linotype" w:hAnsi="Palatino Linotype"/>
          <w:sz w:val="22"/>
          <w:szCs w:val="22"/>
        </w:rPr>
      </w:pPr>
    </w:p>
    <w:p w14:paraId="11A6909F" w14:textId="77777777" w:rsidR="005E1786" w:rsidRPr="004440D5" w:rsidRDefault="005E1786" w:rsidP="005E1786">
      <w:pPr>
        <w:pStyle w:val="NormalWeb"/>
        <w:spacing w:before="0" w:beforeAutospacing="0" w:after="0" w:afterAutospacing="0" w:line="360" w:lineRule="auto"/>
        <w:ind w:right="50"/>
        <w:jc w:val="both"/>
        <w:rPr>
          <w:rFonts w:ascii="Palatino Linotype" w:hAnsi="Palatino Linotype"/>
          <w:sz w:val="22"/>
          <w:szCs w:val="22"/>
        </w:rPr>
      </w:pPr>
      <w:r w:rsidRPr="004440D5">
        <w:rPr>
          <w:rFonts w:ascii="Palatino Linotype" w:hAnsi="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440D5">
        <w:rPr>
          <w:rFonts w:ascii="Palatino Linotype" w:hAnsi="Palatino Linotype"/>
          <w:bCs/>
          <w:sz w:val="22"/>
          <w:szCs w:val="22"/>
        </w:rPr>
        <w:t>Sujeto Obligado</w:t>
      </w:r>
      <w:r w:rsidRPr="004440D5">
        <w:rPr>
          <w:rFonts w:ascii="Palatino Linotype" w:hAnsi="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E06E3AD" w14:textId="77777777" w:rsidR="005E1786" w:rsidRPr="004440D5" w:rsidRDefault="005E1786" w:rsidP="005E1786">
      <w:pPr>
        <w:pStyle w:val="NormalWeb"/>
        <w:spacing w:before="0" w:beforeAutospacing="0" w:after="0" w:afterAutospacing="0" w:line="360" w:lineRule="auto"/>
        <w:ind w:right="50"/>
        <w:jc w:val="both"/>
        <w:rPr>
          <w:sz w:val="22"/>
          <w:szCs w:val="22"/>
        </w:rPr>
      </w:pPr>
    </w:p>
    <w:p w14:paraId="29593B5E" w14:textId="77777777" w:rsidR="005E1786" w:rsidRPr="004440D5" w:rsidRDefault="005E1786" w:rsidP="005E1786">
      <w:pPr>
        <w:pStyle w:val="NormalWeb"/>
        <w:spacing w:before="0" w:beforeAutospacing="0" w:after="0" w:afterAutospacing="0" w:line="360" w:lineRule="auto"/>
        <w:ind w:right="50"/>
        <w:jc w:val="both"/>
        <w:rPr>
          <w:sz w:val="22"/>
          <w:szCs w:val="22"/>
        </w:rPr>
      </w:pPr>
      <w:r w:rsidRPr="004440D5">
        <w:rPr>
          <w:rFonts w:ascii="Palatino Linotype" w:hAnsi="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F473E9E"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En el caso específico, la información que se ordena si bien tiene el carácter información pública en razón de que se trata de documentos que se encuentran en posesión del </w:t>
      </w:r>
      <w:r w:rsidRPr="004440D5">
        <w:rPr>
          <w:rFonts w:ascii="Palatino Linotype" w:hAnsi="Palatino Linotype"/>
          <w:b/>
          <w:bCs/>
          <w:sz w:val="22"/>
          <w:szCs w:val="22"/>
        </w:rPr>
        <w:t>Sujeto Obligado</w:t>
      </w:r>
      <w:r w:rsidRPr="004440D5">
        <w:rPr>
          <w:rFonts w:ascii="Palatino Linotype" w:hAnsi="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440D5">
        <w:rPr>
          <w:rFonts w:ascii="Palatino Linotype" w:hAnsi="Palatino Linotype"/>
          <w:b/>
          <w:bCs/>
          <w:sz w:val="22"/>
          <w:szCs w:val="22"/>
        </w:rPr>
        <w:t>Registro Federal de Contribuyentes</w:t>
      </w:r>
      <w:r w:rsidRPr="004440D5">
        <w:rPr>
          <w:rFonts w:ascii="Palatino Linotype" w:hAnsi="Palatino Linotype"/>
          <w:sz w:val="22"/>
          <w:szCs w:val="22"/>
        </w:rPr>
        <w:t xml:space="preserve"> (RFC), la </w:t>
      </w:r>
      <w:r w:rsidRPr="004440D5">
        <w:rPr>
          <w:rFonts w:ascii="Palatino Linotype" w:hAnsi="Palatino Linotype"/>
          <w:b/>
          <w:bCs/>
          <w:sz w:val="22"/>
          <w:szCs w:val="22"/>
        </w:rPr>
        <w:t>Clave Única de Registro de Población</w:t>
      </w:r>
      <w:r w:rsidRPr="004440D5">
        <w:rPr>
          <w:rFonts w:ascii="Palatino Linotype" w:hAnsi="Palatino Linotype"/>
          <w:sz w:val="22"/>
          <w:szCs w:val="22"/>
        </w:rPr>
        <w:t xml:space="preserve"> (CURP), la </w:t>
      </w:r>
      <w:r w:rsidRPr="004440D5">
        <w:rPr>
          <w:rFonts w:ascii="Palatino Linotype" w:hAnsi="Palatino Linotype"/>
          <w:b/>
          <w:bCs/>
          <w:sz w:val="22"/>
          <w:szCs w:val="22"/>
        </w:rPr>
        <w:t>Clave de cualquier tipo de seguridad social</w:t>
      </w:r>
      <w:r w:rsidRPr="004440D5">
        <w:rPr>
          <w:rFonts w:ascii="Palatino Linotype" w:hAnsi="Palatino Linotype"/>
          <w:sz w:val="22"/>
          <w:szCs w:val="22"/>
        </w:rPr>
        <w:t xml:space="preserve"> (ISSEMYM, u otros), los </w:t>
      </w:r>
      <w:r w:rsidRPr="004440D5">
        <w:rPr>
          <w:rFonts w:ascii="Palatino Linotype" w:hAnsi="Palatino Linotype"/>
          <w:b/>
          <w:bCs/>
          <w:sz w:val="22"/>
          <w:szCs w:val="22"/>
        </w:rPr>
        <w:t>números de cuentas bancarias</w:t>
      </w:r>
      <w:r w:rsidRPr="004440D5">
        <w:rPr>
          <w:rFonts w:ascii="Palatino Linotype" w:hAnsi="Palatino Linotype"/>
          <w:sz w:val="22"/>
          <w:szCs w:val="22"/>
        </w:rPr>
        <w:t xml:space="preserve">, claves estandarizadas – interbancarias - (CLABES) y de tarjetas, los </w:t>
      </w:r>
      <w:r w:rsidRPr="004440D5">
        <w:rPr>
          <w:rFonts w:ascii="Palatino Linotype" w:hAnsi="Palatino Linotype"/>
          <w:b/>
          <w:bCs/>
          <w:sz w:val="22"/>
          <w:szCs w:val="22"/>
        </w:rPr>
        <w:t>préstamos o descuentos</w:t>
      </w:r>
      <w:r w:rsidRPr="004440D5">
        <w:rPr>
          <w:rFonts w:ascii="Palatino Linotype" w:hAnsi="Palatino Linotype"/>
          <w:sz w:val="22"/>
          <w:szCs w:val="22"/>
        </w:rPr>
        <w:t xml:space="preserve"> que se le hagan a la persona y que no tengan relación con los impuestos o la cuota por seguridad social, el</w:t>
      </w:r>
      <w:r w:rsidRPr="004440D5">
        <w:rPr>
          <w:rFonts w:ascii="Palatino Linotype" w:hAnsi="Palatino Linotype"/>
          <w:b/>
          <w:bCs/>
          <w:sz w:val="22"/>
          <w:szCs w:val="22"/>
        </w:rPr>
        <w:t xml:space="preserve"> número de empleado, </w:t>
      </w:r>
      <w:r w:rsidRPr="004440D5">
        <w:rPr>
          <w:rFonts w:ascii="Palatino Linotype" w:hAnsi="Palatino Linotype"/>
          <w:sz w:val="22"/>
          <w:szCs w:val="22"/>
        </w:rPr>
        <w:t>y cualquier información de carácter fiscal.</w:t>
      </w:r>
    </w:p>
    <w:p w14:paraId="4B3A1973" w14:textId="77777777" w:rsidR="005E1786" w:rsidRPr="004440D5" w:rsidRDefault="005E1786" w:rsidP="005E1786">
      <w:pPr>
        <w:pStyle w:val="NormalWeb"/>
        <w:spacing w:before="0" w:beforeAutospacing="0" w:after="0" w:afterAutospacing="0" w:line="360" w:lineRule="auto"/>
        <w:jc w:val="both"/>
        <w:rPr>
          <w:sz w:val="22"/>
          <w:szCs w:val="22"/>
        </w:rPr>
      </w:pPr>
    </w:p>
    <w:p w14:paraId="0EEF39C1" w14:textId="77777777" w:rsidR="005E1786" w:rsidRPr="004440D5" w:rsidRDefault="005E1786" w:rsidP="005E1786">
      <w:pPr>
        <w:pStyle w:val="NormalWeb"/>
        <w:spacing w:before="0" w:beforeAutospacing="0" w:after="0" w:afterAutospacing="0" w:line="360" w:lineRule="auto"/>
        <w:ind w:right="50"/>
        <w:jc w:val="both"/>
        <w:rPr>
          <w:sz w:val="22"/>
          <w:szCs w:val="22"/>
        </w:rPr>
      </w:pPr>
      <w:r w:rsidRPr="004440D5">
        <w:rPr>
          <w:rFonts w:ascii="Palatino Linotype" w:hAnsi="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A8766F3"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Por cuanto hace al </w:t>
      </w:r>
      <w:r w:rsidRPr="004440D5">
        <w:rPr>
          <w:rFonts w:ascii="Palatino Linotype" w:hAnsi="Palatino Linotype"/>
          <w:b/>
          <w:bCs/>
          <w:sz w:val="22"/>
          <w:szCs w:val="22"/>
        </w:rPr>
        <w:t>Registro Federal de Contribuyentes, RFC,</w:t>
      </w:r>
      <w:r w:rsidRPr="004440D5">
        <w:rPr>
          <w:rFonts w:ascii="Palatino Linotype" w:hAnsi="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78536D9" w14:textId="77777777" w:rsidR="005E1786" w:rsidRPr="004440D5" w:rsidRDefault="005E1786" w:rsidP="005E1786">
      <w:pPr>
        <w:pStyle w:val="NormalWeb"/>
        <w:spacing w:before="0" w:beforeAutospacing="0" w:after="0" w:afterAutospacing="0" w:line="360" w:lineRule="auto"/>
        <w:jc w:val="both"/>
        <w:rPr>
          <w:sz w:val="22"/>
          <w:szCs w:val="22"/>
        </w:rPr>
      </w:pPr>
    </w:p>
    <w:p w14:paraId="1C95C9A6"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9659C3A"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0A273C62" w14:textId="77777777" w:rsidR="005E1786" w:rsidRPr="004440D5" w:rsidRDefault="005E1786" w:rsidP="005E1786">
      <w:pPr>
        <w:pStyle w:val="NormalWeb"/>
        <w:spacing w:before="0" w:beforeAutospacing="0" w:after="0" w:afterAutospacing="0" w:line="360" w:lineRule="auto"/>
        <w:jc w:val="both"/>
        <w:rPr>
          <w:sz w:val="22"/>
          <w:szCs w:val="22"/>
        </w:rPr>
      </w:pPr>
    </w:p>
    <w:p w14:paraId="1E4430E1" w14:textId="77777777" w:rsidR="005E1786" w:rsidRPr="004440D5" w:rsidRDefault="005E1786" w:rsidP="005E1786">
      <w:pPr>
        <w:pStyle w:val="NormalWeb"/>
        <w:spacing w:before="0" w:beforeAutospacing="0" w:after="0" w:afterAutospacing="0"/>
        <w:ind w:left="851" w:right="902"/>
        <w:jc w:val="both"/>
        <w:rPr>
          <w:sz w:val="22"/>
          <w:szCs w:val="22"/>
        </w:rPr>
      </w:pPr>
      <w:r w:rsidRPr="004440D5">
        <w:rPr>
          <w:rFonts w:ascii="Palatino Linotype" w:hAnsi="Palatino Linotype"/>
          <w:b/>
          <w:bCs/>
          <w:i/>
          <w:iCs/>
          <w:sz w:val="22"/>
          <w:szCs w:val="22"/>
        </w:rPr>
        <w:t> “Registro Federal de Contribuyentes (RFC) de personas físicas</w:t>
      </w:r>
      <w:r w:rsidRPr="004440D5">
        <w:rPr>
          <w:rFonts w:ascii="Palatino Linotype" w:hAnsi="Palatino Linotype"/>
          <w:i/>
          <w:iCs/>
          <w:sz w:val="22"/>
          <w:szCs w:val="22"/>
        </w:rPr>
        <w:t>. El RFC es una clave de carácter fiscal, única e irrepetible, que permite identificar al titular, su edad y fecha de nacimiento, por lo que es un dato personal de carácter confidencial.”</w:t>
      </w:r>
    </w:p>
    <w:p w14:paraId="3913E0D6"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4AA534F4"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EED4BDC" w14:textId="77777777" w:rsidR="005E1786" w:rsidRPr="004440D5" w:rsidRDefault="005E1786" w:rsidP="005E1786">
      <w:pPr>
        <w:pStyle w:val="NormalWeb"/>
        <w:spacing w:before="0" w:beforeAutospacing="0" w:after="0" w:afterAutospacing="0" w:line="360" w:lineRule="auto"/>
        <w:jc w:val="both"/>
        <w:rPr>
          <w:sz w:val="22"/>
          <w:szCs w:val="22"/>
        </w:rPr>
      </w:pPr>
    </w:p>
    <w:p w14:paraId="3083FAE2"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De igual manera la </w:t>
      </w:r>
      <w:r w:rsidRPr="004440D5">
        <w:rPr>
          <w:rFonts w:ascii="Palatino Linotype" w:hAnsi="Palatino Linotype"/>
          <w:b/>
          <w:bCs/>
          <w:sz w:val="22"/>
          <w:szCs w:val="22"/>
        </w:rPr>
        <w:t>Clave Única de Registro de Población</w:t>
      </w:r>
      <w:r w:rsidRPr="004440D5">
        <w:rPr>
          <w:rFonts w:ascii="Palatino Linotype" w:hAnsi="Palatino Linotype"/>
          <w:sz w:val="22"/>
          <w:szCs w:val="22"/>
        </w:rPr>
        <w:t xml:space="preserve">, </w:t>
      </w:r>
      <w:r w:rsidRPr="004440D5">
        <w:rPr>
          <w:rFonts w:ascii="Palatino Linotype" w:hAnsi="Palatino Linotype"/>
          <w:b/>
          <w:bCs/>
          <w:sz w:val="22"/>
          <w:szCs w:val="22"/>
        </w:rPr>
        <w:t>CURP,</w:t>
      </w:r>
      <w:r w:rsidRPr="004440D5">
        <w:rPr>
          <w:rFonts w:ascii="Palatino Linotype" w:hAnsi="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23C8046" w14:textId="77777777" w:rsidR="005E1786" w:rsidRPr="004440D5" w:rsidRDefault="005E1786" w:rsidP="005E1786">
      <w:pPr>
        <w:pStyle w:val="NormalWeb"/>
        <w:spacing w:before="0" w:beforeAutospacing="0" w:after="0" w:afterAutospacing="0" w:line="360" w:lineRule="auto"/>
        <w:jc w:val="both"/>
        <w:rPr>
          <w:sz w:val="22"/>
          <w:szCs w:val="22"/>
        </w:rPr>
      </w:pPr>
    </w:p>
    <w:p w14:paraId="7611E4E7"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Argumento que se apoya del criterio orientador con Clave de control SO/018/2017, emitido por el entonces Instituto Nacional de Transparencia, Acceso a la Información y Protección de Datos Personales, INAI, el cual refiere:</w:t>
      </w:r>
    </w:p>
    <w:p w14:paraId="27876C34" w14:textId="77777777" w:rsidR="005E1786" w:rsidRPr="004440D5" w:rsidRDefault="005E1786" w:rsidP="005E1786">
      <w:pPr>
        <w:pStyle w:val="NormalWeb"/>
        <w:spacing w:before="0" w:beforeAutospacing="0" w:after="0" w:afterAutospacing="0" w:line="360" w:lineRule="auto"/>
        <w:jc w:val="both"/>
        <w:rPr>
          <w:sz w:val="22"/>
          <w:szCs w:val="22"/>
        </w:rPr>
      </w:pPr>
    </w:p>
    <w:p w14:paraId="114ECB27" w14:textId="77777777" w:rsidR="005E1786" w:rsidRPr="004440D5" w:rsidRDefault="005E1786" w:rsidP="005E1786">
      <w:pPr>
        <w:pStyle w:val="NormalWeb"/>
        <w:spacing w:before="0" w:beforeAutospacing="0" w:after="0" w:afterAutospacing="0" w:line="276" w:lineRule="auto"/>
        <w:ind w:left="851" w:right="902"/>
        <w:jc w:val="both"/>
        <w:rPr>
          <w:sz w:val="22"/>
          <w:szCs w:val="22"/>
        </w:rPr>
      </w:pPr>
      <w:r w:rsidRPr="004440D5">
        <w:rPr>
          <w:rFonts w:ascii="Palatino Linotype" w:hAnsi="Palatino Linotype"/>
          <w:b/>
          <w:bCs/>
          <w:i/>
          <w:iCs/>
          <w:sz w:val="22"/>
          <w:szCs w:val="22"/>
        </w:rPr>
        <w:t xml:space="preserve"> “Clave Única de Registro de Población (CURP). </w:t>
      </w:r>
      <w:r w:rsidRPr="004440D5">
        <w:rPr>
          <w:rFonts w:ascii="Palatino Linotype"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6D45CDB"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6BFAEE2F"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 xml:space="preserve">Por lo que respecta a la </w:t>
      </w:r>
      <w:r w:rsidRPr="004440D5">
        <w:rPr>
          <w:rFonts w:ascii="Palatino Linotype" w:hAnsi="Palatino Linotype"/>
          <w:b/>
          <w:bCs/>
          <w:sz w:val="22"/>
          <w:szCs w:val="22"/>
        </w:rPr>
        <w:t>clave de seguridad social</w:t>
      </w:r>
      <w:r w:rsidRPr="004440D5">
        <w:rPr>
          <w:rFonts w:ascii="Palatino Linotype" w:hAnsi="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14907CDC"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 xml:space="preserve">Respecto de los </w:t>
      </w:r>
      <w:r w:rsidRPr="004440D5">
        <w:rPr>
          <w:rFonts w:ascii="Palatino Linotype" w:hAnsi="Palatino Linotype"/>
          <w:b/>
          <w:bCs/>
          <w:sz w:val="22"/>
          <w:szCs w:val="22"/>
        </w:rPr>
        <w:t>números de cuentas bancari</w:t>
      </w:r>
      <w:r w:rsidRPr="004440D5">
        <w:rPr>
          <w:rFonts w:ascii="Palatino Linotype" w:hAnsi="Palatino Linotype"/>
          <w:sz w:val="22"/>
          <w:szCs w:val="22"/>
        </w:rPr>
        <w:t xml:space="preserve">as, </w:t>
      </w:r>
      <w:r w:rsidRPr="004440D5">
        <w:rPr>
          <w:rFonts w:ascii="Palatino Linotype" w:hAnsi="Palatino Linotype"/>
          <w:b/>
          <w:bCs/>
          <w:sz w:val="22"/>
          <w:szCs w:val="22"/>
        </w:rPr>
        <w:t>claves estandarizadas –interbancarias- (CLABES) y de tarjetas</w:t>
      </w:r>
      <w:r w:rsidRPr="004440D5">
        <w:rPr>
          <w:rFonts w:ascii="Palatino Linotype" w:hAnsi="Palatino Linotype"/>
          <w:sz w:val="22"/>
          <w:szCs w:val="22"/>
        </w:rPr>
        <w:t>, el Pleno de este Instituto ha determinado que esa información debe clasificarse como confidencial, y elaborarse una versión pública en la que se teste la misma.</w:t>
      </w:r>
    </w:p>
    <w:p w14:paraId="0612BA19"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77A1113" w14:textId="77777777" w:rsidR="005E1786" w:rsidRPr="004440D5" w:rsidRDefault="005E1786" w:rsidP="005E1786">
      <w:pPr>
        <w:pStyle w:val="NormalWeb"/>
        <w:spacing w:before="0" w:beforeAutospacing="0" w:after="0" w:afterAutospacing="0" w:line="360" w:lineRule="auto"/>
        <w:jc w:val="both"/>
        <w:rPr>
          <w:sz w:val="22"/>
          <w:szCs w:val="22"/>
        </w:rPr>
      </w:pPr>
    </w:p>
    <w:p w14:paraId="40EDBE06"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7B9FC7E3" w14:textId="77777777" w:rsidR="005E1786" w:rsidRPr="004440D5" w:rsidRDefault="005E1786" w:rsidP="005E1786">
      <w:pPr>
        <w:pStyle w:val="NormalWeb"/>
        <w:spacing w:before="0" w:beforeAutospacing="0" w:after="0" w:afterAutospacing="0" w:line="360" w:lineRule="auto"/>
        <w:jc w:val="both"/>
        <w:rPr>
          <w:sz w:val="22"/>
          <w:szCs w:val="22"/>
        </w:rPr>
      </w:pPr>
    </w:p>
    <w:p w14:paraId="3BC45C41"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En esa virtud, este Pleno determina que dicha información no puede ser del dominio público, toda vez que se podría dar un uso inadecuado a la misma o cometer algún ilícito o fraude como ya ha sido expuesto. </w:t>
      </w:r>
    </w:p>
    <w:p w14:paraId="77140F23" w14:textId="77777777" w:rsidR="005E1786" w:rsidRPr="004440D5" w:rsidRDefault="005E1786" w:rsidP="005E1786">
      <w:pPr>
        <w:pStyle w:val="NormalWeb"/>
        <w:spacing w:before="0" w:beforeAutospacing="0" w:after="0" w:afterAutospacing="0" w:line="360" w:lineRule="auto"/>
        <w:jc w:val="both"/>
        <w:rPr>
          <w:sz w:val="22"/>
          <w:szCs w:val="22"/>
        </w:rPr>
      </w:pPr>
    </w:p>
    <w:p w14:paraId="5795B6A3"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58C6E0C" w14:textId="77777777" w:rsidR="005E1786" w:rsidRPr="004440D5" w:rsidRDefault="005E1786" w:rsidP="005E1786">
      <w:pPr>
        <w:pStyle w:val="NormalWeb"/>
        <w:spacing w:before="0" w:beforeAutospacing="0" w:after="0" w:afterAutospacing="0" w:line="360" w:lineRule="auto"/>
        <w:jc w:val="both"/>
        <w:rPr>
          <w:sz w:val="22"/>
          <w:szCs w:val="22"/>
        </w:rPr>
      </w:pPr>
    </w:p>
    <w:p w14:paraId="17668C3E"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541EDDBF" w14:textId="77777777" w:rsidR="005E1786" w:rsidRPr="004440D5" w:rsidRDefault="005E1786" w:rsidP="005E1786">
      <w:pPr>
        <w:pStyle w:val="NormalWeb"/>
        <w:spacing w:before="0" w:beforeAutospacing="0" w:after="0" w:afterAutospacing="0"/>
        <w:ind w:left="851" w:right="902"/>
        <w:jc w:val="both"/>
        <w:rPr>
          <w:sz w:val="22"/>
          <w:szCs w:val="22"/>
        </w:rPr>
      </w:pPr>
      <w:r w:rsidRPr="004440D5">
        <w:rPr>
          <w:rFonts w:ascii="Palatino Linotype" w:hAnsi="Palatino Linotype"/>
          <w:i/>
          <w:iCs/>
          <w:sz w:val="22"/>
          <w:szCs w:val="22"/>
        </w:rPr>
        <w:t>“</w:t>
      </w:r>
      <w:r w:rsidRPr="004440D5">
        <w:rPr>
          <w:rFonts w:ascii="Palatino Linotype" w:hAnsi="Palatino Linotype"/>
          <w:b/>
          <w:bCs/>
          <w:i/>
          <w:iCs/>
          <w:sz w:val="22"/>
          <w:szCs w:val="22"/>
        </w:rPr>
        <w:t>Cuentas bancarias y/o CLABE interbancaria de personas físicas y morales privadas.</w:t>
      </w:r>
      <w:r w:rsidRPr="004440D5">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F2DBD35" w14:textId="77777777" w:rsidR="005E1786" w:rsidRPr="004440D5" w:rsidRDefault="005E1786" w:rsidP="005E1786">
      <w:pPr>
        <w:pStyle w:val="NormalWeb"/>
        <w:spacing w:before="0" w:beforeAutospacing="0" w:after="0" w:afterAutospacing="0"/>
        <w:ind w:left="851" w:right="902"/>
        <w:jc w:val="both"/>
        <w:rPr>
          <w:sz w:val="22"/>
          <w:szCs w:val="22"/>
        </w:rPr>
      </w:pPr>
      <w:r w:rsidRPr="004440D5">
        <w:rPr>
          <w:rFonts w:ascii="Palatino Linotype" w:hAnsi="Palatino Linotype"/>
          <w:b/>
          <w:bCs/>
          <w:i/>
          <w:iCs/>
          <w:sz w:val="22"/>
          <w:szCs w:val="22"/>
        </w:rPr>
        <w:t>“Cuentas bancarias y/o CLABE interbancaria de sujetos obligados que reciben y/o transfieren recursos públicos, son información pública.</w:t>
      </w:r>
      <w:r w:rsidRPr="004440D5">
        <w:rPr>
          <w:rFonts w:ascii="Palatino Linotype" w:hAnsi="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8C06568"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67FF27BD"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Por cuanto hace a los </w:t>
      </w:r>
      <w:r w:rsidRPr="004440D5">
        <w:rPr>
          <w:rFonts w:ascii="Palatino Linotype" w:hAnsi="Palatino Linotype"/>
          <w:b/>
          <w:bCs/>
          <w:sz w:val="22"/>
          <w:szCs w:val="22"/>
        </w:rPr>
        <w:t>préstamos o descuentos de carácter personal</w:t>
      </w:r>
      <w:r w:rsidRPr="004440D5">
        <w:rPr>
          <w:rFonts w:ascii="Palatino Linotype" w:hAnsi="Palatino Linotype"/>
          <w:sz w:val="22"/>
          <w:szCs w:val="22"/>
        </w:rPr>
        <w:t>, en virtud de no tener relación con la prestación del servicio y al no involucrar instituciones públicas, se consideran datos confidenciales.</w:t>
      </w:r>
    </w:p>
    <w:p w14:paraId="42A45926" w14:textId="77777777" w:rsidR="005E1786" w:rsidRPr="004440D5" w:rsidRDefault="005E1786" w:rsidP="005E1786">
      <w:pPr>
        <w:pStyle w:val="NormalWeb"/>
        <w:spacing w:before="0" w:beforeAutospacing="0" w:after="0" w:afterAutospacing="0" w:line="360" w:lineRule="auto"/>
        <w:jc w:val="both"/>
        <w:rPr>
          <w:sz w:val="22"/>
          <w:szCs w:val="22"/>
        </w:rPr>
      </w:pPr>
    </w:p>
    <w:p w14:paraId="35FCD854"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Para entender los límites y alcances de esta restricción, es oportuno recurrir al artículo 84 de la Ley del Trabajo de los Servidores Públicos del Estado y Municipios:</w:t>
      </w:r>
    </w:p>
    <w:p w14:paraId="4003D9F8" w14:textId="77777777" w:rsidR="005E1786" w:rsidRPr="004440D5" w:rsidRDefault="005E1786" w:rsidP="005E1786">
      <w:pPr>
        <w:pStyle w:val="NormalWeb"/>
        <w:spacing w:before="0" w:beforeAutospacing="0" w:after="0" w:afterAutospacing="0" w:line="360" w:lineRule="auto"/>
        <w:jc w:val="both"/>
        <w:rPr>
          <w:sz w:val="22"/>
          <w:szCs w:val="22"/>
        </w:rPr>
      </w:pPr>
    </w:p>
    <w:p w14:paraId="6ECDD58F"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 xml:space="preserve">“ARTÍCULO 84. </w:t>
      </w:r>
      <w:r w:rsidRPr="004440D5">
        <w:rPr>
          <w:rFonts w:ascii="Palatino Linotype" w:hAnsi="Palatino Linotype"/>
          <w:i/>
          <w:iCs/>
          <w:sz w:val="22"/>
          <w:szCs w:val="22"/>
        </w:rPr>
        <w:t>Sólo podrán hacerse retenciones, descuentos o deducciones al sueldo de los servidores públicos por concepto de:</w:t>
      </w:r>
    </w:p>
    <w:p w14:paraId="6986C050"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xml:space="preserve"> Gravámenes fiscales relacionados con el sueldo;</w:t>
      </w:r>
    </w:p>
    <w:p w14:paraId="718CB685"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xml:space="preserve"> Deudas contraídas con las instituciones públicas o dependencias por concepto de anticipos de sueldo, pagos hechos con exceso, errores o pérdidas debidamente comprobados;</w:t>
      </w:r>
    </w:p>
    <w:p w14:paraId="3E42F704"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xml:space="preserve"> </w:t>
      </w:r>
      <w:r w:rsidRPr="004440D5">
        <w:rPr>
          <w:rFonts w:ascii="Palatino Linotype" w:hAnsi="Palatino Linotype"/>
          <w:b/>
          <w:bCs/>
          <w:i/>
          <w:iCs/>
          <w:sz w:val="22"/>
          <w:szCs w:val="22"/>
        </w:rPr>
        <w:t>Cuotas sindicales</w:t>
      </w:r>
      <w:r w:rsidRPr="004440D5">
        <w:rPr>
          <w:rFonts w:ascii="Palatino Linotype" w:hAnsi="Palatino Linotype"/>
          <w:i/>
          <w:iCs/>
          <w:sz w:val="22"/>
          <w:szCs w:val="22"/>
        </w:rPr>
        <w:t>;</w:t>
      </w:r>
    </w:p>
    <w:p w14:paraId="2A0B211B"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IV.</w:t>
      </w:r>
      <w:r w:rsidRPr="004440D5">
        <w:rPr>
          <w:rFonts w:ascii="Palatino Linotype" w:hAnsi="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0801DBAF"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V.</w:t>
      </w:r>
      <w:r w:rsidRPr="004440D5">
        <w:rPr>
          <w:rFonts w:ascii="Palatino Linotype" w:hAnsi="Palatino Linotype"/>
          <w:i/>
          <w:iCs/>
          <w:sz w:val="22"/>
          <w:szCs w:val="22"/>
        </w:rPr>
        <w:t xml:space="preserve"> Descuentos ordenados por el Instituto de Seguridad Social del Estado de México y Municipios, con motivo de cuotas y obligaciones contraídas con éste por los servidores públicos;</w:t>
      </w:r>
    </w:p>
    <w:p w14:paraId="4A557801"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VI.</w:t>
      </w:r>
      <w:r w:rsidRPr="004440D5">
        <w:rPr>
          <w:rFonts w:ascii="Palatino Linotype" w:hAnsi="Palatino Linotype"/>
          <w:i/>
          <w:iCs/>
          <w:sz w:val="22"/>
          <w:szCs w:val="22"/>
        </w:rPr>
        <w:t xml:space="preserve"> Obligaciones a cargo del servidor público con las que haya consentido, derivadas de la adquisición o del uso de habitaciones consideradas como de interés social;</w:t>
      </w:r>
    </w:p>
    <w:p w14:paraId="4BE99761"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VII.</w:t>
      </w:r>
      <w:r w:rsidRPr="004440D5">
        <w:rPr>
          <w:rFonts w:ascii="Palatino Linotype" w:hAnsi="Palatino Linotype"/>
          <w:i/>
          <w:iCs/>
          <w:sz w:val="22"/>
          <w:szCs w:val="22"/>
        </w:rPr>
        <w:t xml:space="preserve"> Faltas de puntualidad o de asistencia injustificadas;</w:t>
      </w:r>
    </w:p>
    <w:p w14:paraId="5B6135FC"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VIII. Pensiones alimenticias ordenadas por la autoridad judicial;</w:t>
      </w:r>
      <w:r w:rsidRPr="004440D5">
        <w:rPr>
          <w:rFonts w:ascii="Palatino Linotype" w:hAnsi="Palatino Linotype"/>
          <w:i/>
          <w:iCs/>
          <w:sz w:val="22"/>
          <w:szCs w:val="22"/>
        </w:rPr>
        <w:t xml:space="preserve"> o</w:t>
      </w:r>
    </w:p>
    <w:p w14:paraId="3B60E4E8"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IX. Cualquier otro convenido con instituciones de servicios y aceptado por el servidor público.</w:t>
      </w:r>
    </w:p>
    <w:p w14:paraId="0F3A6263"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i/>
          <w:iCs/>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DDD3C17"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3B572D2D"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Como se puede observar, el precepto citado establece claramente cuáles son esos descuentos o gravámenes que directamente se relacionan con las obligaciones adquiridas como servidores públicos y aquéllos que únicamente inciden en su vida privada. </w:t>
      </w:r>
    </w:p>
    <w:p w14:paraId="1A6CE3A1" w14:textId="77777777" w:rsidR="005E1786" w:rsidRPr="004440D5" w:rsidRDefault="005E1786" w:rsidP="005E1786">
      <w:pPr>
        <w:pStyle w:val="NormalWeb"/>
        <w:spacing w:before="0" w:beforeAutospacing="0" w:after="0" w:afterAutospacing="0" w:line="360" w:lineRule="auto"/>
        <w:jc w:val="both"/>
        <w:rPr>
          <w:sz w:val="22"/>
          <w:szCs w:val="22"/>
        </w:rPr>
      </w:pPr>
    </w:p>
    <w:p w14:paraId="5E654784"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De este modo, los </w:t>
      </w:r>
      <w:r w:rsidRPr="004440D5">
        <w:rPr>
          <w:rFonts w:ascii="Palatino Linotype" w:hAnsi="Palatino Linotype"/>
          <w:b/>
          <w:bCs/>
          <w:sz w:val="22"/>
          <w:szCs w:val="22"/>
        </w:rPr>
        <w:t>descuentos o deducciones por cuotas sindicales</w:t>
      </w:r>
      <w:r w:rsidRPr="004440D5">
        <w:rPr>
          <w:rFonts w:ascii="Palatino Linotype" w:hAnsi="Palatino Linotype"/>
          <w:sz w:val="22"/>
          <w:szCs w:val="22"/>
        </w:rPr>
        <w:t xml:space="preserve">, </w:t>
      </w:r>
      <w:r w:rsidRPr="004440D5">
        <w:rPr>
          <w:rFonts w:ascii="Palatino Linotype" w:hAnsi="Palatino Linotype"/>
          <w:b/>
          <w:bCs/>
          <w:sz w:val="22"/>
          <w:szCs w:val="22"/>
        </w:rPr>
        <w:t>pensiones alimenticias</w:t>
      </w:r>
      <w:r w:rsidRPr="004440D5">
        <w:rPr>
          <w:rFonts w:ascii="Palatino Linotype" w:hAnsi="Palatino Linotype"/>
          <w:sz w:val="22"/>
          <w:szCs w:val="22"/>
        </w:rPr>
        <w:t xml:space="preserve"> o </w:t>
      </w:r>
      <w:r w:rsidRPr="004440D5">
        <w:rPr>
          <w:rFonts w:ascii="Palatino Linotype" w:hAnsi="Palatino Linotype"/>
          <w:b/>
          <w:bCs/>
          <w:sz w:val="22"/>
          <w:szCs w:val="22"/>
        </w:rPr>
        <w:t>créditos adquiridos con instituciones privadas</w:t>
      </w:r>
      <w:r w:rsidRPr="004440D5">
        <w:rPr>
          <w:rFonts w:ascii="Palatino Linotype" w:hAnsi="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4440D5">
        <w:rPr>
          <w:rFonts w:ascii="Palatino Linotype" w:hAnsi="Palatino Linotype"/>
          <w:b/>
          <w:bCs/>
          <w:sz w:val="22"/>
          <w:szCs w:val="22"/>
        </w:rPr>
        <w:t>es información que no es de carácter público, sino que constituye información confidencial</w:t>
      </w:r>
      <w:r w:rsidRPr="004440D5">
        <w:rPr>
          <w:rFonts w:ascii="Palatino Linotype" w:hAnsi="Palatino Linotype"/>
          <w:sz w:val="22"/>
          <w:szCs w:val="22"/>
        </w:rPr>
        <w:t xml:space="preserve"> en virtud de que corresponde con decisiones personales, y por tanto, se debe clasificar.</w:t>
      </w:r>
    </w:p>
    <w:p w14:paraId="6E757D59"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2C56BCD7"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1697412D" w14:textId="77777777" w:rsidR="005E1786" w:rsidRPr="004440D5" w:rsidRDefault="005E1786" w:rsidP="005E1786">
      <w:pPr>
        <w:pStyle w:val="NormalWeb"/>
        <w:spacing w:before="0" w:beforeAutospacing="0" w:after="0" w:afterAutospacing="0" w:line="360" w:lineRule="auto"/>
        <w:jc w:val="both"/>
        <w:rPr>
          <w:sz w:val="22"/>
          <w:szCs w:val="22"/>
        </w:rPr>
      </w:pPr>
    </w:p>
    <w:p w14:paraId="43AC103F"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3AF823DE" w14:textId="77777777" w:rsidR="005E1786" w:rsidRPr="004440D5" w:rsidRDefault="005E1786" w:rsidP="005E1786">
      <w:pPr>
        <w:pStyle w:val="NormalWeb"/>
        <w:spacing w:before="0" w:beforeAutospacing="0" w:after="0" w:afterAutospacing="0" w:line="360" w:lineRule="auto"/>
        <w:jc w:val="both"/>
        <w:rPr>
          <w:sz w:val="22"/>
          <w:szCs w:val="22"/>
        </w:rPr>
      </w:pPr>
    </w:p>
    <w:p w14:paraId="5C84D377"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Con relación al </w:t>
      </w:r>
      <w:r w:rsidRPr="004440D5">
        <w:rPr>
          <w:rFonts w:ascii="Palatino Linotype" w:hAnsi="Palatino Linotype"/>
          <w:b/>
          <w:bCs/>
          <w:sz w:val="22"/>
          <w:szCs w:val="22"/>
        </w:rPr>
        <w:t>número de empleado</w:t>
      </w:r>
      <w:r w:rsidRPr="004440D5">
        <w:rPr>
          <w:rFonts w:ascii="Palatino Linotype" w:hAnsi="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6EB15192" w14:textId="77777777" w:rsidR="005E1786" w:rsidRPr="004440D5" w:rsidRDefault="005E1786" w:rsidP="005E1786">
      <w:pPr>
        <w:pStyle w:val="NormalWeb"/>
        <w:spacing w:before="0" w:beforeAutospacing="0" w:after="0" w:afterAutospacing="0" w:line="360" w:lineRule="auto"/>
        <w:jc w:val="both"/>
        <w:rPr>
          <w:sz w:val="22"/>
          <w:szCs w:val="22"/>
        </w:rPr>
      </w:pPr>
    </w:p>
    <w:p w14:paraId="239349F9"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648999B7" w14:textId="77777777" w:rsidR="005E1786" w:rsidRPr="004440D5" w:rsidRDefault="005E1786" w:rsidP="005E1786">
      <w:pPr>
        <w:pStyle w:val="NormalWeb"/>
        <w:spacing w:before="0" w:beforeAutospacing="0" w:after="0" w:afterAutospacing="0" w:line="360" w:lineRule="auto"/>
        <w:jc w:val="both"/>
        <w:rPr>
          <w:sz w:val="22"/>
          <w:szCs w:val="22"/>
        </w:rPr>
      </w:pPr>
    </w:p>
    <w:p w14:paraId="0DDAED88" w14:textId="77777777" w:rsidR="005E1786" w:rsidRPr="004440D5" w:rsidRDefault="005E1786" w:rsidP="005E1786">
      <w:pPr>
        <w:pStyle w:val="NormalWeb"/>
        <w:spacing w:before="0" w:beforeAutospacing="0" w:after="0" w:afterAutospacing="0"/>
        <w:ind w:left="567" w:right="709"/>
        <w:jc w:val="both"/>
        <w:rPr>
          <w:rFonts w:ascii="Palatino Linotype" w:hAnsi="Palatino Linotype"/>
          <w:i/>
          <w:iCs/>
          <w:sz w:val="22"/>
          <w:szCs w:val="22"/>
        </w:rPr>
      </w:pPr>
      <w:r w:rsidRPr="004440D5">
        <w:rPr>
          <w:rFonts w:ascii="Palatino Linotype" w:hAnsi="Palatino Linotype"/>
          <w:b/>
          <w:bCs/>
          <w:i/>
          <w:iCs/>
          <w:sz w:val="22"/>
          <w:szCs w:val="22"/>
        </w:rPr>
        <w:t xml:space="preserve">“Número de empleado. </w:t>
      </w:r>
      <w:r w:rsidRPr="004440D5">
        <w:rPr>
          <w:rFonts w:ascii="Palatino Linotype" w:hAnsi="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2D72B09" w14:textId="77777777" w:rsidR="005E1786" w:rsidRPr="004440D5" w:rsidRDefault="005E1786" w:rsidP="005E1786">
      <w:pPr>
        <w:pStyle w:val="NormalWeb"/>
        <w:spacing w:before="0" w:beforeAutospacing="0" w:after="0" w:afterAutospacing="0"/>
        <w:ind w:left="992" w:right="992"/>
        <w:jc w:val="both"/>
        <w:rPr>
          <w:sz w:val="22"/>
          <w:szCs w:val="22"/>
        </w:rPr>
      </w:pPr>
    </w:p>
    <w:p w14:paraId="339ACDB0"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4440D5">
        <w:rPr>
          <w:rFonts w:ascii="Palatino Linotype" w:hAnsi="Palatino Linotype"/>
          <w:b/>
          <w:bCs/>
          <w:sz w:val="22"/>
          <w:szCs w:val="22"/>
        </w:rPr>
        <w:t>Sujeto Obligado</w:t>
      </w:r>
      <w:r w:rsidRPr="004440D5">
        <w:rPr>
          <w:rFonts w:ascii="Palatino Linotype" w:hAnsi="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4D1B579"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0C2BC950"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b/>
          <w:bCs/>
          <w:sz w:val="22"/>
          <w:szCs w:val="22"/>
        </w:rPr>
        <w:t>De la información fiscal</w:t>
      </w:r>
      <w:r w:rsidRPr="004440D5">
        <w:rPr>
          <w:rFonts w:ascii="Palatino Linotype" w:hAnsi="Palatino Linotype"/>
          <w:sz w:val="22"/>
          <w:szCs w:val="22"/>
        </w:rPr>
        <w:t>: </w:t>
      </w:r>
    </w:p>
    <w:p w14:paraId="06D6BA30" w14:textId="77777777" w:rsidR="005E1786" w:rsidRPr="004440D5" w:rsidRDefault="005E1786" w:rsidP="005E1786">
      <w:pPr>
        <w:spacing w:line="360" w:lineRule="auto"/>
      </w:pPr>
    </w:p>
    <w:p w14:paraId="76B178C9"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 xml:space="preserve">La </w:t>
      </w:r>
      <w:r w:rsidRPr="004440D5">
        <w:rPr>
          <w:rFonts w:ascii="Palatino Linotype" w:hAnsi="Palatino Linotype"/>
          <w:b/>
          <w:bCs/>
          <w:sz w:val="22"/>
          <w:szCs w:val="22"/>
        </w:rPr>
        <w:t>Cadena Original</w:t>
      </w:r>
      <w:r w:rsidRPr="004440D5">
        <w:rPr>
          <w:rFonts w:ascii="Palatino Linotype" w:hAnsi="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4440D5">
        <w:rPr>
          <w:rFonts w:ascii="Palatino Linotype" w:hAnsi="Palatino Linotype"/>
          <w:b/>
          <w:bCs/>
          <w:sz w:val="22"/>
          <w:szCs w:val="22"/>
        </w:rPr>
        <w:t>Sujeto Obligado</w:t>
      </w:r>
      <w:r w:rsidRPr="004440D5">
        <w:rPr>
          <w:rFonts w:ascii="Palatino Linotype" w:hAnsi="Palatino Linotype"/>
          <w:sz w:val="22"/>
          <w:szCs w:val="22"/>
        </w:rPr>
        <w:t xml:space="preserve"> analizar dicha circunstancia con la finalidad de proteger, de ser el caso, la información a través de su clasificación por actualizarse el supuesto de confidencialidad.</w:t>
      </w:r>
    </w:p>
    <w:p w14:paraId="11739D73" w14:textId="77777777" w:rsidR="005E1786" w:rsidRPr="004440D5" w:rsidRDefault="005E1786" w:rsidP="005E1786">
      <w:pPr>
        <w:spacing w:line="360" w:lineRule="auto"/>
      </w:pPr>
    </w:p>
    <w:p w14:paraId="1B6C03F2"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Los </w:t>
      </w:r>
      <w:r w:rsidRPr="004440D5">
        <w:rPr>
          <w:rFonts w:ascii="Palatino Linotype" w:hAnsi="Palatino Linotype"/>
          <w:b/>
          <w:bCs/>
          <w:sz w:val="22"/>
          <w:szCs w:val="22"/>
        </w:rPr>
        <w:t>códigos bidimensionales</w:t>
      </w:r>
      <w:r w:rsidRPr="004440D5">
        <w:rPr>
          <w:rFonts w:ascii="Palatino Linotype" w:hAnsi="Palatino Linotype"/>
          <w:sz w:val="22"/>
          <w:szCs w:val="22"/>
        </w:rPr>
        <w:t xml:space="preserve"> o </w:t>
      </w:r>
      <w:r w:rsidRPr="004440D5">
        <w:rPr>
          <w:rFonts w:ascii="Palatino Linotype" w:hAnsi="Palatino Linotype"/>
          <w:b/>
          <w:bCs/>
          <w:sz w:val="22"/>
          <w:szCs w:val="22"/>
        </w:rPr>
        <w:t xml:space="preserve">códigos QR, </w:t>
      </w:r>
      <w:r w:rsidRPr="004440D5">
        <w:rPr>
          <w:rFonts w:ascii="Palatino Linotype" w:hAnsi="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4440D5">
        <w:rPr>
          <w:rFonts w:ascii="Palatino Linotype" w:hAnsi="Palatino Linotype"/>
          <w:b/>
          <w:bCs/>
          <w:sz w:val="22"/>
          <w:szCs w:val="22"/>
        </w:rPr>
        <w:t xml:space="preserve">Sujeto Obligado </w:t>
      </w:r>
      <w:r w:rsidRPr="004440D5">
        <w:rPr>
          <w:rFonts w:ascii="Palatino Linotype" w:hAnsi="Palatino Linotype"/>
          <w:sz w:val="22"/>
          <w:szCs w:val="22"/>
        </w:rPr>
        <w:t>analizar dicha circunstancia con la finalidad de determinar si se actualiza algún supuesto de confidencialidad.</w:t>
      </w:r>
    </w:p>
    <w:p w14:paraId="19E0131D" w14:textId="77777777" w:rsidR="005E1786" w:rsidRPr="004440D5" w:rsidRDefault="005E1786" w:rsidP="005E1786">
      <w:pPr>
        <w:pStyle w:val="NormalWeb"/>
        <w:spacing w:before="0" w:beforeAutospacing="0" w:after="0" w:afterAutospacing="0" w:line="360" w:lineRule="auto"/>
        <w:jc w:val="both"/>
        <w:rPr>
          <w:sz w:val="22"/>
          <w:szCs w:val="22"/>
        </w:rPr>
      </w:pPr>
    </w:p>
    <w:p w14:paraId="4449FBDA"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En tal sentido, si derivado del análisis efectuado por </w:t>
      </w:r>
      <w:r w:rsidRPr="004440D5">
        <w:rPr>
          <w:rFonts w:ascii="Palatino Linotype" w:hAnsi="Palatino Linotype"/>
          <w:b/>
          <w:bCs/>
          <w:sz w:val="22"/>
          <w:szCs w:val="22"/>
        </w:rPr>
        <w:t xml:space="preserve">Sujeto Obligado </w:t>
      </w:r>
      <w:r w:rsidRPr="004440D5">
        <w:rPr>
          <w:rFonts w:ascii="Palatino Linotype" w:hAnsi="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54FBC80"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739FC52A"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eastAsia="Palatino Linotype" w:hAnsi="Palatino Linotype" w:cs="Palatino Linotype"/>
          <w:sz w:val="22"/>
          <w:szCs w:val="22"/>
        </w:rPr>
        <w:t xml:space="preserve">En cuanto a la </w:t>
      </w:r>
      <w:r w:rsidRPr="004440D5">
        <w:rPr>
          <w:rFonts w:ascii="Palatino Linotype" w:eastAsia="Palatino Linotype" w:hAnsi="Palatino Linotype" w:cs="Palatino Linotype"/>
          <w:b/>
          <w:sz w:val="22"/>
          <w:szCs w:val="22"/>
          <w:u w:val="single"/>
        </w:rPr>
        <w:t>Firma de servidores públicos</w:t>
      </w:r>
      <w:r w:rsidRPr="004440D5">
        <w:rPr>
          <w:rFonts w:ascii="Palatino Linotype" w:eastAsia="Palatino Linotype" w:hAnsi="Palatino Linotype" w:cs="Palatino Linotype"/>
          <w:sz w:val="22"/>
          <w:szCs w:val="22"/>
        </w:rPr>
        <w:t xml:space="preserve">, contenidas en los recibos de nómina, si bien, </w:t>
      </w:r>
      <w:r w:rsidRPr="004440D5">
        <w:rPr>
          <w:rFonts w:ascii="Palatino Linotype" w:hAnsi="Palatino Linotype"/>
          <w:sz w:val="22"/>
          <w:szCs w:val="22"/>
        </w:rPr>
        <w:t>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w:t>
      </w:r>
      <w:r w:rsidRPr="004440D5">
        <w:rPr>
          <w:rFonts w:ascii="Palatino Linotype" w:hAnsi="Palatino Linotype"/>
          <w:b/>
          <w:sz w:val="22"/>
          <w:szCs w:val="22"/>
          <w:u w:val="single"/>
        </w:rPr>
        <w:t>, sin embargo, en el caso de los servidores públicos,</w:t>
      </w:r>
      <w:r w:rsidRPr="004440D5">
        <w:rPr>
          <w:rFonts w:ascii="Palatino Linotype" w:hAnsi="Palatino Linotype"/>
          <w:sz w:val="22"/>
          <w:szCs w:val="22"/>
        </w:rPr>
        <w:t xml:space="preserve"> dicho dato es público cuando, en ejercicio de las atribuciones que les fueron conferidas, emiten un acto de autoridad, siendo la firma el medio por el cual se le da validez a dicho acto.</w:t>
      </w:r>
    </w:p>
    <w:p w14:paraId="535BDEEF" w14:textId="77777777" w:rsidR="005E1786" w:rsidRPr="004440D5" w:rsidRDefault="005E1786" w:rsidP="005E1786">
      <w:pPr>
        <w:spacing w:line="360" w:lineRule="auto"/>
      </w:pPr>
    </w:p>
    <w:p w14:paraId="06844846" w14:textId="77777777" w:rsidR="005E1786" w:rsidRPr="004440D5" w:rsidRDefault="005E1786" w:rsidP="005E1786">
      <w:pPr>
        <w:pStyle w:val="NormalWeb"/>
        <w:spacing w:before="0" w:beforeAutospacing="0" w:after="0" w:afterAutospacing="0" w:line="360" w:lineRule="auto"/>
        <w:jc w:val="both"/>
        <w:rPr>
          <w:sz w:val="22"/>
          <w:szCs w:val="22"/>
        </w:rPr>
      </w:pPr>
      <w:r w:rsidRPr="004440D5">
        <w:rPr>
          <w:rFonts w:ascii="Palatino Linotype" w:hAnsi="Palatino Linotype"/>
          <w:sz w:val="22"/>
          <w:szCs w:val="22"/>
        </w:rPr>
        <w:t>Robustece lo anterior el criterio orientador 02-19 emitido por el entonces Instituto Nacional de Transparencia, Acceso a la Información y Protección de Datos Personales, INAI, el cual refiere:</w:t>
      </w:r>
    </w:p>
    <w:p w14:paraId="1BD569EB" w14:textId="77777777" w:rsidR="005E1786" w:rsidRPr="004440D5" w:rsidRDefault="005E1786" w:rsidP="005E1786"/>
    <w:p w14:paraId="654D1098" w14:textId="77777777" w:rsidR="005E1786" w:rsidRPr="004440D5" w:rsidRDefault="005E1786" w:rsidP="005E1786">
      <w:pPr>
        <w:pStyle w:val="NormalWeb"/>
        <w:spacing w:before="0" w:beforeAutospacing="0" w:after="0" w:afterAutospacing="0"/>
        <w:ind w:left="567" w:right="-7"/>
        <w:jc w:val="both"/>
        <w:rPr>
          <w:rFonts w:ascii="Palatino Linotype" w:hAnsi="Palatino Linotype"/>
          <w:i/>
          <w:iCs/>
          <w:sz w:val="22"/>
          <w:szCs w:val="22"/>
        </w:rPr>
      </w:pPr>
      <w:r w:rsidRPr="004440D5">
        <w:rPr>
          <w:rFonts w:ascii="Palatino Linotype" w:hAnsi="Palatino Linotype"/>
          <w:i/>
          <w:iCs/>
          <w:sz w:val="22"/>
          <w:szCs w:val="22"/>
        </w:rPr>
        <w:t>“</w:t>
      </w:r>
      <w:r w:rsidRPr="004440D5">
        <w:rPr>
          <w:rFonts w:ascii="Palatino Linotype" w:hAnsi="Palatino Linotype"/>
          <w:b/>
          <w:bCs/>
          <w:i/>
          <w:iCs/>
          <w:sz w:val="22"/>
          <w:szCs w:val="22"/>
        </w:rPr>
        <w:t>Firma y rúbrica de servidores públicos.</w:t>
      </w:r>
      <w:r w:rsidRPr="004440D5">
        <w:rPr>
          <w:rFonts w:ascii="Palatino Linotype" w:hAnsi="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8828836" w14:textId="77777777" w:rsidR="005E1786" w:rsidRPr="004440D5" w:rsidRDefault="005E1786" w:rsidP="005E1786">
      <w:pPr>
        <w:pStyle w:val="NormalWeb"/>
        <w:spacing w:before="0" w:beforeAutospacing="0" w:after="0" w:afterAutospacing="0"/>
        <w:ind w:right="-7"/>
        <w:jc w:val="both"/>
        <w:rPr>
          <w:rFonts w:ascii="Palatino Linotype" w:hAnsi="Palatino Linotype"/>
          <w:i/>
          <w:iCs/>
          <w:sz w:val="22"/>
          <w:szCs w:val="22"/>
        </w:rPr>
      </w:pPr>
    </w:p>
    <w:p w14:paraId="22B05629" w14:textId="01A83BB9" w:rsidR="005E1786" w:rsidRPr="004440D5" w:rsidRDefault="005E1786" w:rsidP="005E1786">
      <w:pPr>
        <w:pStyle w:val="NormalWeb"/>
        <w:spacing w:before="0" w:beforeAutospacing="0" w:after="0" w:afterAutospacing="0"/>
        <w:ind w:right="-7"/>
        <w:jc w:val="both"/>
        <w:rPr>
          <w:sz w:val="22"/>
          <w:szCs w:val="22"/>
        </w:rPr>
      </w:pPr>
      <w:r w:rsidRPr="004440D5">
        <w:rPr>
          <w:rFonts w:ascii="Palatino Linotype" w:hAnsi="Palatino Linotype"/>
          <w:iCs/>
          <w:sz w:val="22"/>
          <w:szCs w:val="22"/>
        </w:rPr>
        <w:t>Por lo que en caso de plasmarse en la nómina, no procede su clasificación.</w:t>
      </w:r>
    </w:p>
    <w:p w14:paraId="61E634DD" w14:textId="77777777" w:rsidR="005E1786" w:rsidRPr="004440D5" w:rsidRDefault="005E1786" w:rsidP="005E1786">
      <w:pPr>
        <w:pStyle w:val="NormalWeb"/>
        <w:spacing w:before="0" w:beforeAutospacing="0" w:after="0" w:afterAutospacing="0" w:line="360" w:lineRule="auto"/>
        <w:jc w:val="both"/>
        <w:rPr>
          <w:sz w:val="22"/>
          <w:szCs w:val="22"/>
        </w:rPr>
      </w:pPr>
    </w:p>
    <w:p w14:paraId="5786F78C"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4440D5">
        <w:rPr>
          <w:rFonts w:ascii="Palatino Linotype" w:hAnsi="Palatino Linotype"/>
          <w:b/>
          <w:bCs/>
          <w:sz w:val="22"/>
          <w:szCs w:val="22"/>
          <w:u w:val="single"/>
        </w:rPr>
        <w:t>razones, motivos o circunstancias especiales</w:t>
      </w:r>
      <w:r w:rsidRPr="004440D5">
        <w:rPr>
          <w:rFonts w:ascii="Palatino Linotype" w:hAnsi="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6FD399F6" w14:textId="77777777" w:rsidR="005E1786" w:rsidRPr="004440D5" w:rsidRDefault="005E1786" w:rsidP="005E1786">
      <w:pPr>
        <w:pStyle w:val="NormalWeb"/>
        <w:spacing w:before="0" w:beforeAutospacing="0" w:after="0" w:afterAutospacing="0" w:line="360" w:lineRule="auto"/>
        <w:jc w:val="both"/>
        <w:rPr>
          <w:sz w:val="22"/>
          <w:szCs w:val="22"/>
        </w:rPr>
      </w:pPr>
    </w:p>
    <w:p w14:paraId="23C665FC" w14:textId="77777777" w:rsidR="005E1786" w:rsidRPr="004440D5" w:rsidRDefault="005E1786" w:rsidP="005E1786">
      <w:pPr>
        <w:pStyle w:val="NormalWeb"/>
        <w:spacing w:before="0" w:beforeAutospacing="0" w:after="0" w:afterAutospacing="0" w:line="360" w:lineRule="auto"/>
        <w:ind w:right="50"/>
        <w:jc w:val="both"/>
        <w:rPr>
          <w:sz w:val="22"/>
          <w:szCs w:val="22"/>
        </w:rPr>
      </w:pPr>
      <w:r w:rsidRPr="004440D5">
        <w:rPr>
          <w:rFonts w:ascii="Palatino Linotype" w:hAnsi="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D433284"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“Artículo 49.</w:t>
      </w:r>
      <w:r w:rsidRPr="004440D5">
        <w:rPr>
          <w:rFonts w:ascii="Palatino Linotype" w:hAnsi="Palatino Linotype"/>
          <w:i/>
          <w:iCs/>
          <w:sz w:val="22"/>
          <w:szCs w:val="22"/>
        </w:rPr>
        <w:t xml:space="preserve"> </w:t>
      </w:r>
      <w:r w:rsidRPr="004440D5">
        <w:rPr>
          <w:rFonts w:ascii="Palatino Linotype" w:hAnsi="Palatino Linotype"/>
          <w:b/>
          <w:bCs/>
          <w:i/>
          <w:iCs/>
          <w:sz w:val="22"/>
          <w:szCs w:val="22"/>
        </w:rPr>
        <w:t>Los Comités de Transparencia</w:t>
      </w:r>
      <w:r w:rsidRPr="004440D5">
        <w:rPr>
          <w:rFonts w:ascii="Palatino Linotype" w:hAnsi="Palatino Linotype"/>
          <w:i/>
          <w:iCs/>
          <w:sz w:val="22"/>
          <w:szCs w:val="22"/>
        </w:rPr>
        <w:t xml:space="preserve"> tendrán las siguientes atribuciones:</w:t>
      </w:r>
    </w:p>
    <w:p w14:paraId="65F5ADBE"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VIII. Aprobar, modificar o revocar la clasificación de la información</w:t>
      </w:r>
      <w:r w:rsidRPr="004440D5">
        <w:rPr>
          <w:rFonts w:ascii="Palatino Linotype" w:hAnsi="Palatino Linotype"/>
          <w:i/>
          <w:iCs/>
          <w:sz w:val="22"/>
          <w:szCs w:val="22"/>
        </w:rPr>
        <w:t>…”</w:t>
      </w:r>
    </w:p>
    <w:p w14:paraId="1D175048"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i/>
          <w:iCs/>
          <w:sz w:val="22"/>
          <w:szCs w:val="22"/>
        </w:rPr>
        <w:t>“</w:t>
      </w:r>
      <w:r w:rsidRPr="004440D5">
        <w:rPr>
          <w:rFonts w:ascii="Palatino Linotype" w:hAnsi="Palatino Linotype"/>
          <w:b/>
          <w:bCs/>
          <w:i/>
          <w:iCs/>
          <w:sz w:val="22"/>
          <w:szCs w:val="22"/>
        </w:rPr>
        <w:t>Artículo 53.</w:t>
      </w:r>
      <w:r w:rsidRPr="004440D5">
        <w:rPr>
          <w:rFonts w:ascii="Palatino Linotype" w:hAnsi="Palatino Linotype"/>
          <w:i/>
          <w:iCs/>
          <w:sz w:val="22"/>
          <w:szCs w:val="22"/>
        </w:rPr>
        <w:t xml:space="preserve"> Las </w:t>
      </w:r>
      <w:r w:rsidRPr="004440D5">
        <w:rPr>
          <w:rFonts w:ascii="Palatino Linotype" w:hAnsi="Palatino Linotype"/>
          <w:b/>
          <w:bCs/>
          <w:i/>
          <w:iCs/>
          <w:sz w:val="22"/>
          <w:szCs w:val="22"/>
        </w:rPr>
        <w:t>Unidades de Transparencia</w:t>
      </w:r>
      <w:r w:rsidRPr="004440D5">
        <w:rPr>
          <w:rFonts w:ascii="Palatino Linotype" w:hAnsi="Palatino Linotype"/>
          <w:i/>
          <w:iCs/>
          <w:sz w:val="22"/>
          <w:szCs w:val="22"/>
        </w:rPr>
        <w:t xml:space="preserve"> tendrán las siguientes </w:t>
      </w:r>
      <w:r w:rsidRPr="004440D5">
        <w:rPr>
          <w:rFonts w:ascii="Palatino Linotype" w:hAnsi="Palatino Linotype"/>
          <w:b/>
          <w:bCs/>
          <w:i/>
          <w:iCs/>
          <w:sz w:val="22"/>
          <w:szCs w:val="22"/>
        </w:rPr>
        <w:t>funciones</w:t>
      </w:r>
      <w:r w:rsidRPr="004440D5">
        <w:rPr>
          <w:rFonts w:ascii="Palatino Linotype" w:hAnsi="Palatino Linotype"/>
          <w:i/>
          <w:iCs/>
          <w:sz w:val="22"/>
          <w:szCs w:val="22"/>
        </w:rPr>
        <w:t>:</w:t>
      </w:r>
    </w:p>
    <w:p w14:paraId="226F901B"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X. Presentar ante el Comité, el proyecto de clasificación de información</w:t>
      </w:r>
      <w:r w:rsidRPr="004440D5">
        <w:rPr>
          <w:rFonts w:ascii="Palatino Linotype" w:hAnsi="Palatino Linotype"/>
          <w:i/>
          <w:iCs/>
          <w:sz w:val="22"/>
          <w:szCs w:val="22"/>
        </w:rPr>
        <w:t>…” </w:t>
      </w:r>
    </w:p>
    <w:p w14:paraId="2CF82D42" w14:textId="77777777" w:rsidR="005E1786" w:rsidRPr="004440D5" w:rsidRDefault="005E1786" w:rsidP="005E1786">
      <w:pPr>
        <w:pStyle w:val="NormalWeb"/>
        <w:spacing w:before="0" w:beforeAutospacing="0" w:after="0" w:afterAutospacing="0"/>
        <w:ind w:left="567" w:right="709"/>
        <w:jc w:val="both"/>
        <w:rPr>
          <w:sz w:val="22"/>
          <w:szCs w:val="22"/>
        </w:rPr>
      </w:pPr>
      <w:r w:rsidRPr="004440D5">
        <w:rPr>
          <w:rFonts w:ascii="Palatino Linotype" w:hAnsi="Palatino Linotype"/>
          <w:b/>
          <w:bCs/>
          <w:i/>
          <w:iCs/>
          <w:sz w:val="22"/>
          <w:szCs w:val="22"/>
        </w:rPr>
        <w:t>“Artículo 59.</w:t>
      </w:r>
      <w:r w:rsidRPr="004440D5">
        <w:rPr>
          <w:rFonts w:ascii="Palatino Linotype" w:hAnsi="Palatino Linotype"/>
          <w:i/>
          <w:iCs/>
          <w:sz w:val="22"/>
          <w:szCs w:val="22"/>
        </w:rPr>
        <w:t xml:space="preserve"> Los </w:t>
      </w:r>
      <w:r w:rsidRPr="004440D5">
        <w:rPr>
          <w:rFonts w:ascii="Palatino Linotype" w:hAnsi="Palatino Linotype"/>
          <w:b/>
          <w:bCs/>
          <w:i/>
          <w:iCs/>
          <w:sz w:val="22"/>
          <w:szCs w:val="22"/>
        </w:rPr>
        <w:t>servidores públicos habilitados</w:t>
      </w:r>
      <w:r w:rsidRPr="004440D5">
        <w:rPr>
          <w:rFonts w:ascii="Palatino Linotype" w:hAnsi="Palatino Linotype"/>
          <w:i/>
          <w:iCs/>
          <w:sz w:val="22"/>
          <w:szCs w:val="22"/>
        </w:rPr>
        <w:t xml:space="preserve"> tendrán las </w:t>
      </w:r>
      <w:r w:rsidRPr="004440D5">
        <w:rPr>
          <w:rFonts w:ascii="Palatino Linotype" w:hAnsi="Palatino Linotype"/>
          <w:b/>
          <w:bCs/>
          <w:i/>
          <w:iCs/>
          <w:sz w:val="22"/>
          <w:szCs w:val="22"/>
        </w:rPr>
        <w:t>funciones</w:t>
      </w:r>
      <w:r w:rsidRPr="004440D5">
        <w:rPr>
          <w:rFonts w:ascii="Palatino Linotype" w:hAnsi="Palatino Linotype"/>
          <w:i/>
          <w:iCs/>
          <w:sz w:val="22"/>
          <w:szCs w:val="22"/>
        </w:rPr>
        <w:t xml:space="preserve"> siguientes:</w:t>
      </w:r>
    </w:p>
    <w:p w14:paraId="47ED0176" w14:textId="77777777" w:rsidR="005E1786" w:rsidRPr="004440D5" w:rsidRDefault="005E1786" w:rsidP="005E1786">
      <w:pPr>
        <w:pStyle w:val="NormalWeb"/>
        <w:spacing w:before="0" w:beforeAutospacing="0" w:after="0" w:afterAutospacing="0"/>
        <w:ind w:left="567" w:right="709"/>
        <w:jc w:val="both"/>
        <w:rPr>
          <w:rFonts w:ascii="Palatino Linotype" w:hAnsi="Palatino Linotype"/>
          <w:i/>
          <w:iCs/>
          <w:sz w:val="22"/>
          <w:szCs w:val="22"/>
        </w:rPr>
      </w:pPr>
      <w:r w:rsidRPr="004440D5">
        <w:rPr>
          <w:rFonts w:ascii="Palatino Linotype" w:hAnsi="Palatino Linotype"/>
          <w:b/>
          <w:bCs/>
          <w:i/>
          <w:iCs/>
          <w:sz w:val="22"/>
          <w:szCs w:val="22"/>
        </w:rPr>
        <w:t>V. Integrar y presentar al responsable de la Unidad de Transparencia la propuesta de clasificación de información</w:t>
      </w:r>
      <w:r w:rsidRPr="004440D5">
        <w:rPr>
          <w:rFonts w:ascii="Palatino Linotype" w:hAnsi="Palatino Linotype"/>
          <w:i/>
          <w:iCs/>
          <w:sz w:val="22"/>
          <w:szCs w:val="22"/>
        </w:rPr>
        <w:t>, la cual tendrá los fundamentos y argumentos en que se basa dicha propuesta…”</w:t>
      </w:r>
    </w:p>
    <w:p w14:paraId="6A5DE674" w14:textId="77777777" w:rsidR="005E1786" w:rsidRPr="004440D5" w:rsidRDefault="005E1786" w:rsidP="005E1786">
      <w:pPr>
        <w:pStyle w:val="NormalWeb"/>
        <w:spacing w:before="0" w:beforeAutospacing="0" w:after="0" w:afterAutospacing="0" w:line="360" w:lineRule="auto"/>
        <w:ind w:left="1134" w:right="902"/>
        <w:jc w:val="both"/>
        <w:rPr>
          <w:sz w:val="22"/>
          <w:szCs w:val="22"/>
        </w:rPr>
      </w:pPr>
    </w:p>
    <w:p w14:paraId="2F5EE122"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5EFABE4" w14:textId="77777777" w:rsidR="005E1786" w:rsidRPr="004440D5" w:rsidRDefault="005E1786" w:rsidP="005E1786">
      <w:pPr>
        <w:pStyle w:val="NormalWeb"/>
        <w:spacing w:before="0" w:beforeAutospacing="0" w:after="0" w:afterAutospacing="0" w:line="360" w:lineRule="auto"/>
        <w:jc w:val="both"/>
        <w:rPr>
          <w:sz w:val="22"/>
          <w:szCs w:val="22"/>
        </w:rPr>
      </w:pPr>
    </w:p>
    <w:p w14:paraId="36A2422A"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Para lo cual, a su vez en el caso de información de carácter confidencial, se debe atender a lo que señala el artículo 149 de la Ley de Transparencia Local vigente, que se lee como sigue:</w:t>
      </w:r>
    </w:p>
    <w:p w14:paraId="09D11429" w14:textId="77777777" w:rsidR="005E1786" w:rsidRPr="004440D5" w:rsidRDefault="005E1786" w:rsidP="005E1786">
      <w:pPr>
        <w:pStyle w:val="NormalWeb"/>
        <w:spacing w:before="0" w:beforeAutospacing="0" w:after="0" w:afterAutospacing="0" w:line="360" w:lineRule="auto"/>
        <w:jc w:val="both"/>
        <w:rPr>
          <w:sz w:val="22"/>
          <w:szCs w:val="22"/>
        </w:rPr>
      </w:pPr>
    </w:p>
    <w:p w14:paraId="34FF26A3" w14:textId="77777777" w:rsidR="005E1786" w:rsidRPr="004440D5" w:rsidRDefault="005E1786" w:rsidP="005E1786">
      <w:pPr>
        <w:pStyle w:val="NormalWeb"/>
        <w:spacing w:before="0" w:beforeAutospacing="0" w:after="0" w:afterAutospacing="0"/>
        <w:ind w:left="851" w:right="902"/>
        <w:jc w:val="both"/>
        <w:rPr>
          <w:rFonts w:ascii="Palatino Linotype" w:hAnsi="Palatino Linotype"/>
          <w:i/>
          <w:iCs/>
          <w:sz w:val="22"/>
          <w:szCs w:val="22"/>
        </w:rPr>
      </w:pPr>
      <w:r w:rsidRPr="004440D5">
        <w:rPr>
          <w:rFonts w:ascii="Palatino Linotype" w:hAnsi="Palatino Linotype"/>
          <w:i/>
          <w:iCs/>
          <w:sz w:val="22"/>
          <w:szCs w:val="22"/>
        </w:rPr>
        <w:t>“</w:t>
      </w:r>
      <w:r w:rsidRPr="004440D5">
        <w:rPr>
          <w:rFonts w:ascii="Palatino Linotype" w:hAnsi="Palatino Linotype"/>
          <w:b/>
          <w:bCs/>
          <w:i/>
          <w:iCs/>
          <w:sz w:val="22"/>
          <w:szCs w:val="22"/>
        </w:rPr>
        <w:t>Artículo 149.</w:t>
      </w:r>
      <w:r w:rsidRPr="004440D5">
        <w:rPr>
          <w:rFonts w:ascii="Palatino Linotype" w:hAnsi="Palatino Linotype"/>
          <w:i/>
          <w:iCs/>
          <w:sz w:val="22"/>
          <w:szCs w:val="22"/>
        </w:rPr>
        <w:t xml:space="preserve"> El </w:t>
      </w:r>
      <w:r w:rsidRPr="004440D5">
        <w:rPr>
          <w:rFonts w:ascii="Palatino Linotype" w:hAnsi="Palatino Linotype"/>
          <w:b/>
          <w:bCs/>
          <w:i/>
          <w:iCs/>
          <w:sz w:val="22"/>
          <w:szCs w:val="22"/>
        </w:rPr>
        <w:t>acuerdo que clasifique la información como confidencial</w:t>
      </w:r>
      <w:r w:rsidRPr="004440D5">
        <w:rPr>
          <w:rFonts w:ascii="Palatino Linotype" w:hAnsi="Palatino Linotype"/>
          <w:i/>
          <w:iCs/>
          <w:sz w:val="22"/>
          <w:szCs w:val="22"/>
        </w:rPr>
        <w:t xml:space="preserve"> deberá contener un razonamiento lógico en el que demuestre que la información se encuentra en alguna o algunas de las hipótesis previstas en la presente Ley.” </w:t>
      </w:r>
    </w:p>
    <w:p w14:paraId="3B7A0877" w14:textId="77777777" w:rsidR="005E1786" w:rsidRPr="004440D5" w:rsidRDefault="005E1786" w:rsidP="005E1786">
      <w:pPr>
        <w:pStyle w:val="NormalWeb"/>
        <w:spacing w:before="0" w:beforeAutospacing="0" w:after="0" w:afterAutospacing="0"/>
        <w:ind w:left="851" w:right="902"/>
        <w:jc w:val="both"/>
        <w:rPr>
          <w:sz w:val="22"/>
          <w:szCs w:val="22"/>
        </w:rPr>
      </w:pPr>
    </w:p>
    <w:p w14:paraId="53A3A17C" w14:textId="77777777" w:rsidR="005E1786" w:rsidRPr="004440D5" w:rsidRDefault="005E1786" w:rsidP="005E1786">
      <w:pPr>
        <w:pStyle w:val="NormalWeb"/>
        <w:spacing w:before="0" w:beforeAutospacing="0" w:after="0" w:afterAutospacing="0" w:line="360" w:lineRule="auto"/>
        <w:ind w:right="51"/>
        <w:jc w:val="both"/>
        <w:rPr>
          <w:rFonts w:ascii="Palatino Linotype" w:hAnsi="Palatino Linotype"/>
          <w:sz w:val="22"/>
          <w:szCs w:val="22"/>
        </w:rPr>
      </w:pPr>
      <w:r w:rsidRPr="004440D5">
        <w:rPr>
          <w:rFonts w:ascii="Palatino Linotype" w:hAnsi="Palatino Linotype"/>
          <w:sz w:val="22"/>
          <w:szCs w:val="22"/>
        </w:rPr>
        <w:t xml:space="preserve">Es decir, el </w:t>
      </w:r>
      <w:r w:rsidRPr="004440D5">
        <w:rPr>
          <w:rFonts w:ascii="Palatino Linotype" w:hAnsi="Palatino Linotype"/>
          <w:b/>
          <w:bCs/>
          <w:sz w:val="22"/>
          <w:szCs w:val="22"/>
        </w:rPr>
        <w:t>Sujeto Obligado</w:t>
      </w:r>
      <w:r w:rsidRPr="004440D5">
        <w:rPr>
          <w:rFonts w:ascii="Palatino Linotype" w:hAnsi="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776ED3C" w14:textId="77777777" w:rsidR="005E1786" w:rsidRPr="004440D5" w:rsidRDefault="005E1786" w:rsidP="005E1786">
      <w:pPr>
        <w:pStyle w:val="NormalWeb"/>
        <w:spacing w:before="0" w:beforeAutospacing="0" w:after="0" w:afterAutospacing="0" w:line="360" w:lineRule="auto"/>
        <w:ind w:right="51"/>
        <w:jc w:val="both"/>
        <w:rPr>
          <w:sz w:val="22"/>
          <w:szCs w:val="22"/>
        </w:rPr>
      </w:pPr>
    </w:p>
    <w:p w14:paraId="3877F2CF" w14:textId="77777777" w:rsidR="005E1786" w:rsidRPr="004440D5" w:rsidRDefault="005E1786" w:rsidP="005E1786">
      <w:pPr>
        <w:pStyle w:val="NormalWeb"/>
        <w:spacing w:before="0" w:beforeAutospacing="0" w:after="0" w:afterAutospacing="0" w:line="360" w:lineRule="auto"/>
        <w:ind w:right="51"/>
        <w:jc w:val="both"/>
        <w:rPr>
          <w:rFonts w:ascii="Palatino Linotype" w:hAnsi="Palatino Linotype"/>
          <w:sz w:val="22"/>
          <w:szCs w:val="22"/>
        </w:rPr>
      </w:pPr>
      <w:r w:rsidRPr="004440D5">
        <w:rPr>
          <w:rFonts w:ascii="Palatino Linotype" w:hAnsi="Palatino Linotype"/>
          <w:sz w:val="22"/>
          <w:szCs w:val="22"/>
        </w:rPr>
        <w:t xml:space="preserve">Asimismo, respecto a las formalidades que deberá llevar el acuerdo de clasificación que deberá emitir el </w:t>
      </w:r>
      <w:r w:rsidRPr="004440D5">
        <w:rPr>
          <w:rFonts w:ascii="Palatino Linotype" w:hAnsi="Palatino Linotype"/>
          <w:b/>
          <w:bCs/>
          <w:sz w:val="22"/>
          <w:szCs w:val="22"/>
        </w:rPr>
        <w:t>Sujeto Obligado</w:t>
      </w:r>
      <w:r w:rsidRPr="004440D5">
        <w:rPr>
          <w:rFonts w:ascii="Palatino Linotype" w:hAnsi="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6CAACB22" w14:textId="77777777" w:rsidR="005E1786" w:rsidRPr="004440D5" w:rsidRDefault="005E1786" w:rsidP="005E1786">
      <w:pPr>
        <w:pStyle w:val="NormalWeb"/>
        <w:spacing w:before="0" w:beforeAutospacing="0" w:after="0" w:afterAutospacing="0" w:line="360" w:lineRule="auto"/>
        <w:ind w:left="567" w:right="51"/>
        <w:jc w:val="both"/>
        <w:rPr>
          <w:sz w:val="22"/>
          <w:szCs w:val="22"/>
        </w:rPr>
      </w:pPr>
    </w:p>
    <w:p w14:paraId="6F3FD2AE"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 xml:space="preserve"> “Quincuagésimo. </w:t>
      </w:r>
      <w:r w:rsidRPr="004440D5">
        <w:rPr>
          <w:rFonts w:ascii="Palatino Linotype" w:hAnsi="Palatino Linotype"/>
          <w:i/>
          <w:iCs/>
          <w:sz w:val="22"/>
          <w:szCs w:val="22"/>
        </w:rPr>
        <w:t>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E825CC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 xml:space="preserve">Quincuagésimo primero. </w:t>
      </w:r>
      <w:r w:rsidRPr="004440D5">
        <w:rPr>
          <w:rFonts w:ascii="Palatino Linotype" w:hAnsi="Palatino Linotype"/>
          <w:i/>
          <w:iCs/>
          <w:sz w:val="22"/>
          <w:szCs w:val="22"/>
        </w:rPr>
        <w:t>Toda acta del Comité de Transparencia deberá contener: </w:t>
      </w:r>
    </w:p>
    <w:p w14:paraId="6A2F7E49"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xml:space="preserve"> El número de sesión y fecha; </w:t>
      </w:r>
    </w:p>
    <w:p w14:paraId="3B0CB7EC"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El nombre del área que solicitó la clasificación de información; </w:t>
      </w:r>
    </w:p>
    <w:p w14:paraId="71F8A6C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La fundamentación legal y motivación correspondiente; </w:t>
      </w:r>
    </w:p>
    <w:p w14:paraId="6B243760"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IV</w:t>
      </w:r>
      <w:r w:rsidRPr="004440D5">
        <w:rPr>
          <w:rFonts w:ascii="Palatino Linotype" w:hAnsi="Palatino Linotype"/>
          <w:i/>
          <w:iCs/>
          <w:sz w:val="22"/>
          <w:szCs w:val="22"/>
        </w:rPr>
        <w:t>. La resolución o resoluciones aprobadas; y </w:t>
      </w:r>
    </w:p>
    <w:p w14:paraId="676D5888"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V</w:t>
      </w:r>
      <w:r w:rsidRPr="004440D5">
        <w:rPr>
          <w:rFonts w:ascii="Palatino Linotype" w:hAnsi="Palatino Linotype"/>
          <w:i/>
          <w:iCs/>
          <w:sz w:val="22"/>
          <w:szCs w:val="22"/>
        </w:rPr>
        <w:t>. La rúbrica o firma digital de cada integrante del Comité de Transparencia. </w:t>
      </w:r>
    </w:p>
    <w:p w14:paraId="68EA4095"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Las resoluciones del Comité en las que se haya determinado confirmar o modificar la clasificación de información pública como reservada, deberán incluir, cuando menos: </w:t>
      </w:r>
    </w:p>
    <w:p w14:paraId="7DBC7289"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xml:space="preserve"> Los motivos y razonamientos que sustenten la confirmación o modificación de la prueba de daño;</w:t>
      </w:r>
    </w:p>
    <w:p w14:paraId="4182ECE0"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Descripción de las partes o secciones reservadas, en caso de clasificación parcial</w:t>
      </w:r>
      <w:r w:rsidRPr="004440D5">
        <w:rPr>
          <w:rFonts w:ascii="Palatino Linotype" w:hAnsi="Palatino Linotype"/>
          <w:b/>
          <w:bCs/>
          <w:i/>
          <w:iCs/>
          <w:sz w:val="22"/>
          <w:szCs w:val="22"/>
        </w:rPr>
        <w:t>; </w:t>
      </w:r>
    </w:p>
    <w:p w14:paraId="56C637F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xml:space="preserve"> El periodo por el que mantendrá su clasificación y fecha de expiración; y </w:t>
      </w:r>
    </w:p>
    <w:p w14:paraId="0D5F1DB0"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IV.</w:t>
      </w:r>
      <w:r w:rsidRPr="004440D5">
        <w:rPr>
          <w:rFonts w:ascii="Palatino Linotype" w:hAnsi="Palatino Linotype"/>
          <w:i/>
          <w:iCs/>
          <w:sz w:val="22"/>
          <w:szCs w:val="22"/>
        </w:rPr>
        <w:t xml:space="preserve"> El nombre del titular y área encargada de realizar la versión pública del documento, en su caso. </w:t>
      </w:r>
    </w:p>
    <w:p w14:paraId="15029992"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En los casos en que se clasifique la información como reservada siempre se entregará o anexará la prueba de daño con la respuesta al solicitante. </w:t>
      </w:r>
    </w:p>
    <w:p w14:paraId="1FCA2519"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0D9409" w14:textId="77777777"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p>
    <w:p w14:paraId="28FDE642" w14:textId="2E07DF48" w:rsidR="005E1786" w:rsidRPr="004440D5" w:rsidRDefault="005E1786" w:rsidP="005E1786">
      <w:pPr>
        <w:pStyle w:val="NormalWeb"/>
        <w:spacing w:before="0" w:beforeAutospacing="0" w:after="0" w:afterAutospacing="0" w:line="360" w:lineRule="auto"/>
        <w:jc w:val="both"/>
        <w:rPr>
          <w:rFonts w:ascii="Palatino Linotype" w:hAnsi="Palatino Linotype"/>
          <w:sz w:val="22"/>
          <w:szCs w:val="22"/>
        </w:rPr>
      </w:pPr>
      <w:r w:rsidRPr="004440D5">
        <w:rPr>
          <w:rFonts w:ascii="Palatino Linotype" w:hAnsi="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2F7731F7" w14:textId="77777777" w:rsidR="005E1786" w:rsidRPr="004440D5" w:rsidRDefault="005E1786" w:rsidP="005E1786">
      <w:pPr>
        <w:pStyle w:val="NormalWeb"/>
        <w:spacing w:before="0" w:beforeAutospacing="0" w:after="0" w:afterAutospacing="0" w:line="360" w:lineRule="auto"/>
        <w:jc w:val="both"/>
        <w:rPr>
          <w:sz w:val="22"/>
          <w:szCs w:val="22"/>
        </w:rPr>
      </w:pPr>
    </w:p>
    <w:p w14:paraId="0AC4AF38"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i/>
          <w:iCs/>
          <w:sz w:val="22"/>
          <w:szCs w:val="22"/>
        </w:rPr>
        <w:t>“</w:t>
      </w:r>
      <w:r w:rsidRPr="004440D5">
        <w:rPr>
          <w:rFonts w:ascii="Palatino Linotype" w:hAnsi="Palatino Linotype"/>
          <w:b/>
          <w:bCs/>
          <w:i/>
          <w:iCs/>
          <w:sz w:val="22"/>
          <w:szCs w:val="22"/>
        </w:rPr>
        <w:t>Quincuagésimo segundo</w:t>
      </w:r>
      <w:r w:rsidRPr="004440D5">
        <w:rPr>
          <w:rFonts w:ascii="Palatino Linotype" w:hAnsi="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82ACB2"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i/>
          <w:iCs/>
          <w:sz w:val="22"/>
          <w:szCs w:val="22"/>
        </w:rPr>
        <w:t>En el caso específico de la clasificación y elaboración de versiones públicas de documentos que contengan información confidencial, las áreas de los sujetos obligados deberán: </w:t>
      </w:r>
    </w:p>
    <w:p w14:paraId="4E27E8BA"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xml:space="preserve"> Fijar la fecha en que se elaboró la versión pública y la fecha en la cual el Comité de Transparencia confirmó dicha versión;</w:t>
      </w:r>
    </w:p>
    <w:p w14:paraId="6C180D05"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xml:space="preserve"> Señalar dentro del documento el tipo de información confidencial que fue testada en cada caso específico, de conformidad con el lineamiento trigésimo octavo; y</w:t>
      </w:r>
    </w:p>
    <w:p w14:paraId="71B876C5"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xml:space="preserve"> Señalar las personas o instancias autorizadas a acceder a la información clasificada.</w:t>
      </w:r>
    </w:p>
    <w:p w14:paraId="4CB14A71"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i/>
          <w:iCs/>
          <w:sz w:val="22"/>
          <w:szCs w:val="22"/>
        </w:rPr>
        <w:t>En los documentos de difusión electrónica, señalar en la primera hoja y en el nombre del archivo, que la versión pública corresponde a un documento que contiene información confidencial.”</w:t>
      </w:r>
    </w:p>
    <w:p w14:paraId="4881BA06"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i/>
          <w:iCs/>
          <w:sz w:val="22"/>
          <w:szCs w:val="22"/>
        </w:rPr>
        <w:t>…</w:t>
      </w:r>
    </w:p>
    <w:p w14:paraId="33CA6461" w14:textId="77777777" w:rsidR="005E1786" w:rsidRPr="004440D5" w:rsidRDefault="005E1786" w:rsidP="005E1786">
      <w:pPr>
        <w:pStyle w:val="NormalWeb"/>
        <w:spacing w:before="0" w:beforeAutospacing="0" w:after="0" w:afterAutospacing="0"/>
        <w:ind w:left="567" w:right="900"/>
        <w:jc w:val="both"/>
        <w:rPr>
          <w:sz w:val="22"/>
          <w:szCs w:val="22"/>
        </w:rPr>
      </w:pPr>
      <w:r w:rsidRPr="004440D5">
        <w:rPr>
          <w:rFonts w:ascii="Palatino Linotype" w:hAnsi="Palatino Linotype"/>
          <w:b/>
          <w:bCs/>
          <w:i/>
          <w:iCs/>
          <w:sz w:val="22"/>
          <w:szCs w:val="22"/>
        </w:rPr>
        <w:t xml:space="preserve">Quincuagésimo cuarto. </w:t>
      </w:r>
      <w:r w:rsidRPr="004440D5">
        <w:rPr>
          <w:rFonts w:ascii="Palatino Linotype" w:hAnsi="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440D5">
        <w:rPr>
          <w:rFonts w:ascii="Palatino Linotype" w:hAnsi="Palatino Linotype"/>
          <w:b/>
          <w:bCs/>
          <w:i/>
          <w:iCs/>
          <w:sz w:val="22"/>
          <w:szCs w:val="22"/>
        </w:rPr>
        <w:t> </w:t>
      </w:r>
    </w:p>
    <w:p w14:paraId="76799BCD"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 xml:space="preserve">Quincuagésimo quinto. </w:t>
      </w:r>
      <w:r w:rsidRPr="004440D5">
        <w:rPr>
          <w:rFonts w:ascii="Palatino Linotype" w:hAnsi="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25AFB03"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w:t>
      </w:r>
    </w:p>
    <w:p w14:paraId="675C7F86"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Quincuagésimo séptimo</w:t>
      </w:r>
      <w:r w:rsidRPr="004440D5">
        <w:rPr>
          <w:rFonts w:ascii="Palatino Linotype" w:hAnsi="Palatino Linotype"/>
          <w:i/>
          <w:iCs/>
          <w:sz w:val="22"/>
          <w:szCs w:val="22"/>
        </w:rPr>
        <w:t>. Se considera, en principio, como información pública y no podrá omitirse de las versiones públicas la siguiente: </w:t>
      </w:r>
    </w:p>
    <w:p w14:paraId="629524EC"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w:t>
      </w:r>
      <w:r w:rsidRPr="004440D5">
        <w:rPr>
          <w:rFonts w:ascii="Palatino Linotype" w:hAnsi="Palatino Linotype"/>
          <w:i/>
          <w:iCs/>
          <w:sz w:val="22"/>
          <w:szCs w:val="22"/>
        </w:rPr>
        <w:t>. La relativa a las Obligaciones de Transparencia que contempla el Título V de la Ley General y las demás disposiciones legales aplicables; </w:t>
      </w:r>
    </w:p>
    <w:p w14:paraId="0EB66B7F"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w:t>
      </w:r>
      <w:r w:rsidRPr="004440D5">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746A0FC"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III</w:t>
      </w:r>
      <w:r w:rsidRPr="004440D5">
        <w:rPr>
          <w:rFonts w:ascii="Palatino Linotype" w:hAnsi="Palatino Linotype"/>
          <w:i/>
          <w:iCs/>
          <w:sz w:val="22"/>
          <w:szCs w:val="22"/>
        </w:rPr>
        <w:t>. La información que documente decisiones y los actos de autoridad concluidos de los sujetos obligados, así como el ejercicio de las facultades o actividades de los servidores públicos, de manera que se pueda valorar el desempeño de los mismos. </w:t>
      </w:r>
    </w:p>
    <w:p w14:paraId="3B9A9FB7"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i/>
          <w:iCs/>
          <w:sz w:val="22"/>
          <w:szCs w:val="22"/>
        </w:rPr>
        <w:t>Lo anterior, siempre y cuando no se acredite alguna causal de clasificación, prevista en las leyes o en los tratados internacionales suscritas por el Estado mexicano.  </w:t>
      </w:r>
    </w:p>
    <w:p w14:paraId="35EE03DA" w14:textId="77777777" w:rsidR="005E1786" w:rsidRPr="004440D5" w:rsidRDefault="005E1786" w:rsidP="005E1786">
      <w:pPr>
        <w:pStyle w:val="NormalWeb"/>
        <w:spacing w:before="0" w:beforeAutospacing="0" w:after="0" w:afterAutospacing="0"/>
        <w:ind w:left="567" w:right="902"/>
        <w:jc w:val="both"/>
        <w:rPr>
          <w:sz w:val="22"/>
          <w:szCs w:val="22"/>
        </w:rPr>
      </w:pPr>
      <w:r w:rsidRPr="004440D5">
        <w:rPr>
          <w:rFonts w:ascii="Palatino Linotype" w:hAnsi="Palatino Linotype"/>
          <w:b/>
          <w:bCs/>
          <w:i/>
          <w:iCs/>
          <w:sz w:val="22"/>
          <w:szCs w:val="22"/>
        </w:rPr>
        <w:t>Quincuagésimo octavo</w:t>
      </w:r>
      <w:r w:rsidRPr="004440D5">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71689E8" w14:textId="77777777" w:rsidR="005E1786" w:rsidRPr="004440D5" w:rsidRDefault="005E1786" w:rsidP="005E1786">
      <w:pPr>
        <w:spacing w:line="360" w:lineRule="auto"/>
        <w:jc w:val="both"/>
        <w:rPr>
          <w:rFonts w:ascii="Palatino Linotype" w:eastAsia="Palatino Linotype" w:hAnsi="Palatino Linotype" w:cs="Palatino Linotype"/>
        </w:rPr>
      </w:pPr>
    </w:p>
    <w:p w14:paraId="06B5363E" w14:textId="2CF89F75" w:rsidR="005E1786" w:rsidRPr="004440D5" w:rsidRDefault="005E1786" w:rsidP="005E1786">
      <w:pPr>
        <w:spacing w:line="360" w:lineRule="auto"/>
        <w:ind w:right="49"/>
        <w:jc w:val="both"/>
        <w:rPr>
          <w:rFonts w:ascii="Palatino Linotype" w:eastAsia="Palatino Linotype" w:hAnsi="Palatino Linotype" w:cs="Palatino Linotype"/>
          <w:b/>
          <w:sz w:val="22"/>
          <w:szCs w:val="22"/>
        </w:rPr>
      </w:pPr>
      <w:r w:rsidRPr="004440D5">
        <w:rPr>
          <w:rFonts w:ascii="Palatino Linotype" w:eastAsia="Palatino Linotype" w:hAnsi="Palatino Linotype" w:cs="Palatino Linotype"/>
          <w:sz w:val="22"/>
          <w:szCs w:val="22"/>
        </w:rPr>
        <w:t xml:space="preserve">Es así como, en mérito de lo expuesto en líneas anteriores, resultan parcialmente fundadas las razones o motivos de inconformidad hechos valer por la parte </w:t>
      </w:r>
      <w:r w:rsidRPr="004440D5">
        <w:rPr>
          <w:rFonts w:ascii="Palatino Linotype" w:eastAsia="Palatino Linotype" w:hAnsi="Palatino Linotype" w:cs="Palatino Linotype"/>
          <w:b/>
          <w:sz w:val="22"/>
          <w:szCs w:val="22"/>
        </w:rPr>
        <w:t>RECURRENTE</w:t>
      </w:r>
      <w:r w:rsidRPr="004440D5">
        <w:rPr>
          <w:rFonts w:ascii="Palatino Linotype" w:eastAsia="Palatino Linotype" w:hAnsi="Palatino Linotype" w:cs="Palatino Linotype"/>
          <w:sz w:val="22"/>
          <w:szCs w:val="22"/>
        </w:rPr>
        <w:t xml:space="preserve"> dentro del recurso de revisión </w:t>
      </w:r>
      <w:r w:rsidRPr="004440D5">
        <w:rPr>
          <w:rFonts w:ascii="Palatino Linotype" w:eastAsia="Palatino Linotype" w:hAnsi="Palatino Linotype" w:cs="Palatino Linotype"/>
          <w:b/>
          <w:sz w:val="22"/>
          <w:szCs w:val="22"/>
        </w:rPr>
        <w:t>09569/INFOEM/IP/RR/2025</w:t>
      </w:r>
      <w:r w:rsidRPr="004440D5">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4440D5">
        <w:rPr>
          <w:rFonts w:ascii="Palatino Linotype" w:eastAsia="Palatino Linotype" w:hAnsi="Palatino Linotype" w:cs="Palatino Linotype"/>
          <w:b/>
          <w:bCs/>
          <w:sz w:val="22"/>
          <w:szCs w:val="22"/>
        </w:rPr>
        <w:t>REVOCA l</w:t>
      </w:r>
      <w:r w:rsidRPr="004440D5">
        <w:rPr>
          <w:rFonts w:ascii="Palatino Linotype" w:eastAsia="Palatino Linotype" w:hAnsi="Palatino Linotype" w:cs="Palatino Linotype"/>
          <w:sz w:val="22"/>
          <w:szCs w:val="22"/>
        </w:rPr>
        <w:t xml:space="preserve">a respuesta del </w:t>
      </w:r>
      <w:r w:rsidRPr="004440D5">
        <w:rPr>
          <w:rFonts w:ascii="Palatino Linotype" w:eastAsia="Palatino Linotype" w:hAnsi="Palatino Linotype" w:cs="Palatino Linotype"/>
          <w:b/>
          <w:sz w:val="22"/>
          <w:szCs w:val="22"/>
        </w:rPr>
        <w:t xml:space="preserve">SUJETO OBLIGADO </w:t>
      </w:r>
      <w:r w:rsidRPr="004440D5">
        <w:rPr>
          <w:rFonts w:ascii="Palatino Linotype" w:eastAsia="Palatino Linotype" w:hAnsi="Palatino Linotype" w:cs="Palatino Linotype"/>
          <w:sz w:val="22"/>
          <w:szCs w:val="22"/>
        </w:rPr>
        <w:t xml:space="preserve">a la solicitud de información </w:t>
      </w:r>
      <w:r w:rsidRPr="004440D5">
        <w:rPr>
          <w:rFonts w:ascii="Palatino Linotype" w:eastAsia="Palatino Linotype" w:hAnsi="Palatino Linotype" w:cs="Palatino Linotype"/>
          <w:b/>
          <w:sz w:val="22"/>
          <w:szCs w:val="22"/>
        </w:rPr>
        <w:t>00207/OFICIALIA/IP/2025</w:t>
      </w:r>
      <w:r w:rsidRPr="004440D5">
        <w:rPr>
          <w:rFonts w:ascii="Palatino Linotype" w:eastAsia="Palatino Linotype" w:hAnsi="Palatino Linotype" w:cs="Palatino Linotype"/>
          <w:sz w:val="22"/>
          <w:szCs w:val="22"/>
        </w:rPr>
        <w:t xml:space="preserve">.  </w:t>
      </w:r>
    </w:p>
    <w:p w14:paraId="70EE9B66" w14:textId="77777777" w:rsidR="005E1786" w:rsidRPr="004440D5" w:rsidRDefault="005E1786" w:rsidP="005E1786">
      <w:pPr>
        <w:spacing w:line="360" w:lineRule="auto"/>
        <w:ind w:right="49"/>
        <w:jc w:val="both"/>
        <w:rPr>
          <w:rFonts w:ascii="Palatino Linotype" w:eastAsia="Palatino Linotype" w:hAnsi="Palatino Linotype" w:cs="Palatino Linotype"/>
          <w:b/>
          <w:sz w:val="22"/>
          <w:szCs w:val="22"/>
        </w:rPr>
      </w:pPr>
    </w:p>
    <w:p w14:paraId="0CCC7EB6" w14:textId="77777777" w:rsidR="005E1786" w:rsidRPr="004440D5" w:rsidRDefault="005E1786" w:rsidP="005E1786">
      <w:pPr>
        <w:spacing w:line="360" w:lineRule="auto"/>
        <w:ind w:right="40"/>
        <w:jc w:val="both"/>
        <w:rPr>
          <w:rFonts w:ascii="Palatino Linotype" w:eastAsia="Palatino Linotype" w:hAnsi="Palatino Linotype" w:cs="Palatino Linotype"/>
        </w:rPr>
      </w:pPr>
      <w:r w:rsidRPr="004440D5">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r w:rsidRPr="004440D5">
        <w:rPr>
          <w:rFonts w:ascii="Palatino Linotype" w:eastAsia="Palatino Linotype" w:hAnsi="Palatino Linotype" w:cs="Palatino Linotype"/>
        </w:rPr>
        <w:t>:</w:t>
      </w:r>
    </w:p>
    <w:p w14:paraId="51DB8E95" w14:textId="1206B1FA" w:rsidR="00C877F6" w:rsidRPr="004440D5"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440D5">
        <w:rPr>
          <w:rFonts w:ascii="Palatino Linotype" w:eastAsia="Palatino Linotype" w:hAnsi="Palatino Linotype" w:cs="Palatino Linotype"/>
          <w:b/>
          <w:sz w:val="22"/>
          <w:szCs w:val="22"/>
        </w:rPr>
        <w:t>R E S U E L V E:</w:t>
      </w:r>
    </w:p>
    <w:p w14:paraId="6EF9BB33" w14:textId="5A64EEDB" w:rsidR="00C877F6" w:rsidRPr="004440D5" w:rsidRDefault="00F36565" w:rsidP="00FD4DF9">
      <w:pPr>
        <w:spacing w:before="240" w:after="240" w:line="360" w:lineRule="auto"/>
        <w:jc w:val="both"/>
        <w:rPr>
          <w:rFonts w:ascii="Palatino Linotype" w:eastAsia="Palatino Linotype" w:hAnsi="Palatino Linotype" w:cs="Palatino Linotype"/>
          <w:b/>
          <w:sz w:val="22"/>
          <w:szCs w:val="22"/>
        </w:rPr>
      </w:pPr>
      <w:r w:rsidRPr="004440D5">
        <w:rPr>
          <w:rFonts w:ascii="Palatino Linotype" w:eastAsia="Palatino Linotype" w:hAnsi="Palatino Linotype" w:cs="Palatino Linotype"/>
          <w:b/>
          <w:sz w:val="22"/>
          <w:szCs w:val="22"/>
        </w:rPr>
        <w:t xml:space="preserve">Primero. </w:t>
      </w:r>
      <w:r w:rsidRPr="004440D5">
        <w:rPr>
          <w:rFonts w:ascii="Palatino Linotype" w:eastAsia="Palatino Linotype" w:hAnsi="Palatino Linotype" w:cs="Palatino Linotype"/>
          <w:sz w:val="22"/>
          <w:szCs w:val="22"/>
        </w:rPr>
        <w:t>Resultan</w:t>
      </w:r>
      <w:r w:rsidRPr="004440D5">
        <w:rPr>
          <w:rFonts w:ascii="Palatino Linotype" w:eastAsia="Palatino Linotype" w:hAnsi="Palatino Linotype" w:cs="Palatino Linotype"/>
          <w:b/>
          <w:sz w:val="22"/>
          <w:szCs w:val="22"/>
        </w:rPr>
        <w:t xml:space="preserve"> fundados </w:t>
      </w:r>
      <w:r w:rsidRPr="004440D5">
        <w:rPr>
          <w:rFonts w:ascii="Palatino Linotype" w:eastAsia="Palatino Linotype" w:hAnsi="Palatino Linotype" w:cs="Palatino Linotype"/>
          <w:sz w:val="22"/>
          <w:szCs w:val="22"/>
        </w:rPr>
        <w:t xml:space="preserve">los motivos de inconformidad hechos valer por </w:t>
      </w:r>
      <w:r w:rsidRPr="004440D5">
        <w:rPr>
          <w:rFonts w:ascii="Palatino Linotype" w:eastAsia="Palatino Linotype" w:hAnsi="Palatino Linotype" w:cs="Palatino Linotype"/>
          <w:b/>
          <w:sz w:val="22"/>
          <w:szCs w:val="22"/>
        </w:rPr>
        <w:t>la parte Recurrente</w:t>
      </w:r>
      <w:r w:rsidRPr="004440D5">
        <w:rPr>
          <w:rFonts w:ascii="Palatino Linotype" w:eastAsia="Palatino Linotype" w:hAnsi="Palatino Linotype" w:cs="Palatino Linotype"/>
          <w:sz w:val="22"/>
          <w:szCs w:val="22"/>
        </w:rPr>
        <w:t xml:space="preserve"> en el Recurso de Revisión</w:t>
      </w:r>
      <w:r w:rsidRPr="004440D5">
        <w:rPr>
          <w:rFonts w:ascii="Palatino Linotype" w:eastAsia="Palatino Linotype" w:hAnsi="Palatino Linotype" w:cs="Palatino Linotype"/>
          <w:b/>
          <w:sz w:val="22"/>
          <w:szCs w:val="22"/>
        </w:rPr>
        <w:t xml:space="preserve"> </w:t>
      </w:r>
      <w:r w:rsidR="00966D68" w:rsidRPr="004440D5">
        <w:rPr>
          <w:rFonts w:ascii="Palatino Linotype" w:eastAsia="Palatino Linotype" w:hAnsi="Palatino Linotype" w:cs="Palatino Linotype"/>
          <w:b/>
          <w:sz w:val="22"/>
          <w:szCs w:val="22"/>
        </w:rPr>
        <w:t>0</w:t>
      </w:r>
      <w:r w:rsidR="005E1786" w:rsidRPr="004440D5">
        <w:rPr>
          <w:rFonts w:ascii="Palatino Linotype" w:eastAsia="Palatino Linotype" w:hAnsi="Palatino Linotype" w:cs="Palatino Linotype"/>
          <w:b/>
          <w:sz w:val="22"/>
          <w:szCs w:val="22"/>
        </w:rPr>
        <w:t>9569</w:t>
      </w:r>
      <w:r w:rsidR="00966D68" w:rsidRPr="004440D5">
        <w:rPr>
          <w:rFonts w:ascii="Palatino Linotype" w:eastAsia="Palatino Linotype" w:hAnsi="Palatino Linotype" w:cs="Palatino Linotype"/>
          <w:b/>
          <w:sz w:val="22"/>
          <w:szCs w:val="22"/>
        </w:rPr>
        <w:t>/INFOEM/IP/RR/2025</w:t>
      </w:r>
      <w:r w:rsidRPr="004440D5">
        <w:rPr>
          <w:rFonts w:ascii="Palatino Linotype" w:eastAsia="Palatino Linotype" w:hAnsi="Palatino Linotype" w:cs="Palatino Linotype"/>
          <w:b/>
          <w:sz w:val="22"/>
          <w:szCs w:val="22"/>
        </w:rPr>
        <w:t xml:space="preserve">, </w:t>
      </w:r>
      <w:r w:rsidRPr="004440D5">
        <w:rPr>
          <w:rFonts w:ascii="Palatino Linotype" w:eastAsia="Palatino Linotype" w:hAnsi="Palatino Linotype" w:cs="Palatino Linotype"/>
          <w:sz w:val="22"/>
          <w:szCs w:val="22"/>
        </w:rPr>
        <w:t>por lo que</w:t>
      </w:r>
      <w:r w:rsidRPr="004440D5">
        <w:rPr>
          <w:rFonts w:ascii="Palatino Linotype" w:eastAsia="Palatino Linotype" w:hAnsi="Palatino Linotype" w:cs="Palatino Linotype"/>
          <w:b/>
          <w:sz w:val="22"/>
          <w:szCs w:val="22"/>
        </w:rPr>
        <w:t xml:space="preserve">, en términos del Considerando Cuarto </w:t>
      </w:r>
      <w:r w:rsidRPr="004440D5">
        <w:rPr>
          <w:rFonts w:ascii="Palatino Linotype" w:eastAsia="Palatino Linotype" w:hAnsi="Palatino Linotype" w:cs="Palatino Linotype"/>
          <w:sz w:val="22"/>
          <w:szCs w:val="22"/>
        </w:rPr>
        <w:t>de la presente resolución</w:t>
      </w:r>
      <w:r w:rsidRPr="004440D5">
        <w:rPr>
          <w:rFonts w:ascii="Palatino Linotype" w:eastAsia="Palatino Linotype" w:hAnsi="Palatino Linotype" w:cs="Palatino Linotype"/>
          <w:b/>
          <w:sz w:val="22"/>
          <w:szCs w:val="22"/>
        </w:rPr>
        <w:t xml:space="preserve">, se </w:t>
      </w:r>
      <w:r w:rsidR="00C562F4" w:rsidRPr="004440D5">
        <w:rPr>
          <w:rFonts w:ascii="Palatino Linotype" w:eastAsia="Palatino Linotype" w:hAnsi="Palatino Linotype" w:cs="Palatino Linotype"/>
          <w:b/>
          <w:sz w:val="22"/>
          <w:szCs w:val="22"/>
        </w:rPr>
        <w:t>REVOCA</w:t>
      </w:r>
      <w:r w:rsidRPr="004440D5">
        <w:rPr>
          <w:rFonts w:ascii="Palatino Linotype" w:eastAsia="Palatino Linotype" w:hAnsi="Palatino Linotype" w:cs="Palatino Linotype"/>
          <w:b/>
          <w:sz w:val="22"/>
          <w:szCs w:val="22"/>
        </w:rPr>
        <w:t xml:space="preserve"> l</w:t>
      </w:r>
      <w:r w:rsidRPr="004440D5">
        <w:rPr>
          <w:rFonts w:ascii="Palatino Linotype" w:eastAsia="Palatino Linotype" w:hAnsi="Palatino Linotype" w:cs="Palatino Linotype"/>
          <w:sz w:val="22"/>
          <w:szCs w:val="22"/>
        </w:rPr>
        <w:t>a respuesta del</w:t>
      </w:r>
      <w:r w:rsidRPr="004440D5">
        <w:rPr>
          <w:rFonts w:ascii="Palatino Linotype" w:eastAsia="Palatino Linotype" w:hAnsi="Palatino Linotype" w:cs="Palatino Linotype"/>
          <w:b/>
          <w:sz w:val="22"/>
          <w:szCs w:val="22"/>
        </w:rPr>
        <w:t xml:space="preserve"> Sujeto Obligado.</w:t>
      </w:r>
    </w:p>
    <w:p w14:paraId="7D8F81E5" w14:textId="1DE41AA0" w:rsidR="00C877F6" w:rsidRPr="004440D5" w:rsidRDefault="00F36565" w:rsidP="00FD4DF9">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4440D5">
        <w:rPr>
          <w:rFonts w:ascii="Palatino Linotype" w:eastAsia="Palatino Linotype" w:hAnsi="Palatino Linotype" w:cs="Palatino Linotype"/>
          <w:b/>
          <w:sz w:val="22"/>
          <w:szCs w:val="22"/>
        </w:rPr>
        <w:t xml:space="preserve">Segundo. Se Ordena al Sujeto Obligado </w:t>
      </w:r>
      <w:r w:rsidRPr="004440D5">
        <w:rPr>
          <w:rFonts w:ascii="Palatino Linotype" w:eastAsia="Palatino Linotype" w:hAnsi="Palatino Linotype" w:cs="Palatino Linotype"/>
          <w:sz w:val="22"/>
          <w:szCs w:val="22"/>
        </w:rPr>
        <w:t>que en términos de</w:t>
      </w:r>
      <w:r w:rsidR="007B56DB"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sz w:val="22"/>
          <w:szCs w:val="22"/>
        </w:rPr>
        <w:t>l</w:t>
      </w:r>
      <w:r w:rsidR="007B56DB" w:rsidRPr="004440D5">
        <w:rPr>
          <w:rFonts w:ascii="Palatino Linotype" w:eastAsia="Palatino Linotype" w:hAnsi="Palatino Linotype" w:cs="Palatino Linotype"/>
          <w:sz w:val="22"/>
          <w:szCs w:val="22"/>
        </w:rPr>
        <w:t>os</w:t>
      </w:r>
      <w:r w:rsidRPr="004440D5">
        <w:rPr>
          <w:rFonts w:ascii="Palatino Linotype" w:eastAsia="Palatino Linotype" w:hAnsi="Palatino Linotype" w:cs="Palatino Linotype"/>
          <w:b/>
          <w:sz w:val="22"/>
          <w:szCs w:val="22"/>
        </w:rPr>
        <w:t xml:space="preserve"> Considerando</w:t>
      </w:r>
      <w:r w:rsidR="007B56DB" w:rsidRPr="004440D5">
        <w:rPr>
          <w:rFonts w:ascii="Palatino Linotype" w:eastAsia="Palatino Linotype" w:hAnsi="Palatino Linotype" w:cs="Palatino Linotype"/>
          <w:b/>
          <w:sz w:val="22"/>
          <w:szCs w:val="22"/>
        </w:rPr>
        <w:t>s</w:t>
      </w:r>
      <w:r w:rsidRPr="004440D5">
        <w:rPr>
          <w:rFonts w:ascii="Palatino Linotype" w:eastAsia="Palatino Linotype" w:hAnsi="Palatino Linotype" w:cs="Palatino Linotype"/>
          <w:b/>
          <w:sz w:val="22"/>
          <w:szCs w:val="22"/>
        </w:rPr>
        <w:t xml:space="preserve"> Cuarto</w:t>
      </w:r>
      <w:r w:rsidR="007B56DB" w:rsidRPr="004440D5">
        <w:rPr>
          <w:rFonts w:ascii="Palatino Linotype" w:eastAsia="Palatino Linotype" w:hAnsi="Palatino Linotype" w:cs="Palatino Linotype"/>
          <w:b/>
          <w:sz w:val="22"/>
          <w:szCs w:val="22"/>
        </w:rPr>
        <w:t xml:space="preserve"> y Quinto</w:t>
      </w:r>
      <w:r w:rsidRPr="004440D5">
        <w:rPr>
          <w:rFonts w:ascii="Palatino Linotype" w:eastAsia="Palatino Linotype" w:hAnsi="Palatino Linotype" w:cs="Palatino Linotype"/>
          <w:b/>
          <w:sz w:val="22"/>
          <w:szCs w:val="22"/>
        </w:rPr>
        <w:t xml:space="preserve"> </w:t>
      </w:r>
      <w:r w:rsidRPr="004440D5">
        <w:rPr>
          <w:rFonts w:ascii="Palatino Linotype" w:eastAsia="Palatino Linotype" w:hAnsi="Palatino Linotype" w:cs="Palatino Linotype"/>
          <w:sz w:val="22"/>
          <w:szCs w:val="22"/>
        </w:rPr>
        <w:t xml:space="preserve">de esta resolución, haga entrega </w:t>
      </w:r>
      <w:r w:rsidR="00FC5984" w:rsidRPr="004440D5">
        <w:rPr>
          <w:rFonts w:ascii="Palatino Linotype" w:eastAsia="Palatino Linotype" w:hAnsi="Palatino Linotype" w:cs="Palatino Linotype"/>
          <w:sz w:val="22"/>
          <w:szCs w:val="22"/>
        </w:rPr>
        <w:t xml:space="preserve">previa búsqueda exhaustiva y razonable, </w:t>
      </w:r>
      <w:r w:rsidRPr="004440D5">
        <w:rPr>
          <w:rFonts w:ascii="Palatino Linotype" w:eastAsia="Palatino Linotype" w:hAnsi="Palatino Linotype" w:cs="Palatino Linotype"/>
          <w:sz w:val="22"/>
          <w:szCs w:val="22"/>
        </w:rPr>
        <w:t xml:space="preserve">a </w:t>
      </w:r>
      <w:r w:rsidRPr="004440D5">
        <w:rPr>
          <w:rFonts w:ascii="Palatino Linotype" w:eastAsia="Palatino Linotype" w:hAnsi="Palatino Linotype" w:cs="Palatino Linotype"/>
          <w:b/>
          <w:sz w:val="22"/>
          <w:szCs w:val="22"/>
        </w:rPr>
        <w:t>la parte Recurrente a través del SAIMEX</w:t>
      </w:r>
      <w:r w:rsidR="00094655" w:rsidRPr="004440D5">
        <w:rPr>
          <w:rFonts w:ascii="Palatino Linotype" w:eastAsia="Palatino Linotype" w:hAnsi="Palatino Linotype" w:cs="Palatino Linotype"/>
          <w:b/>
          <w:sz w:val="22"/>
          <w:szCs w:val="22"/>
        </w:rPr>
        <w:t>,</w:t>
      </w:r>
      <w:r w:rsidR="007B56DB" w:rsidRPr="004440D5">
        <w:rPr>
          <w:rFonts w:ascii="Palatino Linotype" w:eastAsia="Palatino Linotype" w:hAnsi="Palatino Linotype" w:cs="Palatino Linotype"/>
          <w:b/>
          <w:sz w:val="22"/>
          <w:szCs w:val="22"/>
        </w:rPr>
        <w:t xml:space="preserve"> en versión pública,</w:t>
      </w:r>
      <w:r w:rsidR="00094655" w:rsidRPr="004440D5">
        <w:rPr>
          <w:rFonts w:ascii="Palatino Linotype" w:eastAsia="Palatino Linotype" w:hAnsi="Palatino Linotype" w:cs="Palatino Linotype"/>
          <w:b/>
          <w:sz w:val="22"/>
          <w:szCs w:val="22"/>
        </w:rPr>
        <w:t xml:space="preserve"> </w:t>
      </w:r>
      <w:r w:rsidR="005E1786" w:rsidRPr="004440D5">
        <w:rPr>
          <w:rFonts w:ascii="Palatino Linotype" w:eastAsia="Palatino Linotype" w:hAnsi="Palatino Linotype" w:cs="Palatino Linotype"/>
          <w:sz w:val="22"/>
          <w:szCs w:val="22"/>
        </w:rPr>
        <w:t>los documentos donde conste lo siguiente</w:t>
      </w:r>
      <w:r w:rsidRPr="004440D5">
        <w:rPr>
          <w:rFonts w:ascii="Palatino Linotype" w:eastAsia="Palatino Linotype" w:hAnsi="Palatino Linotype" w:cs="Palatino Linotype"/>
          <w:sz w:val="22"/>
          <w:szCs w:val="22"/>
        </w:rPr>
        <w:t>:</w:t>
      </w:r>
    </w:p>
    <w:p w14:paraId="4534C91F" w14:textId="39EC67AE" w:rsidR="005E1786" w:rsidRPr="004440D5" w:rsidRDefault="005E1786" w:rsidP="005E1786">
      <w:pPr>
        <w:pStyle w:val="Prrafodelista"/>
        <w:numPr>
          <w:ilvl w:val="0"/>
          <w:numId w:val="44"/>
        </w:numPr>
        <w:spacing w:line="360" w:lineRule="auto"/>
        <w:jc w:val="both"/>
        <w:rPr>
          <w:rFonts w:ascii="Palatino Linotype" w:eastAsia="Calibri" w:hAnsi="Palatino Linotype" w:cs="Tahoma"/>
          <w:b/>
          <w:sz w:val="22"/>
          <w:szCs w:val="22"/>
        </w:rPr>
      </w:pPr>
      <w:r w:rsidRPr="004440D5">
        <w:rPr>
          <w:rFonts w:ascii="Palatino Linotype" w:eastAsia="Calibri" w:hAnsi="Palatino Linotype" w:cs="Tahoma"/>
          <w:b/>
          <w:sz w:val="22"/>
          <w:szCs w:val="22"/>
        </w:rPr>
        <w:t>La nómina pagada al personal adscrito a la Oficialía Mayor, de la primera y segunda quincena de junio de dos mil veinticinco.</w:t>
      </w:r>
    </w:p>
    <w:p w14:paraId="250CFAA1" w14:textId="77777777" w:rsidR="00F32624" w:rsidRPr="004440D5" w:rsidRDefault="007B56DB" w:rsidP="00F32624">
      <w:pPr>
        <w:pStyle w:val="NormalWeb"/>
        <w:spacing w:before="240" w:beforeAutospacing="0" w:after="240" w:afterAutospacing="0" w:line="276" w:lineRule="auto"/>
        <w:ind w:left="360" w:right="49"/>
        <w:jc w:val="both"/>
        <w:rPr>
          <w:rFonts w:ascii="Palatino Linotype" w:eastAsia="Palatino Linotype" w:hAnsi="Palatino Linotype" w:cs="Palatino Linotype"/>
          <w:i/>
          <w:sz w:val="22"/>
        </w:rPr>
      </w:pPr>
      <w:r w:rsidRPr="004440D5">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4440D5">
        <w:rPr>
          <w:rFonts w:ascii="Palatino Linotype" w:eastAsia="Palatino Linotype" w:hAnsi="Palatino Linotype" w:cs="Palatino Linotype"/>
          <w:b/>
          <w:i/>
          <w:sz w:val="22"/>
        </w:rPr>
        <w:t>Recurrente</w:t>
      </w:r>
      <w:r w:rsidRPr="004440D5">
        <w:rPr>
          <w:rFonts w:ascii="Palatino Linotype" w:eastAsia="Palatino Linotype" w:hAnsi="Palatino Linotype" w:cs="Palatino Linotype"/>
          <w:i/>
          <w:sz w:val="22"/>
        </w:rPr>
        <w:t xml:space="preserve">, mismo que igualmente hará de su conocimiento. </w:t>
      </w:r>
    </w:p>
    <w:p w14:paraId="2ABA00F7" w14:textId="77777777"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Tercero.  Notifíquese vía SAIMEX, </w:t>
      </w:r>
      <w:r w:rsidRPr="004440D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4440D5" w:rsidRDefault="00F36565" w:rsidP="00FD4DF9">
      <w:pPr>
        <w:spacing w:before="240" w:after="240" w:line="360" w:lineRule="auto"/>
        <w:jc w:val="both"/>
        <w:rPr>
          <w:rFonts w:ascii="Palatino Linotype" w:eastAsia="Palatino Linotype" w:hAnsi="Palatino Linotype" w:cs="Palatino Linotype"/>
          <w:sz w:val="22"/>
          <w:szCs w:val="22"/>
        </w:rPr>
      </w:pPr>
      <w:r w:rsidRPr="004440D5">
        <w:rPr>
          <w:rFonts w:ascii="Palatino Linotype" w:eastAsia="Palatino Linotype" w:hAnsi="Palatino Linotype" w:cs="Palatino Linotype"/>
          <w:b/>
          <w:sz w:val="22"/>
          <w:szCs w:val="22"/>
        </w:rPr>
        <w:t xml:space="preserve">Cuarto. </w:t>
      </w:r>
      <w:r w:rsidRPr="004440D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440D5">
        <w:rPr>
          <w:rFonts w:ascii="Palatino Linotype" w:eastAsia="Palatino Linotype" w:hAnsi="Palatino Linotype" w:cs="Palatino Linotype"/>
          <w:b/>
          <w:sz w:val="22"/>
          <w:szCs w:val="22"/>
        </w:rPr>
        <w:t>Sujeto Obligado</w:t>
      </w:r>
      <w:r w:rsidRPr="004440D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4440D5" w:rsidRDefault="00F36565" w:rsidP="00FD4DF9">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4440D5">
        <w:rPr>
          <w:rFonts w:ascii="Palatino Linotype" w:eastAsia="Palatino Linotype" w:hAnsi="Palatino Linotype" w:cs="Palatino Linotype"/>
          <w:b/>
          <w:sz w:val="22"/>
          <w:szCs w:val="22"/>
        </w:rPr>
        <w:t xml:space="preserve">Quinto. Notifíquese vía SAIMEX, </w:t>
      </w:r>
      <w:r w:rsidRPr="004440D5">
        <w:rPr>
          <w:rFonts w:ascii="Palatino Linotype" w:eastAsia="Palatino Linotype" w:hAnsi="Palatino Linotype" w:cs="Palatino Linotype"/>
          <w:sz w:val="22"/>
          <w:szCs w:val="22"/>
        </w:rPr>
        <w:t>a</w:t>
      </w:r>
      <w:r w:rsidRPr="004440D5">
        <w:rPr>
          <w:rFonts w:ascii="Palatino Linotype" w:eastAsia="Palatino Linotype" w:hAnsi="Palatino Linotype" w:cs="Palatino Linotype"/>
          <w:b/>
          <w:sz w:val="22"/>
          <w:szCs w:val="22"/>
        </w:rPr>
        <w:t xml:space="preserve"> la parte Recurrente</w:t>
      </w:r>
      <w:r w:rsidRPr="004440D5">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F0A872F" w14:textId="77777777" w:rsidR="00A41AFE" w:rsidRPr="004440D5" w:rsidRDefault="00A41AFE" w:rsidP="00FD4DF9">
      <w:pPr>
        <w:spacing w:line="360" w:lineRule="auto"/>
        <w:jc w:val="both"/>
        <w:rPr>
          <w:rFonts w:ascii="Palatino Linotype" w:eastAsia="Palatino Linotype" w:hAnsi="Palatino Linotype" w:cs="Palatino Linotype"/>
          <w:sz w:val="22"/>
          <w:szCs w:val="22"/>
        </w:rPr>
      </w:pPr>
    </w:p>
    <w:p w14:paraId="2AC63E3A" w14:textId="77777777" w:rsidR="00C877F6" w:rsidRPr="004440D5" w:rsidRDefault="00C877F6" w:rsidP="00FD4DF9">
      <w:pPr>
        <w:spacing w:line="360" w:lineRule="auto"/>
        <w:jc w:val="both"/>
        <w:rPr>
          <w:rFonts w:ascii="Palatino Linotype" w:eastAsia="Palatino Linotype" w:hAnsi="Palatino Linotype" w:cs="Palatino Linotype"/>
          <w:b/>
          <w:sz w:val="22"/>
          <w:szCs w:val="22"/>
        </w:rPr>
      </w:pPr>
    </w:p>
    <w:p w14:paraId="124DF890" w14:textId="39B2D47C" w:rsidR="00C877F6" w:rsidRPr="00A41AFE" w:rsidRDefault="00F36565" w:rsidP="00FD4DF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4440D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D2D7F" w:rsidRPr="004440D5">
        <w:rPr>
          <w:rFonts w:ascii="Palatino Linotype" w:eastAsia="Palatino Linotype" w:hAnsi="Palatino Linotype" w:cs="Palatino Linotype"/>
          <w:sz w:val="22"/>
          <w:szCs w:val="22"/>
        </w:rPr>
        <w:t>PRIMERA</w:t>
      </w:r>
      <w:r w:rsidRPr="004440D5">
        <w:rPr>
          <w:rFonts w:ascii="Palatino Linotype" w:eastAsia="Palatino Linotype" w:hAnsi="Palatino Linotype" w:cs="Palatino Linotype"/>
          <w:sz w:val="22"/>
          <w:szCs w:val="22"/>
        </w:rPr>
        <w:t xml:space="preserve"> S</w:t>
      </w:r>
      <w:r w:rsidR="001244B6" w:rsidRPr="004440D5">
        <w:rPr>
          <w:rFonts w:ascii="Palatino Linotype" w:eastAsia="Palatino Linotype" w:hAnsi="Palatino Linotype" w:cs="Palatino Linotype"/>
          <w:sz w:val="22"/>
          <w:szCs w:val="22"/>
        </w:rPr>
        <w:t xml:space="preserve">ESIÓN ORDINARIA CELEBRADA EL </w:t>
      </w:r>
      <w:r w:rsidR="00966D68" w:rsidRPr="004440D5">
        <w:rPr>
          <w:rFonts w:ascii="Palatino Linotype" w:eastAsia="Palatino Linotype" w:hAnsi="Palatino Linotype" w:cs="Palatino Linotype"/>
          <w:sz w:val="22"/>
          <w:szCs w:val="22"/>
        </w:rPr>
        <w:t>CATORCE</w:t>
      </w:r>
      <w:r w:rsidR="004F6B10" w:rsidRPr="004440D5">
        <w:rPr>
          <w:rFonts w:ascii="Palatino Linotype" w:eastAsia="Palatino Linotype" w:hAnsi="Palatino Linotype" w:cs="Palatino Linotype"/>
          <w:sz w:val="22"/>
          <w:szCs w:val="22"/>
        </w:rPr>
        <w:t xml:space="preserve"> </w:t>
      </w:r>
      <w:r w:rsidRPr="004440D5">
        <w:rPr>
          <w:rFonts w:ascii="Palatino Linotype" w:eastAsia="Palatino Linotype" w:hAnsi="Palatino Linotype" w:cs="Palatino Linotype"/>
          <w:sz w:val="22"/>
          <w:szCs w:val="22"/>
        </w:rPr>
        <w:t xml:space="preserve">DE </w:t>
      </w:r>
      <w:r w:rsidR="00966D68" w:rsidRPr="004440D5">
        <w:rPr>
          <w:rFonts w:ascii="Palatino Linotype" w:eastAsia="Palatino Linotype" w:hAnsi="Palatino Linotype" w:cs="Palatino Linotype"/>
          <w:sz w:val="22"/>
          <w:szCs w:val="22"/>
        </w:rPr>
        <w:t>ENERO</w:t>
      </w:r>
      <w:r w:rsidRPr="004440D5">
        <w:rPr>
          <w:rFonts w:ascii="Palatino Linotype" w:eastAsia="Palatino Linotype" w:hAnsi="Palatino Linotype" w:cs="Palatino Linotype"/>
          <w:sz w:val="22"/>
          <w:szCs w:val="22"/>
        </w:rPr>
        <w:t xml:space="preserve"> </w:t>
      </w:r>
      <w:r w:rsidR="00966D68" w:rsidRPr="004440D5">
        <w:rPr>
          <w:rFonts w:ascii="Palatino Linotype" w:eastAsia="Palatino Linotype" w:hAnsi="Palatino Linotype" w:cs="Palatino Linotype"/>
          <w:sz w:val="22"/>
          <w:szCs w:val="22"/>
        </w:rPr>
        <w:t>DE DOS MIL VEINTISÉIS</w:t>
      </w:r>
      <w:r w:rsidRPr="004440D5">
        <w:rPr>
          <w:rFonts w:ascii="Palatino Linotype" w:eastAsia="Palatino Linotype" w:hAnsi="Palatino Linotype" w:cs="Palatino Linotype"/>
          <w:sz w:val="22"/>
          <w:szCs w:val="22"/>
        </w:rPr>
        <w:t>, ANTE EL SECRETARIO TÉCNICO DEL PLENO ALEXIS TAPIA RAMÍREZ.</w:t>
      </w:r>
    </w:p>
    <w:p w14:paraId="54455659" w14:textId="77777777" w:rsidR="00C877F6" w:rsidRPr="00A41AFE"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A41AFE"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A41AFE"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A41AFE"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A41AFE" w:rsidRDefault="00C877F6" w:rsidP="00FD4DF9">
      <w:pPr>
        <w:spacing w:line="360" w:lineRule="auto"/>
        <w:ind w:right="-93"/>
        <w:jc w:val="both"/>
        <w:rPr>
          <w:rFonts w:ascii="Palatino Linotype" w:eastAsia="Palatino Linotype" w:hAnsi="Palatino Linotype" w:cs="Palatino Linotype"/>
          <w:sz w:val="22"/>
          <w:szCs w:val="22"/>
        </w:rPr>
      </w:pPr>
    </w:p>
    <w:p w14:paraId="1A57851A" w14:textId="77777777" w:rsidR="00C877F6" w:rsidRPr="00A41AFE" w:rsidRDefault="00C877F6" w:rsidP="00FD4DF9">
      <w:pPr>
        <w:spacing w:line="360" w:lineRule="auto"/>
        <w:ind w:right="49"/>
        <w:jc w:val="both"/>
        <w:rPr>
          <w:rFonts w:ascii="Palatino Linotype" w:eastAsia="Palatino Linotype" w:hAnsi="Palatino Linotype" w:cs="Palatino Linotype"/>
          <w:sz w:val="22"/>
          <w:szCs w:val="22"/>
        </w:rPr>
      </w:pPr>
    </w:p>
    <w:p w14:paraId="31F11262"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085AFA32"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253CF34F"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2E4ED872"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21D2507A"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1C66219A"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1523DD26"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1BE7CA3B"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26460197"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66B7D49F"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3564BEA4"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74F25C1D"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10C4A9C4"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63B186F6"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2C938580"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32755C30"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5B5E6B5D"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5049A507"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344CDA01"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035437C0"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p w14:paraId="50EB7CFE" w14:textId="77777777" w:rsidR="00A41AFE" w:rsidRPr="00A41AFE" w:rsidRDefault="00A41AFE" w:rsidP="00FD4DF9">
      <w:pPr>
        <w:spacing w:line="360" w:lineRule="auto"/>
        <w:ind w:right="49"/>
        <w:jc w:val="both"/>
        <w:rPr>
          <w:rFonts w:ascii="Palatino Linotype" w:eastAsia="Palatino Linotype" w:hAnsi="Palatino Linotype" w:cs="Palatino Linotype"/>
          <w:sz w:val="22"/>
          <w:szCs w:val="22"/>
        </w:rPr>
      </w:pPr>
    </w:p>
    <w:sectPr w:rsidR="00A41AFE" w:rsidRPr="00A41AFE">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EA19E" w14:textId="77777777" w:rsidR="004A3600" w:rsidRDefault="004A3600">
      <w:r>
        <w:separator/>
      </w:r>
    </w:p>
  </w:endnote>
  <w:endnote w:type="continuationSeparator" w:id="0">
    <w:p w14:paraId="364785D3" w14:textId="77777777" w:rsidR="004A3600" w:rsidRDefault="004A3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3BACBA6F-91FB-428A-93FB-BCA24DBC3565}"/>
    <w:embedBold r:id="rId2" w:fontKey="{3E41DA16-5B24-4307-92E2-99A83AFB4877}"/>
    <w:embedItalic r:id="rId3" w:fontKey="{A1290C91-8A59-47B3-8BE6-CB8FCF047DFE}"/>
    <w:embedBoldItalic r:id="rId4" w:fontKey="{C8B29C1F-A587-4015-9521-3202BD7EB18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503DC315-F527-46FC-A3F5-5CE63F8ECFE6}"/>
    <w:embedBold r:id="rId6" w:fontKey="{ECFE7415-8746-4348-A913-3E51858D50E6}"/>
    <w:embedItalic r:id="rId7" w:fontKey="{EF1F595E-CD26-436C-93F6-963D417C1109}"/>
    <w:embedBoldItalic r:id="rId8" w:fontKey="{D965CCFD-4D3E-422B-804E-FDF7F4B7ADA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A53DA399-0E3C-4510-A9D2-92DECF869069}"/>
    <w:embedBold r:id="rId10" w:fontKey="{053E5BC7-BD65-4F42-9650-5E25F37859B4}"/>
    <w:embedItalic r:id="rId11" w:fontKey="{7037123A-408D-4F70-8C15-55D1476E741F}"/>
  </w:font>
  <w:font w:name="Georgia">
    <w:panose1 w:val="02040502050405020303"/>
    <w:charset w:val="00"/>
    <w:family w:val="roman"/>
    <w:pitch w:val="variable"/>
    <w:sig w:usb0="00000287" w:usb1="00000000" w:usb2="00000000" w:usb3="00000000" w:csb0="0000009F" w:csb1="00000000"/>
    <w:embedRegular r:id="rId12" w:fontKey="{C11E7E96-FC9A-43D0-B63C-FFDA9895C065}"/>
    <w:embedItalic r:id="rId13" w:fontKey="{EFF6A70E-4C25-49E4-AB6E-27A2CC8E927A}"/>
  </w:font>
  <w:font w:name="Bookman Old Style">
    <w:panose1 w:val="02050604050505020204"/>
    <w:charset w:val="00"/>
    <w:family w:val="roman"/>
    <w:pitch w:val="variable"/>
    <w:sig w:usb0="00000287" w:usb1="00000000" w:usb2="00000000" w:usb3="00000000" w:csb0="0000009F" w:csb1="00000000"/>
    <w:embedRegular r:id="rId14" w:fontKey="{C5F85B69-68AB-4CD4-8C86-7C7403F116A9}"/>
  </w:font>
  <w:font w:name="Calibri Light">
    <w:panose1 w:val="020F0302020204030204"/>
    <w:charset w:val="00"/>
    <w:family w:val="swiss"/>
    <w:pitch w:val="variable"/>
    <w:sig w:usb0="E4002EFF" w:usb1="C200247B" w:usb2="00000009" w:usb3="00000000" w:csb0="000001FF" w:csb1="00000000"/>
    <w:embedRegular r:id="rId15" w:fontKey="{1A2333F4-410A-4C00-A0A2-14F340F019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32FBB1C6" w:rsidR="00E67377" w:rsidRDefault="00E6737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B71CF">
      <w:rPr>
        <w:b/>
        <w:noProof/>
        <w:color w:val="000000"/>
      </w:rPr>
      <w:t>39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B71CF">
      <w:rPr>
        <w:b/>
        <w:noProof/>
        <w:color w:val="000000"/>
      </w:rPr>
      <w:t>41</w:t>
    </w:r>
    <w:r>
      <w:rPr>
        <w:b/>
        <w:color w:val="000000"/>
      </w:rPr>
      <w:fldChar w:fldCharType="end"/>
    </w:r>
  </w:p>
  <w:p w14:paraId="7AE4EEFD" w14:textId="77777777" w:rsidR="00E67377" w:rsidRDefault="00E673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79391542" w:rsidR="00E67377" w:rsidRDefault="00E67377">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B71C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B71CF">
      <w:rPr>
        <w:b/>
        <w:noProof/>
        <w:color w:val="000000"/>
      </w:rPr>
      <w:t>41</w:t>
    </w:r>
    <w:r>
      <w:rPr>
        <w:b/>
        <w:color w:val="000000"/>
      </w:rPr>
      <w:fldChar w:fldCharType="end"/>
    </w:r>
  </w:p>
  <w:p w14:paraId="6675DA9D" w14:textId="77777777" w:rsidR="00E67377" w:rsidRDefault="00E673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AAF4C" w14:textId="77777777" w:rsidR="004A3600" w:rsidRDefault="004A3600">
      <w:r>
        <w:separator/>
      </w:r>
    </w:p>
  </w:footnote>
  <w:footnote w:type="continuationSeparator" w:id="0">
    <w:p w14:paraId="2A63BDB6" w14:textId="77777777" w:rsidR="004A3600" w:rsidRDefault="004A36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E67377" w:rsidRDefault="00E67377">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E67377" w14:paraId="3DE1F927" w14:textId="77777777">
      <w:tc>
        <w:tcPr>
          <w:tcW w:w="2551" w:type="dxa"/>
          <w:vAlign w:val="center"/>
        </w:tcPr>
        <w:p w14:paraId="27218DF9"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57B35401" w:rsidR="00E67377" w:rsidRDefault="00E67377"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w:t>
          </w:r>
          <w:r w:rsidR="006A09C2">
            <w:rPr>
              <w:rFonts w:ascii="Palatino Linotype" w:eastAsia="Palatino Linotype" w:hAnsi="Palatino Linotype" w:cs="Palatino Linotype"/>
              <w:b/>
              <w:color w:val="000000"/>
              <w:sz w:val="22"/>
              <w:szCs w:val="22"/>
            </w:rPr>
            <w:t>9569</w:t>
          </w:r>
          <w:r w:rsidRPr="000975B5">
            <w:rPr>
              <w:rFonts w:ascii="Palatino Linotype" w:eastAsia="Palatino Linotype" w:hAnsi="Palatino Linotype" w:cs="Palatino Linotype"/>
              <w:b/>
              <w:color w:val="000000"/>
              <w:sz w:val="22"/>
              <w:szCs w:val="22"/>
            </w:rPr>
            <w:t>/INFOEM/IP/RR/2025</w:t>
          </w:r>
        </w:p>
      </w:tc>
    </w:tr>
    <w:tr w:rsidR="00E67377" w14:paraId="6E2D1273" w14:textId="77777777">
      <w:trPr>
        <w:trHeight w:val="217"/>
      </w:trPr>
      <w:tc>
        <w:tcPr>
          <w:tcW w:w="2551" w:type="dxa"/>
          <w:vAlign w:val="center"/>
        </w:tcPr>
        <w:p w14:paraId="21203565"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B357342" w:rsidR="00E67377" w:rsidRDefault="00E67377"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Oficialía Mayor</w:t>
          </w:r>
        </w:p>
      </w:tc>
    </w:tr>
    <w:tr w:rsidR="00E67377" w14:paraId="651D01A7" w14:textId="77777777">
      <w:tc>
        <w:tcPr>
          <w:tcW w:w="2551" w:type="dxa"/>
          <w:vAlign w:val="center"/>
        </w:tcPr>
        <w:p w14:paraId="5229B5A5"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E67377" w:rsidRDefault="00E67377">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E67377" w:rsidRDefault="00E67377">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E67377" w14:paraId="1419E4B9" w14:textId="77777777">
      <w:tc>
        <w:tcPr>
          <w:tcW w:w="2343" w:type="dxa"/>
          <w:vAlign w:val="center"/>
        </w:tcPr>
        <w:p w14:paraId="0A4DAE44"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00DF0202" w:rsidR="00E67377" w:rsidRDefault="00E67377" w:rsidP="0097762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w:t>
          </w:r>
          <w:r w:rsidR="006A09C2">
            <w:rPr>
              <w:rFonts w:ascii="Palatino Linotype" w:eastAsia="Palatino Linotype" w:hAnsi="Palatino Linotype" w:cs="Palatino Linotype"/>
              <w:b/>
              <w:color w:val="000000"/>
              <w:sz w:val="22"/>
              <w:szCs w:val="22"/>
            </w:rPr>
            <w:t>9569</w:t>
          </w:r>
          <w:r w:rsidRPr="000975B5">
            <w:rPr>
              <w:rFonts w:ascii="Palatino Linotype" w:eastAsia="Palatino Linotype" w:hAnsi="Palatino Linotype" w:cs="Palatino Linotype"/>
              <w:b/>
              <w:color w:val="000000"/>
              <w:sz w:val="22"/>
              <w:szCs w:val="22"/>
            </w:rPr>
            <w:t>/INFOEM/IP/RR/2025</w:t>
          </w:r>
        </w:p>
      </w:tc>
    </w:tr>
    <w:tr w:rsidR="00E67377" w14:paraId="5406FED2" w14:textId="77777777">
      <w:tc>
        <w:tcPr>
          <w:tcW w:w="2343" w:type="dxa"/>
          <w:vAlign w:val="center"/>
        </w:tcPr>
        <w:p w14:paraId="40683B83"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5F4CA82D" w:rsidR="00E67377" w:rsidRDefault="008B71CF" w:rsidP="008B71C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 XXXXXXXX </w:t>
          </w:r>
        </w:p>
      </w:tc>
    </w:tr>
    <w:tr w:rsidR="00E67377" w14:paraId="0CE2BEAE" w14:textId="77777777">
      <w:trPr>
        <w:trHeight w:val="152"/>
      </w:trPr>
      <w:tc>
        <w:tcPr>
          <w:tcW w:w="2343" w:type="dxa"/>
          <w:vAlign w:val="center"/>
        </w:tcPr>
        <w:p w14:paraId="2B6A9907" w14:textId="77777777" w:rsidR="00E67377" w:rsidRDefault="00E67377">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E67377" w:rsidRDefault="00E67377">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0015B0C6" w:rsidR="00E67377" w:rsidRDefault="00E67377"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Oficialía Mayor</w:t>
          </w:r>
        </w:p>
      </w:tc>
    </w:tr>
    <w:tr w:rsidR="00E67377" w14:paraId="1EF4B579" w14:textId="77777777">
      <w:tc>
        <w:tcPr>
          <w:tcW w:w="2343" w:type="dxa"/>
          <w:vAlign w:val="center"/>
        </w:tcPr>
        <w:p w14:paraId="71B9E111"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E67377" w:rsidRDefault="00E6737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E67377" w:rsidRDefault="00E67377">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5F51BE"/>
    <w:multiLevelType w:val="multilevel"/>
    <w:tmpl w:val="435ED1BA"/>
    <w:lvl w:ilvl="0">
      <w:start w:val="1"/>
      <w:numFmt w:val="lowerLetter"/>
      <w:lvlText w:val="%1)"/>
      <w:lvlJc w:val="left"/>
      <w:pPr>
        <w:ind w:left="720" w:hanging="360"/>
      </w:pPr>
      <w:rPr>
        <w:rFonts w:ascii="Times New Roman" w:hAnsi="Times New Roman" w:cs="Times New Roman" w:hint="default"/>
        <w:b/>
        <w:bCs w:val="0"/>
        <w:sz w:val="22"/>
        <w:szCs w:val="22"/>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CC517CF"/>
    <w:multiLevelType w:val="hybridMultilevel"/>
    <w:tmpl w:val="3CC02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4"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EB1088"/>
    <w:multiLevelType w:val="multilevel"/>
    <w:tmpl w:val="DADA86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1"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4"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6"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5"/>
  </w:num>
  <w:num w:numId="3">
    <w:abstractNumId w:val="27"/>
  </w:num>
  <w:num w:numId="4">
    <w:abstractNumId w:val="42"/>
  </w:num>
  <w:num w:numId="5">
    <w:abstractNumId w:val="15"/>
  </w:num>
  <w:num w:numId="6">
    <w:abstractNumId w:val="36"/>
  </w:num>
  <w:num w:numId="7">
    <w:abstractNumId w:val="43"/>
  </w:num>
  <w:num w:numId="8">
    <w:abstractNumId w:val="8"/>
  </w:num>
  <w:num w:numId="9">
    <w:abstractNumId w:val="0"/>
  </w:num>
  <w:num w:numId="10">
    <w:abstractNumId w:val="4"/>
  </w:num>
  <w:num w:numId="11">
    <w:abstractNumId w:val="32"/>
  </w:num>
  <w:num w:numId="12">
    <w:abstractNumId w:val="21"/>
  </w:num>
  <w:num w:numId="13">
    <w:abstractNumId w:val="31"/>
  </w:num>
  <w:num w:numId="14">
    <w:abstractNumId w:val="30"/>
  </w:num>
  <w:num w:numId="15">
    <w:abstractNumId w:val="19"/>
  </w:num>
  <w:num w:numId="16">
    <w:abstractNumId w:val="17"/>
  </w:num>
  <w:num w:numId="17">
    <w:abstractNumId w:val="41"/>
  </w:num>
  <w:num w:numId="18">
    <w:abstractNumId w:val="38"/>
  </w:num>
  <w:num w:numId="19">
    <w:abstractNumId w:val="18"/>
  </w:num>
  <w:num w:numId="20">
    <w:abstractNumId w:val="37"/>
  </w:num>
  <w:num w:numId="21">
    <w:abstractNumId w:val="1"/>
  </w:num>
  <w:num w:numId="22">
    <w:abstractNumId w:val="14"/>
  </w:num>
  <w:num w:numId="23">
    <w:abstractNumId w:val="16"/>
  </w:num>
  <w:num w:numId="24">
    <w:abstractNumId w:val="3"/>
  </w:num>
  <w:num w:numId="25">
    <w:abstractNumId w:val="13"/>
  </w:num>
  <w:num w:numId="26">
    <w:abstractNumId w:val="24"/>
  </w:num>
  <w:num w:numId="27">
    <w:abstractNumId w:val="12"/>
  </w:num>
  <w:num w:numId="28">
    <w:abstractNumId w:val="40"/>
  </w:num>
  <w:num w:numId="29">
    <w:abstractNumId w:val="34"/>
  </w:num>
  <w:num w:numId="30">
    <w:abstractNumId w:val="25"/>
  </w:num>
  <w:num w:numId="31">
    <w:abstractNumId w:val="2"/>
  </w:num>
  <w:num w:numId="32">
    <w:abstractNumId w:val="7"/>
  </w:num>
  <w:num w:numId="33">
    <w:abstractNumId w:val="29"/>
  </w:num>
  <w:num w:numId="34">
    <w:abstractNumId w:val="11"/>
  </w:num>
  <w:num w:numId="35">
    <w:abstractNumId w:val="33"/>
  </w:num>
  <w:num w:numId="36">
    <w:abstractNumId w:val="22"/>
  </w:num>
  <w:num w:numId="37">
    <w:abstractNumId w:val="9"/>
  </w:num>
  <w:num w:numId="38">
    <w:abstractNumId w:val="35"/>
  </w:num>
  <w:num w:numId="39">
    <w:abstractNumId w:val="39"/>
  </w:num>
  <w:num w:numId="40">
    <w:abstractNumId w:val="23"/>
  </w:num>
  <w:num w:numId="41">
    <w:abstractNumId w:val="10"/>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20CF9"/>
    <w:rsid w:val="00051065"/>
    <w:rsid w:val="00082583"/>
    <w:rsid w:val="00085E1F"/>
    <w:rsid w:val="00094655"/>
    <w:rsid w:val="00095D78"/>
    <w:rsid w:val="000975B5"/>
    <w:rsid w:val="000976C0"/>
    <w:rsid w:val="000B1C80"/>
    <w:rsid w:val="000C1BE9"/>
    <w:rsid w:val="000C2D35"/>
    <w:rsid w:val="000C77C7"/>
    <w:rsid w:val="001003EC"/>
    <w:rsid w:val="00102B00"/>
    <w:rsid w:val="0010766B"/>
    <w:rsid w:val="0012241A"/>
    <w:rsid w:val="001244B6"/>
    <w:rsid w:val="00137C81"/>
    <w:rsid w:val="00167CFB"/>
    <w:rsid w:val="001713BF"/>
    <w:rsid w:val="0017592D"/>
    <w:rsid w:val="001804BD"/>
    <w:rsid w:val="00196A12"/>
    <w:rsid w:val="001B3325"/>
    <w:rsid w:val="001D4636"/>
    <w:rsid w:val="001D5226"/>
    <w:rsid w:val="001D62BC"/>
    <w:rsid w:val="001D6EDC"/>
    <w:rsid w:val="001E1DD6"/>
    <w:rsid w:val="001F1CA8"/>
    <w:rsid w:val="00215433"/>
    <w:rsid w:val="00220962"/>
    <w:rsid w:val="00251552"/>
    <w:rsid w:val="00261424"/>
    <w:rsid w:val="00294BBE"/>
    <w:rsid w:val="002A0578"/>
    <w:rsid w:val="002A38A5"/>
    <w:rsid w:val="002A642E"/>
    <w:rsid w:val="002C63CA"/>
    <w:rsid w:val="002E51A0"/>
    <w:rsid w:val="002E73A2"/>
    <w:rsid w:val="002F0436"/>
    <w:rsid w:val="002F1DC0"/>
    <w:rsid w:val="002F289C"/>
    <w:rsid w:val="00302B0A"/>
    <w:rsid w:val="00310705"/>
    <w:rsid w:val="00310C2F"/>
    <w:rsid w:val="00313334"/>
    <w:rsid w:val="0034064C"/>
    <w:rsid w:val="003412FF"/>
    <w:rsid w:val="00357E62"/>
    <w:rsid w:val="00362AE5"/>
    <w:rsid w:val="00381615"/>
    <w:rsid w:val="003817BB"/>
    <w:rsid w:val="00382B63"/>
    <w:rsid w:val="0038550E"/>
    <w:rsid w:val="003B226A"/>
    <w:rsid w:val="003B3365"/>
    <w:rsid w:val="003B67F8"/>
    <w:rsid w:val="003B746B"/>
    <w:rsid w:val="003C22F4"/>
    <w:rsid w:val="003C7D63"/>
    <w:rsid w:val="003D17CE"/>
    <w:rsid w:val="003F6A2A"/>
    <w:rsid w:val="00404717"/>
    <w:rsid w:val="00410511"/>
    <w:rsid w:val="00413D80"/>
    <w:rsid w:val="00420717"/>
    <w:rsid w:val="00421C3A"/>
    <w:rsid w:val="00431850"/>
    <w:rsid w:val="004440D5"/>
    <w:rsid w:val="00457B72"/>
    <w:rsid w:val="00473434"/>
    <w:rsid w:val="0047539B"/>
    <w:rsid w:val="00490CCB"/>
    <w:rsid w:val="004A3600"/>
    <w:rsid w:val="004B381B"/>
    <w:rsid w:val="004B61FF"/>
    <w:rsid w:val="004C0383"/>
    <w:rsid w:val="004C0BA5"/>
    <w:rsid w:val="004D0543"/>
    <w:rsid w:val="004D0883"/>
    <w:rsid w:val="004D5BAF"/>
    <w:rsid w:val="004E5770"/>
    <w:rsid w:val="004F119B"/>
    <w:rsid w:val="004F6B10"/>
    <w:rsid w:val="00500764"/>
    <w:rsid w:val="00507CDE"/>
    <w:rsid w:val="005116B7"/>
    <w:rsid w:val="00541989"/>
    <w:rsid w:val="00541C72"/>
    <w:rsid w:val="00571BF7"/>
    <w:rsid w:val="00574C31"/>
    <w:rsid w:val="005838D9"/>
    <w:rsid w:val="005879DF"/>
    <w:rsid w:val="0059440A"/>
    <w:rsid w:val="005A4875"/>
    <w:rsid w:val="005A668A"/>
    <w:rsid w:val="005B15F7"/>
    <w:rsid w:val="005B4D25"/>
    <w:rsid w:val="005B79A1"/>
    <w:rsid w:val="005C3FA2"/>
    <w:rsid w:val="005D5CD3"/>
    <w:rsid w:val="005E1786"/>
    <w:rsid w:val="005F150F"/>
    <w:rsid w:val="005F7B9F"/>
    <w:rsid w:val="00605693"/>
    <w:rsid w:val="00607DE9"/>
    <w:rsid w:val="00611E80"/>
    <w:rsid w:val="006225B4"/>
    <w:rsid w:val="00625658"/>
    <w:rsid w:val="0063435E"/>
    <w:rsid w:val="00634BF1"/>
    <w:rsid w:val="006418B2"/>
    <w:rsid w:val="006435F9"/>
    <w:rsid w:val="00646662"/>
    <w:rsid w:val="00654E9A"/>
    <w:rsid w:val="00661FC5"/>
    <w:rsid w:val="006713EE"/>
    <w:rsid w:val="00684A3C"/>
    <w:rsid w:val="00692CEB"/>
    <w:rsid w:val="006A09C2"/>
    <w:rsid w:val="006A39B4"/>
    <w:rsid w:val="006B77A3"/>
    <w:rsid w:val="006C15F1"/>
    <w:rsid w:val="006C16ED"/>
    <w:rsid w:val="006C5268"/>
    <w:rsid w:val="006D2F09"/>
    <w:rsid w:val="006D4A7D"/>
    <w:rsid w:val="006D7A5A"/>
    <w:rsid w:val="006E3D32"/>
    <w:rsid w:val="00711AC0"/>
    <w:rsid w:val="007127FF"/>
    <w:rsid w:val="0071714D"/>
    <w:rsid w:val="00730086"/>
    <w:rsid w:val="00730751"/>
    <w:rsid w:val="00740429"/>
    <w:rsid w:val="007425E8"/>
    <w:rsid w:val="00751375"/>
    <w:rsid w:val="007668BD"/>
    <w:rsid w:val="007671AC"/>
    <w:rsid w:val="007830DC"/>
    <w:rsid w:val="007A250C"/>
    <w:rsid w:val="007B56DB"/>
    <w:rsid w:val="007B72D0"/>
    <w:rsid w:val="007C365E"/>
    <w:rsid w:val="007C7D62"/>
    <w:rsid w:val="007D2D7F"/>
    <w:rsid w:val="007E4F33"/>
    <w:rsid w:val="007F783F"/>
    <w:rsid w:val="00807BED"/>
    <w:rsid w:val="00816709"/>
    <w:rsid w:val="00822FC6"/>
    <w:rsid w:val="0083209D"/>
    <w:rsid w:val="00843597"/>
    <w:rsid w:val="00844F86"/>
    <w:rsid w:val="0085476E"/>
    <w:rsid w:val="00862F3D"/>
    <w:rsid w:val="00894CCE"/>
    <w:rsid w:val="0089595B"/>
    <w:rsid w:val="008A3B54"/>
    <w:rsid w:val="008A5D19"/>
    <w:rsid w:val="008B602C"/>
    <w:rsid w:val="008B71CF"/>
    <w:rsid w:val="008C6244"/>
    <w:rsid w:val="008D5208"/>
    <w:rsid w:val="008D5D61"/>
    <w:rsid w:val="008E4A90"/>
    <w:rsid w:val="008E5996"/>
    <w:rsid w:val="00905B5E"/>
    <w:rsid w:val="0090737F"/>
    <w:rsid w:val="00921774"/>
    <w:rsid w:val="009327DB"/>
    <w:rsid w:val="009456FA"/>
    <w:rsid w:val="00966D68"/>
    <w:rsid w:val="00973790"/>
    <w:rsid w:val="0097762C"/>
    <w:rsid w:val="00992177"/>
    <w:rsid w:val="00993A3E"/>
    <w:rsid w:val="00995DE6"/>
    <w:rsid w:val="0099760F"/>
    <w:rsid w:val="009B04D2"/>
    <w:rsid w:val="009C5423"/>
    <w:rsid w:val="009C72B5"/>
    <w:rsid w:val="009D0B8C"/>
    <w:rsid w:val="009D53E9"/>
    <w:rsid w:val="009D7717"/>
    <w:rsid w:val="009E6D8C"/>
    <w:rsid w:val="009F2A51"/>
    <w:rsid w:val="00A051FE"/>
    <w:rsid w:val="00A07043"/>
    <w:rsid w:val="00A10647"/>
    <w:rsid w:val="00A11677"/>
    <w:rsid w:val="00A2378F"/>
    <w:rsid w:val="00A245EE"/>
    <w:rsid w:val="00A2697B"/>
    <w:rsid w:val="00A334ED"/>
    <w:rsid w:val="00A41AFE"/>
    <w:rsid w:val="00A51182"/>
    <w:rsid w:val="00A80509"/>
    <w:rsid w:val="00A87C55"/>
    <w:rsid w:val="00A91027"/>
    <w:rsid w:val="00A95C68"/>
    <w:rsid w:val="00AA08AE"/>
    <w:rsid w:val="00AA353B"/>
    <w:rsid w:val="00AA5D5B"/>
    <w:rsid w:val="00AA5E13"/>
    <w:rsid w:val="00AB100B"/>
    <w:rsid w:val="00AC3A71"/>
    <w:rsid w:val="00AD3D12"/>
    <w:rsid w:val="00AD59E3"/>
    <w:rsid w:val="00AE181D"/>
    <w:rsid w:val="00AE4C99"/>
    <w:rsid w:val="00AE5F8A"/>
    <w:rsid w:val="00B01F31"/>
    <w:rsid w:val="00B11D16"/>
    <w:rsid w:val="00B1504E"/>
    <w:rsid w:val="00B46C8A"/>
    <w:rsid w:val="00B50956"/>
    <w:rsid w:val="00B55904"/>
    <w:rsid w:val="00B67B0F"/>
    <w:rsid w:val="00B82300"/>
    <w:rsid w:val="00B8230E"/>
    <w:rsid w:val="00B9356D"/>
    <w:rsid w:val="00BB7FF3"/>
    <w:rsid w:val="00BE5880"/>
    <w:rsid w:val="00BF7077"/>
    <w:rsid w:val="00C562F4"/>
    <w:rsid w:val="00C57FE2"/>
    <w:rsid w:val="00C624CE"/>
    <w:rsid w:val="00C65A4E"/>
    <w:rsid w:val="00C66ED7"/>
    <w:rsid w:val="00C82D14"/>
    <w:rsid w:val="00C877F6"/>
    <w:rsid w:val="00C901D4"/>
    <w:rsid w:val="00C975DF"/>
    <w:rsid w:val="00CA6FB7"/>
    <w:rsid w:val="00CB3964"/>
    <w:rsid w:val="00CD4BE9"/>
    <w:rsid w:val="00CD547C"/>
    <w:rsid w:val="00CF0CC5"/>
    <w:rsid w:val="00D06F57"/>
    <w:rsid w:val="00D166A5"/>
    <w:rsid w:val="00D261B6"/>
    <w:rsid w:val="00D3382D"/>
    <w:rsid w:val="00D47A86"/>
    <w:rsid w:val="00D5108C"/>
    <w:rsid w:val="00D548D9"/>
    <w:rsid w:val="00D57BE0"/>
    <w:rsid w:val="00D63364"/>
    <w:rsid w:val="00DA1AC9"/>
    <w:rsid w:val="00DA6825"/>
    <w:rsid w:val="00DB7600"/>
    <w:rsid w:val="00DC2CE2"/>
    <w:rsid w:val="00DC5898"/>
    <w:rsid w:val="00E21C9B"/>
    <w:rsid w:val="00E34B63"/>
    <w:rsid w:val="00E4018E"/>
    <w:rsid w:val="00E41166"/>
    <w:rsid w:val="00E41FFF"/>
    <w:rsid w:val="00E47E72"/>
    <w:rsid w:val="00E542DD"/>
    <w:rsid w:val="00E645F7"/>
    <w:rsid w:val="00E67377"/>
    <w:rsid w:val="00E74F20"/>
    <w:rsid w:val="00E8178B"/>
    <w:rsid w:val="00E90A7F"/>
    <w:rsid w:val="00E97AD5"/>
    <w:rsid w:val="00EA73D5"/>
    <w:rsid w:val="00EC3569"/>
    <w:rsid w:val="00EC43D4"/>
    <w:rsid w:val="00ED1F46"/>
    <w:rsid w:val="00EE30D8"/>
    <w:rsid w:val="00F11903"/>
    <w:rsid w:val="00F15588"/>
    <w:rsid w:val="00F32624"/>
    <w:rsid w:val="00F34865"/>
    <w:rsid w:val="00F36565"/>
    <w:rsid w:val="00F460C4"/>
    <w:rsid w:val="00F60B31"/>
    <w:rsid w:val="00F64A6C"/>
    <w:rsid w:val="00F80798"/>
    <w:rsid w:val="00F90408"/>
    <w:rsid w:val="00F93F24"/>
    <w:rsid w:val="00F969A8"/>
    <w:rsid w:val="00FA4221"/>
    <w:rsid w:val="00FA5673"/>
    <w:rsid w:val="00FA6C9F"/>
    <w:rsid w:val="00FB389B"/>
    <w:rsid w:val="00FC5984"/>
    <w:rsid w:val="00FD4DF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2224133">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888300167">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65448288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pomex.org.mx/ipomex/" TargetMode="Externa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11252</Words>
  <Characters>61890</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2026-01-16T17:01:00Z</cp:lastPrinted>
  <dcterms:created xsi:type="dcterms:W3CDTF">2026-03-18T17:55:00Z</dcterms:created>
  <dcterms:modified xsi:type="dcterms:W3CDTF">2026-03-18T17:55:00Z</dcterms:modified>
</cp:coreProperties>
</file>