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90" w:rsidRDefault="00F2586A">
      <w:pPr>
        <w:tabs>
          <w:tab w:val="left" w:pos="0"/>
        </w:tabs>
        <w:spacing w:before="240" w:after="240" w:line="360" w:lineRule="auto"/>
        <w:ind w:right="-101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160807">
        <w:rPr>
          <w:rFonts w:ascii="Palatino Linotype" w:eastAsia="Palatino Linotype" w:hAnsi="Palatino Linotype" w:cs="Palatino Linotype"/>
          <w:b/>
          <w:bCs/>
        </w:rPr>
        <w:t>fecha veintisiete</w:t>
      </w:r>
      <w:r w:rsidR="00F768C6">
        <w:rPr>
          <w:rFonts w:ascii="Palatino Linotype" w:eastAsia="Palatino Linotype" w:hAnsi="Palatino Linotype" w:cs="Palatino Linotype"/>
          <w:b/>
          <w:bCs/>
        </w:rPr>
        <w:t xml:space="preserve"> (27)</w:t>
      </w:r>
      <w:r w:rsidR="00160807">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B74D90" w:rsidRDefault="00F2586A">
      <w:pPr>
        <w:spacing w:before="240" w:after="240"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12258/INFOEM/IP/RR/2025 </w:t>
      </w:r>
      <w:r>
        <w:rPr>
          <w:rFonts w:ascii="Palatino Linotype" w:eastAsia="Palatino Linotype" w:hAnsi="Palatino Linotype" w:cs="Palatino Linotype"/>
        </w:rPr>
        <w:t xml:space="preserve">promovido por </w:t>
      </w:r>
      <w:r w:rsidR="00A91F5E">
        <w:rPr>
          <w:rFonts w:ascii="Palatino Linotype" w:eastAsia="Palatino Linotype" w:hAnsi="Palatino Linotype" w:cs="Palatino Linotype"/>
          <w:b/>
          <w:bCs/>
        </w:rPr>
        <w:t>XXXX</w:t>
      </w:r>
      <w:r>
        <w:rPr>
          <w:rFonts w:ascii="Palatino Linotype" w:eastAsia="Palatino Linotype" w:hAnsi="Palatino Linotype" w:cs="Palatino Linotype"/>
        </w:rPr>
        <w:t xml:space="preserve">, en lo sucesivo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Tenango del Valle,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se procede a dictar la presente resolución, con base en los siguientes:</w:t>
      </w:r>
    </w:p>
    <w:p w:rsidR="00F768C6" w:rsidRDefault="00F768C6">
      <w:pPr>
        <w:spacing w:before="240" w:after="240" w:line="360" w:lineRule="auto"/>
        <w:ind w:right="-1017"/>
        <w:jc w:val="both"/>
        <w:rPr>
          <w:rFonts w:ascii="Palatino Linotype" w:eastAsia="Palatino Linotype" w:hAnsi="Palatino Linotype" w:cs="Palatino Linotype"/>
        </w:rPr>
      </w:pPr>
    </w:p>
    <w:p w:rsidR="00B74D90" w:rsidRDefault="00F2586A">
      <w:pPr>
        <w:keepNext/>
        <w:keepLines/>
        <w:tabs>
          <w:tab w:val="left" w:pos="0"/>
        </w:tabs>
        <w:spacing w:before="240" w:after="240" w:line="360" w:lineRule="auto"/>
        <w:ind w:right="-1017"/>
        <w:jc w:val="center"/>
        <w:rPr>
          <w:rFonts w:ascii="Palatino Linotype" w:eastAsia="Palatino Linotype" w:hAnsi="Palatino Linotype" w:cs="Palatino Linotype"/>
          <w:b/>
          <w:bCs/>
        </w:rPr>
      </w:pPr>
      <w:bookmarkStart w:id="0" w:name="_heading=h.irg4tffhgj5g" w:colFirst="0" w:colLast="0"/>
      <w:bookmarkEnd w:id="0"/>
      <w:r>
        <w:rPr>
          <w:rFonts w:ascii="Palatino Linotype" w:eastAsia="Palatino Linotype" w:hAnsi="Palatino Linotype" w:cs="Palatino Linotype"/>
          <w:b/>
          <w:bCs/>
        </w:rPr>
        <w:t>A N T E C E D E N T E S</w:t>
      </w:r>
    </w:p>
    <w:p w:rsidR="00B74D90" w:rsidRDefault="00F2586A">
      <w:pPr>
        <w:numPr>
          <w:ilvl w:val="0"/>
          <w:numId w:val="3"/>
        </w:numPr>
        <w:tabs>
          <w:tab w:val="left" w:pos="0"/>
        </w:tabs>
        <w:spacing w:before="240" w:line="360" w:lineRule="auto"/>
        <w:ind w:left="0" w:right="-1017" w:firstLine="0"/>
        <w:jc w:val="both"/>
      </w:pPr>
      <w:r>
        <w:rPr>
          <w:rFonts w:ascii="Palatino Linotype" w:eastAsia="Palatino Linotype" w:hAnsi="Palatino Linotype" w:cs="Palatino Linotype"/>
        </w:rPr>
        <w:t>El uno de octubre de dos mil veinticinco, 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 la Plataforma digital Sistema de Acceso a la Información Mexiquense (SAIMEX), la solicitud de información pública registrada con el número </w:t>
      </w:r>
      <w:r>
        <w:rPr>
          <w:rFonts w:ascii="Palatino Linotype" w:eastAsia="Palatino Linotype" w:hAnsi="Palatino Linotype" w:cs="Palatino Linotype"/>
          <w:b/>
          <w:bCs/>
        </w:rPr>
        <w:t>00096/TENAVALL/IP/2025,</w:t>
      </w:r>
      <w:r>
        <w:rPr>
          <w:rFonts w:ascii="Palatino Linotype" w:eastAsia="Palatino Linotype" w:hAnsi="Palatino Linotype" w:cs="Palatino Linotype"/>
        </w:rPr>
        <w:t xml:space="preserve"> en la que se solicitó:</w:t>
      </w:r>
    </w:p>
    <w:p w:rsidR="00B74D90" w:rsidRDefault="00B74D90">
      <w:pPr>
        <w:ind w:right="-1017"/>
        <w:jc w:val="both"/>
        <w:rPr>
          <w:rFonts w:ascii="Palatino Linotype" w:eastAsia="Palatino Linotype" w:hAnsi="Palatino Linotype" w:cs="Palatino Linotype"/>
        </w:rPr>
      </w:pPr>
    </w:p>
    <w:p w:rsidR="00B74D90" w:rsidRDefault="00F2586A">
      <w:pP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REQUIERO CO</w:t>
      </w:r>
      <w:bookmarkStart w:id="1" w:name="_GoBack"/>
      <w:bookmarkEnd w:id="1"/>
      <w:r>
        <w:rPr>
          <w:rFonts w:ascii="Palatino Linotype" w:eastAsia="Palatino Linotype" w:hAnsi="Palatino Linotype" w:cs="Palatino Linotype"/>
          <w:i/>
          <w:iCs/>
        </w:rPr>
        <w:t xml:space="preserve">NOCER </w:t>
      </w:r>
      <w:r>
        <w:rPr>
          <w:rFonts w:ascii="Palatino Linotype" w:eastAsia="Palatino Linotype" w:hAnsi="Palatino Linotype" w:cs="Palatino Linotype"/>
          <w:b/>
          <w:bCs/>
          <w:i/>
          <w:iCs/>
        </w:rPr>
        <w:t xml:space="preserve">CONTRATO DE RELACION LABORAL </w:t>
      </w:r>
      <w:r>
        <w:rPr>
          <w:rFonts w:ascii="Palatino Linotype" w:eastAsia="Palatino Linotype" w:hAnsi="Palatino Linotype" w:cs="Palatino Linotype"/>
          <w:i/>
          <w:iCs/>
        </w:rPr>
        <w:t xml:space="preserve">DEL PERSONAL DE TESORERIA EVENTUAL Y CONFIANZA QUE DE ACUERDO A LO PIBLICADO EN EL ARTICULO 92 FRACCION VIII B, remuneraciones publicado a la fecha hoy, la tesorería municipal cuanta con 16 personas, entre tesorero, subtesorera, personal administrativo por lo cual se hace incongruente el negar la información de un fondo fijo solicitado bajo la excusa de carecer de personal, sim embargo atendiendo a lo manifestado en dicha respuesta que antecede a esta solicitud, se pregunto al personal de esa oficina sobre los servidores públicos que aparecen adscritos a esa área, expresando que algunos de ellos no los conocen o no laboran en ese departamento por lo cual se solicita al titular de personal así como al titular del área de tesorería justificación de esos pagos realizados a servidores públicos ya que de NO laborar y no contar con su formato único de movimiento, lista de asistencia o trabajos realizados se puede interpretar como pagos realizados a personal que no labora y generaría fuga del recurso público, es decir personal que se le paga sin </w:t>
      </w:r>
      <w:r>
        <w:rPr>
          <w:rFonts w:ascii="Palatino Linotype" w:eastAsia="Palatino Linotype" w:hAnsi="Palatino Linotype" w:cs="Palatino Linotype"/>
          <w:i/>
          <w:iCs/>
        </w:rPr>
        <w:lastRenderedPageBreak/>
        <w:t>laborar para su mayor dato son los servidores públicos que parecen de nombre: JEISU LUCERO MARGARITA, MIGUEL ANGEL, MARIA PATRICIA, se reitera que se consultó con personal, así como en otras áreas por esos servidores públicos inscritos en tesorería pero niegan conocerlos y que laboren en el departamento, manifiesto que se descargó el archivo por si como excusa legal o negativa a la información por parte del sujeto obligado o titular del área de tesorería nuevamente pretenden negar o maquillar la información, y cuestionen su propio actuar y expresar bajo la legalidad la explicación propia de realizar pagos de nómina por sueldos sin que esas personas laboren por lo que se puede sospechar, y recordar que de tener esas acciones es un delito y un daño al gasto publico sujeto de acciones el realizar erogaciones sin que estén justificadas</w:t>
      </w:r>
      <w:r>
        <w:rPr>
          <w:rFonts w:ascii="Palatino Linotype" w:eastAsia="Palatino Linotype" w:hAnsi="Palatino Linotype" w:cs="Palatino Linotype"/>
          <w:i/>
          <w:iCs/>
          <w:color w:val="000000"/>
        </w:rPr>
        <w:t>” (Sic)</w:t>
      </w:r>
    </w:p>
    <w:p w:rsidR="00B74D90" w:rsidRDefault="00B74D90">
      <w:pPr>
        <w:ind w:right="-1017"/>
        <w:jc w:val="both"/>
        <w:rPr>
          <w:rFonts w:ascii="Palatino Linotype" w:eastAsia="Palatino Linotype" w:hAnsi="Palatino Linotype" w:cs="Palatino Linotype"/>
        </w:rPr>
      </w:pPr>
    </w:p>
    <w:p w:rsidR="00B74D90" w:rsidRDefault="00F2586A">
      <w:pPr>
        <w:numPr>
          <w:ilvl w:val="0"/>
          <w:numId w:val="3"/>
        </w:numPr>
        <w:pBdr>
          <w:top w:val="nil"/>
          <w:left w:val="nil"/>
          <w:bottom w:val="nil"/>
          <w:right w:val="nil"/>
          <w:between w:val="nil"/>
        </w:pBdr>
        <w:spacing w:before="240" w:after="240" w:line="360" w:lineRule="auto"/>
        <w:ind w:left="0" w:right="-1017" w:firstLine="0"/>
        <w:jc w:val="both"/>
        <w:rPr>
          <w:color w:val="000000"/>
        </w:rPr>
      </w:pPr>
      <w:r>
        <w:rPr>
          <w:rFonts w:ascii="Palatino Linotype" w:eastAsia="Palatino Linotype" w:hAnsi="Palatino Linotype" w:cs="Palatino Linotype"/>
          <w:color w:val="000000"/>
        </w:rPr>
        <w:t xml:space="preserve">Se hace constar que se señaló como modalidad de entrega de la información a través del Sistema de Acceso a la Información Mexiquense </w:t>
      </w:r>
      <w:r>
        <w:rPr>
          <w:rFonts w:ascii="Palatino Linotype" w:eastAsia="Palatino Linotype" w:hAnsi="Palatino Linotype" w:cs="Palatino Linotype"/>
          <w:b/>
          <w:bCs/>
          <w:color w:val="000000"/>
        </w:rPr>
        <w:t>(SAIMEX).</w:t>
      </w:r>
    </w:p>
    <w:p w:rsidR="00B74D90" w:rsidRDefault="00B74D90">
      <w:pPr>
        <w:ind w:right="-1017"/>
        <w:rPr>
          <w:rFonts w:ascii="Palatino Linotype" w:eastAsia="Palatino Linotype" w:hAnsi="Palatino Linotype" w:cs="Palatino Linotype"/>
        </w:rPr>
      </w:pPr>
    </w:p>
    <w:p w:rsidR="00B74D90" w:rsidRDefault="00F2586A">
      <w:pPr>
        <w:numPr>
          <w:ilvl w:val="0"/>
          <w:numId w:val="3"/>
        </w:numPr>
        <w:tabs>
          <w:tab w:val="left" w:pos="0"/>
        </w:tabs>
        <w:spacing w:line="360" w:lineRule="auto"/>
        <w:ind w:left="0" w:right="-1017" w:firstLine="0"/>
        <w:jc w:val="both"/>
        <w:rPr>
          <w:rFonts w:ascii="Palatino Linotype" w:eastAsia="Palatino Linotype" w:hAnsi="Palatino Linotype" w:cs="Palatino Linotype"/>
          <w:b/>
          <w:bCs/>
        </w:rPr>
      </w:pPr>
      <w:bookmarkStart w:id="2" w:name="_heading=h.8rp1hxv43cq7" w:colFirst="0" w:colLast="0"/>
      <w:bookmarkEnd w:id="2"/>
      <w:r>
        <w:rPr>
          <w:rFonts w:ascii="Palatino Linotype" w:eastAsia="Palatino Linotype" w:hAnsi="Palatino Linotype" w:cs="Palatino Linotype"/>
        </w:rPr>
        <w:t xml:space="preserve">El veintidós de octubre de dos mil veinticinco,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dio respuesta a la solicitud, en los siguientes términos:</w:t>
      </w:r>
    </w:p>
    <w:p w:rsidR="00B74D90" w:rsidRDefault="00F2586A">
      <w:pP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Se remite oficio de contestación a la solicitud de información</w:t>
      </w:r>
      <w:r>
        <w:rPr>
          <w:rFonts w:ascii="Palatino Linotype" w:eastAsia="Palatino Linotype" w:hAnsi="Palatino Linotype" w:cs="Palatino Linotype"/>
          <w:i/>
          <w:iCs/>
          <w:color w:val="000000"/>
        </w:rPr>
        <w:t>...” (Sic)</w:t>
      </w:r>
    </w:p>
    <w:p w:rsidR="00B74D90" w:rsidRDefault="00B74D90">
      <w:pPr>
        <w:ind w:right="-1017"/>
        <w:jc w:val="both"/>
        <w:rPr>
          <w:rFonts w:ascii="Palatino Linotype" w:eastAsia="Palatino Linotype" w:hAnsi="Palatino Linotype" w:cs="Palatino Linotype"/>
          <w:i/>
          <w:iCs/>
          <w:color w:val="000000"/>
        </w:rPr>
      </w:pPr>
    </w:p>
    <w:p w:rsidR="00B74D90" w:rsidRDefault="00F2586A">
      <w:pPr>
        <w:ind w:right="-101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Archivos adjuntos:</w:t>
      </w:r>
    </w:p>
    <w:p w:rsidR="00B74D90" w:rsidRDefault="00E23815">
      <w:pPr>
        <w:ind w:left="566" w:right="-1017"/>
        <w:jc w:val="both"/>
        <w:rPr>
          <w:rFonts w:ascii="Palatino Linotype" w:eastAsia="Palatino Linotype" w:hAnsi="Palatino Linotype" w:cs="Palatino Linotype"/>
          <w:highlight w:val="white"/>
        </w:rPr>
      </w:pPr>
      <w:hyperlink r:id="rId8">
        <w:r w:rsidR="00F2586A">
          <w:rPr>
            <w:rFonts w:ascii="Palatino Linotype" w:eastAsia="Palatino Linotype" w:hAnsi="Palatino Linotype" w:cs="Palatino Linotype"/>
            <w:b/>
            <w:bCs/>
            <w:highlight w:val="white"/>
          </w:rPr>
          <w:t>Respuesta a solicitud No. “00096”.pdf</w:t>
        </w:r>
      </w:hyperlink>
      <w:r w:rsidR="00F2586A">
        <w:rPr>
          <w:rFonts w:ascii="Palatino Linotype" w:eastAsia="Palatino Linotype" w:hAnsi="Palatino Linotype" w:cs="Palatino Linotype"/>
          <w:b/>
          <w:bCs/>
          <w:highlight w:val="white"/>
        </w:rPr>
        <w:t>:</w:t>
      </w:r>
      <w:r w:rsidR="00F2586A">
        <w:rPr>
          <w:rFonts w:ascii="Palatino Linotype" w:eastAsia="Palatino Linotype" w:hAnsi="Palatino Linotype" w:cs="Palatino Linotype"/>
          <w:highlight w:val="white"/>
        </w:rPr>
        <w:t xml:space="preserve"> Oficio suscrito por la Coordinadora de Administración de Personal, mediante el cual, señaló que la relación laboral de todos los servidores públicos del Ayuntamiento de Tenango del Valle se encuentra fundamentada en el artículo 54 de la Ley del Trabajo de los Servidores Públicos del Estado de México.</w:t>
      </w:r>
    </w:p>
    <w:p w:rsidR="00B74D90" w:rsidRDefault="00B74D90">
      <w:pPr>
        <w:ind w:left="566" w:right="-1017"/>
        <w:jc w:val="both"/>
        <w:rPr>
          <w:rFonts w:ascii="Palatino Linotype" w:eastAsia="Palatino Linotype" w:hAnsi="Palatino Linotype" w:cs="Palatino Linotype"/>
          <w:b/>
          <w:bCs/>
          <w:highlight w:val="white"/>
        </w:rPr>
      </w:pPr>
    </w:p>
    <w:p w:rsidR="00B74D90" w:rsidRDefault="00E23815">
      <w:pPr>
        <w:ind w:left="566" w:right="-1017"/>
        <w:jc w:val="both"/>
        <w:rPr>
          <w:rFonts w:ascii="Palatino Linotype" w:eastAsia="Palatino Linotype" w:hAnsi="Palatino Linotype" w:cs="Palatino Linotype"/>
          <w:highlight w:val="white"/>
        </w:rPr>
      </w:pPr>
      <w:hyperlink r:id="rId9">
        <w:r w:rsidR="00F2586A">
          <w:rPr>
            <w:rFonts w:ascii="Palatino Linotype" w:eastAsia="Palatino Linotype" w:hAnsi="Palatino Linotype" w:cs="Palatino Linotype"/>
            <w:b/>
            <w:bCs/>
            <w:highlight w:val="white"/>
          </w:rPr>
          <w:t>CONTESTACION</w:t>
        </w:r>
      </w:hyperlink>
      <w:hyperlink r:id="rId10">
        <w:r w:rsidR="00F2586A">
          <w:rPr>
            <w:rFonts w:ascii="Palatino Linotype" w:eastAsia="Palatino Linotype" w:hAnsi="Palatino Linotype" w:cs="Palatino Linotype"/>
            <w:b/>
            <w:bCs/>
            <w:highlight w:val="white"/>
          </w:rPr>
          <w:t xml:space="preserve"> 96.pdf</w:t>
        </w:r>
      </w:hyperlink>
      <w:r w:rsidR="00F2586A">
        <w:rPr>
          <w:rFonts w:ascii="Palatino Linotype" w:eastAsia="Palatino Linotype" w:hAnsi="Palatino Linotype" w:cs="Palatino Linotype"/>
          <w:b/>
          <w:bCs/>
          <w:highlight w:val="white"/>
        </w:rPr>
        <w:t xml:space="preserve">: </w:t>
      </w:r>
      <w:r w:rsidR="00F2586A">
        <w:rPr>
          <w:rFonts w:ascii="Palatino Linotype" w:eastAsia="Palatino Linotype" w:hAnsi="Palatino Linotype" w:cs="Palatino Linotype"/>
          <w:highlight w:val="white"/>
        </w:rPr>
        <w:t>Oficio suscrito por la Titular de la Unidad de Transparencia, mediante el cual, señaló que la Servidora Pública Habilitada de la Coordinación de Administración de Personal, emitió respuesta a través del oficio TV/DA/CAP/865/2025.</w:t>
      </w:r>
    </w:p>
    <w:p w:rsidR="00B74D90" w:rsidRDefault="00B74D90">
      <w:pPr>
        <w:ind w:right="-1017"/>
        <w:jc w:val="both"/>
        <w:rPr>
          <w:rFonts w:ascii="Palatino Linotype" w:eastAsia="Palatino Linotype" w:hAnsi="Palatino Linotype" w:cs="Palatino Linotype"/>
        </w:rPr>
      </w:pPr>
    </w:p>
    <w:p w:rsidR="00B74D90" w:rsidRDefault="00F2586A">
      <w:pPr>
        <w:numPr>
          <w:ilvl w:val="0"/>
          <w:numId w:val="3"/>
        </w:numPr>
        <w:pBdr>
          <w:top w:val="nil"/>
          <w:left w:val="nil"/>
          <w:bottom w:val="nil"/>
          <w:right w:val="nil"/>
          <w:between w:val="nil"/>
        </w:pBdr>
        <w:tabs>
          <w:tab w:val="left" w:pos="0"/>
        </w:tabs>
        <w:spacing w:before="240" w:after="240" w:line="360" w:lineRule="auto"/>
        <w:ind w:left="0"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veintisiete de octubre de dos mil veinticinco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interpuso el recurso de revisión, señalando como:</w:t>
      </w:r>
    </w:p>
    <w:p w:rsidR="00B74D90" w:rsidRDefault="00F2586A">
      <w:pPr>
        <w:numPr>
          <w:ilvl w:val="0"/>
          <w:numId w:val="6"/>
        </w:numPr>
        <w:ind w:right="-1017"/>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i/>
          <w:iCs/>
        </w:rPr>
        <w:t xml:space="preserve"> “LA NEGATIVA DE LA INFORMACION</w:t>
      </w:r>
      <w:r>
        <w:rPr>
          <w:rFonts w:ascii="Palatino Linotype" w:eastAsia="Palatino Linotype" w:hAnsi="Palatino Linotype" w:cs="Palatino Linotype"/>
          <w:i/>
          <w:iCs/>
          <w:color w:val="000000"/>
        </w:rPr>
        <w:t>” (Sic)</w:t>
      </w:r>
    </w:p>
    <w:p w:rsidR="00B74D90" w:rsidRDefault="00F2586A">
      <w:pPr>
        <w:numPr>
          <w:ilvl w:val="0"/>
          <w:numId w:val="1"/>
        </w:numPr>
        <w:ind w:right="-1017"/>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Razones o Motivos de inconformidad</w:t>
      </w:r>
      <w:r>
        <w:rPr>
          <w:rFonts w:ascii="Palatino Linotype" w:eastAsia="Palatino Linotype" w:hAnsi="Palatino Linotype" w:cs="Palatino Linotype"/>
          <w:i/>
          <w:iCs/>
        </w:rPr>
        <w:t>: “SE SOLICTA RECURSO DE REVISION YA QUE EL SUJETO OBLIGADO NO ESTA RESPONDIENDO CON CLARIDAD A LA SOLICITUD ESTO POR QUE SE PIDE CONTRATO DE RELACION LABORAL DERIVADO A LO SIGUIENTE CON PALABRAS MAS CLARAS: LA TESORERIA MUNICIPAL DE ACUERDO A LA INFORMACION PUBLICADA EN IPOMEX FRACCION DE REMUNERACIONES ESTIPULA SU PLANTILLA LABORAL SIN EMBARGO HAY PERSONAS QUE NO LABORAN AHI, ESTO DE ACUERDO A LA CONSULTA DIRECTAMENTE CON PERSONAL DE ESA AREA. NO LOS CONOCEN EN PALABRAS SINPLES ESTAN PAGANDO NOMINA SIN QUE ESAS PERSONAS LABOREN EN EL AREA ESO LLEVA A UN POSIBLE ACTO DE CORRUPCION Y AL DAÑO A LA HACIENDA PUBLICA EL TESORERO PAGA SUELDOS SIN QUE EL PERSONAL LABORE EN SU AREA LOS NOMBRES SON: MIGUEL ANGEL VELAZQUEZ SUELDO 8480.16, MARIA PATRICIA SUELDO 8,480.16, JEISU LUCERO COLIN DIAZ SUELDO 10,869.66, PERO ESAS PERSONAS DE ACUERDO A LO PUBLICADO EN PAGINA, Y AL ACUDOR AL AREA A PREGUNTAR POR ELLOS EL MISMO PERSONAL DE TESORERIA NO LOS CONOCEN, POR NO LABORAR EN ESA AREA, ESA ES LA EXPLICACION QUE SE LE SOLICTA AL TESORERO MUNICIPAL, POR SER SU PERSONAL DE SUA REA MISMO QUE NO EXISTE Y REALIZA PAGOS DE NOMINA DE SU DEPARTAMENTO POR MAS DE 26 MIL PESOS DAÑANDO Y SIMULANDO TRABAJO DE ACURDO A SUS ATRIBUCIONES LO CUAL SE SOLICTA INVESTIGUE Y ACLARE POR QUE PAGA NOMINA SIN QUE EL PERSONAL TRABAJE.</w:t>
      </w:r>
      <w:r>
        <w:rPr>
          <w:rFonts w:ascii="Palatino Linotype" w:eastAsia="Palatino Linotype" w:hAnsi="Palatino Linotype" w:cs="Palatino Linotype"/>
          <w:i/>
          <w:iCs/>
          <w:color w:val="000000"/>
        </w:rPr>
        <w:t>” (Sic)</w:t>
      </w:r>
    </w:p>
    <w:p w:rsidR="00B74D90" w:rsidRDefault="00B74D90">
      <w:pP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spacing w:line="360" w:lineRule="auto"/>
        <w:ind w:left="0" w:right="-1017" w:firstLine="0"/>
        <w:jc w:val="both"/>
        <w:rPr>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rPr>
        <w:t xml:space="preserve">Comisionada Ponente, con fundamento en lo dispuesto por el artículo 185 fracción II de la ley de la materia, a través del acuerdo de admisión del veintiocho de octubre de dos mil veinticinco puso a disposición de las partes el  expediente electrónicos vía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su derecho conviniera, ofreciera pruebas y alegatos según correspondiera a los casos concretos,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B74D90" w:rsidRDefault="00B74D90">
      <w:pPr>
        <w:spacing w:line="360" w:lineRule="auto"/>
        <w:ind w:right="-1017"/>
        <w:jc w:val="both"/>
        <w:rPr>
          <w:rFonts w:ascii="Palatino Linotype" w:eastAsia="Palatino Linotype" w:hAnsi="Palatino Linotype" w:cs="Palatino Linotype"/>
          <w:i/>
          <w:iCs/>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lastRenderedPageBreak/>
        <w:t xml:space="preserve">El seis de noviembre de dos mil veinticinco,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por medio de los archivos electrónicos denominados “</w:t>
      </w:r>
      <w:hyperlink r:id="rId11">
        <w:r>
          <w:rPr>
            <w:rFonts w:ascii="Palatino Linotype" w:eastAsia="Palatino Linotype" w:hAnsi="Palatino Linotype" w:cs="Palatino Linotype"/>
            <w:b/>
            <w:bCs/>
          </w:rPr>
          <w:t xml:space="preserve">Ofic. TV-ST-UTAI-650-25. </w:t>
        </w:r>
      </w:hyperlink>
      <w:hyperlink r:id="rId12">
        <w:r>
          <w:rPr>
            <w:rFonts w:ascii="Palatino Linotype" w:eastAsia="Palatino Linotype" w:hAnsi="Palatino Linotype" w:cs="Palatino Linotype"/>
            <w:b/>
            <w:bCs/>
          </w:rPr>
          <w:t>MANIFESTACIONES_PRUEBAS_INFORME</w:t>
        </w:r>
      </w:hyperlink>
      <w:hyperlink r:id="rId13">
        <w:r>
          <w:rPr>
            <w:rFonts w:ascii="Palatino Linotype" w:eastAsia="Palatino Linotype" w:hAnsi="Palatino Linotype" w:cs="Palatino Linotype"/>
            <w:b/>
            <w:bCs/>
          </w:rPr>
          <w:t xml:space="preserve"> JUSTIFICADO Y ALEGATOS AL RR 12258-INFOEM-IP-RR-2025.pdf</w:t>
        </w:r>
      </w:hyperlink>
      <w:r>
        <w:rPr>
          <w:rFonts w:ascii="Palatino Linotype" w:eastAsia="Palatino Linotype" w:hAnsi="Palatino Linotype" w:cs="Palatino Linotype"/>
          <w:b/>
          <w:bCs/>
        </w:rPr>
        <w:t>”, “</w:t>
      </w:r>
      <w:hyperlink r:id="rId14">
        <w:r>
          <w:rPr>
            <w:rFonts w:ascii="Palatino Linotype" w:eastAsia="Palatino Linotype" w:hAnsi="Palatino Linotype" w:cs="Palatino Linotype"/>
            <w:b/>
            <w:bCs/>
          </w:rPr>
          <w:t xml:space="preserve">Ofic. TV-ST-UTAI-650-25. </w:t>
        </w:r>
      </w:hyperlink>
      <w:hyperlink r:id="rId15">
        <w:r>
          <w:rPr>
            <w:rFonts w:ascii="Palatino Linotype" w:eastAsia="Palatino Linotype" w:hAnsi="Palatino Linotype" w:cs="Palatino Linotype"/>
            <w:b/>
            <w:bCs/>
          </w:rPr>
          <w:t>MANIFESTACIONES_PRUEBAS_INFORME</w:t>
        </w:r>
      </w:hyperlink>
      <w:hyperlink r:id="rId16">
        <w:r>
          <w:rPr>
            <w:rFonts w:ascii="Palatino Linotype" w:eastAsia="Palatino Linotype" w:hAnsi="Palatino Linotype" w:cs="Palatino Linotype"/>
            <w:b/>
            <w:bCs/>
          </w:rPr>
          <w:t xml:space="preserve"> JUSTIFICADO Y ALEGATOS AL RR 12258-INFOEM-IP-RR-2025.docx</w:t>
        </w:r>
      </w:hyperlink>
      <w:r>
        <w:rPr>
          <w:rFonts w:ascii="Palatino Linotype" w:eastAsia="Palatino Linotype" w:hAnsi="Palatino Linotype" w:cs="Palatino Linotype"/>
        </w:rPr>
        <w:t>”, “</w:t>
      </w:r>
      <w:hyperlink r:id="rId17">
        <w:r>
          <w:rPr>
            <w:rFonts w:ascii="Palatino Linotype" w:eastAsia="Palatino Linotype" w:hAnsi="Palatino Linotype" w:cs="Palatino Linotype"/>
            <w:b/>
            <w:bCs/>
          </w:rPr>
          <w:t>Oficio TV-DA-CAP-911-2025.pdf</w:t>
        </w:r>
      </w:hyperlink>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través de los cuales, </w:t>
      </w:r>
      <w:r>
        <w:rPr>
          <w:rFonts w:ascii="Palatino Linotype" w:eastAsia="Palatino Linotype" w:hAnsi="Palatino Linotype" w:cs="Palatino Linotype"/>
          <w:b/>
          <w:bCs/>
        </w:rPr>
        <w:t>ratificó la respuesta.</w:t>
      </w:r>
    </w:p>
    <w:p w:rsidR="00B74D90" w:rsidRDefault="00B74D90">
      <w:pPr>
        <w:spacing w:line="360" w:lineRule="auto"/>
        <w:ind w:right="-1017"/>
        <w:jc w:val="both"/>
        <w:rPr>
          <w:rFonts w:ascii="Palatino Linotype" w:eastAsia="Palatino Linotype" w:hAnsi="Palatino Linotype" w:cs="Palatino Linotype"/>
          <w:b/>
          <w:bCs/>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t xml:space="preserve">Por su parte, el seis de noviembre de dos mil veinticinco, la parte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adjuntó los mismos documentos remitidos mediante informe justificado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 los cuales, </w:t>
      </w:r>
      <w:r>
        <w:rPr>
          <w:rFonts w:ascii="Palatino Linotype" w:eastAsia="Palatino Linotype" w:hAnsi="Palatino Linotype" w:cs="Palatino Linotype"/>
          <w:b/>
          <w:bCs/>
        </w:rPr>
        <w:t>ratificó la respuesta.</w:t>
      </w:r>
    </w:p>
    <w:p w:rsidR="00B74D90" w:rsidRDefault="00B74D90">
      <w:pPr>
        <w:ind w:right="-1017"/>
        <w:rPr>
          <w:rFonts w:ascii="Palatino Linotype" w:eastAsia="Palatino Linotype" w:hAnsi="Palatino Linotype" w:cs="Palatino Linotype"/>
          <w:b/>
          <w:bCs/>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t xml:space="preserve">El veintiuno de mayo de dos mil veintiséis, </w:t>
      </w:r>
      <w:r>
        <w:rPr>
          <w:rFonts w:ascii="Palatino Linotype" w:eastAsia="Palatino Linotype" w:hAnsi="Palatino Linotype" w:cs="Palatino Linotype"/>
          <w:color w:val="000000"/>
        </w:rPr>
        <w:t>se notificó el acuerdo de ampliación de plazo, con fundamento en el artículo 181, tercer párrafo, de la Ley de Transparencia y Acceso a la Información Pública del Estado de México y Municipios.</w:t>
      </w:r>
    </w:p>
    <w:p w:rsidR="00B74D90" w:rsidRDefault="00B74D90">
      <w:pPr>
        <w:spacing w:line="360" w:lineRule="auto"/>
        <w:ind w:right="-1017"/>
        <w:jc w:val="both"/>
        <w:rPr>
          <w:rFonts w:ascii="Palatino Linotype" w:eastAsia="Palatino Linotype" w:hAnsi="Palatino Linotype" w:cs="Palatino Linotype"/>
          <w:b/>
          <w:bCs/>
        </w:rPr>
      </w:pPr>
    </w:p>
    <w:p w:rsidR="00B74D90" w:rsidRDefault="00F2586A">
      <w:pPr>
        <w:numPr>
          <w:ilvl w:val="0"/>
          <w:numId w:val="3"/>
        </w:numPr>
        <w:spacing w:line="360" w:lineRule="auto"/>
        <w:ind w:left="0" w:right="-1017" w:firstLine="0"/>
        <w:jc w:val="both"/>
        <w:rPr>
          <w:rFonts w:ascii="Palatino Linotype" w:eastAsia="Palatino Linotype" w:hAnsi="Palatino Linotype" w:cs="Palatino Linotype"/>
          <w:b/>
          <w:bCs/>
        </w:rPr>
      </w:pPr>
      <w:bookmarkStart w:id="3" w:name="_heading=h.qk97m6ndo4z4" w:colFirst="0" w:colLast="0"/>
      <w:bookmarkEnd w:id="3"/>
      <w:r>
        <w:rPr>
          <w:rFonts w:ascii="Palatino Linotype" w:eastAsia="Palatino Linotype" w:hAnsi="Palatino Linotype" w:cs="Palatino Linotype"/>
        </w:rPr>
        <w:t>La Comisionada Ponente decretó el cierre de instrucción mediante acuerdo del veintisiete de mayo de dos mil veintiséis, por lo que, ordenó turnar el expediente a resolución, misma que a continuación se pronuncia.------------------------------------------------------------------------</w:t>
      </w:r>
      <w:r w:rsidR="00F768C6">
        <w:rPr>
          <w:rFonts w:ascii="Palatino Linotype" w:eastAsia="Palatino Linotype" w:hAnsi="Palatino Linotype" w:cs="Palatino Linotype"/>
        </w:rPr>
        <w:t>----------------</w:t>
      </w:r>
    </w:p>
    <w:p w:rsidR="00B74D90" w:rsidRDefault="00B74D90">
      <w:pPr>
        <w:spacing w:line="360" w:lineRule="auto"/>
        <w:ind w:right="-1017"/>
        <w:jc w:val="both"/>
        <w:rPr>
          <w:rFonts w:ascii="Palatino Linotype" w:eastAsia="Palatino Linotype" w:hAnsi="Palatino Linotype" w:cs="Palatino Linotype"/>
          <w:b/>
          <w:bCs/>
        </w:rPr>
      </w:pPr>
    </w:p>
    <w:p w:rsidR="00B74D90" w:rsidRDefault="00F2586A">
      <w:pPr>
        <w:keepNext/>
        <w:keepLines/>
        <w:spacing w:after="240" w:line="360" w:lineRule="auto"/>
        <w:ind w:right="-1017"/>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O N S I D E R A N D O</w:t>
      </w:r>
    </w:p>
    <w:p w:rsidR="00B74D90" w:rsidRDefault="00F2586A">
      <w:pPr>
        <w:keepNext/>
        <w:keepLines/>
        <w:spacing w:before="240" w:after="240" w:line="360" w:lineRule="auto"/>
        <w:ind w:right="-1017"/>
        <w:rPr>
          <w:rFonts w:ascii="Palatino Linotype" w:eastAsia="Palatino Linotype" w:hAnsi="Palatino Linotype" w:cs="Palatino Linotype"/>
          <w:b/>
          <w:bCs/>
        </w:rPr>
      </w:pPr>
      <w:bookmarkStart w:id="4" w:name="_heading=h.so3o129vquwx" w:colFirst="0" w:colLast="0"/>
      <w:bookmarkEnd w:id="4"/>
      <w:r>
        <w:rPr>
          <w:rFonts w:ascii="Palatino Linotype" w:eastAsia="Palatino Linotype" w:hAnsi="Palatino Linotype" w:cs="Palatino Linotype"/>
          <w:b/>
          <w:bCs/>
        </w:rPr>
        <w:t>PRIMERO. De la competencia.</w:t>
      </w:r>
    </w:p>
    <w:p w:rsidR="00B74D90" w:rsidRDefault="00F2586A">
      <w:pPr>
        <w:numPr>
          <w:ilvl w:val="0"/>
          <w:numId w:val="3"/>
        </w:numPr>
        <w:spacing w:before="240" w:line="360" w:lineRule="auto"/>
        <w:ind w:left="0" w:right="-1017" w:firstLine="0"/>
        <w:jc w:val="both"/>
        <w:rPr>
          <w:rFonts w:ascii="Palatino Linotype" w:eastAsia="Palatino Linotype" w:hAnsi="Palatino Linotype" w:cs="Palatino Linotype"/>
          <w:b/>
          <w:bCs/>
        </w:rPr>
      </w:pPr>
      <w:bookmarkStart w:id="5" w:name="_heading=h.sx8gfzmbkb8v" w:colFirst="0" w:colLast="0"/>
      <w:bookmarkEnd w:id="5"/>
      <w:r>
        <w:rPr>
          <w:rFonts w:ascii="Palatino Linotype" w:eastAsia="Palatino Linotype" w:hAnsi="Palatino Linotype" w:cs="Palatino Linotype"/>
        </w:rPr>
        <w:t xml:space="preserve">Este </w:t>
      </w:r>
      <w:r>
        <w:rPr>
          <w:rFonts w:ascii="Palatino Linotype" w:eastAsia="Palatino Linotype" w:hAnsi="Palatino Linotype" w:cs="Palatino Linotype"/>
          <w:color w:val="222222"/>
          <w:highlight w:val="white"/>
        </w:rPr>
        <w:t>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B74D90" w:rsidRDefault="00B74D90">
      <w:pPr>
        <w:spacing w:line="360" w:lineRule="auto"/>
        <w:ind w:right="-1017"/>
        <w:jc w:val="both"/>
        <w:rPr>
          <w:rFonts w:ascii="Palatino Linotype" w:eastAsia="Palatino Linotype" w:hAnsi="Palatino Linotype" w:cs="Palatino Linotype"/>
          <w:b/>
          <w:bCs/>
        </w:rPr>
      </w:pPr>
    </w:p>
    <w:p w:rsidR="00B74D90" w:rsidRDefault="00F2586A">
      <w:pPr>
        <w:keepNext/>
        <w:keepLines/>
        <w:spacing w:after="240" w:line="360" w:lineRule="auto"/>
        <w:ind w:right="-1017"/>
        <w:jc w:val="both"/>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B74D90" w:rsidRDefault="00F2586A">
      <w:pPr>
        <w:numPr>
          <w:ilvl w:val="0"/>
          <w:numId w:val="3"/>
        </w:numPr>
        <w:spacing w:before="240" w:line="360" w:lineRule="auto"/>
        <w:ind w:left="0" w:right="-1017"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veintidós de octubre de dos mil veinticinco, de tal forma que el plazo para interponer el recurso transcurrió del veintitrés de octubre al once de noviembre de dos mil veinticinco; en consecuencia, si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presentó su inconformidad el veintisiete de octubre de dos mil veinticinco, se encuentra dentro de los márgenes temporales previstos en el artículo 178 de </w:t>
      </w:r>
      <w:r>
        <w:rPr>
          <w:rFonts w:ascii="Palatino Linotype" w:eastAsia="Palatino Linotype" w:hAnsi="Palatino Linotype" w:cs="Palatino Linotype"/>
        </w:rPr>
        <w:lastRenderedPageBreak/>
        <w:t xml:space="preserve">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B74D90" w:rsidRDefault="00B74D90">
      <w:pPr>
        <w:spacing w:line="360" w:lineRule="auto"/>
        <w:ind w:right="-1017"/>
        <w:jc w:val="both"/>
        <w:rPr>
          <w:rFonts w:ascii="Palatino Linotype" w:eastAsia="Palatino Linotype" w:hAnsi="Palatino Linotype" w:cs="Palatino Linotype"/>
        </w:rPr>
      </w:pPr>
    </w:p>
    <w:p w:rsidR="00B74D90" w:rsidRDefault="00F2586A">
      <w:pPr>
        <w:numPr>
          <w:ilvl w:val="0"/>
          <w:numId w:val="3"/>
        </w:numPr>
        <w:spacing w:line="360" w:lineRule="auto"/>
        <w:ind w:left="0" w:right="-1017"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74D90" w:rsidRDefault="00B74D90">
      <w:pPr>
        <w:spacing w:line="360" w:lineRule="auto"/>
        <w:ind w:right="-1017"/>
        <w:jc w:val="both"/>
        <w:rPr>
          <w:rFonts w:ascii="Palatino Linotype" w:eastAsia="Palatino Linotype" w:hAnsi="Palatino Linotype" w:cs="Palatino Linotype"/>
          <w:b/>
          <w:bCs/>
        </w:rPr>
      </w:pPr>
    </w:p>
    <w:p w:rsidR="00B74D90" w:rsidRDefault="00F2586A">
      <w:pPr>
        <w:keepNext/>
        <w:keepLines/>
        <w:spacing w:after="240" w:line="360" w:lineRule="auto"/>
        <w:ind w:right="-1017"/>
        <w:rPr>
          <w:rFonts w:ascii="Palatino Linotype" w:eastAsia="Palatino Linotype" w:hAnsi="Palatino Linotype" w:cs="Palatino Linotype"/>
          <w:b/>
          <w:bCs/>
        </w:rPr>
      </w:pPr>
      <w:bookmarkStart w:id="6" w:name="_heading=h.ygdmcueh2cbx" w:colFirst="0" w:colLast="0"/>
      <w:bookmarkEnd w:id="6"/>
      <w:r>
        <w:rPr>
          <w:rFonts w:ascii="Palatino Linotype" w:eastAsia="Palatino Linotype" w:hAnsi="Palatino Linotype" w:cs="Palatino Linotype"/>
          <w:b/>
          <w:bCs/>
        </w:rPr>
        <w:t>TERCERO. Planteamiento de la Litis.</w:t>
      </w:r>
    </w:p>
    <w:p w:rsidR="00B74D90" w:rsidRDefault="00F2586A">
      <w:pPr>
        <w:numPr>
          <w:ilvl w:val="0"/>
          <w:numId w:val="3"/>
        </w:numPr>
        <w:pBdr>
          <w:top w:val="nil"/>
          <w:left w:val="nil"/>
          <w:bottom w:val="nil"/>
          <w:right w:val="nil"/>
          <w:between w:val="nil"/>
        </w:pBdr>
        <w:spacing w:before="240" w:line="360" w:lineRule="auto"/>
        <w:ind w:left="0" w:right="-101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w:t>
      </w:r>
      <w:r>
        <w:rPr>
          <w:rFonts w:ascii="Palatino Linotype" w:eastAsia="Palatino Linotype" w:hAnsi="Palatino Linotype" w:cs="Palatino Linotype"/>
        </w:rPr>
        <w:t>los contratos de relación laboral del personal adscrito a la Tesorería Municipal al uno de octubre de dos mil veinticinco.</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w:t>
      </w:r>
      <w:r>
        <w:rPr>
          <w:rFonts w:ascii="Palatino Linotype" w:eastAsia="Palatino Linotype" w:hAnsi="Palatino Linotype" w:cs="Palatino Linotype"/>
        </w:rPr>
        <w:t xml:space="preserve">ó respuesta en términos del </w:t>
      </w:r>
      <w:r>
        <w:rPr>
          <w:rFonts w:ascii="Palatino Linotype" w:eastAsia="Palatino Linotype" w:hAnsi="Palatino Linotype" w:cs="Palatino Linotype"/>
          <w:b/>
          <w:bCs/>
        </w:rPr>
        <w:t xml:space="preserve">párrafo 3 </w:t>
      </w:r>
      <w:r>
        <w:rPr>
          <w:rFonts w:ascii="Palatino Linotype" w:eastAsia="Palatino Linotype" w:hAnsi="Palatino Linotype" w:cs="Palatino Linotype"/>
        </w:rPr>
        <w:t>de la presente resolución.</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Posteriormente,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interpuso recurso de revisión, mediante el cual,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medularmente por </w:t>
      </w:r>
      <w:r>
        <w:rPr>
          <w:rFonts w:ascii="Palatino Linotype" w:eastAsia="Palatino Linotype" w:hAnsi="Palatino Linotype" w:cs="Palatino Linotype"/>
          <w:b/>
          <w:bCs/>
          <w:color w:val="000000"/>
        </w:rPr>
        <w:t>la negativa d</w:t>
      </w:r>
      <w:r>
        <w:rPr>
          <w:rFonts w:ascii="Palatino Linotype" w:eastAsia="Palatino Linotype" w:hAnsi="Palatino Linotype" w:cs="Palatino Linotype"/>
          <w:b/>
          <w:bCs/>
        </w:rPr>
        <w:t>e la información solicitada.</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after="240" w:line="360" w:lineRule="auto"/>
        <w:ind w:left="0" w:right="-1017" w:firstLine="0"/>
        <w:jc w:val="both"/>
        <w:rPr>
          <w:color w:val="000000"/>
        </w:rPr>
      </w:pPr>
      <w:r>
        <w:rPr>
          <w:rFonts w:ascii="Palatino Linotype" w:eastAsia="Palatino Linotype" w:hAnsi="Palatino Linotype" w:cs="Palatino Linotype"/>
          <w:color w:val="000000"/>
        </w:rPr>
        <w:t>En consecuencia, la Litis a resolver en este recurso, se circunscribe a determinar si la respuesta colma con lo solicitado o si se actualizan las causales de procedencia previstas en el artículo 179, fracción I</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de la Ley de Transparencia y Acceso a la Información Pública del Estado de México y Municipios; que establece </w:t>
      </w:r>
      <w:r>
        <w:rPr>
          <w:rFonts w:ascii="Palatino Linotype" w:eastAsia="Palatino Linotype" w:hAnsi="Palatino Linotype" w:cs="Palatino Linotype"/>
          <w:b/>
          <w:bCs/>
          <w:color w:val="000000"/>
        </w:rPr>
        <w:t>la negativa de la información solicitada</w:t>
      </w:r>
      <w:r>
        <w:rPr>
          <w:rFonts w:ascii="Palatino Linotype" w:eastAsia="Palatino Linotype" w:hAnsi="Palatino Linotype" w:cs="Palatino Linotype"/>
          <w:b/>
          <w:bCs/>
        </w:rPr>
        <w:t>.</w:t>
      </w:r>
    </w:p>
    <w:p w:rsidR="00B74D90" w:rsidRDefault="00F2586A">
      <w:pPr>
        <w:pStyle w:val="Ttulo1"/>
        <w:spacing w:before="0" w:after="240" w:line="360" w:lineRule="auto"/>
        <w:ind w:right="-1017"/>
        <w:rPr>
          <w:rFonts w:ascii="Palatino Linotype" w:eastAsia="Palatino Linotype" w:hAnsi="Palatino Linotype" w:cs="Palatino Linotype"/>
          <w:b/>
          <w:bCs/>
          <w:color w:val="000000"/>
          <w:sz w:val="24"/>
          <w:szCs w:val="24"/>
        </w:rPr>
      </w:pPr>
      <w:bookmarkStart w:id="7" w:name="_heading=h.b7f628gc8l1" w:colFirst="0" w:colLast="0"/>
      <w:bookmarkEnd w:id="7"/>
      <w:r>
        <w:rPr>
          <w:rFonts w:ascii="Palatino Linotype" w:eastAsia="Palatino Linotype" w:hAnsi="Palatino Linotype" w:cs="Palatino Linotype"/>
          <w:b/>
          <w:bCs/>
          <w:color w:val="000000"/>
          <w:sz w:val="24"/>
          <w:szCs w:val="24"/>
        </w:rPr>
        <w:lastRenderedPageBreak/>
        <w:t>CUARTO. Del estudio y resolución del recurso de revisión.</w:t>
      </w:r>
    </w:p>
    <w:p w:rsidR="00B74D90" w:rsidRDefault="00F2586A">
      <w:pPr>
        <w:pStyle w:val="Ttulo1"/>
        <w:numPr>
          <w:ilvl w:val="0"/>
          <w:numId w:val="4"/>
        </w:numPr>
        <w:spacing w:before="0" w:after="240" w:line="360" w:lineRule="auto"/>
        <w:ind w:right="-1017"/>
        <w:rPr>
          <w:rFonts w:ascii="Palatino Linotype" w:eastAsia="Palatino Linotype" w:hAnsi="Palatino Linotype" w:cs="Palatino Linotype"/>
          <w:b/>
          <w:bCs/>
          <w:color w:val="000000"/>
          <w:sz w:val="24"/>
          <w:szCs w:val="24"/>
        </w:rPr>
      </w:pPr>
      <w:bookmarkStart w:id="8" w:name="_heading=h.1lm858erfhfc" w:colFirst="0" w:colLast="0"/>
      <w:bookmarkEnd w:id="8"/>
      <w:r>
        <w:rPr>
          <w:rFonts w:ascii="Palatino Linotype" w:eastAsia="Palatino Linotype" w:hAnsi="Palatino Linotype" w:cs="Palatino Linotype"/>
          <w:b/>
          <w:bCs/>
          <w:color w:val="000000"/>
          <w:sz w:val="24"/>
          <w:szCs w:val="24"/>
        </w:rPr>
        <w:t>Del derecho de acceso a la información.</w:t>
      </w:r>
    </w:p>
    <w:p w:rsidR="00B74D90" w:rsidRDefault="00F2586A">
      <w:pPr>
        <w:numPr>
          <w:ilvl w:val="0"/>
          <w:numId w:val="3"/>
        </w:numPr>
        <w:pBdr>
          <w:top w:val="nil"/>
          <w:left w:val="nil"/>
          <w:bottom w:val="nil"/>
          <w:right w:val="nil"/>
          <w:between w:val="nil"/>
        </w:pBdr>
        <w:spacing w:before="240" w:line="360" w:lineRule="auto"/>
        <w:ind w:left="0" w:right="-1017" w:firstLine="0"/>
        <w:jc w:val="both"/>
        <w:rPr>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74D90" w:rsidRDefault="00B74D90">
      <w:pPr>
        <w:pBdr>
          <w:top w:val="nil"/>
          <w:left w:val="nil"/>
          <w:bottom w:val="nil"/>
          <w:right w:val="nil"/>
          <w:between w:val="nil"/>
        </w:pBdr>
        <w:spacing w:after="240" w:line="360" w:lineRule="auto"/>
        <w:ind w:right="-1017"/>
        <w:jc w:val="both"/>
        <w:rPr>
          <w:rFonts w:ascii="Palatino Linotype" w:eastAsia="Palatino Linotype" w:hAnsi="Palatino Linotype" w:cs="Palatino Linotype"/>
          <w:color w:val="000000"/>
        </w:rPr>
      </w:pPr>
    </w:p>
    <w:p w:rsidR="00B74D90" w:rsidRDefault="00F2586A">
      <w:pPr>
        <w:numPr>
          <w:ilvl w:val="0"/>
          <w:numId w:val="3"/>
        </w:numPr>
        <w:spacing w:before="240" w:line="360" w:lineRule="auto"/>
        <w:ind w:left="0" w:right="-1017" w:firstLine="0"/>
        <w:jc w:val="both"/>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B74D90" w:rsidRDefault="00B74D90">
      <w:pPr>
        <w:spacing w:line="360" w:lineRule="auto"/>
        <w:ind w:right="-1017"/>
        <w:jc w:val="both"/>
        <w:rPr>
          <w:rFonts w:ascii="Palatino Linotype" w:eastAsia="Palatino Linotype" w:hAnsi="Palatino Linotype" w:cs="Palatino Linotype"/>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B74D90" w:rsidRDefault="00F2586A">
      <w:pPr>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B74D90" w:rsidRDefault="00F2586A">
      <w:pPr>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4D90" w:rsidRDefault="00F2586A">
      <w:pPr>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74D90" w:rsidRDefault="00F2586A">
      <w:pPr>
        <w:ind w:left="567" w:right="-101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B74D90" w:rsidRDefault="00B74D90">
      <w:pPr>
        <w:ind w:right="-1017"/>
        <w:jc w:val="both"/>
        <w:rPr>
          <w:rFonts w:ascii="Palatino Linotype" w:eastAsia="Palatino Linotype" w:hAnsi="Palatino Linotype" w:cs="Palatino Linotype"/>
          <w:b/>
          <w:bCs/>
        </w:rPr>
      </w:pPr>
    </w:p>
    <w:p w:rsidR="00B74D90" w:rsidRDefault="00B74D90">
      <w:pPr>
        <w:ind w:right="-1017"/>
        <w:jc w:val="both"/>
        <w:rPr>
          <w:rFonts w:ascii="Palatino Linotype" w:eastAsia="Palatino Linotype" w:hAnsi="Palatino Linotype" w:cs="Palatino Linotype"/>
          <w:b/>
          <w:bCs/>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74D90" w:rsidRDefault="00B74D90">
      <w:pPr>
        <w:spacing w:line="360" w:lineRule="auto"/>
        <w:ind w:right="-1017"/>
        <w:jc w:val="both"/>
        <w:rPr>
          <w:rFonts w:ascii="Palatino Linotype" w:eastAsia="Palatino Linotype" w:hAnsi="Palatino Linotype" w:cs="Palatino Linotype"/>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74D90" w:rsidRDefault="00F2586A">
      <w:pPr>
        <w:spacing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74D90" w:rsidRDefault="00B74D90">
      <w:pPr>
        <w:pBdr>
          <w:top w:val="nil"/>
          <w:left w:val="nil"/>
          <w:bottom w:val="nil"/>
          <w:right w:val="nil"/>
          <w:between w:val="nil"/>
        </w:pBdr>
        <w:tabs>
          <w:tab w:val="left" w:pos="567"/>
        </w:tabs>
        <w:spacing w:before="240" w:after="240"/>
        <w:ind w:left="567" w:right="-1017"/>
        <w:jc w:val="both"/>
        <w:rPr>
          <w:rFonts w:ascii="Palatino Linotype" w:eastAsia="Palatino Linotype" w:hAnsi="Palatino Linotype" w:cs="Palatino Linotype"/>
          <w:b/>
          <w:bCs/>
          <w:i/>
          <w:iCs/>
          <w:color w:val="000000"/>
        </w:rPr>
      </w:pP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w:t>
      </w:r>
      <w:r>
        <w:rPr>
          <w:rFonts w:ascii="Palatino Linotype" w:eastAsia="Palatino Linotype" w:hAnsi="Palatino Linotype" w:cs="Palatino Linotype"/>
          <w:i/>
          <w:iCs/>
        </w:rPr>
        <w:lastRenderedPageBreak/>
        <w:t xml:space="preserve">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B74D90" w:rsidRDefault="00B74D90">
      <w:pPr>
        <w:tabs>
          <w:tab w:val="left" w:pos="567"/>
        </w:tabs>
        <w:spacing w:before="240" w:after="240"/>
        <w:ind w:right="-1017"/>
        <w:jc w:val="both"/>
        <w:rPr>
          <w:rFonts w:ascii="Palatino Linotype" w:eastAsia="Palatino Linotype" w:hAnsi="Palatino Linotype" w:cs="Palatino Linotype"/>
          <w:b/>
          <w:bCs/>
          <w:i/>
          <w:iCs/>
        </w:rPr>
      </w:pPr>
    </w:p>
    <w:p w:rsidR="00B74D90" w:rsidRDefault="00F2586A">
      <w:pPr>
        <w:numPr>
          <w:ilvl w:val="0"/>
          <w:numId w:val="3"/>
        </w:numPr>
        <w:spacing w:before="240" w:line="360" w:lineRule="auto"/>
        <w:ind w:left="0" w:right="-1017"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B74D90" w:rsidRDefault="00B74D90">
      <w:pPr>
        <w:spacing w:before="240" w:line="360" w:lineRule="auto"/>
        <w:ind w:right="-1017"/>
        <w:jc w:val="both"/>
        <w:rPr>
          <w:rFonts w:ascii="Palatino Linotype" w:eastAsia="Palatino Linotype" w:hAnsi="Palatino Linotype" w:cs="Palatino Linotype"/>
        </w:rPr>
      </w:pPr>
    </w:p>
    <w:p w:rsidR="00B74D90" w:rsidRDefault="00F2586A">
      <w:pPr>
        <w:numPr>
          <w:ilvl w:val="0"/>
          <w:numId w:val="3"/>
        </w:numPr>
        <w:spacing w:line="360" w:lineRule="auto"/>
        <w:ind w:left="0" w:right="-1017"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B74D90" w:rsidRDefault="00B74D90">
      <w:pPr>
        <w:spacing w:line="360" w:lineRule="auto"/>
        <w:ind w:right="-1017"/>
        <w:jc w:val="both"/>
        <w:rPr>
          <w:rFonts w:ascii="Palatino Linotype" w:eastAsia="Palatino Linotype" w:hAnsi="Palatino Linotype" w:cs="Palatino Linotype"/>
        </w:rPr>
      </w:pPr>
    </w:p>
    <w:p w:rsidR="00B74D90" w:rsidRDefault="00F2586A">
      <w:pPr>
        <w:numPr>
          <w:ilvl w:val="0"/>
          <w:numId w:val="3"/>
        </w:numPr>
        <w:spacing w:line="360" w:lineRule="auto"/>
        <w:ind w:left="0" w:right="-1017" w:firstLine="0"/>
        <w:jc w:val="both"/>
      </w:pPr>
      <w:bookmarkStart w:id="9" w:name="_heading=h.b6vj0y6tclbu" w:colFirst="0" w:colLast="0"/>
      <w:bookmarkEnd w:id="9"/>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B74D90" w:rsidRDefault="00B74D90">
      <w:pPr>
        <w:spacing w:line="360" w:lineRule="auto"/>
        <w:ind w:right="-1017"/>
        <w:jc w:val="both"/>
        <w:rPr>
          <w:rFonts w:ascii="Palatino Linotype" w:eastAsia="Palatino Linotype" w:hAnsi="Palatino Linotype" w:cs="Palatino Linotype"/>
        </w:rPr>
      </w:pPr>
    </w:p>
    <w:p w:rsidR="00B74D90" w:rsidRDefault="00F2586A">
      <w:pPr>
        <w:pStyle w:val="Ttulo1"/>
        <w:spacing w:before="0" w:after="240" w:line="360" w:lineRule="auto"/>
        <w:ind w:right="-1017"/>
        <w:rPr>
          <w:rFonts w:ascii="Palatino Linotype" w:eastAsia="Palatino Linotype" w:hAnsi="Palatino Linotype" w:cs="Palatino Linotype"/>
          <w:b/>
          <w:bCs/>
          <w:color w:val="000000"/>
          <w:sz w:val="24"/>
          <w:szCs w:val="24"/>
        </w:rPr>
      </w:pPr>
      <w:bookmarkStart w:id="10" w:name="_heading=h.9uphge8f0quf" w:colFirst="0" w:colLast="0"/>
      <w:bookmarkEnd w:id="10"/>
      <w:r>
        <w:rPr>
          <w:rFonts w:ascii="Palatino Linotype" w:eastAsia="Palatino Linotype" w:hAnsi="Palatino Linotype" w:cs="Palatino Linotype"/>
          <w:b/>
          <w:bCs/>
          <w:color w:val="000000"/>
          <w:sz w:val="24"/>
          <w:szCs w:val="24"/>
        </w:rPr>
        <w:t>II. De la información solicitada y la respuesta del SUJETO OBLIGADO</w:t>
      </w:r>
    </w:p>
    <w:p w:rsidR="00B74D90" w:rsidRDefault="00F2586A">
      <w:pPr>
        <w:numPr>
          <w:ilvl w:val="0"/>
          <w:numId w:val="3"/>
        </w:numPr>
        <w:pBdr>
          <w:top w:val="nil"/>
          <w:left w:val="nil"/>
          <w:bottom w:val="nil"/>
          <w:right w:val="nil"/>
          <w:between w:val="nil"/>
        </w:pBdr>
        <w:spacing w:before="240" w:line="360" w:lineRule="auto"/>
        <w:ind w:left="0" w:right="-1017" w:firstLine="0"/>
        <w:jc w:val="both"/>
        <w:rPr>
          <w:color w:val="000000"/>
        </w:rPr>
      </w:pPr>
      <w:r>
        <w:rPr>
          <w:rFonts w:ascii="Palatino Linotype" w:eastAsia="Palatino Linotype" w:hAnsi="Palatino Linotype" w:cs="Palatino Linotype"/>
          <w:color w:val="000000"/>
        </w:rPr>
        <w:t xml:space="preserve">Derivado del Planteamiento de la Litis, se procede a analizar el contenido íntegro de las actuaciones que obran en el expediente electrónico y con ello, este Órgano Garante dicte la </w:t>
      </w:r>
      <w:r>
        <w:rPr>
          <w:rFonts w:ascii="Palatino Linotype" w:eastAsia="Palatino Linotype" w:hAnsi="Palatino Linotype" w:cs="Palatino Linotype"/>
          <w:color w:val="000000"/>
        </w:rPr>
        <w:lastRenderedPageBreak/>
        <w:t>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Así, debemos recapitular que,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w:t>
      </w:r>
      <w:r>
        <w:rPr>
          <w:rFonts w:ascii="Palatino Linotype" w:eastAsia="Palatino Linotype" w:hAnsi="Palatino Linotype" w:cs="Palatino Linotype"/>
        </w:rPr>
        <w:t xml:space="preserve">tó </w:t>
      </w:r>
      <w:r>
        <w:rPr>
          <w:rFonts w:ascii="Palatino Linotype" w:eastAsia="Palatino Linotype" w:hAnsi="Palatino Linotype" w:cs="Palatino Linotype"/>
          <w:b/>
          <w:bCs/>
        </w:rPr>
        <w:t>los contratos de relación laboral del personal adscrito a la Tesorería Municipal al uno de octubre de dos mil veinticinco.</w:t>
      </w:r>
    </w:p>
    <w:p w:rsidR="00B74D90" w:rsidRDefault="00B74D90">
      <w:pPr>
        <w:pBdr>
          <w:top w:val="nil"/>
          <w:left w:val="nil"/>
          <w:bottom w:val="nil"/>
          <w:right w:val="nil"/>
          <w:between w:val="nil"/>
        </w:pBdr>
        <w:spacing w:line="360" w:lineRule="auto"/>
        <w:ind w:left="360" w:right="-1017"/>
        <w:jc w:val="both"/>
        <w:rPr>
          <w:rFonts w:ascii="Palatino Linotype" w:eastAsia="Palatino Linotype" w:hAnsi="Palatino Linotype" w:cs="Palatino Linotype"/>
        </w:rPr>
      </w:pPr>
    </w:p>
    <w:p w:rsidR="00B74D90" w:rsidRDefault="00F2586A">
      <w:pPr>
        <w:numPr>
          <w:ilvl w:val="0"/>
          <w:numId w:val="3"/>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medio d</w:t>
      </w:r>
      <w:r>
        <w:rPr>
          <w:rFonts w:ascii="Palatino Linotype" w:eastAsia="Palatino Linotype" w:hAnsi="Palatino Linotype" w:cs="Palatino Linotype"/>
        </w:rPr>
        <w:t>e la Coordinadora de Administración de Personal</w:t>
      </w:r>
      <w:r>
        <w:rPr>
          <w:rFonts w:ascii="Palatino Linotype" w:eastAsia="Palatino Linotype" w:hAnsi="Palatino Linotype" w:cs="Palatino Linotype"/>
          <w:color w:val="000000"/>
        </w:rPr>
        <w:t>, señal</w:t>
      </w:r>
      <w:r>
        <w:rPr>
          <w:rFonts w:ascii="Palatino Linotype" w:eastAsia="Palatino Linotype" w:hAnsi="Palatino Linotype" w:cs="Palatino Linotype"/>
        </w:rPr>
        <w:t>ó que la relación laboral de todos los servidores públicos del Ayuntamiento de Tenango del Valle se encuentra fundamentada en el artículo 54 de la Ley del Trabajo de los Servidores Públicos del Estado de México.</w:t>
      </w:r>
    </w:p>
    <w:p w:rsidR="00B74D90" w:rsidRDefault="00B74D90">
      <w:pPr>
        <w:pBdr>
          <w:top w:val="nil"/>
          <w:left w:val="nil"/>
          <w:bottom w:val="nil"/>
          <w:right w:val="nil"/>
          <w:between w:val="nil"/>
        </w:pBdr>
        <w:ind w:right="-1017"/>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b/>
          <w:bCs/>
          <w:color w:val="000000"/>
        </w:rPr>
      </w:pPr>
      <w:bookmarkStart w:id="11" w:name="_heading=h.siimqseablz" w:colFirst="0" w:colLast="0"/>
      <w:bookmarkEnd w:id="11"/>
      <w:r>
        <w:rPr>
          <w:rFonts w:ascii="Palatino Linotype" w:eastAsia="Palatino Linotype" w:hAnsi="Palatino Linotype" w:cs="Palatino Linotype"/>
          <w:color w:val="000000"/>
        </w:rPr>
        <w:t>Posteriormente,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interpuso recurso de revisión, mediante el cual, se inconformó de forma medular </w:t>
      </w:r>
      <w:r>
        <w:rPr>
          <w:rFonts w:ascii="Palatino Linotype" w:eastAsia="Palatino Linotype" w:hAnsi="Palatino Linotype" w:cs="Palatino Linotype"/>
        </w:rPr>
        <w:t>por la</w:t>
      </w:r>
      <w:r>
        <w:rPr>
          <w:rFonts w:ascii="Palatino Linotype" w:eastAsia="Palatino Linotype" w:hAnsi="Palatino Linotype" w:cs="Palatino Linotype"/>
          <w:b/>
          <w:bCs/>
          <w:color w:val="000000"/>
        </w:rPr>
        <w:t xml:space="preserve"> negativa d</w:t>
      </w:r>
      <w:r>
        <w:rPr>
          <w:rFonts w:ascii="Palatino Linotype" w:eastAsia="Palatino Linotype" w:hAnsi="Palatino Linotype" w:cs="Palatino Linotype"/>
          <w:b/>
          <w:bCs/>
        </w:rPr>
        <w:t>e la información solicitada</w:t>
      </w:r>
      <w:r>
        <w:rPr>
          <w:rFonts w:ascii="Palatino Linotype" w:eastAsia="Palatino Linotype" w:hAnsi="Palatino Linotype" w:cs="Palatino Linotype"/>
          <w:color w:val="000000"/>
        </w:rPr>
        <w:t>.</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E</w:t>
      </w:r>
      <w:r>
        <w:rPr>
          <w:rFonts w:ascii="Palatino Linotype" w:eastAsia="Palatino Linotype" w:hAnsi="Palatino Linotype" w:cs="Palatino Linotype"/>
        </w:rPr>
        <w:t>xpuesto</w:t>
      </w:r>
      <w:r>
        <w:rPr>
          <w:rFonts w:ascii="Palatino Linotype" w:eastAsia="Palatino Linotype" w:hAnsi="Palatino Linotype" w:cs="Palatino Linotype"/>
          <w:color w:val="000000"/>
        </w:rPr>
        <w:t xml:space="preserve"> lo anterior,</w:t>
      </w:r>
      <w:r>
        <w:rPr>
          <w:rFonts w:ascii="Palatino Linotype" w:eastAsia="Palatino Linotype" w:hAnsi="Palatino Linotype" w:cs="Palatino Linotype"/>
        </w:rPr>
        <w:t xml:space="preserve"> resulta</w:t>
      </w:r>
      <w:r>
        <w:rPr>
          <w:rFonts w:ascii="Palatino Linotype" w:eastAsia="Palatino Linotype" w:hAnsi="Palatino Linotype" w:cs="Palatino Linotype"/>
          <w:color w:val="000000"/>
        </w:rPr>
        <w:t xml:space="preserve"> necesario traer en contexto lo establecido en los artículos 5, 6, 7, 8 11, 12, 13 y 14 de la Ley del Trabajo de los Servidores Públicos del Estado y Municipios, los cuales se transcriben a continuación:</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xml:space="preserve"> L</w:t>
      </w:r>
      <w:r>
        <w:rPr>
          <w:rFonts w:ascii="Palatino Linotype" w:eastAsia="Palatino Linotype" w:hAnsi="Palatino Linotype" w:cs="Palatino Linotype"/>
          <w:b/>
          <w:bCs/>
          <w:i/>
          <w:iCs/>
          <w:color w:val="000000"/>
        </w:rPr>
        <w:t xml:space="preserve">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6.</w:t>
      </w:r>
      <w:r>
        <w:rPr>
          <w:rFonts w:ascii="Palatino Linotype" w:eastAsia="Palatino Linotype" w:hAnsi="Palatino Linotype" w:cs="Palatino Linotype"/>
          <w:i/>
          <w:iCs/>
          <w:color w:val="000000"/>
        </w:rPr>
        <w:t xml:space="preserve"> Los servidores públicos se clasifican en generales y de confianza, los cuales, de acuerdo con la duración de sus relaciones de trabajo pueden ser: por tiempo u obra determinados o por tiempo indeterminado. </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7.</w:t>
      </w:r>
      <w:r>
        <w:rPr>
          <w:rFonts w:ascii="Palatino Linotype" w:eastAsia="Palatino Linotype" w:hAnsi="Palatino Linotype" w:cs="Palatino Linotype"/>
          <w:i/>
          <w:iCs/>
          <w:color w:val="000000"/>
        </w:rPr>
        <w:t xml:space="preserve"> Son servidores públicos generales los que prestan sus servicios en funciones operativas de carácter manual, material, administrativo, técnico, profesional o de apoyo, realizando tareas asignadas por sus superiores o determinadas en los manuales internos de procedimientos o guías de trabajo, no comprendidos dentro del siguiente artículo.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8. Se entiende por servidores públicos de confianza: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Aquéllos cuyo nombramiento o ejercicio del cargo requiera de la intervención directa del titular de la institución pública, del órgano de gobierno o de los Organismos Autónomos Constitucionales; siendo atribución de éstos su nombramiento o remoción en cualquier momento;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Aquéllos que tengan esa calidad en razón de la naturaleza de las funciones que desempeñen y no de la designación que se dé al puesto.</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Son funciones de confianza: las de dirección, inspección, vigilancia, auditoría, fiscalización, asesoría, procuración y administración de justicia y de protección civil, así como las que se relacionen con la representación directa de los titulares de las instituciones públicas o dependencias, con el manejo de recursos, las que realicen los auxiliares directos, asesores, secretarios particulares y adjuntos, choferes, secretarias y demás personal operativo que les sean asignados directamente a los servidores públicos de confianza o de elección popular, así como aquellas que se desempeñen por mandato de la norma que rigen las condiciones de trabajo de la institución pública.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Sin que lo anterior implique o signifique transgredir derechos laborales, sociales o colectivos adquiridos por los trabajadores. No se consideran funciones de confianza las de dirección, supervisión e inspección que realizan los integrantes del Sistema Educativo Estatal en los planteles educativos del propio sistema.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11.</w:t>
      </w:r>
      <w:r>
        <w:rPr>
          <w:rFonts w:ascii="Palatino Linotype" w:eastAsia="Palatino Linotype" w:hAnsi="Palatino Linotype" w:cs="Palatino Linotype"/>
          <w:i/>
          <w:iCs/>
          <w:color w:val="000000"/>
        </w:rPr>
        <w:t xml:space="preserve"> Los servidores públicos generales podrán ocupar puestos de confianza. Para este efecto, en caso de ser sindicalizados podrán renunciar a esa condición, o bien obtener licencia del sindicato correspondiente antes de ocupar dicho puesto.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este efecto, en caso de ser sindicalizados deberán renunciar a esa condición, o bien obtener licencia del sindicato correspondiente con antelación para ocupar dicho puesto</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12. Son servidores públicos por tiempo indeterminado quienes sean nombrados </w:t>
      </w:r>
      <w:r>
        <w:rPr>
          <w:rFonts w:ascii="Palatino Linotype" w:eastAsia="Palatino Linotype" w:hAnsi="Palatino Linotype" w:cs="Palatino Linotype"/>
          <w:i/>
          <w:iCs/>
          <w:color w:val="000000"/>
        </w:rPr>
        <w:t xml:space="preserve">con tal carácter en plazas presupuestales </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ARTÍCULO 13.</w:t>
      </w:r>
      <w:r>
        <w:rPr>
          <w:rFonts w:ascii="Palatino Linotype" w:eastAsia="Palatino Linotype" w:hAnsi="Palatino Linotype" w:cs="Palatino Linotype"/>
          <w:i/>
          <w:iCs/>
          <w:color w:val="000000"/>
        </w:rPr>
        <w:t xml:space="preserve"> Son servidores públicos sujetos a una relación laboral por tiempo u obra determinados, aquéllos que presten sus servicios bajo esas condiciones, en razón de que la naturaleza del servicio así lo exija.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14.</w:t>
      </w:r>
      <w:r>
        <w:rPr>
          <w:rFonts w:ascii="Palatino Linotype" w:eastAsia="Palatino Linotype" w:hAnsi="Palatino Linotype" w:cs="Palatino Linotype"/>
          <w:i/>
          <w:iCs/>
          <w:color w:val="000000"/>
        </w:rPr>
        <w:t xml:space="preserve"> Sólo se podrá contratar la prestación de servicios por tiempo determinado en los siguientes casos: </w:t>
      </w:r>
    </w:p>
    <w:p w:rsidR="00B74D90" w:rsidRDefault="00B74D90">
      <w:pPr>
        <w:pBdr>
          <w:top w:val="nil"/>
          <w:left w:val="nil"/>
          <w:bottom w:val="nil"/>
          <w:right w:val="nil"/>
          <w:between w:val="nil"/>
        </w:pBdr>
        <w:ind w:left="567" w:right="-1017"/>
        <w:jc w:val="both"/>
        <w:rPr>
          <w:rFonts w:ascii="Palatino Linotype" w:eastAsia="Palatino Linotype" w:hAnsi="Palatino Linotype" w:cs="Palatino Linotype"/>
          <w:i/>
          <w:iCs/>
          <w:color w:val="000000"/>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Cuando tenga por objeto sustituir interinamente a un servidor público; </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Cuando sea necesario realizar labores que se presentan en forma esporádica; </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Cuando aumenten las cargas de trabajo o haya rezago y se establezca un programa especial para desahogarlo, o para apoyar programas de inversión. </w:t>
      </w: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término máximo para el cual se podrá establecer una relación laboral por tiempo determinado será de un año ininterrumpidamente, excepto cuando se trate de sustituir interinamente a otro servidor público o tratándose de programas con cargo a recursos de inversión y en los casos de terminación o conclusión de la administración en la que fue contratado el servidor público a que se refiere el artículo 8 de esta ley.”</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lo anterior, se tiene la clasificación de los servidores públicos del Estado de México, los cuales son generales o de confianza, contratados por tiempo indeterminado o por tiempo determinado, según corresponda a las necesidades de la plaza a ocupar, en todo caso, están sujetos a lo dispuesto en el artículo 5 de la citada Ley, el cual dispone que deberán contar con un contrato, nombramiento o formato único de movimiento de personal, de conformidad con el artículo 48, 49</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50 y 54, los cuales disponen lo siguiente:</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48.</w:t>
      </w:r>
      <w:r>
        <w:rPr>
          <w:rFonts w:ascii="Palatino Linotype" w:eastAsia="Palatino Linotype" w:hAnsi="Palatino Linotype" w:cs="Palatino Linotype"/>
          <w:i/>
          <w:iCs/>
        </w:rPr>
        <w:t xml:space="preserve"> Para iniciar la prestación de los servicios se requiere: </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I. Tener conferido el nombramiento, </w:t>
      </w:r>
      <w:r>
        <w:rPr>
          <w:rFonts w:ascii="Palatino Linotype" w:eastAsia="Palatino Linotype" w:hAnsi="Palatino Linotype" w:cs="Palatino Linotype"/>
          <w:b/>
          <w:bCs/>
          <w:i/>
          <w:iCs/>
        </w:rPr>
        <w:t xml:space="preserve">contrato respectivo o formato único de Movimientos de Personal; </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Rendir la protesta de ley en caso de nombramiento; y </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Tomar posesión del cargo. </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ARTÍCULO 49.-</w:t>
      </w:r>
      <w:r>
        <w:rPr>
          <w:rFonts w:ascii="Palatino Linotype" w:eastAsia="Palatino Linotype" w:hAnsi="Palatino Linotype" w:cs="Palatino Linotype"/>
          <w:i/>
          <w:iCs/>
        </w:rPr>
        <w:t xml:space="preserve"> Los nombramientos, </w:t>
      </w:r>
      <w:r>
        <w:rPr>
          <w:rFonts w:ascii="Palatino Linotype" w:eastAsia="Palatino Linotype" w:hAnsi="Palatino Linotype" w:cs="Palatino Linotype"/>
          <w:b/>
          <w:bCs/>
          <w:i/>
          <w:iCs/>
        </w:rPr>
        <w:t>contratos o formato único de Movimientos de Personal de los servidores públicos deberán contener:</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 Nombre completo del servidor público; </w:t>
      </w:r>
    </w:p>
    <w:p w:rsidR="00B74D90" w:rsidRDefault="00F2586A">
      <w:pPr>
        <w:spacing w:before="240" w:after="240"/>
        <w:ind w:left="567" w:right="-101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Cargo para el que es designado, fecha de inicio de sus servicios y lugar de adscripción; </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III. Carácter del nombramiento, ya sea de servidores públicos generales o de confianza, así como la temporalidad del mismo;</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IV. Remuneración correspondiente al puesto; </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V. Jornada de trabajo; </w:t>
      </w:r>
    </w:p>
    <w:p w:rsidR="00B74D90" w:rsidRDefault="00F2586A">
      <w:pPr>
        <w:spacing w:before="240" w:after="240"/>
        <w:ind w:left="567" w:right="-1017"/>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VI. Derogada; </w:t>
      </w:r>
    </w:p>
    <w:p w:rsidR="00B74D90" w:rsidRDefault="00F2586A">
      <w:pPr>
        <w:pBdr>
          <w:top w:val="nil"/>
          <w:left w:val="nil"/>
          <w:bottom w:val="nil"/>
          <w:right w:val="nil"/>
          <w:between w:val="nil"/>
        </w:pBdr>
        <w:spacing w:before="240"/>
        <w:ind w:left="567" w:right="-101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Firma del servidor público autorizado para emitir el nombramiento, contrato o formato único de Movimientos de Personal, así como el fundamento legal de esa atribución. </w:t>
      </w:r>
    </w:p>
    <w:p w:rsidR="00B74D90" w:rsidRDefault="00B74D90">
      <w:pPr>
        <w:pBdr>
          <w:top w:val="nil"/>
          <w:left w:val="nil"/>
          <w:bottom w:val="nil"/>
          <w:right w:val="nil"/>
          <w:between w:val="nil"/>
        </w:pBdr>
        <w:spacing w:before="240"/>
        <w:ind w:left="567" w:right="-1017"/>
        <w:jc w:val="both"/>
        <w:rPr>
          <w:rFonts w:ascii="Palatino Linotype" w:eastAsia="Palatino Linotype" w:hAnsi="Palatino Linotype" w:cs="Palatino Linotype"/>
          <w:i/>
          <w:iCs/>
        </w:rPr>
      </w:pPr>
    </w:p>
    <w:p w:rsidR="00B74D90" w:rsidRDefault="00F2586A">
      <w:pPr>
        <w:pBdr>
          <w:top w:val="nil"/>
          <w:left w:val="nil"/>
          <w:bottom w:val="nil"/>
          <w:right w:val="nil"/>
          <w:between w:val="nil"/>
        </w:pBdr>
        <w:ind w:left="567" w:right="-1017"/>
        <w:jc w:val="both"/>
        <w:rPr>
          <w:rFonts w:ascii="Palatino Linotype" w:eastAsia="Palatino Linotype" w:hAnsi="Palatino Linotype" w:cs="Palatino Linotype"/>
        </w:rPr>
      </w:pPr>
      <w:r>
        <w:rPr>
          <w:rFonts w:ascii="Palatino Linotype" w:eastAsia="Palatino Linotype" w:hAnsi="Palatino Linotype" w:cs="Palatino Linotype"/>
          <w:b/>
          <w:bCs/>
          <w:i/>
          <w:iCs/>
          <w:color w:val="000000"/>
        </w:rPr>
        <w:t>ARTÍCULO 50.-</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El nombramiento, contrato o formato único de Movimientos de Personal</w:t>
      </w:r>
      <w:r>
        <w:rPr>
          <w:rFonts w:ascii="Palatino Linotype" w:eastAsia="Palatino Linotype" w:hAnsi="Palatino Linotype" w:cs="Palatino Linotype"/>
          <w:i/>
          <w:iCs/>
          <w:color w:val="000000"/>
        </w:rPr>
        <w:t xml:space="preserve"> aceptado obliga al servidor público a cumplir con los deberes inherentes al puesto especificado en el mismo y a las consecuencias que sean conforme a la ley, al uso y a la buena fe.</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rPr>
      </w:pPr>
    </w:p>
    <w:p w:rsidR="00B74D90" w:rsidRDefault="00F2586A">
      <w:pPr>
        <w:pBdr>
          <w:top w:val="nil"/>
          <w:left w:val="nil"/>
          <w:bottom w:val="nil"/>
          <w:right w:val="nil"/>
          <w:between w:val="nil"/>
        </w:pBdr>
        <w:ind w:left="566" w:right="-101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54. </w:t>
      </w:r>
      <w:r>
        <w:rPr>
          <w:rFonts w:ascii="Palatino Linotype" w:eastAsia="Palatino Linotype" w:hAnsi="Palatino Linotype" w:cs="Palatino Linotype"/>
          <w:i/>
          <w:iCs/>
        </w:rPr>
        <w:t>C</w:t>
      </w:r>
      <w:r>
        <w:rPr>
          <w:rFonts w:ascii="Palatino Linotype" w:eastAsia="Palatino Linotype" w:hAnsi="Palatino Linotype" w:cs="Palatino Linotype"/>
          <w:b/>
          <w:bCs/>
          <w:i/>
          <w:iCs/>
        </w:rPr>
        <w:t xml:space="preserve">ada institución pública o, en su caso, dependencia, en razón de la naturaleza de sus funciones, contará con un Reglamento de Condiciones Generales de Trabajo aplicables a los servidores públicos sindicalizados y generales. </w:t>
      </w:r>
      <w:r>
        <w:rPr>
          <w:rFonts w:ascii="Palatino Linotype" w:eastAsia="Palatino Linotype" w:hAnsi="Palatino Linotype" w:cs="Palatino Linotype"/>
          <w:i/>
          <w:iCs/>
        </w:rPr>
        <w:t xml:space="preserve">Las instituciones o dependencias públicas que no cuenten con documento que avale las condiciones generales de trabajo aplicables, deberán estar a lo establecido por esta ley, en caso de que el reglamento sea para sindicalizados se hará de común acuerdo con el sindicato, dichos reglamentos tendrán una duración de tres años y podrán ratificarse o modificarse a su término; los Convenios de sueldos y prestaciones celebrados con el Sindicato se aplicarán solo a los trabajadores miembros y reconocidos por la agrupación Sindical de conformidad con la normatividad aplicable. Los beneficios que se establezcan en los Reglamentos de Condiciones Generales de Trabajo y en los Convenios de Sueldo y Prestaciones, no serán extensivas a los servidores públicos de confianza, en virtud de que sus condiciones se encuentran establecidas </w:t>
      </w:r>
      <w:r>
        <w:rPr>
          <w:rFonts w:ascii="Palatino Linotype" w:eastAsia="Palatino Linotype" w:hAnsi="Palatino Linotype" w:cs="Palatino Linotype"/>
          <w:b/>
          <w:bCs/>
          <w:i/>
          <w:iCs/>
        </w:rPr>
        <w:t xml:space="preserve">en el contrato, nombramiento o formato único de movimiento de personal </w:t>
      </w:r>
      <w:r>
        <w:rPr>
          <w:rFonts w:ascii="Palatino Linotype" w:eastAsia="Palatino Linotype" w:hAnsi="Palatino Linotype" w:cs="Palatino Linotype"/>
          <w:i/>
          <w:iCs/>
        </w:rPr>
        <w:t xml:space="preserve">y en la Normatividad de cada institución pública. Asimismo, en las </w:t>
      </w:r>
      <w:r>
        <w:rPr>
          <w:rFonts w:ascii="Palatino Linotype" w:eastAsia="Palatino Linotype" w:hAnsi="Palatino Linotype" w:cs="Palatino Linotype"/>
          <w:i/>
          <w:iCs/>
        </w:rPr>
        <w:lastRenderedPageBreak/>
        <w:t>condiciones de trabajo queda prohibida toda discriminación por motivo de origen étnico o nacional, género, edad, discapacidad, condición social, condiciones de salud, religión, opiniones, preferencias políticas, sexuales o estado civil, o cualquier otra que atente contra la dignidad humana y tenga por objeto anular o menoscabar los derechos y libertades de las personas.”</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En este sentido, se advierte que </w:t>
      </w:r>
      <w:r>
        <w:rPr>
          <w:rFonts w:ascii="Palatino Linotype" w:eastAsia="Palatino Linotype" w:hAnsi="Palatino Linotype" w:cs="Palatino Linotype"/>
          <w:b/>
          <w:bCs/>
          <w:color w:val="000000"/>
        </w:rPr>
        <w:t xml:space="preserve">el nombramiento, contrato o formato único de movimiento de personal son los documentos que tienen como finalidad establecer la relación laboral entre </w:t>
      </w:r>
      <w:r>
        <w:rPr>
          <w:rFonts w:ascii="Palatino Linotype" w:eastAsia="Palatino Linotype" w:hAnsi="Palatino Linotype" w:cs="Palatino Linotype"/>
          <w:b/>
          <w:bCs/>
        </w:rPr>
        <w:t xml:space="preserve">los </w:t>
      </w:r>
      <w:r>
        <w:rPr>
          <w:rFonts w:ascii="Palatino Linotype" w:eastAsia="Palatino Linotype" w:hAnsi="Palatino Linotype" w:cs="Palatino Linotype"/>
          <w:b/>
          <w:bCs/>
          <w:color w:val="000000"/>
        </w:rPr>
        <w:t>servidor</w:t>
      </w:r>
      <w:r>
        <w:rPr>
          <w:rFonts w:ascii="Palatino Linotype" w:eastAsia="Palatino Linotype" w:hAnsi="Palatino Linotype" w:cs="Palatino Linotype"/>
          <w:b/>
          <w:bCs/>
        </w:rPr>
        <w:t xml:space="preserve">es </w:t>
      </w:r>
      <w:r>
        <w:rPr>
          <w:rFonts w:ascii="Palatino Linotype" w:eastAsia="Palatino Linotype" w:hAnsi="Palatino Linotype" w:cs="Palatino Linotype"/>
          <w:b/>
          <w:bCs/>
          <w:color w:val="000000"/>
        </w:rPr>
        <w:t xml:space="preserve">públicos y </w:t>
      </w:r>
      <w:r>
        <w:rPr>
          <w:rFonts w:ascii="Palatino Linotype" w:eastAsia="Palatino Linotype" w:hAnsi="Palatino Linotype" w:cs="Palatino Linotype"/>
          <w:b/>
          <w:bCs/>
        </w:rPr>
        <w:t xml:space="preserve">una </w:t>
      </w:r>
      <w:r>
        <w:rPr>
          <w:rFonts w:ascii="Palatino Linotype" w:eastAsia="Palatino Linotype" w:hAnsi="Palatino Linotype" w:cs="Palatino Linotype"/>
          <w:b/>
          <w:bCs/>
          <w:color w:val="000000"/>
        </w:rPr>
        <w:t>institución pública</w:t>
      </w:r>
      <w:r>
        <w:rPr>
          <w:rFonts w:ascii="Palatino Linotype" w:eastAsia="Palatino Linotype" w:hAnsi="Palatino Linotype" w:cs="Palatino Linotype"/>
          <w:color w:val="000000"/>
        </w:rPr>
        <w:t>.</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b/>
          <w:bCs/>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Así, de acuerdo a la Ley del Trabajo de los Servidores Públicos, para laborar en una institución pública, es necesario contar ya sea</w:t>
      </w:r>
      <w:r>
        <w:rPr>
          <w:rFonts w:ascii="Palatino Linotype" w:eastAsia="Palatino Linotype" w:hAnsi="Palatino Linotype" w:cs="Palatino Linotype"/>
          <w:b/>
          <w:bCs/>
          <w:color w:val="000000"/>
        </w:rPr>
        <w:t xml:space="preserve"> con contrato, formato único de movimiento de personal o nombramiento</w:t>
      </w:r>
      <w:r>
        <w:rPr>
          <w:rFonts w:ascii="Palatino Linotype" w:eastAsia="Palatino Linotype" w:hAnsi="Palatino Linotype" w:cs="Palatino Linotype"/>
          <w:color w:val="000000"/>
        </w:rPr>
        <w:t>.</w:t>
      </w:r>
    </w:p>
    <w:p w:rsidR="00B74D90" w:rsidRDefault="00B74D90">
      <w:pPr>
        <w:pBdr>
          <w:top w:val="nil"/>
          <w:left w:val="nil"/>
          <w:bottom w:val="nil"/>
          <w:right w:val="nil"/>
          <w:between w:val="nil"/>
        </w:pBdr>
        <w:ind w:left="720" w:right="-1017"/>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En este sentido, toda vez que, el </w:t>
      </w:r>
      <w:r>
        <w:rPr>
          <w:rFonts w:ascii="Palatino Linotype" w:eastAsia="Palatino Linotype" w:hAnsi="Palatino Linotype" w:cs="Palatino Linotype"/>
          <w:b/>
          <w:bCs/>
          <w:color w:val="000000"/>
        </w:rPr>
        <w:t>SUJETO OBLIGADO por med</w:t>
      </w:r>
      <w:r>
        <w:rPr>
          <w:rFonts w:ascii="Palatino Linotype" w:eastAsia="Palatino Linotype" w:hAnsi="Palatino Linotype" w:cs="Palatino Linotype"/>
          <w:b/>
          <w:bCs/>
        </w:rPr>
        <w:t xml:space="preserve">io de la Coordinadora de Administración de Personal, </w:t>
      </w:r>
      <w:r>
        <w:rPr>
          <w:rFonts w:ascii="Palatino Linotype" w:eastAsia="Palatino Linotype" w:hAnsi="Palatino Linotype" w:cs="Palatino Linotype"/>
          <w:color w:val="000000"/>
        </w:rPr>
        <w:t xml:space="preserve">se limitó a </w:t>
      </w:r>
      <w:r>
        <w:rPr>
          <w:rFonts w:ascii="Palatino Linotype" w:eastAsia="Palatino Linotype" w:hAnsi="Palatino Linotype" w:cs="Palatino Linotype"/>
        </w:rPr>
        <w:t xml:space="preserve">informar que la relación laboral de todos los servidores públicos del Ayuntamiento de Tenango del Valle se encuentra fundamentada en el artículo 54 de la Ley del Trabajo de los Servidores Públicos, </w:t>
      </w:r>
      <w:r>
        <w:rPr>
          <w:rFonts w:ascii="Palatino Linotype" w:eastAsia="Palatino Linotype" w:hAnsi="Palatino Linotype" w:cs="Palatino Linotype"/>
          <w:b/>
          <w:bCs/>
          <w:color w:val="000000"/>
        </w:rPr>
        <w:t xml:space="preserve"> no se puede tener por atendido </w:t>
      </w:r>
      <w:r>
        <w:rPr>
          <w:rFonts w:ascii="Palatino Linotype" w:eastAsia="Palatino Linotype" w:hAnsi="Palatino Linotype" w:cs="Palatino Linotype"/>
          <w:b/>
          <w:bCs/>
        </w:rPr>
        <w:t>el requerimiento.</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Motivo por el cual, analizadas las constancias que forman el expediente electrónico,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rPr>
        <w:t>12258</w:t>
      </w:r>
      <w:r>
        <w:rPr>
          <w:rFonts w:ascii="Palatino Linotype" w:eastAsia="Palatino Linotype" w:hAnsi="Palatino Linotype" w:cs="Palatino Linotype"/>
          <w:b/>
          <w:bCs/>
          <w:color w:val="000000"/>
        </w:rPr>
        <w:t>/INFOEM/IP/RR/202</w:t>
      </w:r>
      <w:r>
        <w:rPr>
          <w:rFonts w:ascii="Palatino Linotype" w:eastAsia="Palatino Linotype" w:hAnsi="Palatino Linotype" w:cs="Palatino Linotype"/>
          <w:b/>
          <w:bCs/>
        </w:rPr>
        <w:t xml:space="preserve">5; </w:t>
      </w:r>
      <w:r>
        <w:rPr>
          <w:rFonts w:ascii="Palatino Linotype" w:eastAsia="Palatino Linotype" w:hAnsi="Palatino Linotype" w:cs="Palatino Linotype"/>
          <w:color w:val="000000"/>
        </w:rPr>
        <w:t>por ello, y con fundamento en la fracción III del numeral 186 de la Ley de Transparencia y Acceso a la Informació</w:t>
      </w:r>
      <w:r>
        <w:rPr>
          <w:rFonts w:ascii="Palatino Linotype" w:eastAsia="Palatino Linotype" w:hAnsi="Palatino Linotype" w:cs="Palatino Linotype"/>
          <w:color w:val="000000"/>
          <w:highlight w:val="white"/>
        </w:rPr>
        <w:t xml:space="preserve">n Pública del Estado de México y Municipios, se </w:t>
      </w:r>
      <w:r>
        <w:rPr>
          <w:rFonts w:ascii="Palatino Linotype" w:eastAsia="Palatino Linotype" w:hAnsi="Palatino Linotype" w:cs="Palatino Linotype"/>
          <w:b/>
          <w:bCs/>
          <w:highlight w:val="white"/>
        </w:rPr>
        <w:t>REVOCA</w:t>
      </w:r>
      <w:r>
        <w:rPr>
          <w:rFonts w:ascii="Palatino Linotype" w:eastAsia="Palatino Linotype" w:hAnsi="Palatino Linotype" w:cs="Palatino Linotype"/>
          <w:color w:val="000000"/>
          <w:highlight w:val="white"/>
        </w:rPr>
        <w:t xml:space="preserve"> la respuesta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y se ordena la entrega, de ser procedente en versión pública, </w:t>
      </w:r>
      <w:r>
        <w:rPr>
          <w:rFonts w:ascii="Palatino Linotype" w:eastAsia="Palatino Linotype" w:hAnsi="Palatino Linotype" w:cs="Palatino Linotype"/>
          <w:b/>
          <w:bCs/>
          <w:color w:val="000000"/>
          <w:highlight w:val="white"/>
        </w:rPr>
        <w:t>del documento (</w:t>
      </w:r>
      <w:r>
        <w:rPr>
          <w:rFonts w:ascii="Palatino Linotype" w:eastAsia="Palatino Linotype" w:hAnsi="Palatino Linotype" w:cs="Palatino Linotype"/>
          <w:b/>
          <w:bCs/>
          <w:highlight w:val="white"/>
        </w:rPr>
        <w:t xml:space="preserve">contrato, formato único de </w:t>
      </w:r>
      <w:r>
        <w:rPr>
          <w:rFonts w:ascii="Palatino Linotype" w:eastAsia="Palatino Linotype" w:hAnsi="Palatino Linotype" w:cs="Palatino Linotype"/>
          <w:b/>
          <w:bCs/>
          <w:highlight w:val="white"/>
        </w:rPr>
        <w:lastRenderedPageBreak/>
        <w:t>personal o nombramiento</w:t>
      </w:r>
      <w:r>
        <w:rPr>
          <w:rFonts w:ascii="Palatino Linotype" w:eastAsia="Palatino Linotype" w:hAnsi="Palatino Linotype" w:cs="Palatino Linotype"/>
          <w:b/>
          <w:bCs/>
          <w:color w:val="000000"/>
          <w:highlight w:val="white"/>
        </w:rPr>
        <w:t>) que acredite la relación laboral del personal ad</w:t>
      </w:r>
      <w:r>
        <w:rPr>
          <w:rFonts w:ascii="Palatino Linotype" w:eastAsia="Palatino Linotype" w:hAnsi="Palatino Linotype" w:cs="Palatino Linotype"/>
          <w:b/>
          <w:bCs/>
          <w:highlight w:val="white"/>
        </w:rPr>
        <w:t>scrito a la Tesorería municipal al uno de octubre de dos mil veinticinco.</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pBdr>
          <w:top w:val="nil"/>
          <w:left w:val="nil"/>
          <w:bottom w:val="nil"/>
          <w:right w:val="nil"/>
          <w:between w:val="nil"/>
        </w:pBdr>
        <w:spacing w:after="240" w:line="360" w:lineRule="auto"/>
        <w:ind w:right="-101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VERSIÓN PÚBLICA.</w:t>
      </w:r>
    </w:p>
    <w:p w:rsidR="00B74D90" w:rsidRDefault="00F2586A">
      <w:pPr>
        <w:keepNext/>
        <w:keepLines/>
        <w:numPr>
          <w:ilvl w:val="0"/>
          <w:numId w:val="5"/>
        </w:numPr>
        <w:spacing w:line="360" w:lineRule="auto"/>
        <w:ind w:left="284" w:right="-1017" w:firstLine="0"/>
        <w:rPr>
          <w:rFonts w:ascii="Palatino Linotype" w:eastAsia="Palatino Linotype" w:hAnsi="Palatino Linotype" w:cs="Palatino Linotype"/>
          <w:b/>
          <w:bCs/>
          <w:color w:val="000000"/>
        </w:rPr>
      </w:pPr>
      <w:bookmarkStart w:id="12" w:name="_heading=h.ol5h52h5e7r3" w:colFirst="0" w:colLast="0"/>
      <w:bookmarkEnd w:id="12"/>
      <w:r>
        <w:rPr>
          <w:rFonts w:ascii="Palatino Linotype" w:eastAsia="Palatino Linotype" w:hAnsi="Palatino Linotype" w:cs="Palatino Linotype"/>
          <w:b/>
          <w:bCs/>
          <w:color w:val="000000"/>
        </w:rPr>
        <w:t xml:space="preserve">Nociones generales. </w:t>
      </w:r>
    </w:p>
    <w:p w:rsidR="00B74D90" w:rsidRDefault="00F2586A">
      <w:pPr>
        <w:numPr>
          <w:ilvl w:val="0"/>
          <w:numId w:val="3"/>
        </w:numPr>
        <w:pBdr>
          <w:top w:val="nil"/>
          <w:left w:val="nil"/>
          <w:bottom w:val="nil"/>
          <w:right w:val="nil"/>
          <w:between w:val="nil"/>
        </w:pBdr>
        <w:spacing w:before="240" w:line="360" w:lineRule="auto"/>
        <w:ind w:left="0" w:right="-1017" w:firstLine="0"/>
        <w:jc w:val="both"/>
        <w:rPr>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74D90" w:rsidRDefault="00B74D90">
      <w:pPr>
        <w:pBdr>
          <w:top w:val="nil"/>
          <w:left w:val="nil"/>
          <w:bottom w:val="nil"/>
          <w:right w:val="nil"/>
          <w:between w:val="nil"/>
        </w:pBdr>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after="240" w:line="360" w:lineRule="auto"/>
        <w:ind w:left="0" w:right="-1017" w:firstLine="0"/>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1014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715"/>
        <w:gridCol w:w="7425"/>
      </w:tblGrid>
      <w:tr w:rsidR="00B74D90" w:rsidTr="00B74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Pr>
          <w:p w:rsidR="00B74D90" w:rsidRDefault="00F2586A">
            <w:pPr>
              <w:ind w:right="-4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425" w:type="dxa"/>
          </w:tcPr>
          <w:p w:rsidR="00B74D90" w:rsidRDefault="00F2586A">
            <w:pPr>
              <w:ind w:right="-4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b w:val="0"/>
                <w:bCs w:val="0"/>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B74D90" w:rsidRDefault="00F2586A">
            <w:pPr>
              <w:ind w:right="-4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b w:val="0"/>
                <w:bCs w:val="0"/>
                <w:color w:val="000000"/>
              </w:rPr>
              <w:t>Al hacerlo tienen que precisar de qué información se trata, señalando el supuesto de clasificación (confidencialidad o reserva).</w:t>
            </w:r>
          </w:p>
          <w:p w:rsidR="00B74D90" w:rsidRDefault="00F2586A">
            <w:pPr>
              <w:ind w:right="-4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b w:val="0"/>
                <w:bCs w:val="0"/>
                <w:color w:val="000000"/>
              </w:rPr>
              <w:t>Además, se debe señalar el procedimiento, de los tres que establecen los artículos 132 y 106 de la Ley Estatal y General, respectivamente.</w:t>
            </w:r>
          </w:p>
          <w:p w:rsidR="00B74D90" w:rsidRDefault="00F2586A">
            <w:pPr>
              <w:ind w:right="-46"/>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b w:val="0"/>
                <w:bCs w:val="0"/>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b w:val="0"/>
                <w:bCs w:val="0"/>
                <w:color w:val="000000"/>
                <w:u w:val="single"/>
              </w:rPr>
              <w:t xml:space="preserve">no se puede </w:t>
            </w:r>
            <w:r>
              <w:rPr>
                <w:rFonts w:ascii="Palatino Linotype" w:eastAsia="Palatino Linotype" w:hAnsi="Palatino Linotype" w:cs="Palatino Linotype"/>
                <w:b w:val="0"/>
                <w:bCs w:val="0"/>
                <w:color w:val="000000"/>
                <w:u w:val="single"/>
              </w:rPr>
              <w:lastRenderedPageBreak/>
              <w:t>hacer un acuerdo para clasificar de manera general todos los documentos de un expediente o área, sin</w:t>
            </w:r>
            <w:r>
              <w:rPr>
                <w:rFonts w:ascii="Palatino Linotype" w:eastAsia="Palatino Linotype" w:hAnsi="Palatino Linotype" w:cs="Palatino Linotype"/>
                <w:b w:val="0"/>
                <w:bCs w:val="0"/>
                <w:color w:val="000000"/>
              </w:rPr>
              <w:t xml:space="preserve"> individualizar su análisis y tampoco se puede hacer un acuerdo por cada dato que se vaya a clasificar dentro de un documento con diez datos, por ejemplo, susceptibles de ser clasificados.</w:t>
            </w:r>
          </w:p>
        </w:tc>
      </w:tr>
      <w:tr w:rsidR="00B74D90" w:rsidTr="00B7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Pr>
          <w:p w:rsidR="00B74D90" w:rsidRDefault="00F2586A">
            <w:pPr>
              <w:ind w:right="-4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425" w:type="dxa"/>
          </w:tcPr>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74D90" w:rsidTr="00B74D90">
        <w:tc>
          <w:tcPr>
            <w:cnfStyle w:val="001000000000" w:firstRow="0" w:lastRow="0" w:firstColumn="1" w:lastColumn="0" w:oddVBand="0" w:evenVBand="0" w:oddHBand="0" w:evenHBand="0" w:firstRowFirstColumn="0" w:firstRowLastColumn="0" w:lastRowFirstColumn="0" w:lastRowLastColumn="0"/>
            <w:tcW w:w="2715" w:type="dxa"/>
          </w:tcPr>
          <w:p w:rsidR="00B74D90" w:rsidRDefault="00F2586A">
            <w:pPr>
              <w:ind w:right="-46"/>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7425" w:type="dxa"/>
          </w:tcPr>
          <w:p w:rsidR="00B74D90" w:rsidRDefault="00F2586A">
            <w:pPr>
              <w:ind w:right="-4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B74D90" w:rsidRDefault="00F2586A">
            <w:pPr>
              <w:ind w:right="-4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B74D90" w:rsidRDefault="00F2586A">
            <w:pPr>
              <w:ind w:right="-4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74D90" w:rsidTr="00B74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5" w:type="dxa"/>
          </w:tcPr>
          <w:p w:rsidR="00B74D90" w:rsidRDefault="00B74D90">
            <w:pPr>
              <w:ind w:right="-46"/>
              <w:rPr>
                <w:rFonts w:ascii="Palatino Linotype" w:eastAsia="Palatino Linotype" w:hAnsi="Palatino Linotype" w:cs="Palatino Linotype"/>
              </w:rPr>
            </w:pPr>
          </w:p>
          <w:p w:rsidR="00B74D90" w:rsidRDefault="00F2586A">
            <w:pPr>
              <w:ind w:right="-4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425" w:type="dxa"/>
          </w:tcPr>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B74D90" w:rsidRDefault="00F2586A">
            <w:pPr>
              <w:ind w:right="-4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74D90" w:rsidTr="00B74D90">
        <w:tc>
          <w:tcPr>
            <w:cnfStyle w:val="001000000000" w:firstRow="0" w:lastRow="0" w:firstColumn="1" w:lastColumn="0" w:oddVBand="0" w:evenVBand="0" w:oddHBand="0" w:evenHBand="0" w:firstRowFirstColumn="0" w:firstRowLastColumn="0" w:lastRowFirstColumn="0" w:lastRowLastColumn="0"/>
            <w:tcW w:w="2715" w:type="dxa"/>
          </w:tcPr>
          <w:p w:rsidR="00B74D90" w:rsidRDefault="00F2586A">
            <w:pPr>
              <w:ind w:right="-46"/>
              <w:jc w:val="both"/>
              <w:rPr>
                <w:rFonts w:ascii="Palatino Linotype" w:eastAsia="Palatino Linotype" w:hAnsi="Palatino Linotype" w:cs="Palatino Linotype"/>
              </w:rPr>
            </w:pPr>
            <w:r>
              <w:rPr>
                <w:rFonts w:ascii="Palatino Linotype" w:eastAsia="Palatino Linotype" w:hAnsi="Palatino Linotype" w:cs="Palatino Linotype"/>
                <w:b w:val="0"/>
                <w:bCs w:val="0"/>
              </w:rPr>
              <w:t>e</w:t>
            </w:r>
            <w:r>
              <w:rPr>
                <w:rFonts w:ascii="Palatino Linotype" w:eastAsia="Palatino Linotype" w:hAnsi="Palatino Linotype" w:cs="Palatino Linotype"/>
              </w:rPr>
              <w:t xml:space="preserve">) Condiciones especiales de la clasificación de la </w:t>
            </w:r>
            <w:r>
              <w:rPr>
                <w:rFonts w:ascii="Palatino Linotype" w:eastAsia="Palatino Linotype" w:hAnsi="Palatino Linotype" w:cs="Palatino Linotype"/>
              </w:rPr>
              <w:lastRenderedPageBreak/>
              <w:t xml:space="preserve">información como confidencial. </w:t>
            </w:r>
          </w:p>
        </w:tc>
        <w:tc>
          <w:tcPr>
            <w:tcW w:w="7425" w:type="dxa"/>
          </w:tcPr>
          <w:p w:rsidR="00B74D90" w:rsidRDefault="00F2586A">
            <w:pPr>
              <w:ind w:right="-4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se podrán proporcionar, incluso sin solicitar el consentimiento de su titular. </w:t>
            </w:r>
          </w:p>
          <w:p w:rsidR="00B74D90" w:rsidRDefault="00F2586A">
            <w:pPr>
              <w:ind w:right="-4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74D90" w:rsidRDefault="00F2586A">
            <w:pPr>
              <w:ind w:right="-46"/>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74D90" w:rsidRDefault="00B74D90">
      <w:pPr>
        <w:pBdr>
          <w:top w:val="nil"/>
          <w:left w:val="nil"/>
          <w:bottom w:val="nil"/>
          <w:right w:val="nil"/>
          <w:between w:val="nil"/>
        </w:pBdr>
        <w:tabs>
          <w:tab w:val="left" w:pos="426"/>
        </w:tabs>
        <w:spacing w:before="240"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tabs>
          <w:tab w:val="left" w:pos="426"/>
        </w:tabs>
        <w:spacing w:line="360" w:lineRule="auto"/>
        <w:ind w:left="0" w:right="-1017" w:firstLine="0"/>
        <w:jc w:val="both"/>
        <w:rPr>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B74D90" w:rsidRDefault="00B74D90">
      <w:pPr>
        <w:pBdr>
          <w:top w:val="nil"/>
          <w:left w:val="nil"/>
          <w:bottom w:val="nil"/>
          <w:right w:val="nil"/>
          <w:between w:val="nil"/>
        </w:pBdr>
        <w:tabs>
          <w:tab w:val="left" w:pos="426"/>
        </w:tabs>
        <w:spacing w:line="360" w:lineRule="auto"/>
        <w:ind w:right="-1017"/>
        <w:jc w:val="both"/>
        <w:rPr>
          <w:rFonts w:ascii="Palatino Linotype" w:eastAsia="Palatino Linotype" w:hAnsi="Palatino Linotype" w:cs="Palatino Linotype"/>
          <w:color w:val="000000"/>
        </w:rPr>
      </w:pPr>
    </w:p>
    <w:p w:rsidR="00B74D90" w:rsidRDefault="00F2586A">
      <w:pPr>
        <w:numPr>
          <w:ilvl w:val="0"/>
          <w:numId w:val="3"/>
        </w:numPr>
        <w:pBdr>
          <w:top w:val="nil"/>
          <w:left w:val="nil"/>
          <w:bottom w:val="nil"/>
          <w:right w:val="nil"/>
          <w:between w:val="nil"/>
        </w:pBdr>
        <w:spacing w:line="360" w:lineRule="auto"/>
        <w:ind w:left="0" w:right="-1017" w:firstLine="0"/>
        <w:jc w:val="both"/>
        <w:rPr>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rsidR="00B74D90" w:rsidRDefault="00F2586A">
      <w:pPr>
        <w:keepNext/>
        <w:keepLines/>
        <w:spacing w:before="240" w:after="240" w:line="360" w:lineRule="auto"/>
        <w:ind w:right="-1017"/>
        <w:jc w:val="center"/>
        <w:rPr>
          <w:rFonts w:ascii="Palatino Linotype" w:eastAsia="Palatino Linotype" w:hAnsi="Palatino Linotype" w:cs="Palatino Linotype"/>
          <w:b/>
          <w:bCs/>
          <w:color w:val="000000"/>
        </w:rPr>
      </w:pPr>
      <w:bookmarkStart w:id="13" w:name="_heading=h.6hmweiekejkq" w:colFirst="0" w:colLast="0"/>
      <w:bookmarkEnd w:id="13"/>
      <w:r>
        <w:rPr>
          <w:rFonts w:ascii="Palatino Linotype" w:eastAsia="Palatino Linotype" w:hAnsi="Palatino Linotype" w:cs="Palatino Linotype"/>
          <w:b/>
          <w:bCs/>
          <w:color w:val="000000"/>
        </w:rPr>
        <w:t>R E S O L U T I V O S</w:t>
      </w:r>
    </w:p>
    <w:p w:rsidR="00B74D90" w:rsidRDefault="00F2586A">
      <w:pPr>
        <w:spacing w:before="240" w:after="240"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12258/INFOEM/IP/RR/2025,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B74D90" w:rsidRDefault="00F2586A">
      <w:pPr>
        <w:spacing w:before="240" w:after="240" w:line="360" w:lineRule="auto"/>
        <w:ind w:right="-1017"/>
        <w:jc w:val="both"/>
        <w:rPr>
          <w:rFonts w:ascii="Palatino Linotype" w:eastAsia="Palatino Linotype" w:hAnsi="Palatino Linotype" w:cs="Palatino Linotype"/>
        </w:rPr>
      </w:pPr>
      <w:bookmarkStart w:id="14" w:name="_heading=h.jdhs14swjxxf" w:colFirst="0" w:colLast="0"/>
      <w:bookmarkEnd w:id="14"/>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REVOCA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Tenango del Valle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 xml:space="preserve">entregar vía Sistema de Accesos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de ser procedente en versión pública, las siguientes documentales:</w:t>
      </w:r>
    </w:p>
    <w:p w:rsidR="00B74D90" w:rsidRDefault="00B74D90">
      <w:pPr>
        <w:spacing w:line="360" w:lineRule="auto"/>
        <w:ind w:right="-1017"/>
        <w:jc w:val="both"/>
        <w:rPr>
          <w:rFonts w:ascii="Palatino Linotype" w:eastAsia="Palatino Linotype" w:hAnsi="Palatino Linotype" w:cs="Palatino Linotype"/>
          <w:color w:val="333333"/>
        </w:rPr>
      </w:pPr>
    </w:p>
    <w:p w:rsidR="00B74D90" w:rsidRDefault="00F2586A">
      <w:pPr>
        <w:numPr>
          <w:ilvl w:val="0"/>
          <w:numId w:val="2"/>
        </w:numPr>
        <w:spacing w:line="360" w:lineRule="auto"/>
        <w:ind w:left="566" w:right="-1017" w:firstLine="0"/>
        <w:jc w:val="both"/>
        <w:rPr>
          <w:rFonts w:ascii="Palatino Linotype" w:eastAsia="Palatino Linotype" w:hAnsi="Palatino Linotype" w:cs="Palatino Linotype"/>
        </w:rPr>
      </w:pPr>
      <w:r>
        <w:rPr>
          <w:rFonts w:ascii="Palatino Linotype" w:eastAsia="Palatino Linotype" w:hAnsi="Palatino Linotype" w:cs="Palatino Linotype"/>
          <w:b/>
          <w:bCs/>
          <w:color w:val="333333"/>
        </w:rPr>
        <w:lastRenderedPageBreak/>
        <w:t>C</w:t>
      </w:r>
      <w:r>
        <w:rPr>
          <w:rFonts w:ascii="Palatino Linotype" w:eastAsia="Palatino Linotype" w:hAnsi="Palatino Linotype" w:cs="Palatino Linotype"/>
          <w:b/>
          <w:bCs/>
          <w:highlight w:val="white"/>
        </w:rPr>
        <w:t>ontrato, formato único de personal o nombramiento que acredite la relación laboral del personal adscrito a la Tesorería municipal al uno de octubre de dos mil veinticinco.</w:t>
      </w:r>
    </w:p>
    <w:p w:rsidR="00B74D90" w:rsidRDefault="00B74D90">
      <w:pPr>
        <w:spacing w:line="360" w:lineRule="auto"/>
        <w:ind w:right="-1017"/>
        <w:jc w:val="both"/>
        <w:rPr>
          <w:rFonts w:ascii="Palatino Linotype" w:eastAsia="Palatino Linotype" w:hAnsi="Palatino Linotype" w:cs="Palatino Linotype"/>
          <w:color w:val="333333"/>
        </w:rPr>
      </w:pPr>
    </w:p>
    <w:p w:rsidR="00B74D90" w:rsidRDefault="00F2586A">
      <w:pPr>
        <w:tabs>
          <w:tab w:val="left" w:pos="8080"/>
        </w:tabs>
        <w:spacing w:before="240" w:line="360" w:lineRule="auto"/>
        <w:ind w:right="-1017"/>
        <w:jc w:val="both"/>
        <w:rPr>
          <w:rFonts w:ascii="Palatino Linotype" w:eastAsia="Palatino Linotype" w:hAnsi="Palatino Linotype" w:cs="Palatino Linotype"/>
          <w:b/>
          <w:bCs/>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Pr>
          <w:rFonts w:ascii="Palatino Linotype" w:eastAsia="Palatino Linotype" w:hAnsi="Palatino Linotype" w:cs="Palatino Linotype"/>
          <w:b/>
          <w:bCs/>
        </w:rPr>
        <w:t xml:space="preserve"> RECURRENTE.</w:t>
      </w:r>
    </w:p>
    <w:p w:rsidR="00B74D90" w:rsidRDefault="00B74D90">
      <w:pPr>
        <w:tabs>
          <w:tab w:val="left" w:pos="8080"/>
        </w:tabs>
        <w:spacing w:line="360" w:lineRule="auto"/>
        <w:ind w:right="-1017"/>
        <w:jc w:val="both"/>
        <w:rPr>
          <w:rFonts w:ascii="Palatino Linotype" w:eastAsia="Palatino Linotype" w:hAnsi="Palatino Linotype" w:cs="Palatino Linotype"/>
          <w:b/>
          <w:bCs/>
        </w:rPr>
      </w:pPr>
    </w:p>
    <w:p w:rsidR="00B74D90" w:rsidRDefault="00F2586A">
      <w:pPr>
        <w:tabs>
          <w:tab w:val="left" w:pos="8080"/>
        </w:tabs>
        <w:spacing w:line="360" w:lineRule="auto"/>
        <w:ind w:right="-1017"/>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000000"/>
        </w:rPr>
        <w:t xml:space="preserve">Notifíquese </w:t>
      </w:r>
      <w:r>
        <w:rPr>
          <w:rFonts w:ascii="Palatino Linotype" w:eastAsia="Palatino Linotype" w:hAnsi="Palatino Linotype" w:cs="Palatino Linotype"/>
        </w:rPr>
        <w:t xml:space="preserve">a presente resolución al Titular de la Unidad de Transparencia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160807">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74D90" w:rsidRDefault="00B74D90">
      <w:pPr>
        <w:tabs>
          <w:tab w:val="left" w:pos="8080"/>
        </w:tabs>
        <w:spacing w:line="360" w:lineRule="auto"/>
        <w:ind w:right="-1017"/>
        <w:jc w:val="both"/>
        <w:rPr>
          <w:rFonts w:ascii="Palatino Linotype" w:eastAsia="Palatino Linotype" w:hAnsi="Palatino Linotype" w:cs="Palatino Linotype"/>
          <w:color w:val="222222"/>
          <w:highlight w:val="white"/>
        </w:rPr>
      </w:pPr>
    </w:p>
    <w:p w:rsidR="00B74D90" w:rsidRDefault="00F2586A">
      <w:pPr>
        <w:shd w:val="clear" w:color="auto" w:fill="FFFFFF"/>
        <w:spacing w:after="240" w:line="360" w:lineRule="auto"/>
        <w:ind w:right="-1017"/>
        <w:jc w:val="both"/>
        <w:rPr>
          <w:rFonts w:ascii="Palatino Linotype" w:eastAsia="Palatino Linotype" w:hAnsi="Palatino Linotype" w:cs="Palatino Linotype"/>
          <w:b/>
          <w:bCs/>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p>
    <w:p w:rsidR="00B74D90" w:rsidRDefault="00F2586A">
      <w:pPr>
        <w:spacing w:before="240" w:after="240"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lastRenderedPageBreak/>
        <w:t>México y Municipios, en caso de que considere que la resolución le cause algún perjuicio podrá impugnar vía juicio de amparo en los términos de las leyes aplicables.</w:t>
      </w:r>
    </w:p>
    <w:p w:rsidR="00B74D90" w:rsidRDefault="00F2586A">
      <w:pPr>
        <w:spacing w:before="240" w:after="240" w:line="360" w:lineRule="auto"/>
        <w:ind w:right="-1017"/>
        <w:jc w:val="both"/>
        <w:rPr>
          <w:rFonts w:ascii="Palatino Linotype" w:eastAsia="Palatino Linotype" w:hAnsi="Palatino Linotype" w:cs="Palatino Linotype"/>
        </w:rPr>
      </w:pPr>
      <w:r>
        <w:rPr>
          <w:rFonts w:ascii="Palatino Linotype" w:eastAsia="Palatino Linotype" w:hAnsi="Palatino Linotype" w:cs="Palatino Linotype"/>
          <w:b/>
          <w:bCs/>
          <w:color w:val="000000"/>
          <w:highlight w:val="white"/>
        </w:rPr>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160807" w:rsidRDefault="00160807">
      <w:pPr>
        <w:spacing w:before="240" w:after="240" w:line="360" w:lineRule="auto"/>
        <w:ind w:right="-1017"/>
        <w:jc w:val="both"/>
        <w:rPr>
          <w:rFonts w:ascii="Palatino Linotype" w:eastAsia="Palatino Linotype" w:hAnsi="Palatino Linotype" w:cs="Palatino Linotype"/>
        </w:rPr>
      </w:pPr>
    </w:p>
    <w:p w:rsidR="00160807" w:rsidRPr="003E2295" w:rsidRDefault="00160807" w:rsidP="00160807">
      <w:pPr>
        <w:spacing w:before="240" w:after="240" w:line="360" w:lineRule="auto"/>
        <w:ind w:right="-1021" w:firstLine="1"/>
        <w:jc w:val="both"/>
        <w:rPr>
          <w:rFonts w:ascii="Palatino Linotype" w:hAnsi="Palatino Linotype"/>
        </w:rPr>
      </w:pPr>
      <w:bookmarkStart w:id="15"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5"/>
    <w:p w:rsidR="00B74D90" w:rsidRDefault="00B74D90" w:rsidP="00160807">
      <w:pPr>
        <w:spacing w:before="240" w:after="240" w:line="360" w:lineRule="auto"/>
        <w:ind w:right="-1021"/>
        <w:rPr>
          <w:rFonts w:ascii="Palatino Linotype" w:eastAsia="Palatino Linotype" w:hAnsi="Palatino Linotype" w:cs="Palatino Linotype"/>
        </w:rPr>
      </w:pPr>
    </w:p>
    <w:p w:rsidR="00B74D90" w:rsidRDefault="00B74D90" w:rsidP="00160807">
      <w:pPr>
        <w:spacing w:before="240" w:after="240" w:line="360" w:lineRule="auto"/>
        <w:ind w:right="-1021"/>
        <w:rPr>
          <w:rFonts w:ascii="Palatino Linotype" w:eastAsia="Palatino Linotype" w:hAnsi="Palatino Linotype" w:cs="Palatino Linotype"/>
        </w:rPr>
      </w:pPr>
    </w:p>
    <w:p w:rsidR="00B74D90" w:rsidRDefault="00B74D90" w:rsidP="00160807">
      <w:pPr>
        <w:spacing w:before="240" w:after="240" w:line="360" w:lineRule="auto"/>
        <w:ind w:right="-1021"/>
        <w:rPr>
          <w:rFonts w:ascii="Palatino Linotype" w:eastAsia="Palatino Linotype" w:hAnsi="Palatino Linotype" w:cs="Palatino Linotype"/>
        </w:rPr>
      </w:pPr>
    </w:p>
    <w:p w:rsidR="00B74D90" w:rsidRDefault="00B74D90" w:rsidP="00160807">
      <w:pPr>
        <w:spacing w:before="240" w:after="240" w:line="360" w:lineRule="auto"/>
        <w:ind w:right="-1021"/>
        <w:rPr>
          <w:rFonts w:ascii="Palatino Linotype" w:eastAsia="Palatino Linotype" w:hAnsi="Palatino Linotype" w:cs="Palatino Linotype"/>
        </w:rPr>
      </w:pPr>
    </w:p>
    <w:p w:rsidR="00B74D90" w:rsidRDefault="00B74D90">
      <w:pPr>
        <w:spacing w:before="240" w:after="240" w:line="360" w:lineRule="auto"/>
        <w:ind w:right="-1017"/>
        <w:rPr>
          <w:rFonts w:ascii="Palatino Linotype" w:eastAsia="Palatino Linotype" w:hAnsi="Palatino Linotype" w:cs="Palatino Linotype"/>
        </w:rPr>
      </w:pPr>
    </w:p>
    <w:p w:rsidR="00B74D90" w:rsidRDefault="00B74D90">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p w:rsidR="001F4065" w:rsidRDefault="001F4065">
      <w:pPr>
        <w:spacing w:before="240" w:after="240" w:line="360" w:lineRule="auto"/>
        <w:ind w:right="-1017"/>
        <w:rPr>
          <w:rFonts w:ascii="Palatino Linotype" w:eastAsia="Palatino Linotype" w:hAnsi="Palatino Linotype" w:cs="Palatino Linotype"/>
        </w:rPr>
      </w:pPr>
    </w:p>
    <w:sectPr w:rsidR="001F4065">
      <w:headerReference w:type="even" r:id="rId18"/>
      <w:headerReference w:type="default" r:id="rId19"/>
      <w:footerReference w:type="default" r:id="rId20"/>
      <w:headerReference w:type="first" r:id="rId21"/>
      <w:footerReference w:type="first" r:id="rId22"/>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815" w:rsidRDefault="00E23815">
      <w:r>
        <w:separator/>
      </w:r>
    </w:p>
  </w:endnote>
  <w:endnote w:type="continuationSeparator" w:id="0">
    <w:p w:rsidR="00E23815" w:rsidRDefault="00E2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4DBB1AE-CE6A-4D93-BA1B-ABFADCA9D608}"/>
    <w:embedBold r:id="rId2" w:fontKey="{E4E6CA62-7261-424B-A01A-C1E74D8C6189}"/>
    <w:embedItalic r:id="rId3" w:fontKey="{FFAE883E-8F1B-4D73-8C13-16DEA9738B1E}"/>
    <w:embedBoldItalic r:id="rId4" w:fontKey="{E6387AC3-549F-460C-860D-281A311DCCB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44C48861-8AC8-4BE8-9572-45541C1FA2E3}"/>
  </w:font>
  <w:font w:name="Georgia">
    <w:panose1 w:val="02040502050405020303"/>
    <w:charset w:val="00"/>
    <w:family w:val="roman"/>
    <w:pitch w:val="variable"/>
    <w:sig w:usb0="00000287" w:usb1="00000000" w:usb2="00000000" w:usb3="00000000" w:csb0="0000009F" w:csb1="00000000"/>
    <w:embedItalic r:id="rId6" w:fontKey="{3F5BA4E1-0E2E-4848-B6DE-D32370B7D4E8}"/>
  </w:font>
  <w:font w:name="Garamond">
    <w:panose1 w:val="02020404030301010803"/>
    <w:charset w:val="00"/>
    <w:family w:val="roman"/>
    <w:pitch w:val="variable"/>
    <w:sig w:usb0="00000287" w:usb1="00000000" w:usb2="00000000" w:usb3="00000000" w:csb0="0000009F" w:csb1="00000000"/>
    <w:embedRegular r:id="rId7" w:fontKey="{878EC51B-0958-4F5C-98CC-019EE357998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8214EF8B-3F39-4C66-AC3F-E47B12BE7C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D90" w:rsidRDefault="00F2586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91F5E">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91F5E">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B74D90" w:rsidRDefault="00B74D9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D90" w:rsidRDefault="00F2586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91F5E">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91F5E">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B74D90" w:rsidRDefault="00B74D9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815" w:rsidRDefault="00E23815">
      <w:r>
        <w:separator/>
      </w:r>
    </w:p>
  </w:footnote>
  <w:footnote w:type="continuationSeparator" w:id="0">
    <w:p w:rsidR="00E23815" w:rsidRDefault="00E23815">
      <w:r>
        <w:continuationSeparator/>
      </w:r>
    </w:p>
  </w:footnote>
  <w:footnote w:id="1">
    <w:p w:rsidR="00B74D90" w:rsidRDefault="00F2586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B74D90" w:rsidRDefault="00F2586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B74D90" w:rsidRDefault="00F2586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B74D90" w:rsidRDefault="00F2586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D90" w:rsidRDefault="00E2381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8"/>
      <w:gridCol w:w="8222"/>
    </w:tblGrid>
    <w:tr w:rsidR="00B74D90" w:rsidTr="00F768C6">
      <w:trPr>
        <w:trHeight w:val="1809"/>
      </w:trPr>
      <w:tc>
        <w:tcPr>
          <w:tcW w:w="2268" w:type="dxa"/>
          <w:shd w:val="clear" w:color="auto" w:fill="auto"/>
        </w:tcPr>
        <w:p w:rsidR="00B74D90" w:rsidRDefault="00B74D90">
          <w:pPr>
            <w:tabs>
              <w:tab w:val="right" w:pos="4273"/>
            </w:tabs>
            <w:rPr>
              <w:rFonts w:ascii="Garamond" w:eastAsia="Garamond" w:hAnsi="Garamond" w:cs="Garamond"/>
              <w:sz w:val="16"/>
              <w:szCs w:val="16"/>
            </w:rPr>
          </w:pPr>
        </w:p>
      </w:tc>
      <w:tc>
        <w:tcPr>
          <w:tcW w:w="8222" w:type="dxa"/>
          <w:shd w:val="clear" w:color="auto" w:fill="auto"/>
        </w:tcPr>
        <w:tbl>
          <w:tblPr>
            <w:tblStyle w:val="a1"/>
            <w:tblW w:w="6660" w:type="dxa"/>
            <w:tblInd w:w="1161" w:type="dxa"/>
            <w:tblLayout w:type="fixed"/>
            <w:tblLook w:val="0400" w:firstRow="0" w:lastRow="0" w:firstColumn="0" w:lastColumn="0" w:noHBand="0" w:noVBand="1"/>
          </w:tblPr>
          <w:tblGrid>
            <w:gridCol w:w="2942"/>
            <w:gridCol w:w="3718"/>
          </w:tblGrid>
          <w:tr w:rsidR="00B74D90" w:rsidTr="00F768C6">
            <w:trPr>
              <w:trHeight w:val="56"/>
            </w:trPr>
            <w:tc>
              <w:tcPr>
                <w:tcW w:w="2942" w:type="dxa"/>
                <w:shd w:val="clear" w:color="auto" w:fill="auto"/>
              </w:tcPr>
              <w:p w:rsidR="00B74D90" w:rsidRDefault="00F2586A">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B74D90" w:rsidRDefault="00F2586A">
                <w:pPr>
                  <w:tabs>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12258/INFOEM/IP/RR/2025</w:t>
                </w:r>
              </w:p>
            </w:tc>
          </w:tr>
          <w:tr w:rsidR="00B74D90" w:rsidTr="00F768C6">
            <w:trPr>
              <w:trHeight w:val="295"/>
            </w:trPr>
            <w:tc>
              <w:tcPr>
                <w:tcW w:w="2942" w:type="dxa"/>
                <w:shd w:val="clear" w:color="auto" w:fill="auto"/>
              </w:tcPr>
              <w:p w:rsidR="00B74D90" w:rsidRDefault="00F2586A">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B74D90" w:rsidRDefault="00F2586A">
                <w:pPr>
                  <w:tabs>
                    <w:tab w:val="left" w:pos="2834"/>
                    <w:tab w:val="right" w:pos="8838"/>
                  </w:tabs>
                  <w:ind w:left="-108" w:right="-102"/>
                  <w:jc w:val="both"/>
                  <w:rPr>
                    <w:rFonts w:ascii="Palatino Linotype" w:eastAsia="Palatino Linotype" w:hAnsi="Palatino Linotype" w:cs="Palatino Linotype"/>
                    <w:b/>
                    <w:bCs/>
                  </w:rPr>
                </w:pPr>
                <w:r>
                  <w:rPr>
                    <w:rFonts w:ascii="Palatino Linotype" w:eastAsia="Palatino Linotype" w:hAnsi="Palatino Linotype" w:cs="Palatino Linotype"/>
                    <w:sz w:val="22"/>
                    <w:szCs w:val="22"/>
                  </w:rPr>
                  <w:t>Ayuntamiento de Tenango del Valle</w:t>
                </w:r>
              </w:p>
            </w:tc>
          </w:tr>
          <w:tr w:rsidR="00B74D90" w:rsidTr="00F768C6">
            <w:trPr>
              <w:trHeight w:val="295"/>
            </w:trPr>
            <w:tc>
              <w:tcPr>
                <w:tcW w:w="2942" w:type="dxa"/>
                <w:shd w:val="clear" w:color="auto" w:fill="auto"/>
              </w:tcPr>
              <w:p w:rsidR="00B74D90" w:rsidRDefault="00F2586A">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B74D90" w:rsidRPr="00F768C6" w:rsidRDefault="00F2586A" w:rsidP="00F768C6">
                <w:pPr>
                  <w:tabs>
                    <w:tab w:val="right" w:pos="8838"/>
                  </w:tabs>
                  <w:ind w:left="-108" w:right="17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74D90" w:rsidRDefault="00B74D90">
          <w:pPr>
            <w:tabs>
              <w:tab w:val="right" w:pos="8838"/>
            </w:tabs>
            <w:ind w:left="-28"/>
            <w:jc w:val="both"/>
            <w:rPr>
              <w:rFonts w:ascii="Arial" w:eastAsia="Arial" w:hAnsi="Arial" w:cs="Arial"/>
              <w:b/>
              <w:bCs/>
              <w:sz w:val="22"/>
              <w:szCs w:val="22"/>
            </w:rPr>
          </w:pPr>
        </w:p>
      </w:tc>
    </w:tr>
  </w:tbl>
  <w:p w:rsidR="00B74D90" w:rsidRDefault="00E2381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0.15pt;margin-top:-148.3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215" w:type="dxa"/>
      <w:tblInd w:w="0" w:type="dxa"/>
      <w:tblLayout w:type="fixed"/>
      <w:tblLook w:val="0400" w:firstRow="0" w:lastRow="0" w:firstColumn="0" w:lastColumn="0" w:noHBand="0" w:noVBand="1"/>
    </w:tblPr>
    <w:tblGrid>
      <w:gridCol w:w="2265"/>
      <w:gridCol w:w="7950"/>
    </w:tblGrid>
    <w:tr w:rsidR="00B74D90">
      <w:trPr>
        <w:trHeight w:val="1435"/>
      </w:trPr>
      <w:tc>
        <w:tcPr>
          <w:tcW w:w="2265" w:type="dxa"/>
          <w:shd w:val="clear" w:color="auto" w:fill="auto"/>
        </w:tcPr>
        <w:p w:rsidR="00B74D90" w:rsidRDefault="00B74D90">
          <w:pPr>
            <w:tabs>
              <w:tab w:val="right" w:pos="4273"/>
            </w:tabs>
            <w:rPr>
              <w:rFonts w:ascii="Garamond" w:eastAsia="Garamond" w:hAnsi="Garamond" w:cs="Garamond"/>
              <w:sz w:val="22"/>
              <w:szCs w:val="22"/>
            </w:rPr>
          </w:pPr>
        </w:p>
      </w:tc>
      <w:tc>
        <w:tcPr>
          <w:tcW w:w="7950" w:type="dxa"/>
          <w:shd w:val="clear" w:color="auto" w:fill="auto"/>
        </w:tcPr>
        <w:tbl>
          <w:tblPr>
            <w:tblStyle w:val="a3"/>
            <w:tblW w:w="6794" w:type="dxa"/>
            <w:tblInd w:w="739" w:type="dxa"/>
            <w:tblLayout w:type="fixed"/>
            <w:tblLook w:val="0400" w:firstRow="0" w:lastRow="0" w:firstColumn="0" w:lastColumn="0" w:noHBand="0" w:noVBand="1"/>
          </w:tblPr>
          <w:tblGrid>
            <w:gridCol w:w="2805"/>
            <w:gridCol w:w="3989"/>
          </w:tblGrid>
          <w:tr w:rsidR="00B74D90" w:rsidTr="00F768C6">
            <w:trPr>
              <w:trHeight w:val="144"/>
            </w:trPr>
            <w:tc>
              <w:tcPr>
                <w:tcW w:w="2805" w:type="dxa"/>
                <w:shd w:val="clear" w:color="auto" w:fill="auto"/>
              </w:tcPr>
              <w:p w:rsidR="00B74D90" w:rsidRDefault="00F2586A">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89" w:type="dxa"/>
                <w:shd w:val="clear" w:color="auto" w:fill="auto"/>
              </w:tcPr>
              <w:p w:rsidR="00B74D90" w:rsidRDefault="00F2586A">
                <w:pPr>
                  <w:tabs>
                    <w:tab w:val="right" w:pos="8838"/>
                  </w:tabs>
                  <w:ind w:left="-74" w:right="-1517"/>
                  <w:rPr>
                    <w:rFonts w:ascii="Palatino Linotype" w:eastAsia="Palatino Linotype" w:hAnsi="Palatino Linotype" w:cs="Palatino Linotype"/>
                  </w:rPr>
                </w:pPr>
                <w:r>
                  <w:rPr>
                    <w:rFonts w:ascii="Palatino Linotype" w:eastAsia="Palatino Linotype" w:hAnsi="Palatino Linotype" w:cs="Palatino Linotype"/>
                  </w:rPr>
                  <w:t>12258/INFOEM/IP/RR/2025</w:t>
                </w:r>
              </w:p>
            </w:tc>
          </w:tr>
          <w:tr w:rsidR="00B74D90" w:rsidTr="00F768C6">
            <w:trPr>
              <w:trHeight w:val="144"/>
            </w:trPr>
            <w:tc>
              <w:tcPr>
                <w:tcW w:w="2805" w:type="dxa"/>
                <w:shd w:val="clear" w:color="auto" w:fill="auto"/>
              </w:tcPr>
              <w:p w:rsidR="00B74D90" w:rsidRDefault="00F2586A">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989" w:type="dxa"/>
                <w:shd w:val="clear" w:color="auto" w:fill="auto"/>
              </w:tcPr>
              <w:p w:rsidR="00B74D90" w:rsidRDefault="00A91F5E">
                <w:pPr>
                  <w:tabs>
                    <w:tab w:val="left" w:pos="3122"/>
                    <w:tab w:val="right" w:pos="8838"/>
                  </w:tabs>
                  <w:ind w:left="-74" w:right="-1517"/>
                  <w:rPr>
                    <w:rFonts w:ascii="Palatino Linotype" w:eastAsia="Palatino Linotype" w:hAnsi="Palatino Linotype" w:cs="Palatino Linotype"/>
                  </w:rPr>
                </w:pPr>
                <w:r>
                  <w:rPr>
                    <w:rFonts w:ascii="Palatino Linotype" w:eastAsia="Palatino Linotype" w:hAnsi="Palatino Linotype" w:cs="Palatino Linotype"/>
                  </w:rPr>
                  <w:t>XXXX</w:t>
                </w:r>
              </w:p>
            </w:tc>
          </w:tr>
          <w:tr w:rsidR="00B74D90" w:rsidTr="00F768C6">
            <w:trPr>
              <w:trHeight w:val="283"/>
            </w:trPr>
            <w:tc>
              <w:tcPr>
                <w:tcW w:w="2805" w:type="dxa"/>
                <w:shd w:val="clear" w:color="auto" w:fill="auto"/>
              </w:tcPr>
              <w:p w:rsidR="00B74D90" w:rsidRDefault="00F2586A">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89" w:type="dxa"/>
                <w:shd w:val="clear" w:color="auto" w:fill="auto"/>
              </w:tcPr>
              <w:p w:rsidR="00B74D90" w:rsidRDefault="00F2586A">
                <w:pPr>
                  <w:tabs>
                    <w:tab w:val="left" w:pos="2834"/>
                    <w:tab w:val="right" w:pos="8838"/>
                  </w:tabs>
                  <w:ind w:left="-74" w:right="-1517"/>
                  <w:rPr>
                    <w:rFonts w:ascii="Palatino Linotype" w:eastAsia="Palatino Linotype" w:hAnsi="Palatino Linotype" w:cs="Palatino Linotype"/>
                  </w:rPr>
                </w:pPr>
                <w:r>
                  <w:rPr>
                    <w:rFonts w:ascii="Palatino Linotype" w:eastAsia="Palatino Linotype" w:hAnsi="Palatino Linotype" w:cs="Palatino Linotype"/>
                  </w:rPr>
                  <w:t>Ayuntamiento de Tenango del Valle</w:t>
                </w:r>
              </w:p>
            </w:tc>
          </w:tr>
          <w:tr w:rsidR="00B74D90" w:rsidTr="00F768C6">
            <w:trPr>
              <w:trHeight w:val="283"/>
            </w:trPr>
            <w:tc>
              <w:tcPr>
                <w:tcW w:w="2805" w:type="dxa"/>
                <w:shd w:val="clear" w:color="auto" w:fill="auto"/>
              </w:tcPr>
              <w:p w:rsidR="00B74D90" w:rsidRDefault="00F2586A">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989" w:type="dxa"/>
                <w:shd w:val="clear" w:color="auto" w:fill="auto"/>
              </w:tcPr>
              <w:p w:rsidR="00B74D90" w:rsidRDefault="00F2586A">
                <w:pPr>
                  <w:tabs>
                    <w:tab w:val="right" w:pos="8838"/>
                  </w:tabs>
                  <w:ind w:left="-74" w:right="-1517"/>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B74D90" w:rsidRDefault="00B74D90">
                <w:pPr>
                  <w:tabs>
                    <w:tab w:val="right" w:pos="8838"/>
                  </w:tabs>
                  <w:ind w:left="-74" w:right="-1517"/>
                  <w:rPr>
                    <w:rFonts w:ascii="Palatino Linotype" w:eastAsia="Palatino Linotype" w:hAnsi="Palatino Linotype" w:cs="Palatino Linotype"/>
                    <w:b/>
                    <w:bCs/>
                  </w:rPr>
                </w:pPr>
              </w:p>
            </w:tc>
          </w:tr>
        </w:tbl>
        <w:p w:rsidR="00B74D90" w:rsidRDefault="00B74D90">
          <w:pPr>
            <w:tabs>
              <w:tab w:val="right" w:pos="8838"/>
            </w:tabs>
            <w:ind w:left="-28"/>
            <w:jc w:val="both"/>
            <w:rPr>
              <w:rFonts w:ascii="Arial" w:eastAsia="Arial" w:hAnsi="Arial" w:cs="Arial"/>
              <w:b/>
              <w:bCs/>
              <w:sz w:val="22"/>
              <w:szCs w:val="22"/>
            </w:rPr>
          </w:pPr>
        </w:p>
      </w:tc>
    </w:tr>
  </w:tbl>
  <w:p w:rsidR="00B74D90" w:rsidRDefault="00E2381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B54D4"/>
    <w:multiLevelType w:val="multilevel"/>
    <w:tmpl w:val="238655A0"/>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AA12E9"/>
    <w:multiLevelType w:val="multilevel"/>
    <w:tmpl w:val="61E06AF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E15780"/>
    <w:multiLevelType w:val="multilevel"/>
    <w:tmpl w:val="0BEE0D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1ED3D35"/>
    <w:multiLevelType w:val="multilevel"/>
    <w:tmpl w:val="B4D83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AB0803"/>
    <w:multiLevelType w:val="multilevel"/>
    <w:tmpl w:val="1A50B6A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7403D9"/>
    <w:multiLevelType w:val="multilevel"/>
    <w:tmpl w:val="7B700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90"/>
    <w:rsid w:val="00097892"/>
    <w:rsid w:val="00160807"/>
    <w:rsid w:val="001F4065"/>
    <w:rsid w:val="00327509"/>
    <w:rsid w:val="006A512A"/>
    <w:rsid w:val="00A91F5E"/>
    <w:rsid w:val="00B74D90"/>
    <w:rsid w:val="00CB492E"/>
    <w:rsid w:val="00E23815"/>
    <w:rsid w:val="00F2586A"/>
    <w:rsid w:val="00F768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355F672-F317-4ED8-A98A-4A993060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F768C6"/>
    <w:pPr>
      <w:tabs>
        <w:tab w:val="center" w:pos="4419"/>
        <w:tab w:val="right" w:pos="8838"/>
      </w:tabs>
    </w:pPr>
  </w:style>
  <w:style w:type="character" w:customStyle="1" w:styleId="PiedepginaCar">
    <w:name w:val="Pie de página Car"/>
    <w:basedOn w:val="Fuentedeprrafopredeter"/>
    <w:link w:val="Piedepgina"/>
    <w:uiPriority w:val="99"/>
    <w:rsid w:val="00F7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99199.page" TargetMode="External"/><Relationship Id="rId13" Type="http://schemas.openxmlformats.org/officeDocument/2006/relationships/hyperlink" Target="https://saimex.org.mx/saimex/solicitud/downloadAttach/2611765.pag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aimex.org.mx/saimex/solicitud/downloadAttach/2611765.page" TargetMode="External"/><Relationship Id="rId17" Type="http://schemas.openxmlformats.org/officeDocument/2006/relationships/hyperlink" Target="https://saimex.org.mx/saimex/solicitud/downloadAttach/2611767.page" TargetMode="External"/><Relationship Id="rId2" Type="http://schemas.openxmlformats.org/officeDocument/2006/relationships/numbering" Target="numbering.xml"/><Relationship Id="rId16" Type="http://schemas.openxmlformats.org/officeDocument/2006/relationships/hyperlink" Target="https://saimex.org.mx/saimex/solicitud/downloadAttach/2611766.pag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11765.pag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aimex.org.mx/saimex/solicitud/downloadAttach/2611766.page" TargetMode="External"/><Relationship Id="rId23" Type="http://schemas.openxmlformats.org/officeDocument/2006/relationships/fontTable" Target="fontTable.xml"/><Relationship Id="rId10" Type="http://schemas.openxmlformats.org/officeDocument/2006/relationships/hyperlink" Target="https://saimex.org.mx/saimex/solicitud/downloadAttach/2599206.pag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imex.org.mx/saimex/solicitud/downloadAttach/2599206.page" TargetMode="External"/><Relationship Id="rId14" Type="http://schemas.openxmlformats.org/officeDocument/2006/relationships/hyperlink" Target="https://saimex.org.mx/saimex/solicitud/downloadAttach/2611766.page"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tyRORQX20s5IAGv61kPLDVR+Q==">CgMxLjAyDmguaXJnNHRmZmhnajVnMg5oLjhycDFoeHY0M2NxNzIOaC5xazk3bTZuZG80ejQyDmguc28zbzEyOXZxdXd4Mg5oLnN4OGdmem1ia2I4djIOaC55Z2RtY3VlaDJjYngyDWguYjdmNjI4Z2M4bDEyDmguMWxtODU4ZXJmaGZjMg5oLmI2dmoweTZ0Y2xidTIOaC45dXBoZ2U4ZjBxdWYyDWguc2lpbXFzZWFibHoyDmgub2w1aDUyaDVlN3IzMg5oLjZobXdlaWVrZWprcTIOaC5qZGhzMTRzd2p4eGY4AHIhMUIxNjYtdVc3dzY3TUJrWkozUjViMU1nXzJIUWQxMVN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5821</Words>
  <Characters>32021</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2026-05-29T00:16:00Z</cp:lastPrinted>
  <dcterms:created xsi:type="dcterms:W3CDTF">2026-05-27T21:30:00Z</dcterms:created>
  <dcterms:modified xsi:type="dcterms:W3CDTF">2026-06-03T00:12:00Z</dcterms:modified>
</cp:coreProperties>
</file>