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9F2" w:rsidRPr="00184171" w:rsidRDefault="00286A04">
      <w:pPr>
        <w:spacing w:line="360" w:lineRule="auto"/>
        <w:jc w:val="both"/>
        <w:rPr>
          <w:rFonts w:ascii="Palatino Linotype" w:eastAsia="Palatino Linotype" w:hAnsi="Palatino Linotype" w:cs="Palatino Linotype"/>
          <w:sz w:val="24"/>
          <w:szCs w:val="24"/>
        </w:rPr>
      </w:pPr>
      <w:bookmarkStart w:id="0" w:name="_heading=h.lszr0b2gghl5" w:colFirst="0" w:colLast="0"/>
      <w:bookmarkStart w:id="1" w:name="_GoBack"/>
      <w:bookmarkEnd w:id="0"/>
      <w:bookmarkEnd w:id="1"/>
      <w:r w:rsidRPr="00184171">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 Metepec, Estado de México; de</w:t>
      </w:r>
      <w:r w:rsidR="00184171">
        <w:rPr>
          <w:rFonts w:ascii="Palatino Linotype" w:eastAsia="Palatino Linotype" w:hAnsi="Palatino Linotype" w:cs="Palatino Linotype"/>
          <w:sz w:val="24"/>
          <w:szCs w:val="24"/>
        </w:rPr>
        <w:t xml:space="preserve"> fecha</w:t>
      </w:r>
      <w:r w:rsidRPr="00184171">
        <w:rPr>
          <w:rFonts w:ascii="Palatino Linotype" w:eastAsia="Palatino Linotype" w:hAnsi="Palatino Linotype" w:cs="Palatino Linotype"/>
          <w:sz w:val="24"/>
          <w:szCs w:val="24"/>
        </w:rPr>
        <w:t xml:space="preserve"> </w:t>
      </w:r>
      <w:r w:rsidRPr="00184171">
        <w:rPr>
          <w:rFonts w:ascii="Palatino Linotype" w:eastAsia="Palatino Linotype" w:hAnsi="Palatino Linotype" w:cs="Palatino Linotype"/>
          <w:b/>
          <w:bCs/>
          <w:sz w:val="24"/>
          <w:szCs w:val="24"/>
        </w:rPr>
        <w:t xml:space="preserve">veinticinco </w:t>
      </w:r>
      <w:r w:rsidR="00184171">
        <w:rPr>
          <w:rFonts w:ascii="Palatino Linotype" w:eastAsia="Palatino Linotype" w:hAnsi="Palatino Linotype" w:cs="Palatino Linotype"/>
          <w:b/>
          <w:bCs/>
          <w:sz w:val="24"/>
          <w:szCs w:val="24"/>
        </w:rPr>
        <w:t xml:space="preserve">(25) </w:t>
      </w:r>
      <w:r w:rsidRPr="00184171">
        <w:rPr>
          <w:rFonts w:ascii="Palatino Linotype" w:eastAsia="Palatino Linotype" w:hAnsi="Palatino Linotype" w:cs="Palatino Linotype"/>
          <w:b/>
          <w:bCs/>
          <w:sz w:val="24"/>
          <w:szCs w:val="24"/>
        </w:rPr>
        <w:t>de febrero de dos mil veintiséis.</w:t>
      </w:r>
    </w:p>
    <w:p w:rsidR="00D719F2" w:rsidRPr="00184171" w:rsidRDefault="00D719F2">
      <w:pPr>
        <w:spacing w:line="360" w:lineRule="auto"/>
        <w:jc w:val="both"/>
        <w:rPr>
          <w:rFonts w:ascii="Palatino Linotype" w:eastAsia="Palatino Linotype" w:hAnsi="Palatino Linotype" w:cs="Palatino Linotype"/>
          <w:sz w:val="24"/>
          <w:szCs w:val="24"/>
        </w:rPr>
      </w:pPr>
    </w:p>
    <w:p w:rsidR="00D719F2" w:rsidRPr="00184171" w:rsidRDefault="00286A04">
      <w:pPr>
        <w:spacing w:line="360" w:lineRule="auto"/>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b/>
          <w:bCs/>
          <w:sz w:val="24"/>
          <w:szCs w:val="24"/>
        </w:rPr>
        <w:t>VISTO</w:t>
      </w:r>
      <w:r w:rsidRPr="00184171">
        <w:rPr>
          <w:rFonts w:ascii="Palatino Linotype" w:eastAsia="Palatino Linotype" w:hAnsi="Palatino Linotype" w:cs="Palatino Linotype"/>
          <w:sz w:val="24"/>
          <w:szCs w:val="24"/>
        </w:rPr>
        <w:t xml:space="preserve"> el expediente electrónico formado con motivo del recurso de revisión</w:t>
      </w:r>
      <w:r w:rsidRPr="00184171">
        <w:rPr>
          <w:rFonts w:ascii="Palatino Linotype" w:eastAsia="Palatino Linotype" w:hAnsi="Palatino Linotype" w:cs="Palatino Linotype"/>
          <w:b/>
          <w:bCs/>
          <w:sz w:val="24"/>
          <w:szCs w:val="24"/>
        </w:rPr>
        <w:t xml:space="preserve">  09003/INFOEM/IP/RR/2025, </w:t>
      </w:r>
      <w:r w:rsidRPr="00184171">
        <w:rPr>
          <w:rFonts w:ascii="Palatino Linotype" w:eastAsia="Palatino Linotype" w:hAnsi="Palatino Linotype" w:cs="Palatino Linotype"/>
          <w:sz w:val="24"/>
          <w:szCs w:val="24"/>
        </w:rPr>
        <w:t>promovido por</w:t>
      </w:r>
      <w:r w:rsidRPr="00184171">
        <w:rPr>
          <w:rFonts w:ascii="Palatino Linotype" w:eastAsia="Palatino Linotype" w:hAnsi="Palatino Linotype" w:cs="Palatino Linotype"/>
          <w:b/>
          <w:bCs/>
          <w:color w:val="FF0000"/>
          <w:sz w:val="24"/>
          <w:szCs w:val="24"/>
        </w:rPr>
        <w:t xml:space="preserve"> </w:t>
      </w:r>
      <w:r w:rsidRPr="00184171">
        <w:rPr>
          <w:rFonts w:ascii="Palatino Linotype" w:eastAsia="Palatino Linotype" w:hAnsi="Palatino Linotype" w:cs="Palatino Linotype"/>
          <w:b/>
          <w:bCs/>
          <w:sz w:val="24"/>
          <w:szCs w:val="24"/>
        </w:rPr>
        <w:t>una persona que no proporcionó datos de identificación</w:t>
      </w:r>
      <w:r w:rsidR="00184171">
        <w:rPr>
          <w:rFonts w:ascii="Palatino Linotype" w:eastAsia="Palatino Linotype" w:hAnsi="Palatino Linotype" w:cs="Palatino Linotype"/>
          <w:b/>
          <w:bCs/>
          <w:sz w:val="24"/>
          <w:szCs w:val="24"/>
        </w:rPr>
        <w:t>,</w:t>
      </w:r>
      <w:r w:rsidRP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sz w:val="24"/>
          <w:szCs w:val="24"/>
        </w:rPr>
        <w:t xml:space="preserve">a quien en lo sucesivo se identificará como </w:t>
      </w:r>
      <w:r w:rsidRPr="00184171">
        <w:rPr>
          <w:rFonts w:ascii="Palatino Linotype" w:eastAsia="Palatino Linotype" w:hAnsi="Palatino Linotype" w:cs="Palatino Linotype"/>
          <w:b/>
          <w:bCs/>
          <w:sz w:val="24"/>
          <w:szCs w:val="24"/>
        </w:rPr>
        <w:t>EL RECURRENTE</w:t>
      </w:r>
      <w:r w:rsidRPr="00184171">
        <w:rPr>
          <w:rFonts w:ascii="Palatino Linotype" w:eastAsia="Palatino Linotype" w:hAnsi="Palatino Linotype" w:cs="Palatino Linotype"/>
          <w:sz w:val="24"/>
          <w:szCs w:val="24"/>
        </w:rPr>
        <w:t xml:space="preserve">, en contra de la respuesta del </w:t>
      </w:r>
      <w:r w:rsidRPr="00184171">
        <w:rPr>
          <w:rFonts w:ascii="Palatino Linotype" w:eastAsia="Palatino Linotype" w:hAnsi="Palatino Linotype" w:cs="Palatino Linotype"/>
          <w:b/>
          <w:bCs/>
          <w:sz w:val="24"/>
          <w:szCs w:val="24"/>
        </w:rPr>
        <w:t xml:space="preserve">Ayuntamiento de Toluca, </w:t>
      </w:r>
      <w:r w:rsidRPr="00184171">
        <w:rPr>
          <w:rFonts w:ascii="Palatino Linotype" w:eastAsia="Palatino Linotype" w:hAnsi="Palatino Linotype" w:cs="Palatino Linotype"/>
          <w:sz w:val="24"/>
          <w:szCs w:val="24"/>
        </w:rPr>
        <w:t xml:space="preserve">en </w:t>
      </w:r>
      <w:r w:rsidR="00184171">
        <w:rPr>
          <w:rFonts w:ascii="Palatino Linotype" w:eastAsia="Palatino Linotype" w:hAnsi="Palatino Linotype" w:cs="Palatino Linotype"/>
          <w:sz w:val="24"/>
          <w:szCs w:val="24"/>
        </w:rPr>
        <w:t>adelante</w:t>
      </w:r>
      <w:r w:rsidRPr="00184171">
        <w:rPr>
          <w:rFonts w:ascii="Palatino Linotype" w:eastAsia="Palatino Linotype" w:hAnsi="Palatino Linotype" w:cs="Palatino Linotype"/>
          <w:sz w:val="24"/>
          <w:szCs w:val="24"/>
        </w:rPr>
        <w:t xml:space="preserve"> el</w:t>
      </w:r>
      <w:r w:rsidRPr="00184171">
        <w:rPr>
          <w:rFonts w:ascii="Palatino Linotype" w:eastAsia="Palatino Linotype" w:hAnsi="Palatino Linotype" w:cs="Palatino Linotype"/>
          <w:b/>
          <w:bCs/>
          <w:sz w:val="24"/>
          <w:szCs w:val="24"/>
        </w:rPr>
        <w:t xml:space="preserve"> SUJETO OBLIGADO</w:t>
      </w:r>
      <w:r w:rsidRPr="00184171">
        <w:rPr>
          <w:rFonts w:ascii="Palatino Linotype" w:eastAsia="Palatino Linotype" w:hAnsi="Palatino Linotype" w:cs="Palatino Linotype"/>
          <w:sz w:val="24"/>
          <w:szCs w:val="24"/>
        </w:rPr>
        <w:t>, por lo que se procede a dictar la presente resolución, con base en los siguientes:</w:t>
      </w:r>
    </w:p>
    <w:p w:rsidR="00D719F2" w:rsidRPr="00184171" w:rsidRDefault="00D719F2">
      <w:pPr>
        <w:spacing w:line="360" w:lineRule="auto"/>
        <w:jc w:val="both"/>
        <w:rPr>
          <w:rFonts w:ascii="Palatino Linotype" w:eastAsia="Palatino Linotype" w:hAnsi="Palatino Linotype" w:cs="Palatino Linotype"/>
          <w:b/>
          <w:bCs/>
          <w:sz w:val="24"/>
          <w:szCs w:val="24"/>
        </w:rPr>
      </w:pPr>
    </w:p>
    <w:p w:rsidR="00D719F2" w:rsidRDefault="00286A04">
      <w:pPr>
        <w:keepNext/>
        <w:keepLines/>
        <w:spacing w:line="360" w:lineRule="auto"/>
        <w:jc w:val="center"/>
        <w:rPr>
          <w:rFonts w:ascii="Palatino Linotype" w:eastAsia="Palatino Linotype" w:hAnsi="Palatino Linotype" w:cs="Palatino Linotype"/>
          <w:b/>
          <w:bCs/>
          <w:sz w:val="24"/>
          <w:szCs w:val="24"/>
        </w:rPr>
      </w:pPr>
      <w:bookmarkStart w:id="2" w:name="_heading=h.gjdgxs" w:colFirst="0" w:colLast="0"/>
      <w:bookmarkEnd w:id="2"/>
      <w:r w:rsidRPr="00184171">
        <w:rPr>
          <w:rFonts w:ascii="Palatino Linotype" w:eastAsia="Palatino Linotype" w:hAnsi="Palatino Linotype" w:cs="Palatino Linotype"/>
          <w:b/>
          <w:bCs/>
          <w:sz w:val="24"/>
          <w:szCs w:val="24"/>
        </w:rPr>
        <w:t>A</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N</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T</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E</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C</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E</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D</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E</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N</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T</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E</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S</w:t>
      </w:r>
    </w:p>
    <w:p w:rsidR="00184171" w:rsidRPr="00184171" w:rsidRDefault="00184171">
      <w:pPr>
        <w:keepNext/>
        <w:keepLines/>
        <w:spacing w:line="360" w:lineRule="auto"/>
        <w:jc w:val="center"/>
        <w:rPr>
          <w:rFonts w:ascii="Palatino Linotype" w:eastAsia="Palatino Linotype" w:hAnsi="Palatino Linotype" w:cs="Palatino Linotype"/>
          <w:b/>
          <w:bCs/>
          <w:sz w:val="24"/>
          <w:szCs w:val="24"/>
        </w:rPr>
      </w:pPr>
    </w:p>
    <w:p w:rsidR="00D719F2" w:rsidRPr="00184171" w:rsidRDefault="00286A04">
      <w:pPr>
        <w:numPr>
          <w:ilvl w:val="0"/>
          <w:numId w:val="9"/>
        </w:numPr>
        <w:spacing w:line="360" w:lineRule="auto"/>
        <w:ind w:left="0"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El </w:t>
      </w:r>
      <w:r w:rsidRPr="00184171">
        <w:rPr>
          <w:rFonts w:ascii="Palatino Linotype" w:eastAsia="Palatino Linotype" w:hAnsi="Palatino Linotype" w:cs="Palatino Linotype"/>
          <w:b/>
          <w:bCs/>
          <w:sz w:val="24"/>
          <w:szCs w:val="24"/>
        </w:rPr>
        <w:t>veinticuatro de junio de dos mil veinticinco</w:t>
      </w:r>
      <w:r w:rsidRPr="00184171">
        <w:rPr>
          <w:rFonts w:ascii="Palatino Linotype" w:eastAsia="Palatino Linotype" w:hAnsi="Palatino Linotype" w:cs="Palatino Linotype"/>
          <w:sz w:val="24"/>
          <w:szCs w:val="24"/>
        </w:rPr>
        <w:t xml:space="preserve">, </w:t>
      </w:r>
      <w:r w:rsidRPr="00184171">
        <w:rPr>
          <w:rFonts w:ascii="Palatino Linotype" w:eastAsia="Palatino Linotype" w:hAnsi="Palatino Linotype" w:cs="Palatino Linotype"/>
          <w:b/>
          <w:bCs/>
          <w:sz w:val="24"/>
          <w:szCs w:val="24"/>
        </w:rPr>
        <w:t>EL RECURRENTE,</w:t>
      </w:r>
      <w:r w:rsidRPr="00184171">
        <w:rPr>
          <w:rFonts w:ascii="Palatino Linotype" w:eastAsia="Palatino Linotype" w:hAnsi="Palatino Linotype" w:cs="Palatino Linotype"/>
          <w:sz w:val="24"/>
          <w:szCs w:val="24"/>
        </w:rPr>
        <w:t xml:space="preserve"> ante el </w:t>
      </w:r>
      <w:r w:rsidRPr="00184171">
        <w:rPr>
          <w:rFonts w:ascii="Palatino Linotype" w:eastAsia="Palatino Linotype" w:hAnsi="Palatino Linotype" w:cs="Palatino Linotype"/>
          <w:b/>
          <w:bCs/>
          <w:sz w:val="24"/>
          <w:szCs w:val="24"/>
        </w:rPr>
        <w:t>SUJETO OBLIGADO</w:t>
      </w:r>
      <w:r w:rsidRPr="00184171">
        <w:rPr>
          <w:rFonts w:ascii="Palatino Linotype" w:eastAsia="Palatino Linotype" w:hAnsi="Palatino Linotype" w:cs="Palatino Linotype"/>
          <w:sz w:val="24"/>
          <w:szCs w:val="24"/>
        </w:rPr>
        <w:t xml:space="preserve"> vía Sistema de Acceso a la Información Mexiquense (</w:t>
      </w:r>
      <w:r w:rsidRPr="00184171">
        <w:rPr>
          <w:rFonts w:ascii="Palatino Linotype" w:eastAsia="Palatino Linotype" w:hAnsi="Palatino Linotype" w:cs="Palatino Linotype"/>
          <w:b/>
          <w:bCs/>
          <w:sz w:val="24"/>
          <w:szCs w:val="24"/>
        </w:rPr>
        <w:t>SAIMEX)</w:t>
      </w:r>
      <w:r w:rsidRPr="00184171">
        <w:rPr>
          <w:rFonts w:ascii="Palatino Linotype" w:eastAsia="Palatino Linotype" w:hAnsi="Palatino Linotype" w:cs="Palatino Linotype"/>
          <w:sz w:val="24"/>
          <w:szCs w:val="24"/>
        </w:rPr>
        <w:t>,presentó la solicitud de información registrada con el número</w:t>
      </w:r>
      <w:r w:rsidRPr="00184171">
        <w:rPr>
          <w:rFonts w:ascii="Palatino Linotype" w:eastAsia="Palatino Linotype" w:hAnsi="Palatino Linotype" w:cs="Palatino Linotype"/>
          <w:b/>
          <w:bCs/>
          <w:sz w:val="24"/>
          <w:szCs w:val="24"/>
        </w:rPr>
        <w:t xml:space="preserve">  03628/TOLUCA/IP/2025, </w:t>
      </w:r>
      <w:r w:rsidR="00184171">
        <w:rPr>
          <w:rFonts w:ascii="Palatino Linotype" w:eastAsia="Palatino Linotype" w:hAnsi="Palatino Linotype" w:cs="Palatino Linotype"/>
          <w:sz w:val="24"/>
          <w:szCs w:val="24"/>
        </w:rPr>
        <w:t>en la que se</w:t>
      </w:r>
      <w:r w:rsidRPr="00184171">
        <w:rPr>
          <w:rFonts w:ascii="Palatino Linotype" w:eastAsia="Palatino Linotype" w:hAnsi="Palatino Linotype" w:cs="Palatino Linotype"/>
          <w:sz w:val="24"/>
          <w:szCs w:val="24"/>
        </w:rPr>
        <w:t xml:space="preserve"> solicitó lo siguiente:</w:t>
      </w:r>
    </w:p>
    <w:p w:rsidR="00D719F2" w:rsidRPr="00184171" w:rsidRDefault="00D719F2">
      <w:pPr>
        <w:pBdr>
          <w:top w:val="nil"/>
          <w:left w:val="nil"/>
          <w:bottom w:val="nil"/>
          <w:right w:val="nil"/>
          <w:between w:val="nil"/>
        </w:pBdr>
        <w:spacing w:line="360" w:lineRule="auto"/>
        <w:ind w:left="1069" w:right="567"/>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“Solicito se adjunte el soporte documental consistente en la comprobación del gasto generado para la contratación de grupo musical, audio y escenario, etc., para llevar a cabo los eventos realizados, en fechas 01 de enero al 24 de junio de 2025 respectivamente por cada areas del ayuntamiento (Sic) </w:t>
      </w:r>
    </w:p>
    <w:p w:rsidR="00D719F2" w:rsidRDefault="00D719F2">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p>
    <w:p w:rsidR="00184171" w:rsidRPr="00184171" w:rsidRDefault="00184171">
      <w:pPr>
        <w:pBdr>
          <w:top w:val="nil"/>
          <w:left w:val="nil"/>
          <w:bottom w:val="nil"/>
          <w:right w:val="nil"/>
          <w:between w:val="nil"/>
        </w:pBdr>
        <w:ind w:left="567" w:right="567"/>
        <w:jc w:val="both"/>
        <w:rPr>
          <w:rFonts w:ascii="Palatino Linotype" w:eastAsia="Palatino Linotype" w:hAnsi="Palatino Linotype" w:cs="Palatino Linotype"/>
          <w:i/>
          <w:iCs/>
          <w:color w:val="000000"/>
          <w:sz w:val="24"/>
          <w:szCs w:val="24"/>
        </w:rPr>
      </w:pPr>
    </w:p>
    <w:p w:rsidR="00D719F2" w:rsidRPr="00184171" w:rsidRDefault="00286A04" w:rsidP="00184171">
      <w:pPr>
        <w:numPr>
          <w:ilvl w:val="0"/>
          <w:numId w:val="10"/>
        </w:numPr>
        <w:spacing w:line="360" w:lineRule="auto"/>
        <w:ind w:left="0" w:right="567"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Modalidad de entrega: </w:t>
      </w:r>
      <w:r w:rsidRPr="00184171">
        <w:rPr>
          <w:rFonts w:ascii="Palatino Linotype" w:eastAsia="Palatino Linotype" w:hAnsi="Palatino Linotype" w:cs="Palatino Linotype"/>
          <w:b/>
          <w:bCs/>
          <w:sz w:val="24"/>
          <w:szCs w:val="24"/>
        </w:rPr>
        <w:t>Vía SAIMEX.</w:t>
      </w:r>
    </w:p>
    <w:p w:rsidR="00D719F2" w:rsidRPr="00184171" w:rsidRDefault="00D719F2">
      <w:pPr>
        <w:spacing w:line="360" w:lineRule="auto"/>
        <w:ind w:left="1146" w:right="567"/>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firstLine="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sz w:val="24"/>
          <w:szCs w:val="24"/>
        </w:rPr>
        <w:lastRenderedPageBreak/>
        <w:t xml:space="preserve">El </w:t>
      </w:r>
      <w:r w:rsidRPr="00184171">
        <w:rPr>
          <w:rFonts w:ascii="Palatino Linotype" w:eastAsia="Palatino Linotype" w:hAnsi="Palatino Linotype" w:cs="Palatino Linotype"/>
          <w:b/>
          <w:bCs/>
          <w:sz w:val="24"/>
          <w:szCs w:val="24"/>
        </w:rPr>
        <w:t xml:space="preserve">catorce de julio de dos mil veinticinco, </w:t>
      </w:r>
      <w:r w:rsidRPr="00184171">
        <w:rPr>
          <w:rFonts w:ascii="Palatino Linotype" w:eastAsia="Palatino Linotype" w:hAnsi="Palatino Linotype" w:cs="Palatino Linotype"/>
          <w:sz w:val="24"/>
          <w:szCs w:val="24"/>
        </w:rPr>
        <w:t xml:space="preserve">el </w:t>
      </w:r>
      <w:r w:rsidRPr="00184171">
        <w:rPr>
          <w:rFonts w:ascii="Palatino Linotype" w:eastAsia="Palatino Linotype" w:hAnsi="Palatino Linotype" w:cs="Palatino Linotype"/>
          <w:b/>
          <w:bCs/>
          <w:sz w:val="24"/>
          <w:szCs w:val="24"/>
        </w:rPr>
        <w:t>SUJETO O</w:t>
      </w:r>
      <w:r w:rsidRPr="00184171">
        <w:rPr>
          <w:rFonts w:ascii="Palatino Linotype" w:eastAsia="Palatino Linotype" w:hAnsi="Palatino Linotype" w:cs="Palatino Linotype"/>
          <w:sz w:val="24"/>
          <w:szCs w:val="24"/>
        </w:rPr>
        <w:t>B</w:t>
      </w:r>
      <w:r w:rsidRPr="00184171">
        <w:rPr>
          <w:rFonts w:ascii="Palatino Linotype" w:eastAsia="Palatino Linotype" w:hAnsi="Palatino Linotype" w:cs="Palatino Linotype"/>
          <w:b/>
          <w:bCs/>
          <w:sz w:val="24"/>
          <w:szCs w:val="24"/>
        </w:rPr>
        <w:t xml:space="preserve">LIGADO </w:t>
      </w:r>
      <w:r w:rsidRPr="00184171">
        <w:rPr>
          <w:rFonts w:ascii="Palatino Linotype" w:eastAsia="Palatino Linotype" w:hAnsi="Palatino Linotype" w:cs="Palatino Linotype"/>
          <w:sz w:val="24"/>
          <w:szCs w:val="24"/>
        </w:rPr>
        <w:t xml:space="preserve">dio </w:t>
      </w:r>
      <w:r w:rsidRPr="00184171">
        <w:rPr>
          <w:rFonts w:ascii="Palatino Linotype" w:eastAsia="Palatino Linotype" w:hAnsi="Palatino Linotype" w:cs="Palatino Linotype"/>
          <w:b/>
          <w:bCs/>
          <w:sz w:val="24"/>
          <w:szCs w:val="24"/>
        </w:rPr>
        <w:t>RESPUESTA</w:t>
      </w:r>
      <w:r w:rsidRPr="00184171">
        <w:rPr>
          <w:rFonts w:ascii="Palatino Linotype" w:eastAsia="Palatino Linotype" w:hAnsi="Palatino Linotype" w:cs="Palatino Linotype"/>
          <w:sz w:val="24"/>
          <w:szCs w:val="24"/>
        </w:rPr>
        <w:t xml:space="preserve"> a través de los archivos siguientes:</w:t>
      </w:r>
    </w:p>
    <w:p w:rsidR="00D719F2" w:rsidRPr="00184171" w:rsidRDefault="00286A04">
      <w:pPr>
        <w:numPr>
          <w:ilvl w:val="0"/>
          <w:numId w:val="14"/>
        </w:numPr>
        <w:pBdr>
          <w:top w:val="nil"/>
          <w:left w:val="nil"/>
          <w:bottom w:val="nil"/>
          <w:right w:val="nil"/>
          <w:between w:val="nil"/>
        </w:pBdr>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b/>
          <w:bCs/>
          <w:color w:val="000000"/>
          <w:sz w:val="24"/>
          <w:szCs w:val="24"/>
        </w:rPr>
        <w:t xml:space="preserve">3628.pdf: </w:t>
      </w:r>
      <w:r w:rsidRPr="00184171">
        <w:rPr>
          <w:rFonts w:ascii="Palatino Linotype" w:eastAsia="Palatino Linotype" w:hAnsi="Palatino Linotype" w:cs="Palatino Linotype"/>
          <w:color w:val="000000"/>
          <w:sz w:val="24"/>
          <w:szCs w:val="24"/>
        </w:rPr>
        <w:t xml:space="preserve">Oficio firmado por el Tesorero Municipal, por el que </w:t>
      </w:r>
      <w:r w:rsidRPr="00184171">
        <w:rPr>
          <w:rFonts w:ascii="Palatino Linotype" w:eastAsia="Palatino Linotype" w:hAnsi="Palatino Linotype" w:cs="Palatino Linotype"/>
          <w:sz w:val="24"/>
          <w:szCs w:val="24"/>
        </w:rPr>
        <w:t>informó</w:t>
      </w:r>
      <w:r w:rsidRPr="00184171">
        <w:rPr>
          <w:rFonts w:ascii="Palatino Linotype" w:eastAsia="Palatino Linotype" w:hAnsi="Palatino Linotype" w:cs="Palatino Linotype"/>
          <w:color w:val="000000"/>
          <w:sz w:val="24"/>
          <w:szCs w:val="24"/>
        </w:rPr>
        <w:t xml:space="preserve"> que: </w:t>
      </w:r>
      <w:r w:rsidRPr="00184171">
        <w:rPr>
          <w:rFonts w:ascii="Palatino Linotype" w:eastAsia="Palatino Linotype" w:hAnsi="Palatino Linotype" w:cs="Palatino Linotype"/>
          <w:i/>
          <w:iCs/>
          <w:color w:val="000000"/>
          <w:sz w:val="24"/>
          <w:szCs w:val="24"/>
        </w:rPr>
        <w:t xml:space="preserve">Después de realizar una búsqueda exhaustiva, razonable y pertinente en nuestros registros contables, le informo que, </w:t>
      </w:r>
      <w:r w:rsidRPr="00184171">
        <w:rPr>
          <w:rFonts w:ascii="Palatino Linotype" w:eastAsia="Palatino Linotype" w:hAnsi="Palatino Linotype" w:cs="Palatino Linotype"/>
          <w:i/>
          <w:iCs/>
          <w:color w:val="000000"/>
          <w:sz w:val="24"/>
          <w:szCs w:val="24"/>
          <w:u w:val="single"/>
        </w:rPr>
        <w:t>no se cuenta con registro por el concepto solicitado</w:t>
      </w:r>
      <w:r w:rsidRPr="00184171">
        <w:rPr>
          <w:rFonts w:ascii="Palatino Linotype" w:eastAsia="Palatino Linotype" w:hAnsi="Palatino Linotype" w:cs="Palatino Linotype"/>
          <w:i/>
          <w:iCs/>
          <w:color w:val="000000"/>
          <w:sz w:val="24"/>
          <w:szCs w:val="24"/>
        </w:rPr>
        <w:t>, sin embargo, a efecto de garantizar el derecho al acceso a la información del solicitante, se anexa al presente, el Estado Analítico del Ejercicio del Presupuesto de Egresos, Clasificación por Objeto del Gasto (Capítulo y Concepto), correspondiente al primer periopo trimestral, que comprende del 01 de enero al 31 de marzo de 2025, a fin de visualizar como fueron erogados los fondos asignados en el periodo por cada partida presupuestal.</w:t>
      </w:r>
    </w:p>
    <w:p w:rsidR="00D719F2" w:rsidRPr="00184171" w:rsidRDefault="00286A04">
      <w:pPr>
        <w:numPr>
          <w:ilvl w:val="0"/>
          <w:numId w:val="14"/>
        </w:numPr>
        <w:pBdr>
          <w:top w:val="nil"/>
          <w:left w:val="nil"/>
          <w:bottom w:val="nil"/>
          <w:right w:val="nil"/>
          <w:between w:val="nil"/>
        </w:pBdr>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Asimismo, proporcionó un link en formato cerrado, de acceso directo a la página oficial del Ayuntamiento, en el apartado de Transparencia, Fiscal.</w:t>
      </w:r>
    </w:p>
    <w:p w:rsidR="00D719F2" w:rsidRPr="00184171" w:rsidRDefault="00286A04">
      <w:pPr>
        <w:numPr>
          <w:ilvl w:val="0"/>
          <w:numId w:val="14"/>
        </w:numPr>
        <w:pBdr>
          <w:top w:val="nil"/>
          <w:left w:val="nil"/>
          <w:bottom w:val="nil"/>
          <w:right w:val="nil"/>
          <w:between w:val="nil"/>
        </w:pBdr>
        <w:jc w:val="both"/>
        <w:rPr>
          <w:rFonts w:ascii="Palatino Linotype" w:eastAsia="Palatino Linotype" w:hAnsi="Palatino Linotype" w:cs="Palatino Linotype"/>
          <w:b/>
          <w:bCs/>
          <w:i/>
          <w:iCs/>
          <w:color w:val="000000"/>
          <w:sz w:val="24"/>
          <w:szCs w:val="24"/>
        </w:rPr>
      </w:pPr>
      <w:r w:rsidRPr="00184171">
        <w:rPr>
          <w:rFonts w:ascii="Palatino Linotype" w:eastAsia="Palatino Linotype" w:hAnsi="Palatino Linotype" w:cs="Palatino Linotype"/>
          <w:b/>
          <w:bCs/>
          <w:color w:val="000000"/>
          <w:sz w:val="24"/>
          <w:szCs w:val="24"/>
        </w:rPr>
        <w:t xml:space="preserve">ESTADO-ANALITICO-DEL-EJERC.-DE-PRES-DE-EGRESOS-CLAS-POR-OBJ-DEL-GAS-ENERO-A-MARZO-2025 (1).pdf: </w:t>
      </w:r>
      <w:r w:rsidRPr="00184171">
        <w:rPr>
          <w:rFonts w:ascii="Palatino Linotype" w:eastAsia="Palatino Linotype" w:hAnsi="Palatino Linotype" w:cs="Palatino Linotype"/>
          <w:color w:val="000000"/>
          <w:sz w:val="24"/>
          <w:szCs w:val="24"/>
        </w:rPr>
        <w:t>Estado Analítico del Ejercicio del Presupuesto de Egresos Clasificación por Objeto de Gasto (Capitulo y Concepto) del 1 de enero al 31 de marzo de dos mil veinticinco.</w:t>
      </w:r>
    </w:p>
    <w:p w:rsidR="00D719F2" w:rsidRPr="00184171" w:rsidRDefault="00D719F2">
      <w:pPr>
        <w:pBdr>
          <w:top w:val="nil"/>
          <w:left w:val="nil"/>
          <w:bottom w:val="nil"/>
          <w:right w:val="nil"/>
          <w:between w:val="nil"/>
        </w:pBdr>
        <w:spacing w:line="360" w:lineRule="auto"/>
        <w:ind w:left="720"/>
        <w:jc w:val="both"/>
        <w:rPr>
          <w:rFonts w:ascii="Palatino Linotype" w:eastAsia="Palatino Linotype" w:hAnsi="Palatino Linotype" w:cs="Palatino Linotype"/>
          <w:b/>
          <w:bCs/>
          <w:i/>
          <w:iCs/>
          <w:color w:val="000000"/>
          <w:sz w:val="24"/>
          <w:szCs w:val="24"/>
        </w:rPr>
      </w:pPr>
    </w:p>
    <w:p w:rsidR="00D719F2" w:rsidRPr="00184171" w:rsidRDefault="00286A04">
      <w:pPr>
        <w:numPr>
          <w:ilvl w:val="0"/>
          <w:numId w:val="9"/>
        </w:numPr>
        <w:spacing w:line="360" w:lineRule="auto"/>
        <w:ind w:left="0"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Inconforme con lo anterior, el </w:t>
      </w:r>
      <w:r w:rsidRPr="00184171">
        <w:rPr>
          <w:rFonts w:ascii="Palatino Linotype" w:eastAsia="Palatino Linotype" w:hAnsi="Palatino Linotype" w:cs="Palatino Linotype"/>
          <w:b/>
          <w:bCs/>
          <w:sz w:val="24"/>
          <w:szCs w:val="24"/>
        </w:rPr>
        <w:t>cuatro de agosto de dos mil veinticinco</w:t>
      </w:r>
      <w:r w:rsidRPr="00184171">
        <w:rPr>
          <w:rFonts w:ascii="Palatino Linotype" w:eastAsia="Palatino Linotype" w:hAnsi="Palatino Linotype" w:cs="Palatino Linotype"/>
          <w:sz w:val="24"/>
          <w:szCs w:val="24"/>
        </w:rPr>
        <w:t xml:space="preserve">,  el </w:t>
      </w:r>
      <w:r w:rsidRPr="00184171">
        <w:rPr>
          <w:rFonts w:ascii="Palatino Linotype" w:eastAsia="Palatino Linotype" w:hAnsi="Palatino Linotype" w:cs="Palatino Linotype"/>
          <w:b/>
          <w:bCs/>
          <w:sz w:val="24"/>
          <w:szCs w:val="24"/>
        </w:rPr>
        <w:t xml:space="preserve">SUJETO OBLIGADO </w:t>
      </w:r>
      <w:r w:rsidRPr="00184171">
        <w:rPr>
          <w:rFonts w:ascii="Palatino Linotype" w:eastAsia="Palatino Linotype" w:hAnsi="Palatino Linotype" w:cs="Palatino Linotype"/>
          <w:sz w:val="24"/>
          <w:szCs w:val="24"/>
        </w:rPr>
        <w:t xml:space="preserve">interpuso recurso de revisión, arguyendo como </w:t>
      </w:r>
    </w:p>
    <w:p w:rsidR="00D719F2" w:rsidRPr="00184171" w:rsidRDefault="00D719F2">
      <w:pPr>
        <w:spacing w:line="360" w:lineRule="auto"/>
        <w:jc w:val="both"/>
        <w:rPr>
          <w:rFonts w:ascii="Palatino Linotype" w:eastAsia="Palatino Linotype" w:hAnsi="Palatino Linotype" w:cs="Palatino Linotype"/>
          <w:sz w:val="24"/>
          <w:szCs w:val="24"/>
        </w:rPr>
      </w:pPr>
    </w:p>
    <w:p w:rsidR="00D719F2" w:rsidRPr="00184171" w:rsidRDefault="00184171" w:rsidP="00184171">
      <w:pPr>
        <w:numPr>
          <w:ilvl w:val="0"/>
          <w:numId w:val="15"/>
        </w:numPr>
        <w:pBdr>
          <w:top w:val="nil"/>
          <w:left w:val="nil"/>
          <w:bottom w:val="nil"/>
          <w:right w:val="nil"/>
          <w:between w:val="nil"/>
        </w:pBdr>
        <w:ind w:right="53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color w:val="000000"/>
          <w:sz w:val="24"/>
          <w:szCs w:val="24"/>
        </w:rPr>
        <w:t>ACTO IMPUGNADO</w:t>
      </w:r>
      <w:r w:rsidR="00286A04" w:rsidRPr="00184171">
        <w:rPr>
          <w:rFonts w:ascii="Palatino Linotype" w:eastAsia="Palatino Linotype" w:hAnsi="Palatino Linotype" w:cs="Palatino Linotype"/>
          <w:b/>
          <w:bCs/>
          <w:i/>
          <w:iCs/>
          <w:color w:val="000000"/>
          <w:sz w:val="24"/>
          <w:szCs w:val="24"/>
        </w:rPr>
        <w:t>:</w:t>
      </w:r>
      <w:r w:rsidR="00286A04" w:rsidRPr="00184171">
        <w:rPr>
          <w:rFonts w:ascii="Palatino Linotype" w:eastAsia="Palatino Linotype" w:hAnsi="Palatino Linotype" w:cs="Palatino Linotype"/>
          <w:color w:val="000000"/>
          <w:sz w:val="24"/>
          <w:szCs w:val="24"/>
        </w:rPr>
        <w:t xml:space="preserve"> </w:t>
      </w:r>
      <w:r w:rsidR="00286A04" w:rsidRPr="00184171">
        <w:rPr>
          <w:rFonts w:ascii="Palatino Linotype" w:eastAsia="Palatino Linotype" w:hAnsi="Palatino Linotype" w:cs="Palatino Linotype"/>
          <w:i/>
          <w:iCs/>
          <w:color w:val="000000"/>
          <w:sz w:val="24"/>
          <w:szCs w:val="24"/>
        </w:rPr>
        <w:t>“La respuesta la información está incompleta no atiende mi solicitud de acuerdo a lo solicitado.” (sic)</w:t>
      </w:r>
    </w:p>
    <w:p w:rsidR="00D719F2" w:rsidRPr="00184171" w:rsidRDefault="00D719F2">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D719F2" w:rsidRPr="00184171" w:rsidRDefault="00184171" w:rsidP="00184171">
      <w:pPr>
        <w:numPr>
          <w:ilvl w:val="0"/>
          <w:numId w:val="16"/>
        </w:numPr>
        <w:pBdr>
          <w:top w:val="nil"/>
          <w:left w:val="nil"/>
          <w:bottom w:val="nil"/>
          <w:right w:val="nil"/>
          <w:between w:val="nil"/>
        </w:pBdr>
        <w:ind w:right="539"/>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b/>
          <w:bCs/>
          <w:color w:val="000000"/>
          <w:sz w:val="24"/>
          <w:szCs w:val="24"/>
        </w:rPr>
        <w:t>RAZONES O MOTIVOS DE INCONFORMIDAD</w:t>
      </w:r>
      <w:r w:rsidR="00286A04" w:rsidRPr="00184171">
        <w:rPr>
          <w:rFonts w:ascii="Palatino Linotype" w:eastAsia="Palatino Linotype" w:hAnsi="Palatino Linotype" w:cs="Palatino Linotype"/>
          <w:b/>
          <w:bCs/>
          <w:color w:val="000000"/>
          <w:sz w:val="24"/>
          <w:szCs w:val="24"/>
        </w:rPr>
        <w:t>: “</w:t>
      </w:r>
      <w:r w:rsidR="00286A04" w:rsidRPr="00184171">
        <w:rPr>
          <w:rFonts w:ascii="Palatino Linotype" w:eastAsia="Palatino Linotype" w:hAnsi="Palatino Linotype" w:cs="Palatino Linotype"/>
          <w:i/>
          <w:iCs/>
          <w:color w:val="000000"/>
          <w:sz w:val="24"/>
          <w:szCs w:val="24"/>
        </w:rPr>
        <w:t>La respuesta la información está incompleta no atiende mi solicitud de acuerdo a lo solicitado. “(Sic)</w:t>
      </w:r>
    </w:p>
    <w:p w:rsidR="00D719F2" w:rsidRPr="00184171" w:rsidRDefault="00D719F2">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D719F2" w:rsidRPr="00184171" w:rsidRDefault="00D719F2">
      <w:pPr>
        <w:pBdr>
          <w:top w:val="nil"/>
          <w:left w:val="nil"/>
          <w:bottom w:val="nil"/>
          <w:right w:val="nil"/>
          <w:between w:val="nil"/>
        </w:pBdr>
        <w:ind w:left="720" w:right="539" w:hanging="360"/>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184171">
        <w:rPr>
          <w:rFonts w:ascii="Palatino Linotype" w:eastAsia="Palatino Linotype" w:hAnsi="Palatino Linotype" w:cs="Palatino Linotype"/>
          <w:b/>
          <w:bCs/>
          <w:sz w:val="24"/>
          <w:szCs w:val="24"/>
        </w:rPr>
        <w:t xml:space="preserve">Ley de </w:t>
      </w:r>
      <w:r w:rsidRPr="00184171">
        <w:rPr>
          <w:rFonts w:ascii="Palatino Linotype" w:eastAsia="Palatino Linotype" w:hAnsi="Palatino Linotype" w:cs="Palatino Linotype"/>
          <w:b/>
          <w:bCs/>
          <w:sz w:val="24"/>
          <w:szCs w:val="24"/>
        </w:rPr>
        <w:lastRenderedPageBreak/>
        <w:t xml:space="preserve">Transparencia y Acceso a la Información Pública del Estado de México y Municipios </w:t>
      </w:r>
      <w:r w:rsidRPr="00184171">
        <w:rPr>
          <w:rFonts w:ascii="Palatino Linotype" w:eastAsia="Palatino Linotype" w:hAnsi="Palatino Linotype" w:cs="Palatino Linotype"/>
          <w:sz w:val="24"/>
          <w:szCs w:val="24"/>
        </w:rPr>
        <w:t xml:space="preserve">se turnó a la </w:t>
      </w:r>
      <w:r w:rsidRPr="00184171">
        <w:rPr>
          <w:rFonts w:ascii="Palatino Linotype" w:eastAsia="Palatino Linotype" w:hAnsi="Palatino Linotype" w:cs="Palatino Linotype"/>
          <w:b/>
          <w:bCs/>
          <w:sz w:val="24"/>
          <w:szCs w:val="24"/>
        </w:rPr>
        <w:t xml:space="preserve">Comisionada María del Rosario Mejía Ayala, </w:t>
      </w:r>
      <w:r w:rsidR="00184171">
        <w:rPr>
          <w:rFonts w:ascii="Palatino Linotype" w:eastAsia="Palatino Linotype" w:hAnsi="Palatino Linotype" w:cs="Palatino Linotype"/>
          <w:sz w:val="24"/>
          <w:szCs w:val="24"/>
        </w:rPr>
        <w:t>para</w:t>
      </w:r>
      <w:r w:rsidRPr="00184171">
        <w:rPr>
          <w:rFonts w:ascii="Palatino Linotype" w:eastAsia="Palatino Linotype" w:hAnsi="Palatino Linotype" w:cs="Palatino Linotype"/>
          <w:sz w:val="24"/>
          <w:szCs w:val="24"/>
        </w:rPr>
        <w:t xml:space="preserve"> su análisis. </w:t>
      </w:r>
    </w:p>
    <w:p w:rsidR="00D719F2" w:rsidRPr="00184171" w:rsidRDefault="00D719F2">
      <w:pPr>
        <w:spacing w:line="360" w:lineRule="auto"/>
        <w:jc w:val="both"/>
        <w:rPr>
          <w:rFonts w:ascii="Palatino Linotype" w:eastAsia="Palatino Linotype" w:hAnsi="Palatino Linotype" w:cs="Palatino Linotype"/>
          <w:sz w:val="24"/>
          <w:szCs w:val="24"/>
        </w:rPr>
      </w:pPr>
    </w:p>
    <w:p w:rsidR="00D719F2" w:rsidRPr="00184171" w:rsidRDefault="00184171">
      <w:pPr>
        <w:numPr>
          <w:ilvl w:val="0"/>
          <w:numId w:val="9"/>
        </w:numPr>
        <w:spacing w:line="360" w:lineRule="auto"/>
        <w:ind w:left="0" w:firstLine="0"/>
        <w:jc w:val="both"/>
        <w:rPr>
          <w:rFonts w:ascii="Palatino Linotype" w:eastAsia="Palatino Linotype" w:hAnsi="Palatino Linotype" w:cs="Palatino Linotype"/>
          <w:i/>
          <w:iCs/>
          <w:sz w:val="24"/>
          <w:szCs w:val="24"/>
        </w:rPr>
      </w:pPr>
      <w:r>
        <w:rPr>
          <w:rFonts w:ascii="Palatino Linotype" w:eastAsia="Palatino Linotype" w:hAnsi="Palatino Linotype" w:cs="Palatino Linotype"/>
          <w:sz w:val="24"/>
          <w:szCs w:val="24"/>
        </w:rPr>
        <w:t>La Comisionada p</w:t>
      </w:r>
      <w:r w:rsidR="00286A04" w:rsidRPr="00184171">
        <w:rPr>
          <w:rFonts w:ascii="Palatino Linotype" w:eastAsia="Palatino Linotype" w:hAnsi="Palatino Linotype" w:cs="Palatino Linotype"/>
          <w:sz w:val="24"/>
          <w:szCs w:val="24"/>
        </w:rPr>
        <w:t xml:space="preserve">onente con fundamento en lo dispuesto por el artículo 18 fracción II de la ley de la materia, a través del acuerdo de admisión notificado el </w:t>
      </w:r>
      <w:r w:rsidR="00286A04" w:rsidRPr="00184171">
        <w:rPr>
          <w:rFonts w:ascii="Palatino Linotype" w:eastAsia="Palatino Linotype" w:hAnsi="Palatino Linotype" w:cs="Palatino Linotype"/>
          <w:b/>
          <w:bCs/>
          <w:sz w:val="24"/>
          <w:szCs w:val="24"/>
        </w:rPr>
        <w:t>cinco de agosto de dos mil veinticinco,</w:t>
      </w:r>
      <w:r w:rsidR="00286A04" w:rsidRPr="00184171">
        <w:rPr>
          <w:rFonts w:ascii="Palatino Linotype" w:eastAsia="Palatino Linotype" w:hAnsi="Palatino Linotype" w:cs="Palatino Linotype"/>
          <w:sz w:val="24"/>
          <w:szCs w:val="24"/>
        </w:rPr>
        <w:t xml:space="preserve"> se puso a disposición de las partes el expediente electrónico vía </w:t>
      </w:r>
      <w:r w:rsidR="00286A04" w:rsidRPr="00184171">
        <w:rPr>
          <w:rFonts w:ascii="Palatino Linotype" w:eastAsia="Palatino Linotype" w:hAnsi="Palatino Linotype" w:cs="Palatino Linotype"/>
          <w:b/>
          <w:bCs/>
          <w:sz w:val="24"/>
          <w:szCs w:val="24"/>
        </w:rPr>
        <w:t xml:space="preserve">SAIMEX </w:t>
      </w:r>
      <w:r w:rsidR="00286A04" w:rsidRPr="00184171">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00286A04" w:rsidRPr="00184171">
        <w:rPr>
          <w:rFonts w:ascii="Palatino Linotype" w:eastAsia="Palatino Linotype" w:hAnsi="Palatino Linotype" w:cs="Palatino Linotype"/>
          <w:b/>
          <w:bCs/>
          <w:sz w:val="24"/>
          <w:szCs w:val="24"/>
        </w:rPr>
        <w:t>SUJETO OBLIGADO</w:t>
      </w:r>
      <w:r w:rsidR="00286A04" w:rsidRPr="00184171">
        <w:rPr>
          <w:rFonts w:ascii="Palatino Linotype" w:eastAsia="Palatino Linotype" w:hAnsi="Palatino Linotype" w:cs="Palatino Linotype"/>
          <w:sz w:val="24"/>
          <w:szCs w:val="24"/>
        </w:rPr>
        <w:t xml:space="preserve"> presentara el informe justificado procedente. </w:t>
      </w:r>
    </w:p>
    <w:p w:rsidR="00D719F2" w:rsidRPr="00184171" w:rsidRDefault="00D719F2">
      <w:pPr>
        <w:pBdr>
          <w:top w:val="nil"/>
          <w:left w:val="nil"/>
          <w:bottom w:val="nil"/>
          <w:right w:val="nil"/>
          <w:between w:val="nil"/>
        </w:pBdr>
        <w:ind w:left="720"/>
        <w:rPr>
          <w:rFonts w:ascii="Palatino Linotype" w:eastAsia="Palatino Linotype" w:hAnsi="Palatino Linotype" w:cs="Palatino Linotype"/>
          <w:i/>
          <w:iCs/>
          <w:color w:val="000000"/>
          <w:sz w:val="24"/>
          <w:szCs w:val="24"/>
        </w:rPr>
      </w:pPr>
    </w:p>
    <w:p w:rsidR="00D719F2" w:rsidRPr="00184171" w:rsidRDefault="00286A04">
      <w:pPr>
        <w:numPr>
          <w:ilvl w:val="0"/>
          <w:numId w:val="9"/>
        </w:numPr>
        <w:spacing w:line="360" w:lineRule="auto"/>
        <w:ind w:left="0" w:firstLine="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sz w:val="24"/>
          <w:szCs w:val="24"/>
        </w:rPr>
        <w:t xml:space="preserve">De las constancias que obran en el expediente electrónico SAIMEX, se advierte que el </w:t>
      </w:r>
      <w:r w:rsidRPr="00184171">
        <w:rPr>
          <w:rFonts w:ascii="Palatino Linotype" w:eastAsia="Palatino Linotype" w:hAnsi="Palatino Linotype" w:cs="Palatino Linotype"/>
          <w:b/>
          <w:bCs/>
          <w:sz w:val="24"/>
          <w:szCs w:val="24"/>
        </w:rPr>
        <w:t>PARTICULAR,</w:t>
      </w:r>
      <w:r w:rsidRPr="00184171">
        <w:rPr>
          <w:rFonts w:ascii="Palatino Linotype" w:eastAsia="Palatino Linotype" w:hAnsi="Palatino Linotype" w:cs="Palatino Linotype"/>
          <w:sz w:val="24"/>
          <w:szCs w:val="24"/>
        </w:rPr>
        <w:t xml:space="preserve"> no realizó manifestación alguna.</w:t>
      </w:r>
    </w:p>
    <w:p w:rsidR="00D719F2" w:rsidRPr="00184171" w:rsidRDefault="00D719F2">
      <w:pPr>
        <w:spacing w:line="360" w:lineRule="auto"/>
        <w:jc w:val="both"/>
        <w:rPr>
          <w:rFonts w:ascii="Palatino Linotype" w:eastAsia="Palatino Linotype" w:hAnsi="Palatino Linotype" w:cs="Palatino Linotype"/>
          <w:i/>
          <w:iCs/>
          <w:sz w:val="24"/>
          <w:szCs w:val="24"/>
        </w:rPr>
      </w:pPr>
    </w:p>
    <w:p w:rsidR="00D719F2" w:rsidRPr="00184171" w:rsidRDefault="00286A04">
      <w:pPr>
        <w:numPr>
          <w:ilvl w:val="0"/>
          <w:numId w:val="9"/>
        </w:numPr>
        <w:spacing w:line="360" w:lineRule="auto"/>
        <w:ind w:left="0" w:firstLine="0"/>
        <w:jc w:val="both"/>
        <w:rPr>
          <w:rFonts w:ascii="Palatino Linotype" w:eastAsia="Palatino Linotype" w:hAnsi="Palatino Linotype" w:cs="Palatino Linotype"/>
          <w:color w:val="FF0000"/>
          <w:sz w:val="24"/>
          <w:szCs w:val="24"/>
        </w:rPr>
      </w:pPr>
      <w:r w:rsidRPr="00184171">
        <w:rPr>
          <w:rFonts w:ascii="Palatino Linotype" w:eastAsia="Palatino Linotype" w:hAnsi="Palatino Linotype" w:cs="Palatino Linotype"/>
          <w:sz w:val="24"/>
          <w:szCs w:val="24"/>
        </w:rPr>
        <w:t xml:space="preserve">El </w:t>
      </w:r>
      <w:r w:rsidRPr="00184171">
        <w:rPr>
          <w:rFonts w:ascii="Palatino Linotype" w:eastAsia="Palatino Linotype" w:hAnsi="Palatino Linotype" w:cs="Palatino Linotype"/>
          <w:b/>
          <w:bCs/>
          <w:sz w:val="24"/>
          <w:szCs w:val="24"/>
        </w:rPr>
        <w:t xml:space="preserve">SUJETO OBLIGADO, </w:t>
      </w:r>
      <w:r w:rsidRPr="00184171">
        <w:rPr>
          <w:rFonts w:ascii="Palatino Linotype" w:eastAsia="Palatino Linotype" w:hAnsi="Palatino Linotype" w:cs="Palatino Linotype"/>
          <w:sz w:val="24"/>
          <w:szCs w:val="24"/>
        </w:rPr>
        <w:t xml:space="preserve">el </w:t>
      </w:r>
      <w:r w:rsidRPr="00184171">
        <w:rPr>
          <w:rFonts w:ascii="Palatino Linotype" w:eastAsia="Palatino Linotype" w:hAnsi="Palatino Linotype" w:cs="Palatino Linotype"/>
          <w:b/>
          <w:bCs/>
          <w:sz w:val="24"/>
          <w:szCs w:val="24"/>
        </w:rPr>
        <w:t>catorce y veintiuno de agosto de dos mil veinticinco</w:t>
      </w:r>
      <w:r w:rsidRPr="00184171">
        <w:rPr>
          <w:rFonts w:ascii="Palatino Linotype" w:eastAsia="Palatino Linotype" w:hAnsi="Palatino Linotype" w:cs="Palatino Linotype"/>
          <w:sz w:val="24"/>
          <w:szCs w:val="24"/>
        </w:rPr>
        <w:t>, rindió el Informe Justificado a través de los archivos siguientes:</w:t>
      </w:r>
    </w:p>
    <w:p w:rsidR="00D719F2" w:rsidRPr="00184171" w:rsidRDefault="00286A04">
      <w:pPr>
        <w:numPr>
          <w:ilvl w:val="0"/>
          <w:numId w:val="12"/>
        </w:numPr>
        <w:pBdr>
          <w:top w:val="nil"/>
          <w:left w:val="nil"/>
          <w:bottom w:val="nil"/>
          <w:right w:val="nil"/>
          <w:between w:val="nil"/>
        </w:pBdr>
        <w:ind w:right="68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b/>
          <w:bCs/>
          <w:color w:val="000000"/>
          <w:sz w:val="24"/>
          <w:szCs w:val="24"/>
        </w:rPr>
        <w:t xml:space="preserve">Ratificacion 9003 2025.pdf: </w:t>
      </w:r>
      <w:r w:rsidRPr="00184171">
        <w:rPr>
          <w:rFonts w:ascii="Palatino Linotype" w:eastAsia="Palatino Linotype" w:hAnsi="Palatino Linotype" w:cs="Palatino Linotype"/>
          <w:color w:val="000000"/>
          <w:sz w:val="24"/>
          <w:szCs w:val="24"/>
        </w:rPr>
        <w:t>Oficio firmado por el Titular de la Unidad de Transparencia por el que informó que ratifica la respuesta emitida por la Tesorería Municipal.</w:t>
      </w:r>
    </w:p>
    <w:p w:rsidR="00D719F2" w:rsidRPr="00184171" w:rsidRDefault="00286A04">
      <w:pPr>
        <w:numPr>
          <w:ilvl w:val="0"/>
          <w:numId w:val="12"/>
        </w:numPr>
        <w:pBdr>
          <w:top w:val="nil"/>
          <w:left w:val="nil"/>
          <w:bottom w:val="nil"/>
          <w:right w:val="nil"/>
          <w:between w:val="nil"/>
        </w:pBdr>
        <w:ind w:right="68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b/>
          <w:bCs/>
          <w:color w:val="000000"/>
          <w:sz w:val="24"/>
          <w:szCs w:val="24"/>
        </w:rPr>
        <w:t>ANEXOS 09003-2025_1.pdf:</w:t>
      </w:r>
      <w:r w:rsidRPr="00184171">
        <w:rPr>
          <w:rFonts w:ascii="Palatino Linotype" w:eastAsia="Palatino Linotype" w:hAnsi="Palatino Linotype" w:cs="Palatino Linotype"/>
          <w:color w:val="000000"/>
          <w:sz w:val="24"/>
          <w:szCs w:val="24"/>
        </w:rPr>
        <w:t xml:space="preserve"> Oficio firmado el Tesorero Municipal por el que </w:t>
      </w:r>
      <w:r w:rsidRPr="00184171">
        <w:rPr>
          <w:rFonts w:ascii="Palatino Linotype" w:eastAsia="Palatino Linotype" w:hAnsi="Palatino Linotype" w:cs="Palatino Linotype"/>
          <w:sz w:val="24"/>
          <w:szCs w:val="24"/>
        </w:rPr>
        <w:t>ratificó</w:t>
      </w:r>
      <w:r w:rsidRPr="00184171">
        <w:rPr>
          <w:rFonts w:ascii="Palatino Linotype" w:eastAsia="Palatino Linotype" w:hAnsi="Palatino Linotype" w:cs="Palatino Linotype"/>
          <w:color w:val="000000"/>
          <w:sz w:val="24"/>
          <w:szCs w:val="24"/>
        </w:rPr>
        <w:t xml:space="preserve"> su respuesta primigenia.</w:t>
      </w:r>
    </w:p>
    <w:p w:rsidR="00D719F2" w:rsidRPr="00184171" w:rsidRDefault="00D719F2">
      <w:pPr>
        <w:jc w:val="both"/>
        <w:rPr>
          <w:rFonts w:ascii="Palatino Linotype" w:eastAsia="Palatino Linotype" w:hAnsi="Palatino Linotype" w:cs="Palatino Linotype"/>
          <w:sz w:val="24"/>
          <w:szCs w:val="24"/>
        </w:rPr>
      </w:pPr>
    </w:p>
    <w:p w:rsidR="00D719F2" w:rsidRPr="00184171" w:rsidRDefault="00D719F2">
      <w:pPr>
        <w:jc w:val="both"/>
        <w:rPr>
          <w:rFonts w:ascii="Palatino Linotype" w:eastAsia="Palatino Linotype" w:hAnsi="Palatino Linotype" w:cs="Palatino Linotype"/>
          <w:sz w:val="24"/>
          <w:szCs w:val="24"/>
        </w:rPr>
      </w:pPr>
    </w:p>
    <w:p w:rsidR="00D719F2" w:rsidRPr="00184171" w:rsidRDefault="00286A04">
      <w:pPr>
        <w:numPr>
          <w:ilvl w:val="0"/>
          <w:numId w:val="9"/>
        </w:numPr>
        <w:tabs>
          <w:tab w:val="left" w:pos="426"/>
        </w:tabs>
        <w:spacing w:line="360" w:lineRule="auto"/>
        <w:ind w:left="0" w:firstLine="0"/>
        <w:jc w:val="both"/>
        <w:rPr>
          <w:rFonts w:ascii="Palatino Linotype" w:eastAsia="Palatino Linotype" w:hAnsi="Palatino Linotype" w:cs="Palatino Linotype"/>
          <w:b/>
          <w:bCs/>
          <w:sz w:val="24"/>
          <w:szCs w:val="24"/>
          <w:u w:val="single"/>
        </w:rPr>
      </w:pPr>
      <w:r w:rsidRPr="00184171">
        <w:rPr>
          <w:rFonts w:ascii="Palatino Linotype" w:eastAsia="Palatino Linotype" w:hAnsi="Palatino Linotype" w:cs="Palatino Linotype"/>
          <w:sz w:val="24"/>
          <w:szCs w:val="24"/>
        </w:rPr>
        <w:t xml:space="preserve">El </w:t>
      </w:r>
      <w:r w:rsidRPr="00184171">
        <w:rPr>
          <w:rFonts w:ascii="Palatino Linotype" w:eastAsia="Palatino Linotype" w:hAnsi="Palatino Linotype" w:cs="Palatino Linotype"/>
          <w:b/>
          <w:bCs/>
          <w:sz w:val="24"/>
          <w:szCs w:val="24"/>
        </w:rPr>
        <w:t xml:space="preserve">veintisiete de enero de dos mil veintiséis, </w:t>
      </w:r>
      <w:r w:rsidRPr="00184171">
        <w:rPr>
          <w:rFonts w:ascii="Palatino Linotype" w:eastAsia="Palatino Linotype" w:hAnsi="Palatino Linotype" w:cs="Palatino Linotype"/>
          <w:sz w:val="24"/>
          <w:szCs w:val="24"/>
        </w:rPr>
        <w:t>se notificó el acuerdo por el que se amplió el plazo para resolver el recurso de revisión que nos ocupa.</w:t>
      </w:r>
    </w:p>
    <w:p w:rsidR="00D719F2" w:rsidRPr="00184171" w:rsidRDefault="00D719F2">
      <w:pPr>
        <w:tabs>
          <w:tab w:val="left" w:pos="426"/>
        </w:tabs>
        <w:spacing w:line="360" w:lineRule="auto"/>
        <w:jc w:val="both"/>
        <w:rPr>
          <w:rFonts w:ascii="Palatino Linotype" w:eastAsia="Palatino Linotype" w:hAnsi="Palatino Linotype" w:cs="Palatino Linotype"/>
          <w:b/>
          <w:bCs/>
          <w:sz w:val="24"/>
          <w:szCs w:val="24"/>
          <w:u w:val="single"/>
        </w:rPr>
      </w:pPr>
    </w:p>
    <w:p w:rsidR="00D719F2" w:rsidRPr="00184171" w:rsidRDefault="00286A04">
      <w:pPr>
        <w:numPr>
          <w:ilvl w:val="0"/>
          <w:numId w:val="9"/>
        </w:numPr>
        <w:tabs>
          <w:tab w:val="left" w:pos="426"/>
        </w:tabs>
        <w:spacing w:line="360" w:lineRule="auto"/>
        <w:ind w:left="0" w:firstLine="0"/>
        <w:jc w:val="both"/>
        <w:rPr>
          <w:rFonts w:ascii="Palatino Linotype" w:eastAsia="Palatino Linotype" w:hAnsi="Palatino Linotype" w:cs="Palatino Linotype"/>
          <w:b/>
          <w:bCs/>
          <w:sz w:val="24"/>
          <w:szCs w:val="24"/>
          <w:u w:val="single"/>
        </w:rPr>
      </w:pPr>
      <w:bookmarkStart w:id="3" w:name="_heading=h.z0x1hz6uk4qi" w:colFirst="0" w:colLast="0"/>
      <w:bookmarkEnd w:id="3"/>
      <w:r w:rsidRPr="00184171">
        <w:rPr>
          <w:rFonts w:ascii="Palatino Linotype" w:eastAsia="Palatino Linotype" w:hAnsi="Palatino Linotype" w:cs="Palatino Linotype"/>
          <w:sz w:val="24"/>
          <w:szCs w:val="24"/>
        </w:rPr>
        <w:lastRenderedPageBreak/>
        <w:t>El</w:t>
      </w:r>
      <w:r w:rsidRPr="00184171">
        <w:rPr>
          <w:rFonts w:ascii="Palatino Linotype" w:eastAsia="Palatino Linotype" w:hAnsi="Palatino Linotype" w:cs="Palatino Linotype"/>
          <w:b/>
          <w:bCs/>
          <w:sz w:val="24"/>
          <w:szCs w:val="24"/>
        </w:rPr>
        <w:t xml:space="preserve"> diecinueve de febrero de dos mil veintiséis</w:t>
      </w:r>
      <w:r w:rsidRPr="00184171">
        <w:rPr>
          <w:rFonts w:ascii="Palatino Linotype" w:eastAsia="Palatino Linotype" w:hAnsi="Palatino Linotype" w:cs="Palatino Linotype"/>
          <w:sz w:val="24"/>
          <w:szCs w:val="24"/>
        </w:rPr>
        <w:t xml:space="preserve">, la Comisionada Ponente decretó el cierre de instrucción y al no existir diligencias por realizar y se turnó el expediente a resolución correspondiente, por lo que no habiendo más que hacer constar, y </w:t>
      </w:r>
    </w:p>
    <w:p w:rsidR="00D719F2" w:rsidRPr="00184171" w:rsidRDefault="00D719F2">
      <w:pPr>
        <w:tabs>
          <w:tab w:val="left" w:pos="426"/>
        </w:tabs>
        <w:spacing w:line="360" w:lineRule="auto"/>
        <w:jc w:val="both"/>
        <w:rPr>
          <w:rFonts w:ascii="Palatino Linotype" w:eastAsia="Palatino Linotype" w:hAnsi="Palatino Linotype" w:cs="Palatino Linotype"/>
          <w:b/>
          <w:bCs/>
          <w:sz w:val="24"/>
          <w:szCs w:val="24"/>
          <w:u w:val="single"/>
        </w:rPr>
      </w:pPr>
    </w:p>
    <w:p w:rsidR="00D719F2" w:rsidRPr="00184171" w:rsidRDefault="00286A04">
      <w:pPr>
        <w:keepNext/>
        <w:keepLines/>
        <w:spacing w:line="360" w:lineRule="auto"/>
        <w:jc w:val="center"/>
        <w:rPr>
          <w:rFonts w:ascii="Palatino Linotype" w:eastAsia="Palatino Linotype" w:hAnsi="Palatino Linotype" w:cs="Palatino Linotype"/>
          <w:b/>
          <w:bCs/>
          <w:sz w:val="24"/>
          <w:szCs w:val="24"/>
        </w:rPr>
      </w:pPr>
      <w:bookmarkStart w:id="4" w:name="_heading=h.30j0zll" w:colFirst="0" w:colLast="0"/>
      <w:bookmarkEnd w:id="4"/>
      <w:r w:rsidRPr="00184171">
        <w:rPr>
          <w:rFonts w:ascii="Palatino Linotype" w:eastAsia="Palatino Linotype" w:hAnsi="Palatino Linotype" w:cs="Palatino Linotype"/>
          <w:b/>
          <w:bCs/>
          <w:sz w:val="24"/>
          <w:szCs w:val="24"/>
        </w:rPr>
        <w:t>C</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O</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N</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S</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I</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D</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E</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R</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A</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N</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D</w:t>
      </w:r>
      <w:r w:rsid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b/>
          <w:bCs/>
          <w:sz w:val="24"/>
          <w:szCs w:val="24"/>
        </w:rPr>
        <w:t xml:space="preserve">O </w:t>
      </w:r>
    </w:p>
    <w:p w:rsidR="00D719F2" w:rsidRPr="00184171" w:rsidRDefault="00D719F2">
      <w:pPr>
        <w:keepNext/>
        <w:keepLines/>
        <w:spacing w:line="360" w:lineRule="auto"/>
        <w:jc w:val="center"/>
        <w:rPr>
          <w:rFonts w:ascii="Palatino Linotype" w:eastAsia="Palatino Linotype" w:hAnsi="Palatino Linotype" w:cs="Palatino Linotype"/>
          <w:sz w:val="24"/>
          <w:szCs w:val="24"/>
        </w:rPr>
      </w:pPr>
    </w:p>
    <w:p w:rsidR="00D719F2" w:rsidRPr="00184171" w:rsidRDefault="00286A04">
      <w:pPr>
        <w:keepNext/>
        <w:keepLines/>
        <w:spacing w:line="360" w:lineRule="auto"/>
        <w:rPr>
          <w:rFonts w:ascii="Palatino Linotype" w:eastAsia="Palatino Linotype" w:hAnsi="Palatino Linotype" w:cs="Palatino Linotype"/>
          <w:b/>
          <w:bCs/>
          <w:sz w:val="24"/>
          <w:szCs w:val="24"/>
        </w:rPr>
      </w:pPr>
      <w:bookmarkStart w:id="5" w:name="_heading=h.1fob9te" w:colFirst="0" w:colLast="0"/>
      <w:bookmarkEnd w:id="5"/>
      <w:r w:rsidRPr="00184171">
        <w:rPr>
          <w:rFonts w:ascii="Palatino Linotype" w:eastAsia="Palatino Linotype" w:hAnsi="Palatino Linotype" w:cs="Palatino Linotype"/>
          <w:b/>
          <w:bCs/>
          <w:sz w:val="24"/>
          <w:szCs w:val="24"/>
        </w:rPr>
        <w:t>PRIMERO. De la competencia</w:t>
      </w:r>
    </w:p>
    <w:p w:rsidR="00D719F2" w:rsidRPr="00184171" w:rsidRDefault="00286A04">
      <w:pPr>
        <w:numPr>
          <w:ilvl w:val="0"/>
          <w:numId w:val="9"/>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trigésimo, trigésimo primero y trigésimo segundo,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719F2" w:rsidRPr="00184171" w:rsidRDefault="00D719F2">
      <w:pPr>
        <w:tabs>
          <w:tab w:val="left" w:pos="426"/>
        </w:tabs>
        <w:spacing w:line="360" w:lineRule="auto"/>
        <w:jc w:val="both"/>
        <w:rPr>
          <w:rFonts w:ascii="Palatino Linotype" w:eastAsia="Palatino Linotype" w:hAnsi="Palatino Linotype" w:cs="Palatino Linotype"/>
          <w:color w:val="000000"/>
          <w:sz w:val="24"/>
          <w:szCs w:val="24"/>
        </w:rPr>
      </w:pPr>
    </w:p>
    <w:p w:rsidR="00D719F2" w:rsidRPr="00184171" w:rsidRDefault="00286A04">
      <w:pPr>
        <w:keepNext/>
        <w:keepLines/>
        <w:spacing w:line="360" w:lineRule="auto"/>
        <w:rPr>
          <w:rFonts w:ascii="Palatino Linotype" w:eastAsia="Palatino Linotype" w:hAnsi="Palatino Linotype" w:cs="Palatino Linotype"/>
          <w:b/>
          <w:bCs/>
          <w:sz w:val="24"/>
          <w:szCs w:val="24"/>
        </w:rPr>
      </w:pPr>
      <w:bookmarkStart w:id="6" w:name="_heading=h.3znysh7" w:colFirst="0" w:colLast="0"/>
      <w:bookmarkEnd w:id="6"/>
      <w:r w:rsidRPr="00184171">
        <w:rPr>
          <w:rFonts w:ascii="Palatino Linotype" w:eastAsia="Palatino Linotype" w:hAnsi="Palatino Linotype" w:cs="Palatino Linotype"/>
          <w:b/>
          <w:bCs/>
          <w:sz w:val="24"/>
          <w:szCs w:val="24"/>
        </w:rPr>
        <w:t>SEGUNDO. De la oportunidad y procedencia.</w:t>
      </w:r>
    </w:p>
    <w:p w:rsidR="00D719F2" w:rsidRPr="00184171" w:rsidRDefault="00286A04">
      <w:pPr>
        <w:numPr>
          <w:ilvl w:val="0"/>
          <w:numId w:val="9"/>
        </w:numPr>
        <w:spacing w:line="360" w:lineRule="auto"/>
        <w:ind w:left="0" w:right="48"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El medio de impugnación fue presentado a través del </w:t>
      </w:r>
      <w:r w:rsidRPr="00184171">
        <w:rPr>
          <w:rFonts w:ascii="Palatino Linotype" w:eastAsia="Palatino Linotype" w:hAnsi="Palatino Linotype" w:cs="Palatino Linotype"/>
          <w:b/>
          <w:bCs/>
          <w:sz w:val="24"/>
          <w:szCs w:val="24"/>
        </w:rPr>
        <w:t>SAIMEX,</w:t>
      </w:r>
      <w:r w:rsidRPr="00184171">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184171">
        <w:rPr>
          <w:rFonts w:ascii="Palatino Linotype" w:eastAsia="Palatino Linotype" w:hAnsi="Palatino Linotype" w:cs="Palatino Linotype"/>
          <w:b/>
          <w:bCs/>
          <w:sz w:val="24"/>
          <w:szCs w:val="24"/>
        </w:rPr>
        <w:t>SUJETO OBLIGADO</w:t>
      </w:r>
      <w:r w:rsidRPr="00184171">
        <w:rPr>
          <w:rFonts w:ascii="Palatino Linotype" w:eastAsia="Palatino Linotype" w:hAnsi="Palatino Linotype" w:cs="Palatino Linotype"/>
          <w:sz w:val="24"/>
          <w:szCs w:val="24"/>
        </w:rPr>
        <w:t xml:space="preserve"> entregó respuesta el </w:t>
      </w:r>
      <w:r w:rsidRPr="00184171">
        <w:rPr>
          <w:rFonts w:ascii="Palatino Linotype" w:eastAsia="Palatino Linotype" w:hAnsi="Palatino Linotype" w:cs="Palatino Linotype"/>
          <w:b/>
          <w:bCs/>
          <w:sz w:val="24"/>
          <w:szCs w:val="24"/>
        </w:rPr>
        <w:t>catorce de julio de dos mil veinticinco</w:t>
      </w:r>
      <w:r w:rsidRPr="00184171">
        <w:rPr>
          <w:rFonts w:ascii="Palatino Linotype" w:eastAsia="Palatino Linotype" w:hAnsi="Palatino Linotype" w:cs="Palatino Linotype"/>
          <w:sz w:val="24"/>
          <w:szCs w:val="24"/>
        </w:rPr>
        <w:t xml:space="preserve">, de tal forma que el plazo para interponer el recurso </w:t>
      </w:r>
      <w:r w:rsidRPr="00184171">
        <w:rPr>
          <w:rFonts w:ascii="Palatino Linotype" w:eastAsia="Palatino Linotype" w:hAnsi="Palatino Linotype" w:cs="Palatino Linotype"/>
          <w:sz w:val="24"/>
          <w:szCs w:val="24"/>
        </w:rPr>
        <w:lastRenderedPageBreak/>
        <w:t xml:space="preserve">transcurrió del </w:t>
      </w:r>
      <w:r w:rsidRPr="00184171">
        <w:rPr>
          <w:rFonts w:ascii="Palatino Linotype" w:eastAsia="Palatino Linotype" w:hAnsi="Palatino Linotype" w:cs="Palatino Linotype"/>
          <w:b/>
          <w:bCs/>
          <w:sz w:val="24"/>
          <w:szCs w:val="24"/>
        </w:rPr>
        <w:t xml:space="preserve">quince de julio al dieciocho de agosto de dos mil veinticinco, </w:t>
      </w:r>
      <w:r w:rsidRPr="00184171">
        <w:rPr>
          <w:rFonts w:ascii="Palatino Linotype" w:eastAsia="Palatino Linotype" w:hAnsi="Palatino Linotype" w:cs="Palatino Linotype"/>
          <w:sz w:val="24"/>
          <w:szCs w:val="24"/>
        </w:rPr>
        <w:t xml:space="preserve">en consecuencia, si el </w:t>
      </w:r>
      <w:r w:rsidRPr="00184171">
        <w:rPr>
          <w:rFonts w:ascii="Palatino Linotype" w:eastAsia="Palatino Linotype" w:hAnsi="Palatino Linotype" w:cs="Palatino Linotype"/>
          <w:b/>
          <w:bCs/>
          <w:sz w:val="24"/>
          <w:szCs w:val="24"/>
        </w:rPr>
        <w:t>PARTICULAR</w:t>
      </w:r>
      <w:r w:rsidRPr="00184171">
        <w:rPr>
          <w:rFonts w:ascii="Palatino Linotype" w:eastAsia="Palatino Linotype" w:hAnsi="Palatino Linotype" w:cs="Palatino Linotype"/>
          <w:sz w:val="24"/>
          <w:szCs w:val="24"/>
        </w:rPr>
        <w:t xml:space="preserve"> presentó su inconformidad el </w:t>
      </w:r>
      <w:r w:rsidRPr="00184171">
        <w:rPr>
          <w:rFonts w:ascii="Palatino Linotype" w:eastAsia="Palatino Linotype" w:hAnsi="Palatino Linotype" w:cs="Palatino Linotype"/>
          <w:b/>
          <w:bCs/>
          <w:sz w:val="24"/>
          <w:szCs w:val="24"/>
        </w:rPr>
        <w:t>cuatro de agosto de dos mil veinticinco</w:t>
      </w:r>
      <w:r w:rsidRPr="00184171">
        <w:rPr>
          <w:rFonts w:ascii="Palatino Linotype" w:eastAsia="Palatino Linotype" w:hAnsi="Palatino Linotype" w:cs="Palatino Linotype"/>
          <w:sz w:val="24"/>
          <w:szCs w:val="24"/>
        </w:rPr>
        <w:t xml:space="preserve">, este  se encuentra dentro de los márgenes temporales previstos en el artículo 178 de la </w:t>
      </w:r>
      <w:r w:rsidRPr="00184171">
        <w:rPr>
          <w:rFonts w:ascii="Palatino Linotype" w:eastAsia="Palatino Linotype" w:hAnsi="Palatino Linotype" w:cs="Palatino Linotype"/>
          <w:b/>
          <w:bCs/>
          <w:sz w:val="24"/>
          <w:szCs w:val="24"/>
        </w:rPr>
        <w:t xml:space="preserve">Ley de Transparencia y Acceso a la Información Pública del Estado de México y Municipios </w:t>
      </w:r>
      <w:r w:rsidRPr="00184171">
        <w:rPr>
          <w:rFonts w:ascii="Palatino Linotype" w:eastAsia="Palatino Linotype" w:hAnsi="Palatino Linotype" w:cs="Palatino Linotype"/>
          <w:sz w:val="24"/>
          <w:szCs w:val="24"/>
        </w:rPr>
        <w:t xml:space="preserve">vigente. </w:t>
      </w:r>
    </w:p>
    <w:p w:rsidR="00D719F2" w:rsidRPr="00184171" w:rsidRDefault="00D719F2">
      <w:pPr>
        <w:spacing w:line="360" w:lineRule="auto"/>
        <w:ind w:right="49"/>
        <w:jc w:val="both"/>
        <w:rPr>
          <w:rFonts w:ascii="Palatino Linotype" w:eastAsia="Palatino Linotype" w:hAnsi="Palatino Linotype" w:cs="Palatino Linotype"/>
          <w:sz w:val="24"/>
          <w:szCs w:val="24"/>
        </w:rPr>
      </w:pPr>
      <w:bookmarkStart w:id="7" w:name="_heading=h.2et92p0" w:colFirst="0" w:colLast="0"/>
      <w:bookmarkEnd w:id="7"/>
    </w:p>
    <w:p w:rsidR="00D719F2" w:rsidRPr="00184171" w:rsidRDefault="00286A04">
      <w:pPr>
        <w:pStyle w:val="Ttulo2"/>
        <w:rPr>
          <w:rFonts w:ascii="Palatino Linotype" w:eastAsia="Palatino Linotype" w:hAnsi="Palatino Linotype" w:cs="Palatino Linotype"/>
          <w:b/>
          <w:bCs/>
          <w:i/>
          <w:iCs/>
          <w:color w:val="000000"/>
          <w:sz w:val="24"/>
          <w:szCs w:val="24"/>
        </w:rPr>
      </w:pPr>
      <w:r w:rsidRPr="00184171">
        <w:rPr>
          <w:rFonts w:ascii="Palatino Linotype" w:eastAsia="Palatino Linotype" w:hAnsi="Palatino Linotype" w:cs="Palatino Linotype"/>
          <w:b/>
          <w:bCs/>
          <w:color w:val="000000"/>
          <w:sz w:val="24"/>
          <w:szCs w:val="24"/>
        </w:rPr>
        <w:t xml:space="preserve">TERCERO. Del planteamiento de la </w:t>
      </w:r>
      <w:r w:rsidRPr="00184171">
        <w:rPr>
          <w:rFonts w:ascii="Palatino Linotype" w:eastAsia="Palatino Linotype" w:hAnsi="Palatino Linotype" w:cs="Palatino Linotype"/>
          <w:b/>
          <w:bCs/>
          <w:i/>
          <w:iCs/>
          <w:color w:val="000000"/>
          <w:sz w:val="24"/>
          <w:szCs w:val="24"/>
        </w:rPr>
        <w:t>Litis.</w:t>
      </w: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Se solicitó la información que a continuación se desagrega:</w:t>
      </w:r>
    </w:p>
    <w:p w:rsidR="00D719F2" w:rsidRPr="00184171" w:rsidRDefault="00286A04">
      <w:pPr>
        <w:numPr>
          <w:ilvl w:val="0"/>
          <w:numId w:val="2"/>
        </w:numPr>
        <w:pBdr>
          <w:top w:val="nil"/>
          <w:left w:val="nil"/>
          <w:bottom w:val="nil"/>
          <w:right w:val="nil"/>
          <w:between w:val="nil"/>
        </w:pBdr>
        <w:spacing w:line="276" w:lineRule="auto"/>
        <w:ind w:right="68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sz w:val="24"/>
          <w:szCs w:val="24"/>
        </w:rPr>
        <w:t>S</w:t>
      </w:r>
      <w:r w:rsidRPr="00184171">
        <w:rPr>
          <w:rFonts w:ascii="Palatino Linotype" w:eastAsia="Palatino Linotype" w:hAnsi="Palatino Linotype" w:cs="Palatino Linotype"/>
          <w:color w:val="000000"/>
          <w:sz w:val="24"/>
          <w:szCs w:val="24"/>
        </w:rPr>
        <w:t>oporte documental consistente en la comprobación del gasto generado para la contratación de grupo musical, audio y escenario, etc., para llevar a cabo los eventos realizados, en fechas primero de enero al veinticuatro de junio de 2025 respectivamente por cada áreas del ayuntamiento.</w:t>
      </w:r>
    </w:p>
    <w:p w:rsidR="00D719F2" w:rsidRPr="00184171" w:rsidRDefault="00D719F2">
      <w:pPr>
        <w:pBdr>
          <w:top w:val="nil"/>
          <w:left w:val="nil"/>
          <w:bottom w:val="nil"/>
          <w:right w:val="nil"/>
          <w:between w:val="nil"/>
        </w:pBdr>
        <w:spacing w:line="276" w:lineRule="auto"/>
        <w:ind w:left="720" w:right="680"/>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sz w:val="24"/>
          <w:szCs w:val="24"/>
        </w:rPr>
        <w:t xml:space="preserve">El </w:t>
      </w:r>
      <w:r w:rsidRPr="00184171">
        <w:rPr>
          <w:rFonts w:ascii="Palatino Linotype" w:eastAsia="Palatino Linotype" w:hAnsi="Palatino Linotype" w:cs="Palatino Linotype"/>
          <w:b/>
          <w:bCs/>
          <w:sz w:val="24"/>
          <w:szCs w:val="24"/>
        </w:rPr>
        <w:t xml:space="preserve">SUJETO OBLIGADO, </w:t>
      </w:r>
      <w:r w:rsidRPr="00184171">
        <w:rPr>
          <w:rFonts w:ascii="Palatino Linotype" w:eastAsia="Palatino Linotype" w:hAnsi="Palatino Linotype" w:cs="Palatino Linotype"/>
          <w:sz w:val="24"/>
          <w:szCs w:val="24"/>
        </w:rPr>
        <w:t xml:space="preserve">dio respuesta como quedó referido en el numeral 2 de la presente resolución. </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sz w:val="24"/>
          <w:szCs w:val="24"/>
        </w:rPr>
        <w:t xml:space="preserve">Inconforme con lo anterior, el ahora </w:t>
      </w:r>
      <w:r w:rsidRPr="00184171">
        <w:rPr>
          <w:rFonts w:ascii="Palatino Linotype" w:eastAsia="Palatino Linotype" w:hAnsi="Palatino Linotype" w:cs="Palatino Linotype"/>
          <w:b/>
          <w:bCs/>
          <w:sz w:val="24"/>
          <w:szCs w:val="24"/>
        </w:rPr>
        <w:t xml:space="preserve">RECURRENTE </w:t>
      </w:r>
      <w:r w:rsidRPr="00184171">
        <w:rPr>
          <w:rFonts w:ascii="Palatino Linotype" w:eastAsia="Palatino Linotype" w:hAnsi="Palatino Linotype" w:cs="Palatino Linotype"/>
          <w:sz w:val="24"/>
          <w:szCs w:val="24"/>
        </w:rPr>
        <w:t xml:space="preserve">interpuso Recurso de Revisión arguyendo medularmente la entrega de la información de manera incompleta.  </w:t>
      </w:r>
    </w:p>
    <w:p w:rsidR="00D719F2" w:rsidRPr="00184171" w:rsidRDefault="00D719F2">
      <w:pPr>
        <w:spacing w:line="360" w:lineRule="auto"/>
        <w:ind w:right="49"/>
        <w:jc w:val="both"/>
        <w:rPr>
          <w:rFonts w:ascii="Palatino Linotype" w:eastAsia="Palatino Linotype" w:hAnsi="Palatino Linotype" w:cs="Palatino Linotype"/>
          <w:i/>
          <w:iCs/>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En dichas condiciones, la </w:t>
      </w:r>
      <w:r w:rsidRPr="00184171">
        <w:rPr>
          <w:rFonts w:ascii="Palatino Linotype" w:eastAsia="Palatino Linotype" w:hAnsi="Palatino Linotype" w:cs="Palatino Linotype"/>
          <w:i/>
          <w:iCs/>
          <w:sz w:val="24"/>
          <w:szCs w:val="24"/>
        </w:rPr>
        <w:t>Litis</w:t>
      </w:r>
      <w:r w:rsidRPr="00184171">
        <w:rPr>
          <w:rFonts w:ascii="Palatino Linotype" w:eastAsia="Palatino Linotype" w:hAnsi="Palatino Linotype" w:cs="Palatino Linotype"/>
          <w:sz w:val="24"/>
          <w:szCs w:val="24"/>
        </w:rPr>
        <w:t xml:space="preserve"> a resolver en este recurso se circunscribe a determinar si se actualiza la causal de procedencia prevista en el artículo 179, fracción</w:t>
      </w:r>
      <w:r w:rsidRPr="00184171">
        <w:rPr>
          <w:rFonts w:ascii="Palatino Linotype" w:eastAsia="Palatino Linotype" w:hAnsi="Palatino Linotype" w:cs="Palatino Linotype"/>
          <w:b/>
          <w:bCs/>
          <w:sz w:val="24"/>
          <w:szCs w:val="24"/>
        </w:rPr>
        <w:t xml:space="preserve"> V </w:t>
      </w:r>
      <w:r w:rsidRPr="00184171">
        <w:rPr>
          <w:rFonts w:ascii="Palatino Linotype" w:eastAsia="Palatino Linotype" w:hAnsi="Palatino Linotype" w:cs="Palatino Linotype"/>
          <w:sz w:val="24"/>
          <w:szCs w:val="24"/>
        </w:rPr>
        <w:t xml:space="preserve">de la </w:t>
      </w:r>
      <w:r w:rsidRPr="00184171">
        <w:rPr>
          <w:rFonts w:ascii="Palatino Linotype" w:eastAsia="Palatino Linotype" w:hAnsi="Palatino Linotype" w:cs="Palatino Linotype"/>
          <w:b/>
          <w:bCs/>
          <w:sz w:val="24"/>
          <w:szCs w:val="24"/>
        </w:rPr>
        <w:t>Ley de Transparencia y Acceso a la Información Pública del Estado de México y Municipios</w:t>
      </w:r>
      <w:r w:rsidRPr="00184171">
        <w:rPr>
          <w:rFonts w:ascii="Palatino Linotype" w:eastAsia="Palatino Linotype" w:hAnsi="Palatino Linotype" w:cs="Palatino Linotype"/>
          <w:sz w:val="24"/>
          <w:szCs w:val="24"/>
        </w:rPr>
        <w:t xml:space="preserve">; </w:t>
      </w:r>
      <w:r w:rsidRPr="00184171">
        <w:rPr>
          <w:rFonts w:ascii="Palatino Linotype" w:eastAsia="Palatino Linotype" w:hAnsi="Palatino Linotype" w:cs="Palatino Linotype"/>
          <w:color w:val="000000"/>
          <w:sz w:val="24"/>
          <w:szCs w:val="24"/>
        </w:rPr>
        <w:t xml:space="preserve">fracción que determina las hipótesis jurídica relativa a la entrega de información incompleta; </w:t>
      </w:r>
      <w:r w:rsidRPr="00184171">
        <w:rPr>
          <w:rFonts w:ascii="Palatino Linotype" w:eastAsia="Palatino Linotype" w:hAnsi="Palatino Linotype" w:cs="Palatino Linotype"/>
          <w:sz w:val="24"/>
          <w:szCs w:val="24"/>
        </w:rPr>
        <w:t xml:space="preserve">contexto del cual se dolió </w:t>
      </w:r>
      <w:r w:rsidRPr="00184171">
        <w:rPr>
          <w:rFonts w:ascii="Palatino Linotype" w:eastAsia="Palatino Linotype" w:hAnsi="Palatino Linotype" w:cs="Palatino Linotype"/>
          <w:b/>
          <w:bCs/>
          <w:sz w:val="24"/>
          <w:szCs w:val="24"/>
        </w:rPr>
        <w:t xml:space="preserve">EL RECURRENTE </w:t>
      </w:r>
      <w:r w:rsidRPr="00184171">
        <w:rPr>
          <w:rFonts w:ascii="Palatino Linotype" w:eastAsia="Palatino Linotype" w:hAnsi="Palatino Linotype" w:cs="Palatino Linotype"/>
          <w:sz w:val="24"/>
          <w:szCs w:val="24"/>
        </w:rPr>
        <w:t>al momento de interponer su inconformidad.</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color w:val="000000"/>
          <w:sz w:val="24"/>
          <w:szCs w:val="24"/>
        </w:rPr>
        <w:lastRenderedPageBreak/>
        <w:t xml:space="preserve"> De modo tal que, el presente recurso de revisión se abocara en determinar si el </w:t>
      </w:r>
      <w:r w:rsidRPr="00184171">
        <w:rPr>
          <w:rFonts w:ascii="Palatino Linotype" w:eastAsia="Palatino Linotype" w:hAnsi="Palatino Linotype" w:cs="Palatino Linotype"/>
          <w:b/>
          <w:bCs/>
          <w:color w:val="000000"/>
          <w:sz w:val="24"/>
          <w:szCs w:val="24"/>
        </w:rPr>
        <w:t>SUJETO</w:t>
      </w:r>
      <w:r w:rsidRPr="00184171">
        <w:rPr>
          <w:rFonts w:ascii="Palatino Linotype" w:eastAsia="Palatino Linotype" w:hAnsi="Palatino Linotype" w:cs="Palatino Linotype"/>
          <w:color w:val="000000"/>
          <w:sz w:val="24"/>
          <w:szCs w:val="24"/>
        </w:rPr>
        <w:t xml:space="preserve"> </w:t>
      </w:r>
      <w:r w:rsidRPr="00184171">
        <w:rPr>
          <w:rFonts w:ascii="Palatino Linotype" w:eastAsia="Palatino Linotype" w:hAnsi="Palatino Linotype" w:cs="Palatino Linotype"/>
          <w:b/>
          <w:bCs/>
          <w:color w:val="000000"/>
          <w:sz w:val="24"/>
          <w:szCs w:val="24"/>
        </w:rPr>
        <w:t>OBLIGADO</w:t>
      </w:r>
      <w:r w:rsidRPr="00184171">
        <w:rPr>
          <w:rFonts w:ascii="Palatino Linotype" w:eastAsia="Palatino Linotype" w:hAnsi="Palatino Linotype" w:cs="Palatino Linotype"/>
          <w:color w:val="000000"/>
          <w:sz w:val="24"/>
          <w:szCs w:val="24"/>
        </w:rPr>
        <w:t xml:space="preserve"> con su respuesta ciertamente actualiza la causal de procedencia</w:t>
      </w:r>
      <w:r w:rsidRPr="00184171">
        <w:rPr>
          <w:rFonts w:ascii="Palatino Linotype" w:eastAsia="Palatino Linotype" w:hAnsi="Palatino Linotype" w:cs="Palatino Linotype"/>
          <w:b/>
          <w:bCs/>
          <w:color w:val="000000"/>
          <w:sz w:val="24"/>
          <w:szCs w:val="24"/>
        </w:rPr>
        <w:t xml:space="preserve"> </w:t>
      </w:r>
      <w:r w:rsidRPr="00184171">
        <w:rPr>
          <w:rFonts w:ascii="Palatino Linotype" w:eastAsia="Palatino Linotype" w:hAnsi="Palatino Linotype" w:cs="Palatino Linotype"/>
          <w:color w:val="000000"/>
          <w:sz w:val="24"/>
          <w:szCs w:val="24"/>
        </w:rPr>
        <w:t>antes señalada. Así como comprobar si la respuesta emitida resulta congruente e integral en términos del artículo 11 de la ley de la materia.</w:t>
      </w:r>
    </w:p>
    <w:p w:rsidR="00D719F2" w:rsidRPr="00184171" w:rsidRDefault="00D719F2">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D719F2" w:rsidRPr="00184171" w:rsidRDefault="00286A04">
      <w:pPr>
        <w:pStyle w:val="Ttulo2"/>
        <w:rPr>
          <w:rFonts w:ascii="Palatino Linotype" w:eastAsia="Palatino Linotype" w:hAnsi="Palatino Linotype" w:cs="Palatino Linotype"/>
          <w:b/>
          <w:bCs/>
          <w:color w:val="000000"/>
          <w:sz w:val="24"/>
          <w:szCs w:val="24"/>
        </w:rPr>
      </w:pPr>
      <w:bookmarkStart w:id="8" w:name="_heading=h.3dy6vkm" w:colFirst="0" w:colLast="0"/>
      <w:bookmarkEnd w:id="8"/>
      <w:r w:rsidRPr="00184171">
        <w:rPr>
          <w:rFonts w:ascii="Palatino Linotype" w:eastAsia="Palatino Linotype" w:hAnsi="Palatino Linotype" w:cs="Palatino Linotype"/>
          <w:b/>
          <w:bCs/>
          <w:color w:val="000000"/>
          <w:sz w:val="24"/>
          <w:szCs w:val="24"/>
        </w:rPr>
        <w:t>CUARTO. Del estudio y resolución del asunto.</w:t>
      </w: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bookmarkStart w:id="9" w:name="_heading=h.kp6czspe9ppb" w:colFirst="0" w:colLast="0"/>
      <w:bookmarkEnd w:id="9"/>
      <w:r w:rsidRPr="00184171">
        <w:rPr>
          <w:rFonts w:ascii="Palatino Linotype" w:eastAsia="Palatino Linotype" w:hAnsi="Palatino Linotype" w:cs="Palatino Linotype"/>
          <w:sz w:val="24"/>
          <w:szCs w:val="24"/>
        </w:rPr>
        <w:t xml:space="preserve">Dicho lo anterior, este Órgano Resolutor se avocara a realizar el estudio en conjunto de todas las constancias que obran en el SAIMEX, con la finalidad de poder determinar si los motivos de inconformidad hechos valer por el ahora </w:t>
      </w:r>
      <w:r w:rsidRPr="00184171">
        <w:rPr>
          <w:rFonts w:ascii="Palatino Linotype" w:eastAsia="Palatino Linotype" w:hAnsi="Palatino Linotype" w:cs="Palatino Linotype"/>
          <w:b/>
          <w:bCs/>
          <w:sz w:val="24"/>
          <w:szCs w:val="24"/>
        </w:rPr>
        <w:t xml:space="preserve">RECURRENTE, </w:t>
      </w:r>
      <w:r w:rsidRPr="00184171">
        <w:rPr>
          <w:rFonts w:ascii="Palatino Linotype" w:eastAsia="Palatino Linotype" w:hAnsi="Palatino Linotype" w:cs="Palatino Linotype"/>
          <w:sz w:val="24"/>
          <w:szCs w:val="24"/>
        </w:rPr>
        <w:t>resultan fundados.</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Ahora bien, se advierte que la naturaleza de la información radica en un soporte documental que compruebe el gasto generado para la contratación de grupo musical, audio, escenario, etc. de los eventos realizados del uno de enero al veinticuatro de junio de dos mil veinticinco, de ello, se infiere que pudiera ser, de manera enunciativa más no limitativa, los contratos, facturas, entre otros.</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Ahora bien, el </w:t>
      </w:r>
      <w:r w:rsidRPr="00184171">
        <w:rPr>
          <w:rFonts w:ascii="Palatino Linotype" w:eastAsia="Palatino Linotype" w:hAnsi="Palatino Linotype" w:cs="Palatino Linotype"/>
          <w:b/>
          <w:bCs/>
          <w:sz w:val="24"/>
          <w:szCs w:val="24"/>
        </w:rPr>
        <w:t>SUJETO OBLIGADO,</w:t>
      </w:r>
      <w:r w:rsidRPr="00184171">
        <w:rPr>
          <w:rFonts w:ascii="Palatino Linotype" w:eastAsia="Palatino Linotype" w:hAnsi="Palatino Linotype" w:cs="Palatino Linotype"/>
          <w:sz w:val="24"/>
          <w:szCs w:val="24"/>
        </w:rPr>
        <w:t xml:space="preserve"> dio respuesta a través del Tesorero Municipal, quien informo que la información solicitada no se cuenta con registro por el concepto solicitado, sin embargo, remitió el estado analítico del ejercicio del presupuesto de egresos, clasificación por objeto de gasto (capitulo y concepto) del primero de enero al treinta y uno de marzo de dos mil veinticinco.</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No obstante lo anterior, este Órgano Resolutor, advierte que el estado analítico remitido en respuesta no da cuenta de lo solicitado, ya que durante el periodo señalado por el </w:t>
      </w:r>
      <w:r w:rsidRPr="00184171">
        <w:rPr>
          <w:rFonts w:ascii="Palatino Linotype" w:eastAsia="Palatino Linotype" w:hAnsi="Palatino Linotype" w:cs="Palatino Linotype"/>
          <w:b/>
          <w:bCs/>
          <w:sz w:val="24"/>
          <w:szCs w:val="24"/>
        </w:rPr>
        <w:lastRenderedPageBreak/>
        <w:t xml:space="preserve">PARTICULAR, </w:t>
      </w:r>
      <w:r w:rsidRPr="00184171">
        <w:rPr>
          <w:rFonts w:ascii="Palatino Linotype" w:eastAsia="Palatino Linotype" w:hAnsi="Palatino Linotype" w:cs="Palatino Linotype"/>
          <w:sz w:val="24"/>
          <w:szCs w:val="24"/>
        </w:rPr>
        <w:t xml:space="preserve">el Ayuntamiento de Toluca, llevó a cabo una serie de eventos, que fueron organizados y pagados por este, luego entonces, el </w:t>
      </w:r>
      <w:r w:rsidRPr="00184171">
        <w:rPr>
          <w:rFonts w:ascii="Palatino Linotype" w:eastAsia="Palatino Linotype" w:hAnsi="Palatino Linotype" w:cs="Palatino Linotype"/>
          <w:b/>
          <w:bCs/>
          <w:sz w:val="24"/>
          <w:szCs w:val="24"/>
        </w:rPr>
        <w:t xml:space="preserve">SUJETO OBLIGADO, </w:t>
      </w:r>
      <w:r w:rsidRPr="00184171">
        <w:rPr>
          <w:rFonts w:ascii="Palatino Linotype" w:eastAsia="Palatino Linotype" w:hAnsi="Palatino Linotype" w:cs="Palatino Linotype"/>
          <w:sz w:val="24"/>
          <w:szCs w:val="24"/>
        </w:rPr>
        <w:t xml:space="preserve">de acuerdo al deber de documentar que le asiste, debe contar con el soporte documental que dé cuenta de lo solicitado. </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Además, debemos tomar en cuenta los artículos 4 y 12, de la Ley de Transparencia y Acceso a la Información Pública del Estado de México y Municipios, los cuales establecen lo siguiente:</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Artículo 4.</w:t>
      </w:r>
      <w:r w:rsidRPr="00184171">
        <w:rPr>
          <w:rFonts w:ascii="Palatino Linotype" w:eastAsia="Palatino Linotype" w:hAnsi="Palatino Linotype" w:cs="Palatino Linotype"/>
          <w:i/>
          <w:iCs/>
          <w:color w:val="000000"/>
          <w:sz w:val="24"/>
          <w:szCs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Toda la información generada, obtenida, adquirida, transformada, administrada o en posesión de los sujetos obligados es pública y accesible de manera permanente a cualquier persona, en los </w:t>
      </w:r>
      <w:r w:rsidRPr="00184171">
        <w:rPr>
          <w:rFonts w:ascii="Palatino Linotype" w:eastAsia="Palatino Linotype" w:hAnsi="Palatino Linotype" w:cs="Palatino Linotype"/>
          <w:i/>
          <w:iCs/>
          <w:color w:val="000000"/>
          <w:sz w:val="24"/>
          <w:szCs w:val="24"/>
        </w:rPr>
        <w:lastRenderedPageBreak/>
        <w:t>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Los sujetos obligados deben poner en práctica, políticas y programas de acceso a la información que se apeguen a criterios de publicidad, veracidad, oportunidad, precisión y suficiencia en beneficio de los solicitantes.</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Artículo 12.</w:t>
      </w:r>
      <w:r w:rsidRPr="00184171">
        <w:rPr>
          <w:rFonts w:ascii="Palatino Linotype" w:eastAsia="Palatino Linotype" w:hAnsi="Palatino Linotype" w:cs="Palatino Linotype"/>
          <w:i/>
          <w:iCs/>
          <w:color w:val="000000"/>
          <w:sz w:val="24"/>
          <w:szCs w:val="24"/>
        </w:rPr>
        <w:t xml:space="preserve"> Quienes generen, recopilen, administren, manejen, procesen, archiven o conserven información pública serán responsables de la misma en los términos de las disposiciones jurídicas aplicables. </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w:t>
      </w:r>
      <w:r w:rsidRPr="00184171">
        <w:rPr>
          <w:rFonts w:ascii="Palatino Linotype" w:eastAsia="Palatino Linotype" w:hAnsi="Palatino Linotype" w:cs="Palatino Linotype"/>
          <w:color w:val="000000"/>
          <w:sz w:val="24"/>
          <w:szCs w:val="24"/>
        </w:rPr>
        <w:lastRenderedPageBreak/>
        <w:t>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D719F2" w:rsidRPr="00184171" w:rsidRDefault="00286A04">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ACCESO A LA INFORMACIÓN. IMPLICACIÓN DEL PRINCIPIO DE MÁXIMA PUBLICIDAD EN EL DERECHO FUNDAMENTAL RELATIVO.</w:t>
      </w:r>
      <w:r w:rsidRPr="00184171">
        <w:rPr>
          <w:rFonts w:ascii="Palatino Linotype" w:eastAsia="Palatino Linotype" w:hAnsi="Palatino Linotype" w:cs="Palatino Linotype"/>
          <w:i/>
          <w:iCs/>
          <w:color w:val="000000"/>
          <w:sz w:val="24"/>
          <w:szCs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w:t>
      </w:r>
      <w:r w:rsidRPr="00184171">
        <w:rPr>
          <w:rFonts w:ascii="Palatino Linotype" w:eastAsia="Palatino Linotype" w:hAnsi="Palatino Linotype" w:cs="Palatino Linotype"/>
          <w:i/>
          <w:iCs/>
          <w:color w:val="000000"/>
          <w:sz w:val="24"/>
          <w:szCs w:val="24"/>
        </w:rPr>
        <w:lastRenderedPageBreak/>
        <w:t xml:space="preserve">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D719F2" w:rsidRPr="00184171" w:rsidRDefault="00D719F2">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Como se ha señalado, los Sujetos Obligados deberán proporcionar toda la información que se encuentre en su posesión bajo los estándares más altos de transparencia y máxima publicidad. </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Es pertinente enfatizar lo que respecto al derecho de acceso a la información pública, refiere el artículo 6° de la Constitución Política de los Estados Unidos Mexicanos, que en su parte conducente señala:</w:t>
      </w:r>
    </w:p>
    <w:p w:rsidR="00D719F2" w:rsidRPr="00184171" w:rsidRDefault="00286A04">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“Artículo 6o.</w:t>
      </w:r>
      <w:r w:rsidRPr="00184171">
        <w:rPr>
          <w:rFonts w:ascii="Palatino Linotype" w:eastAsia="Palatino Linotype" w:hAnsi="Palatino Linotype" w:cs="Palatino Linotype"/>
          <w:i/>
          <w:iCs/>
          <w:color w:val="000000"/>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D719F2" w:rsidRPr="00184171" w:rsidRDefault="00D719F2">
      <w:pPr>
        <w:spacing w:line="360" w:lineRule="auto"/>
        <w:ind w:left="567" w:right="822"/>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Toda persona tiene derecho al libre acceso a información plural y oportuna, así como a buscar, recibir y difundir información e ideas de toda índole por cualquier medio de expresión.</w:t>
      </w:r>
    </w:p>
    <w:p w:rsidR="00D719F2" w:rsidRPr="00184171" w:rsidRDefault="00286A04">
      <w:pPr>
        <w:pBdr>
          <w:top w:val="nil"/>
          <w:left w:val="nil"/>
          <w:bottom w:val="nil"/>
          <w:right w:val="nil"/>
          <w:between w:val="nil"/>
        </w:pBdr>
        <w:spacing w:line="360" w:lineRule="auto"/>
        <w:ind w:left="567" w:right="822"/>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lastRenderedPageBreak/>
        <w:t>Para efectos de lo dispuesto en el presente artículo se observará lo siguiente:</w:t>
      </w:r>
    </w:p>
    <w:p w:rsidR="00D719F2" w:rsidRPr="00184171" w:rsidRDefault="00D719F2">
      <w:pPr>
        <w:spacing w:line="360" w:lineRule="auto"/>
        <w:ind w:left="567" w:right="822"/>
        <w:jc w:val="both"/>
        <w:rPr>
          <w:rFonts w:ascii="Palatino Linotype" w:eastAsia="Palatino Linotype" w:hAnsi="Palatino Linotype" w:cs="Palatino Linotype"/>
          <w:i/>
          <w:iCs/>
          <w:color w:val="000000"/>
          <w:sz w:val="24"/>
          <w:szCs w:val="24"/>
        </w:rPr>
      </w:pPr>
    </w:p>
    <w:p w:rsidR="00D719F2" w:rsidRPr="00184171" w:rsidRDefault="00286A04">
      <w:pPr>
        <w:numPr>
          <w:ilvl w:val="4"/>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Para el ejercicio del derecho de acceso a la información, la Federación, los Estados y el Distrito Federal, en el ámbito de sus respectivas competencias, se regirán por los siguientes principios y bases:</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La información que se refiere a la vida privada y los datos personales será protegida en los términos y con las excepciones que fijen las leyes.</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Toda persona, sin necesidad de acreditar interés alguno o justificar su utilización, tendrá acceso gratuito a la información pública, a sus datos personales o a la rectificación de éstos.</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lastRenderedPageBreak/>
        <w:t>Se establecerán mecanismos de acceso a la información y procedimientos de revisión expeditos que se sustanciarán ante los organismos autónomos especializados e imparciales que establece esta Constitución.</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Las leyes determinarán la manera en que los sujetos obligados deberán hacer pública la información relativa a los recursos públicos que entreguen a personas físicas o morales.</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La inobservancia a las disposiciones en materia de acceso a la información pública será sancionada en los términos que dispongan las leyes.</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La ley establecerá aquella información que se considere reservada o confidencial.”</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Por su parte, la Constitución Política del Estado Libre y Soberano de México, en su artículo 5°, dispone en su parte conducente, lo siguiente:</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b/>
          <w:bCs/>
          <w:i/>
          <w:iCs/>
          <w:color w:val="000000"/>
          <w:sz w:val="24"/>
          <w:szCs w:val="24"/>
        </w:rPr>
      </w:pPr>
      <w:r w:rsidRPr="00184171">
        <w:rPr>
          <w:rFonts w:ascii="Palatino Linotype" w:eastAsia="Palatino Linotype" w:hAnsi="Palatino Linotype" w:cs="Palatino Linotype"/>
          <w:b/>
          <w:bCs/>
          <w:i/>
          <w:iCs/>
          <w:color w:val="000000"/>
          <w:sz w:val="24"/>
          <w:szCs w:val="24"/>
        </w:rPr>
        <w:t xml:space="preserve">“Artículo 5. … </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El derecho a la información será garantizado por el Estado</w:t>
      </w:r>
      <w:r w:rsidRPr="00184171">
        <w:rPr>
          <w:rFonts w:ascii="Palatino Linotype" w:eastAsia="Palatino Linotype" w:hAnsi="Palatino Linotype" w:cs="Palatino Linotype"/>
          <w:i/>
          <w:iCs/>
          <w:color w:val="000000"/>
          <w:sz w:val="24"/>
          <w:szCs w:val="24"/>
        </w:rPr>
        <w:t xml:space="preserve">. La ley establecerá las previsiones que permitan asegurar la protección, el respeto y la difusión de este derecho. </w:t>
      </w: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49"/>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Este derecho se regirá por los principios y bases siguientes:</w:t>
      </w:r>
    </w:p>
    <w:p w:rsidR="00D719F2" w:rsidRPr="00184171" w:rsidRDefault="00D719F2">
      <w:pPr>
        <w:spacing w:line="360" w:lineRule="auto"/>
        <w:ind w:left="567" w:right="49"/>
        <w:jc w:val="both"/>
        <w:rPr>
          <w:rFonts w:ascii="Palatino Linotype" w:eastAsia="Palatino Linotype" w:hAnsi="Palatino Linotype" w:cs="Palatino Linotype"/>
          <w:i/>
          <w:iCs/>
          <w:color w:val="000000"/>
          <w:sz w:val="24"/>
          <w:szCs w:val="24"/>
        </w:rPr>
      </w:pPr>
    </w:p>
    <w:p w:rsidR="00D719F2" w:rsidRPr="00184171" w:rsidRDefault="00286A04">
      <w:pPr>
        <w:numPr>
          <w:ilvl w:val="3"/>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Toda la información en posesión de cualquier autoridad</w:t>
      </w:r>
      <w:r w:rsidRPr="00184171">
        <w:rPr>
          <w:rFonts w:ascii="Palatino Linotype" w:eastAsia="Palatino Linotype" w:hAnsi="Palatino Linotype" w:cs="Palatino Linotype"/>
          <w:i/>
          <w:iCs/>
          <w:color w:val="000000"/>
          <w:sz w:val="24"/>
          <w:szCs w:val="24"/>
        </w:rPr>
        <w:t xml:space="preserve">, entidad, órgano y organismos de los Poderes Ejecutivo, Legislativo y Judicial, órganos autónomos, partidos políticos, fideicomisos y fondos públicos estatales y municipales, </w:t>
      </w:r>
      <w:r w:rsidRPr="00184171">
        <w:rPr>
          <w:rFonts w:ascii="Palatino Linotype" w:eastAsia="Palatino Linotype" w:hAnsi="Palatino Linotype" w:cs="Palatino Linotype"/>
          <w:b/>
          <w:bCs/>
          <w:i/>
          <w:iCs/>
          <w:color w:val="000000"/>
          <w:sz w:val="24"/>
          <w:szCs w:val="24"/>
        </w:rPr>
        <w:t>así como del gobierno y de la administración pública municipal y sus organismos descentralizados</w:t>
      </w:r>
      <w:r w:rsidRPr="00184171">
        <w:rPr>
          <w:rFonts w:ascii="Palatino Linotype" w:eastAsia="Palatino Linotype" w:hAnsi="Palatino Linotype" w:cs="Palatino Linotype"/>
          <w:i/>
          <w:iCs/>
          <w:color w:val="000000"/>
          <w:sz w:val="24"/>
          <w:szCs w:val="24"/>
        </w:rPr>
        <w:t xml:space="preserve">, asimismo de cualquier persona física, jurídica colectiva o sindicato que reciba y ejerza recursos públicos o realice actos de autoridad en el ámbito estatal y municipal, </w:t>
      </w:r>
      <w:r w:rsidRPr="00184171">
        <w:rPr>
          <w:rFonts w:ascii="Palatino Linotype" w:eastAsia="Palatino Linotype" w:hAnsi="Palatino Linotype" w:cs="Palatino Linotype"/>
          <w:b/>
          <w:bCs/>
          <w:i/>
          <w:iCs/>
          <w:color w:val="000000"/>
          <w:sz w:val="24"/>
          <w:szCs w:val="24"/>
        </w:rPr>
        <w:t>es pública</w:t>
      </w:r>
      <w:r w:rsidRPr="00184171">
        <w:rPr>
          <w:rFonts w:ascii="Palatino Linotype" w:eastAsia="Palatino Linotype" w:hAnsi="Palatino Linotype" w:cs="Palatino Linotype"/>
          <w:i/>
          <w:iCs/>
          <w:color w:val="000000"/>
          <w:sz w:val="24"/>
          <w:szCs w:val="24"/>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w:t>
      </w:r>
      <w:r w:rsidRPr="00184171">
        <w:rPr>
          <w:rFonts w:ascii="Palatino Linotype" w:eastAsia="Palatino Linotype" w:hAnsi="Palatino Linotype" w:cs="Palatino Linotype"/>
          <w:i/>
          <w:iCs/>
          <w:color w:val="000000"/>
          <w:sz w:val="24"/>
          <w:szCs w:val="24"/>
        </w:rPr>
        <w:lastRenderedPageBreak/>
        <w:t>determinará los supuestos específicos bajo los cuales procederá la declaración de inexistencia de la información.</w:t>
      </w:r>
    </w:p>
    <w:p w:rsidR="00D719F2" w:rsidRPr="00184171" w:rsidRDefault="00286A04">
      <w:pPr>
        <w:numPr>
          <w:ilvl w:val="3"/>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La información referente a la intimidad de la vida privada y la imagen de las personas será protegida a través de un marco jurídico rígido de tratamiento y manejo de datos personales, con las excepciones que establezca la ley reglamentaria.</w:t>
      </w:r>
    </w:p>
    <w:p w:rsidR="00D719F2" w:rsidRPr="00184171" w:rsidRDefault="00286A04">
      <w:pPr>
        <w:numPr>
          <w:ilvl w:val="3"/>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Toda persona, sin necesidad de acreditar interés alguno o justificar su utilización, tendrá acceso gratuito a la información pública, a sus datos personales o a la rectificación de éstos.</w:t>
      </w:r>
    </w:p>
    <w:p w:rsidR="00D719F2" w:rsidRPr="00184171" w:rsidRDefault="00286A04">
      <w:pPr>
        <w:numPr>
          <w:ilvl w:val="3"/>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Se establecerán mecanismos de acceso a la información y procedimientos de revisión expeditos que se sustanciarán ante el organismo autónomo especializado e imparcial que establece esta Constitución.</w:t>
      </w:r>
    </w:p>
    <w:p w:rsidR="00D719F2" w:rsidRPr="00184171" w:rsidRDefault="00286A04">
      <w:pPr>
        <w:numPr>
          <w:ilvl w:val="3"/>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rsidR="00D719F2" w:rsidRPr="00184171" w:rsidRDefault="00286A04">
      <w:pPr>
        <w:numPr>
          <w:ilvl w:val="3"/>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Los sujetos obligados deberán preservar sus documentos en archivos administrativos actualizados y publicarán, a través de los medios electrónicos disponibles, la información completa y actualizada sobre el ejercicio de los recursos públicos</w:t>
      </w:r>
      <w:r w:rsidRPr="00184171">
        <w:rPr>
          <w:rFonts w:ascii="Palatino Linotype" w:eastAsia="Palatino Linotype" w:hAnsi="Palatino Linotype" w:cs="Palatino Linotype"/>
          <w:i/>
          <w:iCs/>
          <w:color w:val="000000"/>
          <w:sz w:val="24"/>
          <w:szCs w:val="24"/>
        </w:rPr>
        <w:t xml:space="preserve"> y los indicadores que permitan rendir cuenta del cumplimiento de sus objetivos y los resultados obtenidos.</w:t>
      </w:r>
    </w:p>
    <w:p w:rsidR="00D719F2" w:rsidRPr="00184171" w:rsidRDefault="00286A04">
      <w:pPr>
        <w:numPr>
          <w:ilvl w:val="3"/>
          <w:numId w:val="3"/>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La ley reglamentaria, determinará la manera en que los sujetos obligados deberán hacer pública la información relativa a los recursos públicos que entreguen a personas físicas o jurídicas colectivas.”</w:t>
      </w: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Adicional, tenemos que la Ley de Transparencia y Acceso a la Información Pública del Estado de México y Municipios, prevé en su artículo 23 fracción I, lo siguiente:</w:t>
      </w:r>
    </w:p>
    <w:p w:rsidR="00D719F2" w:rsidRPr="00184171" w:rsidRDefault="00286A04">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“Artículo 23.</w:t>
      </w:r>
      <w:r w:rsidRPr="00184171">
        <w:rPr>
          <w:rFonts w:ascii="Palatino Linotype" w:eastAsia="Palatino Linotype" w:hAnsi="Palatino Linotype" w:cs="Palatino Linotype"/>
          <w:i/>
          <w:iCs/>
          <w:color w:val="000000"/>
          <w:sz w:val="24"/>
          <w:szCs w:val="24"/>
        </w:rPr>
        <w:t xml:space="preserve"> Son sujetos obligados a transparentar y permitir el acceso a su información y proteger los datos personales que obren en su poder:</w:t>
      </w:r>
    </w:p>
    <w:p w:rsidR="00D719F2" w:rsidRPr="00184171" w:rsidRDefault="00286A04">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w:t>
      </w:r>
    </w:p>
    <w:p w:rsidR="00D719F2" w:rsidRPr="00184171" w:rsidRDefault="00286A04">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I. El Poder Ejecutivo del Estado de México, las dependencias, organismos auxiliares, órganos, entidades, fideicomisos y fondos públicos, así como la Fiscalía General de Justicia del Estado de México; </w:t>
      </w:r>
    </w:p>
    <w:p w:rsidR="00D719F2" w:rsidRPr="00184171" w:rsidRDefault="00286A04">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w:t>
      </w:r>
    </w:p>
    <w:p w:rsidR="00D719F2" w:rsidRPr="00184171" w:rsidRDefault="00286A04">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D719F2" w:rsidRPr="00184171" w:rsidRDefault="00D719F2">
      <w:pPr>
        <w:spacing w:line="360" w:lineRule="auto"/>
        <w:ind w:left="567" w:right="680"/>
        <w:jc w:val="both"/>
        <w:rPr>
          <w:rFonts w:ascii="Palatino Linotype" w:eastAsia="Palatino Linotype" w:hAnsi="Palatino Linotype" w:cs="Palatino Linotype"/>
          <w:i/>
          <w:iCs/>
          <w:color w:val="000000"/>
          <w:sz w:val="24"/>
          <w:szCs w:val="24"/>
        </w:rPr>
      </w:pPr>
    </w:p>
    <w:p w:rsidR="00D719F2" w:rsidRPr="00184171" w:rsidRDefault="00286A04">
      <w:pPr>
        <w:pBdr>
          <w:top w:val="nil"/>
          <w:left w:val="nil"/>
          <w:bottom w:val="nil"/>
          <w:right w:val="nil"/>
          <w:between w:val="nil"/>
        </w:pBdr>
        <w:spacing w:line="360"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Los servidores públicos deberán transparentar sus acciones así como garantizar y respetar el derecho de acceso a la información pública.”</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rsidR="00D719F2" w:rsidRPr="00184171" w:rsidRDefault="00D719F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 xml:space="preserve">Por lo anterior, es de referir que, el </w:t>
      </w:r>
      <w:r w:rsidRPr="00184171">
        <w:rPr>
          <w:rFonts w:ascii="Palatino Linotype" w:eastAsia="Palatino Linotype" w:hAnsi="Palatino Linotype" w:cs="Palatino Linotype"/>
          <w:b/>
          <w:bCs/>
          <w:color w:val="000000"/>
          <w:sz w:val="24"/>
          <w:szCs w:val="24"/>
        </w:rPr>
        <w:t>Ayuntamiento de Toluca</w:t>
      </w:r>
      <w:r w:rsidRPr="00184171">
        <w:rPr>
          <w:rFonts w:ascii="Palatino Linotype" w:eastAsia="Palatino Linotype" w:hAnsi="Palatino Linotype" w:cs="Palatino Linotype"/>
          <w:color w:val="000000"/>
          <w:sz w:val="24"/>
          <w:szCs w:val="24"/>
        </w:rPr>
        <w:t>, al ser un Sujeto Obligado comprendido por la Legislación Local en materia de Transparencia, se encuentra obligado a hacer pública toda aquella información que genere, administre o posea.</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A efecto de robustecer la existencia de la información, se inserta la información localizada relativo a los eventos celebrados del uno de enero al veinticuatro de junio de dos mil veinticinco:</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tbl>
      <w:tblPr>
        <w:tblStyle w:val="a"/>
        <w:tblW w:w="877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577"/>
        <w:gridCol w:w="5202"/>
      </w:tblGrid>
      <w:tr w:rsidR="00D719F2" w:rsidRPr="00184171">
        <w:trPr>
          <w:trHeight w:val="4366"/>
        </w:trPr>
        <w:tc>
          <w:tcPr>
            <w:tcW w:w="3577" w:type="dxa"/>
          </w:tcPr>
          <w:p w:rsidR="00D719F2" w:rsidRPr="00184171" w:rsidRDefault="00286A04">
            <w:pPr>
              <w:spacing w:line="360" w:lineRule="auto"/>
              <w:ind w:right="49"/>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noProof/>
                <w:color w:val="000000"/>
                <w:sz w:val="24"/>
                <w:szCs w:val="24"/>
              </w:rPr>
              <w:drawing>
                <wp:inline distT="0" distB="0" distL="0" distR="0">
                  <wp:extent cx="2514774" cy="3312000"/>
                  <wp:effectExtent l="0" t="0" r="0" b="0"/>
                  <wp:docPr id="14325137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514774" cy="3312000"/>
                          </a:xfrm>
                          <a:prstGeom prst="rect">
                            <a:avLst/>
                          </a:prstGeom>
                          <a:ln/>
                        </pic:spPr>
                      </pic:pic>
                    </a:graphicData>
                  </a:graphic>
                </wp:inline>
              </w:drawing>
            </w:r>
          </w:p>
        </w:tc>
        <w:tc>
          <w:tcPr>
            <w:tcW w:w="5202" w:type="dxa"/>
          </w:tcPr>
          <w:p w:rsidR="00D719F2" w:rsidRPr="00184171" w:rsidRDefault="00286A04">
            <w:pPr>
              <w:spacing w:line="360" w:lineRule="auto"/>
              <w:ind w:right="49"/>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noProof/>
                <w:color w:val="000000"/>
                <w:sz w:val="24"/>
                <w:szCs w:val="24"/>
              </w:rPr>
              <w:drawing>
                <wp:inline distT="0" distB="0" distL="0" distR="0">
                  <wp:extent cx="3348000" cy="3495342"/>
                  <wp:effectExtent l="0" t="0" r="0" b="0"/>
                  <wp:docPr id="143251372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3348000" cy="3495342"/>
                          </a:xfrm>
                          <a:prstGeom prst="rect">
                            <a:avLst/>
                          </a:prstGeom>
                          <a:ln/>
                        </pic:spPr>
                      </pic:pic>
                    </a:graphicData>
                  </a:graphic>
                </wp:inline>
              </w:drawing>
            </w:r>
          </w:p>
        </w:tc>
      </w:tr>
      <w:tr w:rsidR="00D719F2" w:rsidRPr="00184171">
        <w:trPr>
          <w:trHeight w:val="4320"/>
        </w:trPr>
        <w:tc>
          <w:tcPr>
            <w:tcW w:w="8779" w:type="dxa"/>
            <w:gridSpan w:val="2"/>
          </w:tcPr>
          <w:p w:rsidR="00D719F2" w:rsidRPr="00184171" w:rsidRDefault="00D719F2">
            <w:pPr>
              <w:spacing w:line="360" w:lineRule="auto"/>
              <w:ind w:right="49"/>
              <w:jc w:val="both"/>
              <w:rPr>
                <w:rFonts w:ascii="Palatino Linotype" w:eastAsia="Palatino Linotype" w:hAnsi="Palatino Linotype" w:cs="Palatino Linotype"/>
                <w:b/>
                <w:bCs/>
                <w:color w:val="000000"/>
                <w:sz w:val="24"/>
                <w:szCs w:val="24"/>
              </w:rPr>
            </w:pPr>
          </w:p>
          <w:p w:rsidR="00D719F2" w:rsidRPr="00184171" w:rsidRDefault="00286A04">
            <w:pPr>
              <w:spacing w:line="360" w:lineRule="auto"/>
              <w:ind w:right="49"/>
              <w:jc w:val="center"/>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noProof/>
                <w:color w:val="000000"/>
                <w:sz w:val="24"/>
                <w:szCs w:val="24"/>
              </w:rPr>
              <w:drawing>
                <wp:inline distT="0" distB="0" distL="0" distR="0">
                  <wp:extent cx="2654892" cy="2412000"/>
                  <wp:effectExtent l="0" t="0" r="0" b="0"/>
                  <wp:docPr id="14325137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654892" cy="2412000"/>
                          </a:xfrm>
                          <a:prstGeom prst="rect">
                            <a:avLst/>
                          </a:prstGeom>
                          <a:ln/>
                        </pic:spPr>
                      </pic:pic>
                    </a:graphicData>
                  </a:graphic>
                </wp:inline>
              </w:drawing>
            </w:r>
          </w:p>
        </w:tc>
      </w:tr>
    </w:tbl>
    <w:p w:rsidR="00D719F2" w:rsidRPr="00184171" w:rsidRDefault="00D719F2">
      <w:pPr>
        <w:spacing w:line="360" w:lineRule="auto"/>
        <w:ind w:right="49"/>
        <w:rPr>
          <w:rFonts w:ascii="Palatino Linotype" w:eastAsia="Palatino Linotype" w:hAnsi="Palatino Linotype" w:cs="Palatino Linotype"/>
          <w:color w:val="000000"/>
          <w:sz w:val="24"/>
          <w:szCs w:val="24"/>
        </w:rPr>
      </w:pPr>
    </w:p>
    <w:tbl>
      <w:tblPr>
        <w:tblStyle w:val="a0"/>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2"/>
        <w:gridCol w:w="4502"/>
      </w:tblGrid>
      <w:tr w:rsidR="00D719F2" w:rsidRPr="00184171">
        <w:tc>
          <w:tcPr>
            <w:tcW w:w="4532" w:type="dxa"/>
          </w:tcPr>
          <w:p w:rsidR="00D719F2" w:rsidRPr="00184171" w:rsidRDefault="00286A04">
            <w:pPr>
              <w:spacing w:line="360" w:lineRule="auto"/>
              <w:ind w:right="49"/>
              <w:jc w:val="center"/>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noProof/>
                <w:color w:val="000000"/>
                <w:sz w:val="24"/>
                <w:szCs w:val="24"/>
              </w:rPr>
              <w:lastRenderedPageBreak/>
              <w:drawing>
                <wp:inline distT="0" distB="0" distL="0" distR="0">
                  <wp:extent cx="2760339" cy="4392000"/>
                  <wp:effectExtent l="0" t="0" r="0" b="0"/>
                  <wp:docPr id="14325137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760339" cy="4392000"/>
                          </a:xfrm>
                          <a:prstGeom prst="rect">
                            <a:avLst/>
                          </a:prstGeom>
                          <a:ln/>
                        </pic:spPr>
                      </pic:pic>
                    </a:graphicData>
                  </a:graphic>
                </wp:inline>
              </w:drawing>
            </w:r>
          </w:p>
        </w:tc>
        <w:tc>
          <w:tcPr>
            <w:tcW w:w="4502" w:type="dxa"/>
          </w:tcPr>
          <w:p w:rsidR="00D719F2" w:rsidRPr="00184171" w:rsidRDefault="00286A04">
            <w:pPr>
              <w:spacing w:line="360" w:lineRule="auto"/>
              <w:ind w:right="49"/>
              <w:jc w:val="center"/>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noProof/>
                <w:color w:val="000000"/>
                <w:sz w:val="24"/>
                <w:szCs w:val="24"/>
              </w:rPr>
              <w:drawing>
                <wp:inline distT="0" distB="0" distL="0" distR="0">
                  <wp:extent cx="2736000" cy="2262691"/>
                  <wp:effectExtent l="0" t="0" r="0" b="0"/>
                  <wp:docPr id="14325137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736000" cy="2262691"/>
                          </a:xfrm>
                          <a:prstGeom prst="rect">
                            <a:avLst/>
                          </a:prstGeom>
                          <a:ln/>
                        </pic:spPr>
                      </pic:pic>
                    </a:graphicData>
                  </a:graphic>
                </wp:inline>
              </w:drawing>
            </w:r>
          </w:p>
        </w:tc>
      </w:tr>
    </w:tbl>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spacing w:line="360" w:lineRule="auto"/>
        <w:ind w:right="49"/>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noProof/>
          <w:color w:val="000000"/>
          <w:sz w:val="24"/>
          <w:szCs w:val="24"/>
        </w:rPr>
        <w:lastRenderedPageBreak/>
        <w:drawing>
          <wp:inline distT="0" distB="0" distL="0" distR="0">
            <wp:extent cx="5742940" cy="3218180"/>
            <wp:effectExtent l="0" t="0" r="0" b="0"/>
            <wp:docPr id="143251372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742940" cy="3218180"/>
                    </a:xfrm>
                    <a:prstGeom prst="rect">
                      <a:avLst/>
                    </a:prstGeom>
                    <a:ln/>
                  </pic:spPr>
                </pic:pic>
              </a:graphicData>
            </a:graphic>
          </wp:inline>
        </w:drawing>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De lo anterior, se observa que existe la deuda que refiere el </w:t>
      </w:r>
      <w:r w:rsidRPr="00184171">
        <w:rPr>
          <w:rFonts w:ascii="Palatino Linotype" w:eastAsia="Palatino Linotype" w:hAnsi="Palatino Linotype" w:cs="Palatino Linotype"/>
          <w:b/>
          <w:bCs/>
          <w:sz w:val="24"/>
          <w:szCs w:val="24"/>
        </w:rPr>
        <w:t>PARTICULAR,</w:t>
      </w:r>
      <w:r w:rsidRPr="00184171">
        <w:rPr>
          <w:rFonts w:ascii="Palatino Linotype" w:eastAsia="Palatino Linotype" w:hAnsi="Palatino Linotype" w:cs="Palatino Linotype"/>
          <w:sz w:val="24"/>
          <w:szCs w:val="24"/>
        </w:rPr>
        <w:t xml:space="preserve"> por lo que, se colige que hay hechos notorios de la información solicitada por el </w:t>
      </w:r>
      <w:r w:rsidRPr="00184171">
        <w:rPr>
          <w:rFonts w:ascii="Palatino Linotype" w:eastAsia="Palatino Linotype" w:hAnsi="Palatino Linotype" w:cs="Palatino Linotype"/>
          <w:b/>
          <w:bCs/>
          <w:sz w:val="24"/>
          <w:szCs w:val="24"/>
        </w:rPr>
        <w:t xml:space="preserve">RECURRENTE, </w:t>
      </w:r>
      <w:r w:rsidRPr="00184171">
        <w:rPr>
          <w:rFonts w:ascii="Palatino Linotype" w:eastAsia="Palatino Linotype" w:hAnsi="Palatino Linotype" w:cs="Palatino Linotype"/>
          <w:sz w:val="24"/>
          <w:szCs w:val="24"/>
        </w:rPr>
        <w:t>situación por la cual es aplicable lo siguiente.</w:t>
      </w:r>
    </w:p>
    <w:p w:rsidR="00D719F2" w:rsidRPr="00184171" w:rsidRDefault="00286A04">
      <w:pPr>
        <w:pBdr>
          <w:top w:val="nil"/>
          <w:left w:val="nil"/>
          <w:bottom w:val="nil"/>
          <w:right w:val="nil"/>
          <w:between w:val="nil"/>
        </w:pBdr>
        <w:ind w:left="1134" w:right="90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sz w:val="24"/>
          <w:szCs w:val="24"/>
        </w:rPr>
        <w:t>”</w:t>
      </w:r>
      <w:r w:rsidRPr="00184171">
        <w:rPr>
          <w:rFonts w:ascii="Palatino Linotype" w:eastAsia="Palatino Linotype" w:hAnsi="Palatino Linotype" w:cs="Palatino Linotype"/>
          <w:b/>
          <w:bCs/>
          <w:i/>
          <w:iCs/>
          <w:sz w:val="24"/>
          <w:szCs w:val="24"/>
        </w:rPr>
        <w:t>HECHOS NOTORIOS. CONCEPTOS GENERAL Y JURÍDICO</w:t>
      </w:r>
    </w:p>
    <w:p w:rsidR="00D719F2" w:rsidRPr="00184171" w:rsidRDefault="00286A04">
      <w:pPr>
        <w:ind w:left="1134" w:right="90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Conforme al artículo </w:t>
      </w:r>
      <w:hyperlink r:id="rId14">
        <w:r w:rsidRPr="00184171">
          <w:rPr>
            <w:rFonts w:ascii="Palatino Linotype" w:eastAsia="Palatino Linotype" w:hAnsi="Palatino Linotype" w:cs="Palatino Linotype"/>
            <w:i/>
            <w:iCs/>
            <w:sz w:val="24"/>
            <w:szCs w:val="24"/>
          </w:rPr>
          <w:t>88 del Código Federal de Procedimientos Civiles</w:t>
        </w:r>
      </w:hyperlink>
      <w:r w:rsidRPr="00184171">
        <w:rPr>
          <w:rFonts w:ascii="Palatino Linotype" w:eastAsia="Palatino Linotype" w:hAnsi="Palatino Linotype" w:cs="Palatino Linotype"/>
          <w:i/>
          <w:iCs/>
          <w:sz w:val="24"/>
          <w:szCs w:val="24"/>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w:t>
      </w:r>
      <w:r w:rsidRPr="00184171">
        <w:rPr>
          <w:rFonts w:ascii="Palatino Linotype" w:eastAsia="Palatino Linotype" w:hAnsi="Palatino Linotype" w:cs="Palatino Linotype"/>
          <w:i/>
          <w:iCs/>
          <w:sz w:val="24"/>
          <w:szCs w:val="24"/>
        </w:rPr>
        <w:lastRenderedPageBreak/>
        <w:t>manera que al ser notorio la ley exime de su prueba, por ser del conocimiento público en el medio social donde ocurrió o donde se tramita el procedimiento.</w:t>
      </w:r>
    </w:p>
    <w:p w:rsidR="00D719F2" w:rsidRPr="00184171" w:rsidRDefault="00286A04">
      <w:pPr>
        <w:ind w:left="1134" w:right="90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Controversia constitucional 24/2005. Cámara de Diputados del Congreso de la Unión. 9 de marzo de 2006. Once votos. Ponente: José Ramón Cossío Díaz. Secretarios: Raúl Manuel Mejía Garza y Laura Patricia Rojas Zamudio.</w:t>
      </w:r>
    </w:p>
    <w:p w:rsidR="00D719F2" w:rsidRPr="00184171" w:rsidRDefault="00286A04">
      <w:pPr>
        <w:ind w:left="1134" w:right="90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El Tribunal Pleno, el dieciséis de mayo en curso, aprobó, con el número 74/2006, la tesis jurisprudencial que antecede. México, Distrito Federal, a dieciséis de mayo de dos mil seis.</w:t>
      </w:r>
    </w:p>
    <w:p w:rsidR="00D719F2" w:rsidRPr="00184171" w:rsidRDefault="00286A04">
      <w:pPr>
        <w:ind w:left="1134" w:right="90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Nota: Esta tesis fue objeto de la denuncia relativa a la contradicción de tesis 91/2014, desechada por notoriamente improcedente, mediante acuerdo de 24 de marzo de 2014.”</w:t>
      </w:r>
    </w:p>
    <w:p w:rsidR="00D719F2" w:rsidRPr="00184171" w:rsidRDefault="00D719F2">
      <w:pPr>
        <w:ind w:left="1134" w:right="900"/>
        <w:jc w:val="both"/>
        <w:rPr>
          <w:rFonts w:ascii="Palatino Linotype" w:eastAsia="Palatino Linotype" w:hAnsi="Palatino Linotype" w:cs="Palatino Linotype"/>
          <w:i/>
          <w:iCs/>
          <w:sz w:val="24"/>
          <w:szCs w:val="24"/>
        </w:rPr>
      </w:pPr>
    </w:p>
    <w:p w:rsidR="00D719F2" w:rsidRPr="00184171" w:rsidRDefault="00286A04">
      <w:pPr>
        <w:ind w:left="1134" w:right="90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PÁGINAS WEB O ELECTRÓNICAS. SU CONTENIDO ES UN HECHO NOTORIO Y SUSCEPTIBLE DE SER VALORADO EN UNA DECISIÓN JUDICIAL.</w:t>
      </w:r>
      <w:r w:rsidRPr="00184171">
        <w:rPr>
          <w:rFonts w:ascii="Palatino Linotype" w:eastAsia="Palatino Linotype" w:hAnsi="Palatino Linotype" w:cs="Palatino Linotype"/>
          <w:i/>
          <w:iCs/>
          <w:sz w:val="24"/>
          <w:szCs w:val="24"/>
        </w:rPr>
        <w:t xml:space="preserve"> 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D719F2" w:rsidRPr="00184171" w:rsidRDefault="00286A04">
      <w:pPr>
        <w:ind w:left="1134" w:right="90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TERCER TRIBUNAL COLEGIADO EN MATERIA CIVIL DEL PRIMER CIRCUITO. Amparo en revisión 365/2012. Mardygras, S.A. de C.V. 7 de diciembre </w:t>
      </w:r>
      <w:r w:rsidRPr="00184171">
        <w:rPr>
          <w:rFonts w:ascii="Palatino Linotype" w:eastAsia="Palatino Linotype" w:hAnsi="Palatino Linotype" w:cs="Palatino Linotype"/>
          <w:i/>
          <w:iCs/>
          <w:sz w:val="24"/>
          <w:szCs w:val="24"/>
        </w:rPr>
        <w:lastRenderedPageBreak/>
        <w:t>de 2012. Unanimidad de votos. Ponente: Neófito López Ramos. Secretaria: Ana Lilia Osorno Arroyo.</w:t>
      </w:r>
    </w:p>
    <w:p w:rsidR="00D719F2" w:rsidRPr="00184171" w:rsidRDefault="00D719F2">
      <w:pPr>
        <w:rPr>
          <w:sz w:val="24"/>
          <w:szCs w:val="24"/>
        </w:rPr>
      </w:pP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Plasmado lo anterior y como se enunció en líneas anteriores, se considera que dada la naturaleza de la información, el soporte documental que da cuenta de lo solicitado puede ser el contrato, en donde debe obrar el gasto que </w:t>
      </w:r>
      <w:r w:rsidRPr="00184171">
        <w:rPr>
          <w:rFonts w:ascii="Palatino Linotype" w:eastAsia="Palatino Linotype" w:hAnsi="Palatino Linotype" w:cs="Palatino Linotype"/>
          <w:sz w:val="24"/>
          <w:szCs w:val="24"/>
        </w:rPr>
        <w:t>representó</w:t>
      </w:r>
      <w:r w:rsidRPr="00184171">
        <w:rPr>
          <w:rFonts w:ascii="Palatino Linotype" w:eastAsia="Palatino Linotype" w:hAnsi="Palatino Linotype" w:cs="Palatino Linotype"/>
          <w:color w:val="000000"/>
          <w:sz w:val="24"/>
          <w:szCs w:val="24"/>
        </w:rPr>
        <w:t xml:space="preserve"> el servicio adquirido o bien, las facturas de pago, pues en ellas se contiene el gasto erogado por el </w:t>
      </w:r>
      <w:r w:rsidRPr="00184171">
        <w:rPr>
          <w:rFonts w:ascii="Palatino Linotype" w:eastAsia="Palatino Linotype" w:hAnsi="Palatino Linotype" w:cs="Palatino Linotype"/>
          <w:b/>
          <w:bCs/>
          <w:color w:val="000000"/>
          <w:sz w:val="24"/>
          <w:szCs w:val="24"/>
        </w:rPr>
        <w:t xml:space="preserve">SUJETO OBLIGADO, </w:t>
      </w:r>
      <w:r w:rsidRPr="00184171">
        <w:rPr>
          <w:rFonts w:ascii="Palatino Linotype" w:eastAsia="Palatino Linotype" w:hAnsi="Palatino Linotype" w:cs="Palatino Linotype"/>
          <w:color w:val="000000"/>
          <w:sz w:val="24"/>
          <w:szCs w:val="24"/>
        </w:rPr>
        <w:t>por dichas adquisiciones.</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Es por lo anterior, que no se puede tener por colmada en su totalidad la solicitud de información que nos ocupa, por lo que se ordena la búsqueda exhaustiva y razonable a efecto así como turnar la solicitud de información a todas las áreas las cuales de acuerdo a sus funciones y atribuciones generar, posean y/ administren la información solicitada,  es decir a la Tesorería Municipal y a la Dirección General de Administración, a efecto de que se haga entrega de la información solicitada, de acuerdo al Bando Municipal, el cual refiere lo siguiente:</w:t>
      </w:r>
    </w:p>
    <w:p w:rsidR="00D719F2" w:rsidRPr="00184171" w:rsidRDefault="00286A04">
      <w:pPr>
        <w:spacing w:line="360" w:lineRule="auto"/>
        <w:ind w:right="49"/>
        <w:jc w:val="center"/>
        <w:rPr>
          <w:rFonts w:ascii="Palatino Linotype" w:eastAsia="Palatino Linotype" w:hAnsi="Palatino Linotype" w:cs="Palatino Linotype"/>
          <w:b/>
          <w:bCs/>
          <w:i/>
          <w:iCs/>
          <w:color w:val="000000"/>
          <w:sz w:val="24"/>
          <w:szCs w:val="24"/>
        </w:rPr>
      </w:pPr>
      <w:r w:rsidRPr="00184171">
        <w:rPr>
          <w:rFonts w:ascii="Palatino Linotype" w:eastAsia="Palatino Linotype" w:hAnsi="Palatino Linotype" w:cs="Palatino Linotype"/>
          <w:b/>
          <w:bCs/>
          <w:i/>
          <w:iCs/>
          <w:color w:val="000000"/>
          <w:sz w:val="24"/>
          <w:szCs w:val="24"/>
        </w:rPr>
        <w:t>Bando Municipal</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spacing w:line="276"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Artículo 90.</w:t>
      </w:r>
      <w:r w:rsidRPr="00184171">
        <w:rPr>
          <w:rFonts w:ascii="Palatino Linotype" w:eastAsia="Palatino Linotype" w:hAnsi="Palatino Linotype" w:cs="Palatino Linotype"/>
          <w:i/>
          <w:iCs/>
          <w:color w:val="000000"/>
          <w:sz w:val="24"/>
          <w:szCs w:val="24"/>
        </w:rPr>
        <w:t xml:space="preserve"> 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 </w:t>
      </w:r>
    </w:p>
    <w:p w:rsidR="00D719F2" w:rsidRPr="00184171" w:rsidRDefault="00D719F2">
      <w:pPr>
        <w:spacing w:line="276" w:lineRule="auto"/>
        <w:ind w:left="567" w:right="680"/>
        <w:jc w:val="both"/>
        <w:rPr>
          <w:rFonts w:ascii="Palatino Linotype" w:eastAsia="Palatino Linotype" w:hAnsi="Palatino Linotype" w:cs="Palatino Linotype"/>
          <w:b/>
          <w:bCs/>
          <w:color w:val="000000"/>
          <w:sz w:val="24"/>
          <w:szCs w:val="24"/>
        </w:rPr>
      </w:pPr>
    </w:p>
    <w:p w:rsidR="00D719F2" w:rsidRPr="00184171" w:rsidRDefault="00286A04">
      <w:pPr>
        <w:spacing w:line="276" w:lineRule="auto"/>
        <w:ind w:left="567" w:right="680"/>
        <w:jc w:val="both"/>
        <w:rPr>
          <w:rFonts w:ascii="Palatino Linotype" w:eastAsia="Palatino Linotype" w:hAnsi="Palatino Linotype" w:cs="Palatino Linotype"/>
          <w:b/>
          <w:bCs/>
          <w:i/>
          <w:iCs/>
          <w:color w:val="000000"/>
          <w:sz w:val="24"/>
          <w:szCs w:val="24"/>
        </w:rPr>
      </w:pPr>
      <w:r w:rsidRPr="00184171">
        <w:rPr>
          <w:rFonts w:ascii="Palatino Linotype" w:eastAsia="Palatino Linotype" w:hAnsi="Palatino Linotype" w:cs="Palatino Linotype"/>
          <w:b/>
          <w:bCs/>
          <w:i/>
          <w:iCs/>
          <w:color w:val="000000"/>
          <w:sz w:val="24"/>
          <w:szCs w:val="24"/>
        </w:rPr>
        <w:t xml:space="preserve">I. DEPENDENCIAS: </w:t>
      </w:r>
    </w:p>
    <w:p w:rsidR="00D719F2" w:rsidRPr="00184171" w:rsidRDefault="00D719F2">
      <w:pPr>
        <w:spacing w:line="276" w:lineRule="auto"/>
        <w:ind w:left="567" w:right="680"/>
        <w:jc w:val="both"/>
        <w:rPr>
          <w:rFonts w:ascii="Palatino Linotype" w:eastAsia="Palatino Linotype" w:hAnsi="Palatino Linotype" w:cs="Palatino Linotype"/>
          <w:i/>
          <w:iCs/>
          <w:color w:val="000000"/>
          <w:sz w:val="24"/>
          <w:szCs w:val="24"/>
        </w:rPr>
      </w:pPr>
    </w:p>
    <w:p w:rsidR="00D719F2" w:rsidRPr="00184171" w:rsidRDefault="00286A04">
      <w:pPr>
        <w:spacing w:line="276"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lastRenderedPageBreak/>
        <w:t>…</w:t>
      </w:r>
    </w:p>
    <w:p w:rsidR="00D719F2" w:rsidRPr="00184171" w:rsidRDefault="00286A04">
      <w:pPr>
        <w:spacing w:line="276"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2. Tesorería Municipal; </w:t>
      </w:r>
    </w:p>
    <w:p w:rsidR="00D719F2" w:rsidRPr="00184171" w:rsidRDefault="00286A04">
      <w:pPr>
        <w:spacing w:line="276"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w:t>
      </w:r>
    </w:p>
    <w:p w:rsidR="00D719F2" w:rsidRPr="00184171" w:rsidRDefault="00286A04">
      <w:pPr>
        <w:spacing w:line="276" w:lineRule="auto"/>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6. Dirección General de Administración; </w:t>
      </w:r>
    </w:p>
    <w:p w:rsidR="00D719F2" w:rsidRPr="00184171" w:rsidRDefault="00D719F2">
      <w:pPr>
        <w:spacing w:line="276" w:lineRule="auto"/>
        <w:ind w:left="567" w:right="680"/>
        <w:jc w:val="both"/>
        <w:rPr>
          <w:rFonts w:ascii="Palatino Linotype" w:eastAsia="Palatino Linotype" w:hAnsi="Palatino Linotype" w:cs="Palatino Linotype"/>
          <w:color w:val="000000"/>
          <w:sz w:val="24"/>
          <w:szCs w:val="24"/>
        </w:rPr>
      </w:pPr>
    </w:p>
    <w:p w:rsidR="00D719F2" w:rsidRPr="00184171" w:rsidRDefault="00D719F2">
      <w:pPr>
        <w:spacing w:line="276" w:lineRule="auto"/>
        <w:ind w:left="567" w:right="680"/>
        <w:jc w:val="both"/>
        <w:rPr>
          <w:rFonts w:ascii="Palatino Linotype" w:eastAsia="Palatino Linotype" w:hAnsi="Palatino Linotype" w:cs="Palatino Linotype"/>
          <w:color w:val="000000"/>
          <w:sz w:val="24"/>
          <w:szCs w:val="24"/>
        </w:rPr>
      </w:pPr>
    </w:p>
    <w:p w:rsidR="00D719F2" w:rsidRPr="00184171" w:rsidRDefault="00286A04">
      <w:pPr>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Artículo 92.</w:t>
      </w:r>
      <w:r w:rsidRPr="00184171">
        <w:rPr>
          <w:rFonts w:ascii="Palatino Linotype" w:eastAsia="Palatino Linotype" w:hAnsi="Palatino Linotype" w:cs="Palatino Linotype"/>
          <w:i/>
          <w:iCs/>
          <w:color w:val="000000"/>
          <w:sz w:val="24"/>
          <w:szCs w:val="24"/>
        </w:rPr>
        <w:t xml:space="preserve"> 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w:t>
      </w:r>
    </w:p>
    <w:p w:rsidR="00D719F2" w:rsidRPr="00184171" w:rsidRDefault="00D719F2">
      <w:pPr>
        <w:ind w:left="567" w:right="680"/>
        <w:jc w:val="both"/>
        <w:rPr>
          <w:rFonts w:ascii="Palatino Linotype" w:eastAsia="Palatino Linotype" w:hAnsi="Palatino Linotype" w:cs="Palatino Linotype"/>
          <w:i/>
          <w:iCs/>
          <w:color w:val="000000"/>
          <w:sz w:val="24"/>
          <w:szCs w:val="24"/>
        </w:rPr>
      </w:pPr>
    </w:p>
    <w:p w:rsidR="00D719F2" w:rsidRPr="00184171" w:rsidRDefault="00286A04">
      <w:pPr>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II. La </w:t>
      </w:r>
      <w:r w:rsidRPr="00184171">
        <w:rPr>
          <w:rFonts w:ascii="Palatino Linotype" w:eastAsia="Palatino Linotype" w:hAnsi="Palatino Linotype" w:cs="Palatino Linotype"/>
          <w:i/>
          <w:iCs/>
          <w:color w:val="000000"/>
          <w:sz w:val="24"/>
          <w:szCs w:val="24"/>
          <w:u w:val="single"/>
        </w:rPr>
        <w:t>persona titular de la Tesorería Municipal</w:t>
      </w:r>
      <w:r w:rsidRPr="00184171">
        <w:rPr>
          <w:rFonts w:ascii="Palatino Linotype" w:eastAsia="Palatino Linotype" w:hAnsi="Palatino Linotype" w:cs="Palatino Linotype"/>
          <w:i/>
          <w:iCs/>
          <w:color w:val="000000"/>
          <w:sz w:val="24"/>
          <w:szCs w:val="24"/>
        </w:rPr>
        <w:t xml:space="preserve"> es </w:t>
      </w:r>
      <w:r w:rsidRPr="00184171">
        <w:rPr>
          <w:rFonts w:ascii="Palatino Linotype" w:eastAsia="Palatino Linotype" w:hAnsi="Palatino Linotype" w:cs="Palatino Linotype"/>
          <w:i/>
          <w:iCs/>
          <w:color w:val="000000"/>
          <w:sz w:val="24"/>
          <w:szCs w:val="24"/>
          <w:u w:val="single"/>
        </w:rPr>
        <w:t>responsable de la administración y control de los recursos financieros del municipio</w:t>
      </w:r>
      <w:r w:rsidRPr="00184171">
        <w:rPr>
          <w:rFonts w:ascii="Palatino Linotype" w:eastAsia="Palatino Linotype" w:hAnsi="Palatino Linotype" w:cs="Palatino Linotype"/>
          <w:i/>
          <w:iCs/>
          <w:color w:val="000000"/>
          <w:sz w:val="24"/>
          <w:szCs w:val="24"/>
        </w:rPr>
        <w:t>, asegurando el cumplimiento de las disposiciones fiscales y presupuestales. Sus funciones incluyen la recaudación, fiscalización y administración de ingresos municipales, así como la elaboración y supervisión de los informes financieros y la cuenta pública. Además, coordina la aplicación de políticas de racionalidad y austeridad presupuestal, otorga suficiencia presupuestaria a las dependencias municipales, y gestiona la nómina del personal, garantizando su pago oportuno.</w:t>
      </w:r>
    </w:p>
    <w:p w:rsidR="00D719F2" w:rsidRPr="00184171" w:rsidRDefault="00D719F2">
      <w:pPr>
        <w:ind w:left="567" w:right="680"/>
        <w:jc w:val="both"/>
        <w:rPr>
          <w:rFonts w:ascii="Palatino Linotype" w:eastAsia="Palatino Linotype" w:hAnsi="Palatino Linotype" w:cs="Palatino Linotype"/>
          <w:i/>
          <w:iCs/>
          <w:color w:val="000000"/>
          <w:sz w:val="24"/>
          <w:szCs w:val="24"/>
        </w:rPr>
      </w:pPr>
    </w:p>
    <w:p w:rsidR="00D719F2" w:rsidRPr="00184171" w:rsidRDefault="00286A04">
      <w:pPr>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w:t>
      </w:r>
    </w:p>
    <w:p w:rsidR="00D719F2" w:rsidRPr="00184171" w:rsidRDefault="00D719F2">
      <w:pPr>
        <w:ind w:left="567" w:right="680"/>
        <w:jc w:val="both"/>
        <w:rPr>
          <w:rFonts w:ascii="Palatino Linotype" w:eastAsia="Palatino Linotype" w:hAnsi="Palatino Linotype" w:cs="Palatino Linotype"/>
          <w:i/>
          <w:iCs/>
          <w:color w:val="000000"/>
          <w:sz w:val="24"/>
          <w:szCs w:val="24"/>
        </w:rPr>
      </w:pPr>
    </w:p>
    <w:p w:rsidR="00D719F2" w:rsidRPr="00184171" w:rsidRDefault="00286A04">
      <w:pPr>
        <w:ind w:left="567" w:right="68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xml:space="preserve">VI. </w:t>
      </w:r>
      <w:r w:rsidRPr="00184171">
        <w:rPr>
          <w:rFonts w:ascii="Palatino Linotype" w:eastAsia="Palatino Linotype" w:hAnsi="Palatino Linotype" w:cs="Palatino Linotype"/>
          <w:i/>
          <w:iCs/>
          <w:color w:val="000000"/>
          <w:sz w:val="24"/>
          <w:szCs w:val="24"/>
          <w:u w:val="single"/>
        </w:rPr>
        <w:t>La persona titular de la Dirección General de Administración</w:t>
      </w:r>
      <w:r w:rsidRPr="00184171">
        <w:rPr>
          <w:rFonts w:ascii="Palatino Linotype" w:eastAsia="Palatino Linotype" w:hAnsi="Palatino Linotype" w:cs="Palatino Linotype"/>
          <w:i/>
          <w:iCs/>
          <w:color w:val="000000"/>
          <w:sz w:val="24"/>
          <w:szCs w:val="24"/>
        </w:rPr>
        <w:t xml:space="preserve"> es responsable de la gestión integral del capital humano del Ayuntamiento, coordinando el reclutamiento, contratación, capacitación y desarrollo del personal, así como la aplicación de las disposiciones laborales y sindicales. Supervisará la elaboración y distribución de la nómina, garantizando su apego a la normatividad y el presupuesto autorizado. Dirigirá los </w:t>
      </w:r>
      <w:r w:rsidRPr="00184171">
        <w:rPr>
          <w:rFonts w:ascii="Palatino Linotype" w:eastAsia="Palatino Linotype" w:hAnsi="Palatino Linotype" w:cs="Palatino Linotype"/>
          <w:i/>
          <w:iCs/>
          <w:color w:val="000000"/>
          <w:sz w:val="24"/>
          <w:szCs w:val="24"/>
          <w:u w:val="single"/>
        </w:rPr>
        <w:t>procesos de adquisición</w:t>
      </w:r>
      <w:r w:rsidRPr="00184171">
        <w:rPr>
          <w:rFonts w:ascii="Palatino Linotype" w:eastAsia="Palatino Linotype" w:hAnsi="Palatino Linotype" w:cs="Palatino Linotype"/>
          <w:i/>
          <w:iCs/>
          <w:color w:val="000000"/>
          <w:sz w:val="24"/>
          <w:szCs w:val="24"/>
        </w:rPr>
        <w:t xml:space="preserve">, arrendamiento y </w:t>
      </w:r>
      <w:r w:rsidRPr="00184171">
        <w:rPr>
          <w:rFonts w:ascii="Palatino Linotype" w:eastAsia="Palatino Linotype" w:hAnsi="Palatino Linotype" w:cs="Palatino Linotype"/>
          <w:i/>
          <w:iCs/>
          <w:color w:val="000000"/>
          <w:sz w:val="24"/>
          <w:szCs w:val="24"/>
          <w:u w:val="single"/>
        </w:rPr>
        <w:t>contratación de servicios</w:t>
      </w:r>
      <w:r w:rsidRPr="00184171">
        <w:rPr>
          <w:rFonts w:ascii="Palatino Linotype" w:eastAsia="Palatino Linotype" w:hAnsi="Palatino Linotype" w:cs="Palatino Linotype"/>
          <w:i/>
          <w:iCs/>
          <w:color w:val="000000"/>
          <w:sz w:val="24"/>
          <w:szCs w:val="24"/>
        </w:rPr>
        <w:t>,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En ese tenor y en atención a la información de la cual se ordena su entrega, se refiere que d</w:t>
      </w:r>
      <w:r w:rsidRPr="00184171">
        <w:rPr>
          <w:rFonts w:ascii="Palatino Linotype" w:eastAsia="Palatino Linotype" w:hAnsi="Palatino Linotype" w:cs="Palatino Linotype"/>
          <w:sz w:val="24"/>
          <w:szCs w:val="24"/>
        </w:rPr>
        <w:t xml:space="preserve">e conformidad con lo que establecen los artículos 26 y 27 de la Ley de Contratación Pública del Estado de México y Municipios, las adquisiciones, arrendamientos y servicios se adjudicarán a través de licitaciones públicas mediante convocatoria pública o bien, a través de las excepciones a dicho procedimiento, como se observa a continuación: </w:t>
      </w:r>
    </w:p>
    <w:p w:rsidR="00D719F2" w:rsidRPr="00184171" w:rsidRDefault="00286A04">
      <w:pPr>
        <w:spacing w:line="276" w:lineRule="auto"/>
        <w:ind w:left="567" w:right="560"/>
        <w:jc w:val="center"/>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t>LEY DE CONTRATACIÓN PÚBLICA DEL ESTADO DE MÉXICO Y MUNICIPIO</w:t>
      </w:r>
    </w:p>
    <w:p w:rsidR="00D719F2" w:rsidRPr="00184171" w:rsidRDefault="00D719F2">
      <w:pPr>
        <w:spacing w:line="276" w:lineRule="auto"/>
        <w:ind w:left="567" w:right="560"/>
        <w:jc w:val="both"/>
        <w:rPr>
          <w:rFonts w:ascii="Palatino Linotype" w:eastAsia="Palatino Linotype" w:hAnsi="Palatino Linotype" w:cs="Palatino Linotype"/>
          <w:i/>
          <w:iCs/>
          <w:sz w:val="24"/>
          <w:szCs w:val="24"/>
        </w:rPr>
      </w:pP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Artículo 26.-</w:t>
      </w:r>
      <w:r w:rsidRPr="00184171">
        <w:rPr>
          <w:rFonts w:ascii="Palatino Linotype" w:eastAsia="Palatino Linotype" w:hAnsi="Palatino Linotype" w:cs="Palatino Linotype"/>
          <w:i/>
          <w:iCs/>
          <w:sz w:val="24"/>
          <w:szCs w:val="24"/>
        </w:rPr>
        <w:t xml:space="preserve"> Las adquisiciones, arrendamientos y servicios se adjudicarán a través de licitaciones públicas, mediante convocatoria pública. </w:t>
      </w:r>
    </w:p>
    <w:p w:rsidR="00D719F2" w:rsidRPr="00184171" w:rsidRDefault="00D719F2">
      <w:pPr>
        <w:spacing w:line="276" w:lineRule="auto"/>
        <w:ind w:left="567" w:right="560"/>
        <w:jc w:val="both"/>
        <w:rPr>
          <w:rFonts w:ascii="Palatino Linotype" w:eastAsia="Palatino Linotype" w:hAnsi="Palatino Linotype" w:cs="Palatino Linotype"/>
          <w:i/>
          <w:iCs/>
          <w:sz w:val="24"/>
          <w:szCs w:val="24"/>
        </w:rPr>
      </w:pP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Artículo 27.-</w:t>
      </w:r>
      <w:r w:rsidRPr="00184171">
        <w:rPr>
          <w:rFonts w:ascii="Palatino Linotype" w:eastAsia="Palatino Linotype" w:hAnsi="Palatino Linotype" w:cs="Palatino Linotype"/>
          <w:i/>
          <w:iCs/>
          <w:sz w:val="24"/>
          <w:szCs w:val="24"/>
        </w:rPr>
        <w:t xml:space="preserve"> La Secretaría, las entidades, los tribunales administrativos y los ayuntamientos podrán adjudicar adquisiciones, arrendamientos y servicios, mediante las excepciones al procedimiento de licitación que a continuación se señalan: I. Invitación restringida. II. Adjudicación directa.</w:t>
      </w:r>
    </w:p>
    <w:p w:rsidR="00D719F2" w:rsidRPr="00184171" w:rsidRDefault="00D719F2">
      <w:pPr>
        <w:spacing w:line="276" w:lineRule="auto"/>
        <w:ind w:left="567" w:right="560"/>
        <w:jc w:val="both"/>
        <w:rPr>
          <w:rFonts w:ascii="Palatino Linotype" w:eastAsia="Palatino Linotype" w:hAnsi="Palatino Linotype" w:cs="Palatino Linotype"/>
          <w:i/>
          <w:iCs/>
          <w:sz w:val="24"/>
          <w:szCs w:val="24"/>
        </w:rPr>
      </w:pP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Respecto al procedimiento de </w:t>
      </w:r>
      <w:r w:rsidRPr="00184171">
        <w:rPr>
          <w:rFonts w:ascii="Palatino Linotype" w:eastAsia="Palatino Linotype" w:hAnsi="Palatino Linotype" w:cs="Palatino Linotype"/>
          <w:b/>
          <w:bCs/>
          <w:sz w:val="24"/>
          <w:szCs w:val="24"/>
        </w:rPr>
        <w:t>licitación pública</w:t>
      </w:r>
      <w:r w:rsidRPr="00184171">
        <w:rPr>
          <w:rFonts w:ascii="Palatino Linotype" w:eastAsia="Palatino Linotype" w:hAnsi="Palatino Linotype" w:cs="Palatino Linotype"/>
          <w:sz w:val="24"/>
          <w:szCs w:val="24"/>
        </w:rPr>
        <w:t>, es de mencionar que de acuerdo con el Banco Interamericano de Desarrollo, la licitación es un procedimiento formal y competitivo de adquisiciones, mediante el cual se solicitan, reciben y evalúan ofertas para la adquisición de bienes, obras o servicios y se adjudica el contrato correspondiente al licitador que ofrezca la propuesta más ventajosa. (Desarrollo, 1995)</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En cuando hace a la </w:t>
      </w:r>
      <w:r w:rsidRPr="00184171">
        <w:rPr>
          <w:rFonts w:ascii="Palatino Linotype" w:eastAsia="Palatino Linotype" w:hAnsi="Palatino Linotype" w:cs="Palatino Linotype"/>
          <w:b/>
          <w:bCs/>
          <w:sz w:val="24"/>
          <w:szCs w:val="24"/>
        </w:rPr>
        <w:t>adjudicación directa</w:t>
      </w:r>
      <w:r w:rsidRPr="00184171">
        <w:rPr>
          <w:rFonts w:ascii="Palatino Linotype" w:eastAsia="Palatino Linotype" w:hAnsi="Palatino Linotype" w:cs="Palatino Linotype"/>
          <w:sz w:val="24"/>
          <w:szCs w:val="24"/>
        </w:rPr>
        <w:t xml:space="preserve">, la Secretaría de la Función Pública, (consultable en </w:t>
      </w:r>
      <w:hyperlink r:id="rId15">
        <w:r w:rsidRPr="00184171">
          <w:rPr>
            <w:rFonts w:ascii="Palatino Linotype" w:eastAsia="Palatino Linotype" w:hAnsi="Palatino Linotype" w:cs="Palatino Linotype"/>
            <w:sz w:val="24"/>
            <w:szCs w:val="24"/>
            <w:u w:val="single"/>
          </w:rPr>
          <w:t>https://www.gob.mx/sfp/acciones-y-programas/1-3-3-adjudicacion-directa</w:t>
        </w:r>
      </w:hyperlink>
      <w:r w:rsidRPr="00184171">
        <w:rPr>
          <w:rFonts w:ascii="Palatino Linotype" w:eastAsia="Palatino Linotype" w:hAnsi="Palatino Linotype" w:cs="Palatino Linotype"/>
          <w:sz w:val="24"/>
          <w:szCs w:val="24"/>
        </w:rPr>
        <w:t xml:space="preserve">), establece que es un procedimiento que se realiza sin puesta en concurrencia y por ende, sin que exista competencia, adjudicándose el contrato a un proveedor que ha sido preseleccionado para tales efectos por la dependencia o entidad. </w:t>
      </w: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lastRenderedPageBreak/>
        <w:t xml:space="preserve">Por último, respecto a la </w:t>
      </w:r>
      <w:r w:rsidRPr="00184171">
        <w:rPr>
          <w:rFonts w:ascii="Palatino Linotype" w:eastAsia="Palatino Linotype" w:hAnsi="Palatino Linotype" w:cs="Palatino Linotype"/>
          <w:b/>
          <w:bCs/>
          <w:sz w:val="24"/>
          <w:szCs w:val="24"/>
        </w:rPr>
        <w:t>invitación restringida a cuando menos tres proveedores</w:t>
      </w:r>
      <w:r w:rsidRPr="00184171">
        <w:rPr>
          <w:rFonts w:ascii="Palatino Linotype" w:eastAsia="Palatino Linotype" w:hAnsi="Palatino Linotype" w:cs="Palatino Linotype"/>
          <w:sz w:val="24"/>
          <w:szCs w:val="24"/>
        </w:rPr>
        <w:t xml:space="preserve">, la Secretaría de la Contraloría (consultable en </w:t>
      </w:r>
      <w:hyperlink r:id="rId16" w:anchor=":~:text=Es%20un%20procedimiento%20administrativo%2C%20de,tres%20oferentes%20a%20presentar%20propuestas%2C">
        <w:r w:rsidRPr="00184171">
          <w:rPr>
            <w:rFonts w:ascii="Palatino Linotype" w:eastAsia="Palatino Linotype" w:hAnsi="Palatino Linotype" w:cs="Palatino Linotype"/>
            <w:sz w:val="24"/>
            <w:szCs w:val="24"/>
            <w:u w:val="single"/>
          </w:rPr>
          <w:t>http://www.contraloriadf.gob.mx/contraloria/cursos/ADQUISICIONES/paginas/32.php#:~:text=Es%20un%20procedimiento%20administrativo%2C%20de,tres%20oferentes%20a%20presentar%20propuestas%2C</w:t>
        </w:r>
      </w:hyperlink>
      <w:r w:rsidRPr="00184171">
        <w:rPr>
          <w:rFonts w:ascii="Palatino Linotype" w:eastAsia="Palatino Linotype" w:hAnsi="Palatino Linotype" w:cs="Palatino Linotype"/>
          <w:sz w:val="24"/>
          <w:szCs w:val="24"/>
        </w:rPr>
        <w:t>) precisa que es un procedimiento de excepción a la licitación pública que permite a las dependencias, unidades administrativas, órganos desconcentrados y entidades, en forma discrecional, realizar un procedimiento para adquirir, arrendar o contratar, invitando a por lo menos tres oferentes a presentar propuestas.</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Ahora bien, es de precisar que la Ley Orgánica Municipal del Estado de México en su artículo 31 señala que son atribuciones de los ayuntamientos, las siguientes: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Artículo 31.-</w:t>
      </w:r>
      <w:r w:rsidRPr="00184171">
        <w:rPr>
          <w:rFonts w:ascii="Palatino Linotype" w:eastAsia="Palatino Linotype" w:hAnsi="Palatino Linotype" w:cs="Palatino Linotype"/>
          <w:i/>
          <w:iCs/>
          <w:sz w:val="24"/>
          <w:szCs w:val="24"/>
        </w:rPr>
        <w:t xml:space="preserve"> Son atribuciones de los ayuntamientos:</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VII. Convenir, contratar o concesionar, en términos de ley, la ejecución de obras y la prestación de servicios públicos, con el Estado, con otros municipios de la entidad o con particulares, recabando, cuando proceda, la autorización de la Legislatura del Estado;</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En ese sentido, de acuerdo con lo que establece el artículo 54 del Bando Municipal de Coacalco de Berriozábal, corresponde a la Dirección de Administración planear, establecer y difundir entre las Dependencias las políticas y procedimientos necesarios para el control eficiente de los recursos materiales, tecnológicos, de servicios generales y capital humano, como se observa a continuación: </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lastRenderedPageBreak/>
        <w:t>Artículo 54.</w:t>
      </w:r>
      <w:r w:rsidRPr="00184171">
        <w:rPr>
          <w:rFonts w:ascii="Palatino Linotype" w:eastAsia="Palatino Linotype" w:hAnsi="Palatino Linotype" w:cs="Palatino Linotype"/>
          <w:i/>
          <w:iCs/>
          <w:sz w:val="24"/>
          <w:szCs w:val="24"/>
        </w:rPr>
        <w:t xml:space="preserve"> Corresponde a la Dirección de Administración planear, establecer y difundir entre las Dependencias de la Administración Pública Municipal, las políticas y procedimientos necesarios para el control eficiente de los recursos materiales, tecnológicos, de servicios generales y capital humano que se proporcionan a las Dependencias y Unidades Administrativas en todas sus modalidades; asignará el personal que las áreas requieran, facilitará los programas y cursos correspondientes para la certificación, profesionalización y capacitación de los servidores públicos, para el debido cumplimiento de sus funciones y atribuciones y, satisfacer las sociedades generales que constituyen el objeto de los servicios y funciones públicas; todas aquellas que contienen superior jerárquico, las leyes y demás disposiciones jurídicas aplicables.</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Por otra parte, el Reglamento Interno de la Administración Pública Municipal de Coacalco de Berriozábal, precisa que la Dirección de Administración, tendrá las siguientes atribuciones y se auxiliará de diversas unidades administrativas que son: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Artículo 52.</w:t>
      </w:r>
      <w:r w:rsidRPr="00184171">
        <w:rPr>
          <w:rFonts w:ascii="Palatino Linotype" w:eastAsia="Palatino Linotype" w:hAnsi="Palatino Linotype" w:cs="Palatino Linotype"/>
          <w:i/>
          <w:iCs/>
          <w:sz w:val="24"/>
          <w:szCs w:val="24"/>
        </w:rPr>
        <w:t xml:space="preserve"> La Dirección de Administración tendrá las atribuciones siguientes: </w:t>
      </w:r>
    </w:p>
    <w:p w:rsidR="00D719F2" w:rsidRPr="00184171" w:rsidRDefault="00D719F2">
      <w:pPr>
        <w:spacing w:line="276" w:lineRule="auto"/>
        <w:ind w:left="567" w:right="560"/>
        <w:jc w:val="both"/>
        <w:rPr>
          <w:rFonts w:ascii="Palatino Linotype" w:eastAsia="Palatino Linotype" w:hAnsi="Palatino Linotype" w:cs="Palatino Linotype"/>
          <w:i/>
          <w:iCs/>
          <w:sz w:val="24"/>
          <w:szCs w:val="24"/>
        </w:rPr>
      </w:pP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XVII. Realizar la adquisición de bienes y la contratación de servicios, a través de los procedimientos de adjudicación establecidos en las disposiciones legales aplicables y vigentes.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XX. Mantener actualizado el catálogo de proveedores y prestadores de servicios;</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XXI. Informar a la Secretaría del Ayuntamiento la adquisición de bienes de activo fijo.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XXIV. Suscribir contratos de adquisiciones de bienes muebles y servicios;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XXVIII. Formar parte del comité de adquisiciones de bienes y servicios del Ayuntamiento;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Artículo 53.</w:t>
      </w:r>
      <w:r w:rsidRPr="00184171">
        <w:rPr>
          <w:rFonts w:ascii="Palatino Linotype" w:eastAsia="Palatino Linotype" w:hAnsi="Palatino Linotype" w:cs="Palatino Linotype"/>
          <w:i/>
          <w:iCs/>
          <w:sz w:val="24"/>
          <w:szCs w:val="24"/>
        </w:rPr>
        <w:t xml:space="preserve"> Para el despacho de los asuntos de su competencia, la Dirección de Administración se auxiliará de las siguientes unidades administrativas: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I. Enlace Administrativo.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lastRenderedPageBreak/>
        <w:t xml:space="preserve">1. Subdirección de Capital Humano.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I. Coordinación de Capital Humano y Relaciones Laborales.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II. Coordinación de Capacitación, Profesionalización y Capital Humano. </w:t>
      </w: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t xml:space="preserve">2. Subdirección de Adquisiciones y Recursos Materiales.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I. Coordinación de Control de Taller Vehicular y Combustible.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II. Coordinación de Servicios Generales y Almacén. </w:t>
      </w: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t xml:space="preserve">III. Coordinación de Contratos y Licitaciones. </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Por otro lado, en lo que respecta a nuestra materia, la Ley de Transparencia y Acceso a la Información Pública del Estado de México y Municipios, precisa en su artículo 92, fracción XXIX que la información relacionada con dichos procedimientos, incluyendo la versión pública del expediente respectivo y de los contratos celebrados, debe ser puesta a disposición de los particulares de manera actualizada y permanente, tal como se observa a continuación: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Artículo 92.</w:t>
      </w:r>
      <w:r w:rsidRPr="00184171">
        <w:rPr>
          <w:rFonts w:ascii="Palatino Linotype" w:eastAsia="Palatino Linotype" w:hAnsi="Palatino Linotype" w:cs="Palatino Linotype"/>
          <w:i/>
          <w:iCs/>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XXIX.</w:t>
      </w:r>
      <w:r w:rsidRPr="00184171">
        <w:rPr>
          <w:rFonts w:ascii="Palatino Linotype" w:eastAsia="Palatino Linotype" w:hAnsi="Palatino Linotype" w:cs="Palatino Linotype"/>
          <w:i/>
          <w:iCs/>
          <w:sz w:val="24"/>
          <w:szCs w:val="24"/>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rsidR="00D719F2" w:rsidRPr="00184171" w:rsidRDefault="00D719F2">
      <w:pPr>
        <w:spacing w:line="276" w:lineRule="auto"/>
        <w:ind w:left="567" w:right="560"/>
        <w:jc w:val="both"/>
        <w:rPr>
          <w:rFonts w:ascii="Palatino Linotype" w:eastAsia="Palatino Linotype" w:hAnsi="Palatino Linotype" w:cs="Palatino Linotype"/>
          <w:i/>
          <w:iCs/>
          <w:sz w:val="24"/>
          <w:szCs w:val="24"/>
        </w:rPr>
      </w:pP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t xml:space="preserve">a) De licitaciones públicas o procedimientos de invitación restringida: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1) La convocatoria o invitación emitida, así como los fundamentos legales aplicados para llevarla a cabo;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2) Los nombres de los participantes o invitados;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lastRenderedPageBreak/>
        <w:t xml:space="preserve">3) El nombre del ganador y las razones que lo justifican;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4) El área solicitante y la responsable de su ejecución;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5) Las convocatorias e invitaciones emitidas;</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6) Los dictámenes y fallo de adjudicación; </w:t>
      </w: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t xml:space="preserve">7) El contrato y, en su caso, sus anexos;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8) Los mecanismos de vigilancia y supervisión, incluyendo en su caso, los estudios de impacto urbano y ambiental, según corresponda;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9) La partida presupuestal, de conformidad con el clasificador por objeto del gasto, en el caso de ser aplicable;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10) Origen de los recursos especificando si son federales, estatales o municipales, así como el tipo de fondo de participación o aportación respectiva;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11) Los convenios modificatorios que, en su caso, sean firmados, precisando el objeto y la fecha de celebración; </w:t>
      </w: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u w:val="single"/>
        </w:rPr>
      </w:pPr>
      <w:r w:rsidRPr="00184171">
        <w:rPr>
          <w:rFonts w:ascii="Palatino Linotype" w:eastAsia="Palatino Linotype" w:hAnsi="Palatino Linotype" w:cs="Palatino Linotype"/>
          <w:b/>
          <w:bCs/>
          <w:i/>
          <w:iCs/>
          <w:sz w:val="24"/>
          <w:szCs w:val="24"/>
          <w:u w:val="single"/>
        </w:rPr>
        <w:t xml:space="preserve">12) Los informes de avance físico y financiero sobre las obras o servicios contratados;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13) El convenio de terminación; y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14) El finiquito. </w:t>
      </w:r>
    </w:p>
    <w:p w:rsidR="00D719F2" w:rsidRPr="00184171" w:rsidRDefault="00D719F2">
      <w:pPr>
        <w:spacing w:line="276" w:lineRule="auto"/>
        <w:ind w:left="567" w:right="560"/>
        <w:jc w:val="both"/>
        <w:rPr>
          <w:rFonts w:ascii="Palatino Linotype" w:eastAsia="Palatino Linotype" w:hAnsi="Palatino Linotype" w:cs="Palatino Linotype"/>
          <w:b/>
          <w:bCs/>
          <w:i/>
          <w:iCs/>
          <w:sz w:val="24"/>
          <w:szCs w:val="24"/>
        </w:rPr>
      </w:pP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t xml:space="preserve">b) De las adjudicaciones directas: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1) La propuesta enviada por el participante;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2) Los motivos y fundamentos legales aplicados para llevarla a cabo;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3) La autorización del ejercicio de la opción;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4) En su caso, las cotizaciones consideradas, especificando los nombres de los proveedores y sus montos;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5) El nombre de la persona física o jurídica colectiva adjudicada;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6) La unidad administrativa solicitante y la responsable de su ejecución; </w:t>
      </w: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t xml:space="preserve">7) El número, fecha, el monto del contrato y el plazo de entrega o de ejecución de los servicios u obra;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8) Los mecanismos de vigilancia y supervisión, incluyendo, en su caso, los estudios de impacto urbano y ambiental, según corresponda; </w:t>
      </w:r>
    </w:p>
    <w:p w:rsidR="00D719F2" w:rsidRPr="00184171" w:rsidRDefault="00286A04">
      <w:pPr>
        <w:spacing w:line="276" w:lineRule="auto"/>
        <w:ind w:left="567" w:right="560"/>
        <w:jc w:val="both"/>
        <w:rPr>
          <w:rFonts w:ascii="Palatino Linotype" w:eastAsia="Palatino Linotype" w:hAnsi="Palatino Linotype" w:cs="Palatino Linotype"/>
          <w:b/>
          <w:bCs/>
          <w:i/>
          <w:iCs/>
          <w:sz w:val="24"/>
          <w:szCs w:val="24"/>
        </w:rPr>
      </w:pPr>
      <w:r w:rsidRPr="00184171">
        <w:rPr>
          <w:rFonts w:ascii="Palatino Linotype" w:eastAsia="Palatino Linotype" w:hAnsi="Palatino Linotype" w:cs="Palatino Linotype"/>
          <w:b/>
          <w:bCs/>
          <w:i/>
          <w:iCs/>
          <w:sz w:val="24"/>
          <w:szCs w:val="24"/>
        </w:rPr>
        <w:lastRenderedPageBreak/>
        <w:t xml:space="preserve">9) Los informes de avance sobre las obras o servicios contratados;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 xml:space="preserve">10) El convenio de terminación; y </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11) El finiquito.</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i/>
          <w:iCs/>
          <w:sz w:val="24"/>
          <w:szCs w:val="24"/>
        </w:rPr>
        <w:t>…</w:t>
      </w:r>
    </w:p>
    <w:p w:rsidR="00D719F2" w:rsidRPr="00184171" w:rsidRDefault="00286A04">
      <w:pPr>
        <w:spacing w:line="276" w:lineRule="auto"/>
        <w:ind w:left="567" w:right="560"/>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XXXVI. Padrón de proveedores y contratistas;</w:t>
      </w:r>
      <w:r w:rsidRPr="00184171">
        <w:rPr>
          <w:rFonts w:ascii="Palatino Linotype" w:eastAsia="Palatino Linotype" w:hAnsi="Palatino Linotype" w:cs="Palatino Linotype"/>
          <w:b/>
          <w:bCs/>
          <w:i/>
          <w:iCs/>
          <w:sz w:val="24"/>
          <w:szCs w:val="24"/>
        </w:rPr>
        <w:br/>
      </w:r>
      <w:r w:rsidRPr="00184171">
        <w:rPr>
          <w:rFonts w:ascii="Palatino Linotype" w:eastAsia="Palatino Linotype" w:hAnsi="Palatino Linotype" w:cs="Palatino Linotype"/>
          <w:i/>
          <w:iCs/>
          <w:sz w:val="24"/>
          <w:szCs w:val="24"/>
        </w:rPr>
        <w:t>…</w:t>
      </w:r>
    </w:p>
    <w:p w:rsidR="00D719F2" w:rsidRPr="00184171" w:rsidRDefault="00D719F2">
      <w:pPr>
        <w:spacing w:line="276" w:lineRule="auto"/>
        <w:ind w:left="567" w:right="560"/>
        <w:jc w:val="both"/>
        <w:rPr>
          <w:rFonts w:ascii="Palatino Linotype" w:eastAsia="Palatino Linotype" w:hAnsi="Palatino Linotype" w:cs="Palatino Linotype"/>
          <w:i/>
          <w:iCs/>
          <w:sz w:val="24"/>
          <w:szCs w:val="24"/>
        </w:rPr>
      </w:pPr>
    </w:p>
    <w:p w:rsidR="00D719F2" w:rsidRPr="00184171" w:rsidRDefault="00286A04" w:rsidP="00184171">
      <w:pPr>
        <w:pStyle w:val="Prrafodelista"/>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De lo anterior, se advierte que el Sujete Obligado es competente para conocer, generar y administrar la información solicitada, toda vez que esta forma parte de las atribuciones que tiene encomendadas, además de son obligaciones de transparencia, previstas en la Ley en la materia. </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color w:val="000000"/>
          <w:sz w:val="24"/>
          <w:szCs w:val="24"/>
        </w:rPr>
        <w:t>Asimismo, se infiere que dentro de la información que se ordena entregar pueden existir datos susceptibles de clasificarse, mismos que de manera enunciativa más no limitativa se refieren a continuación:</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4"/>
        </w:numPr>
        <w:spacing w:line="360" w:lineRule="auto"/>
        <w:ind w:left="720"/>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b/>
          <w:bCs/>
          <w:sz w:val="24"/>
          <w:szCs w:val="24"/>
        </w:rPr>
        <w:t>Nombre de personas físicas contratistas.</w:t>
      </w:r>
    </w:p>
    <w:p w:rsidR="00D719F2" w:rsidRPr="00184171" w:rsidRDefault="00286A04" w:rsidP="00184171">
      <w:pPr>
        <w:pStyle w:val="Prrafodelista"/>
        <w:numPr>
          <w:ilvl w:val="0"/>
          <w:numId w:val="9"/>
        </w:numPr>
        <w:spacing w:line="360" w:lineRule="auto"/>
        <w:ind w:left="0" w:right="-93"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Al respecto, cabe precisar que 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w:t>
      </w:r>
      <w:r w:rsidRPr="00184171">
        <w:rPr>
          <w:rFonts w:ascii="Palatino Linotype" w:eastAsia="Palatino Linotype" w:hAnsi="Palatino Linotype" w:cs="Palatino Linotype"/>
          <w:i/>
          <w:iCs/>
          <w:sz w:val="24"/>
          <w:szCs w:val="24"/>
        </w:rPr>
        <w:t>per se</w:t>
      </w:r>
      <w:r w:rsidRPr="00184171">
        <w:rPr>
          <w:rFonts w:ascii="Palatino Linotype" w:eastAsia="Palatino Linotype" w:hAnsi="Palatino Linotype" w:cs="Palatino Linotype"/>
          <w:sz w:val="24"/>
          <w:szCs w:val="24"/>
        </w:rPr>
        <w:t xml:space="preserve"> es un elemento que hace a una persona física identificada o identificable.</w:t>
      </w:r>
    </w:p>
    <w:p w:rsidR="00D719F2" w:rsidRPr="00184171" w:rsidRDefault="00D719F2">
      <w:pPr>
        <w:spacing w:line="360" w:lineRule="auto"/>
        <w:ind w:right="-93"/>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right="-93"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 xml:space="preserve">En ese contexto, es importante mencionar que si bien es cierto que el nombre de una persona es atributo de la personalidad, de conformidad con la legislación civil, al tratarse de un </w:t>
      </w:r>
      <w:r w:rsidRPr="00184171">
        <w:rPr>
          <w:rFonts w:ascii="Palatino Linotype" w:eastAsia="Palatino Linotype" w:hAnsi="Palatino Linotype" w:cs="Palatino Linotype"/>
          <w:sz w:val="24"/>
          <w:szCs w:val="24"/>
        </w:rPr>
        <w:lastRenderedPageBreak/>
        <w:t xml:space="preserve">dato personal hace identificable a su titular, además la Ley de Transparencia y Acceso a la Información Pública del Estado de México y Municipios ha establecido un régimen de excepción tratándose de </w:t>
      </w:r>
      <w:r w:rsidRPr="00184171">
        <w:rPr>
          <w:rFonts w:ascii="Palatino Linotype" w:eastAsia="Palatino Linotype" w:hAnsi="Palatino Linotype" w:cs="Palatino Linotype"/>
          <w:b/>
          <w:bCs/>
          <w:sz w:val="24"/>
          <w:szCs w:val="24"/>
        </w:rPr>
        <w:t>los nombres de aquellos que reciben recursos públicos (contratistas),</w:t>
      </w:r>
      <w:r w:rsidRPr="00184171">
        <w:rPr>
          <w:rFonts w:ascii="Palatino Linotype" w:eastAsia="Palatino Linotype" w:hAnsi="Palatino Linotype" w:cs="Palatino Linotype"/>
          <w:sz w:val="24"/>
          <w:szCs w:val="24"/>
        </w:rPr>
        <w:t xml:space="preserve"> ya que la difusión de dicho dato constituye una obligación de transparencia por parte de los sujetos obligados.</w:t>
      </w:r>
    </w:p>
    <w:p w:rsidR="00D719F2" w:rsidRPr="00184171" w:rsidRDefault="00D719F2">
      <w:pPr>
        <w:spacing w:line="360" w:lineRule="auto"/>
        <w:ind w:right="-93"/>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right="-93" w:firstLine="0"/>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sz w:val="24"/>
          <w:szCs w:val="24"/>
        </w:rPr>
        <w:t xml:space="preserve">Toma sustento con el artículo 92, fracciones XXXI, de la Ley de la materia, el cual establece que los sujetos obligados tienen la obligación de poner a disposición del público y mantener actualizada de acuerdo con sus facultades, atribuciones, funciones u objeto social, según corresponda el </w:t>
      </w:r>
      <w:r w:rsidRPr="00184171">
        <w:rPr>
          <w:rFonts w:ascii="Palatino Linotype" w:eastAsia="Palatino Linotype" w:hAnsi="Palatino Linotype" w:cs="Palatino Linotype"/>
          <w:b/>
          <w:bCs/>
          <w:sz w:val="24"/>
          <w:szCs w:val="24"/>
        </w:rPr>
        <w:t>Padrón de proveedores y contratistas.</w:t>
      </w:r>
    </w:p>
    <w:p w:rsidR="00D719F2" w:rsidRPr="00184171" w:rsidRDefault="00D719F2">
      <w:pPr>
        <w:spacing w:line="360" w:lineRule="auto"/>
        <w:ind w:right="-93"/>
        <w:jc w:val="both"/>
        <w:rPr>
          <w:rFonts w:ascii="Palatino Linotype" w:eastAsia="Palatino Linotype" w:hAnsi="Palatino Linotype" w:cs="Palatino Linotype"/>
          <w:b/>
          <w:bCs/>
          <w:sz w:val="24"/>
          <w:szCs w:val="24"/>
        </w:rPr>
      </w:pPr>
    </w:p>
    <w:p w:rsidR="00D719F2" w:rsidRPr="00184171" w:rsidRDefault="00286A04" w:rsidP="00184171">
      <w:pPr>
        <w:pStyle w:val="Prrafodelista"/>
        <w:numPr>
          <w:ilvl w:val="0"/>
          <w:numId w:val="9"/>
        </w:numPr>
        <w:spacing w:line="360" w:lineRule="auto"/>
        <w:ind w:left="0" w:right="-93"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rsidR="00D719F2" w:rsidRPr="00184171" w:rsidRDefault="00D719F2">
      <w:pPr>
        <w:spacing w:line="360" w:lineRule="auto"/>
        <w:ind w:right="-93"/>
        <w:jc w:val="both"/>
        <w:rPr>
          <w:rFonts w:ascii="Palatino Linotype" w:eastAsia="Palatino Linotype" w:hAnsi="Palatino Linotype" w:cs="Palatino Linotype"/>
          <w:sz w:val="24"/>
          <w:szCs w:val="24"/>
        </w:rPr>
      </w:pPr>
    </w:p>
    <w:p w:rsidR="00D719F2" w:rsidRPr="00184171" w:rsidRDefault="00286A04">
      <w:pPr>
        <w:ind w:right="-93"/>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noProof/>
          <w:sz w:val="24"/>
          <w:szCs w:val="24"/>
        </w:rPr>
        <w:drawing>
          <wp:inline distT="0" distB="0" distL="0" distR="0">
            <wp:extent cx="5743575" cy="752475"/>
            <wp:effectExtent l="0" t="0" r="0" b="0"/>
            <wp:docPr id="14325137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b="84505"/>
                    <a:stretch>
                      <a:fillRect/>
                    </a:stretch>
                  </pic:blipFill>
                  <pic:spPr>
                    <a:xfrm>
                      <a:off x="0" y="0"/>
                      <a:ext cx="5743575" cy="752475"/>
                    </a:xfrm>
                    <a:prstGeom prst="rect">
                      <a:avLst/>
                    </a:prstGeom>
                    <a:ln/>
                  </pic:spPr>
                </pic:pic>
              </a:graphicData>
            </a:graphic>
          </wp:inline>
        </w:drawing>
      </w:r>
    </w:p>
    <w:p w:rsidR="00D719F2" w:rsidRPr="00184171" w:rsidRDefault="00286A04">
      <w:pPr>
        <w:spacing w:line="360" w:lineRule="auto"/>
        <w:ind w:right="-93"/>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noProof/>
          <w:sz w:val="24"/>
          <w:szCs w:val="24"/>
        </w:rPr>
        <w:drawing>
          <wp:inline distT="0" distB="0" distL="0" distR="0">
            <wp:extent cx="5743575" cy="495300"/>
            <wp:effectExtent l="0" t="0" r="0" b="0"/>
            <wp:docPr id="143251372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t="89838" b="-38"/>
                    <a:stretch>
                      <a:fillRect/>
                    </a:stretch>
                  </pic:blipFill>
                  <pic:spPr>
                    <a:xfrm>
                      <a:off x="0" y="0"/>
                      <a:ext cx="5743575" cy="495300"/>
                    </a:xfrm>
                    <a:prstGeom prst="rect">
                      <a:avLst/>
                    </a:prstGeom>
                    <a:ln/>
                  </pic:spPr>
                </pic:pic>
              </a:graphicData>
            </a:graphic>
          </wp:inline>
        </w:drawing>
      </w:r>
    </w:p>
    <w:p w:rsidR="00D719F2" w:rsidRPr="00184171" w:rsidRDefault="00D719F2">
      <w:pPr>
        <w:spacing w:line="360" w:lineRule="auto"/>
        <w:ind w:right="-93"/>
        <w:jc w:val="both"/>
        <w:rPr>
          <w:rFonts w:ascii="Palatino Linotype" w:eastAsia="Palatino Linotype" w:hAnsi="Palatino Linotype" w:cs="Palatino Linotype"/>
          <w:b/>
          <w:bCs/>
          <w:sz w:val="24"/>
          <w:szCs w:val="24"/>
        </w:rPr>
      </w:pPr>
    </w:p>
    <w:p w:rsidR="00D719F2" w:rsidRPr="00184171" w:rsidRDefault="00286A04" w:rsidP="00184171">
      <w:pPr>
        <w:pStyle w:val="Prrafodelista"/>
        <w:numPr>
          <w:ilvl w:val="0"/>
          <w:numId w:val="9"/>
        </w:numPr>
        <w:spacing w:line="360" w:lineRule="auto"/>
        <w:ind w:left="0" w:right="-93" w:firstLine="0"/>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sz w:val="24"/>
          <w:szCs w:val="24"/>
        </w:rPr>
        <w:lastRenderedPageBreak/>
        <w:t xml:space="preserve">Por lo tanto, la Ley de Transparencia y Acceso a la Información Pública del Estado de México y Municipios, considera que </w:t>
      </w:r>
      <w:r w:rsidRPr="00184171">
        <w:rPr>
          <w:rFonts w:ascii="Palatino Linotype" w:eastAsia="Palatino Linotype" w:hAnsi="Palatino Linotype" w:cs="Palatino Linotype"/>
          <w:b/>
          <w:bCs/>
          <w:sz w:val="24"/>
          <w:szCs w:val="24"/>
        </w:rPr>
        <w:t xml:space="preserve">los datos de aquellas personas que recibieron recursos públicos, por regla general, </w:t>
      </w:r>
      <w:r w:rsidRPr="00184171">
        <w:rPr>
          <w:rFonts w:ascii="Palatino Linotype" w:eastAsia="Palatino Linotype" w:hAnsi="Palatino Linotype" w:cs="Palatino Linotype"/>
          <w:sz w:val="24"/>
          <w:szCs w:val="24"/>
        </w:rPr>
        <w:t xml:space="preserve">son de naturaleza pública, ya que su publicidad orienta a cumplir los objetivos que persigue la Ley; toda vez, </w:t>
      </w:r>
      <w:r w:rsidRPr="00184171">
        <w:rPr>
          <w:rFonts w:ascii="Palatino Linotype" w:eastAsia="Palatino Linotype" w:hAnsi="Palatino Linotype" w:cs="Palatino Linotype"/>
          <w:b/>
          <w:bCs/>
          <w:sz w:val="24"/>
          <w:szCs w:val="24"/>
        </w:rPr>
        <w:t>que ayuda a transparentar a quienes se les han otorgado recursos públicos, así como, porque razones se les otorgaron dichos montos.</w:t>
      </w:r>
    </w:p>
    <w:p w:rsidR="00D719F2" w:rsidRPr="00184171" w:rsidRDefault="00D719F2">
      <w:pPr>
        <w:spacing w:line="360" w:lineRule="auto"/>
        <w:jc w:val="both"/>
        <w:rPr>
          <w:rFonts w:ascii="Palatino Linotype" w:eastAsia="Palatino Linotype" w:hAnsi="Palatino Linotype" w:cs="Palatino Linotype"/>
          <w:b/>
          <w:bCs/>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Por lo que, se considera que no procede la clasificación del nombre de los contratistas, en términos del artículo 143, fracción I de la Ley de Transparencia y Acceso a la Información Pública del Estado de México y Municipios.</w:t>
      </w:r>
    </w:p>
    <w:p w:rsidR="00D719F2" w:rsidRPr="00184171" w:rsidRDefault="00D719F2">
      <w:pPr>
        <w:spacing w:line="360" w:lineRule="auto"/>
        <w:jc w:val="both"/>
        <w:rPr>
          <w:rFonts w:ascii="Palatino Linotype" w:eastAsia="Palatino Linotype" w:hAnsi="Palatino Linotype" w:cs="Palatino Linotype"/>
          <w:b/>
          <w:bCs/>
          <w:sz w:val="24"/>
          <w:szCs w:val="24"/>
        </w:rPr>
      </w:pPr>
    </w:p>
    <w:p w:rsidR="00D719F2" w:rsidRPr="00184171" w:rsidRDefault="00286A04">
      <w:pPr>
        <w:numPr>
          <w:ilvl w:val="0"/>
          <w:numId w:val="4"/>
        </w:numPr>
        <w:spacing w:line="360" w:lineRule="auto"/>
        <w:ind w:left="720"/>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b/>
          <w:bCs/>
          <w:sz w:val="24"/>
          <w:szCs w:val="24"/>
        </w:rPr>
        <w:t>Denominación o razón Social de contratistas personas morales.</w:t>
      </w: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rsidR="00D719F2" w:rsidRPr="00184171" w:rsidRDefault="00286A04">
      <w:pPr>
        <w:spacing w:line="360" w:lineRule="auto"/>
        <w:ind w:left="567" w:right="567"/>
        <w:jc w:val="both"/>
        <w:rPr>
          <w:rFonts w:ascii="Palatino Linotype" w:eastAsia="Palatino Linotype" w:hAnsi="Palatino Linotype" w:cs="Palatino Linotype"/>
          <w:i/>
          <w:iCs/>
          <w:sz w:val="24"/>
          <w:szCs w:val="24"/>
        </w:rPr>
      </w:pPr>
      <w:r w:rsidRPr="00184171">
        <w:rPr>
          <w:rFonts w:ascii="Palatino Linotype" w:eastAsia="Palatino Linotype" w:hAnsi="Palatino Linotype" w:cs="Palatino Linotype"/>
          <w:b/>
          <w:bCs/>
          <w:i/>
          <w:iCs/>
          <w:sz w:val="24"/>
          <w:szCs w:val="24"/>
        </w:rPr>
        <w:t xml:space="preserve">“Razón social y RFC de personas morales. </w:t>
      </w:r>
      <w:r w:rsidRPr="00184171">
        <w:rPr>
          <w:rFonts w:ascii="Palatino Linotype" w:eastAsia="Palatino Linotype" w:hAnsi="Palatino Linotype" w:cs="Palatino Linotype"/>
          <w:i/>
          <w:iCs/>
          <w:sz w:val="24"/>
          <w:szCs w:val="24"/>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rsidR="00D719F2" w:rsidRPr="00184171" w:rsidRDefault="00D719F2">
      <w:pPr>
        <w:spacing w:line="360" w:lineRule="auto"/>
        <w:jc w:val="both"/>
        <w:rPr>
          <w:rFonts w:ascii="Palatino Linotype" w:eastAsia="Palatino Linotype" w:hAnsi="Palatino Linotype" w:cs="Palatino Linotype"/>
          <w:b/>
          <w:bCs/>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lastRenderedPageBreak/>
        <w:t>Lo anterior, se robustece con el hecho de que el Ente Recurrido tiene como obligación común de transparencia, poner a disposición del público el padrón de contratistas y contratistas, que como se advirtió en párrafos anteriores debe incluir la denominación o razón social del proveedor o contratista, de conformidad con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rsidR="00D719F2" w:rsidRPr="00184171" w:rsidRDefault="00D719F2">
      <w:pPr>
        <w:spacing w:line="360" w:lineRule="auto"/>
        <w:jc w:val="both"/>
        <w:rPr>
          <w:rFonts w:ascii="Palatino Linotype" w:eastAsia="Palatino Linotype" w:hAnsi="Palatino Linotype" w:cs="Palatino Linotype"/>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Por lo tanto, no procede la clasificación de la denominación o razón social de los contratistas personas morales, en términos del artículo 143, fracción I de la Ley de Transparencia y Acceso a la Información Pública del Estado de México y Municipios.</w:t>
      </w:r>
    </w:p>
    <w:p w:rsidR="00D719F2" w:rsidRPr="00184171" w:rsidRDefault="00D719F2">
      <w:pPr>
        <w:spacing w:line="360" w:lineRule="auto"/>
        <w:jc w:val="both"/>
        <w:rPr>
          <w:rFonts w:ascii="Palatino Linotype" w:eastAsia="Palatino Linotype" w:hAnsi="Palatino Linotype" w:cs="Palatino Linotype"/>
          <w:b/>
          <w:bCs/>
          <w:color w:val="000000"/>
          <w:sz w:val="24"/>
          <w:szCs w:val="24"/>
        </w:rPr>
      </w:pPr>
    </w:p>
    <w:p w:rsidR="00D719F2" w:rsidRPr="00184171" w:rsidRDefault="00286A04">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Registro Federal de Contribuyentes de contratista</w:t>
      </w:r>
    </w:p>
    <w:p w:rsidR="00D719F2" w:rsidRPr="00184171" w:rsidRDefault="00286A04">
      <w:pPr>
        <w:spacing w:line="360" w:lineRule="auto"/>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Persona física</w:t>
      </w: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rsidR="00D719F2" w:rsidRPr="00184171" w:rsidRDefault="00D719F2">
      <w:pPr>
        <w:spacing w:line="360" w:lineRule="auto"/>
        <w:jc w:val="both"/>
        <w:rPr>
          <w:rFonts w:ascii="Palatino Linotype" w:eastAsia="Palatino Linotype" w:hAnsi="Palatino Linotype" w:cs="Palatino Linotype"/>
          <w:color w:val="000000"/>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En ese contexto, entregar el Registro Federal de Contribuyentes aún de personas físicas cuando son contratistas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rsidR="00D719F2" w:rsidRPr="00184171" w:rsidRDefault="00D719F2">
      <w:pPr>
        <w:spacing w:line="360" w:lineRule="auto"/>
        <w:jc w:val="both"/>
        <w:rPr>
          <w:rFonts w:ascii="Palatino Linotype" w:eastAsia="Palatino Linotype" w:hAnsi="Palatino Linotype" w:cs="Palatino Linotype"/>
          <w:color w:val="000000"/>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rsidR="00D719F2" w:rsidRPr="00184171" w:rsidRDefault="00286A04">
      <w:pPr>
        <w:tabs>
          <w:tab w:val="center" w:pos="4522"/>
        </w:tabs>
        <w:spacing w:line="360" w:lineRule="auto"/>
        <w:ind w:left="567" w:right="567"/>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t xml:space="preserve">“Registro Federal de Contribuyentes (RFC) de personas físicas contratistas o contratistas. </w:t>
      </w:r>
      <w:r w:rsidRPr="00184171">
        <w:rPr>
          <w:rFonts w:ascii="Palatino Linotype" w:eastAsia="Palatino Linotype" w:hAnsi="Palatino Linotype" w:cs="Palatino Linotype"/>
          <w:i/>
          <w:iCs/>
          <w:color w:val="000000"/>
          <w:sz w:val="24"/>
          <w:szCs w:val="24"/>
        </w:rPr>
        <w:t>El RFC de contratistas o contratistas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b/>
          <w:bCs/>
          <w:color w:val="000000"/>
          <w:sz w:val="24"/>
          <w:szCs w:val="24"/>
          <w:u w:val="single"/>
        </w:rPr>
      </w:pPr>
      <w:r w:rsidRPr="00184171">
        <w:rPr>
          <w:rFonts w:ascii="Palatino Linotype" w:eastAsia="Palatino Linotype" w:hAnsi="Palatino Linotype" w:cs="Palatino Linotype"/>
          <w:color w:val="000000"/>
          <w:sz w:val="24"/>
          <w:szCs w:val="24"/>
        </w:rPr>
        <w:lastRenderedPageBreak/>
        <w:t>En conclusión, toda vez, que el Registro Federal de Contribuyentes de contratistas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rsidR="00D719F2" w:rsidRPr="00184171" w:rsidRDefault="00D719F2">
      <w:pPr>
        <w:tabs>
          <w:tab w:val="center" w:pos="4522"/>
        </w:tabs>
        <w:spacing w:line="360" w:lineRule="auto"/>
        <w:jc w:val="both"/>
        <w:rPr>
          <w:rFonts w:ascii="Palatino Linotype" w:eastAsia="Palatino Linotype" w:hAnsi="Palatino Linotype" w:cs="Palatino Linotype"/>
          <w:b/>
          <w:bCs/>
          <w:color w:val="000000"/>
          <w:sz w:val="24"/>
          <w:szCs w:val="24"/>
        </w:rPr>
      </w:pPr>
    </w:p>
    <w:p w:rsidR="00D719F2" w:rsidRPr="00184171" w:rsidRDefault="00286A04">
      <w:pPr>
        <w:tabs>
          <w:tab w:val="center" w:pos="4522"/>
        </w:tabs>
        <w:spacing w:line="360" w:lineRule="auto"/>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Persona Moral</w:t>
      </w: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Por ende, la información correspondiente al Registro Federal de Contribuyentes de una persona moral da cuenta del cumplimiento o no en sus obligaciones fiscales; por tanto, no se actualiza su clasificación como confidencial.</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184171" w:rsidRDefault="00286A04" w:rsidP="00184171">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rsidR="00D719F2" w:rsidRPr="00184171" w:rsidRDefault="00D719F2">
      <w:pPr>
        <w:spacing w:line="360" w:lineRule="auto"/>
        <w:jc w:val="both"/>
        <w:rPr>
          <w:rFonts w:ascii="Palatino Linotype" w:eastAsia="Palatino Linotype" w:hAnsi="Palatino Linotype" w:cs="Palatino Linotype"/>
          <w:b/>
          <w:bCs/>
          <w:color w:val="000000"/>
          <w:sz w:val="24"/>
          <w:szCs w:val="24"/>
        </w:rPr>
      </w:pPr>
    </w:p>
    <w:p w:rsidR="00D719F2" w:rsidRPr="00184171" w:rsidRDefault="00286A04">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Domicilio Fiscal o legal para recibir y oír notificaciones (contratista persona física o moral).</w:t>
      </w: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De la misma manera, lo establece los diversos 29 y 33 del Código Civil Federal, al precisar que el domicilio de personas físicas</w:t>
      </w:r>
      <w:r w:rsidRPr="00637574">
        <w:rPr>
          <w:rFonts w:ascii="Palatino Linotype" w:eastAsia="Palatino Linotype" w:hAnsi="Palatino Linotype" w:cs="Palatino Linotype"/>
          <w:b/>
          <w:bCs/>
          <w:color w:val="000000"/>
          <w:sz w:val="24"/>
          <w:szCs w:val="24"/>
        </w:rPr>
        <w:t xml:space="preserve">, es el lugar donde residen habitualmente, el lugar del centro principal de sus negocios, donde residan o el lugar donde se encuentren; </w:t>
      </w:r>
      <w:r w:rsidRPr="00637574">
        <w:rPr>
          <w:rFonts w:ascii="Palatino Linotype" w:eastAsia="Palatino Linotype" w:hAnsi="Palatino Linotype" w:cs="Palatino Linotype"/>
          <w:color w:val="000000"/>
          <w:sz w:val="24"/>
          <w:szCs w:val="24"/>
        </w:rPr>
        <w:t>mientras que, de las personas morales, aquel donde se halle su administración.</w:t>
      </w: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lastRenderedPageBreak/>
        <w:t>Además, respecto al domicilio fiscal, resulta necesario traer el artículo 10 del Código Fiscal de la Federación, que establece que, tratándose de personas físicas, corresponderá dicho dato:</w:t>
      </w:r>
    </w:p>
    <w:p w:rsidR="00D719F2" w:rsidRPr="00184171" w:rsidRDefault="00286A04">
      <w:pPr>
        <w:numPr>
          <w:ilvl w:val="0"/>
          <w:numId w:val="7"/>
        </w:numPr>
        <w:pBdr>
          <w:top w:val="nil"/>
          <w:left w:val="nil"/>
          <w:bottom w:val="nil"/>
          <w:right w:val="nil"/>
          <w:between w:val="nil"/>
        </w:pBdr>
        <w:tabs>
          <w:tab w:val="center" w:pos="4522"/>
        </w:tabs>
        <w:spacing w:line="360" w:lineRule="auto"/>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El lugar donde realizan actividades empresariales, el local, en que se encuentre el principal </w:t>
      </w:r>
      <w:r w:rsidRPr="00184171">
        <w:rPr>
          <w:rFonts w:ascii="Palatino Linotype" w:eastAsia="Palatino Linotype" w:hAnsi="Palatino Linotype" w:cs="Palatino Linotype"/>
          <w:sz w:val="24"/>
          <w:szCs w:val="24"/>
        </w:rPr>
        <w:t>asiento</w:t>
      </w:r>
      <w:r w:rsidRPr="00184171">
        <w:rPr>
          <w:rFonts w:ascii="Palatino Linotype" w:eastAsia="Palatino Linotype" w:hAnsi="Palatino Linotype" w:cs="Palatino Linotype"/>
          <w:color w:val="000000"/>
          <w:sz w:val="24"/>
          <w:szCs w:val="24"/>
        </w:rPr>
        <w:t xml:space="preserve"> de sus negocios, y</w:t>
      </w:r>
    </w:p>
    <w:p w:rsidR="00D719F2" w:rsidRPr="00184171" w:rsidRDefault="00286A04">
      <w:pPr>
        <w:numPr>
          <w:ilvl w:val="0"/>
          <w:numId w:val="7"/>
        </w:numPr>
        <w:pBdr>
          <w:top w:val="nil"/>
          <w:left w:val="nil"/>
          <w:bottom w:val="nil"/>
          <w:right w:val="nil"/>
          <w:between w:val="nil"/>
        </w:pBdr>
        <w:tabs>
          <w:tab w:val="center" w:pos="4522"/>
        </w:tabs>
        <w:spacing w:line="360" w:lineRule="auto"/>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La casa habitación, cuando no cuenta con un local o lugar donde realice las acciones previamente señaladas.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Mientras que, en el caso de personas morales, el domicilio fiscal, corresponderá al local donde se encuentra la administración principal del negocio. Como se logra observar, el domicilio fiscal de los contratistas personas físicas, se encuentra en dos supuestos, por lo que, se procede a su análisis.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lastRenderedPageBreak/>
        <w:t>Como se logra observar, es obligación de transparencia proporcionar el domicilio fiscal de los contratistas, por lo que, se considera que, en el caso, de que dicho dato, corresponda a un local o lugar donde realice sus actividades empresariales, se debe entregar.</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De tal suerte que, tratándose de contratistas (personas físicas o jurídico-colectivas), el domicilio fiscal, no actualiza la causal de clasificación, establecida en el artículo 143, fracción I de la Ley de Transparencia y Acceso a la Información Pública del Estado de México y Municipios.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184171" w:rsidRDefault="00286A04">
      <w:pPr>
        <w:numPr>
          <w:ilvl w:val="0"/>
          <w:numId w:val="5"/>
        </w:numPr>
        <w:pBdr>
          <w:top w:val="nil"/>
          <w:left w:val="nil"/>
          <w:bottom w:val="nil"/>
          <w:right w:val="nil"/>
          <w:between w:val="nil"/>
        </w:pBdr>
        <w:tabs>
          <w:tab w:val="center" w:pos="4522"/>
        </w:tabs>
        <w:spacing w:line="360" w:lineRule="auto"/>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Cuenta bancaria y CLABE interbancaria de contratista</w:t>
      </w: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bancarios corresponden a información que se encuentra relacionada con el patrimonio de la persona titular de la cuenta.</w:t>
      </w:r>
    </w:p>
    <w:p w:rsidR="00D719F2" w:rsidRPr="00184171" w:rsidRDefault="00286A04">
      <w:pPr>
        <w:tabs>
          <w:tab w:val="center" w:pos="4522"/>
        </w:tabs>
        <w:spacing w:line="360" w:lineRule="auto"/>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w:t>
      </w: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rsidR="00D719F2" w:rsidRPr="00184171" w:rsidRDefault="00286A04">
      <w:pPr>
        <w:tabs>
          <w:tab w:val="center" w:pos="4522"/>
        </w:tabs>
        <w:spacing w:line="360" w:lineRule="auto"/>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w:t>
      </w:r>
    </w:p>
    <w:p w:rsidR="00D719F2" w:rsidRPr="00184171" w:rsidRDefault="00286A04">
      <w:pPr>
        <w:tabs>
          <w:tab w:val="center" w:pos="4522"/>
        </w:tabs>
        <w:spacing w:line="360" w:lineRule="auto"/>
        <w:ind w:left="567" w:right="567"/>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lastRenderedPageBreak/>
        <w:t>“</w:t>
      </w:r>
      <w:r w:rsidRPr="00184171">
        <w:rPr>
          <w:rFonts w:ascii="Palatino Linotype" w:eastAsia="Palatino Linotype" w:hAnsi="Palatino Linotype" w:cs="Palatino Linotype"/>
          <w:b/>
          <w:bCs/>
          <w:i/>
          <w:iCs/>
          <w:color w:val="000000"/>
          <w:sz w:val="24"/>
          <w:szCs w:val="24"/>
        </w:rPr>
        <w:t>Cuentas bancarias y/o CLABE interbancaria de personas físicas y morales privadas.</w:t>
      </w:r>
      <w:r w:rsidRPr="00184171">
        <w:rPr>
          <w:rFonts w:ascii="Palatino Linotype" w:eastAsia="Palatino Linotype" w:hAnsi="Palatino Linotype" w:cs="Palatino Linotype"/>
          <w:i/>
          <w:iCs/>
          <w:color w:val="000000"/>
          <w:sz w:val="24"/>
          <w:szCs w:val="24"/>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D719F2" w:rsidRPr="00184171" w:rsidRDefault="00286A04">
      <w:pPr>
        <w:tabs>
          <w:tab w:val="center" w:pos="4522"/>
        </w:tabs>
        <w:spacing w:line="360" w:lineRule="auto"/>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w:t>
      </w: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y procede su eliminación de conformidad con el artículo 143, fracción I, de la Ley de Transparencia y Acceso a la Información Pública del Estado de México y Municipios.  </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184171" w:rsidRDefault="00286A04">
      <w:pPr>
        <w:numPr>
          <w:ilvl w:val="0"/>
          <w:numId w:val="5"/>
        </w:numPr>
        <w:pBdr>
          <w:top w:val="nil"/>
          <w:left w:val="nil"/>
          <w:bottom w:val="nil"/>
          <w:right w:val="nil"/>
          <w:between w:val="nil"/>
        </w:pBdr>
        <w:tabs>
          <w:tab w:val="center" w:pos="4522"/>
        </w:tabs>
        <w:spacing w:line="360" w:lineRule="auto"/>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Nombre de institución bancaria</w:t>
      </w: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 xml:space="preserve">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w:t>
      </w:r>
      <w:r w:rsidRPr="00637574">
        <w:rPr>
          <w:rFonts w:ascii="Palatino Linotype" w:eastAsia="Palatino Linotype" w:hAnsi="Palatino Linotype" w:cs="Palatino Linotype"/>
          <w:color w:val="000000"/>
          <w:sz w:val="24"/>
          <w:szCs w:val="24"/>
        </w:rPr>
        <w:lastRenderedPageBreak/>
        <w:t>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 xml:space="preserve">En ese orden de ideas, en el portal de la Comisión Nacional para la Protección y Defensa de los Usuarios de Servicios Financieros (consultadas el dieciocho de enero de dos mil veintitrés), en </w:t>
      </w:r>
      <w:hyperlink r:id="rId18">
        <w:r w:rsidRPr="00637574">
          <w:rPr>
            <w:rFonts w:ascii="Palatino Linotype" w:eastAsia="Palatino Linotype" w:hAnsi="Palatino Linotype" w:cs="Palatino Linotype"/>
            <w:color w:val="0000FF"/>
            <w:sz w:val="24"/>
            <w:szCs w:val="24"/>
            <w:u w:val="single"/>
          </w:rPr>
          <w:t>https://www.condusef.gob.mx/Revista/index.php/usuario-inteligente/condusef-responde/777-la-condusef-te-puede-ayudar</w:t>
        </w:r>
      </w:hyperlink>
      <w:r w:rsidRPr="00637574">
        <w:rPr>
          <w:rFonts w:ascii="Palatino Linotype" w:eastAsia="Palatino Linotype" w:hAnsi="Palatino Linotype" w:cs="Palatino Linotype"/>
          <w:color w:val="000000"/>
          <w:sz w:val="24"/>
          <w:szCs w:val="24"/>
        </w:rPr>
        <w:t>), se establece que los bancos son instituciones financieras; conforme a lo anterior, se puede advertir que las instituciones bancarias, son personas morales.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En ese orden de ideas,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entonces Instituto Nacional de Transparencia, Acceso a la Información y Protección de Datos Personales, previamente referido.</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 xml:space="preserve">Lo anterior, se robustece con el hecho de que existe el Sistema de Registro de Prestadores de Servicios Financieros (consultadas el dieciocho de enero de dos mil veintitrés), a las trece </w:t>
      </w:r>
      <w:r w:rsidRPr="00637574">
        <w:rPr>
          <w:rFonts w:ascii="Palatino Linotype" w:eastAsia="Palatino Linotype" w:hAnsi="Palatino Linotype" w:cs="Palatino Linotype"/>
          <w:color w:val="000000"/>
          <w:sz w:val="24"/>
          <w:szCs w:val="24"/>
        </w:rPr>
        <w:lastRenderedPageBreak/>
        <w:t xml:space="preserve">horas, en la liga </w:t>
      </w:r>
      <w:hyperlink r:id="rId19">
        <w:r w:rsidRPr="00637574">
          <w:rPr>
            <w:rFonts w:ascii="Palatino Linotype" w:eastAsia="Palatino Linotype" w:hAnsi="Palatino Linotype" w:cs="Palatino Linotype"/>
            <w:color w:val="0000FF"/>
            <w:sz w:val="24"/>
            <w:szCs w:val="24"/>
            <w:u w:val="single"/>
          </w:rPr>
          <w:t>https://webapps.condusef.gob.mx/SIPRES/jsp/pub/index.jsp</w:t>
        </w:r>
      </w:hyperlink>
      <w:r w:rsidRPr="00637574">
        <w:rPr>
          <w:rFonts w:ascii="Palatino Linotype" w:eastAsia="Palatino Linotype" w:hAnsi="Palatino Linotype" w:cs="Palatino Linotype"/>
          <w:color w:val="000000"/>
          <w:sz w:val="24"/>
          <w:szCs w:val="24"/>
        </w:rPr>
        <w:t xml:space="preserve">), que es un registro de </w:t>
      </w:r>
      <w:r w:rsidRPr="00637574">
        <w:rPr>
          <w:rFonts w:ascii="Palatino Linotype" w:eastAsia="Palatino Linotype" w:hAnsi="Palatino Linotype" w:cs="Palatino Linotype"/>
          <w:b/>
          <w:bCs/>
          <w:color w:val="000000"/>
          <w:sz w:val="24"/>
          <w:szCs w:val="24"/>
        </w:rPr>
        <w:t xml:space="preserve">carácter público, </w:t>
      </w:r>
      <w:r w:rsidRPr="00637574">
        <w:rPr>
          <w:rFonts w:ascii="Palatino Linotype" w:eastAsia="Palatino Linotype" w:hAnsi="Palatino Linotype" w:cs="Palatino Linotype"/>
          <w:color w:val="000000"/>
          <w:sz w:val="24"/>
          <w:szCs w:val="24"/>
        </w:rPr>
        <w:t>cuyo objetivo principal, consiste en proporcionar información corporativa y general de las instituciones financieras</w:t>
      </w:r>
      <w:r w:rsidRPr="00637574">
        <w:rPr>
          <w:rFonts w:ascii="Palatino Linotype" w:eastAsia="Palatino Linotype" w:hAnsi="Palatino Linotype" w:cs="Palatino Linotype"/>
          <w:b/>
          <w:bCs/>
          <w:color w:val="000000"/>
          <w:sz w:val="24"/>
          <w:szCs w:val="24"/>
        </w:rPr>
        <w:t xml:space="preserve">; además, que permite conocer al público general, información de dichos entes, </w:t>
      </w:r>
      <w:r w:rsidRPr="00637574">
        <w:rPr>
          <w:rFonts w:ascii="Palatino Linotype" w:eastAsia="Palatino Linotype" w:hAnsi="Palatino Linotype" w:cs="Palatino Linotype"/>
          <w:color w:val="000000"/>
          <w:sz w:val="24"/>
          <w:szCs w:val="24"/>
        </w:rPr>
        <w:t xml:space="preserve">se muestra un ejemplo a continuación: </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184171" w:rsidRDefault="00286A04">
      <w:pPr>
        <w:tabs>
          <w:tab w:val="center" w:pos="4522"/>
        </w:tabs>
        <w:spacing w:line="360" w:lineRule="auto"/>
        <w:jc w:val="center"/>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noProof/>
          <w:color w:val="000000"/>
          <w:sz w:val="24"/>
          <w:szCs w:val="24"/>
        </w:rPr>
        <w:drawing>
          <wp:inline distT="0" distB="0" distL="0" distR="0">
            <wp:extent cx="4777740" cy="2476500"/>
            <wp:effectExtent l="0" t="0" r="0" b="0"/>
            <wp:docPr id="1432513728" name="image2.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Escala de tiempo&#10;&#10;Descripción generada automáticamente"/>
                    <pic:cNvPicPr preferRelativeResize="0"/>
                  </pic:nvPicPr>
                  <pic:blipFill>
                    <a:blip r:embed="rId20"/>
                    <a:srcRect t="2" b="379"/>
                    <a:stretch>
                      <a:fillRect/>
                    </a:stretch>
                  </pic:blipFill>
                  <pic:spPr>
                    <a:xfrm>
                      <a:off x="0" y="0"/>
                      <a:ext cx="4777740" cy="2476500"/>
                    </a:xfrm>
                    <a:prstGeom prst="rect">
                      <a:avLst/>
                    </a:prstGeom>
                    <a:ln/>
                  </pic:spPr>
                </pic:pic>
              </a:graphicData>
            </a:graphic>
          </wp:inline>
        </w:drawing>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Conforme a lo anterior, se logra vislumbrar que el nombre de las instituciones bancarias en primera instancia es de naturaleza pública; sin embargo, en el presente caso, se relacionada con el hecho de que corresponde al banco en el cual un proveedor o contratista decidió recibir el pago de sus servicios; es decir, daría cuenta de la decisión voluntaria de recibir el pago de sus servicios en una determinada institución; lo cual se relaciona con la cuenta y clave interbancaria, mismos que son confidenciales.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 xml:space="preserve">Además, revelaría el lugar en donde el proveedor recibió los recursos por prestar sus servicios, lo cual únicamente está relacionado a su vida íntima o privada de la persona moral; </w:t>
      </w:r>
      <w:r w:rsidRPr="00637574">
        <w:rPr>
          <w:rFonts w:ascii="Palatino Linotype" w:eastAsia="Palatino Linotype" w:hAnsi="Palatino Linotype" w:cs="Palatino Linotype"/>
          <w:color w:val="000000"/>
          <w:sz w:val="24"/>
          <w:szCs w:val="24"/>
        </w:rPr>
        <w:lastRenderedPageBreak/>
        <w:t>por lo que, este Instituto considera que el nombre de la institución bancaria, actualiza la causal de clasificación prevista en el artículo 143, fracción I, de la Ley de Transparencia y Acceso a la Información Pública del Estado de México y Municipios.</w:t>
      </w:r>
    </w:p>
    <w:p w:rsidR="00D719F2" w:rsidRPr="00184171" w:rsidRDefault="00D719F2">
      <w:pPr>
        <w:tabs>
          <w:tab w:val="center" w:pos="4522"/>
        </w:tabs>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rsidR="00D719F2" w:rsidRPr="00184171" w:rsidRDefault="00D719F2">
      <w:pPr>
        <w:spacing w:line="360" w:lineRule="auto"/>
        <w:jc w:val="both"/>
        <w:rPr>
          <w:rFonts w:ascii="Palatino Linotype" w:eastAsia="Palatino Linotype" w:hAnsi="Palatino Linotype" w:cs="Palatino Linotype"/>
          <w:color w:val="000000"/>
          <w:sz w:val="24"/>
          <w:szCs w:val="24"/>
        </w:rPr>
      </w:pPr>
    </w:p>
    <w:p w:rsidR="00D719F2" w:rsidRPr="00637574" w:rsidRDefault="00286A04" w:rsidP="00637574">
      <w:pPr>
        <w:pStyle w:val="Prrafodelista"/>
        <w:numPr>
          <w:ilvl w:val="0"/>
          <w:numId w:val="9"/>
        </w:numP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rsidP="00637574">
      <w:pPr>
        <w:pBdr>
          <w:top w:val="nil"/>
          <w:left w:val="nil"/>
          <w:bottom w:val="nil"/>
          <w:right w:val="nil"/>
          <w:between w:val="nil"/>
        </w:pBdr>
        <w:spacing w:line="360" w:lineRule="auto"/>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FACTURAS</w:t>
      </w:r>
    </w:p>
    <w:p w:rsidR="00D719F2" w:rsidRPr="00637574" w:rsidRDefault="00286A04" w:rsidP="00637574">
      <w:pPr>
        <w:pStyle w:val="Prrafodelista"/>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637574">
        <w:rPr>
          <w:rFonts w:ascii="Palatino Linotype" w:eastAsia="Palatino Linotype" w:hAnsi="Palatino Linotype" w:cs="Palatino Linotype"/>
          <w:color w:val="000000"/>
          <w:sz w:val="24"/>
          <w:szCs w:val="24"/>
        </w:rPr>
        <w:t xml:space="preserve">Respecto de las facturas resulta oportuno traer a contexto, la información publicada por la Secretaría de Hacienda y Crédito Público, referente al Servicio de Administración Tributaria (SAT), en donde se advierte los requisitos que deben reunir las facturas emitidas, consultable en la dirección electrónica </w:t>
      </w:r>
      <w:hyperlink r:id="rId21">
        <w:r w:rsidRPr="00637574">
          <w:rPr>
            <w:rFonts w:ascii="Palatino Linotype" w:eastAsia="Palatino Linotype" w:hAnsi="Palatino Linotype" w:cs="Palatino Linotype"/>
            <w:color w:val="0563C1"/>
            <w:sz w:val="24"/>
            <w:szCs w:val="24"/>
            <w:u w:val="single"/>
          </w:rPr>
          <w:t>http://omawww.sat.gob.mx/factura/Paginas/solicita_requisitos.htm</w:t>
        </w:r>
      </w:hyperlink>
      <w:r w:rsidRPr="00637574">
        <w:rPr>
          <w:rFonts w:ascii="Palatino Linotype" w:eastAsia="Palatino Linotype" w:hAnsi="Palatino Linotype" w:cs="Palatino Linotype"/>
          <w:color w:val="000000"/>
          <w:sz w:val="24"/>
          <w:szCs w:val="24"/>
        </w:rPr>
        <w:t>, de conformidad con lo siguiente:</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b/>
          <w:bCs/>
          <w:i/>
          <w:iCs/>
          <w:color w:val="000000"/>
          <w:sz w:val="24"/>
          <w:szCs w:val="24"/>
        </w:rPr>
        <w:lastRenderedPageBreak/>
        <w:t>Requisitos que deben reunir las facturas que recibas</w:t>
      </w:r>
      <w:r w:rsidRPr="00184171">
        <w:rPr>
          <w:rFonts w:ascii="Palatino Linotype" w:eastAsia="Palatino Linotype" w:hAnsi="Palatino Linotype" w:cs="Palatino Linotype"/>
          <w:i/>
          <w:iCs/>
          <w:color w:val="000000"/>
          <w:sz w:val="24"/>
          <w:szCs w:val="24"/>
        </w:rPr>
        <w:t>:</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Clave del Registro Federal de Contribuyentes de quien los expida.</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Régimen Fiscal en que tributen conforme a la Ley del ISR.</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Sí se tiene más de un local o establecimiento, se deberá señalar el domicilio del local o establecimiento en el que se expidan las Facturas.</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Contener el número de folio asignado por el SAT y el sello digital del SAT.</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Sello digital del contribuyente que lo expide.</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Lugar y fecha de expedición.</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Clave del Registro Federal de Contribuyentes de la persona a favor de quien se expida.</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u w:val="single"/>
        </w:rPr>
      </w:pPr>
      <w:r w:rsidRPr="00184171">
        <w:rPr>
          <w:rFonts w:ascii="Palatino Linotype" w:eastAsia="Palatino Linotype" w:hAnsi="Palatino Linotype" w:cs="Palatino Linotype"/>
          <w:i/>
          <w:iCs/>
          <w:color w:val="000000"/>
          <w:sz w:val="24"/>
          <w:szCs w:val="24"/>
          <w:u w:val="single"/>
        </w:rPr>
        <w:t>  Cantidad, unidad de medida y clase de los bienes, mercancías o descripción del servicio o del uso o goce que amparen.</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u w:val="single"/>
        </w:rPr>
      </w:pPr>
      <w:r w:rsidRPr="00184171">
        <w:rPr>
          <w:rFonts w:ascii="Palatino Linotype" w:eastAsia="Palatino Linotype" w:hAnsi="Palatino Linotype" w:cs="Palatino Linotype"/>
          <w:i/>
          <w:iCs/>
          <w:color w:val="000000"/>
          <w:sz w:val="24"/>
          <w:szCs w:val="24"/>
          <w:u w:val="single"/>
        </w:rPr>
        <w:t>  Valor unitario consignado en número.</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u w:val="single"/>
        </w:rPr>
      </w:pPr>
      <w:r w:rsidRPr="00184171">
        <w:rPr>
          <w:rFonts w:ascii="Palatino Linotype" w:eastAsia="Palatino Linotype" w:hAnsi="Palatino Linotype" w:cs="Palatino Linotype"/>
          <w:i/>
          <w:iCs/>
          <w:color w:val="000000"/>
          <w:sz w:val="24"/>
          <w:szCs w:val="24"/>
          <w:u w:val="single"/>
        </w:rPr>
        <w:t>  Importe total señalado en número o en letra.</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Señalamiento expreso cuando la prestación se pague en una sola exhibición o en parcialidades.</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Cuando proceda, se indicará el monto de los impuestos trasladados, desglosados por tasa de impuesto y, en su caso, el monto de los impuestos retenidos.</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Forma en que se realizó el pago (efectivo, transferencia electrónica de fondos, cheque nominativos o tarjeta de débito, de crédito, de servicio o la denominada monedero electrónico que autorice el Servicio de Administración Tributaria).</w:t>
      </w:r>
    </w:p>
    <w:p w:rsidR="00D719F2" w:rsidRPr="00184171" w:rsidRDefault="00286A04">
      <w:pPr>
        <w:pBdr>
          <w:top w:val="nil"/>
          <w:left w:val="nil"/>
          <w:bottom w:val="nil"/>
          <w:right w:val="nil"/>
          <w:between w:val="nil"/>
        </w:pBdr>
        <w:ind w:left="720"/>
        <w:jc w:val="both"/>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t>  Número y fecha del documento aduanero, tratándose de ventas de primera mano de mercancías de importación.</w:t>
      </w:r>
    </w:p>
    <w:p w:rsidR="00D719F2" w:rsidRPr="00184171" w:rsidRDefault="00286A04">
      <w:pPr>
        <w:pBdr>
          <w:top w:val="nil"/>
          <w:left w:val="nil"/>
          <w:bottom w:val="nil"/>
          <w:right w:val="nil"/>
          <w:between w:val="nil"/>
        </w:pBdr>
        <w:ind w:left="720"/>
        <w:rPr>
          <w:rFonts w:ascii="Palatino Linotype" w:eastAsia="Palatino Linotype" w:hAnsi="Palatino Linotype" w:cs="Palatino Linotype"/>
          <w:i/>
          <w:iCs/>
          <w:color w:val="000000"/>
          <w:sz w:val="24"/>
          <w:szCs w:val="24"/>
        </w:rPr>
      </w:pPr>
      <w:r w:rsidRPr="00184171">
        <w:rPr>
          <w:rFonts w:ascii="Palatino Linotype" w:eastAsia="Palatino Linotype" w:hAnsi="Palatino Linotype" w:cs="Palatino Linotype"/>
          <w:i/>
          <w:iCs/>
          <w:color w:val="000000"/>
          <w:sz w:val="24"/>
          <w:szCs w:val="24"/>
        </w:rPr>
        <w:br/>
      </w:r>
      <w:r w:rsidRPr="00184171">
        <w:rPr>
          <w:rFonts w:ascii="Palatino Linotype" w:eastAsia="Palatino Linotype" w:hAnsi="Palatino Linotype" w:cs="Palatino Linotype"/>
          <w:b/>
          <w:bCs/>
          <w:i/>
          <w:iCs/>
          <w:color w:val="000000"/>
          <w:sz w:val="24"/>
          <w:szCs w:val="24"/>
        </w:rPr>
        <w:t>Además, debe contener los siguientes datos:</w:t>
      </w:r>
      <w:r w:rsidRPr="00184171">
        <w:rPr>
          <w:rFonts w:ascii="Palatino Linotype" w:eastAsia="Palatino Linotype" w:hAnsi="Palatino Linotype" w:cs="Palatino Linotype"/>
          <w:b/>
          <w:bCs/>
          <w:i/>
          <w:iCs/>
          <w:color w:val="000000"/>
          <w:sz w:val="24"/>
          <w:szCs w:val="24"/>
        </w:rPr>
        <w:br/>
      </w:r>
      <w:r w:rsidRPr="00184171">
        <w:rPr>
          <w:rFonts w:ascii="Palatino Linotype" w:eastAsia="Palatino Linotype" w:hAnsi="Palatino Linotype" w:cs="Palatino Linotype"/>
          <w:i/>
          <w:iCs/>
          <w:color w:val="000000"/>
          <w:sz w:val="24"/>
          <w:szCs w:val="24"/>
        </w:rPr>
        <w:t>a) Fecha y hora de certificación.</w:t>
      </w:r>
      <w:r w:rsidRPr="00184171">
        <w:rPr>
          <w:rFonts w:ascii="Palatino Linotype" w:eastAsia="Palatino Linotype" w:hAnsi="Palatino Linotype" w:cs="Palatino Linotype"/>
          <w:i/>
          <w:iCs/>
          <w:color w:val="000000"/>
          <w:sz w:val="24"/>
          <w:szCs w:val="24"/>
        </w:rPr>
        <w:br/>
        <w:t>b) Número de serie del certificado digital del SAT con el que se realizó el sellado.</w:t>
      </w:r>
    </w:p>
    <w:p w:rsidR="00D719F2" w:rsidRPr="00184171" w:rsidRDefault="00D719F2">
      <w:pPr>
        <w:rPr>
          <w:rFonts w:ascii="Palatino Linotype" w:eastAsia="Palatino Linotype" w:hAnsi="Palatino Linotype" w:cs="Palatino Linotype"/>
          <w:i/>
          <w:iCs/>
          <w:sz w:val="24"/>
          <w:szCs w:val="24"/>
        </w:rPr>
      </w:pP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sz w:val="24"/>
          <w:szCs w:val="24"/>
        </w:rPr>
        <w:t>Finalmente, relativo al link proporcionado en formato cerrado y del cual como ya se precisó en líneas anteriores no da cuenta de lo solicitado,</w:t>
      </w:r>
      <w:r w:rsidRPr="00184171">
        <w:rPr>
          <w:rFonts w:ascii="Palatino Linotype" w:eastAsia="Palatino Linotype" w:hAnsi="Palatino Linotype" w:cs="Palatino Linotype"/>
          <w:color w:val="000000"/>
          <w:sz w:val="24"/>
          <w:szCs w:val="24"/>
        </w:rPr>
        <w:t xml:space="preserve"> de conformidad a lo establecido por los artículos 11 y 161 de la Ley de Transparencia y Acceso a la Información Pública del Estado de México y Municipios, en lo que se señalan las características que debe tener toda información entregada por los sujetos obligados desde el momento de su generación, publicación y entrega, </w:t>
      </w:r>
      <w:r w:rsidRPr="00184171">
        <w:rPr>
          <w:rFonts w:ascii="Palatino Linotype" w:eastAsia="Palatino Linotype" w:hAnsi="Palatino Linotype" w:cs="Palatino Linotype"/>
          <w:color w:val="000000"/>
          <w:sz w:val="24"/>
          <w:szCs w:val="24"/>
        </w:rPr>
        <w:lastRenderedPageBreak/>
        <w:t>así como la forma en que se deberá consultar la información, señalando una fuente precisa y concreta, a saber:</w:t>
      </w:r>
    </w:p>
    <w:p w:rsidR="00D719F2" w:rsidRPr="00184171" w:rsidRDefault="00286A04">
      <w:pPr>
        <w:pBdr>
          <w:top w:val="nil"/>
          <w:left w:val="nil"/>
          <w:bottom w:val="nil"/>
          <w:right w:val="nil"/>
          <w:between w:val="nil"/>
        </w:pBdr>
        <w:ind w:left="567" w:right="1276"/>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i/>
          <w:iCs/>
          <w:color w:val="000000"/>
          <w:sz w:val="24"/>
          <w:szCs w:val="24"/>
        </w:rPr>
        <w:t xml:space="preserve">“Artículo 11. </w:t>
      </w:r>
      <w:r w:rsidRPr="00184171">
        <w:rPr>
          <w:rFonts w:ascii="Palatino Linotype" w:eastAsia="Palatino Linotype" w:hAnsi="Palatino Linotype" w:cs="Palatino Linotype"/>
          <w:b/>
          <w:bCs/>
          <w:i/>
          <w:iCs/>
          <w:color w:val="000000"/>
          <w:sz w:val="24"/>
          <w:szCs w:val="24"/>
          <w:u w:val="single"/>
        </w:rPr>
        <w:t>En la generación, publicación y entrega de información se deberá garantizar que ésta sea accesible, actualizada, completa, congruente, confiable, verificable, veraz, integral, oportuna y expedita</w:t>
      </w:r>
      <w:r w:rsidRPr="00184171">
        <w:rPr>
          <w:rFonts w:ascii="Palatino Linotype" w:eastAsia="Palatino Linotype" w:hAnsi="Palatino Linotype" w:cs="Palatino Linotype"/>
          <w:b/>
          <w:bCs/>
          <w:i/>
          <w:iCs/>
          <w:color w:val="000000"/>
          <w:sz w:val="24"/>
          <w:szCs w:val="24"/>
        </w:rPr>
        <w:t>, sujeta a un claro régimen de excepciones que deberá estar definido y ser además legítima y estrictamente necesaria en una sociedad democrática, por lo que atenderá las necesidades del derecho de acceso a la información de toda persona.</w:t>
      </w:r>
    </w:p>
    <w:p w:rsidR="00D719F2" w:rsidRPr="00184171" w:rsidRDefault="00286A04">
      <w:pPr>
        <w:pBdr>
          <w:top w:val="nil"/>
          <w:left w:val="nil"/>
          <w:bottom w:val="nil"/>
          <w:right w:val="nil"/>
          <w:between w:val="nil"/>
        </w:pBdr>
        <w:ind w:left="567" w:right="1276"/>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i/>
          <w:iCs/>
          <w:color w:val="000000"/>
          <w:sz w:val="24"/>
          <w:szCs w:val="24"/>
        </w:rPr>
        <w:t>[…]</w:t>
      </w:r>
    </w:p>
    <w:p w:rsidR="00D719F2" w:rsidRPr="00184171" w:rsidRDefault="00D719F2">
      <w:pPr>
        <w:rPr>
          <w:rFonts w:ascii="Palatino Linotype" w:eastAsia="Palatino Linotype" w:hAnsi="Palatino Linotype" w:cs="Palatino Linotype"/>
          <w:b/>
          <w:bCs/>
          <w:sz w:val="24"/>
          <w:szCs w:val="24"/>
        </w:rPr>
      </w:pPr>
    </w:p>
    <w:p w:rsidR="00D719F2" w:rsidRPr="00184171" w:rsidRDefault="00286A04">
      <w:pPr>
        <w:pBdr>
          <w:top w:val="nil"/>
          <w:left w:val="nil"/>
          <w:bottom w:val="nil"/>
          <w:right w:val="nil"/>
          <w:between w:val="nil"/>
        </w:pBdr>
        <w:ind w:left="567" w:right="1276"/>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i/>
          <w:iCs/>
          <w:color w:val="000000"/>
          <w:sz w:val="24"/>
          <w:szCs w:val="24"/>
        </w:rPr>
        <w:t xml:space="preserve">Artículo 161. </w:t>
      </w:r>
      <w:r w:rsidRPr="00184171">
        <w:rPr>
          <w:rFonts w:ascii="Palatino Linotype" w:eastAsia="Palatino Linotype" w:hAnsi="Palatino Linotype" w:cs="Palatino Linotype"/>
          <w:b/>
          <w:bCs/>
          <w:i/>
          <w:iCs/>
          <w:color w:val="000000"/>
          <w:sz w:val="24"/>
          <w:szCs w:val="24"/>
          <w:u w:val="single"/>
        </w:rPr>
        <w:t>Cuando la información requerida por el solicitante ya esté disponible al público</w:t>
      </w:r>
      <w:r w:rsidRPr="00184171">
        <w:rPr>
          <w:rFonts w:ascii="Palatino Linotype" w:eastAsia="Palatino Linotype" w:hAnsi="Palatino Linotype" w:cs="Palatino Linotype"/>
          <w:b/>
          <w:bCs/>
          <w:i/>
          <w:iCs/>
          <w:color w:val="000000"/>
          <w:sz w:val="24"/>
          <w:szCs w:val="24"/>
        </w:rPr>
        <w:t xml:space="preserve"> en medios impresos, tales como libros, compendios, trípticos, registros públicos, </w:t>
      </w:r>
      <w:r w:rsidRPr="00184171">
        <w:rPr>
          <w:rFonts w:ascii="Palatino Linotype" w:eastAsia="Palatino Linotype" w:hAnsi="Palatino Linotype" w:cs="Palatino Linotype"/>
          <w:b/>
          <w:bCs/>
          <w:i/>
          <w:iCs/>
          <w:color w:val="000000"/>
          <w:sz w:val="24"/>
          <w:szCs w:val="24"/>
          <w:u w:val="single"/>
        </w:rPr>
        <w:t>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 (Sic)</w:t>
      </w:r>
    </w:p>
    <w:p w:rsidR="00D719F2" w:rsidRDefault="00D719F2">
      <w:pPr>
        <w:rPr>
          <w:rFonts w:ascii="Palatino Linotype" w:eastAsia="Palatino Linotype" w:hAnsi="Palatino Linotype" w:cs="Palatino Linotype"/>
          <w:b/>
          <w:bCs/>
          <w:sz w:val="24"/>
          <w:szCs w:val="24"/>
        </w:rPr>
      </w:pPr>
    </w:p>
    <w:p w:rsidR="00637574" w:rsidRPr="00184171" w:rsidRDefault="00637574">
      <w:pPr>
        <w:rPr>
          <w:rFonts w:ascii="Palatino Linotype" w:eastAsia="Palatino Linotype" w:hAnsi="Palatino Linotype" w:cs="Palatino Linotype"/>
          <w:b/>
          <w:bCs/>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D719F2" w:rsidRPr="00637574" w:rsidRDefault="00286A04" w:rsidP="00637574">
      <w:pPr>
        <w:pStyle w:val="Listaconvietas2"/>
        <w:ind w:left="426"/>
        <w:rPr>
          <w:rFonts w:ascii="Palatino Linotype" w:eastAsia="Palatino Linotype" w:hAnsi="Palatino Linotype"/>
          <w:b/>
          <w:sz w:val="24"/>
        </w:rPr>
      </w:pPr>
      <w:r w:rsidRPr="00637574">
        <w:rPr>
          <w:rFonts w:ascii="Palatino Linotype" w:eastAsia="Palatino Linotype" w:hAnsi="Palatino Linotype"/>
          <w:b/>
          <w:sz w:val="24"/>
        </w:rPr>
        <w:t>La fuente</w:t>
      </w:r>
    </w:p>
    <w:p w:rsidR="00D719F2" w:rsidRPr="00184171" w:rsidRDefault="00286A04">
      <w:pPr>
        <w:numPr>
          <w:ilvl w:val="0"/>
          <w:numId w:val="1"/>
        </w:numPr>
        <w:pBdr>
          <w:top w:val="nil"/>
          <w:left w:val="nil"/>
          <w:bottom w:val="nil"/>
          <w:right w:val="nil"/>
          <w:between w:val="nil"/>
        </w:pBdr>
        <w:ind w:left="426"/>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El lugar y</w:t>
      </w:r>
    </w:p>
    <w:p w:rsidR="00D719F2" w:rsidRPr="00184171" w:rsidRDefault="00286A04">
      <w:pPr>
        <w:numPr>
          <w:ilvl w:val="0"/>
          <w:numId w:val="1"/>
        </w:numPr>
        <w:pBdr>
          <w:top w:val="nil"/>
          <w:left w:val="nil"/>
          <w:bottom w:val="nil"/>
          <w:right w:val="nil"/>
          <w:between w:val="nil"/>
        </w:pBdr>
        <w:ind w:left="426"/>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La forma </w:t>
      </w:r>
    </w:p>
    <w:p w:rsidR="00D719F2" w:rsidRPr="00184171" w:rsidRDefault="00D719F2" w:rsidP="00637574">
      <w:pPr>
        <w:ind w:left="567" w:hanging="141"/>
        <w:rPr>
          <w:rFonts w:ascii="Palatino Linotype" w:eastAsia="Palatino Linotype" w:hAnsi="Palatino Linotype" w:cs="Palatino Linotype"/>
          <w:b/>
          <w:bCs/>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Asimismo, se establece que la fuente de la información deberá ser:</w:t>
      </w:r>
    </w:p>
    <w:p w:rsidR="00D719F2" w:rsidRPr="00637574" w:rsidRDefault="00286A04" w:rsidP="00637574">
      <w:pPr>
        <w:pStyle w:val="Prrafodelista"/>
        <w:numPr>
          <w:ilvl w:val="0"/>
          <w:numId w:val="8"/>
        </w:numPr>
        <w:pBdr>
          <w:top w:val="nil"/>
          <w:left w:val="nil"/>
          <w:bottom w:val="nil"/>
          <w:right w:val="nil"/>
          <w:between w:val="nil"/>
        </w:pBdr>
        <w:ind w:firstLine="426"/>
        <w:jc w:val="both"/>
        <w:rPr>
          <w:rFonts w:ascii="Palatino Linotype" w:eastAsia="Palatino Linotype" w:hAnsi="Palatino Linotype" w:cs="Palatino Linotype"/>
          <w:b/>
          <w:bCs/>
          <w:color w:val="000000"/>
          <w:sz w:val="24"/>
          <w:szCs w:val="24"/>
        </w:rPr>
      </w:pPr>
      <w:r w:rsidRPr="00637574">
        <w:rPr>
          <w:rFonts w:ascii="Palatino Linotype" w:eastAsia="Palatino Linotype" w:hAnsi="Palatino Linotype" w:cs="Palatino Linotype"/>
          <w:b/>
          <w:bCs/>
          <w:color w:val="000000"/>
          <w:sz w:val="24"/>
          <w:szCs w:val="24"/>
        </w:rPr>
        <w:t>Precisa</w:t>
      </w:r>
    </w:p>
    <w:p w:rsidR="00D719F2" w:rsidRPr="00184171" w:rsidRDefault="00286A04">
      <w:pPr>
        <w:numPr>
          <w:ilvl w:val="0"/>
          <w:numId w:val="8"/>
        </w:numPr>
        <w:pBdr>
          <w:top w:val="nil"/>
          <w:left w:val="nil"/>
          <w:bottom w:val="nil"/>
          <w:right w:val="nil"/>
          <w:between w:val="nil"/>
        </w:pBdr>
        <w:ind w:left="426"/>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Concreta</w:t>
      </w:r>
    </w:p>
    <w:p w:rsidR="00D719F2" w:rsidRPr="00184171" w:rsidRDefault="00286A04">
      <w:pPr>
        <w:numPr>
          <w:ilvl w:val="0"/>
          <w:numId w:val="8"/>
        </w:numPr>
        <w:pBdr>
          <w:top w:val="nil"/>
          <w:left w:val="nil"/>
          <w:bottom w:val="nil"/>
          <w:right w:val="nil"/>
          <w:between w:val="nil"/>
        </w:pBdr>
        <w:ind w:left="426" w:right="1276"/>
        <w:jc w:val="both"/>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Y no debe implicar que el solicitante realice una búsqueda en toda la información que se encuentre disponible.</w:t>
      </w:r>
    </w:p>
    <w:p w:rsidR="00D719F2" w:rsidRPr="00184171" w:rsidRDefault="00D719F2">
      <w:pPr>
        <w:rPr>
          <w:rFonts w:ascii="Palatino Linotype" w:eastAsia="Palatino Linotype" w:hAnsi="Palatino Linotype" w:cs="Palatino Linotype"/>
          <w:b/>
          <w:bCs/>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Imperativos legales que establecen el procedimiento que debe seguir el Sujeto Obligado para que pueda tomarse como válida su orientación sobre la forma en que puede consultar la información requerida, y que, en el caso en concreto, no acontece; ello porque el Sujeto Obligado se limitó a indicar la dirección electrónica que conduce a la página del IPOMEX del Ayuntamiento de Toluca, sin que señalara puntualmente donde se encuentra la información solicitada, lo que implica que  la fuente no es precisa; no es concreta, sino por el contrario ésta resulta abstracta y genera incertidumbre entre el cúmulo de información que se observa en la página; y por último, su fuente implica que el solicitante realice una búsqueda en toda la información que se encuentra disponible, lo que a todas luces transgrede el numeral citado.</w:t>
      </w:r>
    </w:p>
    <w:p w:rsidR="00D719F2" w:rsidRPr="00184171" w:rsidRDefault="00D719F2">
      <w:pPr>
        <w:spacing w:line="360" w:lineRule="auto"/>
        <w:rPr>
          <w:rFonts w:ascii="Palatino Linotype" w:eastAsia="Palatino Linotype" w:hAnsi="Palatino Linotype" w:cs="Palatino Linotype"/>
          <w:b/>
          <w:bCs/>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Es por lo anterior que este Organismo Garante exhorta de manera respetuosa al Sujeto Obligado para que en </w:t>
      </w:r>
      <w:r w:rsidRPr="00184171">
        <w:rPr>
          <w:rFonts w:ascii="Palatino Linotype" w:eastAsia="Palatino Linotype" w:hAnsi="Palatino Linotype" w:cs="Palatino Linotype"/>
          <w:color w:val="000000"/>
          <w:sz w:val="24"/>
          <w:szCs w:val="24"/>
          <w:u w:val="single"/>
        </w:rPr>
        <w:t>futuras ocasiones</w:t>
      </w:r>
      <w:r w:rsidRPr="00184171">
        <w:rPr>
          <w:rFonts w:ascii="Palatino Linotype" w:eastAsia="Palatino Linotype" w:hAnsi="Palatino Linotype" w:cs="Palatino Linotype"/>
          <w:color w:val="000000"/>
          <w:sz w:val="24"/>
          <w:szCs w:val="24"/>
        </w:rPr>
        <w:t xml:space="preserve"> que pretenda emplear ligas electrónicas para atender las solicitudes de información, se asegure de que dichos enlaces sean accesibles para los solicitantes, esto es, que puedan copiarse y pegarse con facilidad para su consulta y que remitan a la fuente concreta donde obra la información.</w:t>
      </w:r>
    </w:p>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Es por lo anterior, se arriba a la conclusión de no tenerse por colmada en su totalidad la solicitud de información </w:t>
      </w:r>
      <w:r w:rsidRPr="00184171">
        <w:rPr>
          <w:rFonts w:ascii="Palatino Linotype" w:eastAsia="Palatino Linotype" w:hAnsi="Palatino Linotype" w:cs="Palatino Linotype"/>
          <w:b/>
          <w:bCs/>
          <w:color w:val="000000"/>
          <w:sz w:val="24"/>
          <w:szCs w:val="24"/>
        </w:rPr>
        <w:t xml:space="preserve">03628/TOLUCA/IP/2025, </w:t>
      </w:r>
      <w:r w:rsidRPr="00184171">
        <w:rPr>
          <w:rFonts w:ascii="Palatino Linotype" w:eastAsia="Palatino Linotype" w:hAnsi="Palatino Linotype" w:cs="Palatino Linotype"/>
          <w:color w:val="000000"/>
          <w:sz w:val="24"/>
          <w:szCs w:val="24"/>
        </w:rPr>
        <w:t xml:space="preserve">resultando dable ordenar el soporte documental que dé cuenta del gasto erogado por la contratación de grupo musical, audio, </w:t>
      </w:r>
      <w:r w:rsidRPr="00184171">
        <w:rPr>
          <w:rFonts w:ascii="Palatino Linotype" w:eastAsia="Palatino Linotype" w:hAnsi="Palatino Linotype" w:cs="Palatino Linotype"/>
          <w:color w:val="000000"/>
          <w:sz w:val="24"/>
          <w:szCs w:val="24"/>
        </w:rPr>
        <w:lastRenderedPageBreak/>
        <w:t>escenario, etc de los eventos realizados del uno de enero al veinticuatro de junio de dos mil veinticinco.</w:t>
      </w:r>
    </w:p>
    <w:p w:rsidR="00D719F2" w:rsidRPr="00184171" w:rsidRDefault="00D719F2">
      <w:pPr>
        <w:spacing w:line="360" w:lineRule="auto"/>
        <w:ind w:right="49"/>
        <w:jc w:val="both"/>
        <w:rPr>
          <w:rFonts w:ascii="Palatino Linotype" w:eastAsia="Palatino Linotype" w:hAnsi="Palatino Linotype" w:cs="Palatino Linotype"/>
          <w:sz w:val="24"/>
          <w:szCs w:val="24"/>
        </w:rPr>
      </w:pP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b/>
          <w:bCs/>
          <w:color w:val="000000"/>
          <w:sz w:val="24"/>
          <w:szCs w:val="24"/>
        </w:rPr>
        <w:t>QUINTO. De la versión pública.</w:t>
      </w:r>
    </w:p>
    <w:p w:rsidR="00D719F2" w:rsidRPr="00184171" w:rsidRDefault="00286A04">
      <w:pPr>
        <w:numPr>
          <w:ilvl w:val="0"/>
          <w:numId w:val="13"/>
        </w:numPr>
        <w:pBdr>
          <w:top w:val="nil"/>
          <w:left w:val="nil"/>
          <w:bottom w:val="nil"/>
          <w:right w:val="nil"/>
          <w:between w:val="nil"/>
        </w:pBdr>
        <w:tabs>
          <w:tab w:val="left" w:pos="851"/>
        </w:tabs>
        <w:spacing w:after="160"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b/>
          <w:bCs/>
          <w:color w:val="000000"/>
          <w:sz w:val="24"/>
          <w:szCs w:val="24"/>
        </w:rPr>
        <w:t xml:space="preserve">Nociones generales. </w:t>
      </w:r>
    </w:p>
    <w:p w:rsidR="00D719F2" w:rsidRPr="00184171" w:rsidRDefault="00286A04">
      <w:pPr>
        <w:numPr>
          <w:ilvl w:val="0"/>
          <w:numId w:val="9"/>
        </w:numPr>
        <w:spacing w:line="360" w:lineRule="auto"/>
        <w:ind w:left="0" w:right="113"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Debe destacarse que, debido a la naturaleza de la información solicitada</w:t>
      </w:r>
      <w:r w:rsidRPr="00184171">
        <w:rPr>
          <w:rFonts w:ascii="Palatino Linotype" w:eastAsia="Palatino Linotype" w:hAnsi="Palatino Linotype" w:cs="Palatino Linotype"/>
          <w:b/>
          <w:bCs/>
          <w:color w:val="000000"/>
          <w:sz w:val="24"/>
          <w:szCs w:val="24"/>
        </w:rPr>
        <w:t xml:space="preserve">, </w:t>
      </w:r>
      <w:r w:rsidRPr="00184171">
        <w:rPr>
          <w:rFonts w:ascii="Palatino Linotype" w:eastAsia="Palatino Linotype" w:hAnsi="Palatino Linotype" w:cs="Palatino Linotype"/>
          <w:color w:val="000000"/>
          <w:sz w:val="24"/>
          <w:szCs w:val="24"/>
        </w:rPr>
        <w:t xml:space="preserve">eventualmente pudiera obrar datos personales susceptibles de protegerse, el </w:t>
      </w:r>
      <w:r w:rsidRPr="00184171">
        <w:rPr>
          <w:rFonts w:ascii="Palatino Linotype" w:eastAsia="Palatino Linotype" w:hAnsi="Palatino Linotype" w:cs="Palatino Linotype"/>
          <w:b/>
          <w:bCs/>
          <w:color w:val="000000"/>
          <w:sz w:val="24"/>
          <w:szCs w:val="24"/>
        </w:rPr>
        <w:t xml:space="preserve">SUJETO OBLIGADO </w:t>
      </w:r>
      <w:r w:rsidRPr="00184171">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D719F2" w:rsidRPr="00184171" w:rsidRDefault="00D719F2">
      <w:pPr>
        <w:pBdr>
          <w:top w:val="nil"/>
          <w:left w:val="nil"/>
          <w:bottom w:val="nil"/>
          <w:right w:val="nil"/>
          <w:between w:val="nil"/>
        </w:pBdr>
        <w:spacing w:line="360" w:lineRule="auto"/>
        <w:ind w:right="113"/>
        <w:jc w:val="both"/>
        <w:rPr>
          <w:rFonts w:ascii="Palatino Linotype" w:eastAsia="Palatino Linotype" w:hAnsi="Palatino Linotype" w:cs="Palatino Linotype"/>
          <w:color w:val="000000"/>
          <w:sz w:val="24"/>
          <w:szCs w:val="24"/>
        </w:rPr>
      </w:pPr>
    </w:p>
    <w:p w:rsidR="00D719F2" w:rsidRPr="00184171" w:rsidRDefault="00286A04">
      <w:pPr>
        <w:numPr>
          <w:ilvl w:val="0"/>
          <w:numId w:val="9"/>
        </w:numPr>
        <w:spacing w:line="360" w:lineRule="auto"/>
        <w:ind w:left="0" w:right="113"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D719F2" w:rsidRPr="00184171" w:rsidRDefault="00D719F2">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tbl>
      <w:tblPr>
        <w:tblStyle w:val="a1"/>
        <w:tblW w:w="1015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0"/>
        <w:gridCol w:w="7208"/>
      </w:tblGrid>
      <w:tr w:rsidR="00D719F2" w:rsidRPr="00184171" w:rsidTr="00637574">
        <w:tc>
          <w:tcPr>
            <w:tcW w:w="2950"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a) Requisitos previos.</w:t>
            </w:r>
          </w:p>
        </w:tc>
        <w:tc>
          <w:tcPr>
            <w:tcW w:w="7208"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Al hacerlo tienen que precisar de qué información se trata, señalando el supuesto de clasificación (confidencialidad o reserva).</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vigente al momento de interponer la solicitud de información, respectivamente.</w:t>
            </w:r>
          </w:p>
          <w:p w:rsidR="00D719F2" w:rsidRPr="00184171" w:rsidRDefault="00D719F2">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184171">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184171">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D719F2" w:rsidRPr="00184171" w:rsidTr="00637574">
        <w:tc>
          <w:tcPr>
            <w:tcW w:w="2950"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b) Supuestos de clasificación.</w:t>
            </w:r>
          </w:p>
        </w:tc>
        <w:tc>
          <w:tcPr>
            <w:tcW w:w="7208"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w:t>
            </w:r>
            <w:r w:rsidRPr="00184171">
              <w:rPr>
                <w:rFonts w:ascii="Palatino Linotype" w:eastAsia="Palatino Linotype" w:hAnsi="Palatino Linotype" w:cs="Palatino Linotype"/>
                <w:color w:val="000000"/>
                <w:sz w:val="24"/>
                <w:szCs w:val="24"/>
              </w:rPr>
              <w:lastRenderedPageBreak/>
              <w:t>al momento de interponer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El </w:t>
            </w:r>
            <w:r w:rsidRPr="00184171">
              <w:rPr>
                <w:rFonts w:ascii="Palatino Linotype" w:eastAsia="Palatino Linotype" w:hAnsi="Palatino Linotype" w:cs="Palatino Linotype"/>
                <w:b/>
                <w:bCs/>
                <w:color w:val="000000"/>
                <w:sz w:val="24"/>
                <w:szCs w:val="24"/>
              </w:rPr>
              <w:t>Sujeto Obligado</w:t>
            </w:r>
            <w:r w:rsidRPr="00184171">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719F2" w:rsidRPr="00184171" w:rsidTr="00637574">
        <w:tc>
          <w:tcPr>
            <w:tcW w:w="2950"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c) Formalidades para emitir el acuerdo de clasificación.</w:t>
            </w:r>
          </w:p>
        </w:tc>
        <w:tc>
          <w:tcPr>
            <w:tcW w:w="7208"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Es necesario que </w:t>
            </w:r>
            <w:r w:rsidRPr="00184171">
              <w:rPr>
                <w:rFonts w:ascii="Palatino Linotype" w:eastAsia="Palatino Linotype" w:hAnsi="Palatino Linotype" w:cs="Palatino Linotype"/>
                <w:b/>
                <w:bCs/>
                <w:color w:val="000000"/>
                <w:sz w:val="24"/>
                <w:szCs w:val="24"/>
                <w:u w:val="single"/>
              </w:rPr>
              <w:t>el acto reúna con los requisitos elementales</w:t>
            </w:r>
            <w:r w:rsidRPr="00184171">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w:t>
            </w:r>
            <w:r w:rsidRPr="00184171">
              <w:rPr>
                <w:rFonts w:ascii="Palatino Linotype" w:eastAsia="Palatino Linotype" w:hAnsi="Palatino Linotype" w:cs="Palatino Linotype"/>
                <w:color w:val="000000"/>
                <w:sz w:val="24"/>
                <w:szCs w:val="24"/>
              </w:rPr>
              <w:lastRenderedPageBreak/>
              <w:t>agenda de los asuntos a tratar en las sesiones, se insiste, a partir de las decisiones adoptadas previamente por los titulares de áreas y que son sujetas a control, en primera instancia, por el Comité de Transparencia.</w:t>
            </w:r>
          </w:p>
        </w:tc>
      </w:tr>
      <w:tr w:rsidR="00D719F2" w:rsidRPr="00184171" w:rsidTr="00637574">
        <w:tc>
          <w:tcPr>
            <w:tcW w:w="2950" w:type="dxa"/>
          </w:tcPr>
          <w:p w:rsidR="00D719F2" w:rsidRPr="00184171" w:rsidRDefault="00D719F2">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d) Requisitos de fondo del acuerdo de clasificación. </w:t>
            </w:r>
          </w:p>
        </w:tc>
        <w:tc>
          <w:tcPr>
            <w:tcW w:w="7208"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84171">
              <w:rPr>
                <w:rFonts w:ascii="Palatino Linotype" w:eastAsia="Palatino Linotype" w:hAnsi="Palatino Linotype" w:cs="Palatino Linotype"/>
                <w:b/>
                <w:bCs/>
                <w:color w:val="000000"/>
                <w:sz w:val="24"/>
                <w:szCs w:val="24"/>
              </w:rPr>
              <w:t>Sujetos Obligados</w:t>
            </w:r>
            <w:r w:rsidRPr="00184171">
              <w:rPr>
                <w:rFonts w:ascii="Palatino Linotype" w:eastAsia="Palatino Linotype" w:hAnsi="Palatino Linotype" w:cs="Palatino Linotype"/>
                <w:color w:val="000000"/>
                <w:sz w:val="24"/>
                <w:szCs w:val="24"/>
              </w:rPr>
              <w:t xml:space="preserve">, por lo que deberán fundar y motivar debidamente la clasificación. </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De lo anterior, se desprende que para una correcta </w:t>
            </w:r>
            <w:r w:rsidRPr="00184171">
              <w:rPr>
                <w:rFonts w:ascii="Palatino Linotype" w:eastAsia="Palatino Linotype" w:hAnsi="Palatino Linotype" w:cs="Palatino Linotype"/>
                <w:b/>
                <w:bCs/>
                <w:color w:val="000000"/>
                <w:sz w:val="24"/>
                <w:szCs w:val="24"/>
              </w:rPr>
              <w:t>clasificación total o parcial</w:t>
            </w:r>
            <w:r w:rsidRPr="00184171">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w:t>
            </w:r>
            <w:r w:rsidRPr="00184171">
              <w:rPr>
                <w:rFonts w:ascii="Palatino Linotype" w:eastAsia="Palatino Linotype" w:hAnsi="Palatino Linotype" w:cs="Palatino Linotype"/>
                <w:color w:val="000000"/>
                <w:sz w:val="24"/>
                <w:szCs w:val="24"/>
              </w:rPr>
              <w:lastRenderedPageBreak/>
              <w:t>autoridad para adecuar el hecho a los fundamentos de derecho. De este modo, la persona que se sienta afectada pueda impugnar la decisión, permitiéndole una real y auténtica defensa.</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Ahora bien, </w:t>
            </w:r>
            <w:r w:rsidRPr="00184171">
              <w:rPr>
                <w:rFonts w:ascii="Palatino Linotype" w:eastAsia="Palatino Linotype" w:hAnsi="Palatino Linotype" w:cs="Palatino Linotype"/>
                <w:b/>
                <w:bCs/>
                <w:color w:val="000000"/>
                <w:sz w:val="24"/>
                <w:szCs w:val="24"/>
                <w:u w:val="single"/>
              </w:rPr>
              <w:t>para cada caso además de fundar y motivar</w:t>
            </w:r>
            <w:r w:rsidRPr="00184171">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719F2" w:rsidRPr="00184171" w:rsidTr="00637574">
        <w:tc>
          <w:tcPr>
            <w:tcW w:w="2950"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lastRenderedPageBreak/>
              <w:t xml:space="preserve">e) Condiciones especiales de la clasificación de la información como confidencial. </w:t>
            </w:r>
          </w:p>
        </w:tc>
        <w:tc>
          <w:tcPr>
            <w:tcW w:w="7208" w:type="dxa"/>
          </w:tcPr>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w:t>
            </w:r>
            <w:r w:rsidRPr="00184171">
              <w:rPr>
                <w:rFonts w:ascii="Palatino Linotype" w:eastAsia="Palatino Linotype" w:hAnsi="Palatino Linotype" w:cs="Palatino Linotype"/>
                <w:color w:val="000000"/>
                <w:sz w:val="24"/>
                <w:szCs w:val="24"/>
              </w:rPr>
              <w:lastRenderedPageBreak/>
              <w:t xml:space="preserve">también que como recientemente ha discutido la Suprema Corte de Justicia de la Nación, los servidores públicos nos encontramos sujetos a un régimen menor de protección. </w:t>
            </w:r>
          </w:p>
          <w:p w:rsidR="00D719F2" w:rsidRPr="00184171" w:rsidRDefault="00286A04">
            <w:pPr>
              <w:pBdr>
                <w:top w:val="nil"/>
                <w:left w:val="nil"/>
                <w:bottom w:val="nil"/>
                <w:right w:val="nil"/>
                <w:between w:val="nil"/>
              </w:pBdr>
              <w:tabs>
                <w:tab w:val="left" w:pos="851"/>
              </w:tabs>
              <w:spacing w:line="360" w:lineRule="auto"/>
              <w:ind w:right="33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719F2" w:rsidRPr="00184171" w:rsidRDefault="00D719F2">
      <w:pPr>
        <w:spacing w:line="360" w:lineRule="auto"/>
        <w:ind w:right="49"/>
        <w:jc w:val="both"/>
        <w:rPr>
          <w:rFonts w:ascii="Palatino Linotype" w:eastAsia="Palatino Linotype" w:hAnsi="Palatino Linotype" w:cs="Palatino Linotype"/>
          <w:color w:val="000000"/>
          <w:sz w:val="24"/>
          <w:szCs w:val="24"/>
        </w:rPr>
      </w:pPr>
      <w:bookmarkStart w:id="10" w:name="_heading=h.4d34og8" w:colFirst="0" w:colLast="0"/>
      <w:bookmarkEnd w:id="10"/>
    </w:p>
    <w:p w:rsidR="00D719F2" w:rsidRPr="00184171" w:rsidRDefault="00286A04">
      <w:pPr>
        <w:numPr>
          <w:ilvl w:val="0"/>
          <w:numId w:val="9"/>
        </w:numPr>
        <w:spacing w:line="360" w:lineRule="auto"/>
        <w:ind w:left="0" w:right="49" w:firstLine="0"/>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sz w:val="24"/>
          <w:szCs w:val="24"/>
        </w:rPr>
        <w:t>Por lo anteriormente expuesto, este Órgano Garante considera parcialmente fundadas las razones o motivos de inconformidad que plantea el</w:t>
      </w:r>
      <w:r w:rsidRPr="00184171">
        <w:rPr>
          <w:rFonts w:ascii="Palatino Linotype" w:eastAsia="Palatino Linotype" w:hAnsi="Palatino Linotype" w:cs="Palatino Linotype"/>
          <w:b/>
          <w:bCs/>
          <w:sz w:val="24"/>
          <w:szCs w:val="24"/>
        </w:rPr>
        <w:t xml:space="preserve"> RECURRENTE</w:t>
      </w:r>
      <w:r w:rsidRPr="00184171">
        <w:rPr>
          <w:rFonts w:ascii="Palatino Linotype" w:eastAsia="Palatino Linotype" w:hAnsi="Palatino Linotype" w:cs="Palatino Linotype"/>
          <w:sz w:val="24"/>
          <w:szCs w:val="24"/>
        </w:rPr>
        <w:t xml:space="preserve">, determinando </w:t>
      </w:r>
      <w:r w:rsidRPr="00184171">
        <w:rPr>
          <w:rFonts w:ascii="Palatino Linotype" w:eastAsia="Palatino Linotype" w:hAnsi="Palatino Linotype" w:cs="Palatino Linotype"/>
          <w:b/>
          <w:bCs/>
          <w:smallCaps/>
          <w:sz w:val="24"/>
          <w:szCs w:val="24"/>
        </w:rPr>
        <w:t xml:space="preserve">REVOCAR  </w:t>
      </w:r>
      <w:r w:rsidRPr="00184171">
        <w:rPr>
          <w:rFonts w:ascii="Palatino Linotype" w:eastAsia="Palatino Linotype" w:hAnsi="Palatino Linotype" w:cs="Palatino Linotype"/>
          <w:sz w:val="24"/>
          <w:szCs w:val="24"/>
        </w:rPr>
        <w:t xml:space="preserve">la respuesta del </w:t>
      </w:r>
      <w:r w:rsidRPr="00184171">
        <w:rPr>
          <w:rFonts w:ascii="Palatino Linotype" w:eastAsia="Palatino Linotype" w:hAnsi="Palatino Linotype" w:cs="Palatino Linotype"/>
          <w:b/>
          <w:bCs/>
          <w:sz w:val="24"/>
          <w:szCs w:val="24"/>
        </w:rPr>
        <w:t>SUJETO OBLIGADO</w:t>
      </w:r>
      <w:r w:rsidRPr="00184171">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184171">
        <w:rPr>
          <w:rFonts w:ascii="Palatino Linotype" w:eastAsia="Palatino Linotype" w:hAnsi="Palatino Linotype" w:cs="Palatino Linotype"/>
          <w:color w:val="000000"/>
          <w:sz w:val="24"/>
          <w:szCs w:val="24"/>
        </w:rPr>
        <w:t xml:space="preserve">este </w:t>
      </w:r>
      <w:r w:rsidRPr="00184171">
        <w:rPr>
          <w:rFonts w:ascii="Palatino Linotype" w:eastAsia="Palatino Linotype" w:hAnsi="Palatino Linotype" w:cs="Palatino Linotype"/>
          <w:b/>
          <w:bCs/>
          <w:color w:val="000000"/>
          <w:sz w:val="24"/>
          <w:szCs w:val="24"/>
        </w:rPr>
        <w:t>ÓRGANO GARANTE</w:t>
      </w:r>
      <w:r w:rsidRPr="00184171">
        <w:rPr>
          <w:rFonts w:ascii="Palatino Linotype" w:eastAsia="Palatino Linotype" w:hAnsi="Palatino Linotype" w:cs="Palatino Linotype"/>
          <w:color w:val="000000"/>
          <w:sz w:val="24"/>
          <w:szCs w:val="24"/>
        </w:rPr>
        <w:t xml:space="preserve"> emite los siguientes.</w:t>
      </w:r>
    </w:p>
    <w:p w:rsidR="00D719F2" w:rsidRPr="00184171" w:rsidRDefault="00D719F2">
      <w:pPr>
        <w:spacing w:line="360" w:lineRule="auto"/>
        <w:ind w:right="113"/>
        <w:jc w:val="both"/>
        <w:rPr>
          <w:rFonts w:ascii="Palatino Linotype" w:eastAsia="Palatino Linotype" w:hAnsi="Palatino Linotype" w:cs="Palatino Linotype"/>
          <w:i/>
          <w:iCs/>
          <w:color w:val="000000"/>
          <w:sz w:val="24"/>
          <w:szCs w:val="24"/>
        </w:rPr>
      </w:pPr>
    </w:p>
    <w:p w:rsidR="00D719F2" w:rsidRPr="00184171" w:rsidRDefault="00D719F2">
      <w:pPr>
        <w:pBdr>
          <w:top w:val="nil"/>
          <w:left w:val="nil"/>
          <w:bottom w:val="nil"/>
          <w:right w:val="nil"/>
          <w:between w:val="nil"/>
        </w:pBdr>
        <w:ind w:left="720" w:right="113"/>
        <w:rPr>
          <w:rFonts w:ascii="Palatino Linotype" w:eastAsia="Palatino Linotype" w:hAnsi="Palatino Linotype" w:cs="Palatino Linotype"/>
          <w:color w:val="000000"/>
          <w:sz w:val="24"/>
          <w:szCs w:val="24"/>
        </w:rPr>
      </w:pPr>
    </w:p>
    <w:p w:rsidR="00D719F2" w:rsidRPr="00184171" w:rsidRDefault="00286A04">
      <w:pPr>
        <w:pStyle w:val="Ttulo1"/>
        <w:spacing w:before="0" w:line="360" w:lineRule="auto"/>
        <w:ind w:right="113"/>
        <w:jc w:val="center"/>
        <w:rPr>
          <w:rFonts w:ascii="Palatino Linotype" w:eastAsia="Palatino Linotype" w:hAnsi="Palatino Linotype" w:cs="Palatino Linotype"/>
          <w:b/>
          <w:bCs/>
          <w:color w:val="000000"/>
          <w:sz w:val="24"/>
          <w:szCs w:val="24"/>
        </w:rPr>
      </w:pPr>
      <w:r w:rsidRPr="00184171">
        <w:rPr>
          <w:rFonts w:ascii="Palatino Linotype" w:eastAsia="Palatino Linotype" w:hAnsi="Palatino Linotype" w:cs="Palatino Linotype"/>
          <w:b/>
          <w:bCs/>
          <w:color w:val="000000"/>
          <w:sz w:val="24"/>
          <w:szCs w:val="24"/>
        </w:rPr>
        <w:t>R E S O L U T I V O S</w:t>
      </w:r>
    </w:p>
    <w:p w:rsidR="00D719F2" w:rsidRPr="00184171" w:rsidRDefault="00D719F2">
      <w:pPr>
        <w:spacing w:line="360" w:lineRule="auto"/>
        <w:ind w:right="113"/>
        <w:rPr>
          <w:rFonts w:ascii="Palatino Linotype" w:eastAsia="Palatino Linotype" w:hAnsi="Palatino Linotype" w:cs="Palatino Linotype"/>
          <w:sz w:val="24"/>
          <w:szCs w:val="24"/>
        </w:rPr>
      </w:pPr>
    </w:p>
    <w:p w:rsidR="00D719F2" w:rsidRPr="00184171" w:rsidRDefault="00286A04">
      <w:pPr>
        <w:spacing w:line="360" w:lineRule="auto"/>
        <w:ind w:right="113"/>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b/>
          <w:bCs/>
          <w:sz w:val="24"/>
          <w:szCs w:val="24"/>
        </w:rPr>
        <w:t>PRIMERO</w:t>
      </w:r>
      <w:r w:rsidRPr="00184171">
        <w:rPr>
          <w:rFonts w:ascii="Palatino Linotype" w:eastAsia="Palatino Linotype" w:hAnsi="Palatino Linotype" w:cs="Palatino Linotype"/>
          <w:sz w:val="24"/>
          <w:szCs w:val="24"/>
        </w:rPr>
        <w:t>. Resultan fundadas las</w:t>
      </w:r>
      <w:r w:rsidRPr="00184171">
        <w:rPr>
          <w:rFonts w:ascii="Palatino Linotype" w:eastAsia="Palatino Linotype" w:hAnsi="Palatino Linotype" w:cs="Palatino Linotype"/>
          <w:b/>
          <w:bCs/>
          <w:sz w:val="24"/>
          <w:szCs w:val="24"/>
        </w:rPr>
        <w:t xml:space="preserve"> </w:t>
      </w:r>
      <w:r w:rsidRPr="00184171">
        <w:rPr>
          <w:rFonts w:ascii="Palatino Linotype" w:eastAsia="Palatino Linotype" w:hAnsi="Palatino Linotype" w:cs="Palatino Linotype"/>
          <w:sz w:val="24"/>
          <w:szCs w:val="24"/>
        </w:rPr>
        <w:t>razones o motivos de inconformidad hechos valer en el Recurso de Revisión</w:t>
      </w:r>
      <w:r w:rsidRPr="00184171">
        <w:rPr>
          <w:rFonts w:ascii="Palatino Linotype" w:eastAsia="Palatino Linotype" w:hAnsi="Palatino Linotype" w:cs="Palatino Linotype"/>
          <w:b/>
          <w:bCs/>
          <w:sz w:val="24"/>
          <w:szCs w:val="24"/>
        </w:rPr>
        <w:t xml:space="preserve"> 09003/INFOEM/IP/RR/2025, </w:t>
      </w:r>
      <w:r w:rsidRPr="00184171">
        <w:rPr>
          <w:rFonts w:ascii="Palatino Linotype" w:eastAsia="Palatino Linotype" w:hAnsi="Palatino Linotype" w:cs="Palatino Linotype"/>
          <w:sz w:val="24"/>
          <w:szCs w:val="24"/>
        </w:rPr>
        <w:t xml:space="preserve">en términos del </w:t>
      </w:r>
      <w:r w:rsidRPr="00184171">
        <w:rPr>
          <w:rFonts w:ascii="Palatino Linotype" w:eastAsia="Palatino Linotype" w:hAnsi="Palatino Linotype" w:cs="Palatino Linotype"/>
          <w:b/>
          <w:bCs/>
          <w:sz w:val="24"/>
          <w:szCs w:val="24"/>
        </w:rPr>
        <w:t xml:space="preserve">Considerando Cuarto y Quinto </w:t>
      </w:r>
      <w:r w:rsidRPr="00184171">
        <w:rPr>
          <w:rFonts w:ascii="Palatino Linotype" w:eastAsia="Palatino Linotype" w:hAnsi="Palatino Linotype" w:cs="Palatino Linotype"/>
          <w:sz w:val="24"/>
          <w:szCs w:val="24"/>
        </w:rPr>
        <w:t>de la presente resolución.</w:t>
      </w:r>
    </w:p>
    <w:p w:rsidR="00D719F2" w:rsidRPr="00184171" w:rsidRDefault="00286A04">
      <w:pPr>
        <w:spacing w:line="360" w:lineRule="auto"/>
        <w:ind w:right="113"/>
        <w:jc w:val="both"/>
        <w:rPr>
          <w:rFonts w:ascii="Palatino Linotype" w:eastAsia="Palatino Linotype" w:hAnsi="Palatino Linotype" w:cs="Palatino Linotype"/>
          <w:color w:val="000000"/>
          <w:sz w:val="24"/>
          <w:szCs w:val="24"/>
        </w:rPr>
      </w:pPr>
      <w:r w:rsidRPr="00184171">
        <w:rPr>
          <w:rFonts w:ascii="Palatino Linotype" w:eastAsia="Palatino Linotype" w:hAnsi="Palatino Linotype" w:cs="Palatino Linotype"/>
          <w:b/>
          <w:bCs/>
          <w:sz w:val="24"/>
          <w:szCs w:val="24"/>
        </w:rPr>
        <w:lastRenderedPageBreak/>
        <w:t>SEGUNDO.</w:t>
      </w:r>
      <w:r w:rsidRPr="00184171">
        <w:rPr>
          <w:rFonts w:ascii="Palatino Linotype" w:eastAsia="Palatino Linotype" w:hAnsi="Palatino Linotype" w:cs="Palatino Linotype"/>
          <w:color w:val="2E75B5"/>
          <w:sz w:val="24"/>
          <w:szCs w:val="24"/>
        </w:rPr>
        <w:t xml:space="preserve"> </w:t>
      </w:r>
      <w:r w:rsidRPr="00184171">
        <w:rPr>
          <w:rFonts w:ascii="Palatino Linotype" w:eastAsia="Palatino Linotype" w:hAnsi="Palatino Linotype" w:cs="Palatino Linotype"/>
          <w:color w:val="000000"/>
          <w:sz w:val="24"/>
          <w:szCs w:val="24"/>
        </w:rPr>
        <w:t xml:space="preserve">Se </w:t>
      </w:r>
      <w:r w:rsidRPr="00184171">
        <w:rPr>
          <w:rFonts w:ascii="Palatino Linotype" w:eastAsia="Palatino Linotype" w:hAnsi="Palatino Linotype" w:cs="Palatino Linotype"/>
          <w:b/>
          <w:bCs/>
          <w:color w:val="000000"/>
          <w:sz w:val="24"/>
          <w:szCs w:val="24"/>
        </w:rPr>
        <w:t xml:space="preserve">REVOCA </w:t>
      </w:r>
      <w:r w:rsidRPr="00184171">
        <w:rPr>
          <w:rFonts w:ascii="Palatino Linotype" w:eastAsia="Palatino Linotype" w:hAnsi="Palatino Linotype" w:cs="Palatino Linotype"/>
          <w:color w:val="000000"/>
          <w:sz w:val="24"/>
          <w:szCs w:val="24"/>
        </w:rPr>
        <w:t xml:space="preserve">la respuesta emitida por el </w:t>
      </w:r>
      <w:r w:rsidRPr="00184171">
        <w:rPr>
          <w:rFonts w:ascii="Palatino Linotype" w:eastAsia="Palatino Linotype" w:hAnsi="Palatino Linotype" w:cs="Palatino Linotype"/>
          <w:b/>
          <w:bCs/>
          <w:color w:val="000000"/>
          <w:sz w:val="24"/>
          <w:szCs w:val="24"/>
        </w:rPr>
        <w:t xml:space="preserve">Ayuntamiento de Toluca </w:t>
      </w:r>
      <w:r w:rsidRPr="00184171">
        <w:rPr>
          <w:rFonts w:ascii="Palatino Linotype" w:eastAsia="Palatino Linotype" w:hAnsi="Palatino Linotype" w:cs="Palatino Linotype"/>
          <w:color w:val="000000"/>
          <w:sz w:val="24"/>
          <w:szCs w:val="24"/>
        </w:rPr>
        <w:t xml:space="preserve">y se </w:t>
      </w:r>
      <w:r w:rsidRPr="00184171">
        <w:rPr>
          <w:rFonts w:ascii="Palatino Linotype" w:eastAsia="Palatino Linotype" w:hAnsi="Palatino Linotype" w:cs="Palatino Linotype"/>
          <w:b/>
          <w:bCs/>
          <w:color w:val="000000"/>
          <w:sz w:val="24"/>
          <w:szCs w:val="24"/>
        </w:rPr>
        <w:t>ORDENA</w:t>
      </w:r>
      <w:r w:rsidRPr="00184171">
        <w:rPr>
          <w:rFonts w:ascii="Palatino Linotype" w:eastAsia="Palatino Linotype" w:hAnsi="Palatino Linotype" w:cs="Palatino Linotype"/>
          <w:color w:val="000000"/>
          <w:sz w:val="24"/>
          <w:szCs w:val="24"/>
        </w:rPr>
        <w:t xml:space="preserve"> entregar vía Sistema de Acceso a la Información Mexiquense </w:t>
      </w:r>
      <w:r w:rsidRPr="00184171">
        <w:rPr>
          <w:rFonts w:ascii="Palatino Linotype" w:eastAsia="Palatino Linotype" w:hAnsi="Palatino Linotype" w:cs="Palatino Linotype"/>
          <w:b/>
          <w:bCs/>
          <w:color w:val="000000"/>
          <w:sz w:val="24"/>
          <w:szCs w:val="24"/>
        </w:rPr>
        <w:t xml:space="preserve">(SAIMEX), </w:t>
      </w:r>
      <w:r w:rsidRPr="00184171">
        <w:rPr>
          <w:rFonts w:ascii="Palatino Linotype" w:eastAsia="Palatino Linotype" w:hAnsi="Palatino Linotype" w:cs="Palatino Linotype"/>
          <w:color w:val="000000"/>
          <w:sz w:val="24"/>
          <w:szCs w:val="24"/>
        </w:rPr>
        <w:t>previa búsqueda exhaustiva y razonable, de ser procedente en versión pública, lo siguiente:</w:t>
      </w:r>
    </w:p>
    <w:p w:rsidR="00D719F2" w:rsidRPr="00184171" w:rsidRDefault="00286A04">
      <w:pPr>
        <w:numPr>
          <w:ilvl w:val="0"/>
          <w:numId w:val="2"/>
        </w:numPr>
        <w:pBdr>
          <w:top w:val="nil"/>
          <w:left w:val="nil"/>
          <w:bottom w:val="nil"/>
          <w:right w:val="nil"/>
          <w:between w:val="nil"/>
        </w:pBdr>
        <w:ind w:left="1276" w:right="964"/>
        <w:jc w:val="both"/>
        <w:rPr>
          <w:rFonts w:ascii="Palatino Linotype" w:eastAsia="Palatino Linotype" w:hAnsi="Palatino Linotype" w:cs="Palatino Linotype"/>
          <w:b/>
          <w:bCs/>
          <w:color w:val="000000"/>
          <w:sz w:val="24"/>
          <w:szCs w:val="24"/>
        </w:rPr>
      </w:pPr>
      <w:bookmarkStart w:id="11" w:name="_heading=h.crdv98bd31c8" w:colFirst="0" w:colLast="0"/>
      <w:bookmarkEnd w:id="11"/>
      <w:r w:rsidRPr="00184171">
        <w:rPr>
          <w:rFonts w:ascii="Palatino Linotype" w:eastAsia="Palatino Linotype" w:hAnsi="Palatino Linotype" w:cs="Palatino Linotype"/>
          <w:b/>
          <w:bCs/>
          <w:color w:val="000000"/>
          <w:sz w:val="24"/>
          <w:szCs w:val="24"/>
        </w:rPr>
        <w:t>el soporte documental que dé cuenta del gasto erogado por la contratación de grupo musical, audio, escenario, etc. de los eventos realizados del uno de enero al veinticuatro de junio de dos mil veinticinco.</w:t>
      </w:r>
    </w:p>
    <w:p w:rsidR="00D719F2" w:rsidRPr="00184171" w:rsidRDefault="00D719F2">
      <w:pPr>
        <w:pBdr>
          <w:top w:val="nil"/>
          <w:left w:val="nil"/>
          <w:bottom w:val="nil"/>
          <w:right w:val="nil"/>
          <w:between w:val="nil"/>
        </w:pBdr>
        <w:spacing w:line="360" w:lineRule="auto"/>
        <w:ind w:left="720" w:right="113"/>
        <w:jc w:val="both"/>
        <w:rPr>
          <w:rFonts w:ascii="Palatino Linotype" w:eastAsia="Palatino Linotype" w:hAnsi="Palatino Linotype" w:cs="Palatino Linotype"/>
          <w:b/>
          <w:bCs/>
          <w:color w:val="000000"/>
          <w:sz w:val="24"/>
          <w:szCs w:val="24"/>
        </w:rPr>
      </w:pPr>
    </w:p>
    <w:p w:rsidR="00D719F2" w:rsidRPr="00184171" w:rsidRDefault="00286A04">
      <w:pPr>
        <w:spacing w:line="360" w:lineRule="auto"/>
        <w:ind w:right="113"/>
        <w:jc w:val="both"/>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184171">
        <w:rPr>
          <w:rFonts w:ascii="Palatino Linotype" w:eastAsia="Palatino Linotype" w:hAnsi="Palatino Linotype" w:cs="Palatino Linotype"/>
          <w:b/>
          <w:bCs/>
          <w:sz w:val="24"/>
          <w:szCs w:val="24"/>
        </w:rPr>
        <w:t>RECURRENTE.</w:t>
      </w:r>
    </w:p>
    <w:p w:rsidR="00D719F2" w:rsidRPr="00184171" w:rsidRDefault="00D719F2">
      <w:pPr>
        <w:ind w:right="113"/>
        <w:rPr>
          <w:rFonts w:ascii="Palatino Linotype" w:eastAsia="Palatino Linotype" w:hAnsi="Palatino Linotype" w:cs="Palatino Linotype"/>
          <w:i/>
          <w:iCs/>
          <w:color w:val="000000"/>
          <w:sz w:val="24"/>
          <w:szCs w:val="24"/>
        </w:rPr>
      </w:pPr>
    </w:p>
    <w:p w:rsidR="00D719F2" w:rsidRPr="00184171" w:rsidRDefault="00286A04">
      <w:pPr>
        <w:tabs>
          <w:tab w:val="left" w:pos="2947"/>
        </w:tabs>
        <w:spacing w:line="360" w:lineRule="auto"/>
        <w:ind w:right="113"/>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sz w:val="24"/>
          <w:szCs w:val="24"/>
        </w:rPr>
        <w:tab/>
      </w:r>
    </w:p>
    <w:p w:rsidR="00D719F2" w:rsidRPr="00184171" w:rsidRDefault="00286A04">
      <w:pPr>
        <w:tabs>
          <w:tab w:val="left" w:pos="8080"/>
        </w:tabs>
        <w:spacing w:line="360" w:lineRule="auto"/>
        <w:ind w:right="113"/>
        <w:jc w:val="both"/>
        <w:rPr>
          <w:rFonts w:ascii="Palatino Linotype" w:eastAsia="Palatino Linotype" w:hAnsi="Palatino Linotype" w:cs="Palatino Linotype"/>
          <w:color w:val="222222"/>
          <w:sz w:val="24"/>
          <w:szCs w:val="24"/>
        </w:rPr>
      </w:pPr>
      <w:r w:rsidRPr="00184171">
        <w:rPr>
          <w:rFonts w:ascii="Palatino Linotype" w:eastAsia="Palatino Linotype" w:hAnsi="Palatino Linotype" w:cs="Palatino Linotype"/>
          <w:b/>
          <w:bCs/>
          <w:sz w:val="24"/>
          <w:szCs w:val="24"/>
        </w:rPr>
        <w:t xml:space="preserve">TERCERO. </w:t>
      </w:r>
      <w:r w:rsidRPr="00184171">
        <w:rPr>
          <w:rFonts w:ascii="Palatino Linotype" w:eastAsia="Palatino Linotype" w:hAnsi="Palatino Linotype" w:cs="Palatino Linotype"/>
          <w:b/>
          <w:bCs/>
          <w:color w:val="222222"/>
          <w:sz w:val="24"/>
          <w:szCs w:val="24"/>
        </w:rPr>
        <w:t xml:space="preserve">NOTIFÍQUESE </w:t>
      </w:r>
      <w:r w:rsidRPr="00184171">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84171">
        <w:rPr>
          <w:rFonts w:ascii="Palatino Linotype" w:eastAsia="Palatino Linotype" w:hAnsi="Palatino Linotype" w:cs="Palatino Linotype"/>
          <w:b/>
          <w:bCs/>
          <w:color w:val="222222"/>
          <w:sz w:val="24"/>
          <w:szCs w:val="24"/>
        </w:rPr>
        <w:t xml:space="preserve">dé cumplimiento a lo ordenado dentro del plazo de diez días hábiles, </w:t>
      </w:r>
      <w:r w:rsidRPr="00184171">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D719F2" w:rsidRPr="00184171" w:rsidRDefault="00D719F2">
      <w:pPr>
        <w:spacing w:line="360" w:lineRule="auto"/>
        <w:ind w:right="113"/>
        <w:jc w:val="both"/>
        <w:rPr>
          <w:rFonts w:ascii="Palatino Linotype" w:eastAsia="Palatino Linotype" w:hAnsi="Palatino Linotype" w:cs="Palatino Linotype"/>
          <w:sz w:val="24"/>
          <w:szCs w:val="24"/>
        </w:rPr>
      </w:pPr>
    </w:p>
    <w:p w:rsidR="00D719F2" w:rsidRPr="00184171" w:rsidRDefault="00286A04">
      <w:pPr>
        <w:spacing w:line="360" w:lineRule="auto"/>
        <w:ind w:right="113"/>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b/>
          <w:bCs/>
          <w:sz w:val="24"/>
          <w:szCs w:val="24"/>
        </w:rPr>
        <w:lastRenderedPageBreak/>
        <w:t xml:space="preserve">CUARTO. </w:t>
      </w:r>
      <w:r w:rsidRPr="00184171">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D719F2" w:rsidRPr="00184171" w:rsidRDefault="00D719F2">
      <w:pPr>
        <w:spacing w:line="360" w:lineRule="auto"/>
        <w:ind w:right="113"/>
        <w:jc w:val="both"/>
        <w:rPr>
          <w:rFonts w:ascii="Palatino Linotype" w:eastAsia="Palatino Linotype" w:hAnsi="Palatino Linotype" w:cs="Palatino Linotype"/>
          <w:sz w:val="24"/>
          <w:szCs w:val="24"/>
        </w:rPr>
      </w:pPr>
    </w:p>
    <w:p w:rsidR="00D719F2" w:rsidRPr="00184171" w:rsidRDefault="00286A04">
      <w:pPr>
        <w:spacing w:line="360" w:lineRule="auto"/>
        <w:ind w:right="113"/>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b/>
          <w:bCs/>
          <w:sz w:val="24"/>
          <w:szCs w:val="24"/>
        </w:rPr>
        <w:t xml:space="preserve">QUINTO. </w:t>
      </w:r>
      <w:r w:rsidRPr="00184171">
        <w:rPr>
          <w:rFonts w:ascii="Palatino Linotype" w:eastAsia="Palatino Linotype" w:hAnsi="Palatino Linotype" w:cs="Palatino Linotype"/>
          <w:b/>
          <w:bCs/>
          <w:color w:val="222222"/>
          <w:sz w:val="24"/>
          <w:szCs w:val="24"/>
        </w:rPr>
        <w:t xml:space="preserve">Notifíquese </w:t>
      </w:r>
      <w:r w:rsidRPr="00184171">
        <w:rPr>
          <w:rFonts w:ascii="Palatino Linotype" w:eastAsia="Palatino Linotype" w:hAnsi="Palatino Linotype" w:cs="Palatino Linotype"/>
          <w:color w:val="222222"/>
          <w:sz w:val="24"/>
          <w:szCs w:val="24"/>
        </w:rPr>
        <w:t xml:space="preserve">a </w:t>
      </w:r>
      <w:r w:rsidRPr="00184171">
        <w:rPr>
          <w:rFonts w:ascii="Palatino Linotype" w:eastAsia="Palatino Linotype" w:hAnsi="Palatino Linotype" w:cs="Palatino Linotype"/>
          <w:b/>
          <w:bCs/>
          <w:sz w:val="24"/>
          <w:szCs w:val="24"/>
        </w:rPr>
        <w:t>LA RECURRENTE</w:t>
      </w:r>
      <w:r w:rsidRPr="00184171">
        <w:rPr>
          <w:rFonts w:ascii="Palatino Linotype" w:eastAsia="Palatino Linotype" w:hAnsi="Palatino Linotype" w:cs="Palatino Linotype"/>
          <w:sz w:val="24"/>
          <w:szCs w:val="24"/>
        </w:rPr>
        <w:t xml:space="preserve"> la presente resolución, vía SAIMEX.</w:t>
      </w:r>
    </w:p>
    <w:p w:rsidR="00D719F2" w:rsidRPr="00184171" w:rsidRDefault="00D719F2">
      <w:pPr>
        <w:spacing w:line="360" w:lineRule="auto"/>
        <w:ind w:right="113"/>
        <w:jc w:val="both"/>
        <w:rPr>
          <w:rFonts w:ascii="Palatino Linotype" w:eastAsia="Palatino Linotype" w:hAnsi="Palatino Linotype" w:cs="Palatino Linotype"/>
          <w:sz w:val="24"/>
          <w:szCs w:val="24"/>
        </w:rPr>
      </w:pPr>
    </w:p>
    <w:p w:rsidR="00D719F2" w:rsidRPr="00184171" w:rsidRDefault="00286A04">
      <w:pPr>
        <w:spacing w:line="360" w:lineRule="auto"/>
        <w:ind w:right="113"/>
        <w:jc w:val="both"/>
        <w:rPr>
          <w:rFonts w:ascii="Palatino Linotype" w:eastAsia="Palatino Linotype" w:hAnsi="Palatino Linotype" w:cs="Palatino Linotype"/>
          <w:sz w:val="24"/>
          <w:szCs w:val="24"/>
        </w:rPr>
      </w:pPr>
      <w:r w:rsidRPr="00184171">
        <w:rPr>
          <w:rFonts w:ascii="Palatino Linotype" w:eastAsia="Palatino Linotype" w:hAnsi="Palatino Linotype" w:cs="Palatino Linotype"/>
          <w:b/>
          <w:bCs/>
          <w:sz w:val="24"/>
          <w:szCs w:val="24"/>
        </w:rPr>
        <w:t>SEXTO.</w:t>
      </w:r>
      <w:r w:rsidRPr="00184171">
        <w:rPr>
          <w:rFonts w:ascii="Palatino Linotype" w:eastAsia="Palatino Linotype" w:hAnsi="Palatino Linotype" w:cs="Palatino Linotype"/>
          <w:sz w:val="24"/>
          <w:szCs w:val="24"/>
        </w:rPr>
        <w:t xml:space="preserve"> Se hace del conocimiento de </w:t>
      </w:r>
      <w:r w:rsidRPr="00184171">
        <w:rPr>
          <w:rFonts w:ascii="Palatino Linotype" w:eastAsia="Palatino Linotype" w:hAnsi="Palatino Linotype" w:cs="Palatino Linotype"/>
          <w:b/>
          <w:bCs/>
          <w:sz w:val="24"/>
          <w:szCs w:val="24"/>
        </w:rPr>
        <w:t>LA RECURRENTE</w:t>
      </w:r>
      <w:r w:rsidRPr="00184171">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D719F2" w:rsidRPr="00184171" w:rsidRDefault="00D719F2">
      <w:pPr>
        <w:spacing w:line="360" w:lineRule="auto"/>
        <w:ind w:right="113"/>
        <w:jc w:val="both"/>
        <w:rPr>
          <w:rFonts w:ascii="Palatino Linotype" w:eastAsia="Palatino Linotype" w:hAnsi="Palatino Linotype" w:cs="Palatino Linotype"/>
          <w:sz w:val="24"/>
          <w:szCs w:val="24"/>
        </w:rPr>
      </w:pPr>
    </w:p>
    <w:p w:rsidR="00455863" w:rsidRPr="00184171" w:rsidRDefault="00455863" w:rsidP="00455863">
      <w:pPr>
        <w:spacing w:before="240" w:after="240" w:line="360" w:lineRule="auto"/>
        <w:ind w:firstLine="1"/>
        <w:jc w:val="both"/>
        <w:rPr>
          <w:rFonts w:ascii="Palatino Linotype" w:hAnsi="Palatino Linotype"/>
          <w:sz w:val="24"/>
          <w:szCs w:val="24"/>
        </w:rPr>
      </w:pPr>
      <w:bookmarkStart w:id="12" w:name="_Hlk99014733"/>
      <w:r w:rsidRPr="00184171">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184171">
        <w:rPr>
          <w:rFonts w:ascii="Palatino Linotype" w:hAnsi="Palatino Linotype" w:cs="Palatino Linotype"/>
          <w:color w:val="000000" w:themeColor="text1"/>
          <w:sz w:val="24"/>
          <w:szCs w:val="24"/>
        </w:rPr>
        <w:t>ALEXIS TAPIA RAMÍREZ.</w:t>
      </w:r>
    </w:p>
    <w:bookmarkEnd w:id="12"/>
    <w:p w:rsidR="00D719F2" w:rsidRPr="00184171" w:rsidRDefault="00D719F2">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p w:rsidR="00D32CF7" w:rsidRPr="00184171" w:rsidRDefault="00D32CF7">
      <w:pPr>
        <w:rPr>
          <w:sz w:val="24"/>
          <w:szCs w:val="24"/>
        </w:rPr>
      </w:pPr>
    </w:p>
    <w:sectPr w:rsidR="00D32CF7" w:rsidRPr="00184171" w:rsidSect="00184171">
      <w:headerReference w:type="even" r:id="rId22"/>
      <w:headerReference w:type="default" r:id="rId23"/>
      <w:footerReference w:type="default" r:id="rId24"/>
      <w:headerReference w:type="first" r:id="rId25"/>
      <w:footerReference w:type="first" r:id="rId26"/>
      <w:pgSz w:w="12240" w:h="15840"/>
      <w:pgMar w:top="80" w:right="616"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63C" w:rsidRDefault="00D5063C">
      <w:r>
        <w:separator/>
      </w:r>
    </w:p>
  </w:endnote>
  <w:endnote w:type="continuationSeparator" w:id="0">
    <w:p w:rsidR="00D5063C" w:rsidRDefault="00D50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68D0616A-77EA-4974-BB83-D120C71B3F06}"/>
    <w:embedBold r:id="rId2" w:fontKey="{B97965F3-F4FE-4A9D-9CB7-18C62334D815}"/>
    <w:embedItalic r:id="rId3" w:fontKey="{AD89BD08-F33D-4937-A78C-11322D8AF349}"/>
    <w:embedBoldItalic r:id="rId4" w:fontKey="{C4D30624-4BB0-430E-8798-0338984C0A0C}"/>
  </w:font>
  <w:font w:name="Noto Sans Symbols">
    <w:altName w:val="Times New Roman"/>
    <w:charset w:val="00"/>
    <w:family w:val="auto"/>
    <w:pitch w:val="default"/>
    <w:embedRegular r:id="rId5" w:fontKey="{460AC055-622B-4418-8951-1DDE366D798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4421F827-2C9E-403F-981D-4D2C53BF6EEE}"/>
  </w:font>
  <w:font w:name="Georgia">
    <w:panose1 w:val="02040502050405020303"/>
    <w:charset w:val="00"/>
    <w:family w:val="roman"/>
    <w:pitch w:val="variable"/>
    <w:sig w:usb0="00000287" w:usb1="00000000" w:usb2="00000000" w:usb3="00000000" w:csb0="0000009F" w:csb1="00000000"/>
    <w:embedItalic r:id="rId7" w:fontKey="{C5C6845F-B711-4275-8035-8BFB71ED5F3F}"/>
  </w:font>
  <w:font w:name="Garamond">
    <w:panose1 w:val="02020404030301010803"/>
    <w:charset w:val="00"/>
    <w:family w:val="roman"/>
    <w:pitch w:val="variable"/>
    <w:sig w:usb0="00000287" w:usb1="00000000" w:usb2="00000000" w:usb3="00000000" w:csb0="0000009F" w:csb1="00000000"/>
    <w:embedRegular r:id="rId8" w:fontKey="{E4375524-21C9-419F-A053-C9BFD26AA62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711A87C5-6238-4899-BD25-88A3974313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71" w:rsidRDefault="00184171">
    <w:pPr>
      <w:pBdr>
        <w:top w:val="nil"/>
        <w:left w:val="nil"/>
        <w:bottom w:val="nil"/>
        <w:right w:val="nil"/>
        <w:between w:val="nil"/>
      </w:pBdr>
      <w:tabs>
        <w:tab w:val="center" w:pos="4419"/>
        <w:tab w:val="right" w:pos="8838"/>
      </w:tabs>
      <w:jc w:val="right"/>
      <w:rPr>
        <w:color w:val="000000"/>
      </w:rPr>
    </w:pPr>
  </w:p>
  <w:p w:rsidR="00184171" w:rsidRPr="00184171" w:rsidRDefault="00184171">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184171">
      <w:rPr>
        <w:rFonts w:ascii="Palatino Linotype" w:hAnsi="Palatino Linotype"/>
        <w:b/>
        <w:color w:val="000000"/>
        <w:sz w:val="22"/>
        <w:szCs w:val="22"/>
      </w:rPr>
      <w:t xml:space="preserve">Página </w:t>
    </w:r>
    <w:r w:rsidRPr="00184171">
      <w:rPr>
        <w:rFonts w:ascii="Palatino Linotype" w:hAnsi="Palatino Linotype"/>
        <w:b/>
        <w:bCs/>
        <w:color w:val="000000"/>
        <w:sz w:val="22"/>
        <w:szCs w:val="22"/>
      </w:rPr>
      <w:fldChar w:fldCharType="begin"/>
    </w:r>
    <w:r w:rsidRPr="00184171">
      <w:rPr>
        <w:rFonts w:ascii="Palatino Linotype" w:hAnsi="Palatino Linotype"/>
        <w:b/>
        <w:bCs/>
        <w:color w:val="000000"/>
        <w:sz w:val="22"/>
        <w:szCs w:val="22"/>
      </w:rPr>
      <w:instrText>PAGE</w:instrText>
    </w:r>
    <w:r w:rsidRPr="00184171">
      <w:rPr>
        <w:rFonts w:ascii="Palatino Linotype" w:hAnsi="Palatino Linotype"/>
        <w:b/>
        <w:bCs/>
        <w:color w:val="000000"/>
        <w:sz w:val="22"/>
        <w:szCs w:val="22"/>
      </w:rPr>
      <w:fldChar w:fldCharType="separate"/>
    </w:r>
    <w:r w:rsidR="00A653CA">
      <w:rPr>
        <w:rFonts w:ascii="Palatino Linotype" w:hAnsi="Palatino Linotype"/>
        <w:b/>
        <w:bCs/>
        <w:noProof/>
        <w:color w:val="000000"/>
        <w:sz w:val="22"/>
        <w:szCs w:val="22"/>
      </w:rPr>
      <w:t>21</w:t>
    </w:r>
    <w:r w:rsidRPr="00184171">
      <w:rPr>
        <w:rFonts w:ascii="Palatino Linotype" w:hAnsi="Palatino Linotype"/>
        <w:b/>
        <w:bCs/>
        <w:color w:val="000000"/>
        <w:sz w:val="22"/>
        <w:szCs w:val="22"/>
      </w:rPr>
      <w:fldChar w:fldCharType="end"/>
    </w:r>
    <w:r w:rsidRPr="00184171">
      <w:rPr>
        <w:rFonts w:ascii="Palatino Linotype" w:hAnsi="Palatino Linotype"/>
        <w:b/>
        <w:color w:val="000000"/>
        <w:sz w:val="22"/>
        <w:szCs w:val="22"/>
      </w:rPr>
      <w:t xml:space="preserve"> de </w:t>
    </w:r>
    <w:r w:rsidRPr="00184171">
      <w:rPr>
        <w:rFonts w:ascii="Palatino Linotype" w:hAnsi="Palatino Linotype"/>
        <w:b/>
        <w:bCs/>
        <w:color w:val="000000"/>
        <w:sz w:val="22"/>
        <w:szCs w:val="22"/>
      </w:rPr>
      <w:fldChar w:fldCharType="begin"/>
    </w:r>
    <w:r w:rsidRPr="00184171">
      <w:rPr>
        <w:rFonts w:ascii="Palatino Linotype" w:hAnsi="Palatino Linotype"/>
        <w:b/>
        <w:bCs/>
        <w:color w:val="000000"/>
        <w:sz w:val="22"/>
        <w:szCs w:val="22"/>
      </w:rPr>
      <w:instrText>NUMPAGES</w:instrText>
    </w:r>
    <w:r w:rsidRPr="00184171">
      <w:rPr>
        <w:rFonts w:ascii="Palatino Linotype" w:hAnsi="Palatino Linotype"/>
        <w:b/>
        <w:bCs/>
        <w:color w:val="000000"/>
        <w:sz w:val="22"/>
        <w:szCs w:val="22"/>
      </w:rPr>
      <w:fldChar w:fldCharType="separate"/>
    </w:r>
    <w:r w:rsidR="00A653CA">
      <w:rPr>
        <w:rFonts w:ascii="Palatino Linotype" w:hAnsi="Palatino Linotype"/>
        <w:b/>
        <w:bCs/>
        <w:noProof/>
        <w:color w:val="000000"/>
        <w:sz w:val="22"/>
        <w:szCs w:val="22"/>
      </w:rPr>
      <w:t>52</w:t>
    </w:r>
    <w:r w:rsidRPr="00184171">
      <w:rPr>
        <w:rFonts w:ascii="Palatino Linotype" w:hAnsi="Palatino Linotype"/>
        <w:b/>
        <w:bCs/>
        <w:color w:val="000000"/>
        <w:sz w:val="22"/>
        <w:szCs w:val="22"/>
      </w:rPr>
      <w:fldChar w:fldCharType="end"/>
    </w:r>
  </w:p>
  <w:p w:rsidR="00184171" w:rsidRDefault="00184171">
    <w:pPr>
      <w:pBdr>
        <w:top w:val="nil"/>
        <w:left w:val="nil"/>
        <w:bottom w:val="nil"/>
        <w:right w:val="nil"/>
        <w:between w:val="nil"/>
      </w:pBdr>
      <w:tabs>
        <w:tab w:val="center" w:pos="4419"/>
        <w:tab w:val="right" w:pos="8838"/>
      </w:tabs>
      <w:rPr>
        <w:color w:val="000000"/>
      </w:rPr>
    </w:pPr>
  </w:p>
  <w:p w:rsidR="00184171" w:rsidRDefault="00184171"/>
  <w:p w:rsidR="00184171" w:rsidRDefault="00184171"/>
  <w:p w:rsidR="00184171" w:rsidRDefault="001841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71" w:rsidRPr="00184171" w:rsidRDefault="00184171">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184171">
      <w:rPr>
        <w:rFonts w:ascii="Palatino Linotype" w:hAnsi="Palatino Linotype"/>
        <w:b/>
        <w:color w:val="000000"/>
        <w:sz w:val="22"/>
        <w:szCs w:val="22"/>
      </w:rPr>
      <w:t xml:space="preserve">Página </w:t>
    </w:r>
    <w:r w:rsidRPr="00184171">
      <w:rPr>
        <w:rFonts w:ascii="Palatino Linotype" w:hAnsi="Palatino Linotype"/>
        <w:b/>
        <w:bCs/>
        <w:color w:val="000000"/>
        <w:sz w:val="22"/>
        <w:szCs w:val="22"/>
      </w:rPr>
      <w:fldChar w:fldCharType="begin"/>
    </w:r>
    <w:r w:rsidRPr="00184171">
      <w:rPr>
        <w:rFonts w:ascii="Palatino Linotype" w:hAnsi="Palatino Linotype"/>
        <w:b/>
        <w:bCs/>
        <w:color w:val="000000"/>
        <w:sz w:val="22"/>
        <w:szCs w:val="22"/>
      </w:rPr>
      <w:instrText>PAGE</w:instrText>
    </w:r>
    <w:r w:rsidRPr="00184171">
      <w:rPr>
        <w:rFonts w:ascii="Palatino Linotype" w:hAnsi="Palatino Linotype"/>
        <w:b/>
        <w:bCs/>
        <w:color w:val="000000"/>
        <w:sz w:val="22"/>
        <w:szCs w:val="22"/>
      </w:rPr>
      <w:fldChar w:fldCharType="separate"/>
    </w:r>
    <w:r w:rsidR="00A653CA">
      <w:rPr>
        <w:rFonts w:ascii="Palatino Linotype" w:hAnsi="Palatino Linotype"/>
        <w:b/>
        <w:bCs/>
        <w:noProof/>
        <w:color w:val="000000"/>
        <w:sz w:val="22"/>
        <w:szCs w:val="22"/>
      </w:rPr>
      <w:t>1</w:t>
    </w:r>
    <w:r w:rsidRPr="00184171">
      <w:rPr>
        <w:rFonts w:ascii="Palatino Linotype" w:hAnsi="Palatino Linotype"/>
        <w:b/>
        <w:bCs/>
        <w:color w:val="000000"/>
        <w:sz w:val="22"/>
        <w:szCs w:val="22"/>
      </w:rPr>
      <w:fldChar w:fldCharType="end"/>
    </w:r>
    <w:r w:rsidRPr="00184171">
      <w:rPr>
        <w:rFonts w:ascii="Palatino Linotype" w:hAnsi="Palatino Linotype"/>
        <w:b/>
        <w:color w:val="000000"/>
        <w:sz w:val="22"/>
        <w:szCs w:val="22"/>
      </w:rPr>
      <w:t xml:space="preserve"> de </w:t>
    </w:r>
    <w:r w:rsidRPr="00184171">
      <w:rPr>
        <w:rFonts w:ascii="Palatino Linotype" w:hAnsi="Palatino Linotype"/>
        <w:b/>
        <w:bCs/>
        <w:color w:val="000000"/>
        <w:sz w:val="22"/>
        <w:szCs w:val="22"/>
      </w:rPr>
      <w:fldChar w:fldCharType="begin"/>
    </w:r>
    <w:r w:rsidRPr="00184171">
      <w:rPr>
        <w:rFonts w:ascii="Palatino Linotype" w:hAnsi="Palatino Linotype"/>
        <w:b/>
        <w:bCs/>
        <w:color w:val="000000"/>
        <w:sz w:val="22"/>
        <w:szCs w:val="22"/>
      </w:rPr>
      <w:instrText>NUMPAGES</w:instrText>
    </w:r>
    <w:r w:rsidRPr="00184171">
      <w:rPr>
        <w:rFonts w:ascii="Palatino Linotype" w:hAnsi="Palatino Linotype"/>
        <w:b/>
        <w:bCs/>
        <w:color w:val="000000"/>
        <w:sz w:val="22"/>
        <w:szCs w:val="22"/>
      </w:rPr>
      <w:fldChar w:fldCharType="separate"/>
    </w:r>
    <w:r w:rsidR="00A653CA">
      <w:rPr>
        <w:rFonts w:ascii="Palatino Linotype" w:hAnsi="Palatino Linotype"/>
        <w:b/>
        <w:bCs/>
        <w:noProof/>
        <w:color w:val="000000"/>
        <w:sz w:val="22"/>
        <w:szCs w:val="22"/>
      </w:rPr>
      <w:t>52</w:t>
    </w:r>
    <w:r w:rsidRPr="00184171">
      <w:rPr>
        <w:rFonts w:ascii="Palatino Linotype" w:hAnsi="Palatino Linotype"/>
        <w:b/>
        <w:bCs/>
        <w:color w:val="000000"/>
        <w:sz w:val="22"/>
        <w:szCs w:val="22"/>
      </w:rPr>
      <w:fldChar w:fldCharType="end"/>
    </w:r>
  </w:p>
  <w:p w:rsidR="00184171" w:rsidRDefault="00184171">
    <w:pPr>
      <w:pBdr>
        <w:top w:val="nil"/>
        <w:left w:val="nil"/>
        <w:bottom w:val="nil"/>
        <w:right w:val="nil"/>
        <w:between w:val="nil"/>
      </w:pBdr>
      <w:tabs>
        <w:tab w:val="center" w:pos="4419"/>
        <w:tab w:val="right" w:pos="8838"/>
      </w:tabs>
      <w:rPr>
        <w:color w:val="000000"/>
      </w:rPr>
    </w:pPr>
  </w:p>
  <w:p w:rsidR="00184171" w:rsidRDefault="00184171"/>
  <w:p w:rsidR="00184171" w:rsidRDefault="00184171"/>
  <w:p w:rsidR="00184171" w:rsidRDefault="001841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63C" w:rsidRDefault="00D5063C">
      <w:r>
        <w:separator/>
      </w:r>
    </w:p>
  </w:footnote>
  <w:footnote w:type="continuationSeparator" w:id="0">
    <w:p w:rsidR="00D5063C" w:rsidRDefault="00D506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171" w:rsidRDefault="00D5063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184171" w:rsidRDefault="00184171"/>
  <w:p w:rsidR="00184171" w:rsidRDefault="00184171"/>
  <w:p w:rsidR="00184171" w:rsidRDefault="001841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180" w:type="dxa"/>
      <w:tblInd w:w="-115" w:type="dxa"/>
      <w:tblLayout w:type="fixed"/>
      <w:tblLook w:val="0400" w:firstRow="0" w:lastRow="0" w:firstColumn="0" w:lastColumn="0" w:noHBand="0" w:noVBand="1"/>
    </w:tblPr>
    <w:tblGrid>
      <w:gridCol w:w="1843"/>
      <w:gridCol w:w="8337"/>
    </w:tblGrid>
    <w:tr w:rsidR="00184171" w:rsidTr="00184171">
      <w:trPr>
        <w:trHeight w:val="1435"/>
      </w:trPr>
      <w:tc>
        <w:tcPr>
          <w:tcW w:w="1843" w:type="dxa"/>
          <w:shd w:val="clear" w:color="auto" w:fill="auto"/>
        </w:tcPr>
        <w:p w:rsidR="00184171" w:rsidRDefault="00184171">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337" w:type="dxa"/>
          <w:shd w:val="clear" w:color="auto" w:fill="auto"/>
        </w:tcPr>
        <w:tbl>
          <w:tblPr>
            <w:tblStyle w:val="a3"/>
            <w:tblW w:w="6769" w:type="dxa"/>
            <w:tblInd w:w="1843" w:type="dxa"/>
            <w:tblBorders>
              <w:top w:val="nil"/>
              <w:left w:val="nil"/>
              <w:bottom w:val="nil"/>
              <w:right w:val="nil"/>
              <w:insideH w:val="nil"/>
              <w:insideV w:val="nil"/>
            </w:tblBorders>
            <w:tblLayout w:type="fixed"/>
            <w:tblLook w:val="0400" w:firstRow="0" w:lastRow="0" w:firstColumn="0" w:lastColumn="0" w:noHBand="0" w:noVBand="1"/>
          </w:tblPr>
          <w:tblGrid>
            <w:gridCol w:w="2800"/>
            <w:gridCol w:w="3969"/>
          </w:tblGrid>
          <w:tr w:rsidR="00184171" w:rsidTr="00184171">
            <w:trPr>
              <w:trHeight w:val="338"/>
            </w:trPr>
            <w:tc>
              <w:tcPr>
                <w:tcW w:w="2800" w:type="dxa"/>
              </w:tcPr>
              <w:p w:rsidR="00184171" w:rsidRPr="00184171" w:rsidRDefault="00184171">
                <w:pPr>
                  <w:tabs>
                    <w:tab w:val="right" w:pos="8838"/>
                  </w:tabs>
                  <w:ind w:right="-105"/>
                  <w:rPr>
                    <w:rFonts w:ascii="Palatino Linotype" w:eastAsia="Palatino Linotype" w:hAnsi="Palatino Linotype" w:cs="Palatino Linotype"/>
                    <w:b/>
                    <w:bCs/>
                    <w:sz w:val="24"/>
                    <w:szCs w:val="22"/>
                  </w:rPr>
                </w:pPr>
                <w:r w:rsidRPr="00184171">
                  <w:rPr>
                    <w:rFonts w:ascii="Palatino Linotype" w:eastAsia="Palatino Linotype" w:hAnsi="Palatino Linotype" w:cs="Palatino Linotype"/>
                    <w:b/>
                    <w:bCs/>
                    <w:sz w:val="24"/>
                    <w:szCs w:val="22"/>
                  </w:rPr>
                  <w:t>Recurso de Revisión:</w:t>
                </w:r>
              </w:p>
            </w:tc>
            <w:tc>
              <w:tcPr>
                <w:tcW w:w="3969" w:type="dxa"/>
              </w:tcPr>
              <w:p w:rsidR="00184171" w:rsidRPr="00184171" w:rsidRDefault="00184171" w:rsidP="00184171">
                <w:pPr>
                  <w:tabs>
                    <w:tab w:val="right" w:pos="8838"/>
                  </w:tabs>
                  <w:ind w:right="-105"/>
                  <w:rPr>
                    <w:rFonts w:ascii="Palatino Linotype" w:eastAsia="Palatino Linotype" w:hAnsi="Palatino Linotype" w:cs="Palatino Linotype"/>
                    <w:bCs/>
                    <w:sz w:val="24"/>
                    <w:szCs w:val="22"/>
                  </w:rPr>
                </w:pPr>
                <w:r w:rsidRPr="00184171">
                  <w:rPr>
                    <w:rFonts w:ascii="Palatino Linotype" w:eastAsia="Palatino Linotype" w:hAnsi="Palatino Linotype" w:cs="Palatino Linotype"/>
                    <w:bCs/>
                    <w:sz w:val="24"/>
                    <w:szCs w:val="22"/>
                  </w:rPr>
                  <w:t>09003/INFOEM/IP/RR/2025</w:t>
                </w:r>
              </w:p>
            </w:tc>
          </w:tr>
          <w:tr w:rsidR="00184171" w:rsidTr="00184171">
            <w:trPr>
              <w:trHeight w:val="283"/>
            </w:trPr>
            <w:tc>
              <w:tcPr>
                <w:tcW w:w="2800" w:type="dxa"/>
              </w:tcPr>
              <w:p w:rsidR="00184171" w:rsidRPr="00184171" w:rsidRDefault="00184171">
                <w:pPr>
                  <w:tabs>
                    <w:tab w:val="right" w:pos="8838"/>
                  </w:tabs>
                  <w:ind w:right="-105"/>
                  <w:rPr>
                    <w:rFonts w:ascii="Palatino Linotype" w:eastAsia="Palatino Linotype" w:hAnsi="Palatino Linotype" w:cs="Palatino Linotype"/>
                    <w:b/>
                    <w:bCs/>
                    <w:sz w:val="24"/>
                    <w:szCs w:val="22"/>
                  </w:rPr>
                </w:pPr>
                <w:bookmarkStart w:id="13" w:name="_heading=h.nzcod1wm1eoo" w:colFirst="0" w:colLast="0"/>
                <w:bookmarkEnd w:id="13"/>
                <w:r w:rsidRPr="00184171">
                  <w:rPr>
                    <w:rFonts w:ascii="Palatino Linotype" w:eastAsia="Palatino Linotype" w:hAnsi="Palatino Linotype" w:cs="Palatino Linotype"/>
                    <w:b/>
                    <w:bCs/>
                    <w:sz w:val="24"/>
                    <w:szCs w:val="22"/>
                  </w:rPr>
                  <w:t>Sujeto Obligado:</w:t>
                </w:r>
              </w:p>
            </w:tc>
            <w:tc>
              <w:tcPr>
                <w:tcW w:w="3969" w:type="dxa"/>
              </w:tcPr>
              <w:p w:rsidR="00184171" w:rsidRPr="00184171" w:rsidRDefault="00184171" w:rsidP="00184171">
                <w:pPr>
                  <w:tabs>
                    <w:tab w:val="left" w:pos="2834"/>
                    <w:tab w:val="right" w:pos="8838"/>
                  </w:tabs>
                  <w:ind w:right="-107"/>
                  <w:rPr>
                    <w:rFonts w:ascii="Palatino Linotype" w:eastAsia="Palatino Linotype" w:hAnsi="Palatino Linotype" w:cs="Palatino Linotype"/>
                    <w:bCs/>
                    <w:color w:val="000000"/>
                    <w:sz w:val="24"/>
                    <w:szCs w:val="22"/>
                  </w:rPr>
                </w:pPr>
                <w:r w:rsidRPr="00184171">
                  <w:rPr>
                    <w:rFonts w:ascii="Palatino Linotype" w:eastAsia="Palatino Linotype" w:hAnsi="Palatino Linotype" w:cs="Palatino Linotype"/>
                    <w:bCs/>
                    <w:color w:val="000000"/>
                    <w:sz w:val="24"/>
                    <w:szCs w:val="22"/>
                  </w:rPr>
                  <w:t>Ayuntamiento de Toluca</w:t>
                </w:r>
              </w:p>
            </w:tc>
          </w:tr>
          <w:tr w:rsidR="00184171" w:rsidTr="00184171">
            <w:trPr>
              <w:trHeight w:val="283"/>
            </w:trPr>
            <w:tc>
              <w:tcPr>
                <w:tcW w:w="2800" w:type="dxa"/>
              </w:tcPr>
              <w:p w:rsidR="00184171" w:rsidRPr="00184171" w:rsidRDefault="00184171">
                <w:pPr>
                  <w:tabs>
                    <w:tab w:val="right" w:pos="8838"/>
                  </w:tabs>
                  <w:ind w:right="-105"/>
                  <w:rPr>
                    <w:rFonts w:ascii="Palatino Linotype" w:eastAsia="Palatino Linotype" w:hAnsi="Palatino Linotype" w:cs="Palatino Linotype"/>
                    <w:b/>
                    <w:bCs/>
                    <w:sz w:val="24"/>
                    <w:szCs w:val="22"/>
                  </w:rPr>
                </w:pPr>
                <w:r w:rsidRPr="00184171">
                  <w:rPr>
                    <w:rFonts w:ascii="Palatino Linotype" w:eastAsia="Palatino Linotype" w:hAnsi="Palatino Linotype" w:cs="Palatino Linotype"/>
                    <w:b/>
                    <w:bCs/>
                    <w:sz w:val="24"/>
                    <w:szCs w:val="22"/>
                  </w:rPr>
                  <w:t>Comisionada Ponente:</w:t>
                </w:r>
              </w:p>
            </w:tc>
            <w:tc>
              <w:tcPr>
                <w:tcW w:w="3969" w:type="dxa"/>
              </w:tcPr>
              <w:p w:rsidR="00184171" w:rsidRPr="00184171" w:rsidRDefault="00184171" w:rsidP="00184171">
                <w:pPr>
                  <w:tabs>
                    <w:tab w:val="right" w:pos="8838"/>
                  </w:tabs>
                  <w:ind w:right="-105"/>
                  <w:rPr>
                    <w:rFonts w:ascii="Palatino Linotype" w:eastAsia="Palatino Linotype" w:hAnsi="Palatino Linotype" w:cs="Palatino Linotype"/>
                    <w:bCs/>
                    <w:sz w:val="24"/>
                    <w:szCs w:val="22"/>
                  </w:rPr>
                </w:pPr>
                <w:r w:rsidRPr="00184171">
                  <w:rPr>
                    <w:rFonts w:ascii="Palatino Linotype" w:eastAsia="Palatino Linotype" w:hAnsi="Palatino Linotype" w:cs="Palatino Linotype"/>
                    <w:bCs/>
                    <w:sz w:val="24"/>
                    <w:szCs w:val="22"/>
                  </w:rPr>
                  <w:t>María del Rosario Mejía Ayala</w:t>
                </w:r>
              </w:p>
            </w:tc>
          </w:tr>
        </w:tbl>
        <w:p w:rsidR="00184171" w:rsidRDefault="00184171">
          <w:pPr>
            <w:tabs>
              <w:tab w:val="right" w:pos="8838"/>
            </w:tabs>
            <w:ind w:left="-28"/>
            <w:jc w:val="both"/>
            <w:rPr>
              <w:rFonts w:ascii="Arial" w:eastAsia="Arial" w:hAnsi="Arial" w:cs="Arial"/>
              <w:b/>
              <w:bCs/>
              <w:sz w:val="22"/>
              <w:szCs w:val="22"/>
            </w:rPr>
          </w:pPr>
        </w:p>
      </w:tc>
    </w:tr>
  </w:tbl>
  <w:p w:rsidR="00184171" w:rsidRPr="00184171" w:rsidRDefault="00D5063C" w:rsidP="00184171">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1.45pt;margin-top:-138.5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10605" w:type="dxa"/>
      <w:tblInd w:w="-115" w:type="dxa"/>
      <w:tblLayout w:type="fixed"/>
      <w:tblLook w:val="0400" w:firstRow="0" w:lastRow="0" w:firstColumn="0" w:lastColumn="0" w:noHBand="0" w:noVBand="1"/>
    </w:tblPr>
    <w:tblGrid>
      <w:gridCol w:w="1560"/>
      <w:gridCol w:w="9045"/>
    </w:tblGrid>
    <w:tr w:rsidR="00184171" w:rsidTr="00184171">
      <w:trPr>
        <w:trHeight w:val="1435"/>
      </w:trPr>
      <w:tc>
        <w:tcPr>
          <w:tcW w:w="1560" w:type="dxa"/>
          <w:shd w:val="clear" w:color="auto" w:fill="auto"/>
        </w:tcPr>
        <w:p w:rsidR="00184171" w:rsidRDefault="00184171">
          <w:pPr>
            <w:tabs>
              <w:tab w:val="right" w:pos="4273"/>
            </w:tabs>
            <w:rPr>
              <w:rFonts w:ascii="Garamond" w:eastAsia="Garamond" w:hAnsi="Garamond" w:cs="Garamond"/>
              <w:sz w:val="22"/>
              <w:szCs w:val="22"/>
            </w:rPr>
          </w:pPr>
        </w:p>
      </w:tc>
      <w:tc>
        <w:tcPr>
          <w:tcW w:w="9045" w:type="dxa"/>
          <w:shd w:val="clear" w:color="auto" w:fill="auto"/>
        </w:tcPr>
        <w:tbl>
          <w:tblPr>
            <w:tblStyle w:val="a5"/>
            <w:tblW w:w="10030"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657"/>
            <w:gridCol w:w="4394"/>
            <w:gridCol w:w="2979"/>
          </w:tblGrid>
          <w:tr w:rsidR="00184171" w:rsidTr="00184171">
            <w:trPr>
              <w:trHeight w:val="144"/>
            </w:trPr>
            <w:tc>
              <w:tcPr>
                <w:tcW w:w="2657" w:type="dxa"/>
              </w:tcPr>
              <w:p w:rsidR="00184171" w:rsidRPr="00184171" w:rsidRDefault="00184171">
                <w:pPr>
                  <w:tabs>
                    <w:tab w:val="right" w:pos="8838"/>
                  </w:tabs>
                  <w:ind w:left="-74" w:right="-105"/>
                  <w:rPr>
                    <w:rFonts w:ascii="Palatino Linotype" w:eastAsia="Palatino Linotype" w:hAnsi="Palatino Linotype" w:cs="Palatino Linotype"/>
                    <w:b/>
                    <w:bCs/>
                    <w:sz w:val="24"/>
                    <w:szCs w:val="24"/>
                  </w:rPr>
                </w:pPr>
                <w:bookmarkStart w:id="14" w:name="_heading=h.h3nmzhfljjp1" w:colFirst="0" w:colLast="0"/>
                <w:bookmarkEnd w:id="14"/>
                <w:r w:rsidRPr="00184171">
                  <w:rPr>
                    <w:rFonts w:ascii="Palatino Linotype" w:eastAsia="Palatino Linotype" w:hAnsi="Palatino Linotype" w:cs="Palatino Linotype"/>
                    <w:b/>
                    <w:bCs/>
                    <w:sz w:val="24"/>
                    <w:szCs w:val="24"/>
                  </w:rPr>
                  <w:t>Recurso de Revisión:</w:t>
                </w:r>
              </w:p>
            </w:tc>
            <w:tc>
              <w:tcPr>
                <w:tcW w:w="4394" w:type="dxa"/>
              </w:tcPr>
              <w:p w:rsidR="00184171" w:rsidRPr="00184171" w:rsidRDefault="00184171" w:rsidP="00184171">
                <w:pPr>
                  <w:tabs>
                    <w:tab w:val="right" w:pos="8838"/>
                  </w:tabs>
                  <w:ind w:left="-3" w:right="-105"/>
                  <w:rPr>
                    <w:rFonts w:ascii="Palatino Linotype" w:eastAsia="Palatino Linotype" w:hAnsi="Palatino Linotype" w:cs="Palatino Linotype"/>
                    <w:bCs/>
                    <w:sz w:val="24"/>
                    <w:szCs w:val="24"/>
                  </w:rPr>
                </w:pPr>
                <w:r w:rsidRPr="00184171">
                  <w:rPr>
                    <w:rFonts w:ascii="Palatino Linotype" w:eastAsia="Palatino Linotype" w:hAnsi="Palatino Linotype" w:cs="Palatino Linotype"/>
                    <w:bCs/>
                    <w:sz w:val="24"/>
                    <w:szCs w:val="24"/>
                  </w:rPr>
                  <w:t> 09003/INFOEM/IP/RR/2025</w:t>
                </w:r>
              </w:p>
            </w:tc>
            <w:tc>
              <w:tcPr>
                <w:tcW w:w="2979" w:type="dxa"/>
              </w:tcPr>
              <w:p w:rsidR="00184171" w:rsidRDefault="00184171">
                <w:pPr>
                  <w:tabs>
                    <w:tab w:val="right" w:pos="8838"/>
                  </w:tabs>
                  <w:ind w:left="-74" w:right="-105"/>
                  <w:jc w:val="both"/>
                  <w:rPr>
                    <w:rFonts w:ascii="Palatino Linotype" w:eastAsia="Palatino Linotype" w:hAnsi="Palatino Linotype" w:cs="Palatino Linotype"/>
                    <w:sz w:val="22"/>
                    <w:szCs w:val="22"/>
                  </w:rPr>
                </w:pPr>
              </w:p>
            </w:tc>
          </w:tr>
          <w:tr w:rsidR="00184171" w:rsidTr="00184171">
            <w:trPr>
              <w:trHeight w:val="144"/>
            </w:trPr>
            <w:tc>
              <w:tcPr>
                <w:tcW w:w="2657" w:type="dxa"/>
              </w:tcPr>
              <w:p w:rsidR="00184171" w:rsidRPr="00184171" w:rsidRDefault="00184171">
                <w:pPr>
                  <w:tabs>
                    <w:tab w:val="right" w:pos="8838"/>
                  </w:tabs>
                  <w:ind w:left="-74" w:right="-105"/>
                  <w:rPr>
                    <w:rFonts w:ascii="Palatino Linotype" w:eastAsia="Palatino Linotype" w:hAnsi="Palatino Linotype" w:cs="Palatino Linotype"/>
                    <w:b/>
                    <w:bCs/>
                    <w:sz w:val="24"/>
                    <w:szCs w:val="24"/>
                  </w:rPr>
                </w:pPr>
                <w:bookmarkStart w:id="15" w:name="_heading=h.bx8lvnhtg02d" w:colFirst="0" w:colLast="0"/>
                <w:bookmarkEnd w:id="15"/>
                <w:r w:rsidRPr="00184171">
                  <w:rPr>
                    <w:rFonts w:ascii="Palatino Linotype" w:eastAsia="Palatino Linotype" w:hAnsi="Palatino Linotype" w:cs="Palatino Linotype"/>
                    <w:b/>
                    <w:bCs/>
                    <w:sz w:val="24"/>
                    <w:szCs w:val="24"/>
                  </w:rPr>
                  <w:t>Recurrente:</w:t>
                </w:r>
              </w:p>
            </w:tc>
            <w:tc>
              <w:tcPr>
                <w:tcW w:w="4394" w:type="dxa"/>
              </w:tcPr>
              <w:p w:rsidR="00184171" w:rsidRPr="00184171" w:rsidRDefault="00184171" w:rsidP="00184171">
                <w:pPr>
                  <w:tabs>
                    <w:tab w:val="left" w:pos="3122"/>
                    <w:tab w:val="right" w:pos="8838"/>
                  </w:tabs>
                  <w:ind w:right="1457"/>
                  <w:rPr>
                    <w:rFonts w:ascii="Palatino Linotype" w:eastAsia="Palatino Linotype" w:hAnsi="Palatino Linotype" w:cs="Palatino Linotype"/>
                    <w:bCs/>
                    <w:sz w:val="24"/>
                    <w:szCs w:val="24"/>
                  </w:rPr>
                </w:pPr>
              </w:p>
            </w:tc>
            <w:tc>
              <w:tcPr>
                <w:tcW w:w="2979" w:type="dxa"/>
              </w:tcPr>
              <w:p w:rsidR="00184171" w:rsidRDefault="00184171">
                <w:pPr>
                  <w:tabs>
                    <w:tab w:val="left" w:pos="3122"/>
                    <w:tab w:val="right" w:pos="8838"/>
                  </w:tabs>
                  <w:ind w:right="-105"/>
                  <w:jc w:val="both"/>
                  <w:rPr>
                    <w:rFonts w:ascii="Palatino Linotype" w:eastAsia="Palatino Linotype" w:hAnsi="Palatino Linotype" w:cs="Palatino Linotype"/>
                    <w:sz w:val="22"/>
                    <w:szCs w:val="22"/>
                  </w:rPr>
                </w:pPr>
              </w:p>
            </w:tc>
          </w:tr>
          <w:tr w:rsidR="00184171" w:rsidTr="00184171">
            <w:trPr>
              <w:trHeight w:val="283"/>
            </w:trPr>
            <w:tc>
              <w:tcPr>
                <w:tcW w:w="2657" w:type="dxa"/>
              </w:tcPr>
              <w:p w:rsidR="00184171" w:rsidRPr="00184171" w:rsidRDefault="00184171">
                <w:pPr>
                  <w:tabs>
                    <w:tab w:val="right" w:pos="8838"/>
                  </w:tabs>
                  <w:ind w:left="-74" w:right="-105"/>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b/>
                    <w:bCs/>
                    <w:sz w:val="24"/>
                    <w:szCs w:val="24"/>
                  </w:rPr>
                  <w:t>Sujeto Obligado:</w:t>
                </w:r>
              </w:p>
            </w:tc>
            <w:tc>
              <w:tcPr>
                <w:tcW w:w="4394" w:type="dxa"/>
              </w:tcPr>
              <w:p w:rsidR="00184171" w:rsidRPr="00184171" w:rsidRDefault="00184171" w:rsidP="00184171">
                <w:pPr>
                  <w:tabs>
                    <w:tab w:val="left" w:pos="2834"/>
                    <w:tab w:val="right" w:pos="8838"/>
                  </w:tabs>
                  <w:ind w:left="-3" w:right="-105"/>
                  <w:rPr>
                    <w:rFonts w:ascii="Palatino Linotype" w:eastAsia="Palatino Linotype" w:hAnsi="Palatino Linotype" w:cs="Palatino Linotype"/>
                    <w:bCs/>
                    <w:sz w:val="24"/>
                    <w:szCs w:val="24"/>
                  </w:rPr>
                </w:pPr>
                <w:r w:rsidRPr="00184171">
                  <w:rPr>
                    <w:rFonts w:ascii="Palatino Linotype" w:eastAsia="Palatino Linotype" w:hAnsi="Palatino Linotype" w:cs="Palatino Linotype"/>
                    <w:bCs/>
                    <w:color w:val="000000"/>
                    <w:sz w:val="24"/>
                    <w:szCs w:val="24"/>
                  </w:rPr>
                  <w:t>Ayuntamiento de Toluca</w:t>
                </w:r>
              </w:p>
            </w:tc>
            <w:tc>
              <w:tcPr>
                <w:tcW w:w="2979" w:type="dxa"/>
              </w:tcPr>
              <w:p w:rsidR="00184171" w:rsidRDefault="00184171">
                <w:pPr>
                  <w:tabs>
                    <w:tab w:val="left" w:pos="2834"/>
                    <w:tab w:val="right" w:pos="8838"/>
                  </w:tabs>
                  <w:ind w:left="-74" w:right="-105"/>
                  <w:jc w:val="both"/>
                  <w:rPr>
                    <w:rFonts w:ascii="Palatino Linotype" w:eastAsia="Palatino Linotype" w:hAnsi="Palatino Linotype" w:cs="Palatino Linotype"/>
                    <w:b/>
                    <w:bCs/>
                  </w:rPr>
                </w:pPr>
              </w:p>
            </w:tc>
          </w:tr>
          <w:tr w:rsidR="00184171" w:rsidTr="00184171">
            <w:trPr>
              <w:trHeight w:val="283"/>
            </w:trPr>
            <w:tc>
              <w:tcPr>
                <w:tcW w:w="2657" w:type="dxa"/>
              </w:tcPr>
              <w:p w:rsidR="00184171" w:rsidRPr="00184171" w:rsidRDefault="00184171">
                <w:pPr>
                  <w:tabs>
                    <w:tab w:val="right" w:pos="8838"/>
                  </w:tabs>
                  <w:ind w:left="-74" w:right="-105"/>
                  <w:rPr>
                    <w:rFonts w:ascii="Palatino Linotype" w:eastAsia="Palatino Linotype" w:hAnsi="Palatino Linotype" w:cs="Palatino Linotype"/>
                    <w:b/>
                    <w:bCs/>
                    <w:sz w:val="24"/>
                    <w:szCs w:val="24"/>
                  </w:rPr>
                </w:pPr>
                <w:r w:rsidRPr="00184171">
                  <w:rPr>
                    <w:rFonts w:ascii="Palatino Linotype" w:eastAsia="Palatino Linotype" w:hAnsi="Palatino Linotype" w:cs="Palatino Linotype"/>
                    <w:b/>
                    <w:bCs/>
                    <w:sz w:val="24"/>
                    <w:szCs w:val="24"/>
                  </w:rPr>
                  <w:t>Comisionada Ponente:</w:t>
                </w:r>
              </w:p>
            </w:tc>
            <w:tc>
              <w:tcPr>
                <w:tcW w:w="4394" w:type="dxa"/>
              </w:tcPr>
              <w:p w:rsidR="00184171" w:rsidRPr="00184171" w:rsidRDefault="00184171" w:rsidP="00184171">
                <w:pPr>
                  <w:tabs>
                    <w:tab w:val="right" w:pos="8838"/>
                  </w:tabs>
                  <w:ind w:left="-3" w:right="-105"/>
                  <w:rPr>
                    <w:rFonts w:ascii="Palatino Linotype" w:eastAsia="Palatino Linotype" w:hAnsi="Palatino Linotype" w:cs="Palatino Linotype"/>
                    <w:bCs/>
                    <w:sz w:val="24"/>
                    <w:szCs w:val="24"/>
                  </w:rPr>
                </w:pPr>
                <w:r w:rsidRPr="00184171">
                  <w:rPr>
                    <w:rFonts w:ascii="Palatino Linotype" w:eastAsia="Palatino Linotype" w:hAnsi="Palatino Linotype" w:cs="Palatino Linotype"/>
                    <w:bCs/>
                    <w:sz w:val="24"/>
                    <w:szCs w:val="24"/>
                  </w:rPr>
                  <w:t>María del Rosario Mejía Ayala</w:t>
                </w:r>
              </w:p>
            </w:tc>
            <w:tc>
              <w:tcPr>
                <w:tcW w:w="2979" w:type="dxa"/>
              </w:tcPr>
              <w:p w:rsidR="00184171" w:rsidRDefault="00184171">
                <w:pPr>
                  <w:tabs>
                    <w:tab w:val="right" w:pos="8838"/>
                  </w:tabs>
                  <w:ind w:left="-74" w:right="-105"/>
                  <w:jc w:val="both"/>
                  <w:rPr>
                    <w:rFonts w:ascii="Palatino Linotype" w:eastAsia="Palatino Linotype" w:hAnsi="Palatino Linotype" w:cs="Palatino Linotype"/>
                    <w:b/>
                    <w:bCs/>
                  </w:rPr>
                </w:pPr>
              </w:p>
            </w:tc>
          </w:tr>
        </w:tbl>
        <w:p w:rsidR="00184171" w:rsidRDefault="00184171">
          <w:pPr>
            <w:tabs>
              <w:tab w:val="right" w:pos="8838"/>
            </w:tabs>
            <w:ind w:left="-28"/>
            <w:jc w:val="both"/>
            <w:rPr>
              <w:rFonts w:ascii="Arial" w:eastAsia="Arial" w:hAnsi="Arial" w:cs="Arial"/>
              <w:b/>
              <w:bCs/>
              <w:sz w:val="22"/>
              <w:szCs w:val="22"/>
            </w:rPr>
          </w:pPr>
        </w:p>
      </w:tc>
    </w:tr>
  </w:tbl>
  <w:p w:rsidR="00184171" w:rsidRPr="00184171" w:rsidRDefault="00D5063C" w:rsidP="00184171">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9.7pt;margin-top:-124.15pt;width:663.5pt;height:12in;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6737"/>
    <w:multiLevelType w:val="multilevel"/>
    <w:tmpl w:val="AEEAEF8A"/>
    <w:lvl w:ilvl="0">
      <w:start w:val="1"/>
      <w:numFmt w:val="lowerLetter"/>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DC32C1"/>
    <w:multiLevelType w:val="multilevel"/>
    <w:tmpl w:val="C778C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6B21C8"/>
    <w:multiLevelType w:val="multilevel"/>
    <w:tmpl w:val="47AE7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CC2058"/>
    <w:multiLevelType w:val="multilevel"/>
    <w:tmpl w:val="E9D654F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0E1A3954"/>
    <w:multiLevelType w:val="multilevel"/>
    <w:tmpl w:val="1944A7E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6A5986"/>
    <w:multiLevelType w:val="multilevel"/>
    <w:tmpl w:val="8244D5AC"/>
    <w:lvl w:ilvl="0">
      <w:start w:val="1"/>
      <w:numFmt w:val="decimal"/>
      <w:lvlText w:val="%1."/>
      <w:lvlJc w:val="left"/>
      <w:pPr>
        <w:ind w:left="720" w:hanging="360"/>
      </w:pPr>
      <w:rPr>
        <w:b/>
        <w:bCs/>
        <w:i w:val="0"/>
        <w:iCs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951186"/>
    <w:multiLevelType w:val="multilevel"/>
    <w:tmpl w:val="D764B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7F4807"/>
    <w:multiLevelType w:val="multilevel"/>
    <w:tmpl w:val="FB825A90"/>
    <w:lvl w:ilvl="0">
      <w:numFmt w:val="bullet"/>
      <w:lvlText w:val="-"/>
      <w:lvlJc w:val="left"/>
      <w:pPr>
        <w:ind w:left="928" w:hanging="360"/>
      </w:pPr>
      <w:rPr>
        <w:rFonts w:ascii="Palatino Linotype" w:eastAsia="Palatino Linotype" w:hAnsi="Palatino Linotype" w:cs="Palatino Linotype"/>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8" w15:restartNumberingAfterBreak="0">
    <w:nsid w:val="5F690E62"/>
    <w:multiLevelType w:val="multilevel"/>
    <w:tmpl w:val="0FEC3A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0C828D3"/>
    <w:multiLevelType w:val="multilevel"/>
    <w:tmpl w:val="DE924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AF91E1E"/>
    <w:multiLevelType w:val="multilevel"/>
    <w:tmpl w:val="33B4C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1B87E99"/>
    <w:multiLevelType w:val="multilevel"/>
    <w:tmpl w:val="0DDE815E"/>
    <w:lvl w:ilvl="0">
      <w:start w:val="1"/>
      <w:numFmt w:val="lowerLetter"/>
      <w:pStyle w:val="Listaconvietas2"/>
      <w:lvlText w:val="%1."/>
      <w:lvlJc w:val="left"/>
      <w:pPr>
        <w:ind w:left="0" w:firstLine="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289465D"/>
    <w:multiLevelType w:val="multilevel"/>
    <w:tmpl w:val="2C6A3D38"/>
    <w:lvl w:ilvl="0">
      <w:start w:val="1"/>
      <w:numFmt w:val="decimal"/>
      <w:lvlText w:val="%1."/>
      <w:lvlJc w:val="left"/>
      <w:pPr>
        <w:ind w:left="501" w:hanging="359"/>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7B063C7"/>
    <w:multiLevelType w:val="multilevel"/>
    <w:tmpl w:val="419A05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82E4C2B"/>
    <w:multiLevelType w:val="multilevel"/>
    <w:tmpl w:val="88EC7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E1073BF"/>
    <w:multiLevelType w:val="multilevel"/>
    <w:tmpl w:val="890AD3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15"/>
  </w:num>
  <w:num w:numId="3">
    <w:abstractNumId w:val="5"/>
  </w:num>
  <w:num w:numId="4">
    <w:abstractNumId w:val="7"/>
  </w:num>
  <w:num w:numId="5">
    <w:abstractNumId w:val="9"/>
  </w:num>
  <w:num w:numId="6">
    <w:abstractNumId w:val="1"/>
  </w:num>
  <w:num w:numId="7">
    <w:abstractNumId w:val="10"/>
  </w:num>
  <w:num w:numId="8">
    <w:abstractNumId w:val="0"/>
  </w:num>
  <w:num w:numId="9">
    <w:abstractNumId w:val="12"/>
  </w:num>
  <w:num w:numId="10">
    <w:abstractNumId w:val="3"/>
  </w:num>
  <w:num w:numId="11">
    <w:abstractNumId w:val="6"/>
  </w:num>
  <w:num w:numId="12">
    <w:abstractNumId w:val="14"/>
  </w:num>
  <w:num w:numId="13">
    <w:abstractNumId w:val="4"/>
  </w:num>
  <w:num w:numId="14">
    <w:abstractNumId w:val="2"/>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9F2"/>
    <w:rsid w:val="00072DC0"/>
    <w:rsid w:val="00184171"/>
    <w:rsid w:val="00286A04"/>
    <w:rsid w:val="002D353A"/>
    <w:rsid w:val="00455863"/>
    <w:rsid w:val="005E67B3"/>
    <w:rsid w:val="00620F18"/>
    <w:rsid w:val="00637574"/>
    <w:rsid w:val="00A653CA"/>
    <w:rsid w:val="00D32CF7"/>
    <w:rsid w:val="00D5063C"/>
    <w:rsid w:val="00D719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0793BF8-689D-4DCD-9DA9-FBA4B69C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character" w:customStyle="1" w:styleId="Ttulo1Car">
    <w:name w:val="Título 1 Car"/>
    <w:basedOn w:val="Fuentedeprrafopredeter"/>
    <w:rsid w:val="00EF266E"/>
    <w:rPr>
      <w:rFonts w:ascii="Calibri" w:eastAsia="Calibri" w:hAnsi="Calibri" w:cs="Calibri"/>
      <w:color w:val="2E75B5"/>
      <w:sz w:val="32"/>
      <w:szCs w:val="32"/>
      <w:lang w:eastAsia="es-MX"/>
    </w:rPr>
  </w:style>
  <w:style w:type="character" w:customStyle="1" w:styleId="Ttulo2Car">
    <w:name w:val="Título 2 Car"/>
    <w:basedOn w:val="Fuentedeprrafopredeter"/>
    <w:rsid w:val="00EF266E"/>
    <w:rPr>
      <w:rFonts w:ascii="Calibri" w:eastAsia="Calibri" w:hAnsi="Calibri" w:cs="Calibri"/>
      <w:color w:val="2E75B5"/>
      <w:sz w:val="26"/>
      <w:szCs w:val="26"/>
      <w:lang w:eastAsia="es-MX"/>
    </w:rPr>
  </w:style>
  <w:style w:type="paragraph" w:styleId="Listaconvietas2">
    <w:name w:val="List Bullet 2"/>
    <w:basedOn w:val="Normal"/>
    <w:uiPriority w:val="99"/>
    <w:unhideWhenUsed/>
    <w:qFormat/>
    <w:rsid w:val="00EF266E"/>
    <w:pPr>
      <w:numPr>
        <w:numId w:val="1"/>
      </w:numPr>
      <w:contextualSpacing/>
    </w:pPr>
  </w:style>
  <w:style w:type="paragraph" w:styleId="Piedepgina">
    <w:name w:val="footer"/>
    <w:basedOn w:val="Normal"/>
    <w:link w:val="PiedepginaCar"/>
    <w:uiPriority w:val="99"/>
    <w:unhideWhenUsed/>
    <w:rsid w:val="00427423"/>
    <w:pPr>
      <w:tabs>
        <w:tab w:val="center" w:pos="4419"/>
        <w:tab w:val="right" w:pos="8838"/>
      </w:tabs>
    </w:pPr>
  </w:style>
  <w:style w:type="character" w:customStyle="1" w:styleId="PiedepginaCar">
    <w:name w:val="Pie de página Car"/>
    <w:basedOn w:val="Fuentedeprrafopredeter"/>
    <w:link w:val="Piedepgina"/>
    <w:uiPriority w:val="99"/>
    <w:rsid w:val="00427423"/>
    <w:rPr>
      <w:rFonts w:ascii="Times New Roman" w:eastAsia="Times New Roman" w:hAnsi="Times New Roman" w:cs="Times New Roman"/>
      <w:sz w:val="20"/>
      <w:szCs w:val="2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27423"/>
    <w:pPr>
      <w:ind w:left="720"/>
      <w:contextualSpacing/>
    </w:pPr>
  </w:style>
  <w:style w:type="table" w:styleId="Tablaconcuadrcula">
    <w:name w:val="Table Grid"/>
    <w:basedOn w:val="Tablanormal"/>
    <w:uiPriority w:val="39"/>
    <w:rsid w:val="004A5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D71B6C"/>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71B6C"/>
    <w:rPr>
      <w:rFonts w:ascii="Times New Roman" w:eastAsia="Times New Roman" w:hAnsi="Times New Roman" w:cs="Times New Roman"/>
      <w:sz w:val="20"/>
      <w:szCs w:val="20"/>
      <w:lang w:eastAsia="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condusef.gob.mx/Revista/index.php/usuario-inteligente/condusef-responde/777-la-condusef-te-puede-ayuda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omawww.sat.gob.mx/factura/Paginas/solicita_requisitos.htm"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ontraloriadf.gob.mx/contraloria/cursos/ADQUISICIONES/paginas/32.php"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b.mx/sfp/acciones-y-programas/1-3-3-adjudicacion-directa"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ebapps.condusef.gob.mx/SIPRES/jsp/pub/index.js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about:blank" TargetMode="External"/><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nGvtSsoXNtz9eXyyroL0pZuYVw==">CgMxLjAyDmgubHN6cjBiMmdnaGw1MghoLmdqZGd4czIOaC56MHgxaHo2dWs0cWkyCWguMzBqMHpsbDIJaC4xZm9iOXRlMgloLjN6bnlzaDcyCWguMmV0OTJwMDIJaC4zZHk2dmttMg5oLmtwNmN6c3BlOXBwYjIJaC40ZDM0b2c4Mg5oLmNyZHY5OGJkMzFjODIIaC50eWpjd3QyDmgubnpjb2Qxd20xZW9vMg5oLmgzbm16aGZsampwMTIOaC5ieDhsdm5odGcwMmQ4AHIhMU4tSjRfWHVlQThJeGQ1NHpYdENRS3l3bE1wVEszSW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52</Pages>
  <Words>11713</Words>
  <Characters>64426</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7</cp:revision>
  <cp:lastPrinted>2026-02-27T16:12:00Z</cp:lastPrinted>
  <dcterms:created xsi:type="dcterms:W3CDTF">2026-02-18T00:29:00Z</dcterms:created>
  <dcterms:modified xsi:type="dcterms:W3CDTF">2026-03-05T20:11:00Z</dcterms:modified>
</cp:coreProperties>
</file>