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F7E" w:rsidRPr="001416AF" w:rsidRDefault="00E05F7E" w:rsidP="00E05F7E">
      <w:pPr>
        <w:shd w:val="clear" w:color="auto" w:fill="FFFFFF"/>
        <w:spacing w:after="0" w:line="360" w:lineRule="auto"/>
        <w:jc w:val="both"/>
        <w:rPr>
          <w:rFonts w:ascii="Palatino Linotype" w:eastAsia="Palatino Linotype" w:hAnsi="Palatino Linotype" w:cs="Palatino Linotype"/>
          <w:color w:val="000000"/>
          <w:sz w:val="24"/>
          <w:szCs w:val="24"/>
        </w:rPr>
      </w:pPr>
      <w:r w:rsidRPr="001416AF">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w:t>
      </w:r>
      <w:r w:rsidR="00FA2662" w:rsidRPr="001416AF">
        <w:rPr>
          <w:rFonts w:ascii="Palatino Linotype" w:eastAsia="Palatino Linotype" w:hAnsi="Palatino Linotype" w:cs="Palatino Linotype"/>
          <w:color w:val="000000"/>
          <w:sz w:val="24"/>
          <w:szCs w:val="24"/>
        </w:rPr>
        <w:t>veintidós</w:t>
      </w:r>
      <w:r w:rsidRPr="001416AF">
        <w:rPr>
          <w:rFonts w:ascii="Palatino Linotype" w:eastAsia="Palatino Linotype" w:hAnsi="Palatino Linotype" w:cs="Palatino Linotype"/>
          <w:color w:val="000000"/>
          <w:sz w:val="24"/>
          <w:szCs w:val="24"/>
        </w:rPr>
        <w:t xml:space="preserve"> de abril de dos mil veintiséis.</w:t>
      </w:r>
    </w:p>
    <w:p w:rsidR="00E05F7E" w:rsidRPr="001416AF" w:rsidRDefault="00E05F7E" w:rsidP="00E05F7E">
      <w:pPr>
        <w:shd w:val="clear" w:color="auto" w:fill="FFFFFF"/>
        <w:spacing w:after="0" w:line="360" w:lineRule="auto"/>
        <w:jc w:val="both"/>
        <w:rPr>
          <w:rFonts w:ascii="Palatino Linotype" w:eastAsia="Palatino Linotype" w:hAnsi="Palatino Linotype" w:cs="Palatino Linotype"/>
          <w:color w:val="000000"/>
          <w:sz w:val="24"/>
          <w:szCs w:val="24"/>
        </w:rPr>
      </w:pPr>
    </w:p>
    <w:p w:rsidR="00E05F7E" w:rsidRPr="001416AF" w:rsidRDefault="00E05F7E" w:rsidP="00E05F7E">
      <w:pPr>
        <w:tabs>
          <w:tab w:val="left" w:pos="1701"/>
        </w:tabs>
        <w:spacing w:after="0" w:line="360" w:lineRule="auto"/>
        <w:jc w:val="both"/>
        <w:rPr>
          <w:rFonts w:ascii="Palatino Linotype" w:eastAsia="Palatino Linotype" w:hAnsi="Palatino Linotype" w:cs="Palatino Linotype"/>
          <w:b/>
          <w:sz w:val="24"/>
          <w:szCs w:val="24"/>
        </w:rPr>
      </w:pPr>
      <w:r w:rsidRPr="001416AF">
        <w:rPr>
          <w:rFonts w:ascii="Palatino Linotype" w:eastAsia="Palatino Linotype" w:hAnsi="Palatino Linotype" w:cs="Palatino Linotype"/>
          <w:b/>
          <w:sz w:val="24"/>
          <w:szCs w:val="24"/>
        </w:rPr>
        <w:t>VISTO</w:t>
      </w:r>
      <w:r w:rsidRPr="001416AF">
        <w:rPr>
          <w:rFonts w:ascii="Palatino Linotype" w:eastAsia="Palatino Linotype" w:hAnsi="Palatino Linotype" w:cs="Palatino Linotype"/>
          <w:sz w:val="24"/>
          <w:szCs w:val="24"/>
        </w:rPr>
        <w:t xml:space="preserve"> el expediente electrónico de los recursos de revisión con número </w:t>
      </w:r>
      <w:bookmarkStart w:id="0" w:name="_GoBack"/>
      <w:r w:rsidRPr="001416AF">
        <w:rPr>
          <w:rFonts w:ascii="Palatino Linotype" w:eastAsia="Palatino Linotype" w:hAnsi="Palatino Linotype" w:cs="Palatino Linotype"/>
          <w:b/>
          <w:sz w:val="24"/>
          <w:szCs w:val="24"/>
        </w:rPr>
        <w:t>02320/INFOEM/IP/RR/2026</w:t>
      </w:r>
      <w:bookmarkEnd w:id="0"/>
      <w:r w:rsidRPr="001416AF">
        <w:rPr>
          <w:rFonts w:ascii="Palatino Linotype" w:eastAsia="Palatino Linotype" w:hAnsi="Palatino Linotype" w:cs="Palatino Linotype"/>
          <w:b/>
          <w:sz w:val="24"/>
          <w:szCs w:val="24"/>
        </w:rPr>
        <w:t xml:space="preserve"> </w:t>
      </w:r>
      <w:r w:rsidRPr="001416AF">
        <w:rPr>
          <w:rFonts w:ascii="Palatino Linotype" w:eastAsia="Palatino Linotype" w:hAnsi="Palatino Linotype" w:cs="Palatino Linotype"/>
          <w:color w:val="000000"/>
          <w:sz w:val="24"/>
          <w:szCs w:val="24"/>
        </w:rPr>
        <w:t xml:space="preserve">interpuesto por </w:t>
      </w:r>
      <w:r w:rsidR="008E0277">
        <w:rPr>
          <w:rFonts w:ascii="Palatino Linotype" w:eastAsia="Palatino Linotype" w:hAnsi="Palatino Linotype" w:cs="Palatino Linotype"/>
          <w:b/>
          <w:color w:val="000000"/>
          <w:sz w:val="24"/>
          <w:szCs w:val="24"/>
        </w:rPr>
        <w:t>XXXXXXXXXXXXXXX</w:t>
      </w:r>
      <w:r w:rsidRPr="001416AF">
        <w:rPr>
          <w:rFonts w:ascii="Palatino Linotype" w:eastAsia="Palatino Linotype" w:hAnsi="Palatino Linotype" w:cs="Palatino Linotype"/>
          <w:color w:val="000000"/>
          <w:sz w:val="24"/>
          <w:szCs w:val="24"/>
        </w:rPr>
        <w:t xml:space="preserve">, quien en lo sucesivo se le denominara como la parte </w:t>
      </w:r>
      <w:r w:rsidRPr="001416AF">
        <w:rPr>
          <w:rFonts w:ascii="Palatino Linotype" w:eastAsia="Palatino Linotype" w:hAnsi="Palatino Linotype" w:cs="Palatino Linotype"/>
          <w:b/>
          <w:color w:val="000000"/>
          <w:sz w:val="24"/>
          <w:szCs w:val="24"/>
        </w:rPr>
        <w:t>Recurrente</w:t>
      </w:r>
      <w:r w:rsidRPr="001416AF">
        <w:rPr>
          <w:rFonts w:ascii="Palatino Linotype" w:eastAsia="Palatino Linotype" w:hAnsi="Palatino Linotype" w:cs="Palatino Linotype"/>
          <w:color w:val="000000"/>
          <w:sz w:val="24"/>
          <w:szCs w:val="24"/>
        </w:rPr>
        <w:t xml:space="preserve">, </w:t>
      </w:r>
      <w:r w:rsidRPr="001416AF">
        <w:rPr>
          <w:rFonts w:ascii="Palatino Linotype" w:eastAsia="Palatino Linotype" w:hAnsi="Palatino Linotype" w:cs="Palatino Linotype"/>
          <w:sz w:val="24"/>
          <w:szCs w:val="24"/>
        </w:rPr>
        <w:t xml:space="preserve">en contra de la falta de respuesta del </w:t>
      </w:r>
      <w:r w:rsidRPr="001416AF">
        <w:rPr>
          <w:rFonts w:ascii="Palatino Linotype" w:eastAsia="Palatino Linotype" w:hAnsi="Palatino Linotype" w:cs="Palatino Linotype"/>
          <w:b/>
          <w:color w:val="000000"/>
          <w:sz w:val="24"/>
          <w:szCs w:val="24"/>
        </w:rPr>
        <w:t>Ayuntamiento de Tepotzotlán</w:t>
      </w:r>
      <w:r w:rsidRPr="001416AF">
        <w:rPr>
          <w:rFonts w:ascii="Palatino Linotype" w:eastAsia="Palatino Linotype" w:hAnsi="Palatino Linotype" w:cs="Palatino Linotype"/>
          <w:b/>
          <w:sz w:val="24"/>
          <w:szCs w:val="24"/>
        </w:rPr>
        <w:t xml:space="preserve">, </w:t>
      </w:r>
      <w:r w:rsidRPr="001416AF">
        <w:rPr>
          <w:rFonts w:ascii="Palatino Linotype" w:eastAsia="Palatino Linotype" w:hAnsi="Palatino Linotype" w:cs="Palatino Linotype"/>
          <w:sz w:val="24"/>
          <w:szCs w:val="24"/>
        </w:rPr>
        <w:t>en lo subsecuente</w:t>
      </w:r>
      <w:r w:rsidRPr="001416AF">
        <w:rPr>
          <w:rFonts w:ascii="Palatino Linotype" w:eastAsia="Palatino Linotype" w:hAnsi="Palatino Linotype" w:cs="Palatino Linotype"/>
          <w:b/>
          <w:sz w:val="24"/>
          <w:szCs w:val="24"/>
        </w:rPr>
        <w:t xml:space="preserve"> el Sujeto Obligado, </w:t>
      </w:r>
      <w:r w:rsidRPr="001416AF">
        <w:rPr>
          <w:rFonts w:ascii="Palatino Linotype" w:eastAsia="Palatino Linotype" w:hAnsi="Palatino Linotype" w:cs="Palatino Linotype"/>
          <w:sz w:val="24"/>
          <w:szCs w:val="24"/>
        </w:rPr>
        <w:t>se procede a dictar la presente resolución.</w:t>
      </w:r>
    </w:p>
    <w:p w:rsidR="00E05F7E" w:rsidRPr="001416AF" w:rsidRDefault="00E05F7E" w:rsidP="00E05F7E">
      <w:pPr>
        <w:tabs>
          <w:tab w:val="left" w:pos="6960"/>
        </w:tabs>
        <w:spacing w:after="0" w:line="360" w:lineRule="auto"/>
        <w:jc w:val="both"/>
        <w:rPr>
          <w:rFonts w:ascii="Palatino Linotype" w:eastAsia="Palatino Linotype" w:hAnsi="Palatino Linotype" w:cs="Palatino Linotype"/>
          <w:sz w:val="24"/>
          <w:szCs w:val="24"/>
        </w:rPr>
      </w:pPr>
    </w:p>
    <w:p w:rsidR="00E05F7E" w:rsidRPr="001416AF" w:rsidRDefault="00E05F7E" w:rsidP="00E05F7E">
      <w:pPr>
        <w:spacing w:after="0" w:line="360" w:lineRule="auto"/>
        <w:jc w:val="center"/>
        <w:rPr>
          <w:rFonts w:ascii="Palatino Linotype" w:eastAsia="Palatino Linotype" w:hAnsi="Palatino Linotype" w:cs="Palatino Linotype"/>
          <w:b/>
          <w:sz w:val="28"/>
          <w:szCs w:val="28"/>
        </w:rPr>
      </w:pPr>
      <w:r w:rsidRPr="001416AF">
        <w:rPr>
          <w:rFonts w:ascii="Palatino Linotype" w:eastAsia="Palatino Linotype" w:hAnsi="Palatino Linotype" w:cs="Palatino Linotype"/>
          <w:b/>
          <w:sz w:val="28"/>
          <w:szCs w:val="28"/>
        </w:rPr>
        <w:t>A N T E C E D E N T E S</w:t>
      </w:r>
    </w:p>
    <w:p w:rsidR="00E05F7E" w:rsidRPr="001416AF" w:rsidRDefault="00E05F7E" w:rsidP="00E05F7E">
      <w:pPr>
        <w:spacing w:after="0" w:line="360" w:lineRule="auto"/>
        <w:rPr>
          <w:rFonts w:ascii="Palatino Linotype" w:eastAsia="Palatino Linotype" w:hAnsi="Palatino Linotype" w:cs="Palatino Linotype"/>
          <w:b/>
          <w:sz w:val="24"/>
          <w:szCs w:val="24"/>
        </w:rPr>
      </w:pPr>
    </w:p>
    <w:p w:rsidR="00E05F7E" w:rsidRPr="001416AF" w:rsidRDefault="00E05F7E" w:rsidP="00E05F7E">
      <w:pPr>
        <w:spacing w:after="0" w:line="360" w:lineRule="auto"/>
        <w:jc w:val="both"/>
        <w:rPr>
          <w:rFonts w:ascii="Palatino Linotype" w:eastAsia="Palatino Linotype" w:hAnsi="Palatino Linotype" w:cs="Palatino Linotype"/>
          <w:b/>
          <w:sz w:val="28"/>
          <w:szCs w:val="24"/>
        </w:rPr>
      </w:pPr>
      <w:r w:rsidRPr="001416AF">
        <w:rPr>
          <w:rFonts w:ascii="Palatino Linotype" w:eastAsia="Palatino Linotype" w:hAnsi="Palatino Linotype" w:cs="Palatino Linotype"/>
          <w:b/>
          <w:sz w:val="28"/>
          <w:szCs w:val="24"/>
        </w:rPr>
        <w:t xml:space="preserve">PRIMERO. </w:t>
      </w:r>
      <w:r w:rsidRPr="001416AF">
        <w:rPr>
          <w:rFonts w:ascii="Palatino Linotype" w:eastAsia="Palatino Linotype" w:hAnsi="Palatino Linotype" w:cs="Palatino Linotype"/>
          <w:b/>
          <w:color w:val="000000"/>
          <w:sz w:val="28"/>
          <w:szCs w:val="24"/>
        </w:rPr>
        <w:t>De la solicitud de información.</w:t>
      </w:r>
    </w:p>
    <w:p w:rsidR="00E05F7E" w:rsidRPr="001416AF" w:rsidRDefault="00E05F7E" w:rsidP="00E05F7E">
      <w:pPr>
        <w:spacing w:after="0" w:line="360" w:lineRule="auto"/>
        <w:jc w:val="both"/>
        <w:rPr>
          <w:rFonts w:ascii="Palatino Linotype" w:eastAsia="Palatino Linotype" w:hAnsi="Palatino Linotype" w:cs="Palatino Linotype"/>
          <w:b/>
          <w:sz w:val="24"/>
          <w:szCs w:val="24"/>
        </w:rPr>
      </w:pPr>
      <w:r w:rsidRPr="001416AF">
        <w:rPr>
          <w:rFonts w:ascii="Palatino Linotype" w:eastAsia="Palatino Linotype" w:hAnsi="Palatino Linotype" w:cs="Palatino Linotype"/>
          <w:sz w:val="24"/>
          <w:szCs w:val="24"/>
        </w:rPr>
        <w:t xml:space="preserve">En fecha </w:t>
      </w:r>
      <w:r w:rsidR="00893427" w:rsidRPr="001416AF">
        <w:rPr>
          <w:rFonts w:ascii="Palatino Linotype" w:eastAsia="Palatino Linotype" w:hAnsi="Palatino Linotype" w:cs="Palatino Linotype"/>
          <w:b/>
          <w:sz w:val="24"/>
          <w:szCs w:val="24"/>
        </w:rPr>
        <w:t>veintiséis</w:t>
      </w:r>
      <w:r w:rsidRPr="001416AF">
        <w:rPr>
          <w:rFonts w:ascii="Palatino Linotype" w:eastAsia="Palatino Linotype" w:hAnsi="Palatino Linotype" w:cs="Palatino Linotype"/>
          <w:b/>
          <w:sz w:val="24"/>
          <w:szCs w:val="24"/>
        </w:rPr>
        <w:t xml:space="preserve"> de enero de dos mil veintiséis</w:t>
      </w:r>
      <w:r w:rsidRPr="001416AF">
        <w:rPr>
          <w:rFonts w:ascii="Palatino Linotype" w:eastAsia="Palatino Linotype" w:hAnsi="Palatino Linotype" w:cs="Palatino Linotype"/>
          <w:sz w:val="24"/>
          <w:szCs w:val="24"/>
        </w:rPr>
        <w:t>, la parte</w:t>
      </w:r>
      <w:r w:rsidRPr="001416AF">
        <w:rPr>
          <w:rFonts w:ascii="Palatino Linotype" w:eastAsia="Palatino Linotype" w:hAnsi="Palatino Linotype" w:cs="Palatino Linotype"/>
          <w:b/>
          <w:sz w:val="24"/>
          <w:szCs w:val="24"/>
        </w:rPr>
        <w:t xml:space="preserve"> Recurrente</w:t>
      </w:r>
      <w:r w:rsidRPr="001416AF">
        <w:rPr>
          <w:rFonts w:ascii="Palatino Linotype" w:eastAsia="Palatino Linotype" w:hAnsi="Palatino Linotype" w:cs="Palatino Linotype"/>
          <w:sz w:val="24"/>
          <w:szCs w:val="24"/>
        </w:rPr>
        <w:t xml:space="preserve"> presentó a través del Sistema de Acceso a la Información Mexiquense (</w:t>
      </w:r>
      <w:r w:rsidRPr="001416AF">
        <w:rPr>
          <w:rFonts w:ascii="Palatino Linotype" w:eastAsia="Palatino Linotype" w:hAnsi="Palatino Linotype" w:cs="Palatino Linotype"/>
          <w:b/>
          <w:sz w:val="24"/>
          <w:szCs w:val="24"/>
        </w:rPr>
        <w:t>SAIMEX)</w:t>
      </w:r>
      <w:r w:rsidRPr="001416AF">
        <w:rPr>
          <w:rFonts w:ascii="Palatino Linotype" w:eastAsia="Palatino Linotype" w:hAnsi="Palatino Linotype" w:cs="Palatino Linotype"/>
          <w:sz w:val="24"/>
          <w:szCs w:val="24"/>
        </w:rPr>
        <w:t xml:space="preserve">, la solicitud de acceso a la información pública, con número de folio </w:t>
      </w:r>
      <w:r w:rsidRPr="001416AF">
        <w:rPr>
          <w:rFonts w:ascii="Palatino Linotype" w:eastAsia="Palatino Linotype" w:hAnsi="Palatino Linotype" w:cs="Palatino Linotype"/>
          <w:b/>
          <w:sz w:val="24"/>
          <w:szCs w:val="24"/>
        </w:rPr>
        <w:t>00469/TEPOTZOT/IP/2026</w:t>
      </w:r>
      <w:r w:rsidRPr="001416AF">
        <w:rPr>
          <w:rFonts w:ascii="Palatino Linotype" w:eastAsia="Palatino Linotype" w:hAnsi="Palatino Linotype" w:cs="Palatino Linotype"/>
          <w:sz w:val="24"/>
          <w:szCs w:val="24"/>
        </w:rPr>
        <w:t xml:space="preserve">, de lo siguiente: </w:t>
      </w:r>
    </w:p>
    <w:p w:rsidR="00E05F7E" w:rsidRPr="001416AF" w:rsidRDefault="00E05F7E" w:rsidP="00E05F7E">
      <w:pPr>
        <w:pStyle w:val="INFOEM"/>
        <w:rPr>
          <w:lang w:val="es-ES_tradnl" w:eastAsia="es-ES"/>
        </w:rPr>
      </w:pPr>
      <w:r w:rsidRPr="001416AF">
        <w:rPr>
          <w:lang w:val="es-ES_tradnl" w:eastAsia="es-ES"/>
        </w:rPr>
        <w:t>“</w:t>
      </w:r>
      <w:r w:rsidR="005C7401" w:rsidRPr="001416AF">
        <w:rPr>
          <w:lang w:val="es-ES" w:eastAsia="es-ES"/>
        </w:rPr>
        <w:t>Relación de reglamentos, manuales, lineamientos o políticas internas emitidas, modificadas o derogadas durante los ejercicios 2025 y 2026.</w:t>
      </w:r>
      <w:r w:rsidRPr="001416AF">
        <w:rPr>
          <w:lang w:val="es-ES_tradnl" w:eastAsia="es-ES"/>
        </w:rPr>
        <w:t>” (Sic)</w:t>
      </w:r>
    </w:p>
    <w:p w:rsidR="00E05F7E" w:rsidRPr="001416AF" w:rsidRDefault="00E05F7E" w:rsidP="00E05F7E">
      <w:pPr>
        <w:spacing w:before="240" w:line="360" w:lineRule="auto"/>
        <w:jc w:val="both"/>
        <w:rPr>
          <w:rFonts w:ascii="Palatino Linotype" w:hAnsi="Palatino Linotype"/>
          <w:lang w:val="es-ES_tradnl"/>
        </w:rPr>
      </w:pPr>
      <w:r w:rsidRPr="001416AF">
        <w:rPr>
          <w:rFonts w:ascii="Palatino Linotype" w:hAnsi="Palatino Linotype"/>
          <w:b/>
          <w:lang w:val="es-ES_tradnl"/>
        </w:rPr>
        <w:t>Modalidad de entrega:</w:t>
      </w:r>
      <w:r w:rsidRPr="001416AF">
        <w:rPr>
          <w:rFonts w:ascii="Palatino Linotype" w:hAnsi="Palatino Linotype"/>
          <w:lang w:val="es-ES_tradnl"/>
        </w:rPr>
        <w:t xml:space="preserve"> A través del SAIMEX.</w:t>
      </w:r>
    </w:p>
    <w:p w:rsidR="00E05F7E" w:rsidRPr="001416AF" w:rsidRDefault="00E05F7E" w:rsidP="00E05F7E">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E05F7E" w:rsidRPr="001416AF" w:rsidRDefault="00E05F7E" w:rsidP="00E05F7E">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1416AF">
        <w:rPr>
          <w:rFonts w:ascii="Palatino Linotype" w:eastAsia="Palatino Linotype" w:hAnsi="Palatino Linotype" w:cs="Palatino Linotype"/>
          <w:b/>
          <w:color w:val="000000"/>
          <w:sz w:val="28"/>
          <w:szCs w:val="24"/>
        </w:rPr>
        <w:t>SEGUNDO. De la falta de respuesta del Sujeto Obligado.</w:t>
      </w:r>
    </w:p>
    <w:p w:rsidR="00E05F7E" w:rsidRPr="001416AF" w:rsidRDefault="00E05F7E" w:rsidP="00E05F7E">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1416AF">
        <w:rPr>
          <w:rFonts w:ascii="Palatino Linotype" w:eastAsia="Palatino Linotype" w:hAnsi="Palatino Linotype" w:cs="Palatino Linotype"/>
          <w:color w:val="000000"/>
          <w:sz w:val="24"/>
          <w:szCs w:val="24"/>
        </w:rPr>
        <w:lastRenderedPageBreak/>
        <w:t>E</w:t>
      </w:r>
      <w:r w:rsidRPr="001416AF">
        <w:rPr>
          <w:rFonts w:ascii="Palatino Linotype" w:eastAsia="Palatino Linotype" w:hAnsi="Palatino Linotype" w:cs="Palatino Linotype"/>
          <w:sz w:val="24"/>
          <w:szCs w:val="24"/>
        </w:rPr>
        <w:t xml:space="preserve">l </w:t>
      </w:r>
      <w:r w:rsidRPr="001416AF">
        <w:rPr>
          <w:rFonts w:ascii="Palatino Linotype" w:eastAsia="Palatino Linotype" w:hAnsi="Palatino Linotype" w:cs="Palatino Linotype"/>
          <w:b/>
          <w:sz w:val="24"/>
          <w:szCs w:val="24"/>
        </w:rPr>
        <w:t>Sujeto Obligado</w:t>
      </w:r>
      <w:r w:rsidRPr="001416AF">
        <w:rPr>
          <w:rFonts w:ascii="Palatino Linotype" w:eastAsia="Palatino Linotype" w:hAnsi="Palatino Linotype" w:cs="Palatino Linotype"/>
          <w:sz w:val="24"/>
          <w:szCs w:val="24"/>
        </w:rPr>
        <w:t xml:space="preserve"> no proporcionó respuesta a la solicitud de información </w:t>
      </w:r>
      <w:r w:rsidRPr="001416AF">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E05F7E" w:rsidRPr="001416AF" w:rsidRDefault="00E05F7E" w:rsidP="00E05F7E">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E05F7E" w:rsidRPr="001416AF" w:rsidRDefault="005C7401" w:rsidP="00E05F7E">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1416AF">
        <w:rPr>
          <w:rFonts w:ascii="Palatino Linotype" w:eastAsia="Palatino Linotype" w:hAnsi="Palatino Linotype" w:cs="Palatino Linotype"/>
          <w:b/>
          <w:sz w:val="28"/>
          <w:szCs w:val="24"/>
        </w:rPr>
        <w:t>TERCERO</w:t>
      </w:r>
      <w:r w:rsidR="00E05F7E" w:rsidRPr="001416AF">
        <w:rPr>
          <w:rFonts w:ascii="Palatino Linotype" w:eastAsia="Palatino Linotype" w:hAnsi="Palatino Linotype" w:cs="Palatino Linotype"/>
          <w:b/>
          <w:sz w:val="28"/>
          <w:szCs w:val="24"/>
        </w:rPr>
        <w:t xml:space="preserve">. </w:t>
      </w:r>
      <w:r w:rsidR="00E05F7E" w:rsidRPr="001416AF">
        <w:rPr>
          <w:rFonts w:ascii="Palatino Linotype" w:eastAsia="Palatino Linotype" w:hAnsi="Palatino Linotype" w:cs="Palatino Linotype"/>
          <w:b/>
          <w:color w:val="000000"/>
          <w:sz w:val="28"/>
          <w:szCs w:val="24"/>
        </w:rPr>
        <w:t>Del recurso de revisión.</w:t>
      </w:r>
    </w:p>
    <w:p w:rsidR="00E05F7E" w:rsidRPr="001416AF" w:rsidRDefault="00E05F7E" w:rsidP="00E05F7E">
      <w:pPr>
        <w:spacing w:after="0" w:line="360" w:lineRule="auto"/>
        <w:jc w:val="both"/>
        <w:rPr>
          <w:rFonts w:ascii="Palatino Linotype" w:eastAsia="Palatino Linotype" w:hAnsi="Palatino Linotype" w:cs="Palatino Linotype"/>
          <w:b/>
          <w:sz w:val="24"/>
          <w:szCs w:val="24"/>
        </w:rPr>
      </w:pPr>
      <w:r w:rsidRPr="001416AF">
        <w:rPr>
          <w:rFonts w:ascii="Palatino Linotype" w:eastAsia="Palatino Linotype" w:hAnsi="Palatino Linotype" w:cs="Palatino Linotype"/>
          <w:sz w:val="24"/>
          <w:szCs w:val="24"/>
        </w:rPr>
        <w:t>Ante la falta de respuesta</w:t>
      </w:r>
      <w:r w:rsidRPr="001416AF">
        <w:rPr>
          <w:rFonts w:ascii="Palatino Linotype" w:eastAsia="Palatino Linotype" w:hAnsi="Palatino Linotype" w:cs="Palatino Linotype"/>
          <w:b/>
          <w:sz w:val="24"/>
          <w:szCs w:val="24"/>
        </w:rPr>
        <w:t xml:space="preserve"> </w:t>
      </w:r>
      <w:r w:rsidRPr="001416AF">
        <w:rPr>
          <w:rFonts w:ascii="Palatino Linotype" w:eastAsia="Palatino Linotype" w:hAnsi="Palatino Linotype" w:cs="Palatino Linotype"/>
          <w:sz w:val="24"/>
          <w:szCs w:val="24"/>
        </w:rPr>
        <w:t xml:space="preserve">del </w:t>
      </w:r>
      <w:r w:rsidRPr="001416AF">
        <w:rPr>
          <w:rFonts w:ascii="Palatino Linotype" w:eastAsia="Palatino Linotype" w:hAnsi="Palatino Linotype" w:cs="Palatino Linotype"/>
          <w:b/>
          <w:sz w:val="24"/>
          <w:szCs w:val="24"/>
        </w:rPr>
        <w:t>Sujeto Obligado</w:t>
      </w:r>
      <w:r w:rsidRPr="001416AF">
        <w:rPr>
          <w:rFonts w:ascii="Palatino Linotype" w:eastAsia="Palatino Linotype" w:hAnsi="Palatino Linotype" w:cs="Palatino Linotype"/>
          <w:sz w:val="24"/>
          <w:szCs w:val="24"/>
        </w:rPr>
        <w:t xml:space="preserve">, la parte </w:t>
      </w:r>
      <w:r w:rsidRPr="001416AF">
        <w:rPr>
          <w:rFonts w:ascii="Palatino Linotype" w:eastAsia="Palatino Linotype" w:hAnsi="Palatino Linotype" w:cs="Palatino Linotype"/>
          <w:b/>
          <w:sz w:val="24"/>
          <w:szCs w:val="24"/>
        </w:rPr>
        <w:t>Recurrente</w:t>
      </w:r>
      <w:r w:rsidRPr="001416AF">
        <w:rPr>
          <w:rFonts w:ascii="Palatino Linotype" w:eastAsia="Palatino Linotype" w:hAnsi="Palatino Linotype" w:cs="Palatino Linotype"/>
          <w:sz w:val="24"/>
          <w:szCs w:val="24"/>
        </w:rPr>
        <w:t xml:space="preserve"> interpuso el recurso de revisión en fecha </w:t>
      </w:r>
      <w:r w:rsidR="005C7401" w:rsidRPr="001416AF">
        <w:rPr>
          <w:rFonts w:ascii="Palatino Linotype" w:eastAsia="Palatino Linotype" w:hAnsi="Palatino Linotype" w:cs="Palatino Linotype"/>
          <w:b/>
          <w:sz w:val="24"/>
          <w:szCs w:val="24"/>
        </w:rPr>
        <w:t>dieciocho de</w:t>
      </w:r>
      <w:r w:rsidRPr="001416AF">
        <w:rPr>
          <w:rFonts w:ascii="Palatino Linotype" w:eastAsia="Palatino Linotype" w:hAnsi="Palatino Linotype" w:cs="Palatino Linotype"/>
          <w:b/>
          <w:sz w:val="24"/>
          <w:szCs w:val="24"/>
        </w:rPr>
        <w:t xml:space="preserve"> febrero de dos mil veintiséis</w:t>
      </w:r>
      <w:r w:rsidRPr="001416AF">
        <w:rPr>
          <w:rFonts w:ascii="Palatino Linotype" w:eastAsia="Palatino Linotype" w:hAnsi="Palatino Linotype" w:cs="Palatino Linotype"/>
          <w:sz w:val="24"/>
          <w:szCs w:val="24"/>
        </w:rPr>
        <w:t>, registrado</w:t>
      </w:r>
      <w:r w:rsidRPr="001416AF">
        <w:rPr>
          <w:rFonts w:ascii="Palatino Linotype" w:eastAsia="Palatino Linotype" w:hAnsi="Palatino Linotype" w:cs="Palatino Linotype"/>
          <w:b/>
          <w:sz w:val="24"/>
          <w:szCs w:val="24"/>
        </w:rPr>
        <w:t xml:space="preserve"> </w:t>
      </w:r>
      <w:r w:rsidRPr="001416AF">
        <w:rPr>
          <w:rFonts w:ascii="Palatino Linotype" w:eastAsia="Palatino Linotype" w:hAnsi="Palatino Linotype" w:cs="Palatino Linotype"/>
          <w:sz w:val="24"/>
          <w:szCs w:val="24"/>
        </w:rPr>
        <w:t xml:space="preserve">en el </w:t>
      </w:r>
      <w:r w:rsidRPr="001416AF">
        <w:rPr>
          <w:rFonts w:ascii="Palatino Linotype" w:eastAsia="Palatino Linotype" w:hAnsi="Palatino Linotype" w:cs="Palatino Linotype"/>
          <w:b/>
          <w:sz w:val="24"/>
          <w:szCs w:val="24"/>
        </w:rPr>
        <w:t xml:space="preserve">SAIMEX </w:t>
      </w:r>
      <w:r w:rsidRPr="001416AF">
        <w:rPr>
          <w:rFonts w:ascii="Palatino Linotype" w:eastAsia="Palatino Linotype" w:hAnsi="Palatino Linotype" w:cs="Palatino Linotype"/>
          <w:sz w:val="24"/>
          <w:szCs w:val="24"/>
        </w:rPr>
        <w:t xml:space="preserve">con el número de expediente </w:t>
      </w:r>
      <w:r w:rsidRPr="001416AF">
        <w:rPr>
          <w:rFonts w:ascii="Palatino Linotype" w:eastAsia="Palatino Linotype" w:hAnsi="Palatino Linotype" w:cs="Palatino Linotype"/>
          <w:b/>
          <w:sz w:val="24"/>
          <w:szCs w:val="24"/>
        </w:rPr>
        <w:t>02320/INFOEM/IP/RR/2026</w:t>
      </w:r>
      <w:r w:rsidRPr="001416AF">
        <w:rPr>
          <w:rFonts w:ascii="Palatino Linotype" w:eastAsia="Palatino Linotype" w:hAnsi="Palatino Linotype" w:cs="Palatino Linotype"/>
          <w:sz w:val="24"/>
          <w:szCs w:val="24"/>
        </w:rPr>
        <w:t>, y señaló como acto impugnado y razones o motivos de inconformidad, lo siguiente:</w:t>
      </w:r>
    </w:p>
    <w:p w:rsidR="00E05F7E" w:rsidRPr="001416AF" w:rsidRDefault="00E05F7E" w:rsidP="00E05F7E">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E05F7E" w:rsidRPr="001416AF" w:rsidRDefault="00E05F7E" w:rsidP="00E05F7E">
      <w:pPr>
        <w:pStyle w:val="INFOEM"/>
        <w:ind w:left="142"/>
        <w:rPr>
          <w:b/>
          <w:i w:val="0"/>
          <w:sz w:val="24"/>
        </w:rPr>
      </w:pPr>
      <w:r w:rsidRPr="001416AF">
        <w:rPr>
          <w:b/>
          <w:i w:val="0"/>
          <w:sz w:val="24"/>
        </w:rPr>
        <w:t xml:space="preserve">Acto Impugnado: </w:t>
      </w:r>
    </w:p>
    <w:p w:rsidR="00E05F7E" w:rsidRPr="001416AF" w:rsidRDefault="00E05F7E" w:rsidP="00E05F7E">
      <w:pPr>
        <w:pStyle w:val="INFOEM"/>
      </w:pPr>
      <w:r w:rsidRPr="001416AF">
        <w:t>“</w:t>
      </w:r>
      <w:r w:rsidR="005C7401" w:rsidRPr="001416AF">
        <w:t>Relación de reglamentos, manuales, lineamientos o políticas internas emitidas, modificadas o derogadas durante los ejercicios 2025 y 2026.</w:t>
      </w:r>
      <w:r w:rsidRPr="001416AF">
        <w:t xml:space="preserve">" (Sic) </w:t>
      </w:r>
    </w:p>
    <w:p w:rsidR="00E05F7E" w:rsidRPr="001416AF" w:rsidRDefault="00E05F7E" w:rsidP="00E05F7E">
      <w:pPr>
        <w:pStyle w:val="INFOEM"/>
      </w:pPr>
    </w:p>
    <w:p w:rsidR="00E05F7E" w:rsidRPr="001416AF" w:rsidRDefault="00E05F7E" w:rsidP="00E05F7E">
      <w:pPr>
        <w:pStyle w:val="INFOEM"/>
        <w:ind w:left="284"/>
        <w:rPr>
          <w:b/>
          <w:i w:val="0"/>
          <w:sz w:val="24"/>
        </w:rPr>
      </w:pPr>
      <w:r w:rsidRPr="001416AF">
        <w:rPr>
          <w:b/>
          <w:i w:val="0"/>
          <w:sz w:val="24"/>
        </w:rPr>
        <w:t xml:space="preserve">Razones o Motivos de Inconformidad: </w:t>
      </w:r>
    </w:p>
    <w:p w:rsidR="00E05F7E" w:rsidRPr="001416AF" w:rsidRDefault="00E05F7E" w:rsidP="00E05F7E">
      <w:pPr>
        <w:pStyle w:val="INFOEM"/>
      </w:pPr>
      <w:r w:rsidRPr="001416AF">
        <w:t>“</w:t>
      </w:r>
      <w:r w:rsidR="005C7401" w:rsidRPr="001416AF">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w:t>
      </w:r>
      <w:r w:rsidR="005C7401" w:rsidRPr="001416AF">
        <w:lastRenderedPageBreak/>
        <w:t xml:space="preserve">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w:t>
      </w:r>
      <w:r w:rsidR="005C7401" w:rsidRPr="001416AF">
        <w:lastRenderedPageBreak/>
        <w:t>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1416AF">
        <w:t>”</w:t>
      </w:r>
      <w:r w:rsidRPr="001416AF">
        <w:rPr>
          <w:sz w:val="24"/>
          <w:szCs w:val="24"/>
        </w:rPr>
        <w:t xml:space="preserve"> (Sic)</w:t>
      </w:r>
      <w:r w:rsidRPr="001416AF">
        <w:rPr>
          <w:rFonts w:ascii="Times New Roman" w:eastAsia="Times New Roman" w:hAnsi="Times New Roman" w:cs="Times New Roman"/>
          <w:sz w:val="24"/>
          <w:szCs w:val="24"/>
        </w:rPr>
        <w:t xml:space="preserve"> </w:t>
      </w:r>
    </w:p>
    <w:p w:rsidR="00E05F7E" w:rsidRPr="001416AF" w:rsidRDefault="00E05F7E" w:rsidP="00E05F7E">
      <w:pPr>
        <w:spacing w:after="0" w:line="360" w:lineRule="auto"/>
        <w:jc w:val="both"/>
        <w:rPr>
          <w:rFonts w:ascii="Palatino Linotype" w:eastAsia="Palatino Linotype" w:hAnsi="Palatino Linotype" w:cs="Palatino Linotype"/>
          <w:b/>
          <w:sz w:val="28"/>
          <w:szCs w:val="28"/>
        </w:rPr>
      </w:pPr>
    </w:p>
    <w:p w:rsidR="00E05F7E" w:rsidRPr="001416AF" w:rsidRDefault="005C7401" w:rsidP="00E05F7E">
      <w:pPr>
        <w:spacing w:before="240" w:line="360" w:lineRule="auto"/>
        <w:jc w:val="both"/>
        <w:rPr>
          <w:rFonts w:ascii="Palatino Linotype" w:hAnsi="Palatino Linotype" w:cs="Arial"/>
          <w:b/>
        </w:rPr>
      </w:pPr>
      <w:r w:rsidRPr="001416AF">
        <w:rPr>
          <w:rFonts w:ascii="Palatino Linotype" w:eastAsia="Palatino Linotype" w:hAnsi="Palatino Linotype" w:cs="Palatino Linotype"/>
          <w:b/>
          <w:sz w:val="28"/>
          <w:szCs w:val="24"/>
        </w:rPr>
        <w:t>CUARTO</w:t>
      </w:r>
      <w:r w:rsidR="00E05F7E" w:rsidRPr="001416AF">
        <w:rPr>
          <w:rFonts w:ascii="Palatino Linotype" w:hAnsi="Palatino Linotype" w:cs="Arial"/>
          <w:b/>
        </w:rPr>
        <w:t xml:space="preserve">. </w:t>
      </w:r>
      <w:r w:rsidR="00E05F7E" w:rsidRPr="001416AF">
        <w:rPr>
          <w:rFonts w:ascii="Palatino Linotype" w:hAnsi="Palatino Linotype" w:cs="Arial"/>
          <w:b/>
          <w:sz w:val="28"/>
          <w:szCs w:val="28"/>
        </w:rPr>
        <w:t>Del turno y admisión del recurso de revisión.</w:t>
      </w:r>
    </w:p>
    <w:p w:rsidR="00E05F7E" w:rsidRPr="001416AF" w:rsidRDefault="00E05F7E" w:rsidP="00E05F7E">
      <w:pPr>
        <w:spacing w:before="240" w:line="360" w:lineRule="auto"/>
        <w:jc w:val="both"/>
        <w:rPr>
          <w:rFonts w:ascii="Palatino Linotype" w:hAnsi="Palatino Linotype" w:cs="Arial"/>
          <w:sz w:val="32"/>
        </w:rPr>
      </w:pPr>
      <w:r w:rsidRPr="001416AF">
        <w:rPr>
          <w:rFonts w:ascii="Palatino Linotype" w:hAnsi="Palatino Linotype"/>
          <w:sz w:val="24"/>
        </w:rPr>
        <w:t xml:space="preserve">El medio de impugnación fue turnado al Comisionado Presidente </w:t>
      </w:r>
      <w:r w:rsidRPr="001416AF">
        <w:rPr>
          <w:rFonts w:ascii="Palatino Linotype" w:hAnsi="Palatino Linotype"/>
          <w:b/>
          <w:sz w:val="24"/>
        </w:rPr>
        <w:t>José Martínez Vilchis,</w:t>
      </w:r>
      <w:r w:rsidRPr="001416AF">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1416AF">
        <w:rPr>
          <w:rFonts w:ascii="Palatino Linotype" w:hAnsi="Palatino Linotype"/>
          <w:b/>
          <w:sz w:val="24"/>
        </w:rPr>
        <w:t>admisión</w:t>
      </w:r>
      <w:r w:rsidRPr="001416AF">
        <w:rPr>
          <w:rFonts w:ascii="Palatino Linotype" w:hAnsi="Palatino Linotype"/>
          <w:sz w:val="24"/>
        </w:rPr>
        <w:t xml:space="preserve"> en fecha </w:t>
      </w:r>
      <w:r w:rsidR="005C7401" w:rsidRPr="001416AF">
        <w:rPr>
          <w:rFonts w:ascii="Palatino Linotype" w:hAnsi="Palatino Linotype"/>
          <w:b/>
          <w:sz w:val="24"/>
        </w:rPr>
        <w:t>veintitrés</w:t>
      </w:r>
      <w:r w:rsidRPr="001416AF">
        <w:rPr>
          <w:rFonts w:ascii="Palatino Linotype" w:hAnsi="Palatino Linotype"/>
          <w:b/>
          <w:sz w:val="24"/>
        </w:rPr>
        <w:t xml:space="preserve"> de febrero de dos mil veintiséis</w:t>
      </w:r>
      <w:r w:rsidRPr="001416AF">
        <w:rPr>
          <w:rFonts w:ascii="Palatino Linotype" w:hAnsi="Palatino Linotype"/>
          <w:sz w:val="24"/>
        </w:rPr>
        <w:t>, determinándose en ellos, un plazo de siete días para que las partes manifestaran lo que a su derecho corresponda en términos del numeral ya citado.</w:t>
      </w:r>
    </w:p>
    <w:p w:rsidR="00E05F7E" w:rsidRPr="001416AF" w:rsidRDefault="00E05F7E" w:rsidP="00E05F7E">
      <w:pPr>
        <w:spacing w:after="0" w:line="360" w:lineRule="auto"/>
        <w:jc w:val="both"/>
        <w:rPr>
          <w:rFonts w:ascii="Palatino Linotype" w:eastAsia="Palatino Linotype" w:hAnsi="Palatino Linotype" w:cs="Palatino Linotype"/>
          <w:b/>
          <w:sz w:val="28"/>
          <w:szCs w:val="28"/>
        </w:rPr>
      </w:pPr>
    </w:p>
    <w:p w:rsidR="00E05F7E" w:rsidRPr="001416AF" w:rsidRDefault="005C7401" w:rsidP="00E05F7E">
      <w:pPr>
        <w:pStyle w:val="Prrafodelista"/>
        <w:spacing w:line="360" w:lineRule="auto"/>
        <w:ind w:left="0"/>
        <w:jc w:val="both"/>
        <w:rPr>
          <w:rFonts w:ascii="Palatino Linotype" w:hAnsi="Palatino Linotype" w:cs="Arial"/>
          <w:b/>
          <w:sz w:val="28"/>
          <w:szCs w:val="28"/>
        </w:rPr>
      </w:pPr>
      <w:r w:rsidRPr="001416AF">
        <w:rPr>
          <w:rFonts w:ascii="Palatino Linotype" w:hAnsi="Palatino Linotype" w:cs="Arial"/>
          <w:b/>
          <w:sz w:val="28"/>
        </w:rPr>
        <w:t>QUINTO</w:t>
      </w:r>
      <w:r w:rsidR="00E05F7E" w:rsidRPr="001416AF">
        <w:rPr>
          <w:rFonts w:ascii="Palatino Linotype" w:hAnsi="Palatino Linotype" w:cs="Arial"/>
          <w:b/>
        </w:rPr>
        <w:t>.</w:t>
      </w:r>
      <w:r w:rsidR="00E05F7E" w:rsidRPr="001416AF">
        <w:rPr>
          <w:rFonts w:ascii="Palatino Linotype" w:hAnsi="Palatino Linotype" w:cs="Arial"/>
          <w:b/>
          <w:sz w:val="28"/>
          <w:szCs w:val="28"/>
        </w:rPr>
        <w:t xml:space="preserve"> De la etapa de instrucción.</w:t>
      </w:r>
    </w:p>
    <w:p w:rsidR="00E05F7E" w:rsidRPr="001416AF" w:rsidRDefault="00E05F7E" w:rsidP="00E05F7E">
      <w:pPr>
        <w:spacing w:line="360" w:lineRule="auto"/>
        <w:jc w:val="both"/>
        <w:rPr>
          <w:rFonts w:ascii="Palatino Linotype" w:hAnsi="Palatino Linotype" w:cs="Arial"/>
          <w:sz w:val="24"/>
        </w:rPr>
      </w:pPr>
      <w:r w:rsidRPr="001416AF">
        <w:rPr>
          <w:rFonts w:ascii="Palatino Linotype" w:hAnsi="Palatino Linotype" w:cs="Arial"/>
          <w:sz w:val="24"/>
        </w:rPr>
        <w:t xml:space="preserve">De las constancias que obran en el expediente electrónico del SAIMEX, se advierte que el </w:t>
      </w:r>
      <w:r w:rsidRPr="001416AF">
        <w:rPr>
          <w:rFonts w:ascii="Palatino Linotype" w:hAnsi="Palatino Linotype" w:cs="Arial"/>
          <w:b/>
          <w:sz w:val="24"/>
        </w:rPr>
        <w:t>Sujeto Obligado</w:t>
      </w:r>
      <w:r w:rsidRPr="001416AF">
        <w:rPr>
          <w:rFonts w:ascii="Palatino Linotype" w:hAnsi="Palatino Linotype" w:cs="Arial"/>
          <w:sz w:val="24"/>
        </w:rPr>
        <w:t xml:space="preserve"> rindió su informe justificado en fecha veinticinco de febrero de dos </w:t>
      </w:r>
      <w:r w:rsidRPr="001416AF">
        <w:rPr>
          <w:rFonts w:ascii="Palatino Linotype" w:hAnsi="Palatino Linotype" w:cs="Arial"/>
          <w:sz w:val="24"/>
        </w:rPr>
        <w:lastRenderedPageBreak/>
        <w:t xml:space="preserve">mil veintiséis, por medio del archivo electrónico </w:t>
      </w:r>
      <w:r w:rsidRPr="001416AF">
        <w:rPr>
          <w:rFonts w:ascii="Palatino Linotype" w:hAnsi="Palatino Linotype" w:cs="Arial"/>
          <w:b/>
          <w:sz w:val="24"/>
        </w:rPr>
        <w:t>“</w:t>
      </w:r>
      <w:r w:rsidR="005C7401" w:rsidRPr="001416AF">
        <w:rPr>
          <w:rFonts w:ascii="Palatino Linotype" w:hAnsi="Palatino Linotype" w:cs="Arial"/>
          <w:b/>
          <w:i/>
          <w:sz w:val="24"/>
        </w:rPr>
        <w:t>HAT-SA-OI-0280-2026.pdf</w:t>
      </w:r>
      <w:r w:rsidRPr="001416AF">
        <w:rPr>
          <w:rFonts w:ascii="Palatino Linotype" w:hAnsi="Palatino Linotype" w:cs="Arial"/>
          <w:b/>
          <w:i/>
          <w:sz w:val="24"/>
        </w:rPr>
        <w:t>”</w:t>
      </w:r>
      <w:r w:rsidRPr="001416AF">
        <w:rPr>
          <w:rFonts w:ascii="Palatino Linotype" w:hAnsi="Palatino Linotype" w:cs="Arial"/>
          <w:i/>
          <w:sz w:val="24"/>
        </w:rPr>
        <w:t>,</w:t>
      </w:r>
      <w:r w:rsidRPr="001416AF">
        <w:rPr>
          <w:rFonts w:ascii="Palatino Linotype" w:hAnsi="Palatino Linotype" w:cs="Arial"/>
          <w:sz w:val="24"/>
        </w:rPr>
        <w:t xml:space="preserve"> mismo que fue puesto a la vista del Recurrente en fecha </w:t>
      </w:r>
      <w:r w:rsidR="005C7401" w:rsidRPr="001416AF">
        <w:rPr>
          <w:rFonts w:ascii="Palatino Linotype" w:hAnsi="Palatino Linotype" w:cs="Arial"/>
          <w:sz w:val="24"/>
        </w:rPr>
        <w:t>nueve</w:t>
      </w:r>
      <w:r w:rsidRPr="001416AF">
        <w:rPr>
          <w:rFonts w:ascii="Palatino Linotype" w:hAnsi="Palatino Linotype" w:cs="Arial"/>
          <w:sz w:val="24"/>
        </w:rPr>
        <w:t xml:space="preserve"> de abril de dos mil veintiséis</w:t>
      </w:r>
      <w:r w:rsidRPr="001416AF">
        <w:rPr>
          <w:rFonts w:ascii="Palatino Linotype" w:hAnsi="Palatino Linotype" w:cs="Arial"/>
          <w:b/>
          <w:i/>
          <w:sz w:val="24"/>
        </w:rPr>
        <w:t xml:space="preserve">. </w:t>
      </w:r>
    </w:p>
    <w:p w:rsidR="00E05F7E" w:rsidRPr="001416AF" w:rsidRDefault="00E05F7E" w:rsidP="00E05F7E">
      <w:pPr>
        <w:spacing w:after="0" w:line="360" w:lineRule="auto"/>
        <w:jc w:val="both"/>
        <w:rPr>
          <w:rFonts w:ascii="Palatino Linotype" w:hAnsi="Palatino Linotype" w:cs="Arial"/>
          <w:b/>
          <w:sz w:val="28"/>
          <w:szCs w:val="28"/>
        </w:rPr>
      </w:pPr>
    </w:p>
    <w:p w:rsidR="00E05F7E" w:rsidRPr="001416AF" w:rsidRDefault="005C7401" w:rsidP="00E05F7E">
      <w:pPr>
        <w:spacing w:after="0" w:line="360" w:lineRule="auto"/>
        <w:jc w:val="both"/>
        <w:rPr>
          <w:rFonts w:ascii="Palatino Linotype" w:hAnsi="Palatino Linotype" w:cs="Arial"/>
          <w:b/>
          <w:sz w:val="28"/>
          <w:lang w:val="es-ES_tradnl"/>
        </w:rPr>
      </w:pPr>
      <w:r w:rsidRPr="001416AF">
        <w:rPr>
          <w:rFonts w:ascii="Palatino Linotype" w:hAnsi="Palatino Linotype" w:cs="Arial"/>
          <w:b/>
          <w:sz w:val="28"/>
          <w:szCs w:val="28"/>
        </w:rPr>
        <w:t>SEXTO</w:t>
      </w:r>
      <w:r w:rsidR="00E05F7E" w:rsidRPr="001416AF">
        <w:rPr>
          <w:rFonts w:ascii="Palatino Linotype" w:hAnsi="Palatino Linotype" w:cs="Arial"/>
          <w:b/>
          <w:sz w:val="28"/>
          <w:szCs w:val="28"/>
        </w:rPr>
        <w:t xml:space="preserve">. </w:t>
      </w:r>
      <w:r w:rsidR="00E05F7E" w:rsidRPr="001416AF">
        <w:rPr>
          <w:rFonts w:ascii="Palatino Linotype" w:hAnsi="Palatino Linotype" w:cs="Arial"/>
          <w:b/>
          <w:sz w:val="28"/>
          <w:lang w:val="es-ES_tradnl"/>
        </w:rPr>
        <w:t>De la ampliación del término para resolver.</w:t>
      </w:r>
    </w:p>
    <w:p w:rsidR="00E05F7E" w:rsidRPr="001416AF" w:rsidRDefault="00E05F7E" w:rsidP="00E05F7E">
      <w:pPr>
        <w:spacing w:line="360" w:lineRule="auto"/>
        <w:jc w:val="both"/>
        <w:rPr>
          <w:rFonts w:ascii="Palatino Linotype" w:hAnsi="Palatino Linotype" w:cs="Arial"/>
          <w:sz w:val="24"/>
        </w:rPr>
      </w:pPr>
      <w:r w:rsidRPr="001416AF">
        <w:rPr>
          <w:rFonts w:ascii="Palatino Linotype" w:hAnsi="Palatino Linotype" w:cs="Arial"/>
          <w:sz w:val="24"/>
        </w:rPr>
        <w:t xml:space="preserve">De las constancias que integran el expediente electrónico, se advierte que han transcurrido los términos de Ley, para la emisión de la resolución en el presente recurso de revisión, por lo que en fecha </w:t>
      </w:r>
      <w:r w:rsidR="0003689E" w:rsidRPr="001416AF">
        <w:rPr>
          <w:rFonts w:ascii="Palatino Linotype" w:hAnsi="Palatino Linotype" w:cs="Arial"/>
          <w:b/>
          <w:sz w:val="24"/>
        </w:rPr>
        <w:t>quince</w:t>
      </w:r>
      <w:r w:rsidRPr="001416AF">
        <w:rPr>
          <w:rFonts w:ascii="Palatino Linotype" w:hAnsi="Palatino Linotype" w:cs="Arial"/>
          <w:b/>
          <w:sz w:val="24"/>
        </w:rPr>
        <w:t xml:space="preserve"> de abril de dos mil veintiséis</w:t>
      </w:r>
      <w:r w:rsidRPr="001416AF">
        <w:rPr>
          <w:rFonts w:ascii="Palatino Linotype" w:hAnsi="Palatino Linotype" w:cs="Arial"/>
          <w:sz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E05F7E" w:rsidRPr="001416AF" w:rsidRDefault="00E05F7E" w:rsidP="00E05F7E">
      <w:pPr>
        <w:spacing w:after="0" w:line="360" w:lineRule="auto"/>
        <w:jc w:val="both"/>
        <w:rPr>
          <w:rFonts w:ascii="Palatino Linotype" w:hAnsi="Palatino Linotype" w:cs="Arial"/>
          <w:sz w:val="24"/>
          <w:szCs w:val="24"/>
        </w:rPr>
      </w:pPr>
    </w:p>
    <w:p w:rsidR="00E05F7E" w:rsidRPr="001416AF" w:rsidRDefault="005C7401" w:rsidP="00E05F7E">
      <w:pPr>
        <w:spacing w:after="0" w:line="360" w:lineRule="auto"/>
        <w:jc w:val="both"/>
        <w:rPr>
          <w:rFonts w:ascii="Palatino Linotype" w:hAnsi="Palatino Linotype" w:cs="Arial"/>
          <w:b/>
          <w:sz w:val="28"/>
          <w:szCs w:val="28"/>
        </w:rPr>
      </w:pPr>
      <w:r w:rsidRPr="001416AF">
        <w:rPr>
          <w:rFonts w:ascii="Palatino Linotype" w:hAnsi="Palatino Linotype" w:cs="Arial"/>
          <w:b/>
          <w:sz w:val="28"/>
          <w:lang w:val="es-ES_tradnl"/>
        </w:rPr>
        <w:t>SÉPTIMO</w:t>
      </w:r>
      <w:r w:rsidR="00E05F7E" w:rsidRPr="001416AF">
        <w:rPr>
          <w:rFonts w:ascii="Palatino Linotype" w:hAnsi="Palatino Linotype" w:cs="Arial"/>
          <w:b/>
          <w:sz w:val="28"/>
          <w:szCs w:val="28"/>
        </w:rPr>
        <w:t>.</w:t>
      </w:r>
      <w:r w:rsidR="00E05F7E" w:rsidRPr="001416AF">
        <w:rPr>
          <w:rFonts w:ascii="Palatino Linotype" w:hAnsi="Palatino Linotype" w:cs="Arial"/>
          <w:b/>
          <w:sz w:val="28"/>
          <w:lang w:val="es-ES_tradnl"/>
        </w:rPr>
        <w:t xml:space="preserve"> </w:t>
      </w:r>
      <w:r w:rsidR="00E05F7E" w:rsidRPr="001416AF">
        <w:rPr>
          <w:rFonts w:ascii="Palatino Linotype" w:hAnsi="Palatino Linotype" w:cs="Arial"/>
          <w:b/>
          <w:sz w:val="28"/>
          <w:szCs w:val="28"/>
        </w:rPr>
        <w:t>Del Cierre de Instrucción.</w:t>
      </w:r>
    </w:p>
    <w:p w:rsidR="00E05F7E" w:rsidRPr="001416AF" w:rsidRDefault="00E05F7E" w:rsidP="00E05F7E">
      <w:pPr>
        <w:spacing w:after="0" w:line="360" w:lineRule="auto"/>
        <w:jc w:val="both"/>
        <w:rPr>
          <w:rFonts w:ascii="Palatino Linotype" w:hAnsi="Palatino Linotype" w:cs="Arial"/>
          <w:sz w:val="24"/>
          <w:szCs w:val="24"/>
        </w:rPr>
      </w:pPr>
      <w:r w:rsidRPr="001416AF">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03689E" w:rsidRPr="001416AF">
        <w:rPr>
          <w:rFonts w:ascii="Palatino Linotype" w:hAnsi="Palatino Linotype" w:cs="Arial"/>
          <w:b/>
          <w:sz w:val="24"/>
          <w:szCs w:val="24"/>
        </w:rPr>
        <w:t>dieciséis</w:t>
      </w:r>
      <w:r w:rsidRPr="001416AF">
        <w:rPr>
          <w:rFonts w:ascii="Palatino Linotype" w:hAnsi="Palatino Linotype" w:cs="Arial"/>
          <w:b/>
          <w:sz w:val="24"/>
          <w:szCs w:val="24"/>
        </w:rPr>
        <w:t xml:space="preserve"> de abril de dos mil veintiséis</w:t>
      </w:r>
      <w:r w:rsidRPr="001416AF">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E05F7E" w:rsidRPr="001416AF" w:rsidRDefault="00E05F7E" w:rsidP="00E05F7E">
      <w:pPr>
        <w:spacing w:line="360" w:lineRule="auto"/>
        <w:jc w:val="both"/>
        <w:rPr>
          <w:rFonts w:ascii="Palatino Linotype" w:hAnsi="Palatino Linotype" w:cs="Arial"/>
          <w:sz w:val="24"/>
        </w:rPr>
      </w:pPr>
    </w:p>
    <w:p w:rsidR="00E05F7E" w:rsidRPr="001416AF" w:rsidRDefault="00E05F7E" w:rsidP="00E05F7E">
      <w:pPr>
        <w:spacing w:after="0" w:line="360" w:lineRule="auto"/>
        <w:jc w:val="both"/>
        <w:rPr>
          <w:rFonts w:ascii="Palatino Linotype" w:eastAsia="Palatino Linotype" w:hAnsi="Palatino Linotype" w:cs="Palatino Linotype"/>
          <w:sz w:val="24"/>
          <w:szCs w:val="24"/>
        </w:rPr>
      </w:pPr>
    </w:p>
    <w:p w:rsidR="00E05F7E" w:rsidRPr="001416AF" w:rsidRDefault="00E05F7E" w:rsidP="00E05F7E">
      <w:pPr>
        <w:spacing w:after="0" w:line="360" w:lineRule="auto"/>
        <w:jc w:val="center"/>
        <w:rPr>
          <w:rFonts w:ascii="Palatino Linotype" w:eastAsia="Palatino Linotype" w:hAnsi="Palatino Linotype" w:cs="Palatino Linotype"/>
          <w:sz w:val="24"/>
          <w:szCs w:val="24"/>
        </w:rPr>
      </w:pPr>
      <w:r w:rsidRPr="001416AF">
        <w:rPr>
          <w:rFonts w:ascii="Palatino Linotype" w:eastAsia="Palatino Linotype" w:hAnsi="Palatino Linotype" w:cs="Palatino Linotype"/>
          <w:b/>
          <w:sz w:val="28"/>
          <w:szCs w:val="28"/>
        </w:rPr>
        <w:t xml:space="preserve">C O N S I D E R A N D O </w:t>
      </w:r>
    </w:p>
    <w:p w:rsidR="00E05F7E" w:rsidRPr="001416AF" w:rsidRDefault="00E05F7E" w:rsidP="00E05F7E">
      <w:pPr>
        <w:spacing w:after="0" w:line="360" w:lineRule="auto"/>
        <w:jc w:val="both"/>
        <w:rPr>
          <w:rFonts w:ascii="Palatino Linotype" w:eastAsia="Palatino Linotype" w:hAnsi="Palatino Linotype" w:cs="Palatino Linotype"/>
          <w:sz w:val="24"/>
          <w:szCs w:val="24"/>
        </w:rPr>
      </w:pPr>
    </w:p>
    <w:p w:rsidR="00E05F7E" w:rsidRPr="001416AF" w:rsidRDefault="00E05F7E" w:rsidP="00E05F7E">
      <w:pPr>
        <w:spacing w:after="0" w:line="360" w:lineRule="auto"/>
        <w:jc w:val="both"/>
        <w:rPr>
          <w:rFonts w:ascii="Palatino Linotype" w:eastAsia="Palatino Linotype" w:hAnsi="Palatino Linotype" w:cs="Palatino Linotype"/>
          <w:sz w:val="28"/>
          <w:szCs w:val="24"/>
        </w:rPr>
      </w:pPr>
      <w:r w:rsidRPr="001416AF">
        <w:rPr>
          <w:rFonts w:ascii="Palatino Linotype" w:eastAsia="Palatino Linotype" w:hAnsi="Palatino Linotype" w:cs="Palatino Linotype"/>
          <w:b/>
          <w:sz w:val="28"/>
          <w:szCs w:val="24"/>
        </w:rPr>
        <w:t>PRIMERO. De la competencia</w:t>
      </w:r>
      <w:r w:rsidRPr="001416AF">
        <w:rPr>
          <w:rFonts w:ascii="Palatino Linotype" w:eastAsia="Palatino Linotype" w:hAnsi="Palatino Linotype" w:cs="Palatino Linotype"/>
          <w:sz w:val="28"/>
          <w:szCs w:val="24"/>
        </w:rPr>
        <w:t>.</w:t>
      </w:r>
    </w:p>
    <w:p w:rsidR="00E05F7E" w:rsidRPr="001416AF" w:rsidRDefault="00E05F7E" w:rsidP="00E05F7E">
      <w:pPr>
        <w:spacing w:after="0" w:line="360" w:lineRule="auto"/>
        <w:jc w:val="both"/>
        <w:rPr>
          <w:rFonts w:ascii="Palatino Linotype" w:hAnsi="Palatino Linotype"/>
          <w:sz w:val="24"/>
          <w:szCs w:val="24"/>
          <w:lang w:val="es-ES"/>
        </w:rPr>
      </w:pPr>
      <w:r w:rsidRPr="001416AF">
        <w:rPr>
          <w:rFonts w:ascii="Palatino Linotype" w:hAnsi="Palatino Linotype"/>
          <w:sz w:val="24"/>
          <w:szCs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E05F7E" w:rsidRPr="001416AF" w:rsidRDefault="00E05F7E" w:rsidP="00E05F7E">
      <w:pPr>
        <w:spacing w:after="0" w:line="360" w:lineRule="auto"/>
        <w:jc w:val="both"/>
        <w:rPr>
          <w:rFonts w:ascii="Palatino Linotype" w:eastAsia="Palatino Linotype" w:hAnsi="Palatino Linotype" w:cs="Palatino Linotype"/>
          <w:sz w:val="24"/>
          <w:szCs w:val="24"/>
        </w:rPr>
      </w:pPr>
    </w:p>
    <w:p w:rsidR="00E05F7E" w:rsidRPr="001416AF" w:rsidRDefault="00E05F7E" w:rsidP="00E05F7E">
      <w:pPr>
        <w:pStyle w:val="Prrafodelista"/>
        <w:autoSpaceDE w:val="0"/>
        <w:autoSpaceDN w:val="0"/>
        <w:adjustRightInd w:val="0"/>
        <w:spacing w:line="360" w:lineRule="auto"/>
        <w:ind w:left="0"/>
        <w:jc w:val="both"/>
        <w:rPr>
          <w:rFonts w:ascii="Palatino Linotype" w:hAnsi="Palatino Linotype" w:cs="Arial"/>
          <w:b/>
        </w:rPr>
      </w:pPr>
      <w:r w:rsidRPr="001416AF">
        <w:rPr>
          <w:rFonts w:ascii="Palatino Linotype" w:hAnsi="Palatino Linotype" w:cs="Arial"/>
          <w:b/>
          <w:sz w:val="28"/>
        </w:rPr>
        <w:t>SEGUNDO</w:t>
      </w:r>
      <w:r w:rsidRPr="001416AF">
        <w:rPr>
          <w:rFonts w:ascii="Palatino Linotype" w:hAnsi="Palatino Linotype" w:cs="Arial"/>
          <w:b/>
        </w:rPr>
        <w:t xml:space="preserve">. </w:t>
      </w:r>
      <w:r w:rsidRPr="001416AF">
        <w:rPr>
          <w:rFonts w:ascii="Palatino Linotype" w:hAnsi="Palatino Linotype" w:cs="Arial"/>
          <w:b/>
          <w:sz w:val="28"/>
          <w:szCs w:val="28"/>
        </w:rPr>
        <w:t>Sobre los alcances del recurso de revisión.</w:t>
      </w:r>
      <w:r w:rsidRPr="001416AF">
        <w:rPr>
          <w:rFonts w:ascii="Palatino Linotype" w:hAnsi="Palatino Linotype" w:cs="Arial"/>
          <w:b/>
        </w:rPr>
        <w:t xml:space="preserve"> </w:t>
      </w: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r w:rsidRPr="001416AF">
        <w:rPr>
          <w:rFonts w:ascii="Palatino Linotype" w:hAnsi="Palatino Linotype" w:cs="Arial"/>
          <w:sz w:val="24"/>
          <w:szCs w:val="24"/>
        </w:rPr>
        <w:t>Anterior a todo debe destacarse que el recurso de revisión tiene el fin y alcance que señalan los numerales 176, 179 fracción V,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r w:rsidRPr="001416AF">
        <w:rPr>
          <w:rFonts w:ascii="Palatino Linotype" w:hAnsi="Palatino Linotype" w:cs="Arial"/>
          <w:sz w:val="24"/>
          <w:szCs w:val="24"/>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p>
    <w:p w:rsidR="00E05F7E" w:rsidRPr="001416AF" w:rsidRDefault="00E05F7E" w:rsidP="00E05F7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1416AF">
        <w:rPr>
          <w:rFonts w:ascii="Palatino Linotype" w:eastAsia="Times New Roman" w:hAnsi="Palatino Linotype" w:cs="Arial"/>
          <w:i/>
          <w:lang w:val="es-ES" w:eastAsia="es-ES"/>
        </w:rPr>
        <w:t>“</w:t>
      </w:r>
      <w:r w:rsidRPr="001416AF">
        <w:rPr>
          <w:rFonts w:ascii="Palatino Linotype" w:eastAsia="Times New Roman" w:hAnsi="Palatino Linotype" w:cs="Arial"/>
          <w:b/>
          <w:i/>
          <w:lang w:val="es-ES" w:eastAsia="es-ES"/>
        </w:rPr>
        <w:t>Artículo 163.</w:t>
      </w:r>
      <w:r w:rsidRPr="001416AF">
        <w:rPr>
          <w:rFonts w:ascii="Palatino Linotype" w:eastAsia="Times New Roman" w:hAnsi="Palatino Linotype" w:cs="Arial"/>
          <w:i/>
          <w:lang w:val="es-ES" w:eastAsia="es-ES"/>
        </w:rPr>
        <w:t xml:space="preserve"> </w:t>
      </w:r>
      <w:r w:rsidRPr="001416AF">
        <w:rPr>
          <w:rFonts w:ascii="Palatino Linotype" w:eastAsia="Times New Roman" w:hAnsi="Palatino Linotype" w:cs="Arial"/>
          <w:i/>
          <w:u w:val="single"/>
          <w:lang w:val="es-ES" w:eastAsia="es-ES"/>
        </w:rPr>
        <w:t>La Unidad de Transparencia deberá notificar la respuesta a la solicitud al interesado en el menor tiempo posible, que no podrá exceder de quince días hábiles, contados a partir del día siguiente a la presentación de aquélla.</w:t>
      </w:r>
    </w:p>
    <w:p w:rsidR="00E05F7E" w:rsidRPr="001416AF" w:rsidRDefault="00E05F7E" w:rsidP="00E05F7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1416AF">
        <w:rPr>
          <w:rFonts w:ascii="Palatino Linotype" w:eastAsia="Times New Roman" w:hAnsi="Palatino Linotype" w:cs="Arial"/>
          <w:i/>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E05F7E" w:rsidRPr="001416AF" w:rsidRDefault="00E05F7E" w:rsidP="00E05F7E">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1416AF">
        <w:rPr>
          <w:rFonts w:ascii="Palatino Linotype" w:eastAsia="Times New Roman" w:hAnsi="Palatino Linotype" w:cs="Arial"/>
          <w:lang w:val="es-ES" w:eastAsia="es-ES"/>
        </w:rPr>
        <w:t>(Énfasis añadido)</w:t>
      </w: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r w:rsidRPr="001416AF">
        <w:rPr>
          <w:rFonts w:ascii="Palatino Linotype" w:hAnsi="Palatino Linotype" w:cs="Arial"/>
          <w:sz w:val="24"/>
          <w:szCs w:val="24"/>
        </w:rPr>
        <w:t xml:space="preserve">De la interpretación al precepto legal inserto, se advierte que el plazo que les asiste a los </w:t>
      </w:r>
      <w:r w:rsidRPr="001416AF">
        <w:rPr>
          <w:rFonts w:ascii="Palatino Linotype" w:hAnsi="Palatino Linotype" w:cs="Arial"/>
          <w:b/>
          <w:sz w:val="24"/>
          <w:szCs w:val="24"/>
        </w:rPr>
        <w:t>sujetos</w:t>
      </w:r>
      <w:r w:rsidRPr="001416AF">
        <w:rPr>
          <w:rFonts w:ascii="Palatino Linotype" w:hAnsi="Palatino Linotype" w:cs="Arial"/>
          <w:sz w:val="24"/>
          <w:szCs w:val="24"/>
        </w:rPr>
        <w:t xml:space="preserve"> </w:t>
      </w:r>
      <w:r w:rsidRPr="001416AF">
        <w:rPr>
          <w:rFonts w:ascii="Palatino Linotype" w:hAnsi="Palatino Linotype" w:cs="Arial"/>
          <w:b/>
          <w:sz w:val="24"/>
          <w:szCs w:val="24"/>
        </w:rPr>
        <w:t>obligados</w:t>
      </w:r>
      <w:r w:rsidRPr="001416AF">
        <w:rPr>
          <w:rFonts w:ascii="Palatino Linotype" w:hAnsi="Palatino Linotype" w:cs="Arial"/>
          <w:sz w:val="24"/>
          <w:szCs w:val="24"/>
        </w:rPr>
        <w:t xml:space="preserve"> para notificar la respuesta a una solicitud de información pública, es de quince días hábiles posteriores a la presentación de ésta. 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w:t>
      </w: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r w:rsidRPr="001416AF">
        <w:rPr>
          <w:rFonts w:ascii="Palatino Linotype" w:hAnsi="Palatino Linotype" w:cs="Arial"/>
          <w:sz w:val="24"/>
          <w:szCs w:val="24"/>
        </w:rPr>
        <w:t xml:space="preserve">Se constituye la figura jurídica de la </w:t>
      </w:r>
      <w:r w:rsidRPr="001416AF">
        <w:rPr>
          <w:rFonts w:ascii="Palatino Linotype" w:hAnsi="Palatino Linotype" w:cs="Arial"/>
          <w:b/>
          <w:i/>
          <w:sz w:val="24"/>
          <w:szCs w:val="24"/>
        </w:rPr>
        <w:t>NEGATIVA FICTA</w:t>
      </w:r>
      <w:r w:rsidRPr="001416AF">
        <w:rPr>
          <w:rFonts w:ascii="Palatino Linotype" w:hAnsi="Palatino Linotype" w:cs="Arial"/>
          <w:sz w:val="24"/>
          <w:szCs w:val="24"/>
        </w:rPr>
        <w:t>, cuya esencia consiste en atribuir un efecto negativo al silencio de la autoridad administrativa frente a las instancias y solicitudes que hagan los particulares. Por su parte el artículo 178 de la Ley de Transparencia y Acceso a la Información Pública del Estado de México y Municipios, establece:</w:t>
      </w:r>
    </w:p>
    <w:p w:rsidR="00E05F7E" w:rsidRPr="001416AF" w:rsidRDefault="00E05F7E" w:rsidP="00E05F7E">
      <w:pPr>
        <w:spacing w:after="0" w:line="240" w:lineRule="auto"/>
        <w:rPr>
          <w:rFonts w:ascii="Palatino Linotype" w:hAnsi="Palatino Linotype"/>
        </w:rPr>
      </w:pPr>
    </w:p>
    <w:p w:rsidR="00E05F7E" w:rsidRPr="001416AF" w:rsidRDefault="00E05F7E" w:rsidP="00E05F7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1416AF">
        <w:rPr>
          <w:rFonts w:ascii="Palatino Linotype" w:eastAsia="Times New Roman" w:hAnsi="Palatino Linotype" w:cs="Arial"/>
          <w:i/>
          <w:lang w:val="es-ES" w:eastAsia="es-ES"/>
        </w:rPr>
        <w:t>“</w:t>
      </w:r>
      <w:r w:rsidRPr="001416AF">
        <w:rPr>
          <w:rFonts w:ascii="Palatino Linotype" w:eastAsia="Times New Roman" w:hAnsi="Palatino Linotype" w:cs="Arial"/>
          <w:b/>
          <w:i/>
          <w:lang w:val="es-ES" w:eastAsia="es-ES"/>
        </w:rPr>
        <w:t>Artículo 178.</w:t>
      </w:r>
      <w:r w:rsidRPr="001416AF">
        <w:rPr>
          <w:rFonts w:ascii="Palatino Linotype" w:eastAsia="Times New Roman" w:hAnsi="Palatino Linotype" w:cs="Arial"/>
          <w:i/>
          <w:lang w:val="es-ES" w:eastAsia="es-ES"/>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E05F7E" w:rsidRPr="001416AF" w:rsidRDefault="00E05F7E" w:rsidP="00E05F7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E05F7E" w:rsidRPr="001416AF" w:rsidRDefault="00E05F7E" w:rsidP="00E05F7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1416AF">
        <w:rPr>
          <w:rFonts w:ascii="Palatino Linotype" w:eastAsia="Times New Roman" w:hAnsi="Palatino Linotype" w:cs="Arial"/>
          <w:b/>
          <w:i/>
          <w:lang w:val="es-ES" w:eastAsia="es-ES"/>
        </w:rPr>
        <w:t>A falta de respuesta del Sujeto Obligado, dentro de los plazos establecidos en esta Ley, a una solicitud de acceso a la información pública, el recurso podrá ser interpuesto en cualquier momento</w:t>
      </w:r>
      <w:r w:rsidRPr="001416AF">
        <w:rPr>
          <w:rFonts w:ascii="Palatino Linotype" w:eastAsia="Times New Roman" w:hAnsi="Palatino Linotype" w:cs="Arial"/>
          <w:i/>
          <w:lang w:val="es-ES" w:eastAsia="es-ES"/>
        </w:rPr>
        <w:t>, acompañado con el documento que pruebe la fecha en que presentó la solicitud.</w:t>
      </w:r>
    </w:p>
    <w:p w:rsidR="00E05F7E" w:rsidRPr="001416AF" w:rsidRDefault="00E05F7E" w:rsidP="00E05F7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E05F7E" w:rsidRPr="001416AF" w:rsidRDefault="00E05F7E" w:rsidP="00E05F7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1416AF">
        <w:rPr>
          <w:rFonts w:ascii="Palatino Linotype" w:eastAsia="Times New Roman" w:hAnsi="Palatino Linotype" w:cs="Arial"/>
          <w:i/>
          <w:lang w:val="es-ES" w:eastAsia="es-ES"/>
        </w:rPr>
        <w:t>En el caso de que se interponga ante la Unidad de Transparencia, ésta deberá remitir el recurso de revisión al Instituto a más tardar al día siguiente de haberlo recibido.”</w:t>
      </w:r>
    </w:p>
    <w:p w:rsidR="00E05F7E" w:rsidRPr="001416AF" w:rsidRDefault="00E05F7E" w:rsidP="00E05F7E">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E05F7E" w:rsidRPr="001416AF" w:rsidRDefault="00E05F7E" w:rsidP="00E05F7E">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1416AF">
        <w:rPr>
          <w:rFonts w:ascii="Palatino Linotype" w:eastAsia="Times New Roman" w:hAnsi="Palatino Linotype" w:cs="Arial"/>
          <w:lang w:val="es-ES" w:eastAsia="es-ES"/>
        </w:rPr>
        <w:t>(Énfasis añadido)</w:t>
      </w: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p>
    <w:p w:rsidR="00E05F7E" w:rsidRPr="001416AF" w:rsidRDefault="00E05F7E" w:rsidP="00E05F7E">
      <w:pPr>
        <w:autoSpaceDE w:val="0"/>
        <w:autoSpaceDN w:val="0"/>
        <w:adjustRightInd w:val="0"/>
        <w:spacing w:after="0" w:line="360" w:lineRule="auto"/>
        <w:jc w:val="both"/>
        <w:rPr>
          <w:rFonts w:ascii="Palatino Linotype" w:hAnsi="Palatino Linotype" w:cs="Arial"/>
          <w:sz w:val="24"/>
          <w:szCs w:val="24"/>
        </w:rPr>
      </w:pPr>
      <w:r w:rsidRPr="001416AF">
        <w:rPr>
          <w:rFonts w:ascii="Palatino Linotype" w:hAnsi="Palatino Linotype" w:cs="Arial"/>
          <w:sz w:val="24"/>
          <w:szCs w:val="24"/>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al no existir respuesta a la solicitud de información por parte del </w:t>
      </w:r>
      <w:r w:rsidRPr="001416AF">
        <w:rPr>
          <w:rFonts w:ascii="Palatino Linotype" w:hAnsi="Palatino Linotype" w:cs="Arial"/>
          <w:b/>
          <w:sz w:val="24"/>
          <w:szCs w:val="24"/>
        </w:rPr>
        <w:t>Sujeto Obligado</w:t>
      </w:r>
      <w:r w:rsidRPr="001416AF">
        <w:rPr>
          <w:rFonts w:ascii="Palatino Linotype" w:hAnsi="Palatino Linotype" w:cs="Arial"/>
          <w:sz w:val="24"/>
          <w:szCs w:val="24"/>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rsidR="00E05F7E" w:rsidRPr="001416AF" w:rsidRDefault="00E05F7E" w:rsidP="00E05F7E">
      <w:pPr>
        <w:pStyle w:val="Prrafodelista"/>
        <w:autoSpaceDE w:val="0"/>
        <w:autoSpaceDN w:val="0"/>
        <w:adjustRightInd w:val="0"/>
        <w:spacing w:line="360" w:lineRule="auto"/>
        <w:ind w:left="0"/>
        <w:jc w:val="both"/>
        <w:rPr>
          <w:rFonts w:ascii="Palatino Linotype" w:hAnsi="Palatino Linotype" w:cs="Arial"/>
          <w:b/>
        </w:rPr>
      </w:pPr>
    </w:p>
    <w:p w:rsidR="00E05F7E" w:rsidRPr="001416AF" w:rsidRDefault="00E05F7E" w:rsidP="00E05F7E">
      <w:pPr>
        <w:spacing w:after="0" w:line="360" w:lineRule="auto"/>
        <w:ind w:right="49"/>
        <w:jc w:val="both"/>
        <w:rPr>
          <w:rFonts w:ascii="Palatino Linotype" w:eastAsia="Times New Roman" w:hAnsi="Palatino Linotype" w:cs="Arial"/>
          <w:b/>
          <w:sz w:val="28"/>
          <w:szCs w:val="28"/>
          <w:lang w:val="es-ES" w:eastAsia="es-ES"/>
        </w:rPr>
      </w:pPr>
      <w:r w:rsidRPr="001416AF">
        <w:rPr>
          <w:rFonts w:ascii="Palatino Linotype" w:eastAsia="Times New Roman" w:hAnsi="Palatino Linotype" w:cs="Arial"/>
          <w:b/>
          <w:sz w:val="28"/>
          <w:szCs w:val="28"/>
          <w:lang w:val="es-ES" w:eastAsia="es-ES"/>
        </w:rPr>
        <w:t>TERCERO.</w:t>
      </w:r>
      <w:r w:rsidRPr="001416AF">
        <w:rPr>
          <w:rFonts w:ascii="Palatino Linotype" w:eastAsia="Times New Roman" w:hAnsi="Palatino Linotype" w:cs="Arial"/>
          <w:sz w:val="28"/>
          <w:szCs w:val="28"/>
          <w:lang w:val="es-ES" w:eastAsia="es-ES"/>
        </w:rPr>
        <w:t xml:space="preserve"> </w:t>
      </w:r>
      <w:r w:rsidRPr="001416AF">
        <w:rPr>
          <w:rFonts w:ascii="Palatino Linotype" w:eastAsia="Times New Roman" w:hAnsi="Palatino Linotype" w:cs="Arial"/>
          <w:b/>
          <w:sz w:val="28"/>
          <w:szCs w:val="28"/>
          <w:lang w:val="es-ES" w:eastAsia="es-ES"/>
        </w:rPr>
        <w:t xml:space="preserve">De las causas de improcedencia. </w:t>
      </w:r>
    </w:p>
    <w:p w:rsidR="00E05F7E" w:rsidRPr="001416AF" w:rsidRDefault="00E05F7E" w:rsidP="00E05F7E">
      <w:pPr>
        <w:spacing w:after="0" w:line="360" w:lineRule="auto"/>
        <w:ind w:right="49"/>
        <w:jc w:val="both"/>
        <w:rPr>
          <w:rFonts w:ascii="Palatino Linotype" w:eastAsia="Times New Roman" w:hAnsi="Palatino Linotype" w:cs="Arial"/>
          <w:sz w:val="24"/>
          <w:szCs w:val="24"/>
          <w:lang w:val="es-ES" w:eastAsia="es-ES"/>
        </w:rPr>
      </w:pPr>
      <w:r w:rsidRPr="001416AF">
        <w:rPr>
          <w:rFonts w:ascii="Palatino Linotype" w:eastAsia="Times New Roman" w:hAnsi="Palatino Linotype" w:cs="Arial"/>
          <w:sz w:val="24"/>
          <w:szCs w:val="24"/>
          <w:lang w:val="es-ES" w:eastAsia="es-E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1416AF">
        <w:rPr>
          <w:rFonts w:ascii="Palatino Linotype" w:eastAsia="Times New Roman" w:hAnsi="Palatino Linotype" w:cs="Arial"/>
          <w:sz w:val="24"/>
          <w:szCs w:val="24"/>
          <w:lang w:val="es-ES" w:eastAsia="es-ES"/>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1416AF">
        <w:rPr>
          <w:rFonts w:ascii="Palatino Linotype" w:eastAsia="Times New Roman" w:hAnsi="Palatino Linotype" w:cs="Arial"/>
          <w:sz w:val="24"/>
          <w:szCs w:val="24"/>
          <w:vertAlign w:val="superscript"/>
          <w:lang w:val="es-ES" w:eastAsia="es-ES"/>
        </w:rPr>
        <w:footnoteReference w:id="1"/>
      </w:r>
      <w:r w:rsidRPr="001416AF">
        <w:rPr>
          <w:rFonts w:ascii="Palatino Linotype" w:eastAsia="Times New Roman" w:hAnsi="Palatino Linotype" w:cs="Arial"/>
          <w:sz w:val="24"/>
          <w:szCs w:val="24"/>
          <w:lang w:val="es-ES" w:eastAsia="es-ES"/>
        </w:rPr>
        <w:t>.</w:t>
      </w:r>
    </w:p>
    <w:p w:rsidR="00E05F7E" w:rsidRPr="001416AF" w:rsidRDefault="00E05F7E" w:rsidP="00E05F7E">
      <w:pPr>
        <w:spacing w:after="0" w:line="360" w:lineRule="auto"/>
        <w:ind w:right="49"/>
        <w:jc w:val="both"/>
        <w:rPr>
          <w:rFonts w:ascii="Palatino Linotype" w:eastAsia="Times New Roman" w:hAnsi="Palatino Linotype" w:cs="Arial"/>
          <w:sz w:val="24"/>
          <w:szCs w:val="24"/>
          <w:lang w:val="es-ES" w:eastAsia="es-ES"/>
        </w:rPr>
      </w:pPr>
    </w:p>
    <w:p w:rsidR="00E05F7E" w:rsidRPr="001416AF" w:rsidRDefault="00E05F7E" w:rsidP="00E05F7E">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416AF">
        <w:rPr>
          <w:rFonts w:ascii="Palatino Linotype" w:eastAsia="Times New Roman" w:hAnsi="Palatino Linotype" w:cs="Arial"/>
          <w:sz w:val="24"/>
          <w:szCs w:val="24"/>
          <w:lang w:val="es-ES" w:eastAsia="es-ES"/>
        </w:rPr>
        <w:t>Así las cosas, del análisis de los expedientes electrónicos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rsidR="00E05F7E" w:rsidRPr="001416AF" w:rsidRDefault="00E05F7E" w:rsidP="00E05F7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E05F7E" w:rsidRPr="001416AF" w:rsidRDefault="00E05F7E" w:rsidP="00E05F7E">
      <w:pPr>
        <w:widowControl w:val="0"/>
        <w:autoSpaceDE w:val="0"/>
        <w:autoSpaceDN w:val="0"/>
        <w:adjustRightInd w:val="0"/>
        <w:spacing w:after="0" w:line="360" w:lineRule="auto"/>
        <w:jc w:val="both"/>
        <w:rPr>
          <w:rFonts w:ascii="Palatino Linotype" w:eastAsia="Times New Roman" w:hAnsi="Palatino Linotype" w:cs="Times New Roman"/>
          <w:b/>
          <w:sz w:val="28"/>
          <w:szCs w:val="28"/>
          <w:lang w:val="es-ES" w:eastAsia="es-ES"/>
        </w:rPr>
      </w:pPr>
      <w:r w:rsidRPr="001416AF">
        <w:rPr>
          <w:rFonts w:ascii="Palatino Linotype" w:eastAsia="Times New Roman" w:hAnsi="Palatino Linotype" w:cs="Arial"/>
          <w:b/>
          <w:sz w:val="28"/>
          <w:szCs w:val="28"/>
          <w:lang w:val="es-ES" w:eastAsia="es-ES"/>
        </w:rPr>
        <w:lastRenderedPageBreak/>
        <w:t>CUARTO. Estudio y resolución del asunto</w:t>
      </w:r>
      <w:r w:rsidRPr="001416AF">
        <w:rPr>
          <w:rFonts w:ascii="Palatino Linotype" w:eastAsia="Times New Roman" w:hAnsi="Palatino Linotype" w:cs="Times New Roman"/>
          <w:b/>
          <w:sz w:val="28"/>
          <w:szCs w:val="28"/>
          <w:lang w:val="es-ES" w:eastAsia="es-ES"/>
        </w:rPr>
        <w:t xml:space="preserve">. </w:t>
      </w:r>
    </w:p>
    <w:p w:rsidR="00E05F7E" w:rsidRPr="001416AF" w:rsidRDefault="00E05F7E" w:rsidP="00E05F7E">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1416AF">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E05F7E" w:rsidRPr="001416AF" w:rsidRDefault="00E05F7E" w:rsidP="00E05F7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E05F7E" w:rsidRPr="001416AF" w:rsidRDefault="00E05F7E" w:rsidP="00E05F7E">
      <w:pPr>
        <w:spacing w:after="0" w:line="360" w:lineRule="auto"/>
        <w:jc w:val="both"/>
        <w:rPr>
          <w:rFonts w:ascii="Palatino Linotype" w:eastAsia="Times New Roman" w:hAnsi="Palatino Linotype" w:cs="Arial"/>
          <w:sz w:val="24"/>
          <w:szCs w:val="24"/>
          <w:lang w:val="es-ES" w:eastAsia="es-ES"/>
        </w:rPr>
      </w:pPr>
      <w:r w:rsidRPr="001416AF">
        <w:rPr>
          <w:rFonts w:ascii="Palatino Linotype" w:eastAsia="Times New Roman" w:hAnsi="Palatino Linotype" w:cs="Arial"/>
          <w:sz w:val="24"/>
          <w:szCs w:val="24"/>
          <w:lang w:val="es-ES" w:eastAsia="es-ES"/>
        </w:rPr>
        <w:t xml:space="preserve">Ahora bien, de los requerimientos contenidos en la solicitud de información, se aprecia que objetivamente el </w:t>
      </w:r>
      <w:r w:rsidRPr="001416AF">
        <w:rPr>
          <w:rFonts w:ascii="Palatino Linotype" w:eastAsia="Times New Roman" w:hAnsi="Palatino Linotype" w:cs="Arial"/>
          <w:b/>
          <w:sz w:val="24"/>
          <w:szCs w:val="24"/>
          <w:lang w:val="es-ES" w:eastAsia="es-ES"/>
        </w:rPr>
        <w:t>Recurrente</w:t>
      </w:r>
      <w:r w:rsidRPr="001416AF">
        <w:rPr>
          <w:rFonts w:ascii="Palatino Linotype" w:eastAsia="Times New Roman" w:hAnsi="Palatino Linotype" w:cs="Arial"/>
          <w:sz w:val="24"/>
          <w:szCs w:val="24"/>
          <w:lang w:val="es-ES" w:eastAsia="es-ES"/>
        </w:rPr>
        <w:t xml:space="preserve"> peticiona le sea entregado por el sistema SAIMEX, lo siguiente:</w:t>
      </w:r>
    </w:p>
    <w:p w:rsidR="00E05F7E" w:rsidRPr="001416AF" w:rsidRDefault="00E05F7E" w:rsidP="00E05F7E">
      <w:pPr>
        <w:spacing w:after="0" w:line="360" w:lineRule="auto"/>
        <w:jc w:val="both"/>
        <w:rPr>
          <w:rFonts w:ascii="Palatino Linotype" w:eastAsia="Times New Roman" w:hAnsi="Palatino Linotype" w:cs="Arial"/>
          <w:sz w:val="24"/>
          <w:szCs w:val="24"/>
          <w:lang w:val="es-ES" w:eastAsia="es-ES"/>
        </w:rPr>
      </w:pPr>
    </w:p>
    <w:p w:rsidR="00E05F7E" w:rsidRPr="001416AF" w:rsidRDefault="00893427" w:rsidP="00893427">
      <w:pPr>
        <w:pStyle w:val="Prrafodelista"/>
        <w:numPr>
          <w:ilvl w:val="0"/>
          <w:numId w:val="5"/>
        </w:numPr>
        <w:spacing w:line="360" w:lineRule="auto"/>
        <w:ind w:left="284" w:hanging="284"/>
        <w:jc w:val="both"/>
        <w:rPr>
          <w:rFonts w:ascii="Palatino Linotype" w:hAnsi="Palatino Linotype" w:cs="Arial"/>
        </w:rPr>
      </w:pPr>
      <w:r w:rsidRPr="001416AF">
        <w:rPr>
          <w:rFonts w:ascii="Palatino Linotype" w:hAnsi="Palatino Linotype" w:cs="Arial"/>
        </w:rPr>
        <w:t>Relación de reglamentos, manuales, lineamientos o políticas internas emitidas, modificadas o derogadas durante los ejercicios 2025 y 2026.</w:t>
      </w:r>
    </w:p>
    <w:p w:rsidR="00E05F7E" w:rsidRPr="001416AF" w:rsidRDefault="00E05F7E" w:rsidP="00E05F7E">
      <w:pPr>
        <w:spacing w:after="0" w:line="360" w:lineRule="auto"/>
        <w:jc w:val="both"/>
        <w:rPr>
          <w:rFonts w:ascii="Palatino Linotype" w:eastAsia="Times New Roman" w:hAnsi="Palatino Linotype" w:cs="Arial"/>
          <w:sz w:val="24"/>
          <w:szCs w:val="24"/>
          <w:lang w:val="es-ES" w:eastAsia="es-ES"/>
        </w:rPr>
      </w:pPr>
    </w:p>
    <w:p w:rsidR="00E05F7E" w:rsidRPr="001416AF" w:rsidRDefault="00E05F7E" w:rsidP="00E05F7E">
      <w:pPr>
        <w:pStyle w:val="INFOEM"/>
        <w:ind w:left="0" w:right="0"/>
        <w:rPr>
          <w:i w:val="0"/>
          <w:sz w:val="24"/>
        </w:rPr>
      </w:pPr>
      <w:r w:rsidRPr="001416AF">
        <w:rPr>
          <w:rFonts w:eastAsia="Palatino Linotype" w:cs="Palatino Linotype"/>
          <w:i w:val="0"/>
          <w:color w:val="000000"/>
          <w:sz w:val="24"/>
          <w:szCs w:val="24"/>
        </w:rPr>
        <w:t xml:space="preserve">Ante la falta respuesta por parte del </w:t>
      </w:r>
      <w:r w:rsidRPr="001416AF">
        <w:rPr>
          <w:rFonts w:eastAsia="Palatino Linotype" w:cs="Palatino Linotype"/>
          <w:b/>
          <w:i w:val="0"/>
          <w:color w:val="000000"/>
          <w:sz w:val="24"/>
          <w:szCs w:val="24"/>
        </w:rPr>
        <w:t>Sujeto Obligado</w:t>
      </w:r>
      <w:r w:rsidRPr="001416AF">
        <w:rPr>
          <w:rFonts w:eastAsia="Palatino Linotype" w:cs="Palatino Linotype"/>
          <w:i w:val="0"/>
          <w:color w:val="000000"/>
          <w:sz w:val="24"/>
          <w:szCs w:val="24"/>
        </w:rPr>
        <w:t xml:space="preserve">, el </w:t>
      </w:r>
      <w:r w:rsidRPr="001416AF">
        <w:rPr>
          <w:rFonts w:eastAsia="Palatino Linotype" w:cs="Palatino Linotype"/>
          <w:b/>
          <w:i w:val="0"/>
          <w:color w:val="000000"/>
          <w:sz w:val="24"/>
          <w:szCs w:val="24"/>
        </w:rPr>
        <w:t>Recurrente</w:t>
      </w:r>
      <w:r w:rsidRPr="001416AF">
        <w:rPr>
          <w:rFonts w:eastAsia="Palatino Linotype" w:cs="Palatino Linotype"/>
          <w:i w:val="0"/>
          <w:color w:val="000000"/>
          <w:sz w:val="24"/>
          <w:szCs w:val="24"/>
        </w:rPr>
        <w:t xml:space="preserve"> consideró que su derecho a la información pública había sido vulnerado, por lo que interpuso el recurso de revisión al rubro citado</w:t>
      </w:r>
      <w:r w:rsidRPr="001416AF">
        <w:rPr>
          <w:rFonts w:cs="Arial"/>
          <w:bCs/>
          <w:i w:val="0"/>
          <w:sz w:val="24"/>
        </w:rPr>
        <w:t>, señalando sustancialmente como sus razones o motivos de inconformidad, lo siguiente:</w:t>
      </w:r>
      <w:r w:rsidRPr="001416AF" w:rsidDel="00107C3B">
        <w:rPr>
          <w:b/>
          <w:i w:val="0"/>
          <w:sz w:val="24"/>
        </w:rPr>
        <w:t xml:space="preserve"> </w:t>
      </w:r>
      <w:r w:rsidRPr="001416AF">
        <w:rPr>
          <w:i w:val="0"/>
          <w:sz w:val="24"/>
        </w:rPr>
        <w:t>“</w:t>
      </w:r>
      <w:r w:rsidRPr="001416AF">
        <w:rPr>
          <w:sz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w:t>
      </w:r>
      <w:r w:rsidRPr="001416AF">
        <w:rPr>
          <w:sz w:val="24"/>
        </w:rPr>
        <w:lastRenderedPageBreak/>
        <w:t xml:space="preserve">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w:t>
      </w:r>
      <w:r w:rsidRPr="001416AF">
        <w:rPr>
          <w:sz w:val="24"/>
        </w:rPr>
        <w:lastRenderedPageBreak/>
        <w:t>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r w:rsidRPr="001416AF">
        <w:rPr>
          <w:i w:val="0"/>
          <w:sz w:val="24"/>
        </w:rPr>
        <w:t xml:space="preserve">. </w:t>
      </w:r>
    </w:p>
    <w:p w:rsidR="00E05F7E" w:rsidRPr="001416AF" w:rsidRDefault="00E05F7E" w:rsidP="00E05F7E">
      <w:pPr>
        <w:tabs>
          <w:tab w:val="left" w:pos="709"/>
        </w:tabs>
        <w:spacing w:line="360" w:lineRule="auto"/>
        <w:jc w:val="both"/>
        <w:rPr>
          <w:rFonts w:ascii="Palatino Linotype" w:hAnsi="Palatino Linotype" w:cs="Arial"/>
          <w:sz w:val="24"/>
        </w:rPr>
      </w:pPr>
    </w:p>
    <w:p w:rsidR="00E05F7E" w:rsidRPr="001416AF" w:rsidRDefault="00E05F7E" w:rsidP="00E05F7E">
      <w:pPr>
        <w:tabs>
          <w:tab w:val="left" w:pos="709"/>
        </w:tabs>
        <w:spacing w:line="360" w:lineRule="auto"/>
        <w:jc w:val="both"/>
        <w:rPr>
          <w:rFonts w:ascii="Palatino Linotype" w:hAnsi="Palatino Linotype" w:cs="Arial"/>
          <w:sz w:val="24"/>
        </w:rPr>
      </w:pPr>
      <w:r w:rsidRPr="001416AF">
        <w:rPr>
          <w:rFonts w:ascii="Palatino Linotype" w:hAnsi="Palatino Linotype" w:cs="Arial"/>
          <w:sz w:val="24"/>
        </w:rPr>
        <w:t xml:space="preserve">Aunado a lo anterior, mediante informe justificado rendido por </w:t>
      </w:r>
      <w:r w:rsidRPr="001416AF">
        <w:rPr>
          <w:rFonts w:ascii="Palatino Linotype" w:hAnsi="Palatino Linotype" w:cs="Arial"/>
          <w:b/>
          <w:sz w:val="24"/>
        </w:rPr>
        <w:t>El Sujeto Obligado</w:t>
      </w:r>
      <w:r w:rsidRPr="001416AF">
        <w:rPr>
          <w:rFonts w:ascii="Palatino Linotype" w:hAnsi="Palatino Linotype" w:cs="Arial"/>
          <w:sz w:val="24"/>
        </w:rPr>
        <w:t xml:space="preserve">, se advierte que </w:t>
      </w:r>
      <w:r w:rsidRPr="001416AF">
        <w:rPr>
          <w:rFonts w:ascii="Palatino Linotype" w:hAnsi="Palatino Linotype" w:cs="Arial"/>
          <w:bCs/>
          <w:sz w:val="24"/>
        </w:rPr>
        <w:t>remitió a</w:t>
      </w:r>
      <w:r w:rsidRPr="001416AF">
        <w:rPr>
          <w:rFonts w:ascii="Palatino Linotype" w:hAnsi="Palatino Linotype" w:cs="Arial"/>
          <w:sz w:val="24"/>
        </w:rPr>
        <w:t xml:space="preserve"> través del Sistema de Acceso a la Información Mexiquense (</w:t>
      </w:r>
      <w:r w:rsidRPr="001416AF">
        <w:rPr>
          <w:rFonts w:ascii="Palatino Linotype" w:hAnsi="Palatino Linotype" w:cs="Arial"/>
          <w:b/>
          <w:sz w:val="24"/>
        </w:rPr>
        <w:t xml:space="preserve">SAIMEX), </w:t>
      </w:r>
      <w:r w:rsidRPr="001416AF">
        <w:rPr>
          <w:rFonts w:ascii="Palatino Linotype" w:hAnsi="Palatino Linotype" w:cs="Arial"/>
          <w:sz w:val="24"/>
        </w:rPr>
        <w:t>por medio de los archivos electrónicos siguientes:</w:t>
      </w:r>
    </w:p>
    <w:p w:rsidR="00E05F7E" w:rsidRPr="001416AF" w:rsidRDefault="00893427" w:rsidP="00893427">
      <w:pPr>
        <w:pStyle w:val="Prrafodelista"/>
        <w:numPr>
          <w:ilvl w:val="0"/>
          <w:numId w:val="1"/>
        </w:numPr>
        <w:spacing w:line="360" w:lineRule="auto"/>
        <w:jc w:val="both"/>
        <w:rPr>
          <w:rFonts w:ascii="Palatino Linotype" w:hAnsi="Palatino Linotype" w:cs="Arial"/>
        </w:rPr>
      </w:pPr>
      <w:r w:rsidRPr="001416AF">
        <w:rPr>
          <w:rFonts w:ascii="Palatino Linotype" w:hAnsi="Palatino Linotype" w:cs="Arial"/>
          <w:b/>
          <w:i/>
        </w:rPr>
        <w:t>HAT-SA-OI-0280-2026.pdf</w:t>
      </w:r>
      <w:r w:rsidR="00E05F7E" w:rsidRPr="001416AF">
        <w:rPr>
          <w:rFonts w:ascii="Palatino Linotype" w:hAnsi="Palatino Linotype" w:cs="Arial"/>
        </w:rPr>
        <w:t>: oficio número HAT/SA/OI/2</w:t>
      </w:r>
      <w:r w:rsidRPr="001416AF">
        <w:rPr>
          <w:rFonts w:ascii="Palatino Linotype" w:hAnsi="Palatino Linotype" w:cs="Arial"/>
        </w:rPr>
        <w:t>80</w:t>
      </w:r>
      <w:r w:rsidR="00E05F7E" w:rsidRPr="001416AF">
        <w:rPr>
          <w:rFonts w:ascii="Palatino Linotype" w:hAnsi="Palatino Linotype" w:cs="Arial"/>
        </w:rPr>
        <w:t>/2026, firmado por el Secretario de Ayuntamiento, remite ligas electrónicas,</w:t>
      </w:r>
      <w:r w:rsidRPr="001416AF">
        <w:rPr>
          <w:rFonts w:ascii="Palatino Linotype" w:hAnsi="Palatino Linotype" w:cs="Arial"/>
        </w:rPr>
        <w:t xml:space="preserve"> en la</w:t>
      </w:r>
      <w:r w:rsidR="00E05F7E" w:rsidRPr="001416AF">
        <w:rPr>
          <w:rFonts w:ascii="Palatino Linotype" w:hAnsi="Palatino Linotype" w:cs="Arial"/>
        </w:rPr>
        <w:t xml:space="preserve"> que refiere se puede consultar </w:t>
      </w:r>
      <w:r w:rsidRPr="001416AF">
        <w:rPr>
          <w:rFonts w:ascii="Palatino Linotype" w:hAnsi="Palatino Linotype" w:cs="Arial"/>
        </w:rPr>
        <w:t>el listado requerido</w:t>
      </w:r>
      <w:r w:rsidR="00E05F7E" w:rsidRPr="001416AF">
        <w:rPr>
          <w:rFonts w:ascii="Palatino Linotype" w:hAnsi="Palatino Linotype" w:cs="Arial"/>
        </w:rPr>
        <w:t xml:space="preserve">, sin embargo, dicha liga se encuentra en datos cerrados. </w:t>
      </w:r>
    </w:p>
    <w:p w:rsidR="00E05F7E" w:rsidRPr="001416AF" w:rsidRDefault="00E05F7E" w:rsidP="00E05F7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p w:rsidR="00E05F7E" w:rsidRPr="001416AF" w:rsidRDefault="00E05F7E" w:rsidP="00E05F7E">
      <w:pPr>
        <w:spacing w:after="0" w:line="360" w:lineRule="auto"/>
        <w:jc w:val="both"/>
        <w:rPr>
          <w:rFonts w:ascii="Palatino Linotype" w:hAnsi="Palatino Linotype" w:cs="Tahoma"/>
          <w:bCs/>
          <w:sz w:val="24"/>
          <w:lang w:val="es-ES_tradnl"/>
        </w:rPr>
      </w:pPr>
      <w:r w:rsidRPr="001416AF">
        <w:rPr>
          <w:rFonts w:ascii="Palatino Linotype" w:hAnsi="Palatino Linotype" w:cs="Tahoma"/>
          <w:bCs/>
          <w:sz w:val="24"/>
          <w:lang w:val="es-ES_tradnl"/>
        </w:rPr>
        <w:t xml:space="preserve">Ante tal situación, se debe precisar que dicho medio electrónico se encuentra en un formato cerrado, es decir que, para </w:t>
      </w:r>
      <w:r w:rsidRPr="001416AF">
        <w:rPr>
          <w:rFonts w:ascii="Palatino Linotype" w:hAnsi="Palatino Linotype" w:cs="Tahoma"/>
          <w:b/>
          <w:bCs/>
          <w:sz w:val="24"/>
          <w:lang w:val="es-ES_tradnl"/>
        </w:rPr>
        <w:t xml:space="preserve">LA PARTE RECURRENTE </w:t>
      </w:r>
      <w:r w:rsidRPr="001416AF">
        <w:rPr>
          <w:rFonts w:ascii="Palatino Linotype" w:hAnsi="Palatino Linotype" w:cs="Tahoma"/>
          <w:bCs/>
          <w:sz w:val="24"/>
          <w:lang w:val="es-ES_tradnl"/>
        </w:rPr>
        <w:t xml:space="preserve">implica realizar una transcripción de la totalidad de los caracteres que integran el link, lo cual puede llevar </w:t>
      </w:r>
      <w:r w:rsidRPr="001416AF">
        <w:rPr>
          <w:rFonts w:ascii="Palatino Linotype" w:hAnsi="Palatino Linotype" w:cs="Tahoma"/>
          <w:bCs/>
          <w:sz w:val="24"/>
          <w:lang w:val="es-ES_tradnl"/>
        </w:rPr>
        <w:lastRenderedPageBreak/>
        <w:t>a errores técnicos y humanos que impidan o dificulten a los solicitantes allegarse de la información que conforme a su derecho sea requerida.</w:t>
      </w:r>
    </w:p>
    <w:p w:rsidR="00E05F7E" w:rsidRPr="001416AF" w:rsidRDefault="00E05F7E" w:rsidP="00E05F7E">
      <w:pPr>
        <w:spacing w:after="0" w:line="360" w:lineRule="auto"/>
        <w:jc w:val="both"/>
        <w:rPr>
          <w:rFonts w:ascii="Palatino Linotype" w:hAnsi="Palatino Linotype" w:cs="Tahoma"/>
          <w:bCs/>
          <w:sz w:val="24"/>
          <w:lang w:val="es-ES_tradnl"/>
        </w:rPr>
      </w:pPr>
    </w:p>
    <w:p w:rsidR="00E05F7E" w:rsidRPr="001416AF" w:rsidRDefault="00E05F7E" w:rsidP="00E05F7E">
      <w:pPr>
        <w:spacing w:after="0" w:line="360" w:lineRule="auto"/>
        <w:jc w:val="both"/>
        <w:rPr>
          <w:rFonts w:ascii="Palatino Linotype" w:hAnsi="Palatino Linotype" w:cs="Tahoma"/>
          <w:b/>
          <w:bCs/>
          <w:i/>
          <w:sz w:val="24"/>
          <w:lang w:val="es-ES_tradnl"/>
        </w:rPr>
      </w:pPr>
      <w:r w:rsidRPr="001416AF">
        <w:rPr>
          <w:rFonts w:ascii="Palatino Linotype" w:hAnsi="Palatino Linotype" w:cs="Tahoma"/>
          <w:bCs/>
          <w:sz w:val="24"/>
          <w:lang w:val="es-ES_tradnl"/>
        </w:rPr>
        <w:t>Al respecto la Carta Internacional de Datos Abiertos; prevé que: “</w:t>
      </w:r>
      <w:r w:rsidRPr="001416AF">
        <w:rPr>
          <w:rFonts w:ascii="Palatino Linotype" w:hAnsi="Palatino Linotype" w:cs="Tahoma"/>
          <w:bCs/>
          <w:i/>
          <w:sz w:val="24"/>
          <w:lang w:val="es-ES_tradnl"/>
        </w:rPr>
        <w:t>los</w:t>
      </w:r>
      <w:r w:rsidRPr="001416AF">
        <w:rPr>
          <w:rFonts w:ascii="Palatino Linotype" w:hAnsi="Palatino Linotype" w:cs="Tahoma"/>
          <w:bCs/>
          <w:sz w:val="24"/>
          <w:lang w:val="es-ES_tradnl"/>
        </w:rPr>
        <w:t xml:space="preserve"> </w:t>
      </w:r>
      <w:r w:rsidRPr="001416AF">
        <w:rPr>
          <w:rFonts w:ascii="Palatino Linotype" w:hAnsi="Palatino Linotype" w:cs="Tahoma"/>
          <w:bCs/>
          <w:i/>
          <w:sz w:val="24"/>
          <w:lang w:val="es-ES_tradnl"/>
        </w:rPr>
        <w:t>Datos abiertos son datos digitales que son puestos a disposición con las características técnicas y jurídicas necesarias para que puedan ser usados, reutilizados y redistribuidos libremente por cualquier persona, en cualquier momento y en cualquier lugar”.</w:t>
      </w:r>
    </w:p>
    <w:p w:rsidR="00E05F7E" w:rsidRPr="001416AF" w:rsidRDefault="00E05F7E" w:rsidP="00E05F7E">
      <w:pPr>
        <w:spacing w:after="0" w:line="360" w:lineRule="auto"/>
        <w:jc w:val="both"/>
        <w:rPr>
          <w:rFonts w:ascii="Palatino Linotype" w:hAnsi="Palatino Linotype" w:cs="Tahoma"/>
          <w:b/>
          <w:bCs/>
          <w:i/>
          <w:sz w:val="24"/>
          <w:lang w:val="es-ES_tradnl"/>
        </w:rPr>
      </w:pPr>
    </w:p>
    <w:p w:rsidR="00E05F7E" w:rsidRPr="001416AF" w:rsidRDefault="00E05F7E" w:rsidP="00E05F7E">
      <w:pPr>
        <w:spacing w:after="0" w:line="360" w:lineRule="auto"/>
        <w:jc w:val="both"/>
        <w:rPr>
          <w:rFonts w:ascii="Palatino Linotype" w:hAnsi="Palatino Linotype" w:cs="Tahoma"/>
          <w:bCs/>
          <w:sz w:val="24"/>
          <w:lang w:val="es-ES_tradnl"/>
        </w:rPr>
      </w:pPr>
      <w:r w:rsidRPr="001416AF">
        <w:rPr>
          <w:rFonts w:ascii="Palatino Linotype" w:hAnsi="Palatino Linotype" w:cs="Tahoma"/>
          <w:bCs/>
          <w:sz w:val="24"/>
          <w:lang w:val="es-ES_tradnl"/>
        </w:rPr>
        <w:t>Por su parte, el Decreto por el que se establece la regulación en materia de Datos Abiertos, publicado en el Diario Oficial de la Federación el veinte de febrero de dos mil quince, indica en su artículo segundo lo siguiente:</w:t>
      </w:r>
    </w:p>
    <w:p w:rsidR="00E05F7E" w:rsidRPr="001416AF" w:rsidRDefault="00E05F7E" w:rsidP="00E05F7E">
      <w:pPr>
        <w:spacing w:after="0" w:line="360" w:lineRule="auto"/>
        <w:jc w:val="both"/>
        <w:rPr>
          <w:rFonts w:ascii="Palatino Linotype" w:hAnsi="Palatino Linotype" w:cs="Tahoma"/>
          <w:bCs/>
          <w:sz w:val="24"/>
          <w:lang w:val="es-ES_tradnl"/>
        </w:rPr>
      </w:pPr>
    </w:p>
    <w:p w:rsidR="00E05F7E" w:rsidRPr="001416AF" w:rsidRDefault="00E05F7E" w:rsidP="00E05F7E">
      <w:pPr>
        <w:spacing w:after="0" w:line="360" w:lineRule="auto"/>
        <w:ind w:left="567" w:right="616"/>
        <w:jc w:val="both"/>
        <w:rPr>
          <w:rFonts w:ascii="Palatino Linotype" w:hAnsi="Palatino Linotype" w:cs="Tahoma"/>
          <w:b/>
          <w:bCs/>
          <w:i/>
          <w:sz w:val="24"/>
          <w:lang w:val="es-ES_tradnl"/>
        </w:rPr>
      </w:pPr>
      <w:r w:rsidRPr="001416AF">
        <w:rPr>
          <w:rFonts w:ascii="Palatino Linotype" w:hAnsi="Palatino Linotype" w:cs="Tahoma"/>
          <w:b/>
          <w:bCs/>
          <w:i/>
          <w:sz w:val="24"/>
          <w:lang w:val="es-ES_tradnl"/>
        </w:rPr>
        <w:t>ARTÍCULO SEGUNDO. -Para los efectos del presente Decreto, se entenderá por:</w:t>
      </w:r>
    </w:p>
    <w:p w:rsidR="00E05F7E" w:rsidRPr="001416AF" w:rsidRDefault="00E05F7E" w:rsidP="00E05F7E">
      <w:pPr>
        <w:spacing w:after="0" w:line="360" w:lineRule="auto"/>
        <w:ind w:left="567" w:right="616"/>
        <w:jc w:val="both"/>
        <w:rPr>
          <w:rFonts w:ascii="Palatino Linotype" w:hAnsi="Palatino Linotype" w:cs="Tahoma"/>
          <w:bCs/>
          <w:i/>
          <w:sz w:val="24"/>
          <w:lang w:val="es-ES_tradnl"/>
        </w:rPr>
      </w:pPr>
      <w:r w:rsidRPr="001416AF">
        <w:rPr>
          <w:rFonts w:ascii="Palatino Linotype" w:hAnsi="Palatino Linotype" w:cs="Tahoma"/>
          <w:bCs/>
          <w:i/>
          <w:sz w:val="24"/>
          <w:lang w:val="es-ES_tradnl"/>
        </w:rPr>
        <w:t>I al IV…</w:t>
      </w:r>
    </w:p>
    <w:p w:rsidR="00E05F7E" w:rsidRPr="001416AF" w:rsidRDefault="00E05F7E" w:rsidP="00E05F7E">
      <w:pPr>
        <w:spacing w:after="0" w:line="360" w:lineRule="auto"/>
        <w:ind w:left="567" w:right="616"/>
        <w:jc w:val="both"/>
        <w:rPr>
          <w:rFonts w:ascii="Palatino Linotype" w:hAnsi="Palatino Linotype" w:cs="Tahoma"/>
          <w:bCs/>
          <w:i/>
          <w:sz w:val="24"/>
          <w:lang w:val="es-ES_tradnl"/>
        </w:rPr>
      </w:pPr>
      <w:r w:rsidRPr="001416AF">
        <w:rPr>
          <w:rFonts w:ascii="Palatino Linotype" w:hAnsi="Palatino Linotype" w:cs="Tahoma"/>
          <w:b/>
          <w:bCs/>
          <w:i/>
          <w:sz w:val="24"/>
          <w:lang w:val="es-ES_tradnl"/>
        </w:rPr>
        <w:t>V. Datos abiertos</w:t>
      </w:r>
      <w:r w:rsidRPr="001416AF">
        <w:rPr>
          <w:rFonts w:ascii="Palatino Linotype" w:hAnsi="Palatino Linotype" w:cs="Tahoma"/>
          <w:bCs/>
          <w:i/>
          <w:sz w:val="24"/>
          <w:lang w:val="es-ES_tradnl"/>
        </w:rPr>
        <w:t xml:space="preserve">: los datos digitales de carácter público que son accesibles en línea, y pueden </w:t>
      </w:r>
      <w:r w:rsidRPr="001416AF">
        <w:rPr>
          <w:rFonts w:ascii="Palatino Linotype" w:hAnsi="Palatino Linotype" w:cs="Tahoma"/>
          <w:b/>
          <w:bCs/>
          <w:i/>
          <w:sz w:val="24"/>
          <w:u w:val="single"/>
          <w:lang w:val="es-ES_tradnl"/>
        </w:rPr>
        <w:t>ser usados, reutilizados y redistribuidos</w:t>
      </w:r>
      <w:r w:rsidRPr="001416AF">
        <w:rPr>
          <w:rFonts w:ascii="Palatino Linotype" w:hAnsi="Palatino Linotype" w:cs="Tahoma"/>
          <w:bCs/>
          <w:i/>
          <w:sz w:val="24"/>
          <w:lang w:val="es-ES_tradnl"/>
        </w:rPr>
        <w:t>, por cualquier interesado</w:t>
      </w:r>
    </w:p>
    <w:p w:rsidR="00E05F7E" w:rsidRPr="001416AF" w:rsidRDefault="00E05F7E" w:rsidP="00E05F7E">
      <w:pPr>
        <w:spacing w:after="0" w:line="360" w:lineRule="auto"/>
        <w:ind w:left="567" w:right="616"/>
        <w:jc w:val="both"/>
        <w:rPr>
          <w:rFonts w:ascii="Palatino Linotype" w:hAnsi="Palatino Linotype" w:cs="Tahoma"/>
          <w:bCs/>
          <w:i/>
          <w:sz w:val="24"/>
          <w:lang w:val="es-ES_tradnl"/>
        </w:rPr>
      </w:pPr>
      <w:r w:rsidRPr="001416AF">
        <w:rPr>
          <w:rFonts w:ascii="Palatino Linotype" w:hAnsi="Palatino Linotype" w:cs="Tahoma"/>
          <w:bCs/>
          <w:i/>
          <w:sz w:val="24"/>
          <w:lang w:val="es-ES_tradnl"/>
        </w:rPr>
        <w:t>VI al VIII…</w:t>
      </w:r>
    </w:p>
    <w:p w:rsidR="00E05F7E" w:rsidRPr="001416AF" w:rsidRDefault="00E05F7E" w:rsidP="00E05F7E">
      <w:pPr>
        <w:spacing w:after="0" w:line="360" w:lineRule="auto"/>
        <w:ind w:left="567" w:right="616"/>
        <w:jc w:val="both"/>
        <w:rPr>
          <w:rFonts w:ascii="Palatino Linotype" w:hAnsi="Palatino Linotype" w:cs="Tahoma"/>
          <w:bCs/>
          <w:i/>
          <w:sz w:val="24"/>
          <w:lang w:val="es-ES_tradnl"/>
        </w:rPr>
      </w:pPr>
      <w:r w:rsidRPr="001416AF">
        <w:rPr>
          <w:rFonts w:ascii="Palatino Linotype" w:hAnsi="Palatino Linotype" w:cs="Tahoma"/>
          <w:b/>
          <w:bCs/>
          <w:i/>
          <w:sz w:val="24"/>
          <w:lang w:val="es-ES_tradnl"/>
        </w:rPr>
        <w:t>IX. Formato Abierto:</w:t>
      </w:r>
      <w:r w:rsidRPr="001416AF">
        <w:rPr>
          <w:rFonts w:ascii="Palatino Linotype" w:hAnsi="Palatino Linotype" w:cs="Tahoma"/>
          <w:bCs/>
          <w:i/>
          <w:sz w:val="24"/>
          <w:lang w:val="es-ES_tradnl"/>
        </w:rPr>
        <w:t xml:space="preserve"> el conjunto de características técnicas y de presentación que corresponden a la estructura lógica usada para almacenar datos en un archivo digital, cuyas especificaciones técnicas están disponibles públicamente, </w:t>
      </w:r>
      <w:r w:rsidRPr="001416AF">
        <w:rPr>
          <w:rFonts w:ascii="Palatino Linotype" w:hAnsi="Palatino Linotype" w:cs="Tahoma"/>
          <w:b/>
          <w:bCs/>
          <w:i/>
          <w:sz w:val="24"/>
          <w:u w:val="single"/>
          <w:lang w:val="es-ES_tradnl"/>
        </w:rPr>
        <w:t>que no suponen una dificultad de acceso y que su aplicación y reproducción no estén condicionadas a contraprestación alguna</w:t>
      </w:r>
      <w:r w:rsidRPr="001416AF">
        <w:rPr>
          <w:rFonts w:ascii="Palatino Linotype" w:hAnsi="Palatino Linotype" w:cs="Tahoma"/>
          <w:bCs/>
          <w:i/>
          <w:sz w:val="24"/>
          <w:lang w:val="es-ES_tradnl"/>
        </w:rPr>
        <w:t>;</w:t>
      </w:r>
    </w:p>
    <w:p w:rsidR="00E05F7E" w:rsidRPr="001416AF" w:rsidRDefault="00E05F7E" w:rsidP="00E05F7E">
      <w:pPr>
        <w:spacing w:after="0" w:line="360" w:lineRule="auto"/>
        <w:ind w:left="567" w:right="616"/>
        <w:jc w:val="both"/>
        <w:rPr>
          <w:rFonts w:ascii="Palatino Linotype" w:hAnsi="Palatino Linotype" w:cs="Tahoma"/>
          <w:bCs/>
          <w:i/>
          <w:sz w:val="24"/>
          <w:lang w:val="es-ES_tradnl"/>
        </w:rPr>
      </w:pPr>
      <w:r w:rsidRPr="001416AF">
        <w:rPr>
          <w:rFonts w:ascii="Palatino Linotype" w:hAnsi="Palatino Linotype" w:cs="Tahoma"/>
          <w:bCs/>
          <w:i/>
          <w:sz w:val="24"/>
          <w:lang w:val="es-ES_tradnl"/>
        </w:rPr>
        <w:lastRenderedPageBreak/>
        <w:t>X al XII…</w:t>
      </w:r>
    </w:p>
    <w:p w:rsidR="00E05F7E" w:rsidRPr="001416AF" w:rsidRDefault="00E05F7E" w:rsidP="00E05F7E">
      <w:pPr>
        <w:spacing w:after="0" w:line="360" w:lineRule="auto"/>
        <w:ind w:left="567"/>
        <w:jc w:val="both"/>
        <w:rPr>
          <w:rFonts w:ascii="Palatino Linotype" w:hAnsi="Palatino Linotype" w:cs="Tahoma"/>
          <w:bCs/>
          <w:sz w:val="24"/>
          <w:lang w:val="es-ES_tradnl"/>
        </w:rPr>
      </w:pPr>
    </w:p>
    <w:p w:rsidR="00E05F7E" w:rsidRPr="001416AF" w:rsidRDefault="00E05F7E" w:rsidP="00E05F7E">
      <w:pPr>
        <w:spacing w:after="0" w:line="360" w:lineRule="auto"/>
        <w:jc w:val="both"/>
        <w:rPr>
          <w:rFonts w:ascii="Palatino Linotype" w:hAnsi="Palatino Linotype" w:cs="Tahoma"/>
          <w:bCs/>
          <w:sz w:val="24"/>
          <w:lang w:val="es-ES_tradnl"/>
        </w:rPr>
      </w:pPr>
      <w:r w:rsidRPr="001416AF">
        <w:rPr>
          <w:rFonts w:ascii="Palatino Linotype" w:hAnsi="Palatino Linotype" w:cs="Tahoma"/>
          <w:bCs/>
          <w:sz w:val="24"/>
          <w:lang w:val="es-ES_tradnl"/>
        </w:rPr>
        <w:t>Lo anterior, se robustece con lo dispuesto por la Ley de Transparencia y Acceso a la Información Pública del Estado de México y Municipios; la cual establece en su artículo 3°, fracción VIII, lo siguiente:</w:t>
      </w:r>
    </w:p>
    <w:p w:rsidR="00E05F7E" w:rsidRPr="001416AF" w:rsidRDefault="00E05F7E" w:rsidP="00E05F7E">
      <w:pPr>
        <w:spacing w:after="0" w:line="360" w:lineRule="auto"/>
        <w:jc w:val="both"/>
        <w:rPr>
          <w:rFonts w:ascii="Palatino Linotype" w:hAnsi="Palatino Linotype" w:cs="Tahoma"/>
          <w:bCs/>
          <w:sz w:val="24"/>
          <w:lang w:val="es-ES_tradnl"/>
        </w:rPr>
      </w:pPr>
    </w:p>
    <w:p w:rsidR="00E05F7E" w:rsidRPr="001416AF" w:rsidRDefault="00E05F7E" w:rsidP="00E05F7E">
      <w:pPr>
        <w:spacing w:after="0" w:line="360" w:lineRule="auto"/>
        <w:ind w:left="567" w:right="616"/>
        <w:jc w:val="both"/>
        <w:rPr>
          <w:rFonts w:ascii="Palatino Linotype" w:hAnsi="Palatino Linotype"/>
          <w:b/>
          <w:i/>
          <w:sz w:val="24"/>
          <w:lang w:val="es-ES_tradnl"/>
        </w:rPr>
      </w:pPr>
      <w:r w:rsidRPr="001416AF">
        <w:rPr>
          <w:rFonts w:ascii="Palatino Linotype" w:hAnsi="Palatino Linotype"/>
          <w:b/>
          <w:i/>
          <w:sz w:val="24"/>
          <w:lang w:val="es-ES_tradnl"/>
        </w:rPr>
        <w:t>Artículo 3. Para los efectos de la presente Ley se entenderá por:</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i/>
          <w:sz w:val="24"/>
          <w:lang w:val="es-ES_tradnl"/>
        </w:rPr>
        <w:t>I al VII…</w:t>
      </w:r>
    </w:p>
    <w:p w:rsidR="00E05F7E" w:rsidRPr="001416AF" w:rsidRDefault="00E05F7E" w:rsidP="00E05F7E">
      <w:pPr>
        <w:spacing w:after="0" w:line="360" w:lineRule="auto"/>
        <w:ind w:left="567" w:right="616"/>
        <w:jc w:val="both"/>
        <w:rPr>
          <w:rFonts w:ascii="Palatino Linotype" w:hAnsi="Palatino Linotype" w:cs="Tahoma"/>
          <w:bCs/>
          <w:i/>
          <w:sz w:val="24"/>
          <w:lang w:val="es-ES_tradnl"/>
        </w:rPr>
      </w:pPr>
      <w:r w:rsidRPr="001416AF">
        <w:rPr>
          <w:rFonts w:ascii="Palatino Linotype" w:hAnsi="Palatino Linotype"/>
          <w:b/>
          <w:i/>
          <w:sz w:val="24"/>
          <w:lang w:val="es-ES_tradnl"/>
        </w:rPr>
        <w:t>VIII. Datos abiertos</w:t>
      </w:r>
      <w:r w:rsidRPr="001416AF">
        <w:rPr>
          <w:rFonts w:ascii="Palatino Linotype" w:hAnsi="Palatino Linotype"/>
          <w:i/>
          <w:sz w:val="24"/>
          <w:lang w:val="es-ES_tradnl"/>
        </w:rPr>
        <w:t xml:space="preserve">: Los datos digitales de carácter público </w:t>
      </w:r>
      <w:r w:rsidRPr="001416AF">
        <w:rPr>
          <w:rFonts w:ascii="Palatino Linotype" w:hAnsi="Palatino Linotype"/>
          <w:b/>
          <w:i/>
          <w:sz w:val="24"/>
          <w:lang w:val="es-ES_tradnl"/>
        </w:rPr>
        <w:t>que son accesibles</w:t>
      </w:r>
      <w:r w:rsidRPr="001416AF">
        <w:rPr>
          <w:rFonts w:ascii="Palatino Linotype" w:hAnsi="Palatino Linotype"/>
          <w:i/>
          <w:sz w:val="24"/>
          <w:lang w:val="es-ES_tradnl"/>
        </w:rPr>
        <w:t xml:space="preserve"> en línea </w:t>
      </w:r>
      <w:r w:rsidRPr="001416AF">
        <w:rPr>
          <w:rFonts w:ascii="Palatino Linotype" w:hAnsi="Palatino Linotype"/>
          <w:b/>
          <w:i/>
          <w:sz w:val="24"/>
          <w:lang w:val="es-ES_tradnl"/>
        </w:rPr>
        <w:t xml:space="preserve">que pueden </w:t>
      </w:r>
      <w:r w:rsidRPr="001416AF">
        <w:rPr>
          <w:rFonts w:ascii="Palatino Linotype" w:hAnsi="Palatino Linotype"/>
          <w:b/>
          <w:i/>
          <w:sz w:val="24"/>
          <w:u w:val="single"/>
          <w:lang w:val="es-ES_tradnl"/>
        </w:rPr>
        <w:t>ser usados, reutilizados y redistribuidos</w:t>
      </w:r>
      <w:r w:rsidRPr="001416AF">
        <w:rPr>
          <w:rFonts w:ascii="Palatino Linotype" w:hAnsi="Palatino Linotype"/>
          <w:i/>
          <w:sz w:val="24"/>
          <w:lang w:val="es-ES_tradnl"/>
        </w:rPr>
        <w:t xml:space="preserve"> por cualquier interesado y que tienen las siguientes características:</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t xml:space="preserve">a) Accesibles: </w:t>
      </w:r>
      <w:r w:rsidRPr="001416AF">
        <w:rPr>
          <w:rFonts w:ascii="Palatino Linotype" w:hAnsi="Palatino Linotype"/>
          <w:i/>
          <w:sz w:val="24"/>
          <w:lang w:val="es-ES_tradnl"/>
        </w:rPr>
        <w:t>Los datos están disponibles para la gama más amplia de usuarios, para cualquier propósito;</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t>b) Integrales</w:t>
      </w:r>
      <w:r w:rsidRPr="001416AF">
        <w:rPr>
          <w:rFonts w:ascii="Palatino Linotype" w:hAnsi="Palatino Linotype"/>
          <w:i/>
          <w:sz w:val="24"/>
          <w:lang w:val="es-ES_tradnl"/>
        </w:rPr>
        <w:t>: Contienen el tema que describen a detalle y con los metadatos necesarios;</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t>c) Gratuitos</w:t>
      </w:r>
      <w:r w:rsidRPr="001416AF">
        <w:rPr>
          <w:rFonts w:ascii="Palatino Linotype" w:hAnsi="Palatino Linotype"/>
          <w:i/>
          <w:sz w:val="24"/>
          <w:lang w:val="es-ES_tradnl"/>
        </w:rPr>
        <w:t xml:space="preserve">: Se obtienen sin entregar a cambio contraprestación alguna; </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t>d) No discriminatorios:</w:t>
      </w:r>
      <w:r w:rsidRPr="001416AF">
        <w:rPr>
          <w:rFonts w:ascii="Palatino Linotype" w:hAnsi="Palatino Linotype"/>
          <w:i/>
          <w:sz w:val="24"/>
          <w:lang w:val="es-ES_tradnl"/>
        </w:rPr>
        <w:t xml:space="preserve"> Los datos están disponibles para cualquier persona, sin necesidad de registro; </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t>e) Oportunos</w:t>
      </w:r>
      <w:r w:rsidRPr="001416AF">
        <w:rPr>
          <w:rFonts w:ascii="Palatino Linotype" w:hAnsi="Palatino Linotype"/>
          <w:i/>
          <w:sz w:val="24"/>
          <w:lang w:val="es-ES_tradnl"/>
        </w:rPr>
        <w:t xml:space="preserve">: Son actualizados, periódicamente, conforme se generen; </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t>f) Permanentes</w:t>
      </w:r>
      <w:r w:rsidRPr="001416AF">
        <w:rPr>
          <w:rFonts w:ascii="Palatino Linotype" w:hAnsi="Palatino Linotype"/>
          <w:i/>
          <w:sz w:val="24"/>
          <w:lang w:val="es-ES_tradnl"/>
        </w:rPr>
        <w:t xml:space="preserve">: Se conservan en el tiempo, para lo cual, las versiones históricas relevantes para uso público se mantendrán disponibles con identificadores adecuados al efecto; </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t>g) Primarios</w:t>
      </w:r>
      <w:r w:rsidRPr="001416AF">
        <w:rPr>
          <w:rFonts w:ascii="Palatino Linotype" w:hAnsi="Palatino Linotype"/>
          <w:i/>
          <w:sz w:val="24"/>
          <w:lang w:val="es-ES_tradnl"/>
        </w:rPr>
        <w:t xml:space="preserve">: Provienen de la fuente de origen con el máximo nivel de desagregación posible; </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lastRenderedPageBreak/>
        <w:t>h) Legibles por máquinas</w:t>
      </w:r>
      <w:r w:rsidRPr="001416AF">
        <w:rPr>
          <w:rFonts w:ascii="Palatino Linotype" w:hAnsi="Palatino Linotype"/>
          <w:i/>
          <w:sz w:val="24"/>
          <w:lang w:val="es-ES_tradnl"/>
        </w:rPr>
        <w:t xml:space="preserve">: Deberán estar estructurados, total o parcialmente, para ser procesados e interpretados por equipos electrónicos de manera automática; </w:t>
      </w:r>
    </w:p>
    <w:p w:rsidR="00E05F7E" w:rsidRPr="001416AF" w:rsidRDefault="00E05F7E" w:rsidP="00E05F7E">
      <w:pPr>
        <w:spacing w:after="0" w:line="360" w:lineRule="auto"/>
        <w:ind w:left="567" w:right="616"/>
        <w:jc w:val="both"/>
        <w:rPr>
          <w:rFonts w:ascii="Palatino Linotype" w:hAnsi="Palatino Linotype"/>
          <w:b/>
          <w:i/>
          <w:sz w:val="24"/>
          <w:lang w:val="es-ES_tradnl"/>
        </w:rPr>
      </w:pPr>
      <w:r w:rsidRPr="001416AF">
        <w:rPr>
          <w:rFonts w:ascii="Palatino Linotype" w:hAnsi="Palatino Linotype"/>
          <w:b/>
          <w:i/>
          <w:sz w:val="24"/>
          <w:lang w:val="es-ES_tradnl"/>
        </w:rPr>
        <w:t>i) En formatos abiertos</w:t>
      </w:r>
      <w:r w:rsidRPr="001416AF">
        <w:rPr>
          <w:rFonts w:ascii="Palatino Linotype" w:hAnsi="Palatino Linotype"/>
          <w:i/>
          <w:sz w:val="24"/>
          <w:lang w:val="es-ES_tradnl"/>
        </w:rPr>
        <w:t>: Los datos estarán disponibles c</w:t>
      </w:r>
      <w:r w:rsidRPr="001416AF">
        <w:rPr>
          <w:rFonts w:ascii="Palatino Linotype" w:hAnsi="Palatino Linotype"/>
          <w:b/>
          <w:i/>
          <w:sz w:val="24"/>
          <w:lang w:val="es-ES_tradnl"/>
        </w:rPr>
        <w:t xml:space="preserve">on el conjunto de características técnicas y de presentación </w:t>
      </w:r>
      <w:r w:rsidRPr="001416AF">
        <w:rPr>
          <w:rFonts w:ascii="Palatino Linotype" w:hAnsi="Palatino Linotype"/>
          <w:i/>
          <w:sz w:val="24"/>
          <w:lang w:val="es-ES_tradnl"/>
        </w:rPr>
        <w:t xml:space="preserve">que corresponden a la estructura lógica usada para almacenar datos en un archivo digital, </w:t>
      </w:r>
      <w:r w:rsidRPr="001416AF">
        <w:rPr>
          <w:rFonts w:ascii="Palatino Linotype" w:hAnsi="Palatino Linotype"/>
          <w:b/>
          <w:i/>
          <w:sz w:val="24"/>
          <w:lang w:val="es-ES_tradnl"/>
        </w:rPr>
        <w:t>cuyas especificaciones técnicas están disponibles públicamente</w:t>
      </w:r>
      <w:r w:rsidRPr="001416AF">
        <w:rPr>
          <w:rFonts w:ascii="Palatino Linotype" w:hAnsi="Palatino Linotype"/>
          <w:i/>
          <w:sz w:val="24"/>
          <w:lang w:val="es-ES_tradnl"/>
        </w:rPr>
        <w:t xml:space="preserve">, que </w:t>
      </w:r>
      <w:r w:rsidRPr="001416AF">
        <w:rPr>
          <w:rFonts w:ascii="Palatino Linotype" w:hAnsi="Palatino Linotype"/>
          <w:b/>
          <w:i/>
          <w:sz w:val="24"/>
          <w:lang w:val="es-ES_tradnl"/>
        </w:rPr>
        <w:t xml:space="preserve">no suponen una dificultad de acceso y </w:t>
      </w:r>
      <w:r w:rsidRPr="001416AF">
        <w:rPr>
          <w:rFonts w:ascii="Palatino Linotype" w:hAnsi="Palatino Linotype"/>
          <w:b/>
          <w:i/>
          <w:sz w:val="24"/>
          <w:u w:val="single"/>
          <w:lang w:val="es-ES_tradnl"/>
        </w:rPr>
        <w:t>que su aplicación y reproducción no estén condicionadas</w:t>
      </w:r>
      <w:r w:rsidRPr="001416AF">
        <w:rPr>
          <w:rFonts w:ascii="Palatino Linotype" w:hAnsi="Palatino Linotype"/>
          <w:b/>
          <w:i/>
          <w:sz w:val="24"/>
          <w:lang w:val="es-ES_tradnl"/>
        </w:rPr>
        <w:t xml:space="preserve"> a contraprestación alguna; y </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b/>
          <w:i/>
          <w:sz w:val="24"/>
          <w:lang w:val="es-ES_tradnl"/>
        </w:rPr>
        <w:t>j) De libre uso:</w:t>
      </w:r>
      <w:r w:rsidRPr="001416AF">
        <w:rPr>
          <w:rFonts w:ascii="Palatino Linotype" w:hAnsi="Palatino Linotype"/>
          <w:i/>
          <w:sz w:val="24"/>
          <w:lang w:val="es-ES_tradnl"/>
        </w:rPr>
        <w:t xml:space="preserve"> Citan la fuente de origen como único requerimiento para ser utilizados libremente.</w:t>
      </w:r>
    </w:p>
    <w:p w:rsidR="00E05F7E" w:rsidRPr="001416AF" w:rsidRDefault="00E05F7E" w:rsidP="00E05F7E">
      <w:pPr>
        <w:spacing w:after="0" w:line="360" w:lineRule="auto"/>
        <w:ind w:left="567" w:right="616"/>
        <w:jc w:val="both"/>
        <w:rPr>
          <w:rFonts w:ascii="Palatino Linotype" w:hAnsi="Palatino Linotype"/>
          <w:i/>
          <w:sz w:val="24"/>
          <w:lang w:val="es-ES_tradnl"/>
        </w:rPr>
      </w:pPr>
      <w:r w:rsidRPr="001416AF">
        <w:rPr>
          <w:rFonts w:ascii="Palatino Linotype" w:hAnsi="Palatino Linotype"/>
          <w:i/>
          <w:sz w:val="24"/>
          <w:lang w:val="es-ES_tradnl"/>
        </w:rPr>
        <w:t>IX al XLV…</w:t>
      </w:r>
    </w:p>
    <w:p w:rsidR="00E05F7E" w:rsidRPr="001416AF" w:rsidRDefault="00E05F7E" w:rsidP="00E05F7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p w:rsidR="00E05F7E" w:rsidRPr="001416AF" w:rsidRDefault="00E05F7E" w:rsidP="00E05F7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r w:rsidRPr="001416AF">
        <w:rPr>
          <w:rFonts w:ascii="Palatino Linotype" w:eastAsia="Palatino Linotype" w:hAnsi="Palatino Linotype" w:cs="Palatino Linotype"/>
          <w:color w:val="000000"/>
          <w:sz w:val="24"/>
          <w:lang w:val="es-ES_tradnl"/>
        </w:rPr>
        <w:t xml:space="preserve">Ahora bien, quedando establecido lo anterior, este Órgano Garante considera viable establecer si el informe justificado del Sujeto Obligado colma la pretensión del Recurrente. </w:t>
      </w:r>
    </w:p>
    <w:p w:rsidR="00E05F7E" w:rsidRPr="001416AF" w:rsidRDefault="00E05F7E" w:rsidP="00E05F7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tbl>
      <w:tblPr>
        <w:tblStyle w:val="Tablaconcuadrcula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671"/>
        <w:gridCol w:w="4394"/>
        <w:gridCol w:w="977"/>
      </w:tblGrid>
      <w:tr w:rsidR="00E05F7E" w:rsidRPr="001416AF" w:rsidTr="0073059E">
        <w:trPr>
          <w:trHeight w:val="440"/>
        </w:trPr>
        <w:tc>
          <w:tcPr>
            <w:tcW w:w="3671" w:type="dxa"/>
            <w:shd w:val="clear" w:color="auto" w:fill="E7E6E6" w:themeFill="background2"/>
          </w:tcPr>
          <w:p w:rsidR="00E05F7E" w:rsidRPr="001416AF" w:rsidRDefault="00E05F7E" w:rsidP="0073059E">
            <w:pPr>
              <w:spacing w:line="360" w:lineRule="auto"/>
              <w:jc w:val="center"/>
              <w:rPr>
                <w:rFonts w:ascii="Palatino Linotype" w:eastAsiaTheme="minorHAnsi" w:hAnsi="Palatino Linotype" w:cstheme="minorBidi"/>
                <w:b/>
                <w:i/>
                <w:color w:val="000000"/>
                <w:lang w:eastAsia="en-US"/>
              </w:rPr>
            </w:pPr>
            <w:r w:rsidRPr="001416AF">
              <w:rPr>
                <w:rFonts w:ascii="Palatino Linotype" w:eastAsiaTheme="minorHAnsi" w:hAnsi="Palatino Linotype" w:cstheme="minorBidi"/>
                <w:b/>
                <w:i/>
                <w:color w:val="000000"/>
                <w:lang w:eastAsia="en-US"/>
              </w:rPr>
              <w:t>Requerimientos</w:t>
            </w:r>
          </w:p>
        </w:tc>
        <w:tc>
          <w:tcPr>
            <w:tcW w:w="4394" w:type="dxa"/>
            <w:shd w:val="clear" w:color="auto" w:fill="E7E6E6" w:themeFill="background2"/>
          </w:tcPr>
          <w:p w:rsidR="00E05F7E" w:rsidRPr="001416AF" w:rsidRDefault="00E05F7E" w:rsidP="0073059E">
            <w:pPr>
              <w:spacing w:line="360" w:lineRule="auto"/>
              <w:jc w:val="center"/>
              <w:rPr>
                <w:rFonts w:ascii="Palatino Linotype" w:eastAsiaTheme="minorHAnsi" w:hAnsi="Palatino Linotype" w:cstheme="minorBidi"/>
                <w:b/>
                <w:i/>
                <w:color w:val="000000"/>
                <w:lang w:eastAsia="en-US"/>
              </w:rPr>
            </w:pPr>
            <w:r w:rsidRPr="001416AF">
              <w:rPr>
                <w:rFonts w:ascii="Palatino Linotype" w:eastAsiaTheme="minorHAnsi" w:hAnsi="Palatino Linotype" w:cstheme="minorBidi"/>
                <w:b/>
                <w:i/>
                <w:color w:val="000000"/>
                <w:lang w:eastAsia="en-US"/>
              </w:rPr>
              <w:t>Informe Justificado</w:t>
            </w:r>
          </w:p>
        </w:tc>
        <w:tc>
          <w:tcPr>
            <w:tcW w:w="977" w:type="dxa"/>
            <w:shd w:val="clear" w:color="auto" w:fill="E7E6E6" w:themeFill="background2"/>
          </w:tcPr>
          <w:p w:rsidR="00E05F7E" w:rsidRPr="001416AF" w:rsidRDefault="00E05F7E" w:rsidP="0073059E">
            <w:pPr>
              <w:spacing w:line="360" w:lineRule="auto"/>
              <w:jc w:val="center"/>
              <w:rPr>
                <w:rFonts w:ascii="Palatino Linotype" w:eastAsiaTheme="minorHAnsi" w:hAnsi="Palatino Linotype" w:cstheme="minorBidi"/>
                <w:b/>
                <w:i/>
                <w:color w:val="000000"/>
                <w:lang w:eastAsia="en-US"/>
              </w:rPr>
            </w:pPr>
            <w:r w:rsidRPr="001416AF">
              <w:rPr>
                <w:rFonts w:ascii="Palatino Linotype" w:eastAsiaTheme="minorHAnsi" w:hAnsi="Palatino Linotype" w:cstheme="minorBidi"/>
                <w:b/>
                <w:i/>
                <w:color w:val="000000"/>
                <w:lang w:eastAsia="en-US"/>
              </w:rPr>
              <w:t>Colma</w:t>
            </w:r>
          </w:p>
        </w:tc>
      </w:tr>
      <w:tr w:rsidR="00893427" w:rsidRPr="001416AF" w:rsidTr="00893427">
        <w:trPr>
          <w:trHeight w:val="1928"/>
        </w:trPr>
        <w:tc>
          <w:tcPr>
            <w:tcW w:w="3671" w:type="dxa"/>
          </w:tcPr>
          <w:p w:rsidR="00893427" w:rsidRPr="001416AF" w:rsidRDefault="00893427" w:rsidP="0073059E">
            <w:pPr>
              <w:jc w:val="both"/>
              <w:rPr>
                <w:rFonts w:ascii="Palatino Linotype" w:eastAsiaTheme="minorHAnsi" w:hAnsi="Palatino Linotype" w:cstheme="minorBidi"/>
                <w:color w:val="000000"/>
                <w:lang w:eastAsia="en-US"/>
              </w:rPr>
            </w:pPr>
            <w:r w:rsidRPr="001416AF">
              <w:rPr>
                <w:rFonts w:ascii="Palatino Linotype" w:eastAsiaTheme="minorHAnsi" w:hAnsi="Palatino Linotype" w:cstheme="minorBidi"/>
                <w:color w:val="000000"/>
                <w:lang w:eastAsia="en-US"/>
              </w:rPr>
              <w:t>Relación de reglamentos, manuales, lineamientos o políticas internas emitidas, modificadas o derogadas durante los ejercicios 2025 y 2026</w:t>
            </w:r>
          </w:p>
        </w:tc>
        <w:tc>
          <w:tcPr>
            <w:tcW w:w="4394" w:type="dxa"/>
          </w:tcPr>
          <w:p w:rsidR="00893427" w:rsidRPr="001416AF" w:rsidRDefault="00893427" w:rsidP="00893427">
            <w:pPr>
              <w:spacing w:after="160"/>
              <w:jc w:val="both"/>
              <w:rPr>
                <w:rFonts w:ascii="Palatino Linotype" w:eastAsia="Times New Roman" w:hAnsi="Palatino Linotype" w:cs="Times New Roman"/>
                <w:color w:val="000000"/>
                <w:lang w:val="es-ES" w:eastAsia="es-ES"/>
              </w:rPr>
            </w:pPr>
            <w:r w:rsidRPr="001416AF">
              <w:rPr>
                <w:rFonts w:ascii="Palatino Linotype" w:eastAsia="Times New Roman" w:hAnsi="Palatino Linotype" w:cs="Times New Roman"/>
                <w:color w:val="000000"/>
                <w:lang w:val="es-ES" w:eastAsia="es-ES"/>
              </w:rPr>
              <w:t>Liga electrónica en datos cerrados</w:t>
            </w:r>
          </w:p>
        </w:tc>
        <w:tc>
          <w:tcPr>
            <w:tcW w:w="977" w:type="dxa"/>
          </w:tcPr>
          <w:p w:rsidR="00893427" w:rsidRPr="001416AF" w:rsidRDefault="00893427" w:rsidP="0073059E">
            <w:pPr>
              <w:jc w:val="center"/>
              <w:rPr>
                <w:rFonts w:ascii="Palatino Linotype" w:eastAsiaTheme="minorHAnsi" w:hAnsi="Palatino Linotype" w:cstheme="minorBidi"/>
                <w:b/>
                <w:i/>
                <w:color w:val="000000"/>
                <w:lang w:eastAsia="en-US"/>
              </w:rPr>
            </w:pPr>
            <w:r w:rsidRPr="001416AF">
              <w:rPr>
                <w:rFonts w:ascii="Palatino Linotype" w:eastAsiaTheme="minorHAnsi" w:hAnsi="Palatino Linotype" w:cstheme="minorBidi"/>
                <w:b/>
                <w:i/>
                <w:color w:val="000000"/>
                <w:lang w:eastAsia="en-US"/>
              </w:rPr>
              <w:t xml:space="preserve">No </w:t>
            </w:r>
          </w:p>
        </w:tc>
      </w:tr>
    </w:tbl>
    <w:p w:rsidR="00E05F7E" w:rsidRPr="001416AF" w:rsidRDefault="00E05F7E" w:rsidP="00E05F7E">
      <w:pPr>
        <w:spacing w:after="0" w:line="360" w:lineRule="auto"/>
        <w:jc w:val="both"/>
        <w:rPr>
          <w:rFonts w:ascii="Palatino Linotype" w:eastAsia="Palatino Linotype" w:hAnsi="Palatino Linotype" w:cs="Palatino Linotype"/>
          <w:sz w:val="24"/>
          <w:szCs w:val="24"/>
          <w:lang w:eastAsia="en-US"/>
        </w:rPr>
      </w:pPr>
    </w:p>
    <w:p w:rsidR="00E05F7E" w:rsidRPr="001416AF" w:rsidRDefault="00E05F7E" w:rsidP="00E05F7E">
      <w:pPr>
        <w:tabs>
          <w:tab w:val="left" w:pos="7938"/>
        </w:tabs>
        <w:spacing w:line="360" w:lineRule="auto"/>
        <w:jc w:val="both"/>
        <w:rPr>
          <w:rFonts w:ascii="Palatino Linotype" w:hAnsi="Palatino Linotype" w:cs="Arial"/>
          <w:sz w:val="24"/>
        </w:rPr>
      </w:pPr>
      <w:r w:rsidRPr="001416AF">
        <w:rPr>
          <w:rFonts w:ascii="Palatino Linotype" w:hAnsi="Palatino Linotype" w:cs="Arial"/>
          <w:sz w:val="24"/>
        </w:rPr>
        <w:t>Conforme al artículo 92 de la Ley de Transparencia y Acceso a la Información Pública del Estado de México, la agenda y los gastos de representación y viáticos:</w:t>
      </w:r>
    </w:p>
    <w:p w:rsidR="00E05F7E" w:rsidRPr="001416AF" w:rsidRDefault="00E05F7E" w:rsidP="00E05F7E">
      <w:pPr>
        <w:pStyle w:val="INFOEM"/>
      </w:pPr>
      <w:r w:rsidRPr="001416AF">
        <w:rPr>
          <w:b/>
        </w:rPr>
        <w:lastRenderedPageBreak/>
        <w:t xml:space="preserve">Artículo 92. </w:t>
      </w:r>
      <w:r w:rsidRPr="001416AF">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E05F7E" w:rsidRPr="001416AF" w:rsidRDefault="00F568F3" w:rsidP="00E05F7E">
      <w:pPr>
        <w:pStyle w:val="INFOEM"/>
        <w:rPr>
          <w:b/>
        </w:rPr>
      </w:pPr>
      <w:r w:rsidRPr="001416AF">
        <w:rPr>
          <w:b/>
        </w:rPr>
        <w:t>I. El marco normativo aplicable al sujeto obligado, en el que deberá incluirse leyes, códigos, reglamentos, decretos de creación, acuerdos, convenios, manuales de organización y procedimientos, reglas de operación, criterios, políticas, entre otros;</w:t>
      </w:r>
    </w:p>
    <w:p w:rsidR="00F568F3" w:rsidRPr="001416AF" w:rsidRDefault="00F568F3" w:rsidP="00E05F7E">
      <w:pPr>
        <w:spacing w:line="360" w:lineRule="auto"/>
        <w:jc w:val="both"/>
        <w:rPr>
          <w:rFonts w:ascii="Palatino Linotype" w:hAnsi="Palatino Linotype"/>
          <w:color w:val="000000"/>
          <w:sz w:val="24"/>
        </w:rPr>
      </w:pPr>
    </w:p>
    <w:p w:rsidR="00E05F7E" w:rsidRPr="001416AF" w:rsidRDefault="00E05F7E" w:rsidP="00E05F7E">
      <w:pPr>
        <w:spacing w:line="360" w:lineRule="auto"/>
        <w:jc w:val="both"/>
        <w:rPr>
          <w:rFonts w:ascii="Palatino Linotype" w:hAnsi="Palatino Linotype"/>
          <w:color w:val="000000"/>
          <w:sz w:val="24"/>
        </w:rPr>
      </w:pPr>
      <w:r w:rsidRPr="001416AF">
        <w:rPr>
          <w:rFonts w:ascii="Palatino Linotype" w:hAnsi="Palatino Linotype"/>
          <w:color w:val="000000"/>
          <w:sz w:val="24"/>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E05F7E" w:rsidRPr="001416AF" w:rsidRDefault="00E05F7E" w:rsidP="00E05F7E">
      <w:pPr>
        <w:spacing w:line="360" w:lineRule="auto"/>
        <w:jc w:val="both"/>
        <w:rPr>
          <w:rFonts w:ascii="Palatino Linotype" w:hAnsi="Palatino Linotype"/>
          <w:color w:val="000000"/>
          <w:sz w:val="24"/>
        </w:rPr>
      </w:pPr>
    </w:p>
    <w:p w:rsidR="00E05F7E" w:rsidRPr="001416AF" w:rsidRDefault="00E05F7E" w:rsidP="00E05F7E">
      <w:pPr>
        <w:ind w:left="567" w:right="567"/>
        <w:jc w:val="both"/>
        <w:rPr>
          <w:rFonts w:ascii="Palatino Linotype" w:hAnsi="Palatino Linotype"/>
          <w:b/>
          <w:i/>
          <w:sz w:val="24"/>
        </w:rPr>
      </w:pPr>
      <w:r w:rsidRPr="001416AF">
        <w:rPr>
          <w:rFonts w:ascii="Palatino Linotype" w:hAnsi="Palatino Linotype"/>
          <w:b/>
          <w:i/>
          <w:sz w:val="24"/>
        </w:rPr>
        <w:t>Artículo 6</w:t>
      </w:r>
    </w:p>
    <w:p w:rsidR="00E05F7E" w:rsidRPr="001416AF" w:rsidRDefault="00E05F7E" w:rsidP="00E05F7E">
      <w:pPr>
        <w:ind w:left="567" w:right="567"/>
        <w:jc w:val="both"/>
        <w:rPr>
          <w:rFonts w:ascii="Palatino Linotype" w:hAnsi="Palatino Linotype"/>
          <w:i/>
          <w:sz w:val="24"/>
        </w:rPr>
      </w:pPr>
      <w:r w:rsidRPr="001416AF">
        <w:rPr>
          <w:rFonts w:ascii="Palatino Linotype" w:hAnsi="Palatino Linotype"/>
          <w:i/>
          <w:sz w:val="24"/>
        </w:rPr>
        <w:t>…</w:t>
      </w:r>
    </w:p>
    <w:p w:rsidR="00E05F7E" w:rsidRPr="001416AF" w:rsidRDefault="00E05F7E" w:rsidP="00E05F7E">
      <w:pPr>
        <w:ind w:left="567" w:right="567"/>
        <w:jc w:val="both"/>
        <w:rPr>
          <w:rFonts w:ascii="Palatino Linotype" w:hAnsi="Palatino Linotype"/>
          <w:i/>
          <w:sz w:val="24"/>
        </w:rPr>
      </w:pPr>
      <w:r w:rsidRPr="001416AF">
        <w:rPr>
          <w:rFonts w:ascii="Palatino Linotype" w:hAnsi="Palatino Linotype"/>
          <w:i/>
          <w:sz w:val="24"/>
        </w:rPr>
        <w:lastRenderedPageBreak/>
        <w:t>Para el ejercicio del derecho de acceso a la información, la Federación, los Estados y el Distrito Federal, en el ámbito de sus respectivas competencias, se regirán por los siguientes principios y bases:</w:t>
      </w:r>
    </w:p>
    <w:p w:rsidR="00E05F7E" w:rsidRPr="001416AF" w:rsidRDefault="00E05F7E" w:rsidP="00E05F7E">
      <w:pPr>
        <w:ind w:left="567" w:right="567"/>
        <w:jc w:val="both"/>
        <w:rPr>
          <w:rFonts w:ascii="Palatino Linotype" w:hAnsi="Palatino Linotype"/>
          <w:i/>
          <w:sz w:val="24"/>
        </w:rPr>
      </w:pPr>
    </w:p>
    <w:p w:rsidR="00E05F7E" w:rsidRPr="001416AF" w:rsidRDefault="00E05F7E" w:rsidP="00E05F7E">
      <w:pPr>
        <w:numPr>
          <w:ilvl w:val="0"/>
          <w:numId w:val="6"/>
        </w:numPr>
        <w:spacing w:after="0" w:line="240" w:lineRule="auto"/>
        <w:ind w:left="993" w:right="567"/>
        <w:jc w:val="both"/>
        <w:rPr>
          <w:rFonts w:ascii="Palatino Linotype" w:hAnsi="Palatino Linotype"/>
          <w:i/>
          <w:sz w:val="24"/>
        </w:rPr>
      </w:pPr>
      <w:r w:rsidRPr="001416AF">
        <w:rPr>
          <w:rFonts w:ascii="Palatino Linotype" w:hAnsi="Palatino Linotype"/>
          <w:i/>
          <w:sz w:val="24"/>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E05F7E" w:rsidRPr="001416AF" w:rsidRDefault="00E05F7E" w:rsidP="00E05F7E">
      <w:pPr>
        <w:spacing w:line="360" w:lineRule="auto"/>
        <w:jc w:val="both"/>
        <w:rPr>
          <w:rFonts w:ascii="Palatino Linotype" w:hAnsi="Palatino Linotype"/>
          <w:sz w:val="24"/>
        </w:rPr>
      </w:pPr>
    </w:p>
    <w:p w:rsidR="00E05F7E" w:rsidRPr="001416AF" w:rsidRDefault="00E05F7E" w:rsidP="00E05F7E">
      <w:pPr>
        <w:spacing w:line="360" w:lineRule="auto"/>
        <w:jc w:val="both"/>
        <w:rPr>
          <w:rFonts w:ascii="Palatino Linotype" w:hAnsi="Palatino Linotype" w:cs="Arial"/>
          <w:sz w:val="24"/>
        </w:rPr>
      </w:pPr>
      <w:r w:rsidRPr="001416AF">
        <w:rPr>
          <w:rFonts w:ascii="Palatino Linotype" w:hAnsi="Palatino Linotype" w:cs="Arial"/>
          <w:sz w:val="24"/>
        </w:rPr>
        <w:t xml:space="preserve">Por otro lado, en atención a lo dispuesto por los artículos 3, fracción XI y 12 </w:t>
      </w:r>
      <w:r w:rsidRPr="001416AF">
        <w:rPr>
          <w:rFonts w:ascii="Palatino Linotype" w:hAnsi="Palatino Linotype" w:cs="Arial"/>
          <w:bCs/>
          <w:sz w:val="24"/>
        </w:rPr>
        <w:t>de la Ley de Transparencia y Acceso a la Información Pública del Estado de México y Municipios</w:t>
      </w:r>
      <w:r w:rsidRPr="001416AF">
        <w:rPr>
          <w:rFonts w:ascii="Palatino Linotype" w:hAnsi="Palatino Linotype" w:cs="Arial"/>
          <w:sz w:val="24"/>
        </w:rPr>
        <w:t>, los cuales son del tenor literal siguiente:</w:t>
      </w:r>
    </w:p>
    <w:p w:rsidR="00E05F7E" w:rsidRPr="001416AF" w:rsidRDefault="00E05F7E" w:rsidP="00E05F7E">
      <w:pPr>
        <w:ind w:left="567" w:right="567"/>
        <w:jc w:val="both"/>
        <w:rPr>
          <w:rFonts w:ascii="Palatino Linotype" w:hAnsi="Palatino Linotype"/>
          <w:sz w:val="24"/>
        </w:rPr>
      </w:pPr>
    </w:p>
    <w:p w:rsidR="00E05F7E" w:rsidRPr="001416AF" w:rsidRDefault="00E05F7E" w:rsidP="00E05F7E">
      <w:pPr>
        <w:ind w:left="567" w:right="332"/>
        <w:jc w:val="both"/>
        <w:rPr>
          <w:rFonts w:ascii="Palatino Linotype" w:hAnsi="Palatino Linotype"/>
          <w:i/>
          <w:sz w:val="24"/>
        </w:rPr>
      </w:pPr>
      <w:r w:rsidRPr="001416AF">
        <w:rPr>
          <w:rFonts w:ascii="Palatino Linotype" w:hAnsi="Palatino Linotype"/>
          <w:b/>
          <w:bCs/>
          <w:i/>
          <w:sz w:val="24"/>
        </w:rPr>
        <w:t xml:space="preserve">Artículo 3.- </w:t>
      </w:r>
      <w:r w:rsidRPr="001416AF">
        <w:rPr>
          <w:rFonts w:ascii="Palatino Linotype" w:hAnsi="Palatino Linotype"/>
          <w:i/>
          <w:sz w:val="24"/>
        </w:rPr>
        <w:t>Para los efectos de la presente Ley se entenderá por:</w:t>
      </w:r>
    </w:p>
    <w:p w:rsidR="00E05F7E" w:rsidRPr="001416AF" w:rsidRDefault="00E05F7E" w:rsidP="00E05F7E">
      <w:pPr>
        <w:ind w:left="567" w:right="332"/>
        <w:jc w:val="both"/>
        <w:rPr>
          <w:rFonts w:ascii="Palatino Linotype" w:hAnsi="Palatino Linotype"/>
          <w:i/>
          <w:sz w:val="24"/>
        </w:rPr>
      </w:pPr>
      <w:r w:rsidRPr="001416AF">
        <w:rPr>
          <w:rFonts w:ascii="Palatino Linotype" w:hAnsi="Palatino Linotype"/>
          <w:i/>
          <w:sz w:val="24"/>
        </w:rPr>
        <w:t>…</w:t>
      </w:r>
    </w:p>
    <w:p w:rsidR="00E05F7E" w:rsidRPr="001416AF" w:rsidRDefault="00E05F7E" w:rsidP="00E05F7E">
      <w:pPr>
        <w:ind w:left="567" w:right="332"/>
        <w:jc w:val="both"/>
        <w:rPr>
          <w:rFonts w:ascii="Palatino Linotype" w:hAnsi="Palatino Linotype"/>
          <w:i/>
          <w:sz w:val="24"/>
        </w:rPr>
      </w:pPr>
      <w:r w:rsidRPr="001416AF">
        <w:rPr>
          <w:rFonts w:ascii="Palatino Linotype" w:hAnsi="Palatino Linotype"/>
          <w:b/>
          <w:i/>
          <w:sz w:val="24"/>
        </w:rPr>
        <w:t>XI.</w:t>
      </w:r>
      <w:r w:rsidRPr="001416AF">
        <w:rPr>
          <w:rFonts w:ascii="Palatino Linotype" w:hAnsi="Palatino Linotype"/>
          <w:i/>
          <w:sz w:val="24"/>
        </w:rPr>
        <w:t xml:space="preserve"> </w:t>
      </w:r>
      <w:r w:rsidRPr="001416AF">
        <w:rPr>
          <w:rFonts w:ascii="Palatino Linotype" w:hAnsi="Palatino Linotype"/>
          <w:b/>
          <w:i/>
          <w:sz w:val="24"/>
        </w:rPr>
        <w:t>Documento:</w:t>
      </w:r>
      <w:r w:rsidRPr="001416AF">
        <w:rPr>
          <w:rFonts w:ascii="Palatino Linotype" w:hAnsi="Palatino Linotype"/>
          <w:i/>
          <w:sz w:val="24"/>
        </w:rPr>
        <w:t xml:space="preserve"> Los expedientes, reportes, estudios, actas, resoluciones, oficios, correspondencia, acuerdos, directivas, directrices, circulares, contratos, convenios, instructivos, notas, memorandos, estadísticas o bien, </w:t>
      </w:r>
      <w:r w:rsidRPr="001416AF">
        <w:rPr>
          <w:rFonts w:ascii="Palatino Linotype" w:hAnsi="Palatino Linotype"/>
          <w:b/>
          <w:i/>
          <w:sz w:val="24"/>
          <w:u w:val="single"/>
        </w:rPr>
        <w:t>cualquier otro registro que documente el ejercicio de las facultades, funciones y competencias de los sujetos obligados, sus servidores públicos e integrantes, sin importar su fuente o fecha de elaboración.</w:t>
      </w:r>
      <w:r w:rsidRPr="001416AF">
        <w:rPr>
          <w:rFonts w:ascii="Palatino Linotype" w:hAnsi="Palatino Linotype"/>
          <w:i/>
          <w:sz w:val="24"/>
        </w:rPr>
        <w:t xml:space="preserve"> Los documentos podrán estar en cualquier medio, sea escrito, impreso, sonoro, visual, electrónico, informático u holográfico;</w:t>
      </w:r>
    </w:p>
    <w:p w:rsidR="00E05F7E" w:rsidRPr="001416AF" w:rsidRDefault="00E05F7E" w:rsidP="00E05F7E">
      <w:pPr>
        <w:ind w:left="567" w:right="332"/>
        <w:jc w:val="both"/>
        <w:rPr>
          <w:rFonts w:ascii="Palatino Linotype" w:hAnsi="Palatino Linotype"/>
          <w:i/>
          <w:sz w:val="24"/>
        </w:rPr>
      </w:pPr>
    </w:p>
    <w:p w:rsidR="00E05F7E" w:rsidRPr="001416AF" w:rsidRDefault="00E05F7E" w:rsidP="00E05F7E">
      <w:pPr>
        <w:ind w:left="567" w:right="332"/>
        <w:jc w:val="both"/>
        <w:rPr>
          <w:rFonts w:ascii="Palatino Linotype" w:hAnsi="Palatino Linotype"/>
          <w:i/>
          <w:sz w:val="24"/>
        </w:rPr>
      </w:pPr>
    </w:p>
    <w:p w:rsidR="00E05F7E" w:rsidRPr="001416AF" w:rsidRDefault="00E05F7E" w:rsidP="00E05F7E">
      <w:pPr>
        <w:ind w:left="567" w:right="332"/>
        <w:jc w:val="both"/>
        <w:rPr>
          <w:rFonts w:ascii="Palatino Linotype" w:hAnsi="Palatino Linotype"/>
          <w:bCs/>
          <w:i/>
          <w:sz w:val="24"/>
        </w:rPr>
      </w:pPr>
      <w:r w:rsidRPr="001416AF">
        <w:rPr>
          <w:rFonts w:ascii="Palatino Linotype" w:hAnsi="Palatino Linotype"/>
          <w:b/>
          <w:bCs/>
          <w:i/>
          <w:sz w:val="24"/>
        </w:rPr>
        <w:t>Artículo 4.</w:t>
      </w:r>
      <w:r w:rsidRPr="001416AF">
        <w:rPr>
          <w:rFonts w:ascii="Palatino Linotype" w:hAnsi="Palatino Linotype"/>
          <w:bCs/>
          <w:i/>
          <w:sz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E05F7E" w:rsidRPr="001416AF" w:rsidRDefault="00E05F7E" w:rsidP="00E05F7E">
      <w:pPr>
        <w:ind w:left="567" w:right="332"/>
        <w:jc w:val="both"/>
        <w:rPr>
          <w:rFonts w:ascii="Palatino Linotype" w:hAnsi="Palatino Linotype"/>
          <w:bCs/>
          <w:i/>
          <w:sz w:val="24"/>
        </w:rPr>
      </w:pPr>
      <w:r w:rsidRPr="001416AF">
        <w:rPr>
          <w:rFonts w:ascii="Palatino Linotype" w:hAnsi="Palatino Linotype"/>
          <w:b/>
          <w:bCs/>
          <w:i/>
          <w:sz w:val="24"/>
          <w:u w:val="single"/>
        </w:rPr>
        <w:t>Toda la información generada, obtenida, adquirida, transformada, administrada o en posesión de los sujetos obligados es pública y accesible de manera permanente a cualquier persona,</w:t>
      </w:r>
      <w:r w:rsidRPr="001416AF">
        <w:rPr>
          <w:rFonts w:ascii="Palatino Linotype" w:hAnsi="Palatino Linotype"/>
          <w:bCs/>
          <w:i/>
          <w:sz w:val="24"/>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E05F7E" w:rsidRPr="001416AF" w:rsidRDefault="00E05F7E" w:rsidP="00E05F7E">
      <w:pPr>
        <w:ind w:left="567" w:right="332"/>
        <w:jc w:val="both"/>
        <w:rPr>
          <w:rFonts w:ascii="Palatino Linotype" w:hAnsi="Palatino Linotype"/>
          <w:bCs/>
          <w:i/>
          <w:sz w:val="24"/>
        </w:rPr>
      </w:pPr>
      <w:r w:rsidRPr="001416AF">
        <w:rPr>
          <w:rFonts w:ascii="Palatino Linotype" w:hAnsi="Palatino Linotype"/>
          <w:bCs/>
          <w:i/>
          <w:sz w:val="24"/>
        </w:rPr>
        <w:t>Los sujetos obligados deben poner en práctica, políticas y programas de acceso a la información que se apeguen a criterios de publicidad, veracidad, oportunidad, precisión y suficiencia en beneficio de los solicitantes.</w:t>
      </w:r>
    </w:p>
    <w:p w:rsidR="00E05F7E" w:rsidRPr="001416AF" w:rsidRDefault="00E05F7E" w:rsidP="00E05F7E">
      <w:pPr>
        <w:ind w:left="567" w:right="332"/>
        <w:jc w:val="both"/>
        <w:rPr>
          <w:rFonts w:ascii="Palatino Linotype" w:hAnsi="Palatino Linotype"/>
          <w:i/>
          <w:sz w:val="24"/>
        </w:rPr>
      </w:pPr>
    </w:p>
    <w:p w:rsidR="00E05F7E" w:rsidRPr="001416AF" w:rsidRDefault="00E05F7E" w:rsidP="00E05F7E">
      <w:pPr>
        <w:ind w:left="567" w:right="332"/>
        <w:jc w:val="both"/>
        <w:rPr>
          <w:rFonts w:ascii="Palatino Linotype" w:hAnsi="Palatino Linotype"/>
          <w:i/>
          <w:sz w:val="24"/>
        </w:rPr>
      </w:pPr>
      <w:r w:rsidRPr="001416AF">
        <w:rPr>
          <w:rFonts w:ascii="Palatino Linotype" w:hAnsi="Palatino Linotype"/>
          <w:b/>
          <w:i/>
          <w:sz w:val="24"/>
        </w:rPr>
        <w:t>Artículo 12.</w:t>
      </w:r>
      <w:r w:rsidRPr="001416AF">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w:t>
      </w:r>
    </w:p>
    <w:p w:rsidR="00E05F7E" w:rsidRPr="001416AF" w:rsidRDefault="00E05F7E" w:rsidP="00E05F7E">
      <w:pPr>
        <w:ind w:left="567" w:right="332"/>
        <w:jc w:val="both"/>
        <w:rPr>
          <w:rFonts w:ascii="Palatino Linotype" w:hAnsi="Palatino Linotype"/>
          <w:i/>
          <w:sz w:val="24"/>
          <w:u w:val="single"/>
        </w:rPr>
      </w:pPr>
      <w:r w:rsidRPr="001416AF">
        <w:rPr>
          <w:rFonts w:ascii="Palatino Linotype" w:hAnsi="Palatino Linotype"/>
          <w:b/>
          <w:i/>
          <w:sz w:val="24"/>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1416AF">
        <w:rPr>
          <w:rFonts w:ascii="Palatino Linotype" w:hAnsi="Palatino Linotype"/>
          <w:i/>
          <w:sz w:val="24"/>
        </w:rPr>
        <w:t>.</w:t>
      </w:r>
    </w:p>
    <w:p w:rsidR="00E05F7E" w:rsidRPr="001416AF" w:rsidRDefault="00E05F7E" w:rsidP="00E05F7E">
      <w:pPr>
        <w:spacing w:line="360" w:lineRule="auto"/>
        <w:jc w:val="both"/>
        <w:rPr>
          <w:rFonts w:ascii="Palatino Linotype" w:hAnsi="Palatino Linotype"/>
          <w:sz w:val="24"/>
        </w:rPr>
      </w:pPr>
    </w:p>
    <w:p w:rsidR="00E05F7E" w:rsidRPr="001416AF" w:rsidRDefault="00E05F7E" w:rsidP="00E05F7E">
      <w:pPr>
        <w:spacing w:line="360" w:lineRule="auto"/>
        <w:jc w:val="both"/>
        <w:rPr>
          <w:rFonts w:ascii="Palatino Linotype" w:hAnsi="Palatino Linotype"/>
          <w:sz w:val="24"/>
        </w:rPr>
      </w:pPr>
      <w:r w:rsidRPr="001416AF">
        <w:rPr>
          <w:rFonts w:ascii="Palatino Linotype" w:hAnsi="Palatino Linotype" w:cs="Arial"/>
          <w:sz w:val="24"/>
        </w:rPr>
        <w:t xml:space="preserve">De la interpretación a los preceptos citados, se desprende que es información pública la contenida en los documentos que los Sujetos Obligados generen, administren o se </w:t>
      </w:r>
      <w:r w:rsidRPr="001416AF">
        <w:rPr>
          <w:rFonts w:ascii="Palatino Linotype" w:hAnsi="Palatino Linotype" w:cs="Arial"/>
          <w:sz w:val="24"/>
        </w:rPr>
        <w:lastRenderedPageBreak/>
        <w:t>encuentre en su posesión en el ejercicio de sus atribuciones y que toda la información generada, obtenida, adquirida, transformada, administrada o en posesión de los sujetos obligados es pública y accesible de manera permanente a cualquier persona.</w:t>
      </w:r>
    </w:p>
    <w:p w:rsidR="00E05F7E" w:rsidRPr="001416AF" w:rsidRDefault="00E05F7E" w:rsidP="00E05F7E">
      <w:pPr>
        <w:spacing w:line="360" w:lineRule="auto"/>
        <w:jc w:val="both"/>
        <w:rPr>
          <w:rFonts w:ascii="Palatino Linotype" w:hAnsi="Palatino Linotype" w:cs="Arial"/>
          <w:color w:val="000000"/>
          <w:sz w:val="24"/>
          <w:lang w:val="es-ES_tradnl"/>
        </w:rPr>
      </w:pPr>
      <w:r w:rsidRPr="001416AF">
        <w:rPr>
          <w:rFonts w:ascii="Palatino Linotype" w:hAnsi="Palatino Linotype" w:cs="Arial"/>
          <w:color w:val="000000"/>
          <w:sz w:val="24"/>
          <w:lang w:val="es-ES_tradnl"/>
        </w:rPr>
        <w:t>En síntesis, el derecho de acceso a la información pública se satisface en aquellos casos en que se entregue el soporte documental en que conste la información pública, toda vez que, los Sujetos Obligados</w:t>
      </w:r>
      <w:r w:rsidRPr="001416AF">
        <w:rPr>
          <w:rFonts w:ascii="Palatino Linotype" w:hAnsi="Palatino Linotype" w:cs="Arial"/>
          <w:b/>
          <w:color w:val="000000"/>
          <w:sz w:val="24"/>
          <w:lang w:val="es-ES_tradnl"/>
        </w:rPr>
        <w:t xml:space="preserve"> </w:t>
      </w:r>
      <w:r w:rsidRPr="001416AF">
        <w:rPr>
          <w:rFonts w:ascii="Palatino Linotype" w:hAnsi="Palatino Linotype" w:cs="Arial"/>
          <w:color w:val="000000"/>
          <w:sz w:val="24"/>
          <w:lang w:val="es-ES_tradnl"/>
        </w:rPr>
        <w:t xml:space="preserve">no tienen el deber de generar, poseer o administrar la información pública con el grado de detalle solicitado; esto es, que no tienen el deber de generar </w:t>
      </w:r>
      <w:r w:rsidRPr="001416AF">
        <w:rPr>
          <w:rFonts w:ascii="Palatino Linotype" w:hAnsi="Palatino Linotype" w:cs="Arial"/>
          <w:b/>
          <w:color w:val="000000"/>
          <w:sz w:val="24"/>
          <w:lang w:val="es-ES_tradnl"/>
        </w:rPr>
        <w:t xml:space="preserve">un documento </w:t>
      </w:r>
      <w:r w:rsidRPr="001416AF">
        <w:rPr>
          <w:rFonts w:ascii="Palatino Linotype" w:hAnsi="Palatino Linotype" w:cs="Arial"/>
          <w:b/>
          <w:i/>
          <w:color w:val="000000"/>
          <w:sz w:val="24"/>
          <w:lang w:val="es-ES_tradnl"/>
        </w:rPr>
        <w:t>ad hoc</w:t>
      </w:r>
      <w:r w:rsidRPr="001416AF">
        <w:rPr>
          <w:rFonts w:ascii="Palatino Linotype" w:hAnsi="Palatino Linotype" w:cs="Arial"/>
          <w:color w:val="000000"/>
          <w:sz w:val="24"/>
          <w:lang w:val="es-ES_tradnl"/>
        </w:rPr>
        <w:t>, para satisfacer el derecho de acceso a la información pública.</w:t>
      </w:r>
    </w:p>
    <w:p w:rsidR="00E05F7E" w:rsidRPr="001416AF" w:rsidRDefault="00E05F7E" w:rsidP="00E05F7E">
      <w:pPr>
        <w:spacing w:line="360" w:lineRule="auto"/>
        <w:jc w:val="both"/>
        <w:rPr>
          <w:rFonts w:ascii="Palatino Linotype" w:hAnsi="Palatino Linotype" w:cs="Arial"/>
          <w:color w:val="000000"/>
          <w:sz w:val="24"/>
          <w:lang w:val="es-ES_tradnl"/>
        </w:rPr>
      </w:pPr>
    </w:p>
    <w:p w:rsidR="00E05F7E" w:rsidRPr="001416AF" w:rsidRDefault="00E05F7E" w:rsidP="00E05F7E">
      <w:pPr>
        <w:spacing w:line="360" w:lineRule="auto"/>
        <w:jc w:val="both"/>
        <w:rPr>
          <w:rFonts w:ascii="Palatino Linotype" w:hAnsi="Palatino Linotype"/>
          <w:b/>
          <w:bCs/>
          <w:color w:val="000000"/>
          <w:sz w:val="24"/>
          <w:lang w:val="es-ES_tradnl"/>
        </w:rPr>
      </w:pPr>
      <w:r w:rsidRPr="001416AF">
        <w:rPr>
          <w:rFonts w:ascii="Palatino Linotype" w:hAnsi="Palatino Linotype" w:cs="Arial"/>
          <w:color w:val="000000"/>
          <w:sz w:val="24"/>
          <w:lang w:val="es-ES_tradnl"/>
        </w:rPr>
        <w:t xml:space="preserve">Como apoyo a lo anterior, es aplicable el Criterio orientador 03-17, emitido por </w:t>
      </w:r>
      <w:r w:rsidRPr="001416AF">
        <w:rPr>
          <w:rFonts w:ascii="Palatino Linotype" w:eastAsia="Arial Unicode MS" w:hAnsi="Palatino Linotype" w:cs="Arial"/>
          <w:color w:val="000000"/>
          <w:sz w:val="24"/>
          <w:lang w:val="es-ES_tradnl"/>
        </w:rPr>
        <w:t>el entonces Instituto Nacional de Transparencia, Acceso a la Información y Protección de Datos Personales,</w:t>
      </w:r>
      <w:r w:rsidRPr="001416AF">
        <w:rPr>
          <w:rFonts w:ascii="Palatino Linotype" w:hAnsi="Palatino Linotype"/>
          <w:bCs/>
          <w:color w:val="000000"/>
          <w:sz w:val="24"/>
          <w:lang w:val="es-ES_tradnl"/>
        </w:rPr>
        <w:t xml:space="preserve"> que dice:</w:t>
      </w:r>
      <w:r w:rsidRPr="001416AF">
        <w:rPr>
          <w:rFonts w:ascii="Palatino Linotype" w:hAnsi="Palatino Linotype"/>
          <w:b/>
          <w:bCs/>
          <w:color w:val="000000"/>
          <w:sz w:val="24"/>
          <w:lang w:val="es-ES_tradnl"/>
        </w:rPr>
        <w:t xml:space="preserve"> </w:t>
      </w:r>
    </w:p>
    <w:p w:rsidR="00E05F7E" w:rsidRPr="001416AF" w:rsidRDefault="00E05F7E" w:rsidP="00E05F7E">
      <w:pPr>
        <w:spacing w:line="360" w:lineRule="auto"/>
        <w:ind w:left="851" w:right="850"/>
        <w:jc w:val="both"/>
        <w:rPr>
          <w:rFonts w:ascii="Palatino Linotype" w:hAnsi="Palatino Linotype" w:cs="Arial"/>
          <w:color w:val="000000"/>
          <w:sz w:val="4"/>
          <w:lang w:val="es-ES_tradnl"/>
        </w:rPr>
      </w:pPr>
    </w:p>
    <w:p w:rsidR="00E05F7E" w:rsidRPr="001416AF" w:rsidRDefault="00E05F7E" w:rsidP="00E05F7E">
      <w:pPr>
        <w:ind w:left="567" w:right="567"/>
        <w:jc w:val="both"/>
        <w:rPr>
          <w:rFonts w:ascii="Palatino Linotype" w:hAnsi="Palatino Linotype" w:cs="Arial"/>
          <w:i/>
          <w:color w:val="000000"/>
          <w:sz w:val="24"/>
          <w:lang w:val="es-ES_tradnl"/>
        </w:rPr>
      </w:pPr>
      <w:r w:rsidRPr="001416AF">
        <w:rPr>
          <w:rFonts w:ascii="Palatino Linotype" w:hAnsi="Palatino Linotype" w:cs="Arial"/>
          <w:b/>
          <w:i/>
          <w:color w:val="000000"/>
          <w:sz w:val="24"/>
          <w:lang w:val="es-ES_tradnl"/>
        </w:rPr>
        <w:t>No existe obligación de elaborar documentos ad hoc para atender las solicitudes de acceso a la información.</w:t>
      </w:r>
      <w:r w:rsidRPr="001416AF">
        <w:rPr>
          <w:rFonts w:ascii="Palatino Linotype" w:hAnsi="Palatino Linotype" w:cs="Arial"/>
          <w:i/>
          <w:color w:val="000000"/>
          <w:sz w:val="24"/>
          <w:lang w:val="es-ES_tradnl"/>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E05F7E" w:rsidRPr="001416AF" w:rsidRDefault="00E05F7E" w:rsidP="00E05F7E">
      <w:pPr>
        <w:ind w:left="567" w:right="567"/>
        <w:jc w:val="both"/>
        <w:rPr>
          <w:rFonts w:ascii="Palatino Linotype" w:hAnsi="Palatino Linotype" w:cs="Arial"/>
          <w:i/>
          <w:color w:val="000000"/>
          <w:sz w:val="4"/>
          <w:lang w:val="es-ES_tradnl"/>
        </w:rPr>
      </w:pPr>
    </w:p>
    <w:p w:rsidR="00E05F7E" w:rsidRPr="001416AF" w:rsidRDefault="00E05F7E" w:rsidP="00E05F7E">
      <w:pPr>
        <w:spacing w:line="360" w:lineRule="auto"/>
        <w:jc w:val="both"/>
        <w:rPr>
          <w:rFonts w:ascii="Palatino Linotype" w:hAnsi="Palatino Linotype" w:cs="Arial"/>
          <w:noProof/>
          <w:color w:val="000000"/>
          <w:sz w:val="24"/>
        </w:rPr>
      </w:pPr>
      <w:r w:rsidRPr="001416AF">
        <w:rPr>
          <w:rFonts w:ascii="Palatino Linotype" w:hAnsi="Palatino Linotype" w:cs="Arial"/>
          <w:noProof/>
          <w:color w:val="000000"/>
          <w:sz w:val="24"/>
        </w:rPr>
        <w:lastRenderedPageBreak/>
        <w:t xml:space="preserve">Con base en lo anteriormente expuesto, se arriba a la conclusión de que </w:t>
      </w:r>
      <w:r w:rsidRPr="001416AF">
        <w:rPr>
          <w:rFonts w:ascii="Palatino Linotype" w:hAnsi="Palatino Linotype" w:cs="Arial"/>
          <w:b/>
          <w:noProof/>
          <w:color w:val="000000"/>
          <w:sz w:val="24"/>
        </w:rPr>
        <w:t xml:space="preserve">Sujeto Obligado </w:t>
      </w:r>
      <w:r w:rsidRPr="001416AF">
        <w:rPr>
          <w:rFonts w:ascii="Palatino Linotype" w:hAnsi="Palatino Linotype" w:cs="Arial"/>
          <w:noProof/>
          <w:color w:val="000000"/>
          <w:sz w:val="24"/>
        </w:rPr>
        <w:t>no</w:t>
      </w:r>
      <w:r w:rsidRPr="001416AF">
        <w:rPr>
          <w:rFonts w:ascii="Palatino Linotype" w:hAnsi="Palatino Linotype" w:cs="Arial"/>
          <w:b/>
          <w:noProof/>
          <w:color w:val="000000"/>
          <w:sz w:val="24"/>
        </w:rPr>
        <w:t xml:space="preserve"> </w:t>
      </w:r>
      <w:r w:rsidRPr="001416AF">
        <w:rPr>
          <w:rFonts w:ascii="Palatino Linotype" w:hAnsi="Palatino Linotype" w:cs="Arial"/>
          <w:noProof/>
          <w:color w:val="000000"/>
          <w:sz w:val="24"/>
        </w:rPr>
        <w:t xml:space="preserve">colmó el derecho de acceso a la información ejercido por el particular. </w:t>
      </w:r>
    </w:p>
    <w:p w:rsidR="00E05F7E" w:rsidRPr="001416AF" w:rsidRDefault="00E05F7E" w:rsidP="00E05F7E">
      <w:pPr>
        <w:tabs>
          <w:tab w:val="left" w:pos="709"/>
        </w:tabs>
        <w:spacing w:line="360" w:lineRule="auto"/>
        <w:jc w:val="both"/>
        <w:rPr>
          <w:rFonts w:ascii="Palatino Linotype" w:eastAsiaTheme="minorHAnsi" w:hAnsi="Palatino Linotype" w:cstheme="minorBidi"/>
          <w:b/>
          <w:i/>
          <w:sz w:val="28"/>
          <w:szCs w:val="28"/>
          <w:lang w:eastAsia="en-US"/>
        </w:rPr>
      </w:pPr>
    </w:p>
    <w:p w:rsidR="00E05F7E" w:rsidRPr="001416AF" w:rsidRDefault="00E05F7E" w:rsidP="00E05F7E">
      <w:pPr>
        <w:tabs>
          <w:tab w:val="left" w:pos="709"/>
        </w:tabs>
        <w:spacing w:line="360" w:lineRule="auto"/>
        <w:jc w:val="both"/>
        <w:rPr>
          <w:rFonts w:ascii="Palatino Linotype" w:eastAsiaTheme="minorHAnsi" w:hAnsi="Palatino Linotype" w:cstheme="minorBidi"/>
          <w:b/>
          <w:i/>
          <w:sz w:val="28"/>
          <w:szCs w:val="28"/>
          <w:lang w:eastAsia="en-US"/>
        </w:rPr>
      </w:pPr>
      <w:r w:rsidRPr="001416AF">
        <w:rPr>
          <w:rFonts w:ascii="Palatino Linotype" w:eastAsiaTheme="minorHAnsi" w:hAnsi="Palatino Linotype" w:cstheme="minorBidi"/>
          <w:b/>
          <w:i/>
          <w:sz w:val="28"/>
          <w:szCs w:val="28"/>
          <w:lang w:eastAsia="en-US"/>
        </w:rPr>
        <w:t>De la declaratoria de inexistencia</w:t>
      </w:r>
    </w:p>
    <w:p w:rsidR="00E05F7E" w:rsidRPr="001416AF" w:rsidRDefault="00E05F7E" w:rsidP="00E05F7E">
      <w:pPr>
        <w:tabs>
          <w:tab w:val="left" w:pos="709"/>
        </w:tabs>
        <w:spacing w:line="360" w:lineRule="auto"/>
        <w:jc w:val="both"/>
        <w:rPr>
          <w:rFonts w:ascii="Palatino Linotype" w:eastAsiaTheme="minorHAnsi" w:hAnsi="Palatino Linotype" w:cstheme="minorBidi"/>
          <w:sz w:val="24"/>
          <w:szCs w:val="24"/>
          <w:lang w:eastAsia="en-US"/>
        </w:rPr>
      </w:pPr>
      <w:r w:rsidRPr="001416AF">
        <w:rPr>
          <w:rFonts w:ascii="Palatino Linotype" w:eastAsiaTheme="minorHAnsi" w:hAnsi="Palatino Linotype" w:cstheme="minorBidi"/>
          <w:bCs/>
          <w:sz w:val="24"/>
          <w:szCs w:val="24"/>
          <w:lang w:eastAsia="en-US"/>
        </w:rPr>
        <w:t xml:space="preserve">Declaratoria que </w:t>
      </w:r>
      <w:r w:rsidRPr="001416AF">
        <w:rPr>
          <w:rFonts w:ascii="Palatino Linotype" w:eastAsiaTheme="minorHAnsi" w:hAnsi="Palatino Linotype" w:cstheme="minorBidi"/>
          <w:sz w:val="24"/>
          <w:szCs w:val="24"/>
          <w:lang w:eastAsia="en-US"/>
        </w:rPr>
        <w:t>deberá realizarse conforme a lo establecido en lo dispuesto por los artículos 19, 49 fracciones II y XIII, 169 y 170 de la Ley de Transparencia y Acceso a la Información Pública del Estado de México y Municipios, cuyo contenido es el siguiente:</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1416AF">
        <w:rPr>
          <w:rFonts w:ascii="Palatino Linotype" w:eastAsiaTheme="minorHAnsi" w:hAnsi="Palatino Linotype" w:cstheme="minorBidi"/>
          <w:b/>
          <w:bCs/>
          <w:i/>
          <w:iCs/>
          <w:szCs w:val="24"/>
          <w:lang w:eastAsia="en-US"/>
        </w:rPr>
        <w:t xml:space="preserve">“Artículo 19. </w:t>
      </w:r>
      <w:r w:rsidRPr="001416AF">
        <w:rPr>
          <w:rFonts w:ascii="Palatino Linotype" w:eastAsiaTheme="minorHAnsi" w:hAnsi="Palatino Linotype" w:cstheme="minorBidi"/>
          <w:i/>
          <w:iCs/>
          <w:szCs w:val="24"/>
          <w:u w:val="single"/>
          <w:lang w:eastAsia="en-US"/>
        </w:rPr>
        <w:t>Se presume que la información debe existir si se refiere a las facultades, competencias y funciones que los ordenamientos jurídicos aplicables otorgan a los sujetos obligados. </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1416AF">
        <w:rPr>
          <w:rFonts w:ascii="Palatino Linotype" w:eastAsiaTheme="minorHAnsi" w:hAnsi="Palatino Linotype" w:cstheme="minorBidi"/>
          <w:i/>
          <w:iCs/>
          <w:szCs w:val="24"/>
          <w:lang w:eastAsia="en-US"/>
        </w:rPr>
        <w:t>(…)</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1416AF">
        <w:rPr>
          <w:rFonts w:ascii="Palatino Linotype" w:eastAsiaTheme="minorHAnsi" w:hAnsi="Palatino Linotype" w:cstheme="minorBidi"/>
          <w:i/>
          <w:iCs/>
          <w:szCs w:val="24"/>
          <w:lang w:eastAsia="en-US"/>
        </w:rPr>
        <w:t xml:space="preserve">Si el sujeto obligado, en el ejercicio de sus atribuciones, debía generar, poseer o administrar la información, pero ésta no se encuentra, </w:t>
      </w:r>
      <w:r w:rsidRPr="001416AF">
        <w:rPr>
          <w:rFonts w:ascii="Palatino Linotype" w:eastAsiaTheme="minorHAnsi" w:hAnsi="Palatino Linotype" w:cstheme="minorBidi"/>
          <w:i/>
          <w:iCs/>
          <w:szCs w:val="24"/>
          <w:u w:val="single"/>
          <w:lang w:eastAsia="en-US"/>
        </w:rPr>
        <w:t>el Comité de transparencia deberá emitir un acuerdo de inexistencia, debidamente fundado y motivado, en el que detalle las razones del por qué no obra en sus archivos.</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1416AF">
        <w:rPr>
          <w:rFonts w:ascii="Palatino Linotype" w:eastAsiaTheme="minorHAnsi" w:hAnsi="Palatino Linotype" w:cstheme="minorBidi"/>
          <w:b/>
          <w:bCs/>
          <w:i/>
          <w:iCs/>
          <w:szCs w:val="24"/>
          <w:lang w:eastAsia="en-US"/>
        </w:rPr>
        <w:t>Artículo 49.</w:t>
      </w:r>
      <w:r w:rsidRPr="001416AF">
        <w:rPr>
          <w:rFonts w:ascii="Palatino Linotype" w:eastAsiaTheme="minorHAnsi" w:hAnsi="Palatino Linotype" w:cstheme="minorBidi"/>
          <w:i/>
          <w:iCs/>
          <w:szCs w:val="24"/>
          <w:lang w:eastAsia="en-US"/>
        </w:rPr>
        <w:t xml:space="preserve"> Los </w:t>
      </w:r>
      <w:r w:rsidRPr="001416AF">
        <w:rPr>
          <w:rFonts w:ascii="Palatino Linotype" w:eastAsiaTheme="minorHAnsi" w:hAnsi="Palatino Linotype" w:cstheme="minorBidi"/>
          <w:i/>
          <w:iCs/>
          <w:szCs w:val="24"/>
          <w:u w:val="single"/>
          <w:lang w:eastAsia="en-US"/>
        </w:rPr>
        <w:t xml:space="preserve">Comités de Transparencia </w:t>
      </w:r>
      <w:r w:rsidRPr="001416AF">
        <w:rPr>
          <w:rFonts w:ascii="Palatino Linotype" w:eastAsiaTheme="minorHAnsi" w:hAnsi="Palatino Linotype" w:cstheme="minorBidi"/>
          <w:i/>
          <w:iCs/>
          <w:szCs w:val="24"/>
          <w:lang w:eastAsia="en-US"/>
        </w:rPr>
        <w:t>tendrán las siguientes atribuciones:</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1416AF">
        <w:rPr>
          <w:rFonts w:ascii="Palatino Linotype" w:eastAsiaTheme="minorHAnsi" w:hAnsi="Palatino Linotype" w:cstheme="minorBidi"/>
          <w:i/>
          <w:szCs w:val="24"/>
          <w:lang w:eastAsia="en-US"/>
        </w:rPr>
        <w:t>II. Confirmar, modificar o revocar las determinaciones que en materia de ampliación del plazo de respuesta, clasificación de la información</w:t>
      </w:r>
      <w:r w:rsidRPr="001416AF">
        <w:rPr>
          <w:rFonts w:ascii="Palatino Linotype" w:eastAsiaTheme="minorHAnsi" w:hAnsi="Palatino Linotype" w:cstheme="minorBidi"/>
          <w:i/>
          <w:szCs w:val="24"/>
          <w:u w:val="single"/>
          <w:lang w:eastAsia="en-US"/>
        </w:rPr>
        <w:t xml:space="preserve"> y declaración de inexistencia </w:t>
      </w:r>
      <w:r w:rsidRPr="001416AF">
        <w:rPr>
          <w:rFonts w:ascii="Palatino Linotype" w:eastAsiaTheme="minorHAnsi" w:hAnsi="Palatino Linotype" w:cstheme="minorBidi"/>
          <w:i/>
          <w:szCs w:val="24"/>
          <w:lang w:eastAsia="en-US"/>
        </w:rPr>
        <w:t>o de incompetencia realicen los titulares de las áreas de los sujetos obligados;</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lang w:eastAsia="en-US"/>
        </w:rPr>
      </w:pPr>
      <w:r w:rsidRPr="001416AF">
        <w:rPr>
          <w:rFonts w:ascii="Palatino Linotype" w:eastAsiaTheme="minorHAnsi" w:hAnsi="Palatino Linotype" w:cstheme="minorBidi"/>
          <w:i/>
          <w:szCs w:val="24"/>
          <w:lang w:eastAsia="en-US"/>
        </w:rPr>
        <w:lastRenderedPageBreak/>
        <w:t xml:space="preserve">XIII. </w:t>
      </w:r>
      <w:r w:rsidRPr="001416AF">
        <w:rPr>
          <w:rFonts w:ascii="Palatino Linotype" w:eastAsiaTheme="minorHAnsi" w:hAnsi="Palatino Linotype" w:cstheme="minorBidi"/>
          <w:i/>
          <w:szCs w:val="24"/>
          <w:u w:val="single"/>
          <w:lang w:eastAsia="en-US"/>
        </w:rPr>
        <w:t>Dictaminar las declaratorias de inexistencia de la información que les remitan las unidades administrativas y resolver en consecuencia</w:t>
      </w:r>
      <w:r w:rsidRPr="001416AF">
        <w:rPr>
          <w:rFonts w:ascii="Palatino Linotype" w:eastAsiaTheme="minorHAnsi" w:hAnsi="Palatino Linotype" w:cstheme="minorBidi"/>
          <w:i/>
          <w:szCs w:val="24"/>
          <w:lang w:eastAsia="en-US"/>
        </w:rPr>
        <w:t>;</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b/>
          <w:i/>
          <w:szCs w:val="24"/>
          <w:u w:val="single"/>
          <w:lang w:eastAsia="en-US"/>
        </w:rPr>
      </w:pPr>
      <w:r w:rsidRPr="001416AF">
        <w:rPr>
          <w:rFonts w:ascii="Palatino Linotype" w:eastAsiaTheme="minorHAnsi" w:hAnsi="Palatino Linotype" w:cstheme="minorBidi"/>
          <w:b/>
          <w:i/>
          <w:u w:val="single"/>
          <w:lang w:eastAsia="en-US"/>
        </w:rPr>
        <w:t>Artículo 169. Cuando la información no se encuentre en los archivos del sujeto obligado, el Comité de Transparencia:</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1416AF">
        <w:rPr>
          <w:rFonts w:ascii="Palatino Linotype" w:eastAsiaTheme="minorHAnsi" w:hAnsi="Palatino Linotype" w:cstheme="minorBidi"/>
          <w:b/>
          <w:bCs/>
          <w:i/>
          <w:szCs w:val="24"/>
          <w:lang w:eastAsia="en-US"/>
        </w:rPr>
        <w:t xml:space="preserve">I. </w:t>
      </w:r>
      <w:r w:rsidRPr="001416AF">
        <w:rPr>
          <w:rFonts w:ascii="Palatino Linotype" w:eastAsiaTheme="minorHAnsi" w:hAnsi="Palatino Linotype" w:cstheme="minorBidi"/>
          <w:i/>
          <w:szCs w:val="24"/>
          <w:u w:val="single"/>
          <w:lang w:eastAsia="en-US"/>
        </w:rPr>
        <w:t>Analizará el caso y tomará las medidas necesarias para localizar la información;</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1416AF">
        <w:rPr>
          <w:rFonts w:ascii="Palatino Linotype" w:eastAsiaTheme="minorHAnsi" w:hAnsi="Palatino Linotype" w:cstheme="minorBidi"/>
          <w:b/>
          <w:bCs/>
          <w:i/>
          <w:szCs w:val="24"/>
          <w:lang w:eastAsia="en-US"/>
        </w:rPr>
        <w:t xml:space="preserve">II. </w:t>
      </w:r>
      <w:r w:rsidRPr="001416AF">
        <w:rPr>
          <w:rFonts w:ascii="Palatino Linotype" w:eastAsiaTheme="minorHAnsi" w:hAnsi="Palatino Linotype" w:cstheme="minorBidi"/>
          <w:i/>
          <w:szCs w:val="24"/>
          <w:u w:val="single"/>
          <w:lang w:eastAsia="en-US"/>
        </w:rPr>
        <w:t>Expedirá una resolución que confirme la inexistencia del documento;</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b/>
          <w:i/>
          <w:szCs w:val="24"/>
          <w:lang w:eastAsia="en-US"/>
        </w:rPr>
      </w:pPr>
      <w:r w:rsidRPr="001416AF">
        <w:rPr>
          <w:rFonts w:ascii="Palatino Linotype" w:eastAsiaTheme="minorHAnsi" w:hAnsi="Palatino Linotype" w:cstheme="minorBidi"/>
          <w:b/>
          <w:bCs/>
          <w:i/>
          <w:szCs w:val="24"/>
          <w:lang w:eastAsia="en-US"/>
        </w:rPr>
        <w:t xml:space="preserve">III. </w:t>
      </w:r>
      <w:r w:rsidRPr="001416AF">
        <w:rPr>
          <w:rFonts w:ascii="Palatino Linotype" w:eastAsiaTheme="minorHAnsi" w:hAnsi="Palatino Linotype" w:cstheme="minorBidi"/>
          <w:i/>
          <w:szCs w:val="24"/>
          <w:u w:val="single"/>
          <w:lang w:eastAsia="en-US"/>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1416AF">
        <w:rPr>
          <w:rFonts w:ascii="Palatino Linotype" w:eastAsiaTheme="minorHAnsi" w:hAnsi="Palatino Linotype" w:cstheme="minorBidi"/>
          <w:b/>
          <w:bCs/>
          <w:i/>
          <w:szCs w:val="24"/>
          <w:lang w:eastAsia="en-US"/>
        </w:rPr>
        <w:t xml:space="preserve">IV. </w:t>
      </w:r>
      <w:r w:rsidRPr="001416AF">
        <w:rPr>
          <w:rFonts w:ascii="Palatino Linotype" w:eastAsiaTheme="minorHAnsi" w:hAnsi="Palatino Linotype" w:cstheme="minorBidi"/>
          <w:i/>
          <w:szCs w:val="24"/>
          <w:u w:val="single"/>
          <w:lang w:eastAsia="en-US"/>
        </w:rPr>
        <w:t>Notificará al órgano interno de control o equivalente del sujeto obligado quien, en su caso, deberá iniciar el procedimiento de responsabilidad administrativa que corresponda.</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1416AF">
        <w:rPr>
          <w:rFonts w:ascii="Palatino Linotype" w:eastAsiaTheme="minorHAnsi" w:hAnsi="Palatino Linotype" w:cstheme="minorBidi"/>
          <w:i/>
          <w:szCs w:val="24"/>
          <w:u w:val="single"/>
          <w:lang w:eastAsia="en-US"/>
        </w:rPr>
        <w:t>La Unidad de Transparencia deberá notificarlo al solicitante por escrito, en un plazo que no exceda de quince días hábiles contados a partir del día siguiente a la presentación de la solicitud.</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i/>
          <w:szCs w:val="24"/>
          <w:u w:val="single"/>
          <w:lang w:eastAsia="en-US"/>
        </w:rPr>
      </w:pPr>
      <w:r w:rsidRPr="001416AF">
        <w:rPr>
          <w:rFonts w:ascii="Palatino Linotype" w:eastAsiaTheme="minorHAnsi" w:hAnsi="Palatino Linotype" w:cstheme="minorBidi"/>
          <w:i/>
          <w:szCs w:val="24"/>
          <w:u w:val="single"/>
          <w:lang w:eastAsia="en-US"/>
        </w:rPr>
        <w:t>Este plazo podrá ampliarse hasta por otros siete días hábiles, siempre que existan razones para ello, debiendo notificarse por escrito al solicitante.</w:t>
      </w:r>
    </w:p>
    <w:p w:rsidR="00E05F7E" w:rsidRPr="001416AF" w:rsidRDefault="00E05F7E" w:rsidP="00E05F7E">
      <w:pPr>
        <w:tabs>
          <w:tab w:val="left" w:pos="709"/>
        </w:tabs>
        <w:spacing w:before="240" w:line="360" w:lineRule="auto"/>
        <w:ind w:left="851" w:right="851"/>
        <w:jc w:val="both"/>
        <w:rPr>
          <w:rFonts w:ascii="Palatino Linotype" w:eastAsiaTheme="minorHAnsi" w:hAnsi="Palatino Linotype" w:cstheme="minorBidi"/>
          <w:b/>
          <w:i/>
          <w:iCs/>
          <w:szCs w:val="24"/>
          <w:lang w:eastAsia="en-US"/>
        </w:rPr>
      </w:pPr>
      <w:r w:rsidRPr="001416AF">
        <w:rPr>
          <w:rFonts w:ascii="Palatino Linotype" w:eastAsiaTheme="minorHAnsi" w:hAnsi="Palatino Linotype" w:cstheme="minorBidi"/>
          <w:b/>
          <w:i/>
          <w:szCs w:val="24"/>
          <w:lang w:eastAsia="en-US"/>
        </w:rPr>
        <w:t>Artículo 170</w:t>
      </w:r>
      <w:r w:rsidRPr="001416AF">
        <w:rPr>
          <w:rFonts w:ascii="Palatino Linotype" w:eastAsiaTheme="minorHAnsi" w:hAnsi="Palatino Linotype" w:cstheme="minorBidi"/>
          <w:b/>
          <w:bCs/>
          <w:i/>
          <w:iCs/>
          <w:szCs w:val="24"/>
          <w:lang w:eastAsia="en-US"/>
        </w:rPr>
        <w:t>.</w:t>
      </w:r>
      <w:r w:rsidRPr="001416AF">
        <w:rPr>
          <w:rFonts w:ascii="Palatino Linotype" w:eastAsiaTheme="minorHAnsi" w:hAnsi="Palatino Linotype" w:cstheme="minorBidi"/>
          <w:i/>
          <w:iCs/>
          <w:szCs w:val="24"/>
          <w:lang w:eastAsia="en-US"/>
        </w:rPr>
        <w:t xml:space="preserve"> </w:t>
      </w:r>
      <w:r w:rsidRPr="001416AF">
        <w:rPr>
          <w:rFonts w:ascii="Palatino Linotype" w:eastAsiaTheme="minorHAnsi" w:hAnsi="Palatino Linotype" w:cstheme="minorBidi"/>
          <w:i/>
          <w:iCs/>
          <w:szCs w:val="24"/>
          <w:u w:val="single"/>
          <w:lang w:eastAsia="en-US"/>
        </w:rPr>
        <w:t xml:space="preserve">La resolución del Comité de Transparencia que confirme la inexistencia de la información solicitada contendrá los elementos mínimos que </w:t>
      </w:r>
      <w:r w:rsidRPr="001416AF">
        <w:rPr>
          <w:rFonts w:ascii="Palatino Linotype" w:eastAsiaTheme="minorHAnsi" w:hAnsi="Palatino Linotype" w:cstheme="minorBidi"/>
          <w:i/>
          <w:iCs/>
          <w:szCs w:val="24"/>
          <w:u w:val="single"/>
          <w:lang w:eastAsia="en-US"/>
        </w:rPr>
        <w:lastRenderedPageBreak/>
        <w:t>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1416AF">
        <w:rPr>
          <w:rFonts w:ascii="Palatino Linotype" w:eastAsiaTheme="minorHAnsi" w:hAnsi="Palatino Linotype" w:cstheme="minorBidi"/>
          <w:i/>
          <w:iCs/>
          <w:szCs w:val="24"/>
          <w:lang w:eastAsia="en-US"/>
        </w:rPr>
        <w:t xml:space="preserve">” </w:t>
      </w:r>
      <w:r w:rsidRPr="001416AF">
        <w:rPr>
          <w:rFonts w:ascii="Palatino Linotype" w:eastAsiaTheme="minorHAnsi" w:hAnsi="Palatino Linotype" w:cstheme="minorBidi"/>
          <w:b/>
          <w:i/>
          <w:iCs/>
          <w:szCs w:val="24"/>
          <w:lang w:eastAsia="en-US"/>
        </w:rPr>
        <w:t>[Sic]</w:t>
      </w:r>
    </w:p>
    <w:p w:rsidR="00E05F7E" w:rsidRPr="001416AF" w:rsidRDefault="00E05F7E" w:rsidP="00E05F7E">
      <w:pPr>
        <w:tabs>
          <w:tab w:val="left" w:pos="709"/>
        </w:tabs>
        <w:spacing w:after="0" w:line="240" w:lineRule="auto"/>
        <w:ind w:left="567" w:right="567"/>
        <w:jc w:val="both"/>
        <w:rPr>
          <w:rFonts w:ascii="Palatino Linotype" w:eastAsiaTheme="minorHAnsi" w:hAnsi="Palatino Linotype" w:cstheme="minorBidi"/>
          <w:i/>
          <w:szCs w:val="24"/>
          <w:lang w:eastAsia="en-US"/>
        </w:rPr>
      </w:pPr>
    </w:p>
    <w:p w:rsidR="00E05F7E" w:rsidRPr="001416AF" w:rsidRDefault="00E05F7E" w:rsidP="00E05F7E">
      <w:pPr>
        <w:spacing w:after="0" w:line="360" w:lineRule="auto"/>
        <w:jc w:val="both"/>
        <w:rPr>
          <w:rFonts w:ascii="Palatino Linotype" w:eastAsiaTheme="minorHAnsi" w:hAnsi="Palatino Linotype" w:cs="Arial"/>
          <w:sz w:val="24"/>
          <w:szCs w:val="24"/>
          <w:lang w:eastAsia="en-US"/>
        </w:rPr>
      </w:pPr>
    </w:p>
    <w:p w:rsidR="00E05F7E" w:rsidRPr="001416AF" w:rsidRDefault="00E05F7E" w:rsidP="00E05F7E">
      <w:pPr>
        <w:spacing w:after="0" w:line="360" w:lineRule="auto"/>
        <w:jc w:val="both"/>
        <w:rPr>
          <w:rFonts w:ascii="Palatino Linotype" w:eastAsia="Times New Roman" w:hAnsi="Palatino Linotype" w:cs="Times New Roman"/>
          <w:sz w:val="24"/>
          <w:szCs w:val="24"/>
          <w:lang w:eastAsia="es-ES"/>
        </w:rPr>
      </w:pPr>
      <w:r w:rsidRPr="001416AF">
        <w:rPr>
          <w:rFonts w:ascii="Palatino Linotype" w:eastAsiaTheme="minorHAnsi" w:hAnsi="Palatino Linotype" w:cs="Arial"/>
          <w:sz w:val="24"/>
          <w:szCs w:val="24"/>
          <w:lang w:eastAsia="en-US"/>
        </w:rPr>
        <w:t>Por otra parte, en observancia a lo anterior tiene aplicación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CUARENTA Y CUATRO, así como, CUARENTA Y CINCO.</w:t>
      </w:r>
    </w:p>
    <w:p w:rsidR="00E05F7E" w:rsidRPr="001416AF" w:rsidRDefault="00E05F7E" w:rsidP="00E05F7E">
      <w:pPr>
        <w:spacing w:after="0" w:line="360" w:lineRule="auto"/>
        <w:contextualSpacing/>
        <w:jc w:val="both"/>
        <w:rPr>
          <w:rFonts w:ascii="Palatino Linotype" w:eastAsia="Palatino Linotype" w:hAnsi="Palatino Linotype" w:cs="Palatino Linotype"/>
          <w:sz w:val="24"/>
          <w:szCs w:val="24"/>
          <w:lang w:eastAsia="en-US"/>
        </w:rPr>
      </w:pPr>
      <w:r w:rsidRPr="001416AF">
        <w:rPr>
          <w:rFonts w:ascii="Palatino Linotype" w:eastAsia="Palatino Linotype" w:hAnsi="Palatino Linotype" w:cs="Palatino Linotype"/>
          <w:sz w:val="24"/>
          <w:szCs w:val="24"/>
          <w:lang w:eastAsia="en-US"/>
        </w:rPr>
        <w:t>Al respecto, es aplicable el Criterio 04/19 emitido por el Instituto Nacional de Transparencia, Acceso a la Información y Protección de Datos Personales, que a la letra estipula lo siguiente:</w:t>
      </w:r>
    </w:p>
    <w:p w:rsidR="00E05F7E" w:rsidRPr="001416AF" w:rsidRDefault="00E05F7E" w:rsidP="00E05F7E">
      <w:pPr>
        <w:spacing w:before="240" w:line="360" w:lineRule="auto"/>
        <w:ind w:left="851" w:right="851"/>
        <w:jc w:val="both"/>
        <w:rPr>
          <w:rFonts w:ascii="Palatino Linotype" w:eastAsiaTheme="minorHAnsi" w:hAnsi="Palatino Linotype" w:cs="Arial"/>
          <w:b/>
          <w:i/>
          <w:lang w:eastAsia="en-US"/>
        </w:rPr>
      </w:pPr>
      <w:r w:rsidRPr="001416AF">
        <w:rPr>
          <w:rFonts w:ascii="Palatino Linotype" w:eastAsiaTheme="minorHAnsi" w:hAnsi="Palatino Linotype" w:cs="Arial"/>
          <w:b/>
          <w:i/>
          <w:lang w:eastAsia="en-US"/>
        </w:rPr>
        <w:t xml:space="preserve">“PROPÓSITO DE LA DECLARACIÓN FORMAL DE INEXISTENCIA. </w:t>
      </w:r>
    </w:p>
    <w:p w:rsidR="00E05F7E" w:rsidRPr="001416AF" w:rsidRDefault="00E05F7E" w:rsidP="00E05F7E">
      <w:pPr>
        <w:spacing w:before="240" w:line="360" w:lineRule="auto"/>
        <w:ind w:left="851" w:right="851"/>
        <w:jc w:val="both"/>
        <w:rPr>
          <w:rFonts w:ascii="Palatino Linotype" w:eastAsiaTheme="minorHAnsi" w:hAnsi="Palatino Linotype" w:cs="Arial"/>
          <w:b/>
          <w:i/>
          <w:lang w:eastAsia="en-US"/>
        </w:rPr>
      </w:pPr>
      <w:r w:rsidRPr="001416AF">
        <w:rPr>
          <w:rFonts w:ascii="Palatino Linotype" w:eastAsiaTheme="minorHAnsi" w:hAnsi="Palatino Linotype" w:cs="Arial"/>
          <w:i/>
          <w:lang w:eastAsia="en-US"/>
        </w:rPr>
        <w:t>El propósito de que los Comités de Transparencia emitan una declaración que confirme la inexistencia de la información solicitada,</w:t>
      </w:r>
      <w:r w:rsidRPr="001416AF">
        <w:rPr>
          <w:rFonts w:ascii="Palatino Linotype" w:eastAsiaTheme="minorHAnsi" w:hAnsi="Palatino Linotype" w:cs="Arial"/>
          <w:b/>
          <w:bCs/>
          <w:i/>
          <w:lang w:eastAsia="en-US"/>
        </w:rPr>
        <w:t xml:space="preserve"> </w:t>
      </w:r>
      <w:r w:rsidRPr="001416AF">
        <w:rPr>
          <w:rFonts w:ascii="Palatino Linotype" w:eastAsiaTheme="minorHAnsi" w:hAnsi="Palatino Linotype" w:cs="Arial"/>
          <w:b/>
          <w:bCs/>
          <w:i/>
          <w:u w:val="single"/>
          <w:lang w:eastAsia="en-US"/>
        </w:rPr>
        <w:t>es garantizar al solicitante que se realizaron las gestiones necesarias para la ubicación de la información de su interés; por lo cual, el acta en el que se haga constar esa declaración formal de inexistencia</w:t>
      </w:r>
      <w:r w:rsidRPr="001416AF">
        <w:rPr>
          <w:rFonts w:ascii="Palatino Linotype" w:eastAsiaTheme="minorHAnsi" w:hAnsi="Palatino Linotype" w:cs="Arial"/>
          <w:i/>
          <w:lang w:eastAsia="en-US"/>
        </w:rPr>
        <w:t xml:space="preserve">, debe contener los elementos suficientes para generar en los solicitantes la certeza del carácter exhaustivo de la búsqueda de lo solicitado.” </w:t>
      </w:r>
      <w:r w:rsidRPr="001416AF">
        <w:rPr>
          <w:rFonts w:ascii="Palatino Linotype" w:eastAsiaTheme="minorHAnsi" w:hAnsi="Palatino Linotype" w:cs="Arial"/>
          <w:b/>
          <w:i/>
          <w:lang w:eastAsia="en-US"/>
        </w:rPr>
        <w:t xml:space="preserve">[Sic] </w:t>
      </w:r>
    </w:p>
    <w:p w:rsidR="00E05F7E" w:rsidRPr="001416AF" w:rsidRDefault="00E05F7E" w:rsidP="00E05F7E">
      <w:pPr>
        <w:spacing w:after="0" w:line="360" w:lineRule="auto"/>
        <w:jc w:val="both"/>
        <w:rPr>
          <w:rFonts w:ascii="Palatino Linotype" w:eastAsia="Palatino Linotype" w:hAnsi="Palatino Linotype" w:cs="Palatino Linotype"/>
          <w:sz w:val="24"/>
          <w:szCs w:val="24"/>
          <w:lang w:eastAsia="en-US"/>
        </w:rPr>
      </w:pPr>
    </w:p>
    <w:p w:rsidR="00E05F7E" w:rsidRPr="001416AF" w:rsidRDefault="00E05F7E" w:rsidP="00E05F7E">
      <w:pPr>
        <w:numPr>
          <w:ilvl w:val="0"/>
          <w:numId w:val="2"/>
        </w:numPr>
        <w:spacing w:after="0" w:line="360" w:lineRule="auto"/>
        <w:ind w:left="142"/>
        <w:jc w:val="both"/>
        <w:rPr>
          <w:rFonts w:asciiTheme="minorHAnsi" w:eastAsiaTheme="minorHAnsi" w:hAnsiTheme="minorHAnsi" w:cstheme="minorBidi"/>
          <w:b/>
          <w:i/>
          <w:sz w:val="28"/>
          <w:szCs w:val="28"/>
          <w:lang w:eastAsia="en-US"/>
        </w:rPr>
      </w:pPr>
      <w:r w:rsidRPr="001416AF">
        <w:rPr>
          <w:rFonts w:ascii="Palatino Linotype" w:eastAsia="Palatino Linotype" w:hAnsi="Palatino Linotype" w:cs="Palatino Linotype"/>
          <w:b/>
          <w:i/>
          <w:sz w:val="28"/>
          <w:szCs w:val="28"/>
          <w:lang w:eastAsia="en-US"/>
        </w:rPr>
        <w:t>De la versión pública</w:t>
      </w:r>
    </w:p>
    <w:p w:rsidR="00E05F7E" w:rsidRPr="001416AF" w:rsidRDefault="00E05F7E" w:rsidP="00E05F7E">
      <w:pPr>
        <w:tabs>
          <w:tab w:val="left" w:pos="7938"/>
        </w:tabs>
        <w:spacing w:before="240" w:after="240" w:line="360" w:lineRule="auto"/>
        <w:jc w:val="both"/>
        <w:rPr>
          <w:rFonts w:ascii="Palatino Linotype" w:eastAsia="Arial Unicode MS" w:hAnsi="Palatino Linotype" w:cs="Arial"/>
          <w:sz w:val="24"/>
          <w:szCs w:val="24"/>
          <w:lang w:val="es-ES_tradnl"/>
        </w:rPr>
      </w:pPr>
      <w:r w:rsidRPr="001416AF">
        <w:rPr>
          <w:rFonts w:ascii="Palatino Linotype" w:eastAsia="Arial Unicode MS" w:hAnsi="Palatino Linotype" w:cs="Arial"/>
          <w:sz w:val="24"/>
          <w:szCs w:val="24"/>
          <w:lang w:val="es-ES_tradnl"/>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E05F7E" w:rsidRPr="001416AF" w:rsidRDefault="00E05F7E" w:rsidP="00E05F7E">
      <w:pPr>
        <w:spacing w:before="240" w:after="0" w:line="360" w:lineRule="auto"/>
        <w:ind w:left="851" w:right="851"/>
        <w:jc w:val="both"/>
        <w:rPr>
          <w:rFonts w:ascii="Palatino Linotype" w:hAnsi="Palatino Linotype" w:cs="Arial"/>
          <w:i/>
          <w:sz w:val="24"/>
          <w:szCs w:val="24"/>
          <w:lang w:val="es-ES_tradnl"/>
        </w:rPr>
      </w:pPr>
      <w:r w:rsidRPr="001416AF">
        <w:rPr>
          <w:rFonts w:ascii="Palatino Linotype" w:hAnsi="Palatino Linotype" w:cs="Arial"/>
          <w:i/>
          <w:sz w:val="24"/>
          <w:szCs w:val="24"/>
          <w:lang w:val="es-ES_tradnl"/>
        </w:rPr>
        <w:t>“Artículo 3. Para los efectos de la presente Ley se entenderá por:</w:t>
      </w:r>
    </w:p>
    <w:p w:rsidR="00E05F7E" w:rsidRPr="001416AF" w:rsidRDefault="00E05F7E" w:rsidP="00E05F7E">
      <w:pPr>
        <w:spacing w:before="240" w:after="0" w:line="360" w:lineRule="auto"/>
        <w:ind w:left="851" w:right="851"/>
        <w:jc w:val="both"/>
        <w:rPr>
          <w:rFonts w:ascii="Palatino Linotype" w:hAnsi="Palatino Linotype" w:cs="Arial"/>
          <w:i/>
          <w:sz w:val="24"/>
          <w:szCs w:val="24"/>
          <w:lang w:val="es-ES_tradnl"/>
        </w:rPr>
      </w:pPr>
      <w:r w:rsidRPr="001416AF">
        <w:rPr>
          <w:rFonts w:ascii="Palatino Linotype" w:hAnsi="Palatino Linotype" w:cs="Arial"/>
          <w:i/>
          <w:sz w:val="24"/>
          <w:szCs w:val="24"/>
          <w:lang w:val="es-ES_tradnl"/>
        </w:rPr>
        <w:t>(…)</w:t>
      </w:r>
    </w:p>
    <w:p w:rsidR="00E05F7E" w:rsidRPr="001416AF" w:rsidRDefault="00E05F7E" w:rsidP="00E05F7E">
      <w:pPr>
        <w:spacing w:before="240" w:after="0" w:line="360" w:lineRule="auto"/>
        <w:ind w:left="851" w:right="851"/>
        <w:jc w:val="both"/>
        <w:rPr>
          <w:rFonts w:ascii="Palatino Linotype" w:hAnsi="Palatino Linotype" w:cs="Arial"/>
          <w:b/>
          <w:i/>
          <w:sz w:val="24"/>
          <w:szCs w:val="24"/>
          <w:lang w:val="es-ES_tradnl"/>
        </w:rPr>
      </w:pPr>
      <w:r w:rsidRPr="001416AF">
        <w:rPr>
          <w:rFonts w:ascii="Palatino Linotype" w:hAnsi="Palatino Linotype" w:cs="Arial"/>
          <w:b/>
          <w:i/>
          <w:sz w:val="24"/>
          <w:szCs w:val="24"/>
          <w:u w:val="single"/>
          <w:lang w:val="es-ES_tradnl"/>
        </w:rPr>
        <w:t>IX. Datos personales:</w:t>
      </w:r>
      <w:r w:rsidRPr="001416AF">
        <w:rPr>
          <w:rFonts w:ascii="Palatino Linotype" w:hAnsi="Palatino Linotype" w:cs="Arial"/>
          <w:b/>
          <w:i/>
          <w:sz w:val="24"/>
          <w:szCs w:val="24"/>
          <w:lang w:val="es-ES_tradnl"/>
        </w:rPr>
        <w:t xml:space="preserve"> </w:t>
      </w:r>
      <w:r w:rsidRPr="001416AF">
        <w:rPr>
          <w:rFonts w:ascii="Palatino Linotype" w:hAnsi="Palatino Linotype" w:cs="Arial"/>
          <w:i/>
          <w:sz w:val="24"/>
          <w:szCs w:val="24"/>
          <w:lang w:val="es-ES_tradnl"/>
        </w:rPr>
        <w:t>La información concerniente a una persona, identificada o identificable según lo dispuesto por la Ley de Protección de Datos Personales del Estado de México;</w:t>
      </w:r>
    </w:p>
    <w:p w:rsidR="00E05F7E" w:rsidRPr="001416AF" w:rsidRDefault="00E05F7E" w:rsidP="00E05F7E">
      <w:pPr>
        <w:spacing w:before="240" w:after="0" w:line="360" w:lineRule="auto"/>
        <w:ind w:left="851" w:right="851"/>
        <w:jc w:val="both"/>
        <w:rPr>
          <w:rFonts w:ascii="Palatino Linotype" w:hAnsi="Palatino Linotype" w:cs="Arial"/>
          <w:b/>
          <w:i/>
          <w:sz w:val="24"/>
          <w:szCs w:val="24"/>
          <w:lang w:val="es-ES_tradnl"/>
        </w:rPr>
      </w:pPr>
      <w:r w:rsidRPr="001416AF">
        <w:rPr>
          <w:rFonts w:ascii="Palatino Linotype" w:hAnsi="Palatino Linotype" w:cs="Arial"/>
          <w:b/>
          <w:i/>
          <w:sz w:val="24"/>
          <w:szCs w:val="24"/>
          <w:lang w:val="es-ES_tradnl"/>
        </w:rPr>
        <w:t>(…)</w:t>
      </w:r>
    </w:p>
    <w:p w:rsidR="00E05F7E" w:rsidRPr="001416AF" w:rsidRDefault="00E05F7E" w:rsidP="00E05F7E">
      <w:pPr>
        <w:spacing w:before="240" w:after="0" w:line="360" w:lineRule="auto"/>
        <w:ind w:left="851" w:right="851"/>
        <w:jc w:val="both"/>
        <w:rPr>
          <w:rFonts w:ascii="Palatino Linotype" w:hAnsi="Palatino Linotype" w:cs="Arial"/>
          <w:b/>
          <w:i/>
          <w:sz w:val="24"/>
          <w:szCs w:val="24"/>
          <w:lang w:val="es-ES_tradnl"/>
        </w:rPr>
      </w:pPr>
      <w:r w:rsidRPr="001416AF">
        <w:rPr>
          <w:rFonts w:ascii="Palatino Linotype" w:hAnsi="Palatino Linotype" w:cs="Arial"/>
          <w:b/>
          <w:i/>
          <w:sz w:val="24"/>
          <w:szCs w:val="24"/>
          <w:u w:val="single"/>
          <w:lang w:val="es-ES_tradnl"/>
        </w:rPr>
        <w:t>XLV. Versión pública:</w:t>
      </w:r>
      <w:r w:rsidRPr="001416AF">
        <w:rPr>
          <w:rFonts w:ascii="Palatino Linotype" w:hAnsi="Palatino Linotype" w:cs="Arial"/>
          <w:b/>
          <w:i/>
          <w:sz w:val="24"/>
          <w:szCs w:val="24"/>
          <w:lang w:val="es-ES_tradnl"/>
        </w:rPr>
        <w:t xml:space="preserve"> </w:t>
      </w:r>
      <w:r w:rsidRPr="001416AF">
        <w:rPr>
          <w:rFonts w:ascii="Palatino Linotype" w:hAnsi="Palatino Linotype" w:cs="Arial"/>
          <w:i/>
          <w:sz w:val="24"/>
          <w:szCs w:val="24"/>
          <w:lang w:val="es-ES_tradnl"/>
        </w:rPr>
        <w:t>Documento en el que se elimine, suprime o borra la información clasificada como reservada o confidencial para permitir su acceso.</w:t>
      </w:r>
    </w:p>
    <w:p w:rsidR="00E05F7E" w:rsidRPr="001416AF" w:rsidRDefault="00E05F7E" w:rsidP="00E05F7E">
      <w:pPr>
        <w:spacing w:before="240" w:after="0" w:line="360" w:lineRule="auto"/>
        <w:ind w:left="851" w:right="851"/>
        <w:jc w:val="both"/>
        <w:rPr>
          <w:rFonts w:ascii="Palatino Linotype" w:hAnsi="Palatino Linotype" w:cs="Arial"/>
          <w:b/>
          <w:i/>
          <w:sz w:val="24"/>
          <w:szCs w:val="24"/>
          <w:lang w:val="es-ES_tradnl"/>
        </w:rPr>
      </w:pPr>
      <w:r w:rsidRPr="001416AF">
        <w:rPr>
          <w:rFonts w:ascii="Palatino Linotype" w:hAnsi="Palatino Linotype" w:cs="Arial"/>
          <w:i/>
          <w:sz w:val="24"/>
          <w:szCs w:val="24"/>
          <w:lang w:val="es-ES_tradnl"/>
        </w:rPr>
        <w:t xml:space="preserve">Artículo 122. </w:t>
      </w:r>
      <w:r w:rsidRPr="001416AF">
        <w:rPr>
          <w:rFonts w:ascii="Palatino Linotype" w:hAnsi="Palatino Linotype" w:cs="Arial"/>
          <w:b/>
          <w:i/>
          <w:sz w:val="24"/>
          <w:szCs w:val="24"/>
          <w:u w:val="single"/>
          <w:lang w:val="es-ES_tradnl"/>
        </w:rPr>
        <w:t xml:space="preserve">La clasificación es el proceso mediante el cual el sujeto obligado determina que la información en su poder actualiza alguno </w:t>
      </w:r>
      <w:r w:rsidRPr="001416AF">
        <w:rPr>
          <w:rFonts w:ascii="Palatino Linotype" w:hAnsi="Palatino Linotype" w:cs="Arial"/>
          <w:b/>
          <w:i/>
          <w:sz w:val="24"/>
          <w:szCs w:val="24"/>
          <w:u w:val="single"/>
          <w:lang w:val="es-ES_tradnl"/>
        </w:rPr>
        <w:lastRenderedPageBreak/>
        <w:t>de los supuestos de reserva o confidencialidad, de conformidad con lo dispuesto en el presente título.</w:t>
      </w:r>
    </w:p>
    <w:p w:rsidR="00E05F7E" w:rsidRPr="001416AF" w:rsidRDefault="00E05F7E" w:rsidP="00E05F7E">
      <w:pPr>
        <w:spacing w:before="240" w:after="0" w:line="360" w:lineRule="auto"/>
        <w:ind w:left="851" w:right="851"/>
        <w:jc w:val="both"/>
        <w:rPr>
          <w:rFonts w:ascii="Palatino Linotype" w:hAnsi="Palatino Linotype" w:cs="Arial"/>
          <w:i/>
          <w:sz w:val="24"/>
          <w:szCs w:val="24"/>
          <w:lang w:val="es-ES_tradnl"/>
        </w:rPr>
      </w:pPr>
      <w:r w:rsidRPr="001416AF">
        <w:rPr>
          <w:rFonts w:ascii="Palatino Linotype" w:hAnsi="Palatino Linotype" w:cs="Arial"/>
          <w:i/>
          <w:sz w:val="24"/>
          <w:szCs w:val="24"/>
          <w:lang w:val="es-ES_tradnl"/>
        </w:rPr>
        <w:t>[…]</w:t>
      </w:r>
    </w:p>
    <w:p w:rsidR="00E05F7E" w:rsidRPr="001416AF" w:rsidRDefault="00E05F7E" w:rsidP="00E05F7E">
      <w:pPr>
        <w:spacing w:before="240" w:after="0" w:line="360" w:lineRule="auto"/>
        <w:ind w:left="851" w:right="851"/>
        <w:jc w:val="both"/>
        <w:rPr>
          <w:rFonts w:ascii="Palatino Linotype" w:hAnsi="Palatino Linotype" w:cs="Arial"/>
          <w:i/>
          <w:sz w:val="24"/>
          <w:szCs w:val="24"/>
          <w:lang w:val="es-ES_tradnl"/>
        </w:rPr>
      </w:pPr>
      <w:r w:rsidRPr="001416AF">
        <w:rPr>
          <w:rFonts w:ascii="Palatino Linotype" w:hAnsi="Palatino Linotype" w:cs="Arial"/>
          <w:i/>
          <w:sz w:val="24"/>
          <w:szCs w:val="24"/>
          <w:lang w:val="es-ES_tradnl"/>
        </w:rPr>
        <w:t>Artículo 132. La clasificación de la información se llevará a cabo en el momento en que:</w:t>
      </w:r>
    </w:p>
    <w:p w:rsidR="00E05F7E" w:rsidRPr="001416AF" w:rsidRDefault="00E05F7E" w:rsidP="00E05F7E">
      <w:pPr>
        <w:spacing w:before="240" w:after="0" w:line="360" w:lineRule="auto"/>
        <w:ind w:left="851" w:right="851"/>
        <w:jc w:val="both"/>
        <w:rPr>
          <w:rFonts w:ascii="Palatino Linotype" w:hAnsi="Palatino Linotype" w:cs="Arial"/>
          <w:i/>
          <w:sz w:val="24"/>
          <w:szCs w:val="24"/>
          <w:lang w:val="es-ES_tradnl"/>
        </w:rPr>
      </w:pPr>
      <w:r w:rsidRPr="001416AF">
        <w:rPr>
          <w:rFonts w:ascii="Palatino Linotype" w:hAnsi="Palatino Linotype" w:cs="Arial"/>
          <w:i/>
          <w:sz w:val="24"/>
          <w:szCs w:val="24"/>
          <w:lang w:val="es-ES_tradnl"/>
        </w:rPr>
        <w:t>[…]</w:t>
      </w:r>
    </w:p>
    <w:p w:rsidR="00E05F7E" w:rsidRPr="001416AF" w:rsidRDefault="00E05F7E" w:rsidP="00E05F7E">
      <w:pPr>
        <w:spacing w:before="240" w:after="0" w:line="360" w:lineRule="auto"/>
        <w:ind w:left="851" w:right="851"/>
        <w:jc w:val="both"/>
        <w:rPr>
          <w:rFonts w:ascii="Palatino Linotype" w:hAnsi="Palatino Linotype" w:cs="Arial"/>
          <w:b/>
          <w:i/>
          <w:sz w:val="24"/>
          <w:szCs w:val="24"/>
          <w:u w:val="single"/>
          <w:lang w:val="es-ES_tradnl"/>
        </w:rPr>
      </w:pPr>
      <w:r w:rsidRPr="001416AF">
        <w:rPr>
          <w:rFonts w:ascii="Palatino Linotype" w:hAnsi="Palatino Linotype" w:cs="Arial"/>
          <w:b/>
          <w:i/>
          <w:sz w:val="24"/>
          <w:szCs w:val="24"/>
          <w:u w:val="single"/>
          <w:lang w:val="es-ES_tradnl"/>
        </w:rPr>
        <w:t>II. Se determine mediante resolución de autoridad competente; o</w:t>
      </w:r>
    </w:p>
    <w:p w:rsidR="00E05F7E" w:rsidRPr="001416AF" w:rsidRDefault="00E05F7E" w:rsidP="00E05F7E">
      <w:pPr>
        <w:spacing w:before="240" w:after="0" w:line="360" w:lineRule="auto"/>
        <w:ind w:left="851" w:right="851"/>
        <w:jc w:val="both"/>
        <w:rPr>
          <w:rFonts w:ascii="Palatino Linotype" w:hAnsi="Palatino Linotype" w:cs="Arial"/>
          <w:b/>
          <w:i/>
          <w:sz w:val="24"/>
          <w:szCs w:val="24"/>
          <w:lang w:val="es-ES_tradnl"/>
        </w:rPr>
      </w:pPr>
      <w:r w:rsidRPr="001416AF">
        <w:rPr>
          <w:rFonts w:ascii="Palatino Linotype" w:hAnsi="Palatino Linotype" w:cs="Arial"/>
          <w:b/>
          <w:i/>
          <w:sz w:val="24"/>
          <w:szCs w:val="24"/>
          <w:lang w:val="es-ES_tradnl"/>
        </w:rPr>
        <w:t>(…)</w:t>
      </w:r>
    </w:p>
    <w:p w:rsidR="00E05F7E" w:rsidRPr="001416AF" w:rsidRDefault="00E05F7E" w:rsidP="00E05F7E">
      <w:pPr>
        <w:spacing w:before="240" w:after="0" w:line="360" w:lineRule="auto"/>
        <w:ind w:left="851" w:right="851"/>
        <w:jc w:val="both"/>
        <w:rPr>
          <w:rFonts w:ascii="Palatino Linotype" w:hAnsi="Palatino Linotype" w:cs="Arial"/>
          <w:b/>
          <w:i/>
          <w:sz w:val="24"/>
          <w:szCs w:val="24"/>
          <w:lang w:val="es-ES_tradnl"/>
        </w:rPr>
      </w:pPr>
      <w:r w:rsidRPr="001416AF">
        <w:rPr>
          <w:rFonts w:ascii="Palatino Linotype" w:hAnsi="Palatino Linotype" w:cs="Arial"/>
          <w:i/>
          <w:sz w:val="24"/>
          <w:szCs w:val="24"/>
          <w:lang w:val="es-ES_tradnl"/>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1416AF">
        <w:rPr>
          <w:rFonts w:ascii="Palatino Linotype" w:hAnsi="Palatino Linotype" w:cs="Arial"/>
          <w:b/>
          <w:i/>
          <w:sz w:val="24"/>
          <w:szCs w:val="24"/>
          <w:lang w:val="es-ES_tradnl"/>
        </w:rPr>
        <w:t xml:space="preserve"> </w:t>
      </w:r>
      <w:r w:rsidRPr="001416AF">
        <w:rPr>
          <w:rFonts w:ascii="Palatino Linotype" w:hAnsi="Palatino Linotype" w:cs="Arial"/>
          <w:b/>
          <w:i/>
          <w:sz w:val="24"/>
          <w:szCs w:val="24"/>
          <w:u w:val="single"/>
          <w:lang w:val="es-ES_tradnl"/>
        </w:rPr>
        <w:t xml:space="preserve">de manera genérica y fundando y motivando su clasificación.” </w:t>
      </w:r>
      <w:r w:rsidRPr="001416AF">
        <w:rPr>
          <w:rFonts w:ascii="Palatino Linotype" w:hAnsi="Palatino Linotype" w:cs="Arial"/>
          <w:b/>
          <w:i/>
          <w:sz w:val="24"/>
          <w:szCs w:val="24"/>
          <w:lang w:val="es-ES_tradnl"/>
        </w:rPr>
        <w:t>[Sic]</w:t>
      </w:r>
    </w:p>
    <w:p w:rsidR="00E05F7E" w:rsidRPr="001416AF" w:rsidRDefault="00E05F7E" w:rsidP="00E05F7E">
      <w:pPr>
        <w:spacing w:after="0" w:line="360" w:lineRule="auto"/>
        <w:ind w:right="51"/>
        <w:jc w:val="both"/>
        <w:rPr>
          <w:rFonts w:ascii="Palatino Linotype" w:eastAsia="Arial Unicode MS" w:hAnsi="Palatino Linotype" w:cs="Arial"/>
          <w:sz w:val="24"/>
          <w:szCs w:val="24"/>
          <w:lang w:val="es-ES_tradnl"/>
        </w:rPr>
      </w:pPr>
    </w:p>
    <w:p w:rsidR="00E05F7E" w:rsidRPr="001416AF" w:rsidRDefault="00E05F7E" w:rsidP="00E05F7E">
      <w:pPr>
        <w:spacing w:after="0" w:line="360" w:lineRule="auto"/>
        <w:jc w:val="both"/>
        <w:rPr>
          <w:rFonts w:ascii="Palatino Linotype" w:eastAsia="Times New Roman" w:hAnsi="Palatino Linotype" w:cs="Arial"/>
          <w:sz w:val="24"/>
          <w:szCs w:val="24"/>
          <w:lang w:val="es-ES" w:eastAsia="es-ES"/>
        </w:rPr>
      </w:pPr>
      <w:r w:rsidRPr="001416AF">
        <w:rPr>
          <w:rFonts w:ascii="Palatino Linotype" w:eastAsia="Times New Roman" w:hAnsi="Palatino Linotype" w:cs="Arial"/>
          <w:sz w:val="24"/>
          <w:szCs w:val="24"/>
          <w:lang w:val="es-ES" w:eastAsia="es-ES"/>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E05F7E" w:rsidRPr="001416AF" w:rsidRDefault="00E05F7E" w:rsidP="00E05F7E">
      <w:pPr>
        <w:spacing w:after="0" w:line="360" w:lineRule="auto"/>
        <w:ind w:right="51"/>
        <w:jc w:val="both"/>
        <w:rPr>
          <w:rFonts w:ascii="Palatino Linotype" w:hAnsi="Palatino Linotype" w:cs="Arial"/>
          <w:sz w:val="24"/>
          <w:szCs w:val="24"/>
          <w:lang w:val="es-ES_tradnl"/>
        </w:rPr>
      </w:pPr>
    </w:p>
    <w:p w:rsidR="00E05F7E" w:rsidRPr="001416AF" w:rsidRDefault="00E05F7E" w:rsidP="00E05F7E">
      <w:pPr>
        <w:spacing w:after="0" w:line="360" w:lineRule="auto"/>
        <w:ind w:right="51"/>
        <w:jc w:val="both"/>
        <w:rPr>
          <w:rFonts w:ascii="Palatino Linotype" w:eastAsia="Arial Unicode MS" w:hAnsi="Palatino Linotype" w:cs="Arial"/>
          <w:sz w:val="24"/>
          <w:szCs w:val="24"/>
          <w:lang w:val="es-ES_tradnl"/>
        </w:rPr>
      </w:pPr>
      <w:r w:rsidRPr="001416AF">
        <w:rPr>
          <w:rFonts w:ascii="Palatino Linotype" w:hAnsi="Palatino Linotype" w:cs="Arial"/>
          <w:sz w:val="24"/>
          <w:szCs w:val="24"/>
          <w:lang w:val="es-ES_tradnl"/>
        </w:rPr>
        <w:t xml:space="preserve">Lo anterior, sólo en caso de advertir información susceptible de clasificar, por ende, resulta necesario que el Comité de Transparencia del Sujeto Obligado emita el </w:t>
      </w:r>
      <w:r w:rsidRPr="001416AF">
        <w:rPr>
          <w:rFonts w:ascii="Palatino Linotype" w:hAnsi="Palatino Linotype" w:cs="Arial"/>
          <w:sz w:val="24"/>
          <w:szCs w:val="24"/>
          <w:lang w:val="es-ES_tradnl"/>
        </w:rPr>
        <w:lastRenderedPageBreak/>
        <w:t xml:space="preserve">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1416AF">
        <w:rPr>
          <w:rFonts w:ascii="Palatino Linotype" w:hAnsi="Palatino Linotype" w:cs="Arial"/>
          <w:b/>
          <w:sz w:val="24"/>
          <w:szCs w:val="24"/>
          <w:lang w:val="es-ES_tradnl"/>
        </w:rPr>
        <w:t>LINEAMIENTOS GENERALES EN MATERIA DE CLASIFICACIÓN Y DESCLASIFICACIÓN DE LA INFORMACIÓN, ASÍ COMO PARA LA ELABORACIÓN DE VERSIONES PÚBLICAS,</w:t>
      </w:r>
      <w:r w:rsidRPr="001416AF">
        <w:rPr>
          <w:rFonts w:ascii="Palatino Linotype" w:hAnsi="Palatino Linotype" w:cs="Arial"/>
          <w:sz w:val="24"/>
          <w:szCs w:val="24"/>
          <w:lang w:val="es-ES_tradnl"/>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E05F7E" w:rsidRPr="001416AF" w:rsidRDefault="00E05F7E" w:rsidP="00E05F7E">
      <w:pPr>
        <w:spacing w:after="0" w:line="360" w:lineRule="auto"/>
        <w:jc w:val="both"/>
        <w:rPr>
          <w:rFonts w:ascii="Palatino Linotype" w:eastAsia="Palatino Linotype" w:hAnsi="Palatino Linotype" w:cs="Palatino Linotype"/>
          <w:sz w:val="24"/>
          <w:szCs w:val="24"/>
          <w:lang w:eastAsia="en-US"/>
        </w:rPr>
      </w:pPr>
    </w:p>
    <w:p w:rsidR="00E05F7E" w:rsidRPr="001416AF" w:rsidRDefault="00E05F7E" w:rsidP="00E05F7E">
      <w:pPr>
        <w:numPr>
          <w:ilvl w:val="0"/>
          <w:numId w:val="3"/>
        </w:numPr>
        <w:tabs>
          <w:tab w:val="left" w:pos="7938"/>
        </w:tabs>
        <w:spacing w:after="0" w:line="360" w:lineRule="auto"/>
        <w:ind w:left="426"/>
        <w:jc w:val="both"/>
        <w:rPr>
          <w:rFonts w:asciiTheme="minorHAnsi" w:eastAsiaTheme="minorHAnsi" w:hAnsiTheme="minorHAnsi" w:cstheme="minorBidi"/>
          <w:b/>
          <w:sz w:val="28"/>
          <w:szCs w:val="28"/>
          <w:lang w:eastAsia="en-US"/>
        </w:rPr>
      </w:pPr>
      <w:r w:rsidRPr="001416AF">
        <w:rPr>
          <w:rFonts w:ascii="Palatino Linotype" w:eastAsia="Palatino Linotype" w:hAnsi="Palatino Linotype" w:cs="Palatino Linotype"/>
          <w:b/>
          <w:sz w:val="28"/>
          <w:szCs w:val="28"/>
          <w:lang w:eastAsia="en-US"/>
        </w:rPr>
        <w:t>De la vista a los órganos de control interno competentes.</w:t>
      </w:r>
    </w:p>
    <w:p w:rsidR="00E05F7E" w:rsidRPr="001416AF" w:rsidRDefault="00E05F7E" w:rsidP="00E05F7E">
      <w:pPr>
        <w:spacing w:line="360" w:lineRule="auto"/>
        <w:ind w:right="49"/>
        <w:jc w:val="both"/>
        <w:rPr>
          <w:rFonts w:ascii="Palatino Linotype" w:eastAsia="Palatino Linotype" w:hAnsi="Palatino Linotype" w:cs="Palatino Linotype"/>
          <w:sz w:val="24"/>
          <w:szCs w:val="24"/>
          <w:lang w:eastAsia="en-US"/>
        </w:rPr>
      </w:pPr>
      <w:r w:rsidRPr="001416AF">
        <w:rPr>
          <w:rFonts w:ascii="Palatino Linotype" w:eastAsia="Palatino Linotype" w:hAnsi="Palatino Linotype" w:cs="Palatino Linotype"/>
          <w:sz w:val="24"/>
          <w:szCs w:val="24"/>
          <w:lang w:eastAsia="en-US"/>
        </w:rPr>
        <w:t>Como ya se mencionó el</w:t>
      </w:r>
      <w:r w:rsidRPr="001416AF">
        <w:rPr>
          <w:rFonts w:ascii="Palatino Linotype" w:eastAsia="Palatino Linotype" w:hAnsi="Palatino Linotype" w:cs="Palatino Linotype"/>
          <w:b/>
          <w:sz w:val="24"/>
          <w:szCs w:val="24"/>
          <w:lang w:eastAsia="en-US"/>
        </w:rPr>
        <w:t xml:space="preserve"> Sujeto Obligado</w:t>
      </w:r>
      <w:r w:rsidRPr="001416AF">
        <w:rPr>
          <w:rFonts w:ascii="Palatino Linotype" w:eastAsia="Palatino Linotype" w:hAnsi="Palatino Linotype" w:cs="Palatino Linotype"/>
          <w:sz w:val="24"/>
          <w:szCs w:val="24"/>
          <w:lang w:eastAsia="en-US"/>
        </w:rPr>
        <w:t>, no proporcionó respuesta a la solicitud de acceso a la información pública, en el término previsto en el artículo 163 de la Ley de Transparencia y Acceso a la Información Pública por lo que ordena dar vista</w:t>
      </w:r>
      <w:r w:rsidRPr="001416AF">
        <w:rPr>
          <w:rFonts w:ascii="Palatino Linotype" w:eastAsia="Palatino Linotype" w:hAnsi="Palatino Linotype" w:cs="Palatino Linotype"/>
          <w:b/>
          <w:sz w:val="24"/>
          <w:szCs w:val="24"/>
          <w:lang w:eastAsia="en-US"/>
        </w:rPr>
        <w:t xml:space="preserve"> </w:t>
      </w:r>
      <w:r w:rsidRPr="001416AF">
        <w:rPr>
          <w:rFonts w:ascii="Palatino Linotype" w:eastAsia="Palatino Linotype" w:hAnsi="Palatino Linotype" w:cs="Palatino Linotype"/>
          <w:sz w:val="24"/>
          <w:szCs w:val="24"/>
          <w:lang w:eastAsia="en-US"/>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E05F7E" w:rsidRPr="001416AF" w:rsidRDefault="00E05F7E" w:rsidP="00E05F7E">
      <w:pPr>
        <w:spacing w:line="360" w:lineRule="auto"/>
        <w:ind w:right="49"/>
        <w:jc w:val="both"/>
        <w:rPr>
          <w:rFonts w:ascii="Palatino Linotype" w:eastAsia="Palatino Linotype" w:hAnsi="Palatino Linotype" w:cs="Palatino Linotype"/>
          <w:sz w:val="24"/>
          <w:szCs w:val="24"/>
          <w:lang w:eastAsia="en-US"/>
        </w:rPr>
      </w:pPr>
    </w:p>
    <w:p w:rsidR="00E05F7E" w:rsidRPr="001416AF" w:rsidRDefault="00E05F7E" w:rsidP="00E05F7E">
      <w:pPr>
        <w:spacing w:after="0" w:line="360" w:lineRule="auto"/>
        <w:jc w:val="both"/>
        <w:rPr>
          <w:rFonts w:ascii="Palatino Linotype" w:eastAsia="Palatino Linotype" w:hAnsi="Palatino Linotype" w:cs="Palatino Linotype"/>
          <w:sz w:val="24"/>
          <w:szCs w:val="24"/>
          <w:lang w:eastAsia="en-US"/>
        </w:rPr>
      </w:pPr>
      <w:r w:rsidRPr="001416AF">
        <w:rPr>
          <w:rFonts w:ascii="Palatino Linotype" w:eastAsia="Palatino Linotype" w:hAnsi="Palatino Linotype" w:cs="Palatino Linotype"/>
          <w:sz w:val="24"/>
          <w:szCs w:val="24"/>
          <w:lang w:eastAsia="en-US"/>
        </w:rPr>
        <w:t xml:space="preserve">Por lo tanto, de lo expuesto y con fundamento en la fracción IV del artículo 186, de la Ley de Transparencia y Acceso a la Información Pública del Estado de México y </w:t>
      </w:r>
      <w:r w:rsidRPr="001416AF">
        <w:rPr>
          <w:rFonts w:ascii="Palatino Linotype" w:eastAsia="Palatino Linotype" w:hAnsi="Palatino Linotype" w:cs="Palatino Linotype"/>
          <w:sz w:val="24"/>
          <w:szCs w:val="24"/>
          <w:lang w:eastAsia="en-US"/>
        </w:rPr>
        <w:lastRenderedPageBreak/>
        <w:t xml:space="preserve">Municipios, se </w:t>
      </w:r>
      <w:r w:rsidRPr="001416AF">
        <w:rPr>
          <w:rFonts w:ascii="Palatino Linotype" w:eastAsia="Palatino Linotype" w:hAnsi="Palatino Linotype" w:cs="Palatino Linotype"/>
          <w:b/>
          <w:sz w:val="24"/>
          <w:szCs w:val="24"/>
          <w:lang w:eastAsia="en-US"/>
        </w:rPr>
        <w:t>ORDENA</w:t>
      </w:r>
      <w:r w:rsidRPr="001416AF">
        <w:rPr>
          <w:rFonts w:ascii="Palatino Linotype" w:eastAsia="Palatino Linotype" w:hAnsi="Palatino Linotype" w:cs="Palatino Linotype"/>
          <w:sz w:val="24"/>
          <w:szCs w:val="24"/>
          <w:lang w:eastAsia="en-US"/>
        </w:rPr>
        <w:t xml:space="preserve"> al </w:t>
      </w:r>
      <w:r w:rsidRPr="001416AF">
        <w:rPr>
          <w:rFonts w:ascii="Palatino Linotype" w:eastAsia="Palatino Linotype" w:hAnsi="Palatino Linotype" w:cs="Palatino Linotype"/>
          <w:b/>
          <w:sz w:val="24"/>
          <w:szCs w:val="24"/>
          <w:lang w:eastAsia="en-US"/>
        </w:rPr>
        <w:t>Sujeto Obligado</w:t>
      </w:r>
      <w:r w:rsidRPr="001416AF">
        <w:rPr>
          <w:rFonts w:ascii="Palatino Linotype" w:eastAsia="Palatino Linotype" w:hAnsi="Palatino Linotype" w:cs="Palatino Linotype"/>
          <w:sz w:val="24"/>
          <w:szCs w:val="24"/>
          <w:lang w:eastAsia="en-US"/>
        </w:rPr>
        <w:t xml:space="preserve">, atienda las solicitudes de información </w:t>
      </w:r>
      <w:r w:rsidRPr="001416AF">
        <w:rPr>
          <w:rFonts w:ascii="Palatino Linotype" w:eastAsia="Palatino Linotype" w:hAnsi="Palatino Linotype" w:cs="Palatino Linotype"/>
          <w:b/>
          <w:sz w:val="24"/>
          <w:szCs w:val="24"/>
          <w:lang w:eastAsia="en-US"/>
        </w:rPr>
        <w:t xml:space="preserve">00469/TEPOTZOT/IP/2026, </w:t>
      </w:r>
      <w:r w:rsidRPr="001416AF">
        <w:rPr>
          <w:rFonts w:ascii="Palatino Linotype" w:eastAsia="Palatino Linotype" w:hAnsi="Palatino Linotype" w:cs="Palatino Linotype"/>
          <w:sz w:val="24"/>
          <w:szCs w:val="24"/>
          <w:lang w:eastAsia="en-US"/>
        </w:rPr>
        <w:t>que han sido materia del presente fallo.</w:t>
      </w:r>
    </w:p>
    <w:p w:rsidR="00E05F7E" w:rsidRPr="001416AF" w:rsidRDefault="00E05F7E" w:rsidP="00E05F7E">
      <w:pPr>
        <w:spacing w:after="0" w:line="360" w:lineRule="auto"/>
        <w:jc w:val="both"/>
        <w:rPr>
          <w:rFonts w:ascii="Palatino Linotype" w:eastAsia="Palatino Linotype" w:hAnsi="Palatino Linotype" w:cs="Palatino Linotype"/>
          <w:sz w:val="24"/>
          <w:szCs w:val="24"/>
          <w:lang w:eastAsia="en-US"/>
        </w:rPr>
      </w:pPr>
    </w:p>
    <w:p w:rsidR="00E05F7E" w:rsidRPr="001416AF" w:rsidRDefault="00E05F7E" w:rsidP="00E05F7E">
      <w:pPr>
        <w:spacing w:after="0" w:line="360" w:lineRule="auto"/>
        <w:jc w:val="both"/>
        <w:rPr>
          <w:rFonts w:ascii="Palatino Linotype" w:eastAsia="Palatino Linotype" w:hAnsi="Palatino Linotype" w:cs="Palatino Linotype"/>
          <w:sz w:val="24"/>
          <w:szCs w:val="24"/>
          <w:lang w:eastAsia="en-US"/>
        </w:rPr>
      </w:pPr>
      <w:r w:rsidRPr="001416AF">
        <w:rPr>
          <w:rFonts w:ascii="Palatino Linotype" w:eastAsia="Palatino Linotype" w:hAnsi="Palatino Linotype" w:cs="Palatino Linotype"/>
          <w:sz w:val="24"/>
          <w:szCs w:val="24"/>
          <w:lang w:eastAsia="en-US"/>
        </w:rPr>
        <w:t>Por lo antes expuesto y fundado es de resolverse y,</w:t>
      </w:r>
    </w:p>
    <w:p w:rsidR="00E05F7E" w:rsidRPr="001416AF" w:rsidRDefault="00E05F7E" w:rsidP="00E05F7E">
      <w:pPr>
        <w:spacing w:after="0" w:line="360" w:lineRule="auto"/>
        <w:jc w:val="both"/>
        <w:rPr>
          <w:rFonts w:ascii="Palatino Linotype" w:eastAsia="Palatino Linotype" w:hAnsi="Palatino Linotype" w:cs="Palatino Linotype"/>
          <w:sz w:val="24"/>
          <w:szCs w:val="24"/>
          <w:lang w:eastAsia="en-US"/>
        </w:rPr>
      </w:pPr>
    </w:p>
    <w:p w:rsidR="00E05F7E" w:rsidRPr="001416AF" w:rsidRDefault="00E05F7E" w:rsidP="00E05F7E">
      <w:pPr>
        <w:spacing w:after="0" w:line="360" w:lineRule="auto"/>
        <w:ind w:left="426"/>
        <w:jc w:val="center"/>
        <w:rPr>
          <w:rFonts w:ascii="Palatino Linotype" w:eastAsia="Palatino Linotype" w:hAnsi="Palatino Linotype" w:cs="Palatino Linotype"/>
          <w:b/>
          <w:color w:val="000000"/>
          <w:sz w:val="28"/>
          <w:szCs w:val="28"/>
          <w:lang w:eastAsia="en-US"/>
        </w:rPr>
      </w:pPr>
      <w:r w:rsidRPr="001416AF">
        <w:rPr>
          <w:rFonts w:ascii="Palatino Linotype" w:eastAsia="Palatino Linotype" w:hAnsi="Palatino Linotype" w:cs="Palatino Linotype"/>
          <w:b/>
          <w:color w:val="000000"/>
          <w:sz w:val="28"/>
          <w:szCs w:val="28"/>
          <w:lang w:eastAsia="en-US"/>
        </w:rPr>
        <w:t>SE    RESUELVE</w:t>
      </w:r>
    </w:p>
    <w:p w:rsidR="00E05F7E" w:rsidRPr="001416AF" w:rsidRDefault="00E05F7E" w:rsidP="00E05F7E">
      <w:pPr>
        <w:tabs>
          <w:tab w:val="left" w:pos="8647"/>
        </w:tabs>
        <w:spacing w:after="0" w:line="360" w:lineRule="auto"/>
        <w:ind w:right="51"/>
        <w:jc w:val="both"/>
        <w:rPr>
          <w:rFonts w:ascii="Palatino Linotype" w:eastAsia="Palatino Linotype" w:hAnsi="Palatino Linotype" w:cs="Palatino Linotype"/>
          <w:sz w:val="24"/>
          <w:szCs w:val="24"/>
          <w:lang w:eastAsia="en-US"/>
        </w:rPr>
      </w:pPr>
      <w:r w:rsidRPr="001416AF">
        <w:rPr>
          <w:rFonts w:ascii="Palatino Linotype" w:eastAsia="Palatino Linotype" w:hAnsi="Palatino Linotype" w:cs="Palatino Linotype"/>
          <w:b/>
          <w:sz w:val="28"/>
          <w:szCs w:val="28"/>
          <w:lang w:eastAsia="en-US"/>
        </w:rPr>
        <w:t>PRIMERO.</w:t>
      </w:r>
      <w:r w:rsidRPr="001416AF">
        <w:rPr>
          <w:rFonts w:ascii="Palatino Linotype" w:eastAsia="Palatino Linotype" w:hAnsi="Palatino Linotype" w:cs="Palatino Linotype"/>
          <w:sz w:val="24"/>
          <w:szCs w:val="24"/>
          <w:lang w:eastAsia="en-US"/>
        </w:rPr>
        <w:t xml:space="preserve"> Resultan fundadas las razones o motivos de inconformidad hechos valer por la parte </w:t>
      </w:r>
      <w:r w:rsidRPr="001416AF">
        <w:rPr>
          <w:rFonts w:ascii="Palatino Linotype" w:eastAsia="Palatino Linotype" w:hAnsi="Palatino Linotype" w:cs="Palatino Linotype"/>
          <w:b/>
          <w:sz w:val="24"/>
          <w:szCs w:val="24"/>
          <w:lang w:eastAsia="en-US"/>
        </w:rPr>
        <w:t>Recurrente,</w:t>
      </w:r>
      <w:r w:rsidRPr="001416AF">
        <w:rPr>
          <w:rFonts w:ascii="Palatino Linotype" w:eastAsia="Palatino Linotype" w:hAnsi="Palatino Linotype" w:cs="Palatino Linotype"/>
          <w:sz w:val="24"/>
          <w:szCs w:val="24"/>
          <w:lang w:eastAsia="en-US"/>
        </w:rPr>
        <w:t xml:space="preserve"> en términos del considerando </w:t>
      </w:r>
      <w:r w:rsidRPr="001416AF">
        <w:rPr>
          <w:rFonts w:ascii="Palatino Linotype" w:eastAsia="Palatino Linotype" w:hAnsi="Palatino Linotype" w:cs="Palatino Linotype"/>
          <w:b/>
          <w:sz w:val="24"/>
          <w:szCs w:val="24"/>
          <w:lang w:eastAsia="en-US"/>
        </w:rPr>
        <w:t>CUARTO</w:t>
      </w:r>
      <w:r w:rsidRPr="001416AF">
        <w:rPr>
          <w:rFonts w:ascii="Palatino Linotype" w:eastAsia="Palatino Linotype" w:hAnsi="Palatino Linotype" w:cs="Palatino Linotype"/>
          <w:sz w:val="24"/>
          <w:szCs w:val="24"/>
          <w:lang w:eastAsia="en-US"/>
        </w:rPr>
        <w:t>, de la presente resolución.</w:t>
      </w:r>
    </w:p>
    <w:p w:rsidR="00E05F7E" w:rsidRPr="001416AF" w:rsidRDefault="00E05F7E" w:rsidP="00E05F7E">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E05F7E" w:rsidRPr="001416AF" w:rsidRDefault="00E05F7E" w:rsidP="00E05F7E">
      <w:pPr>
        <w:tabs>
          <w:tab w:val="left" w:pos="8647"/>
        </w:tabs>
        <w:spacing w:after="0" w:line="360" w:lineRule="auto"/>
        <w:ind w:right="51"/>
        <w:jc w:val="both"/>
        <w:rPr>
          <w:rFonts w:ascii="Palatino Linotype" w:eastAsiaTheme="minorHAnsi" w:hAnsi="Palatino Linotype" w:cstheme="minorBidi"/>
          <w:bCs/>
          <w:sz w:val="24"/>
          <w:lang w:eastAsia="en-US"/>
        </w:rPr>
      </w:pPr>
      <w:r w:rsidRPr="001416AF">
        <w:rPr>
          <w:rFonts w:ascii="Palatino Linotype" w:eastAsia="Palatino Linotype" w:hAnsi="Palatino Linotype" w:cs="Palatino Linotype"/>
          <w:b/>
          <w:sz w:val="28"/>
          <w:szCs w:val="28"/>
          <w:lang w:eastAsia="en-US"/>
        </w:rPr>
        <w:t>SEGUNDO.</w:t>
      </w:r>
      <w:r w:rsidRPr="001416AF">
        <w:rPr>
          <w:rFonts w:ascii="Palatino Linotype" w:eastAsia="Palatino Linotype" w:hAnsi="Palatino Linotype" w:cs="Palatino Linotype"/>
          <w:sz w:val="24"/>
          <w:szCs w:val="24"/>
          <w:lang w:eastAsia="en-US"/>
        </w:rPr>
        <w:t xml:space="preserve"> Se </w:t>
      </w:r>
      <w:r w:rsidRPr="001416AF">
        <w:rPr>
          <w:rFonts w:ascii="Palatino Linotype" w:eastAsia="Palatino Linotype" w:hAnsi="Palatino Linotype" w:cs="Palatino Linotype"/>
          <w:b/>
          <w:sz w:val="24"/>
          <w:szCs w:val="24"/>
          <w:lang w:eastAsia="en-US"/>
        </w:rPr>
        <w:t>ORDENA</w:t>
      </w:r>
      <w:r w:rsidRPr="001416AF">
        <w:rPr>
          <w:rFonts w:ascii="Palatino Linotype" w:eastAsia="Palatino Linotype" w:hAnsi="Palatino Linotype" w:cs="Palatino Linotype"/>
          <w:sz w:val="24"/>
          <w:szCs w:val="24"/>
          <w:lang w:eastAsia="en-US"/>
        </w:rPr>
        <w:t xml:space="preserve"> al </w:t>
      </w:r>
      <w:r w:rsidRPr="001416AF">
        <w:rPr>
          <w:rFonts w:ascii="Palatino Linotype" w:eastAsia="Palatino Linotype" w:hAnsi="Palatino Linotype" w:cs="Palatino Linotype"/>
          <w:b/>
          <w:sz w:val="24"/>
          <w:szCs w:val="24"/>
          <w:lang w:eastAsia="en-US"/>
        </w:rPr>
        <w:t>Sujeto Obligado</w:t>
      </w:r>
      <w:r w:rsidRPr="001416AF">
        <w:rPr>
          <w:rFonts w:ascii="Palatino Linotype" w:eastAsia="Palatino Linotype" w:hAnsi="Palatino Linotype" w:cs="Palatino Linotype"/>
          <w:sz w:val="24"/>
          <w:szCs w:val="24"/>
          <w:lang w:eastAsia="en-US"/>
        </w:rPr>
        <w:t xml:space="preserve"> en las solicitudes de información </w:t>
      </w:r>
      <w:r w:rsidRPr="001416AF">
        <w:rPr>
          <w:rFonts w:ascii="Palatino Linotype" w:eastAsia="Palatino Linotype" w:hAnsi="Palatino Linotype" w:cs="Palatino Linotype"/>
          <w:b/>
          <w:sz w:val="24"/>
          <w:szCs w:val="24"/>
          <w:lang w:eastAsia="en-US"/>
        </w:rPr>
        <w:t xml:space="preserve">00469/TEPOTZOT/IP/2026, </w:t>
      </w:r>
      <w:r w:rsidRPr="001416AF">
        <w:rPr>
          <w:rFonts w:ascii="Palatino Linotype" w:eastAsia="Palatino Linotype" w:hAnsi="Palatino Linotype" w:cs="Palatino Linotype"/>
          <w:sz w:val="24"/>
          <w:szCs w:val="24"/>
          <w:lang w:eastAsia="en-US"/>
        </w:rPr>
        <w:t xml:space="preserve">vía Sistema de Acceso a la Información Mexiquense (SAIMEX), </w:t>
      </w:r>
      <w:r w:rsidRPr="001416AF">
        <w:rPr>
          <w:rFonts w:ascii="Palatino Linotype" w:eastAsiaTheme="minorHAnsi" w:hAnsi="Palatino Linotype" w:cstheme="minorBidi"/>
          <w:bCs/>
        </w:rPr>
        <w:t xml:space="preserve">en </w:t>
      </w:r>
      <w:r w:rsidRPr="001416AF">
        <w:rPr>
          <w:rFonts w:ascii="Palatino Linotype" w:eastAsiaTheme="minorHAnsi" w:hAnsi="Palatino Linotype" w:cstheme="minorBidi"/>
          <w:bCs/>
          <w:sz w:val="24"/>
        </w:rPr>
        <w:t xml:space="preserve">términos del Considerando </w:t>
      </w:r>
      <w:r w:rsidRPr="001416AF">
        <w:rPr>
          <w:rFonts w:ascii="Palatino Linotype" w:eastAsiaTheme="minorHAnsi" w:hAnsi="Palatino Linotype" w:cstheme="minorBidi"/>
          <w:b/>
          <w:bCs/>
          <w:sz w:val="24"/>
        </w:rPr>
        <w:t>CUARTO</w:t>
      </w:r>
      <w:r w:rsidRPr="001416AF">
        <w:rPr>
          <w:rFonts w:ascii="Palatino Linotype" w:eastAsiaTheme="minorHAnsi" w:hAnsi="Palatino Linotype" w:cstheme="minorBidi"/>
          <w:bCs/>
          <w:sz w:val="24"/>
        </w:rPr>
        <w:t xml:space="preserve"> de esta resolución, </w:t>
      </w:r>
      <w:r w:rsidRPr="001416AF">
        <w:rPr>
          <w:rFonts w:ascii="Palatino Linotype" w:eastAsiaTheme="minorHAnsi" w:hAnsi="Palatino Linotype" w:cs="Arial"/>
          <w:sz w:val="24"/>
          <w:lang w:eastAsia="en-US"/>
        </w:rPr>
        <w:t xml:space="preserve">haga entrega en versión pública de ser procedente, </w:t>
      </w:r>
      <w:r w:rsidR="00F568F3" w:rsidRPr="001416AF">
        <w:rPr>
          <w:rFonts w:ascii="Palatino Linotype" w:eastAsiaTheme="minorHAnsi" w:hAnsi="Palatino Linotype" w:cs="Arial"/>
          <w:sz w:val="24"/>
          <w:lang w:eastAsia="en-US"/>
        </w:rPr>
        <w:t xml:space="preserve">  </w:t>
      </w:r>
      <w:r w:rsidRPr="001416AF">
        <w:rPr>
          <w:rFonts w:ascii="Palatino Linotype" w:eastAsiaTheme="minorHAnsi" w:hAnsi="Palatino Linotype" w:cs="Arial"/>
          <w:sz w:val="24"/>
          <w:lang w:eastAsia="en-US"/>
        </w:rPr>
        <w:t>los documentos donde conste lo siguiente</w:t>
      </w:r>
      <w:r w:rsidRPr="001416AF">
        <w:rPr>
          <w:rFonts w:ascii="Palatino Linotype" w:eastAsiaTheme="minorHAnsi" w:hAnsi="Palatino Linotype" w:cstheme="minorBidi"/>
          <w:bCs/>
          <w:sz w:val="24"/>
          <w:lang w:eastAsia="en-US"/>
        </w:rPr>
        <w:t>:</w:t>
      </w:r>
    </w:p>
    <w:p w:rsidR="00E05F7E" w:rsidRPr="001416AF" w:rsidRDefault="00E05F7E" w:rsidP="00E05F7E">
      <w:pPr>
        <w:tabs>
          <w:tab w:val="left" w:pos="8647"/>
        </w:tabs>
        <w:spacing w:after="0" w:line="360" w:lineRule="auto"/>
        <w:ind w:right="51"/>
        <w:jc w:val="both"/>
        <w:rPr>
          <w:rFonts w:ascii="Palatino Linotype" w:eastAsiaTheme="minorHAnsi" w:hAnsi="Palatino Linotype" w:cstheme="minorBidi"/>
          <w:bCs/>
          <w:lang w:eastAsia="en-US"/>
        </w:rPr>
      </w:pPr>
    </w:p>
    <w:p w:rsidR="00E05F7E" w:rsidRPr="001416AF" w:rsidRDefault="00F568F3" w:rsidP="00E05F7E">
      <w:pPr>
        <w:pStyle w:val="Prrafodelista"/>
        <w:numPr>
          <w:ilvl w:val="0"/>
          <w:numId w:val="4"/>
        </w:numPr>
        <w:spacing w:line="360" w:lineRule="auto"/>
        <w:ind w:left="426"/>
        <w:jc w:val="both"/>
        <w:rPr>
          <w:rFonts w:ascii="Palatino Linotype" w:hAnsi="Palatino Linotype" w:cs="Arial"/>
        </w:rPr>
      </w:pPr>
      <w:r w:rsidRPr="001416AF">
        <w:rPr>
          <w:rFonts w:ascii="Palatino Linotype" w:hAnsi="Palatino Linotype" w:cs="Arial"/>
        </w:rPr>
        <w:t>Relación de reglamentos, manuales, lineamientos o políticas internas emitidas, m</w:t>
      </w:r>
      <w:r w:rsidR="0003689E" w:rsidRPr="001416AF">
        <w:rPr>
          <w:rFonts w:ascii="Palatino Linotype" w:hAnsi="Palatino Linotype" w:cs="Arial"/>
        </w:rPr>
        <w:t>odificadas o derogadas durante el año</w:t>
      </w:r>
      <w:r w:rsidRPr="001416AF">
        <w:rPr>
          <w:rFonts w:ascii="Palatino Linotype" w:hAnsi="Palatino Linotype" w:cs="Arial"/>
        </w:rPr>
        <w:t xml:space="preserve"> 2025 y  del primero al veintiséis de enero de 2026.</w:t>
      </w:r>
    </w:p>
    <w:p w:rsidR="00E05F7E" w:rsidRPr="001416AF" w:rsidRDefault="00E05F7E" w:rsidP="00E05F7E">
      <w:pPr>
        <w:spacing w:after="0" w:line="360" w:lineRule="auto"/>
        <w:ind w:left="720" w:right="567"/>
        <w:jc w:val="both"/>
        <w:rPr>
          <w:rFonts w:ascii="Palatino Linotype" w:eastAsiaTheme="minorHAnsi" w:hAnsi="Palatino Linotype" w:cstheme="minorBidi"/>
          <w:i/>
          <w:szCs w:val="14"/>
          <w:lang w:eastAsia="en-US"/>
        </w:rPr>
      </w:pPr>
    </w:p>
    <w:p w:rsidR="00E05F7E" w:rsidRPr="001416AF" w:rsidRDefault="00E05F7E" w:rsidP="00E05F7E">
      <w:pPr>
        <w:spacing w:after="0" w:line="360" w:lineRule="auto"/>
        <w:ind w:left="720" w:right="567"/>
        <w:jc w:val="both"/>
        <w:rPr>
          <w:rFonts w:ascii="Palatino Linotype" w:eastAsiaTheme="minorHAnsi" w:hAnsi="Palatino Linotype" w:cstheme="minorBidi"/>
          <w:i/>
          <w:szCs w:val="14"/>
          <w:lang w:eastAsia="en-US"/>
        </w:rPr>
      </w:pPr>
      <w:r w:rsidRPr="001416AF">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E05F7E" w:rsidRPr="001416AF" w:rsidRDefault="00E05F7E" w:rsidP="001E009B">
      <w:pPr>
        <w:spacing w:after="0" w:line="360" w:lineRule="auto"/>
        <w:ind w:right="567"/>
        <w:jc w:val="both"/>
        <w:rPr>
          <w:rFonts w:ascii="Palatino Linotype" w:eastAsiaTheme="minorHAnsi" w:hAnsi="Palatino Linotype" w:cstheme="minorBidi"/>
          <w:i/>
          <w:szCs w:val="14"/>
          <w:lang w:eastAsia="en-US"/>
        </w:rPr>
      </w:pPr>
    </w:p>
    <w:p w:rsidR="00E05F7E" w:rsidRPr="001416AF" w:rsidRDefault="00E05F7E" w:rsidP="00E05F7E">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E05F7E" w:rsidRPr="001416AF" w:rsidRDefault="00E05F7E" w:rsidP="00E05F7E">
      <w:pPr>
        <w:tabs>
          <w:tab w:val="left" w:pos="8647"/>
        </w:tabs>
        <w:spacing w:after="0" w:line="360" w:lineRule="auto"/>
        <w:ind w:right="51"/>
        <w:jc w:val="both"/>
        <w:rPr>
          <w:rFonts w:ascii="Palatino Linotype" w:eastAsiaTheme="minorHAnsi" w:hAnsi="Palatino Linotype" w:cs="Arial"/>
          <w:sz w:val="24"/>
          <w:szCs w:val="24"/>
          <w:lang w:eastAsia="en-US"/>
        </w:rPr>
      </w:pPr>
      <w:r w:rsidRPr="001416AF">
        <w:rPr>
          <w:rFonts w:ascii="Palatino Linotype" w:eastAsiaTheme="minorHAnsi" w:hAnsi="Palatino Linotype" w:cs="Arial"/>
          <w:b/>
          <w:sz w:val="28"/>
          <w:szCs w:val="24"/>
          <w:lang w:eastAsia="en-US"/>
        </w:rPr>
        <w:t>TERCERO</w:t>
      </w:r>
      <w:r w:rsidRPr="001416AF">
        <w:rPr>
          <w:rFonts w:ascii="Palatino Linotype" w:eastAsiaTheme="minorHAnsi" w:hAnsi="Palatino Linotype" w:cs="Arial"/>
          <w:b/>
          <w:sz w:val="24"/>
          <w:szCs w:val="24"/>
          <w:lang w:eastAsia="en-US"/>
        </w:rPr>
        <w:t>.</w:t>
      </w:r>
      <w:r w:rsidRPr="001416AF">
        <w:rPr>
          <w:rFonts w:ascii="Palatino Linotype" w:eastAsiaTheme="minorHAnsi" w:hAnsi="Palatino Linotype" w:cs="Arial"/>
          <w:sz w:val="24"/>
          <w:szCs w:val="24"/>
          <w:lang w:eastAsia="en-US"/>
        </w:rPr>
        <w:t xml:space="preserve"> </w:t>
      </w:r>
      <w:r w:rsidRPr="001416AF">
        <w:rPr>
          <w:rFonts w:ascii="Palatino Linotype" w:eastAsiaTheme="minorHAnsi" w:hAnsi="Palatino Linotype" w:cs="Arial"/>
          <w:b/>
          <w:sz w:val="24"/>
          <w:szCs w:val="24"/>
          <w:lang w:eastAsia="en-US"/>
        </w:rPr>
        <w:t>Notifíquese</w:t>
      </w:r>
      <w:r w:rsidRPr="001416AF">
        <w:rPr>
          <w:rFonts w:ascii="Palatino Linotype" w:eastAsia="Times New Roman" w:hAnsi="Palatino Linotype" w:cs="Arial"/>
          <w:sz w:val="24"/>
          <w:szCs w:val="24"/>
          <w:lang w:val="es-ES" w:eastAsia="es-ES"/>
        </w:rPr>
        <w:t xml:space="preserve"> a través del SAIMEX,</w:t>
      </w:r>
      <w:r w:rsidRPr="001416AF">
        <w:rPr>
          <w:rFonts w:ascii="Palatino Linotype" w:eastAsiaTheme="minorHAnsi" w:hAnsi="Palatino Linotype" w:cs="Arial"/>
          <w:b/>
          <w:i/>
          <w:sz w:val="24"/>
          <w:szCs w:val="24"/>
          <w:lang w:eastAsia="en-US"/>
        </w:rPr>
        <w:t xml:space="preserve"> </w:t>
      </w:r>
      <w:r w:rsidRPr="001416AF">
        <w:rPr>
          <w:rFonts w:ascii="Palatino Linotype" w:eastAsiaTheme="minorHAnsi" w:hAnsi="Palatino Linotype" w:cs="Arial"/>
          <w:sz w:val="24"/>
          <w:szCs w:val="24"/>
          <w:lang w:eastAsia="en-US"/>
        </w:rPr>
        <w:t>al Titular de la Unidad de Transparencia del</w:t>
      </w:r>
      <w:r w:rsidRPr="001416AF">
        <w:rPr>
          <w:rFonts w:ascii="Palatino Linotype" w:eastAsiaTheme="minorHAnsi" w:hAnsi="Palatino Linotype" w:cs="Arial"/>
          <w:b/>
          <w:sz w:val="24"/>
          <w:szCs w:val="24"/>
          <w:lang w:eastAsia="en-US"/>
        </w:rPr>
        <w:t xml:space="preserve"> Sujeto Obligado</w:t>
      </w:r>
      <w:r w:rsidRPr="001416AF">
        <w:rPr>
          <w:rFonts w:ascii="Palatino Linotype" w:eastAsiaTheme="minorHAnsi" w:hAnsi="Palatino Linotype" w:cs="Arial"/>
          <w:sz w:val="24"/>
          <w:szCs w:val="24"/>
          <w:lang w:eastAsia="en-US"/>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1416AF">
        <w:rPr>
          <w:rFonts w:ascii="Palatino Linotype" w:eastAsiaTheme="minorHAnsi" w:hAnsi="Palatino Linotype" w:cs="Arial"/>
          <w:b/>
          <w:sz w:val="24"/>
          <w:szCs w:val="32"/>
          <w:lang w:val="es-ES_tradnl" w:eastAsia="en-US"/>
        </w:rPr>
        <w:t>y</w:t>
      </w:r>
      <w:r w:rsidRPr="001416AF">
        <w:rPr>
          <w:rFonts w:ascii="Palatino Linotype" w:eastAsiaTheme="minorHAnsi" w:hAnsi="Palatino Linotype" w:cs="Arial"/>
          <w:sz w:val="24"/>
          <w:szCs w:val="32"/>
          <w:lang w:val="es-ES_tradnl" w:eastAsia="en-US"/>
        </w:rPr>
        <w:t xml:space="preserve"> </w:t>
      </w:r>
      <w:r w:rsidRPr="001416AF">
        <w:rPr>
          <w:rFonts w:ascii="Palatino Linotype" w:eastAsia="Palatino Linotype" w:hAnsi="Palatino Linotype" w:cs="Palatino Linotype"/>
          <w:b/>
          <w:color w:val="000000"/>
          <w:sz w:val="24"/>
          <w:lang w:val="es-ES_tradnl" w:eastAsia="en-US"/>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05F7E" w:rsidRPr="001416AF" w:rsidRDefault="00E05F7E" w:rsidP="00E05F7E">
      <w:pPr>
        <w:tabs>
          <w:tab w:val="left" w:pos="8647"/>
        </w:tabs>
        <w:spacing w:after="0" w:line="360" w:lineRule="auto"/>
        <w:ind w:right="51"/>
        <w:jc w:val="both"/>
        <w:rPr>
          <w:rFonts w:ascii="Palatino Linotype" w:eastAsiaTheme="minorHAnsi" w:hAnsi="Palatino Linotype" w:cs="Arial"/>
          <w:sz w:val="24"/>
          <w:szCs w:val="24"/>
          <w:lang w:eastAsia="en-US"/>
        </w:rPr>
      </w:pPr>
    </w:p>
    <w:p w:rsidR="00E05F7E" w:rsidRPr="001416AF" w:rsidRDefault="00E05F7E" w:rsidP="00E05F7E">
      <w:pPr>
        <w:spacing w:after="0" w:line="360" w:lineRule="auto"/>
        <w:jc w:val="both"/>
        <w:rPr>
          <w:rFonts w:ascii="Palatino Linotype" w:eastAsia="Times New Roman" w:hAnsi="Palatino Linotype" w:cs="Arial"/>
          <w:sz w:val="24"/>
          <w:szCs w:val="24"/>
          <w:lang w:val="es-ES" w:eastAsia="es-ES"/>
        </w:rPr>
      </w:pPr>
      <w:r w:rsidRPr="001416AF">
        <w:rPr>
          <w:rFonts w:ascii="Palatino Linotype" w:eastAsia="Times New Roman" w:hAnsi="Palatino Linotype" w:cs="Arial"/>
          <w:b/>
          <w:sz w:val="28"/>
          <w:szCs w:val="24"/>
          <w:lang w:val="es-ES" w:eastAsia="es-ES"/>
        </w:rPr>
        <w:t>CUARTO</w:t>
      </w:r>
      <w:r w:rsidRPr="001416AF">
        <w:rPr>
          <w:rFonts w:ascii="Palatino Linotype" w:eastAsia="Times New Roman" w:hAnsi="Palatino Linotype" w:cs="Arial"/>
          <w:b/>
          <w:sz w:val="24"/>
          <w:szCs w:val="24"/>
          <w:lang w:val="es-ES" w:eastAsia="es-ES"/>
        </w:rPr>
        <w:t>. Notifíquese</w:t>
      </w:r>
      <w:r w:rsidRPr="001416AF">
        <w:rPr>
          <w:rFonts w:ascii="Palatino Linotype" w:eastAsia="Times New Roman" w:hAnsi="Palatino Linotype" w:cs="Arial"/>
          <w:sz w:val="24"/>
          <w:szCs w:val="24"/>
          <w:lang w:val="es-ES" w:eastAsia="es-ES"/>
        </w:rPr>
        <w:t xml:space="preserve"> </w:t>
      </w:r>
      <w:r w:rsidRPr="001416AF">
        <w:rPr>
          <w:rFonts w:ascii="Palatino Linotype" w:eastAsia="Times New Roman" w:hAnsi="Palatino Linotype" w:cs="Arial"/>
          <w:b/>
          <w:sz w:val="24"/>
          <w:szCs w:val="24"/>
          <w:lang w:val="es-ES" w:eastAsia="es-ES"/>
        </w:rPr>
        <w:t>a la Recurrente</w:t>
      </w:r>
      <w:r w:rsidRPr="001416AF">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E05F7E" w:rsidRPr="001416AF" w:rsidRDefault="00E05F7E" w:rsidP="00E05F7E">
      <w:pPr>
        <w:spacing w:after="0" w:line="360" w:lineRule="auto"/>
        <w:jc w:val="both"/>
        <w:rPr>
          <w:rFonts w:ascii="Palatino Linotype" w:eastAsiaTheme="minorHAnsi" w:hAnsi="Palatino Linotype" w:cstheme="minorBidi"/>
          <w:sz w:val="24"/>
          <w:szCs w:val="24"/>
          <w:lang w:eastAsia="es-ES_tradnl"/>
        </w:rPr>
      </w:pPr>
    </w:p>
    <w:p w:rsidR="00E05F7E" w:rsidRPr="001416AF" w:rsidRDefault="00E05F7E" w:rsidP="00E05F7E">
      <w:pPr>
        <w:spacing w:after="0" w:line="360" w:lineRule="auto"/>
        <w:jc w:val="both"/>
        <w:rPr>
          <w:rFonts w:ascii="Palatino Linotype" w:eastAsiaTheme="minorHAnsi" w:hAnsi="Palatino Linotype" w:cs="Times New Roman"/>
          <w:sz w:val="24"/>
          <w:szCs w:val="24"/>
          <w:lang w:eastAsia="es-ES_tradnl"/>
        </w:rPr>
      </w:pPr>
      <w:r w:rsidRPr="001416AF">
        <w:rPr>
          <w:rFonts w:ascii="Palatino Linotype" w:eastAsiaTheme="minorHAnsi" w:hAnsi="Palatino Linotype" w:cs="Times New Roman"/>
          <w:b/>
          <w:sz w:val="28"/>
          <w:szCs w:val="24"/>
          <w:lang w:eastAsia="es-ES_tradnl"/>
        </w:rPr>
        <w:t>QUINTO</w:t>
      </w:r>
      <w:r w:rsidRPr="001416AF">
        <w:rPr>
          <w:rFonts w:ascii="Palatino Linotype" w:eastAsiaTheme="minorHAnsi" w:hAnsi="Palatino Linotype" w:cs="Times New Roman"/>
          <w:b/>
          <w:sz w:val="24"/>
          <w:szCs w:val="24"/>
          <w:lang w:eastAsia="es-ES_tradnl"/>
        </w:rPr>
        <w:t>.</w:t>
      </w:r>
      <w:r w:rsidRPr="001416AF">
        <w:rPr>
          <w:rFonts w:ascii="Palatino Linotype" w:eastAsiaTheme="minorHAnsi" w:hAnsi="Palatino Linotype" w:cs="Times New Roman"/>
          <w:sz w:val="24"/>
          <w:szCs w:val="24"/>
          <w:lang w:eastAsia="es-ES_tradnl"/>
        </w:rPr>
        <w:t xml:space="preserve"> </w:t>
      </w:r>
      <w:r w:rsidRPr="001416AF">
        <w:rPr>
          <w:rFonts w:ascii="Palatino Linotype" w:eastAsiaTheme="minorHAnsi" w:hAnsi="Palatino Linotype" w:cs="Times New Roman"/>
          <w:b/>
          <w:sz w:val="24"/>
          <w:szCs w:val="24"/>
          <w:lang w:eastAsia="es-ES_tradnl"/>
        </w:rPr>
        <w:t>Notifíquese</w:t>
      </w:r>
      <w:r w:rsidRPr="001416AF">
        <w:rPr>
          <w:rFonts w:ascii="Palatino Linotype" w:eastAsiaTheme="minorHAnsi" w:hAnsi="Palatino Linotype" w:cs="Times New Roman"/>
          <w:sz w:val="24"/>
          <w:szCs w:val="24"/>
          <w:lang w:eastAsia="es-ES_tradnl"/>
        </w:rPr>
        <w:t xml:space="preserve"> al </w:t>
      </w:r>
      <w:r w:rsidRPr="001416AF">
        <w:rPr>
          <w:rFonts w:ascii="Palatino Linotype" w:eastAsiaTheme="minorHAnsi" w:hAnsi="Palatino Linotype" w:cs="Times New Roman"/>
          <w:b/>
          <w:sz w:val="24"/>
          <w:szCs w:val="24"/>
          <w:lang w:eastAsia="es-ES_tradnl"/>
        </w:rPr>
        <w:t>Recurrente</w:t>
      </w:r>
      <w:r w:rsidRPr="001416AF">
        <w:rPr>
          <w:rFonts w:ascii="Palatino Linotype" w:eastAsiaTheme="minorHAns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w:t>
      </w:r>
      <w:r w:rsidRPr="001416AF">
        <w:rPr>
          <w:rFonts w:ascii="Palatino Linotype" w:eastAsiaTheme="minorHAnsi" w:hAnsi="Palatino Linotype" w:cs="Times New Roman"/>
          <w:sz w:val="24"/>
          <w:szCs w:val="24"/>
          <w:lang w:eastAsia="es-ES_tradnl"/>
        </w:rPr>
        <w:lastRenderedPageBreak/>
        <w:t xml:space="preserve">Recurso de Revisión ante este Instituto, por la respuesta que proporcione el </w:t>
      </w:r>
      <w:r w:rsidRPr="001416AF">
        <w:rPr>
          <w:rFonts w:ascii="Palatino Linotype" w:eastAsiaTheme="minorHAnsi" w:hAnsi="Palatino Linotype" w:cs="Times New Roman"/>
          <w:b/>
          <w:sz w:val="24"/>
          <w:szCs w:val="24"/>
          <w:lang w:eastAsia="es-ES_tradnl"/>
        </w:rPr>
        <w:t>Sujeto Obligado</w:t>
      </w:r>
      <w:r w:rsidRPr="001416AF">
        <w:rPr>
          <w:rFonts w:ascii="Palatino Linotype" w:eastAsiaTheme="minorHAnsi" w:hAnsi="Palatino Linotype" w:cs="Times New Roman"/>
          <w:sz w:val="24"/>
          <w:szCs w:val="24"/>
          <w:lang w:eastAsia="es-ES_tradnl"/>
        </w:rPr>
        <w:t>, en cumplimiento a esta Resolución.</w:t>
      </w:r>
    </w:p>
    <w:p w:rsidR="00E05F7E" w:rsidRPr="001416AF" w:rsidRDefault="00E05F7E" w:rsidP="00E05F7E">
      <w:pPr>
        <w:spacing w:after="0" w:line="360" w:lineRule="auto"/>
        <w:jc w:val="both"/>
        <w:rPr>
          <w:rFonts w:ascii="Palatino Linotype" w:eastAsiaTheme="minorHAnsi" w:hAnsi="Palatino Linotype" w:cs="Times New Roman"/>
          <w:sz w:val="24"/>
          <w:szCs w:val="24"/>
          <w:lang w:eastAsia="es-ES_tradnl"/>
        </w:rPr>
      </w:pPr>
    </w:p>
    <w:p w:rsidR="00E05F7E" w:rsidRPr="001416AF" w:rsidRDefault="00E05F7E" w:rsidP="00E05F7E">
      <w:pPr>
        <w:spacing w:after="0" w:line="360" w:lineRule="auto"/>
        <w:jc w:val="both"/>
        <w:rPr>
          <w:rFonts w:ascii="Palatino Linotype" w:eastAsiaTheme="minorHAnsi" w:hAnsi="Palatino Linotype" w:cstheme="minorBidi"/>
          <w:sz w:val="24"/>
          <w:szCs w:val="24"/>
          <w:lang w:eastAsia="es-ES_tradnl"/>
        </w:rPr>
      </w:pPr>
      <w:r w:rsidRPr="001416AF">
        <w:rPr>
          <w:rFonts w:ascii="Palatino Linotype" w:eastAsiaTheme="minorHAnsi" w:hAnsi="Palatino Linotype" w:cs="Times New Roman"/>
          <w:b/>
          <w:sz w:val="28"/>
          <w:szCs w:val="24"/>
          <w:lang w:eastAsia="es-ES_tradnl"/>
        </w:rPr>
        <w:t>SEXTO</w:t>
      </w:r>
      <w:r w:rsidRPr="001416AF">
        <w:rPr>
          <w:rFonts w:ascii="Palatino Linotype" w:eastAsiaTheme="minorHAnsi" w:hAnsi="Palatino Linotype" w:cs="Times New Roman"/>
          <w:b/>
          <w:sz w:val="24"/>
          <w:szCs w:val="24"/>
          <w:lang w:eastAsia="es-ES_tradnl"/>
        </w:rPr>
        <w:t xml:space="preserve">. - </w:t>
      </w:r>
      <w:r w:rsidRPr="001416AF">
        <w:rPr>
          <w:rFonts w:ascii="Palatino Linotype" w:eastAsiaTheme="minorHAnsi" w:hAnsi="Palatino Linotype" w:cstheme="minorBidi"/>
          <w:b/>
          <w:sz w:val="24"/>
          <w:szCs w:val="24"/>
          <w:lang w:eastAsia="es-ES_tradnl"/>
        </w:rPr>
        <w:t xml:space="preserve">Gírese </w:t>
      </w:r>
      <w:r w:rsidRPr="001416AF">
        <w:rPr>
          <w:rFonts w:ascii="Palatino Linotype" w:eastAsiaTheme="minorHAnsi" w:hAnsi="Palatino Linotype" w:cstheme="minorBid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1416AF">
        <w:rPr>
          <w:rFonts w:ascii="Palatino Linotype" w:eastAsiaTheme="minorHAnsi" w:hAnsi="Palatino Linotype" w:cstheme="minorBidi"/>
          <w:b/>
          <w:bCs/>
          <w:sz w:val="24"/>
          <w:szCs w:val="24"/>
          <w:lang w:eastAsia="es-ES_tradnl"/>
        </w:rPr>
        <w:t>CUARTO</w:t>
      </w:r>
      <w:r w:rsidRPr="001416AF">
        <w:rPr>
          <w:rFonts w:ascii="Palatino Linotype" w:eastAsiaTheme="minorHAnsi" w:hAnsi="Palatino Linotype" w:cstheme="minorBidi"/>
          <w:sz w:val="24"/>
          <w:szCs w:val="24"/>
          <w:lang w:eastAsia="es-ES_tradnl"/>
        </w:rPr>
        <w:t xml:space="preserve"> de la presente resolución.</w:t>
      </w:r>
    </w:p>
    <w:p w:rsidR="00E05F7E" w:rsidRPr="001416AF" w:rsidRDefault="00E05F7E" w:rsidP="00E05F7E">
      <w:pPr>
        <w:spacing w:after="0" w:line="360" w:lineRule="auto"/>
        <w:jc w:val="both"/>
        <w:rPr>
          <w:rFonts w:ascii="Palatino Linotype" w:eastAsia="Palatino Linotype" w:hAnsi="Palatino Linotype" w:cs="Palatino Linotype"/>
          <w:sz w:val="24"/>
          <w:szCs w:val="24"/>
        </w:rPr>
      </w:pPr>
    </w:p>
    <w:p w:rsidR="00E05F7E" w:rsidRPr="001416AF" w:rsidRDefault="001416AF" w:rsidP="00E05F7E">
      <w:pPr>
        <w:spacing w:after="0" w:line="360" w:lineRule="auto"/>
        <w:jc w:val="both"/>
        <w:rPr>
          <w:rFonts w:ascii="Palatino Linotype" w:eastAsia="Palatino Linotype" w:hAnsi="Palatino Linotype" w:cs="Palatino Linotype"/>
          <w:sz w:val="24"/>
          <w:szCs w:val="24"/>
        </w:rPr>
      </w:pPr>
      <w:r w:rsidRPr="001416AF">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E05F7E" w:rsidRPr="001416AF">
        <w:rPr>
          <w:rFonts w:ascii="Palatino Linotype" w:eastAsia="Palatino Linotype" w:hAnsi="Palatino Linotype" w:cs="Palatino Linotype"/>
          <w:sz w:val="24"/>
          <w:szCs w:val="24"/>
        </w:rPr>
        <w:t>. ------------------------------------------------------------------------------------------------------------------------------------------------------------------------------------------------------------------------------------------------------------------------------------------------------------------------------------</w:t>
      </w:r>
    </w:p>
    <w:p w:rsidR="00E05F7E" w:rsidRPr="00D2150D" w:rsidRDefault="00E05F7E" w:rsidP="00E05F7E">
      <w:pPr>
        <w:spacing w:after="0" w:line="360" w:lineRule="auto"/>
        <w:jc w:val="both"/>
        <w:rPr>
          <w:rFonts w:ascii="Palatino Linotype" w:eastAsia="Palatino Linotype" w:hAnsi="Palatino Linotype" w:cs="Palatino Linotype"/>
          <w:sz w:val="16"/>
          <w:szCs w:val="20"/>
        </w:rPr>
      </w:pPr>
      <w:r w:rsidRPr="001416AF">
        <w:rPr>
          <w:rFonts w:ascii="Palatino Linotype" w:eastAsia="Palatino Linotype" w:hAnsi="Palatino Linotype" w:cs="Palatino Linotype"/>
          <w:sz w:val="16"/>
          <w:szCs w:val="20"/>
        </w:rPr>
        <w:t>JMV/CCR/LMST</w:t>
      </w:r>
    </w:p>
    <w:p w:rsidR="00E05F7E" w:rsidRDefault="00E05F7E" w:rsidP="00E05F7E">
      <w:pPr>
        <w:spacing w:after="0" w:line="360" w:lineRule="auto"/>
        <w:jc w:val="both"/>
        <w:rPr>
          <w:rFonts w:ascii="Palatino Linotype" w:eastAsia="Palatino Linotype" w:hAnsi="Palatino Linotype" w:cs="Palatino Linotype"/>
          <w:sz w:val="24"/>
          <w:szCs w:val="24"/>
        </w:rPr>
      </w:pPr>
    </w:p>
    <w:p w:rsidR="00E05F7E" w:rsidRDefault="00E05F7E" w:rsidP="00E05F7E">
      <w:pPr>
        <w:spacing w:after="0" w:line="360" w:lineRule="auto"/>
        <w:jc w:val="both"/>
        <w:rPr>
          <w:rFonts w:ascii="Palatino Linotype" w:eastAsia="Palatino Linotype" w:hAnsi="Palatino Linotype" w:cs="Palatino Linotype"/>
          <w:sz w:val="24"/>
          <w:szCs w:val="24"/>
        </w:rPr>
      </w:pPr>
    </w:p>
    <w:p w:rsidR="00E05F7E" w:rsidRDefault="00E05F7E" w:rsidP="00E05F7E">
      <w:pPr>
        <w:spacing w:after="0" w:line="360" w:lineRule="auto"/>
        <w:jc w:val="both"/>
        <w:rPr>
          <w:rFonts w:ascii="Palatino Linotype" w:eastAsia="Palatino Linotype" w:hAnsi="Palatino Linotype" w:cs="Palatino Linotype"/>
          <w:sz w:val="24"/>
          <w:szCs w:val="24"/>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rPr>
          <w:rFonts w:ascii="Palatino Linotype" w:eastAsia="Palatino Linotype" w:hAnsi="Palatino Linotype" w:cs="Palatino Linotype"/>
        </w:rPr>
      </w:pPr>
    </w:p>
    <w:p w:rsidR="00E05F7E" w:rsidRDefault="00E05F7E" w:rsidP="00E05F7E">
      <w:pPr>
        <w:spacing w:after="0"/>
      </w:pPr>
    </w:p>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E05F7E" w:rsidRDefault="00E05F7E" w:rsidP="00E05F7E"/>
    <w:p w:rsidR="00110DE2" w:rsidRDefault="00110DE2"/>
    <w:sectPr w:rsidR="00110DE2">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CA6" w:rsidRDefault="00685CA6" w:rsidP="00E05F7E">
      <w:pPr>
        <w:spacing w:after="0" w:line="240" w:lineRule="auto"/>
      </w:pPr>
      <w:r>
        <w:separator/>
      </w:r>
    </w:p>
  </w:endnote>
  <w:endnote w:type="continuationSeparator" w:id="0">
    <w:p w:rsidR="00685CA6" w:rsidRDefault="00685CA6" w:rsidP="00E0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DB" w:rsidRDefault="001E40E8">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E0277">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E0277">
      <w:rPr>
        <w:rFonts w:ascii="Palatino Linotype" w:eastAsia="Palatino Linotype" w:hAnsi="Palatino Linotype" w:cs="Palatino Linotype"/>
        <w:noProof/>
        <w:color w:val="000000"/>
        <w:sz w:val="20"/>
        <w:szCs w:val="20"/>
      </w:rPr>
      <w:t>29</w:t>
    </w:r>
    <w:r>
      <w:rPr>
        <w:rFonts w:ascii="Palatino Linotype" w:eastAsia="Palatino Linotype" w:hAnsi="Palatino Linotype" w:cs="Palatino Linotype"/>
        <w:color w:val="000000"/>
        <w:sz w:val="20"/>
        <w:szCs w:val="20"/>
      </w:rPr>
      <w:fldChar w:fldCharType="end"/>
    </w:r>
  </w:p>
  <w:p w:rsidR="004962DB" w:rsidRDefault="00685CA6">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DB" w:rsidRDefault="001E40E8">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E0277">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E0277">
      <w:rPr>
        <w:rFonts w:ascii="Palatino Linotype" w:eastAsia="Palatino Linotype" w:hAnsi="Palatino Linotype" w:cs="Palatino Linotype"/>
        <w:noProof/>
        <w:color w:val="000000"/>
        <w:sz w:val="20"/>
        <w:szCs w:val="20"/>
      </w:rPr>
      <w:t>29</w:t>
    </w:r>
    <w:r>
      <w:rPr>
        <w:rFonts w:ascii="Palatino Linotype" w:eastAsia="Palatino Linotype" w:hAnsi="Palatino Linotype" w:cs="Palatino Linotype"/>
        <w:color w:val="000000"/>
        <w:sz w:val="20"/>
        <w:szCs w:val="20"/>
      </w:rPr>
      <w:fldChar w:fldCharType="end"/>
    </w:r>
  </w:p>
  <w:p w:rsidR="004962DB" w:rsidRDefault="00685CA6">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CA6" w:rsidRDefault="00685CA6" w:rsidP="00E05F7E">
      <w:pPr>
        <w:spacing w:after="0" w:line="240" w:lineRule="auto"/>
      </w:pPr>
      <w:r>
        <w:separator/>
      </w:r>
    </w:p>
  </w:footnote>
  <w:footnote w:type="continuationSeparator" w:id="0">
    <w:p w:rsidR="00685CA6" w:rsidRDefault="00685CA6" w:rsidP="00E05F7E">
      <w:pPr>
        <w:spacing w:after="0" w:line="240" w:lineRule="auto"/>
      </w:pPr>
      <w:r>
        <w:continuationSeparator/>
      </w:r>
    </w:p>
  </w:footnote>
  <w:footnote w:id="1">
    <w:p w:rsidR="00E05F7E" w:rsidRPr="00946E1F" w:rsidRDefault="00E05F7E" w:rsidP="00E05F7E">
      <w:pPr>
        <w:spacing w:line="240" w:lineRule="auto"/>
        <w:jc w:val="both"/>
        <w:rPr>
          <w:rFonts w:ascii="Palatino Linotype" w:hAnsi="Palatino Linotype"/>
          <w:i/>
          <w:sz w:val="20"/>
          <w:szCs w:val="20"/>
        </w:rPr>
      </w:pPr>
      <w:r>
        <w:rPr>
          <w:rStyle w:val="Refdenotaalpie"/>
          <w:rFonts w:eastAsiaTheme="minorEastAsia"/>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r>
        <w:rPr>
          <w:rFonts w:ascii="Palatino Linotype" w:hAnsi="Palatino Linotype"/>
          <w:b/>
          <w:bCs/>
          <w:i/>
          <w:sz w:val="20"/>
          <w:szCs w:val="20"/>
        </w:rPr>
        <w:t xml:space="preserve"> </w:t>
      </w:r>
      <w:r w:rsidRPr="00946E1F">
        <w:rPr>
          <w:rFonts w:ascii="Palatino Linotype" w:hAnsi="Palatino Linotype"/>
          <w:i/>
          <w:sz w:val="20"/>
          <w:szCs w:val="20"/>
        </w:rPr>
        <w:t>Del examen de compatibilidad de los artículos</w:t>
      </w:r>
      <w:r>
        <w:rPr>
          <w:rFonts w:ascii="Palatino Linotype" w:hAnsi="Palatino Linotype"/>
          <w:i/>
          <w:sz w:val="20"/>
          <w:szCs w:val="20"/>
        </w:rPr>
        <w:t xml:space="preserve"> </w:t>
      </w:r>
      <w:hyperlink r:id="rId1" w:history="1">
        <w:r w:rsidRPr="00946E1F">
          <w:rPr>
            <w:rStyle w:val="Hipervnculo"/>
            <w:rFonts w:ascii="Palatino Linotype" w:hAnsi="Palatino Linotype"/>
            <w:i/>
            <w:sz w:val="20"/>
            <w:szCs w:val="20"/>
          </w:rPr>
          <w:t>73 y 74 de la Ley de Amparo</w:t>
        </w:r>
      </w:hyperlink>
      <w:r>
        <w:rPr>
          <w:rStyle w:val="apple-converted-space"/>
          <w:rFonts w:ascii="Palatino Linotype" w:hAnsi="Palatino Linotype"/>
          <w:i/>
        </w:rPr>
        <w:t xml:space="preserve"> </w:t>
      </w:r>
      <w:r w:rsidRPr="00946E1F">
        <w:rPr>
          <w:rFonts w:ascii="Palatino Linotype" w:hAnsi="Palatino Linotype"/>
          <w:i/>
          <w:sz w:val="20"/>
          <w:szCs w:val="20"/>
        </w:rPr>
        <w:t>con el artículo</w:t>
      </w:r>
      <w:r>
        <w:rPr>
          <w:rFonts w:ascii="Palatino Linotype" w:hAnsi="Palatino Linotype"/>
          <w:i/>
          <w:sz w:val="20"/>
          <w:szCs w:val="20"/>
        </w:rPr>
        <w:t xml:space="preserve"> </w:t>
      </w:r>
      <w:hyperlink r:id="rId2" w:history="1">
        <w:r w:rsidRPr="00946E1F">
          <w:rPr>
            <w:rStyle w:val="Hipervnculo"/>
            <w:rFonts w:ascii="Palatino Linotype" w:hAnsi="Palatino Linotype"/>
            <w:i/>
            <w:sz w:val="20"/>
            <w:szCs w:val="20"/>
          </w:rPr>
          <w:t>25.1 de la Convención Americana sobre Derechos Humanos</w:t>
        </w:r>
      </w:hyperlink>
      <w:r>
        <w:rPr>
          <w:rStyle w:val="apple-converted-space"/>
          <w:rFonts w:ascii="Palatino Linotype" w:hAnsi="Palatino Linotype"/>
          <w:i/>
        </w:rPr>
        <w:t xml:space="preserve">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DB" w:rsidRDefault="00685CA6">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4962DB">
      <w:trPr>
        <w:trHeight w:val="227"/>
      </w:trPr>
      <w:tc>
        <w:tcPr>
          <w:tcW w:w="5246" w:type="dxa"/>
        </w:tcPr>
        <w:p w:rsidR="004962DB" w:rsidRDefault="001E40E8">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Recurso de Revisión N°:</w:t>
          </w:r>
        </w:p>
      </w:tc>
      <w:tc>
        <w:tcPr>
          <w:tcW w:w="4819" w:type="dxa"/>
        </w:tcPr>
        <w:p w:rsidR="004962DB" w:rsidRDefault="001E40E8" w:rsidP="00E05F7E">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02</w:t>
          </w:r>
          <w:r w:rsidR="00E05F7E">
            <w:rPr>
              <w:rFonts w:ascii="Palatino Linotype" w:eastAsia="Palatino Linotype" w:hAnsi="Palatino Linotype" w:cs="Palatino Linotype"/>
              <w:b/>
              <w:sz w:val="24"/>
              <w:szCs w:val="24"/>
            </w:rPr>
            <w:t>320</w:t>
          </w:r>
          <w:r>
            <w:rPr>
              <w:rFonts w:ascii="Palatino Linotype" w:eastAsia="Palatino Linotype" w:hAnsi="Palatino Linotype" w:cs="Palatino Linotype"/>
              <w:b/>
              <w:sz w:val="24"/>
              <w:szCs w:val="24"/>
            </w:rPr>
            <w:t>/INFOEM/IP/RR/2026</w:t>
          </w:r>
        </w:p>
      </w:tc>
    </w:tr>
    <w:tr w:rsidR="004962DB">
      <w:trPr>
        <w:trHeight w:val="242"/>
      </w:trPr>
      <w:tc>
        <w:tcPr>
          <w:tcW w:w="5246" w:type="dxa"/>
        </w:tcPr>
        <w:p w:rsidR="004962DB" w:rsidRDefault="001E40E8">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4962DB" w:rsidRDefault="001E40E8">
          <w:pPr>
            <w:spacing w:after="120" w:line="256" w:lineRule="auto"/>
            <w:ind w:left="-486" w:right="214" w:firstLine="284"/>
            <w:jc w:val="right"/>
            <w:rPr>
              <w:rFonts w:ascii="Palatino Linotype" w:eastAsia="Palatino Linotype" w:hAnsi="Palatino Linotype" w:cs="Palatino Linotype"/>
              <w:b/>
              <w:sz w:val="24"/>
              <w:szCs w:val="24"/>
            </w:rPr>
          </w:pPr>
          <w:r w:rsidRPr="00353F93">
            <w:rPr>
              <w:rFonts w:ascii="Palatino Linotype" w:eastAsia="Palatino Linotype" w:hAnsi="Palatino Linotype" w:cs="Palatino Linotype"/>
              <w:b/>
              <w:color w:val="000000"/>
              <w:sz w:val="24"/>
              <w:szCs w:val="24"/>
            </w:rPr>
            <w:t>Ayuntamiento de Tepotzotlán</w:t>
          </w:r>
        </w:p>
      </w:tc>
    </w:tr>
    <w:tr w:rsidR="004962DB">
      <w:trPr>
        <w:trHeight w:val="342"/>
      </w:trPr>
      <w:tc>
        <w:tcPr>
          <w:tcW w:w="5246" w:type="dxa"/>
        </w:tcPr>
        <w:p w:rsidR="004962DB" w:rsidRDefault="001E40E8">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4962DB" w:rsidRDefault="001E40E8">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4962DB" w:rsidRDefault="001E40E8">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368B8799" wp14:editId="21DDDBB7">
          <wp:simplePos x="0" y="0"/>
          <wp:positionH relativeFrom="page">
            <wp:align>center</wp:align>
          </wp:positionH>
          <wp:positionV relativeFrom="margin">
            <wp:posOffset>-1379219</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62DB" w:rsidRDefault="00685CA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W w:w="9923" w:type="dxa"/>
      <w:tblInd w:w="-851" w:type="dxa"/>
      <w:tblLayout w:type="fixed"/>
      <w:tblLook w:val="0400" w:firstRow="0" w:lastRow="0" w:firstColumn="0" w:lastColumn="0" w:noHBand="0" w:noVBand="1"/>
    </w:tblPr>
    <w:tblGrid>
      <w:gridCol w:w="5104"/>
      <w:gridCol w:w="4819"/>
    </w:tblGrid>
    <w:tr w:rsidR="004962DB">
      <w:trPr>
        <w:trHeight w:val="227"/>
      </w:trPr>
      <w:tc>
        <w:tcPr>
          <w:tcW w:w="5104" w:type="dxa"/>
        </w:tcPr>
        <w:p w:rsidR="004962DB" w:rsidRDefault="001E40E8">
          <w:pPr>
            <w:spacing w:after="120" w:line="256" w:lineRule="auto"/>
            <w:ind w:right="204"/>
            <w:jc w:val="right"/>
            <w:rPr>
              <w:rFonts w:ascii="Palatino Linotype" w:eastAsia="Palatino Linotype" w:hAnsi="Palatino Linotype" w:cs="Palatino Linotype"/>
            </w:rPr>
          </w:pPr>
          <w:bookmarkStart w:id="1" w:name="_30j0zll" w:colFirst="0" w:colLast="0"/>
          <w:bookmarkEnd w:id="1"/>
          <w:r>
            <w:rPr>
              <w:rFonts w:ascii="Palatino Linotype" w:eastAsia="Palatino Linotype" w:hAnsi="Palatino Linotype" w:cs="Palatino Linotype"/>
            </w:rPr>
            <w:t>Recurso de Revisión N°:</w:t>
          </w:r>
        </w:p>
      </w:tc>
      <w:tc>
        <w:tcPr>
          <w:tcW w:w="4819" w:type="dxa"/>
        </w:tcPr>
        <w:p w:rsidR="004962DB" w:rsidRDefault="001E40E8" w:rsidP="00E05F7E">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02</w:t>
          </w:r>
          <w:r w:rsidR="00E05F7E">
            <w:rPr>
              <w:rFonts w:ascii="Palatino Linotype" w:eastAsia="Palatino Linotype" w:hAnsi="Palatino Linotype" w:cs="Palatino Linotype"/>
              <w:b/>
              <w:sz w:val="24"/>
              <w:szCs w:val="24"/>
            </w:rPr>
            <w:t>320</w:t>
          </w:r>
          <w:r>
            <w:rPr>
              <w:rFonts w:ascii="Palatino Linotype" w:eastAsia="Palatino Linotype" w:hAnsi="Palatino Linotype" w:cs="Palatino Linotype"/>
              <w:b/>
              <w:sz w:val="24"/>
              <w:szCs w:val="24"/>
            </w:rPr>
            <w:t>/INFOEM/IP/RR/2026</w:t>
          </w:r>
        </w:p>
      </w:tc>
    </w:tr>
    <w:tr w:rsidR="004962DB">
      <w:trPr>
        <w:trHeight w:val="242"/>
      </w:trPr>
      <w:tc>
        <w:tcPr>
          <w:tcW w:w="5104" w:type="dxa"/>
        </w:tcPr>
        <w:p w:rsidR="004962DB" w:rsidRDefault="001E40E8">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4962DB" w:rsidRDefault="001E40E8">
          <w:pPr>
            <w:spacing w:after="120" w:line="256" w:lineRule="auto"/>
            <w:ind w:left="-486" w:right="214" w:firstLine="284"/>
            <w:jc w:val="right"/>
            <w:rPr>
              <w:rFonts w:ascii="Palatino Linotype" w:eastAsia="Palatino Linotype" w:hAnsi="Palatino Linotype" w:cs="Palatino Linotype"/>
              <w:b/>
            </w:rPr>
          </w:pPr>
          <w:r w:rsidRPr="00353F93">
            <w:rPr>
              <w:rFonts w:ascii="Palatino Linotype" w:eastAsia="Palatino Linotype" w:hAnsi="Palatino Linotype" w:cs="Palatino Linotype"/>
              <w:b/>
              <w:color w:val="000000"/>
              <w:sz w:val="24"/>
              <w:szCs w:val="24"/>
            </w:rPr>
            <w:t>Ayuntamiento de Tepotzotlán</w:t>
          </w:r>
        </w:p>
      </w:tc>
    </w:tr>
    <w:tr w:rsidR="004962DB">
      <w:trPr>
        <w:trHeight w:val="342"/>
      </w:trPr>
      <w:tc>
        <w:tcPr>
          <w:tcW w:w="5104" w:type="dxa"/>
        </w:tcPr>
        <w:p w:rsidR="004962DB" w:rsidRDefault="001E40E8">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4962DB" w:rsidRDefault="008E0277" w:rsidP="004962DB">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w:t>
          </w:r>
          <w:r w:rsidR="001E40E8">
            <w:rPr>
              <w:rFonts w:ascii="Palatino Linotype" w:eastAsia="Palatino Linotype" w:hAnsi="Palatino Linotype" w:cs="Palatino Linotype"/>
              <w:b/>
            </w:rPr>
            <w:t xml:space="preserve"> </w:t>
          </w:r>
          <w:r w:rsidR="001E40E8">
            <w:rPr>
              <w:noProof/>
            </w:rPr>
            <w:drawing>
              <wp:anchor distT="0" distB="0" distL="0" distR="0" simplePos="0" relativeHeight="251660288" behindDoc="1" locked="0" layoutInCell="1" hidden="0" allowOverlap="1" wp14:anchorId="5742BADE" wp14:editId="3607CA1D">
                <wp:simplePos x="0" y="0"/>
                <wp:positionH relativeFrom="column">
                  <wp:posOffset>-3769994</wp:posOffset>
                </wp:positionH>
                <wp:positionV relativeFrom="paragraph">
                  <wp:posOffset>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c>
    </w:tr>
    <w:tr w:rsidR="004962DB">
      <w:trPr>
        <w:trHeight w:val="342"/>
      </w:trPr>
      <w:tc>
        <w:tcPr>
          <w:tcW w:w="5104" w:type="dxa"/>
        </w:tcPr>
        <w:p w:rsidR="004962DB" w:rsidRDefault="001E40E8">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4962DB" w:rsidRDefault="001E40E8">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4962DB" w:rsidRDefault="00685CA6">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53AF2C43"/>
    <w:multiLevelType w:val="hybridMultilevel"/>
    <w:tmpl w:val="A2F4D6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24F33FE"/>
    <w:multiLevelType w:val="hybridMultilevel"/>
    <w:tmpl w:val="B554C4C8"/>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9B058C8"/>
    <w:multiLevelType w:val="hybridMultilevel"/>
    <w:tmpl w:val="687003B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num w:numId="1">
    <w:abstractNumId w:val="2"/>
  </w:num>
  <w:num w:numId="2">
    <w:abstractNumId w:val="0"/>
  </w:num>
  <w:num w:numId="3">
    <w:abstractNumId w:val="4"/>
  </w:num>
  <w:num w:numId="4">
    <w:abstractNumId w:val="3"/>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F7E"/>
    <w:rsid w:val="0003689E"/>
    <w:rsid w:val="00110DE2"/>
    <w:rsid w:val="001416AF"/>
    <w:rsid w:val="001E009B"/>
    <w:rsid w:val="001E40E8"/>
    <w:rsid w:val="0028139B"/>
    <w:rsid w:val="003524E8"/>
    <w:rsid w:val="005B341A"/>
    <w:rsid w:val="005C7401"/>
    <w:rsid w:val="00685CA6"/>
    <w:rsid w:val="008726EB"/>
    <w:rsid w:val="00893427"/>
    <w:rsid w:val="008E0277"/>
    <w:rsid w:val="00E05F7E"/>
    <w:rsid w:val="00F568F3"/>
    <w:rsid w:val="00FA26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FE5BA5-DA7A-481E-A25D-6CE522E6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05F7E"/>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E05F7E"/>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05F7E"/>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05F7E"/>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E05F7E"/>
  </w:style>
  <w:style w:type="character" w:styleId="Hipervnculo">
    <w:name w:val="Hyperlink"/>
    <w:aliases w:val="Hipervínculo1,Hipervínculo11,Hipervínculo12,Hipervínculo13,Hipervínculo14,Hipervínculo15"/>
    <w:basedOn w:val="Fuentedeprrafopredeter"/>
    <w:uiPriority w:val="99"/>
    <w:unhideWhenUsed/>
    <w:rsid w:val="00E05F7E"/>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E05F7E"/>
    <w:rPr>
      <w:vertAlign w:val="superscript"/>
    </w:rPr>
  </w:style>
  <w:style w:type="table" w:customStyle="1" w:styleId="Tablaconcuadrcula1">
    <w:name w:val="Tabla con cuadrícula1"/>
    <w:basedOn w:val="Tablanormal"/>
    <w:next w:val="Tablaconcuadrcula"/>
    <w:uiPriority w:val="39"/>
    <w:rsid w:val="00E05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05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05F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5F7E"/>
    <w:rPr>
      <w:rFonts w:ascii="Calibri" w:eastAsia="Calibri" w:hAnsi="Calibri" w:cs="Calibri"/>
      <w:lang w:eastAsia="es-MX"/>
    </w:rPr>
  </w:style>
  <w:style w:type="paragraph" w:styleId="Piedepgina">
    <w:name w:val="footer"/>
    <w:basedOn w:val="Normal"/>
    <w:link w:val="PiedepginaCar"/>
    <w:uiPriority w:val="99"/>
    <w:unhideWhenUsed/>
    <w:rsid w:val="00E05F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F7E"/>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29</Pages>
  <Words>6527</Words>
  <Characters>35899</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11</cp:revision>
  <cp:lastPrinted>2026-04-23T16:04:00Z</cp:lastPrinted>
  <dcterms:created xsi:type="dcterms:W3CDTF">2026-04-09T20:15:00Z</dcterms:created>
  <dcterms:modified xsi:type="dcterms:W3CDTF">2026-04-28T17:33:00Z</dcterms:modified>
</cp:coreProperties>
</file>