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507" w:rsidRPr="00540584" w:rsidRDefault="001C4B97">
      <w:pPr>
        <w:tabs>
          <w:tab w:val="left" w:pos="3465"/>
        </w:tabs>
        <w:spacing w:line="360" w:lineRule="auto"/>
        <w:jc w:val="both"/>
        <w:rPr>
          <w:rFonts w:ascii="Palatino Linotype" w:eastAsia="Palatino Linotype" w:hAnsi="Palatino Linotype" w:cs="Palatino Linotype"/>
          <w:b/>
        </w:rPr>
      </w:pPr>
      <w:bookmarkStart w:id="0" w:name="_GoBack"/>
      <w:bookmarkEnd w:id="0"/>
      <w:r w:rsidRPr="00987A1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274CD9">
        <w:rPr>
          <w:rFonts w:ascii="Palatino Linotype" w:eastAsia="Palatino Linotype" w:hAnsi="Palatino Linotype" w:cs="Palatino Linotype"/>
        </w:rPr>
        <w:t xml:space="preserve">stado de México; </w:t>
      </w:r>
      <w:r w:rsidR="00274CD9" w:rsidRPr="00540584">
        <w:rPr>
          <w:rFonts w:ascii="Palatino Linotype" w:eastAsia="Palatino Linotype" w:hAnsi="Palatino Linotype" w:cs="Palatino Linotype"/>
          <w:b/>
        </w:rPr>
        <w:t>de</w:t>
      </w:r>
      <w:r w:rsidR="00540584" w:rsidRPr="00540584">
        <w:rPr>
          <w:rFonts w:ascii="Palatino Linotype" w:eastAsia="Palatino Linotype" w:hAnsi="Palatino Linotype" w:cs="Palatino Linotype"/>
          <w:b/>
        </w:rPr>
        <w:t xml:space="preserve"> fecha </w:t>
      </w:r>
      <w:r w:rsidR="00274CD9" w:rsidRPr="00540584">
        <w:rPr>
          <w:rFonts w:ascii="Palatino Linotype" w:eastAsia="Palatino Linotype" w:hAnsi="Palatino Linotype" w:cs="Palatino Linotype"/>
          <w:b/>
        </w:rPr>
        <w:t>cinco</w:t>
      </w:r>
      <w:r w:rsidRPr="00540584">
        <w:rPr>
          <w:rFonts w:ascii="Palatino Linotype" w:eastAsia="Palatino Linotype" w:hAnsi="Palatino Linotype" w:cs="Palatino Linotype"/>
          <w:b/>
        </w:rPr>
        <w:t xml:space="preserve"> </w:t>
      </w:r>
      <w:r w:rsidR="00540584" w:rsidRPr="00540584">
        <w:rPr>
          <w:rFonts w:ascii="Palatino Linotype" w:eastAsia="Palatino Linotype" w:hAnsi="Palatino Linotype" w:cs="Palatino Linotype"/>
          <w:b/>
        </w:rPr>
        <w:t xml:space="preserve">(05) </w:t>
      </w:r>
      <w:r w:rsidRPr="00540584">
        <w:rPr>
          <w:rFonts w:ascii="Palatino Linotype" w:eastAsia="Palatino Linotype" w:hAnsi="Palatino Linotype" w:cs="Palatino Linotype"/>
          <w:b/>
        </w:rPr>
        <w:t>de febrero de dos mil veintiséis.</w:t>
      </w:r>
    </w:p>
    <w:p w:rsidR="00F72507" w:rsidRPr="00987A13" w:rsidRDefault="00F72507">
      <w:pPr>
        <w:tabs>
          <w:tab w:val="left" w:pos="3465"/>
        </w:tabs>
        <w:spacing w:line="360" w:lineRule="auto"/>
        <w:jc w:val="both"/>
        <w:rPr>
          <w:rFonts w:ascii="Palatino Linotype" w:eastAsia="Palatino Linotype" w:hAnsi="Palatino Linotype" w:cs="Palatino Linotype"/>
        </w:rPr>
      </w:pPr>
    </w:p>
    <w:p w:rsidR="00F72507" w:rsidRPr="00987A13" w:rsidRDefault="001C4B97">
      <w:pPr>
        <w:spacing w:line="360" w:lineRule="auto"/>
        <w:jc w:val="both"/>
        <w:rPr>
          <w:rFonts w:ascii="Palatino Linotype" w:eastAsia="Palatino Linotype" w:hAnsi="Palatino Linotype" w:cs="Palatino Linotype"/>
        </w:rPr>
      </w:pPr>
      <w:bookmarkStart w:id="1" w:name="_heading=h.pt213et07wlf" w:colFirst="0" w:colLast="0"/>
      <w:bookmarkEnd w:id="1"/>
      <w:r w:rsidRPr="00987A13">
        <w:rPr>
          <w:rFonts w:ascii="Palatino Linotype" w:eastAsia="Palatino Linotype" w:hAnsi="Palatino Linotype" w:cs="Palatino Linotype"/>
          <w:b/>
          <w:bCs/>
        </w:rPr>
        <w:t>VISTO</w:t>
      </w:r>
      <w:r w:rsidRPr="00987A13">
        <w:rPr>
          <w:rFonts w:ascii="Palatino Linotype" w:eastAsia="Palatino Linotype" w:hAnsi="Palatino Linotype" w:cs="Palatino Linotype"/>
        </w:rPr>
        <w:t xml:space="preserve"> el expediente electrónico formado con motivo del Recurso de Revisión </w:t>
      </w:r>
      <w:r w:rsidRPr="00987A13">
        <w:rPr>
          <w:rFonts w:ascii="Palatino Linotype" w:eastAsia="Palatino Linotype" w:hAnsi="Palatino Linotype" w:cs="Palatino Linotype"/>
          <w:b/>
          <w:bCs/>
        </w:rPr>
        <w:t xml:space="preserve">06553/INFOEM/IP/RR/2025, </w:t>
      </w:r>
      <w:r w:rsidRPr="00987A13">
        <w:rPr>
          <w:rFonts w:ascii="Palatino Linotype" w:eastAsia="Palatino Linotype" w:hAnsi="Palatino Linotype" w:cs="Palatino Linotype"/>
        </w:rPr>
        <w:t>promovido por</w:t>
      </w:r>
      <w:r w:rsidRPr="00987A13">
        <w:rPr>
          <w:rFonts w:ascii="Palatino Linotype" w:eastAsia="Palatino Linotype" w:hAnsi="Palatino Linotype" w:cs="Palatino Linotype"/>
          <w:b/>
          <w:bCs/>
        </w:rPr>
        <w:t xml:space="preserve"> </w:t>
      </w:r>
      <w:r w:rsidR="009125BB">
        <w:rPr>
          <w:rFonts w:ascii="Palatino Linotype" w:eastAsia="Palatino Linotype" w:hAnsi="Palatino Linotype" w:cs="Palatino Linotype"/>
          <w:b/>
          <w:bCs/>
          <w:iCs/>
        </w:rPr>
        <w:t>XXXX</w:t>
      </w:r>
      <w:r w:rsidRPr="00987A13">
        <w:rPr>
          <w:rFonts w:ascii="Palatino Linotype" w:eastAsia="Palatino Linotype" w:hAnsi="Palatino Linotype" w:cs="Palatino Linotype"/>
        </w:rPr>
        <w:t xml:space="preserve">, a quien en lo sucesivo se le identificará como </w:t>
      </w:r>
      <w:r w:rsidRPr="00987A13">
        <w:rPr>
          <w:rFonts w:ascii="Palatino Linotype" w:eastAsia="Palatino Linotype" w:hAnsi="Palatino Linotype" w:cs="Palatino Linotype"/>
          <w:b/>
          <w:bCs/>
        </w:rPr>
        <w:t>EL RECURRENTE</w:t>
      </w:r>
      <w:r w:rsidRPr="00987A13">
        <w:rPr>
          <w:rFonts w:ascii="Palatino Linotype" w:eastAsia="Palatino Linotype" w:hAnsi="Palatino Linotype" w:cs="Palatino Linotype"/>
        </w:rPr>
        <w:t xml:space="preserve">, en contra de la respuesta del </w:t>
      </w:r>
      <w:r w:rsidRPr="00987A13">
        <w:rPr>
          <w:rFonts w:ascii="Palatino Linotype" w:eastAsia="Palatino Linotype" w:hAnsi="Palatino Linotype" w:cs="Palatino Linotype"/>
          <w:b/>
          <w:bCs/>
        </w:rPr>
        <w:t xml:space="preserve">Ayuntamiento de Metepec, </w:t>
      </w:r>
      <w:r w:rsidRPr="00987A13">
        <w:rPr>
          <w:rFonts w:ascii="Palatino Linotype" w:eastAsia="Palatino Linotype" w:hAnsi="Palatino Linotype" w:cs="Palatino Linotype"/>
        </w:rPr>
        <w:t>en adelante el</w:t>
      </w:r>
      <w:r w:rsidRPr="00987A13">
        <w:rPr>
          <w:rFonts w:ascii="Palatino Linotype" w:eastAsia="Palatino Linotype" w:hAnsi="Palatino Linotype" w:cs="Palatino Linotype"/>
          <w:b/>
          <w:bCs/>
        </w:rPr>
        <w:t xml:space="preserve"> SUJETO OBLIGADO</w:t>
      </w:r>
      <w:r w:rsidRPr="00987A13">
        <w:rPr>
          <w:rFonts w:ascii="Palatino Linotype" w:eastAsia="Palatino Linotype" w:hAnsi="Palatino Linotype" w:cs="Palatino Linotype"/>
        </w:rPr>
        <w:t>, se procede a dictar la presente Resolución, con base en los siguientes:</w:t>
      </w:r>
    </w:p>
    <w:p w:rsidR="00F72507" w:rsidRPr="00987A13" w:rsidRDefault="00F72507">
      <w:pPr>
        <w:spacing w:line="360" w:lineRule="auto"/>
        <w:jc w:val="both"/>
        <w:rPr>
          <w:rFonts w:ascii="Palatino Linotype" w:eastAsia="Palatino Linotype" w:hAnsi="Palatino Linotype" w:cs="Palatino Linotype"/>
          <w:b/>
          <w:bCs/>
        </w:rPr>
      </w:pPr>
    </w:p>
    <w:p w:rsidR="00F72507" w:rsidRPr="00987A13" w:rsidRDefault="001C4B97">
      <w:pPr>
        <w:pStyle w:val="Ttulo1"/>
        <w:spacing w:before="0" w:line="360" w:lineRule="auto"/>
        <w:jc w:val="center"/>
        <w:rPr>
          <w:rFonts w:ascii="Palatino Linotype" w:eastAsia="Palatino Linotype" w:hAnsi="Palatino Linotype" w:cs="Palatino Linotype"/>
          <w:b/>
          <w:bCs/>
          <w:color w:val="000000"/>
          <w:sz w:val="24"/>
          <w:szCs w:val="24"/>
        </w:rPr>
      </w:pPr>
      <w:bookmarkStart w:id="2" w:name="_heading=h.gjdgxs" w:colFirst="0" w:colLast="0"/>
      <w:bookmarkEnd w:id="2"/>
      <w:r w:rsidRPr="00987A13">
        <w:rPr>
          <w:rFonts w:ascii="Palatino Linotype" w:eastAsia="Palatino Linotype" w:hAnsi="Palatino Linotype" w:cs="Palatino Linotype"/>
          <w:b/>
          <w:bCs/>
          <w:color w:val="000000"/>
          <w:sz w:val="24"/>
          <w:szCs w:val="24"/>
        </w:rPr>
        <w:t>A N T E C E D E N T E S</w:t>
      </w:r>
    </w:p>
    <w:p w:rsidR="00F72507" w:rsidRPr="00987A13" w:rsidRDefault="00F72507">
      <w:pPr>
        <w:spacing w:line="360" w:lineRule="auto"/>
        <w:rPr>
          <w:rFonts w:ascii="Palatino Linotype" w:eastAsia="Palatino Linotype" w:hAnsi="Palatino Linotype" w:cs="Palatino Linotype"/>
        </w:rPr>
      </w:pP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El día</w:t>
      </w:r>
      <w:r w:rsidRPr="00987A13">
        <w:rPr>
          <w:rFonts w:ascii="Palatino Linotype" w:eastAsia="Palatino Linotype" w:hAnsi="Palatino Linotype" w:cs="Palatino Linotype"/>
          <w:b/>
          <w:bCs/>
          <w:color w:val="000000"/>
        </w:rPr>
        <w:t xml:space="preserve"> veintinueve de abril dos mil veinticinco, </w:t>
      </w:r>
      <w:r w:rsidRPr="00987A13">
        <w:rPr>
          <w:rFonts w:ascii="Palatino Linotype" w:eastAsia="Palatino Linotype" w:hAnsi="Palatino Linotype" w:cs="Palatino Linotype"/>
          <w:color w:val="000000"/>
        </w:rPr>
        <w:t xml:space="preserve">se presentó ante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sidRPr="00987A13">
        <w:rPr>
          <w:rFonts w:ascii="Palatino Linotype" w:eastAsia="Palatino Linotype" w:hAnsi="Palatino Linotype" w:cs="Palatino Linotype"/>
          <w:b/>
          <w:bCs/>
          <w:color w:val="000000"/>
        </w:rPr>
        <w:t xml:space="preserve">  00199/METEPEC/IP/2025; </w:t>
      </w:r>
      <w:r w:rsidRPr="00987A13">
        <w:rPr>
          <w:rFonts w:ascii="Palatino Linotype" w:eastAsia="Palatino Linotype" w:hAnsi="Palatino Linotype" w:cs="Palatino Linotype"/>
        </w:rPr>
        <w:t xml:space="preserve">en la que </w:t>
      </w:r>
      <w:r w:rsidRPr="00987A13">
        <w:rPr>
          <w:rFonts w:ascii="Palatino Linotype" w:eastAsia="Palatino Linotype" w:hAnsi="Palatino Linotype" w:cs="Palatino Linotype"/>
          <w:color w:val="000000"/>
        </w:rPr>
        <w:t>se solicitó la siguiente información:</w:t>
      </w:r>
    </w:p>
    <w:p w:rsidR="00F72507" w:rsidRPr="00987A13" w:rsidRDefault="00F7250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F72507" w:rsidRPr="00987A13" w:rsidRDefault="001C4B97">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“solicito los contratos celebrados para llevar a cabo el festival Quimera en 2022, 2023, 2024 y para este 2025”</w:t>
      </w:r>
    </w:p>
    <w:p w:rsidR="00540584" w:rsidRPr="00987A13" w:rsidRDefault="00540584">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p>
    <w:p w:rsidR="00F72507" w:rsidRPr="00987A13" w:rsidRDefault="001C4B97" w:rsidP="00540584">
      <w:pPr>
        <w:numPr>
          <w:ilvl w:val="0"/>
          <w:numId w:val="6"/>
        </w:numPr>
        <w:pBdr>
          <w:top w:val="nil"/>
          <w:left w:val="nil"/>
          <w:bottom w:val="nil"/>
          <w:right w:val="nil"/>
          <w:between w:val="nil"/>
        </w:pBdr>
        <w:spacing w:line="360" w:lineRule="auto"/>
        <w:ind w:left="0" w:right="34" w:firstLine="0"/>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color w:val="000000"/>
        </w:rPr>
        <w:t xml:space="preserve">Se eligió como modalidad de entrega: </w:t>
      </w:r>
      <w:r w:rsidRPr="00987A13">
        <w:rPr>
          <w:rFonts w:ascii="Palatino Linotype" w:eastAsia="Palatino Linotype" w:hAnsi="Palatino Linotype" w:cs="Palatino Linotype"/>
          <w:b/>
          <w:bCs/>
          <w:color w:val="000000"/>
        </w:rPr>
        <w:t>SAIMEX</w:t>
      </w:r>
    </w:p>
    <w:p w:rsidR="00F72507" w:rsidRPr="00987A13" w:rsidRDefault="00F72507">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rsidR="00F72507" w:rsidRPr="00987A13" w:rsidRDefault="001C4B97">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El </w:t>
      </w:r>
      <w:r w:rsidRPr="00987A13">
        <w:rPr>
          <w:rFonts w:ascii="Palatino Linotype" w:eastAsia="Palatino Linotype" w:hAnsi="Palatino Linotype" w:cs="Palatino Linotype"/>
          <w:b/>
          <w:bCs/>
          <w:color w:val="000000"/>
        </w:rPr>
        <w:t>veintidós de mayo de dos mil veinticinco</w:t>
      </w:r>
      <w:r w:rsidRPr="00987A13">
        <w:rPr>
          <w:rFonts w:ascii="Palatino Linotype" w:eastAsia="Palatino Linotype" w:hAnsi="Palatino Linotype" w:cs="Palatino Linotype"/>
          <w:color w:val="000000"/>
        </w:rPr>
        <w:t xml:space="preserv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solicitó una prórroga para dar atención a la solicitud de información, notificando para tal efecto la </w:t>
      </w:r>
      <w:r w:rsidRPr="00987A13">
        <w:rPr>
          <w:rFonts w:ascii="Palatino Linotype" w:eastAsia="Palatino Linotype" w:hAnsi="Palatino Linotype" w:cs="Palatino Linotype"/>
          <w:color w:val="000000"/>
        </w:rPr>
        <w:lastRenderedPageBreak/>
        <w:t>ampliación del plazo por siete días hábiles, aprobado por el Comité de Transparencia del Ayuntamiento de Metepec, Estado de México, mediante la Décima Segunda Sesión Extraordinaria.</w:t>
      </w:r>
    </w:p>
    <w:p w:rsidR="00F72507" w:rsidRPr="00987A13" w:rsidRDefault="00F7250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F72507" w:rsidRPr="00987A13" w:rsidRDefault="001C4B97">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El </w:t>
      </w:r>
      <w:r w:rsidRPr="00987A13">
        <w:rPr>
          <w:rFonts w:ascii="Palatino Linotype" w:eastAsia="Palatino Linotype" w:hAnsi="Palatino Linotype" w:cs="Palatino Linotype"/>
          <w:b/>
          <w:bCs/>
          <w:color w:val="000000"/>
        </w:rPr>
        <w:t xml:space="preserve">dos de junio de </w:t>
      </w:r>
      <w:r w:rsidRPr="00987A13">
        <w:rPr>
          <w:rFonts w:ascii="Palatino Linotype" w:eastAsia="Palatino Linotype" w:hAnsi="Palatino Linotype" w:cs="Palatino Linotype"/>
          <w:color w:val="000000"/>
        </w:rPr>
        <w:t>dos</w:t>
      </w:r>
      <w:r w:rsidRPr="00987A13">
        <w:rPr>
          <w:rFonts w:ascii="Palatino Linotype" w:eastAsia="Palatino Linotype" w:hAnsi="Palatino Linotype" w:cs="Palatino Linotype"/>
          <w:b/>
          <w:bCs/>
          <w:color w:val="000000"/>
        </w:rPr>
        <w:t xml:space="preserve"> mil veinticinco</w:t>
      </w:r>
      <w:r w:rsidRPr="00987A13">
        <w:rPr>
          <w:rFonts w:ascii="Palatino Linotype" w:eastAsia="Palatino Linotype" w:hAnsi="Palatino Linotype" w:cs="Palatino Linotype"/>
          <w:color w:val="000000"/>
        </w:rPr>
        <w:t xml:space="preserv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dio respuesta a través de un archivo denominado </w:t>
      </w:r>
      <w:r w:rsidRPr="00987A13">
        <w:rPr>
          <w:rFonts w:ascii="Palatino Linotype" w:eastAsia="Palatino Linotype" w:hAnsi="Palatino Linotype" w:cs="Palatino Linotype"/>
          <w:b/>
          <w:bCs/>
          <w:i/>
          <w:iCs/>
          <w:color w:val="000000"/>
        </w:rPr>
        <w:t>176 177 178 179 180 199 200 202 y 204_2025.pdf</w:t>
      </w:r>
      <w:r w:rsidRPr="00987A13">
        <w:rPr>
          <w:rFonts w:ascii="Palatino Linotype" w:eastAsia="Palatino Linotype" w:hAnsi="Palatino Linotype" w:cs="Palatino Linotype"/>
          <w:color w:val="000000"/>
        </w:rPr>
        <w:t xml:space="preserve">, cuyo contenido corresponde a un oficio signado por el Director de Administración, en el que informa de un enlace en donde a su decir se encuentran publicados los resultados de procedimientos de adjudicación directa, licitación pública e invitación restringida, así como un instructivo de pasos a seguir para que el ciudadano pueda acceder a la información desde el Sitio Oficial del Ayuntamiento de Metepec, a efecto de omitir escribir todos los símbolos, número y letras de la URL del sistema de Información </w:t>
      </w:r>
      <w:r w:rsidRPr="00987A13">
        <w:rPr>
          <w:rFonts w:ascii="Palatino Linotype" w:eastAsia="Palatino Linotype" w:hAnsi="Palatino Linotype" w:cs="Palatino Linotype"/>
        </w:rPr>
        <w:t>Pública</w:t>
      </w:r>
      <w:r w:rsidRPr="00987A13">
        <w:rPr>
          <w:rFonts w:ascii="Palatino Linotype" w:eastAsia="Palatino Linotype" w:hAnsi="Palatino Linotype" w:cs="Palatino Linotype"/>
          <w:color w:val="000000"/>
        </w:rPr>
        <w:t xml:space="preserve"> Mexiquense (IPOMEX).</w:t>
      </w:r>
    </w:p>
    <w:p w:rsidR="00F72507" w:rsidRPr="00987A13" w:rsidRDefault="00F7250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F72507" w:rsidRPr="00987A13" w:rsidRDefault="001C4B97">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Inconforme con la respuesta el </w:t>
      </w:r>
      <w:r w:rsidRPr="00987A13">
        <w:rPr>
          <w:rFonts w:ascii="Palatino Linotype" w:eastAsia="Palatino Linotype" w:hAnsi="Palatino Linotype" w:cs="Palatino Linotype"/>
          <w:b/>
          <w:bCs/>
          <w:color w:val="000000"/>
        </w:rPr>
        <w:t>cuatro de junio del año en curso</w:t>
      </w:r>
      <w:r w:rsidRPr="00987A13">
        <w:rPr>
          <w:rFonts w:ascii="Palatino Linotype" w:eastAsia="Palatino Linotype" w:hAnsi="Palatino Linotype" w:cs="Palatino Linotype"/>
          <w:color w:val="000000"/>
        </w:rPr>
        <w:t>, el solicitante interpuso el recurso de revisión en contra de la respuesta, manifestando las siguientes razones o motivos de inconformidad:</w:t>
      </w:r>
    </w:p>
    <w:p w:rsidR="00F72507" w:rsidRPr="00987A13" w:rsidRDefault="00F7250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F72507" w:rsidRPr="00987A13" w:rsidRDefault="00540584">
      <w:pPr>
        <w:numPr>
          <w:ilvl w:val="0"/>
          <w:numId w:val="6"/>
        </w:numPr>
        <w:pBdr>
          <w:top w:val="nil"/>
          <w:left w:val="nil"/>
          <w:bottom w:val="nil"/>
          <w:right w:val="nil"/>
          <w:between w:val="nil"/>
        </w:pBdr>
        <w:spacing w:line="360" w:lineRule="auto"/>
        <w:ind w:left="1080" w:right="426"/>
        <w:jc w:val="both"/>
        <w:rPr>
          <w:rFonts w:ascii="Palatino Linotype" w:eastAsia="Palatino Linotype" w:hAnsi="Palatino Linotype" w:cs="Palatino Linotype"/>
          <w:i/>
          <w:iCs/>
          <w:color w:val="000000"/>
        </w:rPr>
      </w:pPr>
      <w:bookmarkStart w:id="3" w:name="_heading=h.30j0zll" w:colFirst="0" w:colLast="0"/>
      <w:bookmarkEnd w:id="3"/>
      <w:r w:rsidRPr="00987A13">
        <w:rPr>
          <w:rFonts w:ascii="Palatino Linotype" w:eastAsia="Palatino Linotype" w:hAnsi="Palatino Linotype" w:cs="Palatino Linotype"/>
          <w:b/>
          <w:bCs/>
          <w:color w:val="000000"/>
        </w:rPr>
        <w:t>ACTO IMPUGNADO</w:t>
      </w:r>
      <w:r w:rsidR="001C4B97" w:rsidRPr="00987A13">
        <w:rPr>
          <w:rFonts w:ascii="Palatino Linotype" w:eastAsia="Palatino Linotype" w:hAnsi="Palatino Linotype" w:cs="Palatino Linotype"/>
          <w:b/>
          <w:bCs/>
          <w:color w:val="000000"/>
        </w:rPr>
        <w:t xml:space="preserve">: </w:t>
      </w:r>
      <w:r w:rsidR="001C4B97" w:rsidRPr="00987A13">
        <w:rPr>
          <w:rFonts w:ascii="Palatino Linotype" w:eastAsia="Palatino Linotype" w:hAnsi="Palatino Linotype" w:cs="Palatino Linotype"/>
          <w:i/>
          <w:iCs/>
          <w:color w:val="000000"/>
        </w:rPr>
        <w:t>“Adjunto una respuesta que no tiene nada que ver con lo solicitado”</w:t>
      </w:r>
    </w:p>
    <w:p w:rsidR="00F72507" w:rsidRPr="00987A13" w:rsidRDefault="00F72507">
      <w:pPr>
        <w:pBdr>
          <w:top w:val="nil"/>
          <w:left w:val="nil"/>
          <w:bottom w:val="nil"/>
          <w:right w:val="nil"/>
          <w:between w:val="nil"/>
        </w:pBdr>
        <w:spacing w:line="360" w:lineRule="auto"/>
        <w:ind w:right="426"/>
        <w:jc w:val="both"/>
        <w:rPr>
          <w:rFonts w:ascii="Palatino Linotype" w:eastAsia="Palatino Linotype" w:hAnsi="Palatino Linotype" w:cs="Palatino Linotype"/>
          <w:i/>
          <w:iCs/>
          <w:color w:val="000000"/>
        </w:rPr>
      </w:pPr>
    </w:p>
    <w:p w:rsidR="00F72507" w:rsidRPr="00987A13" w:rsidRDefault="00540584">
      <w:pPr>
        <w:numPr>
          <w:ilvl w:val="0"/>
          <w:numId w:val="6"/>
        </w:numPr>
        <w:pBdr>
          <w:top w:val="nil"/>
          <w:left w:val="nil"/>
          <w:bottom w:val="nil"/>
          <w:right w:val="nil"/>
          <w:between w:val="nil"/>
        </w:pBdr>
        <w:spacing w:line="360" w:lineRule="auto"/>
        <w:ind w:left="1080" w:right="426"/>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color w:val="000000"/>
        </w:rPr>
        <w:t>RAZONES O MOTIVOS DE INCONFORMIDAD:</w:t>
      </w:r>
      <w:r w:rsidR="001C4B97" w:rsidRPr="00987A13">
        <w:rPr>
          <w:rFonts w:ascii="Palatino Linotype" w:eastAsia="Palatino Linotype" w:hAnsi="Palatino Linotype" w:cs="Palatino Linotype"/>
          <w:i/>
          <w:iCs/>
          <w:color w:val="000000"/>
        </w:rPr>
        <w:t xml:space="preserve"> “entregó una respuesta que no tiene que ver con lo solicitado” </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rsidR="00F72507" w:rsidRPr="00987A13" w:rsidRDefault="005405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Comisionada p</w:t>
      </w:r>
      <w:r w:rsidR="001C4B97" w:rsidRPr="00987A13">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1C4B97" w:rsidRPr="00987A13">
        <w:rPr>
          <w:rFonts w:ascii="Palatino Linotype" w:eastAsia="Palatino Linotype" w:hAnsi="Palatino Linotype" w:cs="Palatino Linotype"/>
          <w:b/>
          <w:bCs/>
          <w:color w:val="000000"/>
        </w:rPr>
        <w:t>nueve de junio de dos mil veinticinco</w:t>
      </w:r>
      <w:r w:rsidR="001C4B97" w:rsidRPr="00987A13">
        <w:rPr>
          <w:rFonts w:ascii="Palatino Linotype" w:eastAsia="Palatino Linotype" w:hAnsi="Palatino Linotype" w:cs="Palatino Linotype"/>
          <w:color w:val="000000"/>
        </w:rPr>
        <w:t xml:space="preserve">, puso a disposición de las partes el expediente electrónico vía </w:t>
      </w:r>
      <w:r w:rsidR="001C4B97" w:rsidRPr="00987A13">
        <w:rPr>
          <w:rFonts w:ascii="Palatino Linotype" w:eastAsia="Palatino Linotype" w:hAnsi="Palatino Linotype" w:cs="Palatino Linotype"/>
          <w:b/>
          <w:bCs/>
          <w:color w:val="000000"/>
        </w:rPr>
        <w:t xml:space="preserve">SAIMEX </w:t>
      </w:r>
      <w:r w:rsidR="001C4B97" w:rsidRPr="00987A13">
        <w:rPr>
          <w:rFonts w:ascii="Palatino Linotype" w:eastAsia="Palatino Linotype" w:hAnsi="Palatino Linotype" w:cs="Palatino Linotype"/>
          <w:color w:val="000000"/>
        </w:rPr>
        <w:t xml:space="preserve">a efecto de que en un plazo máximo de siete días </w:t>
      </w:r>
      <w:r w:rsidR="001C4B97" w:rsidRPr="00987A13">
        <w:rPr>
          <w:rFonts w:ascii="Palatino Linotype" w:eastAsia="Palatino Linotype" w:hAnsi="Palatino Linotype" w:cs="Palatino Linotype"/>
        </w:rPr>
        <w:t>manifestara</w:t>
      </w:r>
      <w:r w:rsidR="001C4B97" w:rsidRPr="00987A13">
        <w:rPr>
          <w:rFonts w:ascii="Palatino Linotype" w:eastAsia="Palatino Linotype" w:hAnsi="Palatino Linotype" w:cs="Palatino Linotype"/>
          <w:color w:val="000000"/>
        </w:rPr>
        <w:t xml:space="preserve"> lo que a su derecho conviniera, </w:t>
      </w:r>
      <w:r w:rsidR="001C4B97" w:rsidRPr="00987A13">
        <w:rPr>
          <w:rFonts w:ascii="Palatino Linotype" w:eastAsia="Palatino Linotype" w:hAnsi="Palatino Linotype" w:cs="Palatino Linotype"/>
        </w:rPr>
        <w:t>ofreciera</w:t>
      </w:r>
      <w:r w:rsidR="001C4B97" w:rsidRPr="00987A13">
        <w:rPr>
          <w:rFonts w:ascii="Palatino Linotype" w:eastAsia="Palatino Linotype" w:hAnsi="Palatino Linotype" w:cs="Palatino Linotype"/>
          <w:color w:val="000000"/>
        </w:rPr>
        <w:t xml:space="preserve"> pruebas y alegatos según corresponda a los casos concretos, y el </w:t>
      </w:r>
      <w:r w:rsidR="001C4B97" w:rsidRPr="00987A13">
        <w:rPr>
          <w:rFonts w:ascii="Palatino Linotype" w:eastAsia="Palatino Linotype" w:hAnsi="Palatino Linotype" w:cs="Palatino Linotype"/>
          <w:b/>
          <w:bCs/>
          <w:color w:val="000000"/>
        </w:rPr>
        <w:t>SUJETO OBLIGADO</w:t>
      </w:r>
      <w:r w:rsidR="001C4B97" w:rsidRPr="00987A13">
        <w:rPr>
          <w:rFonts w:ascii="Palatino Linotype" w:eastAsia="Palatino Linotype" w:hAnsi="Palatino Linotype" w:cs="Palatino Linotype"/>
          <w:color w:val="000000"/>
        </w:rPr>
        <w:t xml:space="preserve"> presentará el Informe Justificado procedente.</w:t>
      </w:r>
    </w:p>
    <w:p w:rsidR="00F72507" w:rsidRPr="00987A13" w:rsidRDefault="00F7250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De lo anterior, el </w:t>
      </w:r>
      <w:r w:rsidRPr="00987A13">
        <w:rPr>
          <w:rFonts w:ascii="Palatino Linotype" w:eastAsia="Palatino Linotype" w:hAnsi="Palatino Linotype" w:cs="Palatino Linotype"/>
          <w:b/>
          <w:bCs/>
          <w:color w:val="000000"/>
        </w:rPr>
        <w:t xml:space="preserve">RECURRENTE </w:t>
      </w:r>
      <w:r w:rsidRPr="00987A13">
        <w:rPr>
          <w:rFonts w:ascii="Palatino Linotype" w:eastAsia="Palatino Linotype" w:hAnsi="Palatino Linotype" w:cs="Palatino Linotype"/>
          <w:color w:val="000000"/>
        </w:rPr>
        <w:t xml:space="preserve">fue omiso en realizar manifestaciones que a su derecho conviniera y asistiera. Por su parte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los días </w:t>
      </w:r>
      <w:r w:rsidRPr="00987A13">
        <w:rPr>
          <w:rFonts w:ascii="Palatino Linotype" w:eastAsia="Palatino Linotype" w:hAnsi="Palatino Linotype" w:cs="Palatino Linotype"/>
          <w:b/>
          <w:bCs/>
          <w:color w:val="000000"/>
        </w:rPr>
        <w:t>dieciséis y diecisiete de junio de dos mil veinticinco</w:t>
      </w:r>
      <w:r w:rsidRPr="00987A13">
        <w:rPr>
          <w:rFonts w:ascii="Palatino Linotype" w:eastAsia="Palatino Linotype" w:hAnsi="Palatino Linotype" w:cs="Palatino Linotype"/>
          <w:color w:val="000000"/>
        </w:rPr>
        <w:t>, rindió informe justificado, adjuntando dos archivos: el primero signado por el Director de Transparencia y Gobierno Abierto, a través del cual solicita al servidor público habilitado de la Dirección de Administración, de observancia al recurso de revisión interpuesto; y el segundo archivo que corresponde a un oficio signado por el Director de Administración a través del cual confirma su respuesta inicial.</w:t>
      </w:r>
    </w:p>
    <w:p w:rsidR="00F72507" w:rsidRPr="00987A13" w:rsidRDefault="00F72507">
      <w:pPr>
        <w:spacing w:line="360" w:lineRule="auto"/>
        <w:jc w:val="center"/>
        <w:rPr>
          <w:rFonts w:ascii="Palatino Linotype" w:eastAsia="Palatino Linotype" w:hAnsi="Palatino Linotype" w:cs="Palatino Linotype"/>
          <w:color w:val="000000"/>
        </w:rPr>
      </w:pPr>
    </w:p>
    <w:p w:rsidR="00F72507" w:rsidRPr="00540584"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4" w:name="_heading=h.1fob9te" w:colFirst="0" w:colLast="0"/>
      <w:bookmarkEnd w:id="4"/>
      <w:r w:rsidRPr="00987A13">
        <w:rPr>
          <w:rFonts w:ascii="Palatino Linotype" w:eastAsia="Palatino Linotype" w:hAnsi="Palatino Linotype" w:cs="Palatino Linotype"/>
          <w:color w:val="000000"/>
        </w:rPr>
        <w:t xml:space="preserve">Seguidamente, mediante Acuerdo de fecha </w:t>
      </w:r>
      <w:r w:rsidRPr="00987A13">
        <w:rPr>
          <w:rFonts w:ascii="Palatino Linotype" w:eastAsia="Palatino Linotype" w:hAnsi="Palatino Linotype" w:cs="Palatino Linotype"/>
          <w:b/>
          <w:bCs/>
          <w:color w:val="000000"/>
        </w:rPr>
        <w:t xml:space="preserve">veintinueve de enero de dos mil veintiséis, </w:t>
      </w:r>
      <w:r w:rsidRPr="00987A13">
        <w:rPr>
          <w:rFonts w:ascii="Palatino Linotype" w:eastAsia="Palatino Linotype" w:hAnsi="Palatino Linotype" w:cs="Palatino Linotype"/>
          <w:color w:val="000000"/>
        </w:rPr>
        <w:t xml:space="preserve">se amplió el </w:t>
      </w:r>
      <w:r w:rsidRPr="00987A13">
        <w:rPr>
          <w:rFonts w:ascii="Palatino Linotype" w:eastAsia="Palatino Linotype" w:hAnsi="Palatino Linotype" w:cs="Palatino Linotype"/>
        </w:rPr>
        <w:t>término</w:t>
      </w:r>
      <w:r w:rsidRPr="00987A13">
        <w:rPr>
          <w:rFonts w:ascii="Palatino Linotype" w:eastAsia="Palatino Linotype" w:hAnsi="Palatino Linotype" w:cs="Palatino Linotype"/>
          <w:color w:val="000000"/>
        </w:rPr>
        <w:t xml:space="preserve"> para resolver, consecutivamente se decretó el cierre de instrucción mediante Acuerdo de día </w:t>
      </w:r>
      <w:r w:rsidRPr="00987A13">
        <w:rPr>
          <w:rFonts w:ascii="Palatino Linotype" w:eastAsia="Palatino Linotype" w:hAnsi="Palatino Linotype" w:cs="Palatino Linotype"/>
          <w:b/>
          <w:bCs/>
          <w:color w:val="000000"/>
        </w:rPr>
        <w:t>cuatro de febrero del año en curso</w:t>
      </w:r>
      <w:r w:rsidRPr="00987A13">
        <w:rPr>
          <w:rFonts w:ascii="Palatino Linotype" w:eastAsia="Palatino Linotype" w:hAnsi="Palatino Linotype" w:cs="Palatino Linotype"/>
          <w:color w:val="000000"/>
        </w:rPr>
        <w:t>, por lo que no habiendo más que hacer constar, y</w:t>
      </w:r>
      <w:r w:rsidR="00540584">
        <w:rPr>
          <w:rFonts w:ascii="Palatino Linotype" w:eastAsia="Palatino Linotype" w:hAnsi="Palatino Linotype" w:cs="Palatino Linotype"/>
          <w:color w:val="000000"/>
        </w:rPr>
        <w:t xml:space="preserve"> --------------------------------------------------------------------------</w:t>
      </w:r>
    </w:p>
    <w:p w:rsidR="00540584" w:rsidRDefault="00540584" w:rsidP="00540584">
      <w:pPr>
        <w:pStyle w:val="Prrafodelista"/>
        <w:rPr>
          <w:rFonts w:ascii="Palatino Linotype" w:eastAsia="Palatino Linotype" w:hAnsi="Palatino Linotype" w:cs="Palatino Linotype"/>
          <w:b/>
          <w:bCs/>
          <w:color w:val="000000"/>
        </w:rPr>
      </w:pPr>
    </w:p>
    <w:p w:rsidR="00540584" w:rsidRDefault="00540584" w:rsidP="0054058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540584" w:rsidRDefault="00540584" w:rsidP="0054058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540584" w:rsidRPr="00987A13" w:rsidRDefault="00540584" w:rsidP="0054058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rsidR="00F72507" w:rsidRPr="00987A13" w:rsidRDefault="001C4B97">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lastRenderedPageBreak/>
        <w:t>C O N S I D E R A N D O</w:t>
      </w:r>
    </w:p>
    <w:p w:rsidR="00F72507" w:rsidRPr="00987A13" w:rsidRDefault="00F72507">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F72507" w:rsidRPr="00987A13" w:rsidRDefault="001C4B97">
      <w:pPr>
        <w:pStyle w:val="Ttulo2"/>
        <w:spacing w:before="0" w:line="360" w:lineRule="auto"/>
        <w:rPr>
          <w:rFonts w:ascii="Palatino Linotype" w:eastAsia="Palatino Linotype" w:hAnsi="Palatino Linotype" w:cs="Palatino Linotype"/>
          <w:b/>
          <w:bCs/>
          <w:color w:val="000000"/>
          <w:sz w:val="24"/>
          <w:szCs w:val="24"/>
        </w:rPr>
      </w:pPr>
      <w:bookmarkStart w:id="5" w:name="_heading=h.3znysh7" w:colFirst="0" w:colLast="0"/>
      <w:bookmarkEnd w:id="5"/>
      <w:r w:rsidRPr="00987A13">
        <w:rPr>
          <w:rFonts w:ascii="Palatino Linotype" w:eastAsia="Palatino Linotype" w:hAnsi="Palatino Linotype" w:cs="Palatino Linotype"/>
          <w:b/>
          <w:bCs/>
          <w:color w:val="000000"/>
          <w:sz w:val="24"/>
          <w:szCs w:val="24"/>
        </w:rPr>
        <w:t>PRIMERO. De la competencia</w:t>
      </w: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w:t>
      </w:r>
      <w:r w:rsidRPr="00987A13">
        <w:rPr>
          <w:rFonts w:ascii="Palatino Linotype" w:eastAsia="Palatino Linotype" w:hAnsi="Palatino Linotype" w:cs="Palatino Linotype"/>
        </w:rPr>
        <w:t>r</w:t>
      </w:r>
      <w:r w:rsidRPr="00987A13">
        <w:rPr>
          <w:rFonts w:ascii="Palatino Linotype" w:eastAsia="Palatino Linotype" w:hAnsi="Palatino Linotype" w:cs="Palatino Linotype"/>
          <w:color w:val="000000"/>
        </w:rPr>
        <w:t>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F72507" w:rsidRPr="00987A13" w:rsidRDefault="00F72507">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72507" w:rsidRPr="00987A13" w:rsidRDefault="001C4B97">
      <w:pPr>
        <w:pStyle w:val="Ttulo2"/>
        <w:spacing w:before="0" w:line="360" w:lineRule="auto"/>
        <w:rPr>
          <w:rFonts w:ascii="Palatino Linotype" w:eastAsia="Palatino Linotype" w:hAnsi="Palatino Linotype" w:cs="Palatino Linotype"/>
          <w:b/>
          <w:bCs/>
          <w:color w:val="000000"/>
          <w:sz w:val="24"/>
          <w:szCs w:val="24"/>
        </w:rPr>
      </w:pPr>
      <w:bookmarkStart w:id="6" w:name="_heading=h.2et92p0" w:colFirst="0" w:colLast="0"/>
      <w:bookmarkEnd w:id="6"/>
      <w:r w:rsidRPr="00987A13">
        <w:rPr>
          <w:rFonts w:ascii="Palatino Linotype" w:eastAsia="Palatino Linotype" w:hAnsi="Palatino Linotype" w:cs="Palatino Linotype"/>
          <w:b/>
          <w:bCs/>
          <w:color w:val="000000"/>
          <w:sz w:val="24"/>
          <w:szCs w:val="24"/>
        </w:rPr>
        <w:t>SEGUNDO. De la oportunidad y procedencia.</w:t>
      </w: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Este Órgano Garante considera que el medio de impugnación reúne los requisitos de procedencia </w:t>
      </w:r>
      <w:r w:rsidRPr="00987A13">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F72507" w:rsidRPr="00987A13" w:rsidRDefault="00F72507">
      <w:pPr>
        <w:pBdr>
          <w:top w:val="nil"/>
          <w:left w:val="nil"/>
          <w:bottom w:val="nil"/>
          <w:right w:val="nil"/>
          <w:between w:val="nil"/>
        </w:pBdr>
        <w:spacing w:line="360" w:lineRule="auto"/>
        <w:jc w:val="both"/>
        <w:rPr>
          <w:rFonts w:ascii="Palatino Linotype" w:eastAsia="Palatino Linotype" w:hAnsi="Palatino Linotype" w:cs="Palatino Linotype"/>
        </w:rPr>
      </w:pP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Por otro lado, es de suma importancia señalar que la parte recurrente no proporciona un nombre o datos de </w:t>
      </w:r>
      <w:r w:rsidRPr="00987A13">
        <w:rPr>
          <w:rFonts w:ascii="Palatino Linotype" w:eastAsia="Palatino Linotype" w:hAnsi="Palatino Linotype" w:cs="Palatino Linotype"/>
          <w:color w:val="000000"/>
        </w:rPr>
        <w:t>identificación</w:t>
      </w:r>
      <w:r w:rsidRPr="00987A13">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w:t>
      </w:r>
      <w:r w:rsidRPr="00987A13">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rsidR="00F72507" w:rsidRPr="00987A13" w:rsidRDefault="001C4B97">
      <w:pPr>
        <w:spacing w:line="360" w:lineRule="auto"/>
        <w:ind w:left="567" w:right="426"/>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w:t>
      </w:r>
      <w:r w:rsidRPr="00987A13">
        <w:rPr>
          <w:rFonts w:ascii="Palatino Linotype" w:eastAsia="Palatino Linotype" w:hAnsi="Palatino Linotype" w:cs="Palatino Linotype"/>
          <w:b/>
          <w:bCs/>
          <w:i/>
          <w:iCs/>
        </w:rPr>
        <w:t>Las solicitudes anónimas</w:t>
      </w:r>
      <w:r w:rsidRPr="00987A13">
        <w:rPr>
          <w:rFonts w:ascii="Palatino Linotype" w:eastAsia="Palatino Linotype" w:hAnsi="Palatino Linotype" w:cs="Palatino Linotype"/>
          <w:i/>
          <w:iCs/>
        </w:rPr>
        <w:t xml:space="preserve">, con nombre incompleto o seudónimo </w:t>
      </w:r>
      <w:r w:rsidRPr="00987A13">
        <w:rPr>
          <w:rFonts w:ascii="Palatino Linotype" w:eastAsia="Palatino Linotype" w:hAnsi="Palatino Linotype" w:cs="Palatino Linotype"/>
          <w:b/>
          <w:bCs/>
          <w:i/>
          <w:iCs/>
        </w:rPr>
        <w:t>serán procedentes para su trámite por parte del sujeto obligado ante quien se presente</w:t>
      </w:r>
      <w:r w:rsidRPr="00987A13">
        <w:rPr>
          <w:rFonts w:ascii="Palatino Linotype" w:eastAsia="Palatino Linotype" w:hAnsi="Palatino Linotype" w:cs="Palatino Linotype"/>
          <w:i/>
          <w:iCs/>
        </w:rPr>
        <w:t>. No podrá requerirse información adicional con motivo del nombre proporcionado por el solicitante."</w:t>
      </w:r>
    </w:p>
    <w:p w:rsidR="00F72507" w:rsidRPr="00987A13" w:rsidRDefault="00F7250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F72507"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Consecuencia de lo anterior, este Órgano Garante advierte que el escrito contiene las </w:t>
      </w:r>
      <w:r w:rsidRPr="00987A13">
        <w:rPr>
          <w:rFonts w:ascii="Palatino Linotype" w:eastAsia="Palatino Linotype" w:hAnsi="Palatino Linotype" w:cs="Palatino Linotype"/>
        </w:rPr>
        <w:t>formalidades</w:t>
      </w:r>
      <w:r w:rsidRPr="00987A13">
        <w:rPr>
          <w:rFonts w:ascii="Palatino Linotype" w:eastAsia="Palatino Linotype" w:hAnsi="Palatino Linotype" w:cs="Palatino Linotype"/>
          <w:color w:val="000000"/>
        </w:rPr>
        <w:t xml:space="preserve"> previstas por el artículo 180 último párrafo de la Ley de </w:t>
      </w:r>
      <w:r w:rsidRPr="00987A13">
        <w:rPr>
          <w:rFonts w:ascii="Palatino Linotype" w:eastAsia="Palatino Linotype" w:hAnsi="Palatino Linotype" w:cs="Palatino Linotype"/>
        </w:rPr>
        <w:t>Transparencia</w:t>
      </w:r>
      <w:r w:rsidRPr="00987A13">
        <w:rPr>
          <w:rFonts w:ascii="Palatino Linotype" w:eastAsia="Palatino Linotype" w:hAnsi="Palatino Linotype" w:cs="Palatino Linotype"/>
          <w:color w:val="000000"/>
        </w:rPr>
        <w:t xml:space="preserve"> y Acceso a la </w:t>
      </w:r>
      <w:r w:rsidRPr="00987A13">
        <w:rPr>
          <w:rFonts w:ascii="Palatino Linotype" w:eastAsia="Palatino Linotype" w:hAnsi="Palatino Linotype" w:cs="Palatino Linotype"/>
        </w:rPr>
        <w:t>Información</w:t>
      </w:r>
      <w:r w:rsidRPr="00987A13">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rsidR="00540584" w:rsidRPr="00987A13" w:rsidRDefault="00540584" w:rsidP="00540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rsidR="00F72507" w:rsidRPr="00987A13" w:rsidRDefault="00F72507">
      <w:pPr>
        <w:spacing w:line="360" w:lineRule="auto"/>
        <w:rPr>
          <w:rFonts w:ascii="Palatino Linotype" w:eastAsia="Palatino Linotype" w:hAnsi="Palatino Linotype" w:cs="Palatino Linotype"/>
        </w:rPr>
      </w:pPr>
    </w:p>
    <w:p w:rsidR="00F72507" w:rsidRPr="00987A13" w:rsidRDefault="001C4B97">
      <w:pPr>
        <w:pStyle w:val="Ttulo1"/>
        <w:spacing w:before="0" w:line="360" w:lineRule="auto"/>
        <w:rPr>
          <w:rFonts w:ascii="Palatino Linotype" w:eastAsia="Palatino Linotype" w:hAnsi="Palatino Linotype" w:cs="Palatino Linotype"/>
          <w:b/>
          <w:bCs/>
          <w:color w:val="000000"/>
          <w:sz w:val="24"/>
          <w:szCs w:val="24"/>
        </w:rPr>
      </w:pPr>
      <w:bookmarkStart w:id="7" w:name="_heading=h.tyjcwt" w:colFirst="0" w:colLast="0"/>
      <w:bookmarkEnd w:id="7"/>
      <w:r w:rsidRPr="00987A13">
        <w:rPr>
          <w:rFonts w:ascii="Palatino Linotype" w:eastAsia="Palatino Linotype" w:hAnsi="Palatino Linotype" w:cs="Palatino Linotype"/>
          <w:b/>
          <w:bCs/>
          <w:color w:val="000000"/>
          <w:sz w:val="24"/>
          <w:szCs w:val="24"/>
        </w:rPr>
        <w:t xml:space="preserve">TERCERO. Del planteamiento de la </w:t>
      </w:r>
      <w:r w:rsidRPr="00987A13">
        <w:rPr>
          <w:rFonts w:ascii="Palatino Linotype" w:eastAsia="Palatino Linotype" w:hAnsi="Palatino Linotype" w:cs="Palatino Linotype"/>
          <w:b/>
          <w:bCs/>
          <w:i/>
          <w:iCs/>
          <w:color w:val="000000"/>
          <w:sz w:val="24"/>
          <w:szCs w:val="24"/>
        </w:rPr>
        <w:t>Litis</w:t>
      </w:r>
    </w:p>
    <w:p w:rsidR="00F72507" w:rsidRPr="00987A13" w:rsidRDefault="001C4B9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Se solicitó tener acceso, a la información que a continuación se desagrega:</w:t>
      </w:r>
    </w:p>
    <w:p w:rsidR="00F72507" w:rsidRPr="00987A13" w:rsidRDefault="001C4B97">
      <w:pPr>
        <w:numPr>
          <w:ilvl w:val="0"/>
          <w:numId w:val="7"/>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Contratos celebrados para llevar a cabo el “Festival Quimera” en los años 2022, 2023, 2024 y el programado para el año 2025.</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rPr>
        <w:lastRenderedPageBreak/>
        <w:t xml:space="preserve">En respuesta, el </w:t>
      </w:r>
      <w:r w:rsidRPr="00987A13">
        <w:rPr>
          <w:rFonts w:ascii="Palatino Linotype" w:eastAsia="Palatino Linotype" w:hAnsi="Palatino Linotype" w:cs="Palatino Linotype"/>
          <w:b/>
          <w:bCs/>
        </w:rPr>
        <w:t xml:space="preserve">SUJETO OBLIGADO </w:t>
      </w:r>
      <w:r w:rsidRPr="00987A13">
        <w:rPr>
          <w:rFonts w:ascii="Palatino Linotype" w:eastAsia="Palatino Linotype" w:hAnsi="Palatino Linotype" w:cs="Palatino Linotype"/>
        </w:rPr>
        <w:t>remitió la información ya descrita en el párrafo 2. Inconforme con la misma, interpuso recurso de revisión en contra de la entrega de información que no guarda relación con la solicitada.</w:t>
      </w:r>
    </w:p>
    <w:p w:rsidR="00F72507" w:rsidRPr="00987A13" w:rsidRDefault="00F72507">
      <w:pPr>
        <w:tabs>
          <w:tab w:val="left" w:pos="933"/>
        </w:tabs>
        <w:spacing w:line="360" w:lineRule="auto"/>
        <w:jc w:val="both"/>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En dichas condiciones la </w:t>
      </w:r>
      <w:r w:rsidRPr="00987A13">
        <w:rPr>
          <w:rFonts w:ascii="Palatino Linotype" w:eastAsia="Palatino Linotype" w:hAnsi="Palatino Linotype" w:cs="Palatino Linotype"/>
          <w:i/>
          <w:iCs/>
        </w:rPr>
        <w:t>Litis</w:t>
      </w:r>
      <w:r w:rsidRPr="00987A13">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987A13">
        <w:rPr>
          <w:rFonts w:ascii="Palatino Linotype" w:eastAsia="Palatino Linotype" w:hAnsi="Palatino Linotype" w:cs="Palatino Linotype"/>
          <w:b/>
          <w:bCs/>
        </w:rPr>
        <w:t xml:space="preserve">fracción VI </w:t>
      </w:r>
      <w:r w:rsidRPr="00987A13">
        <w:rPr>
          <w:rFonts w:ascii="Palatino Linotype" w:eastAsia="Palatino Linotype" w:hAnsi="Palatino Linotype" w:cs="Palatino Linotype"/>
        </w:rPr>
        <w:t xml:space="preserve">de la </w:t>
      </w:r>
      <w:r w:rsidRPr="00987A13">
        <w:rPr>
          <w:rFonts w:ascii="Palatino Linotype" w:eastAsia="Palatino Linotype" w:hAnsi="Palatino Linotype" w:cs="Palatino Linotype"/>
          <w:b/>
          <w:bCs/>
        </w:rPr>
        <w:t>Ley de Transparencia y Acceso a la Información Pública del Estado de México y Municipios</w:t>
      </w:r>
      <w:r w:rsidRPr="00987A13">
        <w:rPr>
          <w:rFonts w:ascii="Palatino Linotype" w:eastAsia="Palatino Linotype" w:hAnsi="Palatino Linotype" w:cs="Palatino Linotype"/>
          <w:color w:val="000000"/>
        </w:rPr>
        <w:t>;</w:t>
      </w:r>
      <w:r w:rsidRPr="00987A13">
        <w:rPr>
          <w:rFonts w:ascii="Palatino Linotype" w:eastAsia="Palatino Linotype" w:hAnsi="Palatino Linotype" w:cs="Palatino Linotype"/>
        </w:rPr>
        <w:t xml:space="preserve"> fracción que determina la hipótesis jurídica relativa a la entrega de información que no corresponda con lo solicitado; contexto del cual se dolió </w:t>
      </w:r>
      <w:r w:rsidRPr="00987A13">
        <w:rPr>
          <w:rFonts w:ascii="Palatino Linotype" w:eastAsia="Palatino Linotype" w:hAnsi="Palatino Linotype" w:cs="Palatino Linotype"/>
          <w:b/>
          <w:bCs/>
        </w:rPr>
        <w:t xml:space="preserve">EL RECURRENTE </w:t>
      </w:r>
      <w:r w:rsidRPr="00987A13">
        <w:rPr>
          <w:rFonts w:ascii="Palatino Linotype" w:eastAsia="Palatino Linotype" w:hAnsi="Palatino Linotype" w:cs="Palatino Linotype"/>
        </w:rPr>
        <w:t>al momento de interponer su inconformidad.</w:t>
      </w:r>
    </w:p>
    <w:p w:rsidR="00F72507" w:rsidRPr="00987A13" w:rsidRDefault="00F72507">
      <w:pPr>
        <w:spacing w:line="360" w:lineRule="auto"/>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color w:val="000000"/>
        </w:rPr>
        <w:t xml:space="preserve">De modo tal que el presente Recurso de Revisión se </w:t>
      </w:r>
      <w:r w:rsidRPr="00987A13">
        <w:rPr>
          <w:rFonts w:ascii="Palatino Linotype" w:eastAsia="Palatino Linotype" w:hAnsi="Palatino Linotype" w:cs="Palatino Linotype"/>
        </w:rPr>
        <w:t>abocará</w:t>
      </w:r>
      <w:r w:rsidRPr="00987A13">
        <w:rPr>
          <w:rFonts w:ascii="Palatino Linotype" w:eastAsia="Palatino Linotype" w:hAnsi="Palatino Linotype" w:cs="Palatino Linotype"/>
          <w:color w:val="000000"/>
        </w:rPr>
        <w:t xml:space="preserve"> en determinar si el </w:t>
      </w:r>
      <w:r w:rsidRPr="00987A13">
        <w:rPr>
          <w:rFonts w:ascii="Palatino Linotype" w:eastAsia="Palatino Linotype" w:hAnsi="Palatino Linotype" w:cs="Palatino Linotype"/>
          <w:b/>
          <w:bCs/>
          <w:color w:val="000000"/>
        </w:rPr>
        <w:t>SUJETO</w:t>
      </w:r>
      <w:r w:rsidRPr="00987A13">
        <w:rPr>
          <w:rFonts w:ascii="Palatino Linotype" w:eastAsia="Palatino Linotype" w:hAnsi="Palatino Linotype" w:cs="Palatino Linotype"/>
          <w:color w:val="000000"/>
        </w:rPr>
        <w:t xml:space="preserve"> </w:t>
      </w:r>
      <w:r w:rsidRPr="00987A13">
        <w:rPr>
          <w:rFonts w:ascii="Palatino Linotype" w:eastAsia="Palatino Linotype" w:hAnsi="Palatino Linotype" w:cs="Palatino Linotype"/>
          <w:b/>
          <w:bCs/>
          <w:color w:val="000000"/>
        </w:rPr>
        <w:t>OBLIGADO</w:t>
      </w:r>
      <w:r w:rsidRPr="00987A13">
        <w:rPr>
          <w:rFonts w:ascii="Palatino Linotype" w:eastAsia="Palatino Linotype" w:hAnsi="Palatino Linotype" w:cs="Palatino Linotype"/>
          <w:color w:val="000000"/>
        </w:rPr>
        <w:t xml:space="preserve"> con su respuesta ciertamente actualiza la causal de procedencia</w:t>
      </w:r>
      <w:r w:rsidRPr="00987A13">
        <w:rPr>
          <w:rFonts w:ascii="Palatino Linotype" w:eastAsia="Palatino Linotype" w:hAnsi="Palatino Linotype" w:cs="Palatino Linotype"/>
          <w:b/>
          <w:bCs/>
          <w:color w:val="000000"/>
        </w:rPr>
        <w:t xml:space="preserve"> </w:t>
      </w:r>
      <w:r w:rsidRPr="00987A13">
        <w:rPr>
          <w:rFonts w:ascii="Palatino Linotype" w:eastAsia="Palatino Linotype" w:hAnsi="Palatino Linotype" w:cs="Palatino Linotype"/>
          <w:color w:val="000000"/>
        </w:rPr>
        <w:t xml:space="preserve">antes señalada. </w:t>
      </w:r>
    </w:p>
    <w:p w:rsidR="00F72507" w:rsidRPr="00987A13" w:rsidRDefault="00F72507">
      <w:pPr>
        <w:spacing w:line="360" w:lineRule="auto"/>
        <w:rPr>
          <w:rFonts w:ascii="Palatino Linotype" w:eastAsia="Palatino Linotype" w:hAnsi="Palatino Linotype" w:cs="Palatino Linotype"/>
        </w:rPr>
      </w:pPr>
    </w:p>
    <w:p w:rsidR="00F72507" w:rsidRPr="00987A13" w:rsidRDefault="001C4B97">
      <w:pPr>
        <w:pStyle w:val="Ttulo2"/>
        <w:spacing w:before="0" w:line="360" w:lineRule="auto"/>
        <w:rPr>
          <w:rFonts w:ascii="Palatino Linotype" w:eastAsia="Palatino Linotype" w:hAnsi="Palatino Linotype" w:cs="Palatino Linotype"/>
          <w:b/>
          <w:bCs/>
          <w:color w:val="000000"/>
          <w:sz w:val="24"/>
          <w:szCs w:val="24"/>
        </w:rPr>
      </w:pPr>
      <w:bookmarkStart w:id="8" w:name="_heading=h.3dy6vkm" w:colFirst="0" w:colLast="0"/>
      <w:bookmarkEnd w:id="8"/>
      <w:r w:rsidRPr="00987A13">
        <w:rPr>
          <w:rFonts w:ascii="Palatino Linotype" w:eastAsia="Palatino Linotype" w:hAnsi="Palatino Linotype" w:cs="Palatino Linotype"/>
          <w:b/>
          <w:bCs/>
          <w:color w:val="000000"/>
          <w:sz w:val="24"/>
          <w:szCs w:val="24"/>
        </w:rPr>
        <w:t>CUARTO. Del estudio y resolución del asunto.</w:t>
      </w: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987A13">
        <w:rPr>
          <w:rFonts w:ascii="Palatino Linotype" w:eastAsia="Palatino Linotype" w:hAnsi="Palatino Linotype" w:cs="Palatino Linotype"/>
          <w:color w:val="000000"/>
        </w:rPr>
        <w:t>determina</w:t>
      </w:r>
      <w:r w:rsidRPr="00987A13">
        <w:rPr>
          <w:rFonts w:ascii="Palatino Linotype" w:eastAsia="Palatino Linotype" w:hAnsi="Palatino Linotype" w:cs="Palatino Linotype"/>
        </w:rPr>
        <w:t xml:space="preserve">,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w:t>
      </w:r>
      <w:r w:rsidRPr="00987A13">
        <w:rPr>
          <w:rFonts w:ascii="Palatino Linotype" w:eastAsia="Palatino Linotype" w:hAnsi="Palatino Linotype" w:cs="Palatino Linotype"/>
        </w:rPr>
        <w:lastRenderedPageBreak/>
        <w:t>competencias o funciones desde su origen la eventual publicidad y reutilización de la información que generen.</w:t>
      </w:r>
    </w:p>
    <w:p w:rsidR="00F72507" w:rsidRPr="00987A13" w:rsidRDefault="00F72507">
      <w:pPr>
        <w:spacing w:line="360" w:lineRule="auto"/>
        <w:ind w:right="-929"/>
        <w:jc w:val="both"/>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Una vez sentado lo anterior, resulta oportuno traer a contexto la respuesta inicial en donde se informa de un enlace en donde a decir del </w:t>
      </w:r>
      <w:r w:rsidRPr="00987A13">
        <w:rPr>
          <w:rFonts w:ascii="Palatino Linotype" w:eastAsia="Palatino Linotype" w:hAnsi="Palatino Linotype" w:cs="Palatino Linotype"/>
          <w:b/>
          <w:bCs/>
        </w:rPr>
        <w:t>SUJETO OBLIGADO</w:t>
      </w:r>
      <w:r w:rsidRPr="00987A13">
        <w:rPr>
          <w:rFonts w:ascii="Palatino Linotype" w:eastAsia="Palatino Linotype" w:hAnsi="Palatino Linotype" w:cs="Palatino Linotype"/>
        </w:rPr>
        <w:t xml:space="preserve"> se puede obtener la información solicitada. Al respecto establecer que el derecho de acceso a la información </w:t>
      </w:r>
      <w:r w:rsidRPr="00987A13">
        <w:rPr>
          <w:rFonts w:ascii="Palatino Linotype" w:eastAsia="Palatino Linotype" w:hAnsi="Palatino Linotype" w:cs="Palatino Linotype"/>
        </w:rPr>
        <w:lastRenderedPageBreak/>
        <w:t>ciertamente se puede colmar con la entrega de enlaces de Internet, debiéndose para tal efecto cumplirse con las condiciones que establece la Ley de la Materia.</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Lo anterior en virtud que</w:t>
      </w:r>
      <w:r w:rsidRPr="00987A13">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obligados desde el momento de su generación, publicación y entrega vía hipervínculo, así como la forma en que se deberá consultar la información, señalando una fuente precisa y concreta, como se observa a continuación:</w:t>
      </w:r>
    </w:p>
    <w:p w:rsidR="00F72507" w:rsidRPr="00987A13" w:rsidRDefault="001C4B97">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Artículo 11.</w:t>
      </w:r>
      <w:r w:rsidRPr="00987A13">
        <w:rPr>
          <w:rFonts w:ascii="Palatino Linotype" w:eastAsia="Palatino Linotype" w:hAnsi="Palatino Linotype" w:cs="Palatino Linotype"/>
          <w:i/>
          <w:iCs/>
          <w:color w:val="000000"/>
        </w:rPr>
        <w:t xml:space="preserve"> </w:t>
      </w:r>
      <w:r w:rsidRPr="00987A13">
        <w:rPr>
          <w:rFonts w:ascii="Palatino Linotype" w:eastAsia="Palatino Linotype" w:hAnsi="Palatino Linotype" w:cs="Palatino Linotype"/>
          <w:b/>
          <w:bCs/>
          <w:i/>
          <w:iCs/>
          <w:color w:val="000000"/>
          <w:u w:val="single"/>
        </w:rPr>
        <w:t>En la generación, publicación y entrega de información se deberá garantizar que ésta sea accesible</w:t>
      </w:r>
      <w:r w:rsidRPr="00987A13">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F72507" w:rsidRPr="00987A13" w:rsidRDefault="001C4B97">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w:t>
      </w:r>
    </w:p>
    <w:p w:rsidR="00F72507" w:rsidRPr="00987A13" w:rsidRDefault="00F72507">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F72507" w:rsidRPr="00987A13" w:rsidRDefault="001C4B97">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sidRPr="00987A13">
        <w:rPr>
          <w:rFonts w:ascii="Palatino Linotype" w:eastAsia="Palatino Linotype" w:hAnsi="Palatino Linotype" w:cs="Palatino Linotype"/>
          <w:b/>
          <w:bCs/>
          <w:i/>
          <w:iCs/>
          <w:color w:val="000000"/>
        </w:rPr>
        <w:t>Artículo 161.</w:t>
      </w:r>
      <w:r w:rsidRPr="00987A13">
        <w:rPr>
          <w:rFonts w:ascii="Palatino Linotype" w:eastAsia="Palatino Linotype" w:hAnsi="Palatino Linotype" w:cs="Palatino Linotype"/>
          <w:i/>
          <w:iCs/>
          <w:color w:val="000000"/>
        </w:rPr>
        <w:t xml:space="preserve"> </w:t>
      </w:r>
      <w:r w:rsidRPr="00987A13">
        <w:rPr>
          <w:rFonts w:ascii="Palatino Linotype" w:eastAsia="Palatino Linotype" w:hAnsi="Palatino Linotype" w:cs="Palatino Linotype"/>
          <w:b/>
          <w:bCs/>
          <w:i/>
          <w:iCs/>
          <w:color w:val="000000"/>
          <w:u w:val="single"/>
        </w:rPr>
        <w:t>Cuando la información requerida por el solicitante ya esté</w:t>
      </w:r>
      <w:r w:rsidRPr="00987A13">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sidRPr="00987A13">
        <w:rPr>
          <w:rFonts w:ascii="Palatino Linotype" w:eastAsia="Palatino Linotype" w:hAnsi="Palatino Linotype" w:cs="Palatino Linotype"/>
          <w:b/>
          <w:bCs/>
          <w:i/>
          <w:iCs/>
          <w:color w:val="000000"/>
          <w:u w:val="single"/>
        </w:rPr>
        <w:t>disponibles en Internet</w:t>
      </w:r>
      <w:r w:rsidRPr="00987A13">
        <w:rPr>
          <w:rFonts w:ascii="Palatino Linotype" w:eastAsia="Palatino Linotype" w:hAnsi="Palatino Linotype" w:cs="Palatino Linotype"/>
          <w:i/>
          <w:iCs/>
          <w:color w:val="000000"/>
        </w:rPr>
        <w:t xml:space="preserve"> o en cualquier otro medio, </w:t>
      </w:r>
      <w:r w:rsidRPr="00987A13">
        <w:rPr>
          <w:rFonts w:ascii="Palatino Linotype" w:eastAsia="Palatino Linotype" w:hAnsi="Palatino Linotype" w:cs="Palatino Linotype"/>
          <w:b/>
          <w:bCs/>
          <w:i/>
          <w:iCs/>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lastRenderedPageBreak/>
        <w:t xml:space="preserve">De los artículos transcritos, se establecen las características que debe tener la </w:t>
      </w:r>
      <w:r w:rsidRPr="00987A13">
        <w:rPr>
          <w:rFonts w:ascii="Palatino Linotype" w:eastAsia="Palatino Linotype" w:hAnsi="Palatino Linotype" w:cs="Palatino Linotype"/>
          <w:color w:val="000000"/>
        </w:rPr>
        <w:t>información</w:t>
      </w:r>
      <w:r w:rsidRPr="00987A13">
        <w:rPr>
          <w:rFonts w:ascii="Palatino Linotype" w:eastAsia="Palatino Linotype" w:hAnsi="Palatino Linotype" w:cs="Palatino Linotype"/>
        </w:rPr>
        <w:t xml:space="preserve"> desde el momento de su generación, publicación y entrega, de igual manera se </w:t>
      </w:r>
      <w:r w:rsidRPr="00987A13">
        <w:rPr>
          <w:rFonts w:ascii="Palatino Linotype" w:eastAsia="Palatino Linotype" w:hAnsi="Palatino Linotype" w:cs="Palatino Linotype"/>
          <w:color w:val="000000"/>
        </w:rPr>
        <w:t>contempla</w:t>
      </w:r>
      <w:r w:rsidRPr="00987A13">
        <w:rPr>
          <w:rFonts w:ascii="Palatino Linotype" w:eastAsia="Palatino Linotype" w:hAnsi="Palatino Linotype" w:cs="Palatino Linotype"/>
        </w:rPr>
        <w:t xml:space="preserve">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F72507" w:rsidRPr="00987A13" w:rsidRDefault="001C4B97">
      <w:pPr>
        <w:numPr>
          <w:ilvl w:val="0"/>
          <w:numId w:val="4"/>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La fuente,</w:t>
      </w:r>
    </w:p>
    <w:p w:rsidR="00F72507" w:rsidRPr="00987A13" w:rsidRDefault="001C4B97">
      <w:pPr>
        <w:numPr>
          <w:ilvl w:val="0"/>
          <w:numId w:val="4"/>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El lugar, y</w:t>
      </w:r>
    </w:p>
    <w:p w:rsidR="00F72507" w:rsidRPr="00987A13" w:rsidRDefault="001C4B97">
      <w:pPr>
        <w:numPr>
          <w:ilvl w:val="0"/>
          <w:numId w:val="4"/>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La forma. </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Asimismo, se establece que la fuente de la información deberá ser:</w:t>
      </w:r>
    </w:p>
    <w:p w:rsidR="00F72507" w:rsidRPr="00987A13" w:rsidRDefault="001C4B97">
      <w:pPr>
        <w:numPr>
          <w:ilvl w:val="0"/>
          <w:numId w:val="5"/>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Precisa,</w:t>
      </w:r>
    </w:p>
    <w:p w:rsidR="00F72507" w:rsidRPr="00987A13" w:rsidRDefault="001C4B97">
      <w:pPr>
        <w:numPr>
          <w:ilvl w:val="0"/>
          <w:numId w:val="5"/>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Concreta,</w:t>
      </w:r>
    </w:p>
    <w:p w:rsidR="00F72507" w:rsidRPr="00987A13" w:rsidRDefault="001C4B97">
      <w:pPr>
        <w:numPr>
          <w:ilvl w:val="0"/>
          <w:numId w:val="5"/>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Y no debe implicar que el solicitante realice una búsqueda en toda la información que se encuentre disponible.</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Imperativos legales que establecen el procedimiento que debe seguir el Sujeto Obligado para que pueda tomarse como válida su orientación sobre la forma en que puede consultar la información requerida, y que, en el caso en concreto, si acontece, derivado que enlace se encuentra en formato abierto, es decir que basta con colocar el cursor sobre el enlace para que se active el hipervínculo y con solo dar clic dirija al contenido del enlace, como se observa:</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spacing w:line="360" w:lineRule="auto"/>
        <w:jc w:val="center"/>
        <w:rPr>
          <w:rFonts w:ascii="Palatino Linotype" w:eastAsia="Palatino Linotype" w:hAnsi="Palatino Linotype" w:cs="Palatino Linotype"/>
          <w:color w:val="000000"/>
        </w:rPr>
      </w:pPr>
      <w:r w:rsidRPr="00987A13">
        <w:rPr>
          <w:rFonts w:ascii="Palatino Linotype" w:eastAsia="Palatino Linotype" w:hAnsi="Palatino Linotype" w:cs="Palatino Linotype"/>
          <w:noProof/>
          <w:color w:val="000000"/>
          <w:lang w:val="es-MX"/>
        </w:rPr>
        <w:lastRenderedPageBreak/>
        <w:drawing>
          <wp:inline distT="0" distB="0" distL="0" distR="0">
            <wp:extent cx="4861313" cy="376588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61313" cy="3765882"/>
                    </a:xfrm>
                    <a:prstGeom prst="rect">
                      <a:avLst/>
                    </a:prstGeom>
                    <a:ln/>
                  </pic:spPr>
                </pic:pic>
              </a:graphicData>
            </a:graphic>
          </wp:inline>
        </w:drawing>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Sin embargo; el hecho que se pueda dar clic en el enlace, no puede ser considerado para tener por colmado el derecho de acceso a la información, pues el enlace remite al resultado siguiente:</w:t>
      </w:r>
    </w:p>
    <w:p w:rsidR="00F72507" w:rsidRPr="00987A13" w:rsidRDefault="001C4B97">
      <w:pPr>
        <w:spacing w:line="360" w:lineRule="auto"/>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noProof/>
          <w:color w:val="000000"/>
          <w:lang w:val="es-MX"/>
        </w:rPr>
        <w:drawing>
          <wp:inline distT="0" distB="0" distL="0" distR="0">
            <wp:extent cx="5671185" cy="185166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71185" cy="1851660"/>
                    </a:xfrm>
                    <a:prstGeom prst="rect">
                      <a:avLst/>
                    </a:prstGeom>
                    <a:ln/>
                  </pic:spPr>
                </pic:pic>
              </a:graphicData>
            </a:graphic>
          </wp:inline>
        </w:drawing>
      </w:r>
    </w:p>
    <w:p w:rsidR="00F72507" w:rsidRPr="00987A13" w:rsidRDefault="001C4B97">
      <w:pPr>
        <w:spacing w:line="360" w:lineRule="auto"/>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noProof/>
          <w:color w:val="000000"/>
          <w:lang w:val="es-MX"/>
        </w:rPr>
        <w:lastRenderedPageBreak/>
        <w:drawing>
          <wp:inline distT="0" distB="0" distL="0" distR="0">
            <wp:extent cx="5671185" cy="241173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71185" cy="2411730"/>
                    </a:xfrm>
                    <a:prstGeom prst="rect">
                      <a:avLst/>
                    </a:prstGeom>
                    <a:ln/>
                  </pic:spPr>
                </pic:pic>
              </a:graphicData>
            </a:graphic>
          </wp:inline>
        </w:drawing>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Luego entonces, se advierte que el enlace entregado no satisface la solicitud de información al obrar únicamente un registro correspondiente al Ejercicio Fiscal 2025, siendo que pidió de diversas anualidades. Por otro lado, el único registro que se encuentra del año 2025, no está relacionado con contratos celebrados para la ejecución del Festival referido en la solicitud de información.</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Si bien no se niega que en el sistema IPOMEX ya se encuentre contenida la información solicitada; también lo es que el enlace entregado en todo caso implica que se realice una búsqueda de información, lo que resulta contrario a lo dispuesto por la Ley de la materia para satisfacer el derecho de acceso a la información pública mediante la entrega de enlaces de Internet; es decir que este sea </w:t>
      </w:r>
      <w:r w:rsidRPr="00987A13">
        <w:rPr>
          <w:rFonts w:ascii="Palatino Linotype" w:eastAsia="Palatino Linotype" w:hAnsi="Palatino Linotype" w:cs="Palatino Linotype"/>
          <w:color w:val="000000"/>
          <w:u w:val="single"/>
        </w:rPr>
        <w:t>preciso y concreto</w:t>
      </w:r>
      <w:r w:rsidRPr="00987A13">
        <w:rPr>
          <w:rFonts w:ascii="Palatino Linotype" w:eastAsia="Palatino Linotype" w:hAnsi="Palatino Linotype" w:cs="Palatino Linotype"/>
          <w:color w:val="000000"/>
        </w:rPr>
        <w:t xml:space="preserve"> sin que implique una búsqueda al solicitante. </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Lo anterior se fortalece con la serie de pasos a seguir que aporta el </w:t>
      </w:r>
      <w:r w:rsidRPr="00987A13">
        <w:rPr>
          <w:rFonts w:ascii="Palatino Linotype" w:eastAsia="Palatino Linotype" w:hAnsi="Palatino Linotype" w:cs="Palatino Linotype"/>
          <w:b/>
          <w:bCs/>
          <w:color w:val="000000"/>
        </w:rPr>
        <w:t xml:space="preserve">SUJETO OBLIGADO </w:t>
      </w:r>
      <w:r w:rsidRPr="00987A13">
        <w:rPr>
          <w:rFonts w:ascii="Palatino Linotype" w:eastAsia="Palatino Linotype" w:hAnsi="Palatino Linotype" w:cs="Palatino Linotype"/>
          <w:color w:val="000000"/>
        </w:rPr>
        <w:t xml:space="preserve">en su respuesta, en donde se aprecia que incluso le instruye a realizar una </w:t>
      </w:r>
      <w:r w:rsidRPr="00987A13">
        <w:rPr>
          <w:rFonts w:ascii="Palatino Linotype" w:eastAsia="Palatino Linotype" w:hAnsi="Palatino Linotype" w:cs="Palatino Linotype"/>
          <w:color w:val="000000"/>
        </w:rPr>
        <w:lastRenderedPageBreak/>
        <w:t>búsqueda por el año que sea de su interés, ello resulta relevante pues en cada anualidad, existe diversa información que no necesariamente esté relacionada con contratos celebrados para el “Festival Quimera”, lo que evidentemente implica una búsqueda.</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Luego entonces, se concluye con claridad que los enlaces aportados no resultan suficientes para tener por colmado el derecho del ahora </w:t>
      </w:r>
      <w:r w:rsidRPr="00987A13">
        <w:rPr>
          <w:rFonts w:ascii="Palatino Linotype" w:eastAsia="Palatino Linotype" w:hAnsi="Palatino Linotype" w:cs="Palatino Linotype"/>
          <w:b/>
          <w:bCs/>
          <w:color w:val="000000"/>
        </w:rPr>
        <w:t xml:space="preserve">RECURRENTE; </w:t>
      </w:r>
      <w:r w:rsidRPr="00987A13">
        <w:rPr>
          <w:rFonts w:ascii="Palatino Linotype" w:eastAsia="Palatino Linotype" w:hAnsi="Palatino Linotype" w:cs="Palatino Linotype"/>
          <w:color w:val="000000"/>
        </w:rPr>
        <w:t xml:space="preserve">no obstante es importante destacar que de dicho pronunciamiento se desprende que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acepta de manera expresa que si genera, posee y administra la información solicitada, tan es así que informa que esta ya se encuentra publicada en una fuente de acceso público: resultado evidentemente la procedencia de ordenar dicho soporte documental omitiendo un análisis pormenorizado de su fuente de atribuciones para determinar si genera, posee o administra la información pues –se insiste– ya la asumió.</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No obstante lo anterior no es impedimento para realizar las siguientes precisiones a efecto de determinar la naturaleza jurídica y el marco normativo de lo solicitado, a lo que debemos traer a contexto lo dispuesto en la Ley de la Contratación Pública del Estado de México y Municipios, la cual tiene por objeto regular los actos relativos a la planeación, programación, presupuestación, ejecución y control de la adquisición, enajenación y arrendamiento de bienes, y la </w:t>
      </w:r>
      <w:r w:rsidRPr="00987A13">
        <w:rPr>
          <w:rFonts w:ascii="Palatino Linotype" w:eastAsia="Palatino Linotype" w:hAnsi="Palatino Linotype" w:cs="Palatino Linotype"/>
          <w:b/>
          <w:bCs/>
          <w:color w:val="000000"/>
        </w:rPr>
        <w:t>contratación de servicios de cualquier naturaleza, que realicen los Ayuntamientos del Estado</w:t>
      </w:r>
      <w:r w:rsidRPr="00987A13">
        <w:rPr>
          <w:rFonts w:ascii="Palatino Linotype" w:eastAsia="Palatino Linotype" w:hAnsi="Palatino Linotype" w:cs="Palatino Linotype"/>
          <w:color w:val="000000"/>
        </w:rPr>
        <w:t xml:space="preserve">; los cuales se </w:t>
      </w:r>
      <w:r w:rsidRPr="00987A13">
        <w:rPr>
          <w:rFonts w:ascii="Palatino Linotype" w:eastAsia="Palatino Linotype" w:hAnsi="Palatino Linotype" w:cs="Palatino Linotype"/>
        </w:rPr>
        <w:t>adjudicarán</w:t>
      </w:r>
      <w:r w:rsidRPr="00987A13">
        <w:rPr>
          <w:rFonts w:ascii="Palatino Linotype" w:eastAsia="Palatino Linotype" w:hAnsi="Palatino Linotype" w:cs="Palatino Linotype"/>
          <w:color w:val="000000"/>
        </w:rPr>
        <w:t xml:space="preserve"> a través de </w:t>
      </w:r>
      <w:r w:rsidRPr="00987A13">
        <w:rPr>
          <w:rFonts w:ascii="Palatino Linotype" w:eastAsia="Palatino Linotype" w:hAnsi="Palatino Linotype" w:cs="Palatino Linotype"/>
          <w:color w:val="000000"/>
          <w:u w:val="single"/>
        </w:rPr>
        <w:t>licitaciones públicas</w:t>
      </w:r>
      <w:r w:rsidRPr="00987A13">
        <w:rPr>
          <w:rFonts w:ascii="Palatino Linotype" w:eastAsia="Palatino Linotype" w:hAnsi="Palatino Linotype" w:cs="Palatino Linotype"/>
          <w:color w:val="000000"/>
        </w:rPr>
        <w:t>, i</w:t>
      </w:r>
      <w:r w:rsidRPr="00987A13">
        <w:rPr>
          <w:rFonts w:ascii="Palatino Linotype" w:eastAsia="Palatino Linotype" w:hAnsi="Palatino Linotype" w:cs="Palatino Linotype"/>
          <w:color w:val="000000"/>
          <w:u w:val="single"/>
        </w:rPr>
        <w:t>nvitación restringida o adjudicación directa,</w:t>
      </w:r>
      <w:r w:rsidRPr="00987A13">
        <w:rPr>
          <w:rFonts w:ascii="Palatino Linotype" w:eastAsia="Palatino Linotype" w:hAnsi="Palatino Linotype" w:cs="Palatino Linotype"/>
          <w:color w:val="000000"/>
        </w:rPr>
        <w:t xml:space="preserve"> mediante convocatoria pública, tal y como lo establecen los artículos 4, 26 y 27 de dicha Ley, los cuales son del tenor siguiente:</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lastRenderedPageBreak/>
        <w:t>“</w:t>
      </w:r>
      <w:r w:rsidRPr="00987A13">
        <w:rPr>
          <w:rFonts w:ascii="Palatino Linotype" w:eastAsia="Palatino Linotype" w:hAnsi="Palatino Linotype" w:cs="Palatino Linotype"/>
          <w:b/>
          <w:bCs/>
          <w:i/>
          <w:iCs/>
        </w:rPr>
        <w:t>Artículo 4.-</w:t>
      </w:r>
      <w:r w:rsidRPr="00987A13">
        <w:rPr>
          <w:rFonts w:ascii="Palatino Linotype" w:eastAsia="Palatino Linotype" w:hAnsi="Palatino Linotype" w:cs="Palatino Linotype"/>
          <w:i/>
          <w:iCs/>
        </w:rPr>
        <w:t xml:space="preserve"> Para los efectos de esta Ley, en las adquisiciones, enajenaciones, arrendamientos y servicios, quedan comprendidos: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 La adquisición de bienes muebles.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II. La adquisición de bienes inmuebles, a través de compraventa.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III. La enajenación de bienes muebles e inmuebles.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IV. El arrendamiento de bienes muebles e inmuebles.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V. La contratación de los servicios, relacionados con bienes muebles que se encuentran incorporados o adheridos a bienes inmuebles, cuya instalación o mantenimiento no implique modificación al bien inmueble.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VI. La contratación de los servicios de reconstrucción y mantenimiento de bienes muebles.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VII. La contratación de los servicios de maquila, seguros y transportación, así como de los de limpieza y vigilancia de bienes inmuebles</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VIII. La prestación de servicios profesionales, la contratación de consultorías, asesorías y estudios e investigaciones, excepto la contratación de servicios personales de personas físicas bajo el régimen de honorarios. </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En general, otros actos que impliquen la contratación de servicios de cualquier naturaleza.</w:t>
      </w:r>
    </w:p>
    <w:p w:rsidR="00F72507" w:rsidRPr="00987A13" w:rsidRDefault="001C4B97">
      <w:pPr>
        <w:spacing w:line="360" w:lineRule="auto"/>
        <w:ind w:left="851" w:right="822"/>
        <w:jc w:val="both"/>
        <w:rPr>
          <w:rFonts w:ascii="Palatino Linotype" w:eastAsia="Palatino Linotype" w:hAnsi="Palatino Linotype" w:cs="Palatino Linotype"/>
          <w:b/>
          <w:bCs/>
          <w:i/>
          <w:iCs/>
        </w:rPr>
      </w:pPr>
      <w:r w:rsidRPr="00987A13">
        <w:rPr>
          <w:rFonts w:ascii="Palatino Linotype" w:eastAsia="Palatino Linotype" w:hAnsi="Palatino Linotype" w:cs="Palatino Linotype"/>
          <w:b/>
          <w:bCs/>
          <w:i/>
          <w:iCs/>
        </w:rPr>
        <w:t>Artículo 26.- Las adquisiciones, arrendamientos y servicios se adjudicarán a través de licitaciones públicas, mediante convocatoria pública.</w:t>
      </w:r>
    </w:p>
    <w:p w:rsidR="00F72507" w:rsidRPr="00987A13" w:rsidRDefault="00F72507">
      <w:pPr>
        <w:spacing w:line="360" w:lineRule="auto"/>
        <w:ind w:left="851" w:right="822"/>
        <w:jc w:val="both"/>
        <w:rPr>
          <w:rFonts w:ascii="Palatino Linotype" w:eastAsia="Palatino Linotype" w:hAnsi="Palatino Linotype" w:cs="Palatino Linotype"/>
          <w:b/>
          <w:bCs/>
          <w:i/>
          <w:iCs/>
        </w:rPr>
      </w:pP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 xml:space="preserve">Artículo 27.- </w:t>
      </w:r>
      <w:r w:rsidRPr="00987A13">
        <w:rPr>
          <w:rFonts w:ascii="Palatino Linotype" w:eastAsia="Palatino Linotype" w:hAnsi="Palatino Linotype" w:cs="Palatino Linotype"/>
          <w:i/>
          <w:iCs/>
        </w:rPr>
        <w:t xml:space="preserve">La Secretaría, las entidades, los tribunales administrativos y los ayuntamientos podrán adjudicar adquisiciones, arrendamientos y servicios, </w:t>
      </w:r>
      <w:r w:rsidRPr="00987A13">
        <w:rPr>
          <w:rFonts w:ascii="Palatino Linotype" w:eastAsia="Palatino Linotype" w:hAnsi="Palatino Linotype" w:cs="Palatino Linotype"/>
          <w:i/>
          <w:iCs/>
        </w:rPr>
        <w:lastRenderedPageBreak/>
        <w:t xml:space="preserve">mediante las excepciones al procedimiento de licitación que a continuación se señalan: </w:t>
      </w:r>
    </w:p>
    <w:p w:rsidR="00F72507" w:rsidRPr="00987A13" w:rsidRDefault="001C4B97">
      <w:pPr>
        <w:spacing w:line="360" w:lineRule="auto"/>
        <w:ind w:left="851" w:right="822"/>
        <w:jc w:val="both"/>
        <w:rPr>
          <w:rFonts w:ascii="Palatino Linotype" w:eastAsia="Palatino Linotype" w:hAnsi="Palatino Linotype" w:cs="Palatino Linotype"/>
          <w:b/>
          <w:bCs/>
          <w:i/>
          <w:iCs/>
        </w:rPr>
      </w:pPr>
      <w:r w:rsidRPr="00987A13">
        <w:rPr>
          <w:rFonts w:ascii="Palatino Linotype" w:eastAsia="Palatino Linotype" w:hAnsi="Palatino Linotype" w:cs="Palatino Linotype"/>
          <w:b/>
          <w:bCs/>
          <w:i/>
          <w:iCs/>
        </w:rPr>
        <w:t xml:space="preserve">I. Invitación restringida. </w:t>
      </w:r>
    </w:p>
    <w:p w:rsidR="00F72507" w:rsidRPr="00987A13" w:rsidRDefault="001C4B97">
      <w:pPr>
        <w:spacing w:line="360" w:lineRule="auto"/>
        <w:ind w:left="851" w:right="822"/>
        <w:jc w:val="both"/>
        <w:rPr>
          <w:rFonts w:ascii="Palatino Linotype" w:eastAsia="Palatino Linotype" w:hAnsi="Palatino Linotype" w:cs="Palatino Linotype"/>
          <w:b/>
          <w:bCs/>
          <w:i/>
          <w:iCs/>
        </w:rPr>
      </w:pPr>
      <w:r w:rsidRPr="00987A13">
        <w:rPr>
          <w:rFonts w:ascii="Palatino Linotype" w:eastAsia="Palatino Linotype" w:hAnsi="Palatino Linotype" w:cs="Palatino Linotype"/>
          <w:b/>
          <w:bCs/>
          <w:i/>
          <w:iCs/>
        </w:rPr>
        <w:t>II. Adjudicación directa.”</w:t>
      </w:r>
    </w:p>
    <w:p w:rsidR="00F72507" w:rsidRPr="00987A13" w:rsidRDefault="001C4B97">
      <w:pPr>
        <w:spacing w:line="360" w:lineRule="auto"/>
        <w:ind w:left="567" w:right="567"/>
        <w:rPr>
          <w:rFonts w:ascii="Palatino Linotype" w:eastAsia="Palatino Linotype" w:hAnsi="Palatino Linotype" w:cs="Palatino Linotype"/>
        </w:rPr>
      </w:pPr>
      <w:r w:rsidRPr="00987A13">
        <w:rPr>
          <w:rFonts w:ascii="Palatino Linotype" w:eastAsia="Palatino Linotype" w:hAnsi="Palatino Linotype" w:cs="Palatino Linotype"/>
        </w:rPr>
        <w:t xml:space="preserve">(Énfasis añadido) </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Asimismo, en las licitaciones se debe seguir el procedimiento marcado en el artículo 35 del precitado ordenamiento, que literalmente establece:</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“Artículo 35</w:t>
      </w:r>
      <w:r w:rsidRPr="00987A13">
        <w:rPr>
          <w:rFonts w:ascii="Palatino Linotype" w:eastAsia="Palatino Linotype" w:hAnsi="Palatino Linotype" w:cs="Palatino Linotype"/>
          <w:i/>
          <w:iCs/>
        </w:rPr>
        <w:t>.- En los procedimientos de licitación pública se observará lo siguiente:</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I. El acto de presentación y apertura de propuestas se llevará a cabo por el servidor público que designe la convocante, conforme al procedimiento que se establezca en el reglamento de esta Ley.</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II. El comité de adquisiciones y servicios evaluará y analizará las propuestas técnicas y económicas presentadas por los licitantes en el ámbito de las respectivas competencias de sus integrantes, y emitirá el dictamen de adjudicación.</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III. Las bases de licitación se pondrán a la venta a partir de la fecha de publicación de la convocatoria y hasta el día hábil anterior a la fecha de celebración </w:t>
      </w:r>
      <w:r w:rsidRPr="00987A13">
        <w:rPr>
          <w:rFonts w:ascii="Palatino Linotype" w:eastAsia="Palatino Linotype" w:hAnsi="Palatino Linotype" w:cs="Palatino Linotype"/>
          <w:b/>
          <w:bCs/>
          <w:i/>
          <w:iCs/>
        </w:rPr>
        <w:t xml:space="preserve">de la </w:t>
      </w:r>
      <w:r w:rsidRPr="00987A13">
        <w:rPr>
          <w:rFonts w:ascii="Palatino Linotype" w:eastAsia="Palatino Linotype" w:hAnsi="Palatino Linotype" w:cs="Palatino Linotype"/>
          <w:i/>
          <w:iCs/>
        </w:rPr>
        <w:t>junta de aclaraciones o, en su defecto, del acto de presentación y apertura de propuestas.</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IV. Las convocantes podrán modificar los plazos y términos establecidos en la convocatoria o en las bases de licitación, hasta cinco días hábiles anteriores a la fecha de la celebración del acto de presentación y apertura de propuestas.</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V. Las modificaciones no podrán limitar el número de licitantes, sustituir o variar sustancialmente los bienes o servicios convocados originalmente, ni adicionar otros  distintos.</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lastRenderedPageBreak/>
        <w:t>VI. Las modificaciones a la convocatoria o a las bases se harán del conocimiento de los interesados hasta tres días hábiles antes de la fecha señalada para el acto de presentación y apertura de propuestas.</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VII. Se emitirá el fallo dentro de los 15 días hábiles siguientes a la publicación de la convocatoria.</w:t>
      </w:r>
    </w:p>
    <w:p w:rsidR="00F72507" w:rsidRPr="00987A13" w:rsidRDefault="001C4B97">
      <w:pPr>
        <w:spacing w:line="360" w:lineRule="auto"/>
        <w:ind w:left="567" w:right="567"/>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VIII. Los licitantes se podrán registrar hasta el día y la hora fijados para el acto de presentación y apertura de propuestas.</w:t>
      </w:r>
      <w:r w:rsidRPr="00987A13">
        <w:rPr>
          <w:rFonts w:ascii="Palatino Linotype" w:eastAsia="Palatino Linotype" w:hAnsi="Palatino Linotype" w:cs="Palatino Linotype"/>
          <w:b/>
          <w:bCs/>
          <w:i/>
          <w:iCs/>
        </w:rPr>
        <w:t>”</w:t>
      </w:r>
    </w:p>
    <w:p w:rsidR="00F72507" w:rsidRPr="00987A13" w:rsidRDefault="001C4B97">
      <w:pPr>
        <w:spacing w:line="360" w:lineRule="auto"/>
        <w:ind w:left="567" w:right="567"/>
        <w:rPr>
          <w:rFonts w:ascii="Palatino Linotype" w:eastAsia="Palatino Linotype" w:hAnsi="Palatino Linotype" w:cs="Palatino Linotype"/>
        </w:rPr>
      </w:pPr>
      <w:r w:rsidRPr="00987A13">
        <w:rPr>
          <w:rFonts w:ascii="Palatino Linotype" w:eastAsia="Palatino Linotype" w:hAnsi="Palatino Linotype" w:cs="Palatino Linotype"/>
        </w:rPr>
        <w:t>(Énfasis añadido)</w:t>
      </w:r>
    </w:p>
    <w:p w:rsidR="00F72507" w:rsidRPr="00987A13" w:rsidRDefault="00F72507">
      <w:pPr>
        <w:spacing w:line="360" w:lineRule="auto"/>
        <w:ind w:left="567" w:right="567"/>
        <w:jc w:val="right"/>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F72507" w:rsidRPr="00987A13" w:rsidRDefault="00F7250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En este sentido, debe decirse que los </w:t>
      </w:r>
      <w:r w:rsidRPr="00987A13">
        <w:rPr>
          <w:rFonts w:ascii="Palatino Linotype" w:eastAsia="Palatino Linotype" w:hAnsi="Palatino Linotype" w:cs="Palatino Linotype"/>
          <w:b/>
          <w:bCs/>
          <w:color w:val="000000"/>
          <w:u w:val="single"/>
        </w:rPr>
        <w:t>expedientes de las adquisiciones, arrendamientos, enajenaciones y servicios</w:t>
      </w:r>
      <w:r w:rsidRPr="00987A13">
        <w:rPr>
          <w:rFonts w:ascii="Palatino Linotype" w:eastAsia="Palatino Linotype" w:hAnsi="Palatino Linotype" w:cs="Palatino Linotype"/>
          <w:color w:val="000000"/>
        </w:rPr>
        <w:t xml:space="preserve">, se encuentra considerada como una de las obligaciones de transparencias comunes que los Sujetos Obligados tienen el deber de poner </w:t>
      </w:r>
      <w:r w:rsidRPr="00987A13">
        <w:rPr>
          <w:rFonts w:ascii="Palatino Linotype" w:eastAsia="Palatino Linotype" w:hAnsi="Palatino Linotype" w:cs="Palatino Linotype"/>
          <w:color w:val="000000"/>
        </w:rPr>
        <w:lastRenderedPageBreak/>
        <w:t>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“Artículo 92. </w:t>
      </w:r>
      <w:r w:rsidRPr="00987A13">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i/>
          <w:iCs/>
        </w:rPr>
        <w:t>(…)</w:t>
      </w:r>
    </w:p>
    <w:p w:rsidR="00F72507" w:rsidRPr="00987A13" w:rsidRDefault="00F72507">
      <w:pPr>
        <w:spacing w:line="360" w:lineRule="auto"/>
        <w:ind w:left="851" w:right="822"/>
        <w:jc w:val="both"/>
        <w:rPr>
          <w:rFonts w:ascii="Palatino Linotype" w:eastAsia="Palatino Linotype" w:hAnsi="Palatino Linotype" w:cs="Palatino Linotype"/>
          <w:b/>
          <w:bCs/>
          <w:i/>
          <w:iCs/>
        </w:rPr>
      </w:pP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XXIX. </w:t>
      </w:r>
      <w:r w:rsidRPr="00987A13">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w:t>
      </w:r>
      <w:r w:rsidRPr="00987A13">
        <w:rPr>
          <w:rFonts w:ascii="Palatino Linotype" w:eastAsia="Palatino Linotype" w:hAnsi="Palatino Linotype" w:cs="Palatino Linotype"/>
          <w:b/>
          <w:bCs/>
          <w:i/>
          <w:iCs/>
          <w:u w:val="single"/>
        </w:rPr>
        <w:t>incluyendo la versión pública del expediente respectivo y de los contratos</w:t>
      </w:r>
      <w:r w:rsidRPr="00987A13">
        <w:rPr>
          <w:rFonts w:ascii="Palatino Linotype" w:eastAsia="Palatino Linotype" w:hAnsi="Palatino Linotype" w:cs="Palatino Linotype"/>
          <w:i/>
          <w:iCs/>
        </w:rPr>
        <w:t> celebrados, que deberán contener, por los menos, lo siguiente:</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a) </w:t>
      </w:r>
      <w:r w:rsidRPr="00987A13">
        <w:rPr>
          <w:rFonts w:ascii="Palatino Linotype" w:eastAsia="Palatino Linotype" w:hAnsi="Palatino Linotype" w:cs="Palatino Linotype"/>
          <w:i/>
          <w:iCs/>
        </w:rPr>
        <w:t>De licitaciones públicas o procedimientos de invitación restringida:</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w:t>
      </w:r>
      <w:r w:rsidRPr="00987A13">
        <w:rPr>
          <w:rFonts w:ascii="Palatino Linotype" w:eastAsia="Palatino Linotype" w:hAnsi="Palatino Linotype" w:cs="Palatino Linotype"/>
          <w:i/>
          <w:iCs/>
        </w:rPr>
        <w:t> La convocatoria o invitación emitida, así como los fundamentos legales aplicados para llevarla a cabo;</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2) </w:t>
      </w:r>
      <w:r w:rsidRPr="00987A13">
        <w:rPr>
          <w:rFonts w:ascii="Palatino Linotype" w:eastAsia="Palatino Linotype" w:hAnsi="Palatino Linotype" w:cs="Palatino Linotype"/>
          <w:i/>
          <w:iCs/>
        </w:rPr>
        <w:t>Los nombres de los participantes o invitados;</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3)</w:t>
      </w:r>
      <w:r w:rsidRPr="00987A13">
        <w:rPr>
          <w:rFonts w:ascii="Palatino Linotype" w:eastAsia="Palatino Linotype" w:hAnsi="Palatino Linotype" w:cs="Palatino Linotype"/>
          <w:i/>
          <w:iCs/>
        </w:rPr>
        <w:t> El nombre del ganador y las razones que lo justifican;</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4) </w:t>
      </w:r>
      <w:r w:rsidRPr="00987A13">
        <w:rPr>
          <w:rFonts w:ascii="Palatino Linotype" w:eastAsia="Palatino Linotype" w:hAnsi="Palatino Linotype" w:cs="Palatino Linotype"/>
          <w:i/>
          <w:iCs/>
        </w:rPr>
        <w:t>El área solicitante y la responsable de su ejecución;</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5) </w:t>
      </w:r>
      <w:r w:rsidRPr="00987A13">
        <w:rPr>
          <w:rFonts w:ascii="Palatino Linotype" w:eastAsia="Palatino Linotype" w:hAnsi="Palatino Linotype" w:cs="Palatino Linotype"/>
          <w:i/>
          <w:iCs/>
        </w:rPr>
        <w:t>Las convocatorias e invitaciones emitidas;</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6) Los dictámenes y fallo de adjudicación;</w:t>
      </w:r>
    </w:p>
    <w:p w:rsidR="00F72507" w:rsidRPr="00987A13" w:rsidRDefault="001C4B97">
      <w:pPr>
        <w:spacing w:line="360" w:lineRule="auto"/>
        <w:ind w:left="851" w:right="822"/>
        <w:jc w:val="both"/>
        <w:rPr>
          <w:rFonts w:ascii="Palatino Linotype" w:eastAsia="Palatino Linotype" w:hAnsi="Palatino Linotype" w:cs="Palatino Linotype"/>
          <w:b/>
          <w:bCs/>
          <w:i/>
          <w:iCs/>
        </w:rPr>
      </w:pPr>
      <w:r w:rsidRPr="00987A13">
        <w:rPr>
          <w:rFonts w:ascii="Palatino Linotype" w:eastAsia="Palatino Linotype" w:hAnsi="Palatino Linotype" w:cs="Palatino Linotype"/>
          <w:b/>
          <w:bCs/>
          <w:i/>
          <w:iCs/>
          <w:u w:val="single"/>
        </w:rPr>
        <w:lastRenderedPageBreak/>
        <w:t>7) El contrato y, en su caso, sus anexos</w:t>
      </w:r>
      <w:r w:rsidRPr="00987A13">
        <w:rPr>
          <w:rFonts w:ascii="Palatino Linotype" w:eastAsia="Palatino Linotype" w:hAnsi="Palatino Linotype" w:cs="Palatino Linotype"/>
          <w:b/>
          <w:bCs/>
          <w:i/>
          <w:iCs/>
        </w:rPr>
        <w:t>;</w:t>
      </w:r>
    </w:p>
    <w:p w:rsidR="00F72507" w:rsidRPr="00987A13" w:rsidRDefault="001C4B97">
      <w:pPr>
        <w:spacing w:line="360" w:lineRule="auto"/>
        <w:ind w:left="851" w:right="82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8) Los mecanismos de vigilancia y supervisión, incluyendo en su caso, los estudios de impacto urbano y ambiental, según corresponda;</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9) </w:t>
      </w:r>
      <w:r w:rsidRPr="00987A13">
        <w:rPr>
          <w:rFonts w:ascii="Palatino Linotype" w:eastAsia="Palatino Linotype" w:hAnsi="Palatino Linotype" w:cs="Palatino Linotype"/>
          <w:i/>
          <w:iCs/>
        </w:rPr>
        <w:t>La partida presupuestal, de conformidad con el clasificador por objeto del gasto, en el caso de ser aplicable;</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11) </w:t>
      </w:r>
      <w:r w:rsidRPr="00987A13">
        <w:rPr>
          <w:rFonts w:ascii="Palatino Linotype" w:eastAsia="Palatino Linotype" w:hAnsi="Palatino Linotype" w:cs="Palatino Linotype"/>
          <w:i/>
          <w:iCs/>
        </w:rPr>
        <w:t>Los convenios modificatorios que, en su caso, sean firmados, precisando el objeto y la fecha de celebración;</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12) </w:t>
      </w:r>
      <w:r w:rsidRPr="00987A13">
        <w:rPr>
          <w:rFonts w:ascii="Palatino Linotype" w:eastAsia="Palatino Linotype" w:hAnsi="Palatino Linotype" w:cs="Palatino Linotype"/>
          <w:i/>
          <w:iCs/>
        </w:rPr>
        <w:t>Los informes de avance físico y financiero sobre las obras o servicios contratados;</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13) </w:t>
      </w:r>
      <w:r w:rsidRPr="00987A13">
        <w:rPr>
          <w:rFonts w:ascii="Palatino Linotype" w:eastAsia="Palatino Linotype" w:hAnsi="Palatino Linotype" w:cs="Palatino Linotype"/>
          <w:i/>
          <w:iCs/>
        </w:rPr>
        <w:t>El convenio de terminación; y</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14) </w:t>
      </w:r>
      <w:r w:rsidRPr="00987A13">
        <w:rPr>
          <w:rFonts w:ascii="Palatino Linotype" w:eastAsia="Palatino Linotype" w:hAnsi="Palatino Linotype" w:cs="Palatino Linotype"/>
          <w:i/>
          <w:iCs/>
        </w:rPr>
        <w:t>El finiquito.</w:t>
      </w:r>
    </w:p>
    <w:p w:rsidR="00F72507" w:rsidRPr="00987A13" w:rsidRDefault="001C4B97">
      <w:pPr>
        <w:spacing w:line="360" w:lineRule="auto"/>
        <w:ind w:left="851" w:right="822"/>
        <w:jc w:val="both"/>
        <w:rPr>
          <w:rFonts w:ascii="Palatino Linotype" w:eastAsia="Palatino Linotype" w:hAnsi="Palatino Linotype" w:cs="Palatino Linotype"/>
          <w:b/>
          <w:bCs/>
        </w:rPr>
      </w:pPr>
      <w:r w:rsidRPr="00987A13">
        <w:rPr>
          <w:rFonts w:ascii="Palatino Linotype" w:eastAsia="Palatino Linotype" w:hAnsi="Palatino Linotype" w:cs="Palatino Linotype"/>
          <w:b/>
          <w:bCs/>
          <w:i/>
          <w:iCs/>
        </w:rPr>
        <w:t>b) De las adjudicaciones directas:</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 </w:t>
      </w:r>
      <w:r w:rsidRPr="00987A13">
        <w:rPr>
          <w:rFonts w:ascii="Palatino Linotype" w:eastAsia="Palatino Linotype" w:hAnsi="Palatino Linotype" w:cs="Palatino Linotype"/>
          <w:i/>
          <w:iCs/>
        </w:rPr>
        <w:t>La propuesta enviada por el participante;</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2) </w:t>
      </w:r>
      <w:r w:rsidRPr="00987A13">
        <w:rPr>
          <w:rFonts w:ascii="Palatino Linotype" w:eastAsia="Palatino Linotype" w:hAnsi="Palatino Linotype" w:cs="Palatino Linotype"/>
          <w:i/>
          <w:iCs/>
        </w:rPr>
        <w:t>Los motivos y fundamentos legales aplicados para llevarla a cabo;</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3) </w:t>
      </w:r>
      <w:r w:rsidRPr="00987A13">
        <w:rPr>
          <w:rFonts w:ascii="Palatino Linotype" w:eastAsia="Palatino Linotype" w:hAnsi="Palatino Linotype" w:cs="Palatino Linotype"/>
          <w:i/>
          <w:iCs/>
        </w:rPr>
        <w:t>La autorización del ejercicio de la opción;</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i/>
          <w:iCs/>
        </w:rPr>
        <w:t>4) En su caso, las cotizaciones consideradas, especificando los nombres de los proveedores y sus montos;</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5) </w:t>
      </w:r>
      <w:r w:rsidRPr="00987A13">
        <w:rPr>
          <w:rFonts w:ascii="Palatino Linotype" w:eastAsia="Palatino Linotype" w:hAnsi="Palatino Linotype" w:cs="Palatino Linotype"/>
          <w:i/>
          <w:iCs/>
        </w:rPr>
        <w:t>El nombre de la persona física o jurídica colectiva adjudicada;</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6) </w:t>
      </w:r>
      <w:r w:rsidRPr="00987A13">
        <w:rPr>
          <w:rFonts w:ascii="Palatino Linotype" w:eastAsia="Palatino Linotype" w:hAnsi="Palatino Linotype" w:cs="Palatino Linotype"/>
          <w:i/>
          <w:iCs/>
        </w:rPr>
        <w:t>La unidad administrativa solicitante y la responsable de su ejecución;</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7)</w:t>
      </w:r>
      <w:r w:rsidRPr="00987A13">
        <w:rPr>
          <w:rFonts w:ascii="Palatino Linotype" w:eastAsia="Palatino Linotype" w:hAnsi="Palatino Linotype" w:cs="Palatino Linotype"/>
          <w:i/>
          <w:iCs/>
        </w:rPr>
        <w:t> El número, fecha, el monto del contrato y el plazo de entrega o de ejecución de los servicios u obra;</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8) </w:t>
      </w:r>
      <w:r w:rsidRPr="00987A13">
        <w:rPr>
          <w:rFonts w:ascii="Palatino Linotype" w:eastAsia="Palatino Linotype" w:hAnsi="Palatino Linotype" w:cs="Palatino Linotype"/>
          <w:i/>
          <w:iCs/>
        </w:rPr>
        <w:t>Los mecanismos de vigilancia y supervisión, incluyendo, en su caso, los estudios de impacto urbano y ambiental, según corresponda;</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lastRenderedPageBreak/>
        <w:t>9) </w:t>
      </w:r>
      <w:r w:rsidRPr="00987A13">
        <w:rPr>
          <w:rFonts w:ascii="Palatino Linotype" w:eastAsia="Palatino Linotype" w:hAnsi="Palatino Linotype" w:cs="Palatino Linotype"/>
          <w:i/>
          <w:iCs/>
        </w:rPr>
        <w:t>Los informes de avance sobre las obras o servicios contratados;</w:t>
      </w:r>
    </w:p>
    <w:p w:rsidR="00F72507" w:rsidRPr="00987A13" w:rsidRDefault="001C4B97">
      <w:pPr>
        <w:spacing w:line="360" w:lineRule="auto"/>
        <w:ind w:left="851" w:right="822"/>
        <w:jc w:val="both"/>
        <w:rPr>
          <w:rFonts w:ascii="Palatino Linotype" w:eastAsia="Palatino Linotype" w:hAnsi="Palatino Linotype" w:cs="Palatino Linotype"/>
        </w:rPr>
      </w:pPr>
      <w:r w:rsidRPr="00987A13">
        <w:rPr>
          <w:rFonts w:ascii="Palatino Linotype" w:eastAsia="Palatino Linotype" w:hAnsi="Palatino Linotype" w:cs="Palatino Linotype"/>
          <w:b/>
          <w:bCs/>
          <w:i/>
          <w:iCs/>
        </w:rPr>
        <w:t>10) </w:t>
      </w:r>
      <w:r w:rsidRPr="00987A13">
        <w:rPr>
          <w:rFonts w:ascii="Palatino Linotype" w:eastAsia="Palatino Linotype" w:hAnsi="Palatino Linotype" w:cs="Palatino Linotype"/>
          <w:i/>
          <w:iCs/>
        </w:rPr>
        <w:t>El convenio de terminación; y</w:t>
      </w:r>
    </w:p>
    <w:p w:rsidR="00F72507" w:rsidRPr="00987A13" w:rsidRDefault="001C4B97">
      <w:pPr>
        <w:spacing w:line="360" w:lineRule="auto"/>
        <w:ind w:left="851" w:right="822"/>
        <w:jc w:val="both"/>
        <w:rPr>
          <w:rFonts w:ascii="Palatino Linotype" w:eastAsia="Palatino Linotype" w:hAnsi="Palatino Linotype" w:cs="Palatino Linotype"/>
          <w:b/>
          <w:bCs/>
        </w:rPr>
      </w:pPr>
      <w:r w:rsidRPr="00987A13">
        <w:rPr>
          <w:rFonts w:ascii="Palatino Linotype" w:eastAsia="Palatino Linotype" w:hAnsi="Palatino Linotype" w:cs="Palatino Linotype"/>
          <w:b/>
          <w:bCs/>
          <w:i/>
          <w:iCs/>
        </w:rPr>
        <w:t>11) </w:t>
      </w:r>
      <w:r w:rsidRPr="00987A13">
        <w:rPr>
          <w:rFonts w:ascii="Palatino Linotype" w:eastAsia="Palatino Linotype" w:hAnsi="Palatino Linotype" w:cs="Palatino Linotype"/>
          <w:i/>
          <w:iCs/>
        </w:rPr>
        <w:t>El finiquito.</w:t>
      </w:r>
      <w:r w:rsidRPr="00987A13">
        <w:rPr>
          <w:rFonts w:ascii="Palatino Linotype" w:eastAsia="Palatino Linotype" w:hAnsi="Palatino Linotype" w:cs="Palatino Linotype"/>
          <w:b/>
          <w:bCs/>
          <w:i/>
          <w:iCs/>
        </w:rPr>
        <w:t xml:space="preserve">” </w:t>
      </w:r>
      <w:r w:rsidRPr="00987A13">
        <w:rPr>
          <w:rFonts w:ascii="Palatino Linotype" w:eastAsia="Palatino Linotype" w:hAnsi="Palatino Linotype" w:cs="Palatino Linotype"/>
        </w:rPr>
        <w:t>Énfasis propio</w:t>
      </w:r>
    </w:p>
    <w:p w:rsidR="00F72507" w:rsidRPr="00987A13" w:rsidRDefault="00F72507">
      <w:pPr>
        <w:spacing w:line="360" w:lineRule="auto"/>
        <w:ind w:left="851" w:right="850"/>
        <w:jc w:val="both"/>
        <w:rPr>
          <w:rFonts w:ascii="Palatino Linotype" w:eastAsia="Palatino Linotype" w:hAnsi="Palatino Linotype" w:cs="Palatino Linotype"/>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En consecuencia, se determina que ciertamente existe fuente obligacional para celebrar contratos relacionados con la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 luego entonces se confirma la procedencia de ordenar la entrega del soporte documental objeto de la solicitud de información, no pasando desapercibido que por cuando hace al año 2025 deba contemplarse una salvedad.</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Toda vez que la solicitud de información ingreso el día veintinueve de abril de dos mil veinticinco, lo que resulta relevante en virtud que de acuerdo a lo publicado  por el Ayuntamiento de Metepec, el Festival de referencia para dicha anualidad tuvo una programación para llevarse a cabo los días nueve al diecinueve de octubre de dos mil veinticinco como se observa:</w:t>
      </w:r>
    </w:p>
    <w:p w:rsidR="00F72507" w:rsidRDefault="001C4B97">
      <w:pPr>
        <w:spacing w:line="360" w:lineRule="auto"/>
        <w:jc w:val="center"/>
        <w:rPr>
          <w:rFonts w:ascii="Palatino Linotype" w:eastAsia="Palatino Linotype" w:hAnsi="Palatino Linotype" w:cs="Palatino Linotype"/>
          <w:color w:val="000000"/>
        </w:rPr>
      </w:pPr>
      <w:r w:rsidRPr="00987A13">
        <w:rPr>
          <w:rFonts w:ascii="Palatino Linotype" w:eastAsia="Palatino Linotype" w:hAnsi="Palatino Linotype" w:cs="Palatino Linotype"/>
          <w:noProof/>
          <w:color w:val="000000"/>
          <w:lang w:val="es-MX"/>
        </w:rPr>
        <w:lastRenderedPageBreak/>
        <w:drawing>
          <wp:inline distT="0" distB="0" distL="0" distR="0">
            <wp:extent cx="5162114" cy="187965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162114" cy="1879655"/>
                    </a:xfrm>
                    <a:prstGeom prst="rect">
                      <a:avLst/>
                    </a:prstGeom>
                    <a:ln/>
                  </pic:spPr>
                </pic:pic>
              </a:graphicData>
            </a:graphic>
          </wp:inline>
        </w:drawing>
      </w:r>
    </w:p>
    <w:p w:rsidR="00540584" w:rsidRPr="00987A13" w:rsidRDefault="00540584">
      <w:pPr>
        <w:spacing w:line="360" w:lineRule="auto"/>
        <w:jc w:val="center"/>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Por lo que en relatadas circunstancias existe la posibilidad que a la fecha de interposición de la solicitud de información, el Ayuntamiento de Metepec eventualmente aun no celebrara algún contrato relacionado con la ejecución del Festival. Luego entonces para el caso de que luego de la búsqueda de la información a la fecha de la solicitud, no se localizara soporte documental al respecto, bastará que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lo haga del conocimiento del ahora </w:t>
      </w:r>
      <w:r w:rsidRPr="00987A13">
        <w:rPr>
          <w:rFonts w:ascii="Palatino Linotype" w:eastAsia="Palatino Linotype" w:hAnsi="Palatino Linotype" w:cs="Palatino Linotype"/>
          <w:b/>
          <w:bCs/>
          <w:color w:val="000000"/>
        </w:rPr>
        <w:t>RECURRENTE</w:t>
      </w:r>
      <w:r w:rsidRPr="00987A13">
        <w:rPr>
          <w:rFonts w:ascii="Palatino Linotype" w:eastAsia="Palatino Linotype" w:hAnsi="Palatino Linotype" w:cs="Palatino Linotype"/>
          <w:color w:val="000000"/>
        </w:rPr>
        <w:t xml:space="preserve"> en términos del artículo 19 párrafo segundo de la Ley de la materia, al momento de dar cumplimiento a la presente Resolución.</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Con la determinación anterior quedará por colmado el derecho de acceso a la información del ahora Recurrente; toda vez que el Derecho que tutela este Órgano Garante </w:t>
      </w:r>
      <w:r w:rsidRPr="00987A13">
        <w:rPr>
          <w:rFonts w:ascii="Palatino Linotype" w:eastAsia="Palatino Linotype" w:hAnsi="Palatino Linotype" w:cs="Palatino Linotype"/>
        </w:rPr>
        <w:t>corresponde</w:t>
      </w:r>
      <w:r w:rsidRPr="00987A13">
        <w:rPr>
          <w:rFonts w:ascii="Palatino Linotype" w:eastAsia="Palatino Linotype" w:hAnsi="Palatino Linotype" w:cs="Palatino Linotype"/>
          <w:color w:val="000000"/>
        </w:rPr>
        <w:t xml:space="preserve"> a la  </w:t>
      </w:r>
      <w:r w:rsidRPr="00987A13">
        <w:rPr>
          <w:rFonts w:ascii="Palatino Linotype" w:eastAsia="Palatino Linotype" w:hAnsi="Palatino Linotype" w:cs="Palatino Linotype"/>
          <w:i/>
          <w:iCs/>
          <w:color w:val="000000"/>
        </w:rPr>
        <w:t>igualdad de oportunidades para recibir, buscar e impartir información</w:t>
      </w:r>
      <w:r w:rsidRPr="00987A13">
        <w:rPr>
          <w:rFonts w:ascii="Palatino Linotype" w:eastAsia="Palatino Linotype" w:hAnsi="Palatino Linotype" w:cs="Palatino Linotype"/>
          <w:i/>
          <w:iCs/>
          <w:color w:val="000000"/>
          <w:vertAlign w:val="superscript"/>
        </w:rPr>
        <w:footnoteReference w:id="1"/>
      </w:r>
      <w:r w:rsidRPr="00987A13">
        <w:rPr>
          <w:rFonts w:ascii="Palatino Linotype" w:eastAsia="Palatino Linotype" w:hAnsi="Palatino Linotype" w:cs="Palatino Linotype"/>
          <w:i/>
          <w:iCs/>
          <w:color w:val="000000"/>
        </w:rPr>
        <w:t xml:space="preserve"> en posesión de cualquier autoridad, entidad, órgano y organismo de los </w:t>
      </w:r>
      <w:r w:rsidRPr="00987A13">
        <w:rPr>
          <w:rFonts w:ascii="Palatino Linotype" w:eastAsia="Palatino Linotype" w:hAnsi="Palatino Linotype" w:cs="Palatino Linotype"/>
          <w:color w:val="000000"/>
        </w:rPr>
        <w:t>poderes</w:t>
      </w:r>
      <w:r w:rsidRPr="00987A13">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87A13">
        <w:rPr>
          <w:rFonts w:ascii="Palatino Linotype" w:eastAsia="Palatino Linotype" w:hAnsi="Palatino Linotype" w:cs="Palatino Linotype"/>
          <w:color w:val="000000"/>
          <w:vertAlign w:val="superscript"/>
        </w:rPr>
        <w:footnoteReference w:id="2"/>
      </w:r>
      <w:r w:rsidRPr="00987A13">
        <w:rPr>
          <w:rFonts w:ascii="Palatino Linotype" w:eastAsia="Palatino Linotype" w:hAnsi="Palatino Linotype" w:cs="Palatino Linotype"/>
          <w:i/>
          <w:iCs/>
          <w:color w:val="000000"/>
        </w:rPr>
        <w:t xml:space="preserve"> </w:t>
      </w:r>
      <w:r w:rsidRPr="00987A13">
        <w:rPr>
          <w:rFonts w:ascii="Palatino Linotype" w:eastAsia="Palatino Linotype" w:hAnsi="Palatino Linotype" w:cs="Palatino Linotype"/>
          <w:color w:val="000000"/>
        </w:rPr>
        <w:t xml:space="preserve">que se constituye como una herramienta fundamental para </w:t>
      </w:r>
      <w:r w:rsidRPr="00987A13">
        <w:rPr>
          <w:rFonts w:ascii="Palatino Linotype" w:eastAsia="Palatino Linotype" w:hAnsi="Palatino Linotype" w:cs="Palatino Linotype"/>
          <w:i/>
          <w:iCs/>
          <w:color w:val="000000"/>
        </w:rPr>
        <w:t xml:space="preserve">ejercer </w:t>
      </w:r>
      <w:r w:rsidRPr="00987A13">
        <w:rPr>
          <w:rFonts w:ascii="Palatino Linotype" w:eastAsia="Palatino Linotype" w:hAnsi="Palatino Linotype" w:cs="Palatino Linotype"/>
          <w:i/>
          <w:iCs/>
          <w:color w:val="000000"/>
        </w:rPr>
        <w:lastRenderedPageBreak/>
        <w:t>control democrático de las gestiones estatales, de forma tal que puedan cuestionar, indagar y considerar si se está dando un adecuado cumplimiento de las funciones públicas,</w:t>
      </w:r>
      <w:r w:rsidRPr="00987A13">
        <w:rPr>
          <w:rFonts w:ascii="Palatino Linotype" w:eastAsia="Palatino Linotype" w:hAnsi="Palatino Linotype" w:cs="Palatino Linotype"/>
          <w:i/>
          <w:iCs/>
          <w:color w:val="000000"/>
          <w:vertAlign w:val="superscript"/>
        </w:rPr>
        <w:footnoteReference w:id="3"/>
      </w:r>
      <w:r w:rsidRPr="00987A13">
        <w:rPr>
          <w:rFonts w:ascii="Palatino Linotype" w:eastAsia="Palatino Linotype" w:hAnsi="Palatino Linotype" w:cs="Palatino Linotype"/>
          <w:color w:val="000000"/>
        </w:rPr>
        <w:t>fomentando</w:t>
      </w:r>
      <w:r w:rsidRPr="00987A13">
        <w:rPr>
          <w:rFonts w:ascii="Palatino Linotype" w:eastAsia="Palatino Linotype" w:hAnsi="Palatino Linotype" w:cs="Palatino Linotype"/>
          <w:i/>
          <w:iCs/>
          <w:color w:val="000000"/>
        </w:rPr>
        <w:t xml:space="preserve"> la transparencia de las actividades estatales y</w:t>
      </w:r>
      <w:r w:rsidRPr="00987A13">
        <w:rPr>
          <w:rFonts w:ascii="Palatino Linotype" w:eastAsia="Palatino Linotype" w:hAnsi="Palatino Linotype" w:cs="Palatino Linotype"/>
          <w:color w:val="000000"/>
        </w:rPr>
        <w:t xml:space="preserve"> promoviendo</w:t>
      </w:r>
      <w:r w:rsidRPr="00987A13">
        <w:rPr>
          <w:rFonts w:ascii="Palatino Linotype" w:eastAsia="Palatino Linotype" w:hAnsi="Palatino Linotype" w:cs="Palatino Linotype"/>
          <w:i/>
          <w:iCs/>
          <w:color w:val="000000"/>
        </w:rPr>
        <w:t xml:space="preserve"> la responsabilidad de los funcionarios sobre su gestión pública</w:t>
      </w:r>
      <w:r w:rsidRPr="00987A13">
        <w:rPr>
          <w:rFonts w:ascii="Palatino Linotype" w:eastAsia="Palatino Linotype" w:hAnsi="Palatino Linotype" w:cs="Palatino Linotype"/>
          <w:i/>
          <w:iCs/>
          <w:color w:val="000000"/>
          <w:vertAlign w:val="superscript"/>
        </w:rPr>
        <w:footnoteReference w:id="4"/>
      </w:r>
      <w:r w:rsidRPr="00987A13">
        <w:rPr>
          <w:rFonts w:ascii="Palatino Linotype" w:eastAsia="Palatino Linotype" w:hAnsi="Palatino Linotype" w:cs="Palatino Linotype"/>
          <w:i/>
          <w:iCs/>
          <w:color w:val="000000"/>
        </w:rPr>
        <w:t xml:space="preserve"> </w:t>
      </w:r>
      <w:r w:rsidRPr="00987A13">
        <w:rPr>
          <w:rFonts w:ascii="Palatino Linotype" w:eastAsia="Palatino Linotype" w:hAnsi="Palatino Linotype" w:cs="Palatino Linotype"/>
          <w:color w:val="000000"/>
        </w:rPr>
        <w:t>que permite</w:t>
      </w:r>
      <w:r w:rsidRPr="00987A13">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987A13">
        <w:rPr>
          <w:rFonts w:ascii="Palatino Linotype" w:eastAsia="Palatino Linotype" w:hAnsi="Palatino Linotype" w:cs="Palatino Linotype"/>
          <w:i/>
          <w:iCs/>
          <w:color w:val="000000"/>
          <w:vertAlign w:val="superscript"/>
        </w:rPr>
        <w:footnoteReference w:id="5"/>
      </w:r>
      <w:r w:rsidRPr="00987A13">
        <w:rPr>
          <w:rFonts w:ascii="Palatino Linotype" w:eastAsia="Palatino Linotype" w:hAnsi="Palatino Linotype" w:cs="Palatino Linotype"/>
          <w:color w:val="000000"/>
        </w:rPr>
        <w:t xml:space="preserve"> ”</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72507" w:rsidRPr="00987A13" w:rsidRDefault="001C4B97">
      <w:pPr>
        <w:spacing w:line="360" w:lineRule="auto"/>
        <w:ind w:left="426" w:right="474"/>
        <w:jc w:val="both"/>
        <w:rPr>
          <w:rFonts w:ascii="Palatino Linotype" w:eastAsia="Palatino Linotype" w:hAnsi="Palatino Linotype" w:cs="Palatino Linotype"/>
          <w:b/>
          <w:bCs/>
          <w:i/>
          <w:iCs/>
          <w:color w:val="000000"/>
        </w:rPr>
      </w:pPr>
      <w:r w:rsidRPr="00987A13">
        <w:rPr>
          <w:rFonts w:ascii="Palatino Linotype" w:eastAsia="Palatino Linotype" w:hAnsi="Palatino Linotype" w:cs="Palatino Linotype"/>
          <w:b/>
          <w:bCs/>
          <w:i/>
          <w:iCs/>
          <w:color w:val="000000"/>
        </w:rPr>
        <w:t>“CRITERIO 0002-11</w:t>
      </w:r>
    </w:p>
    <w:p w:rsidR="00F72507" w:rsidRPr="00987A13" w:rsidRDefault="001C4B97">
      <w:pPr>
        <w:spacing w:line="360" w:lineRule="auto"/>
        <w:ind w:left="426" w:right="474"/>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987A13">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72507" w:rsidRPr="00987A13" w:rsidRDefault="001C4B97">
      <w:pPr>
        <w:spacing w:line="360" w:lineRule="auto"/>
        <w:ind w:left="426" w:right="474"/>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lastRenderedPageBreak/>
        <w:t>En consecuencia el acceso a la información se refiere a que se cumplan cualquiera de los siguientes tres supuestos:</w:t>
      </w:r>
    </w:p>
    <w:p w:rsidR="00F72507" w:rsidRPr="00987A13" w:rsidRDefault="001C4B97">
      <w:pPr>
        <w:spacing w:line="360" w:lineRule="auto"/>
        <w:ind w:left="426" w:right="474"/>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F72507" w:rsidRPr="00987A13" w:rsidRDefault="001C4B97">
      <w:pPr>
        <w:spacing w:line="360" w:lineRule="auto"/>
        <w:ind w:left="426" w:right="474"/>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F72507" w:rsidRPr="00987A13" w:rsidRDefault="001C4B97">
      <w:pPr>
        <w:spacing w:line="360" w:lineRule="auto"/>
        <w:ind w:left="426" w:right="474"/>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F72507" w:rsidRPr="00987A13" w:rsidRDefault="00F72507">
      <w:pPr>
        <w:spacing w:line="360" w:lineRule="auto"/>
        <w:ind w:left="567" w:right="567"/>
        <w:jc w:val="both"/>
        <w:rPr>
          <w:rFonts w:ascii="Palatino Linotype" w:eastAsia="Palatino Linotype" w:hAnsi="Palatino Linotype" w:cs="Palatino Linotype"/>
          <w:i/>
          <w:iCs/>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F72507" w:rsidRPr="00987A13" w:rsidRDefault="001C4B97">
      <w:pPr>
        <w:spacing w:line="360" w:lineRule="auto"/>
        <w:ind w:left="426" w:right="474"/>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 xml:space="preserve">XI. Documento: </w:t>
      </w:r>
      <w:r w:rsidRPr="00987A13">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987A13">
        <w:rPr>
          <w:rFonts w:ascii="Palatino Linotype" w:eastAsia="Palatino Linotype" w:hAnsi="Palatino Linotype" w:cs="Palatino Linotype"/>
          <w:b/>
          <w:bCs/>
          <w:i/>
          <w:iCs/>
          <w:color w:val="000000"/>
        </w:rPr>
        <w:t>cualquier otro registro</w:t>
      </w:r>
      <w:r w:rsidRPr="00987A13">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72507" w:rsidRPr="00987A13" w:rsidRDefault="00F72507">
      <w:pPr>
        <w:spacing w:line="360" w:lineRule="auto"/>
        <w:ind w:left="567" w:right="567"/>
        <w:jc w:val="both"/>
        <w:rPr>
          <w:rFonts w:ascii="Palatino Linotype" w:eastAsia="Palatino Linotype" w:hAnsi="Palatino Linotype" w:cs="Palatino Linotype"/>
          <w:i/>
          <w:iCs/>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Es así que, todos los actos de autoridad que realicen los Sujetos Obligados </w:t>
      </w:r>
      <w:r w:rsidRPr="00987A13">
        <w:rPr>
          <w:rFonts w:ascii="Palatino Linotype" w:eastAsia="Palatino Linotype" w:hAnsi="Palatino Linotype" w:cs="Palatino Linotype"/>
          <w:b/>
          <w:bCs/>
          <w:color w:val="000000"/>
        </w:rPr>
        <w:t xml:space="preserve">deben estar </w:t>
      </w:r>
      <w:r w:rsidRPr="00987A13">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rsidR="00F72507" w:rsidRPr="00987A13" w:rsidRDefault="001C4B97">
      <w:pPr>
        <w:spacing w:line="360" w:lineRule="auto"/>
        <w:ind w:left="426"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 xml:space="preserve">“Artículo 4. </w:t>
      </w:r>
      <w:r w:rsidRPr="00987A13">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F72507" w:rsidRPr="00987A13" w:rsidRDefault="001C4B97">
      <w:pPr>
        <w:spacing w:line="360" w:lineRule="auto"/>
        <w:ind w:left="426"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Toda la información</w:t>
      </w:r>
      <w:r w:rsidRPr="00987A13">
        <w:rPr>
          <w:rFonts w:ascii="Palatino Linotype" w:eastAsia="Palatino Linotype" w:hAnsi="Palatino Linotype" w:cs="Palatino Linotype"/>
          <w:i/>
          <w:iCs/>
          <w:color w:val="000000"/>
        </w:rPr>
        <w:t xml:space="preserve"> generada, obtenida, adquirida, transformada, administrada o </w:t>
      </w:r>
      <w:r w:rsidRPr="00987A13">
        <w:rPr>
          <w:rFonts w:ascii="Palatino Linotype" w:eastAsia="Palatino Linotype" w:hAnsi="Palatino Linotype" w:cs="Palatino Linotype"/>
          <w:b/>
          <w:bCs/>
          <w:i/>
          <w:iCs/>
          <w:color w:val="000000"/>
        </w:rPr>
        <w:t>en posesión de los sujetos obligados es pública</w:t>
      </w:r>
      <w:r w:rsidRPr="00987A13">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72507" w:rsidRPr="00987A13" w:rsidRDefault="001C4B97">
      <w:pPr>
        <w:spacing w:line="360" w:lineRule="auto"/>
        <w:ind w:left="426"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F72507" w:rsidRPr="00987A13" w:rsidRDefault="00F72507">
      <w:pPr>
        <w:spacing w:line="360" w:lineRule="auto"/>
        <w:ind w:left="567" w:right="567"/>
        <w:jc w:val="both"/>
        <w:rPr>
          <w:rFonts w:ascii="Palatino Linotype" w:eastAsia="Palatino Linotype" w:hAnsi="Palatino Linotype" w:cs="Palatino Linotype"/>
          <w:i/>
          <w:iCs/>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87A13">
        <w:rPr>
          <w:rFonts w:ascii="Palatino Linotype" w:eastAsia="Palatino Linotype" w:hAnsi="Palatino Linotype" w:cs="Palatino Linotype"/>
          <w:color w:val="000000"/>
          <w:vertAlign w:val="superscript"/>
        </w:rPr>
        <w:footnoteReference w:id="6"/>
      </w:r>
      <w:r w:rsidRPr="00987A13">
        <w:rPr>
          <w:rFonts w:ascii="Palatino Linotype" w:eastAsia="Palatino Linotype" w:hAnsi="Palatino Linotype" w:cs="Palatino Linotype"/>
          <w:color w:val="000000"/>
        </w:rPr>
        <w:t xml:space="preserve"> y máxima publicidad, </w:t>
      </w:r>
      <w:r w:rsidRPr="00987A13">
        <w:rPr>
          <w:rFonts w:ascii="Palatino Linotype" w:eastAsia="Palatino Linotype" w:hAnsi="Palatino Linotype" w:cs="Palatino Linotype"/>
          <w:color w:val="000000"/>
        </w:rPr>
        <w:lastRenderedPageBreak/>
        <w:t>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72507" w:rsidRPr="00987A13" w:rsidRDefault="00F72507">
      <w:pPr>
        <w:spacing w:line="360" w:lineRule="auto"/>
        <w:jc w:val="both"/>
        <w:rPr>
          <w:rFonts w:ascii="Palatino Linotype" w:eastAsia="Palatino Linotype" w:hAnsi="Palatino Linotype" w:cs="Palatino Linotype"/>
          <w:color w:val="000000"/>
        </w:rPr>
      </w:pPr>
    </w:p>
    <w:p w:rsidR="00F72507" w:rsidRPr="00987A13" w:rsidRDefault="001C4B97">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72507" w:rsidRPr="00987A13" w:rsidRDefault="001C4B97">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ACCESO A LA INFORMACIÓN. IMPLICACIÓN DEL PRINCIPIO DE MÁXIMA PUBLICIDAD EN EL DERECHO FUNDAMENTAL RELATIVO.</w:t>
      </w:r>
      <w:r w:rsidRPr="00987A13">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w:t>
      </w:r>
      <w:r w:rsidRPr="00987A13">
        <w:rPr>
          <w:rFonts w:ascii="Palatino Linotype" w:eastAsia="Palatino Linotype" w:hAnsi="Palatino Linotype" w:cs="Palatino Linotype"/>
          <w:i/>
          <w:iCs/>
          <w:color w:val="000000"/>
        </w:rPr>
        <w:lastRenderedPageBreak/>
        <w:t>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72507" w:rsidRPr="00987A13" w:rsidRDefault="00F72507">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color w:val="000000"/>
        </w:rPr>
      </w:pPr>
    </w:p>
    <w:p w:rsidR="00F72507" w:rsidRPr="00987A13" w:rsidRDefault="001C4B9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QUINTO. De la versión pública.</w:t>
      </w: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F72507" w:rsidRPr="00987A13" w:rsidRDefault="00F7250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F72507" w:rsidRPr="00987A13" w:rsidRDefault="001C4B97">
      <w:pPr>
        <w:spacing w:line="360" w:lineRule="auto"/>
        <w:ind w:left="993" w:right="1041"/>
        <w:jc w:val="both"/>
        <w:rPr>
          <w:rFonts w:ascii="Palatino Linotype" w:eastAsia="Palatino Linotype" w:hAnsi="Palatino Linotype" w:cs="Palatino Linotype"/>
          <w:b/>
          <w:bCs/>
          <w:i/>
          <w:iCs/>
        </w:rPr>
      </w:pPr>
      <w:r w:rsidRPr="00987A13">
        <w:rPr>
          <w:rFonts w:ascii="Palatino Linotype" w:eastAsia="Palatino Linotype" w:hAnsi="Palatino Linotype" w:cs="Palatino Linotype"/>
          <w:b/>
          <w:bCs/>
          <w:i/>
          <w:iCs/>
        </w:rPr>
        <w:t xml:space="preserve"> “Artículo 3. Para los efectos de la presente Ley se entenderá por:</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IX. Datos personales:</w:t>
      </w:r>
      <w:r w:rsidRPr="00987A13">
        <w:rPr>
          <w:rFonts w:ascii="Palatino Linotype" w:eastAsia="Palatino Linotype" w:hAnsi="Palatino Linotype" w:cs="Palatino Linotype"/>
          <w:i/>
          <w:iCs/>
        </w:rPr>
        <w:t xml:space="preserve"> </w:t>
      </w:r>
      <w:r w:rsidRPr="00987A13">
        <w:rPr>
          <w:rFonts w:ascii="Palatino Linotype" w:eastAsia="Palatino Linotype" w:hAnsi="Palatino Linotype" w:cs="Palatino Linotype"/>
          <w:b/>
          <w:bCs/>
          <w:i/>
          <w:iCs/>
        </w:rPr>
        <w:t>La información concerniente a una persona, identificada o identificable</w:t>
      </w:r>
      <w:r w:rsidRPr="00987A13">
        <w:rPr>
          <w:rFonts w:ascii="Palatino Linotype" w:eastAsia="Palatino Linotype" w:hAnsi="Palatino Linotype" w:cs="Palatino Linotype"/>
          <w:i/>
          <w:iCs/>
        </w:rPr>
        <w:t xml:space="preserve"> según lo dispuesto por la Ley de Protección de Datos Personales del Estado de México;</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lastRenderedPageBreak/>
        <w:t>XX. Información clasificada:</w:t>
      </w:r>
      <w:r w:rsidRPr="00987A13">
        <w:rPr>
          <w:rFonts w:ascii="Palatino Linotype" w:eastAsia="Palatino Linotype" w:hAnsi="Palatino Linotype" w:cs="Palatino Linotype"/>
          <w:i/>
          <w:iCs/>
        </w:rPr>
        <w:t xml:space="preserve"> Aquella considerada por la presente Ley como reservada o confidencial;</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XXXII. Protección de Datos Personales:</w:t>
      </w:r>
      <w:r w:rsidRPr="00987A13">
        <w:rPr>
          <w:rFonts w:ascii="Palatino Linotype" w:eastAsia="Palatino Linotype" w:hAnsi="Palatino Linotype" w:cs="Palatino Linotype"/>
          <w:i/>
          <w:iCs/>
        </w:rPr>
        <w:t xml:space="preserve"> Derecho humano que tutela la privacidad de datos personales en poder de los sujetos obligados y sujetos particulares;</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XLV. Versión pública</w:t>
      </w:r>
      <w:r w:rsidRPr="00987A13">
        <w:rPr>
          <w:rFonts w:ascii="Palatino Linotype" w:eastAsia="Palatino Linotype" w:hAnsi="Palatino Linotype" w:cs="Palatino Linotype"/>
          <w:i/>
          <w:iCs/>
        </w:rPr>
        <w:t>: Documento en el que se elimine, suprime o borra la información clasificada como reservada o confidencial para permitir su acceso.”</w:t>
      </w:r>
    </w:p>
    <w:p w:rsidR="00F72507" w:rsidRPr="00987A13" w:rsidRDefault="00F72507">
      <w:pPr>
        <w:spacing w:line="360" w:lineRule="auto"/>
        <w:ind w:left="993" w:right="1041"/>
        <w:jc w:val="both"/>
        <w:rPr>
          <w:rFonts w:ascii="Palatino Linotype" w:eastAsia="Palatino Linotype" w:hAnsi="Palatino Linotype" w:cs="Palatino Linotype"/>
          <w:i/>
          <w:iCs/>
        </w:rPr>
      </w:pP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“Artículo 6.</w:t>
      </w:r>
      <w:r w:rsidRPr="00987A13">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72507" w:rsidRPr="00987A13" w:rsidRDefault="00F72507">
      <w:pPr>
        <w:spacing w:line="360" w:lineRule="auto"/>
        <w:ind w:left="993" w:right="1041"/>
        <w:jc w:val="both"/>
        <w:rPr>
          <w:rFonts w:ascii="Palatino Linotype" w:eastAsia="Palatino Linotype" w:hAnsi="Palatino Linotype" w:cs="Palatino Linotype"/>
          <w:i/>
          <w:iCs/>
        </w:rPr>
      </w:pP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w:t>
      </w:r>
      <w:r w:rsidRPr="00987A13">
        <w:rPr>
          <w:rFonts w:ascii="Palatino Linotype" w:eastAsia="Palatino Linotype" w:hAnsi="Palatino Linotype" w:cs="Palatino Linotype"/>
          <w:b/>
          <w:bCs/>
          <w:i/>
          <w:iCs/>
        </w:rPr>
        <w:t>Artículo 49.</w:t>
      </w:r>
      <w:r w:rsidRPr="00987A13">
        <w:rPr>
          <w:rFonts w:ascii="Palatino Linotype" w:eastAsia="Palatino Linotype" w:hAnsi="Palatino Linotype" w:cs="Palatino Linotype"/>
          <w:i/>
          <w:iCs/>
        </w:rPr>
        <w:t> Los Comités de Transparencia tendrán las siguientes atribuciones:</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VIII</w:t>
      </w:r>
      <w:r w:rsidRPr="00987A13">
        <w:rPr>
          <w:rFonts w:ascii="Palatino Linotype" w:eastAsia="Palatino Linotype" w:hAnsi="Palatino Linotype" w:cs="Palatino Linotype"/>
          <w:i/>
          <w:iCs/>
        </w:rPr>
        <w:t>. Aprobar, modificar o revocar la clasificación de la información;</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 xml:space="preserve">Artículo 91. </w:t>
      </w:r>
      <w:r w:rsidRPr="00987A13">
        <w:rPr>
          <w:rFonts w:ascii="Palatino Linotype" w:eastAsia="Palatino Linotype" w:hAnsi="Palatino Linotype" w:cs="Palatino Linotype"/>
          <w:i/>
          <w:iCs/>
        </w:rPr>
        <w:t>El acceso a la información pública será restringido excepcionalmente, cuando ésta sea clasificada como reservada o confidencial.</w:t>
      </w:r>
    </w:p>
    <w:p w:rsidR="00F72507" w:rsidRPr="00987A13" w:rsidRDefault="00F72507">
      <w:pPr>
        <w:spacing w:line="360" w:lineRule="auto"/>
        <w:ind w:left="993" w:right="1041"/>
        <w:jc w:val="both"/>
        <w:rPr>
          <w:rFonts w:ascii="Palatino Linotype" w:eastAsia="Palatino Linotype" w:hAnsi="Palatino Linotype" w:cs="Palatino Linotype"/>
          <w:i/>
          <w:iCs/>
        </w:rPr>
      </w:pPr>
    </w:p>
    <w:p w:rsidR="00F72507" w:rsidRPr="00987A13" w:rsidRDefault="001C4B97">
      <w:pPr>
        <w:spacing w:line="360" w:lineRule="auto"/>
        <w:ind w:left="993" w:right="1041"/>
        <w:jc w:val="both"/>
        <w:rPr>
          <w:rFonts w:ascii="Palatino Linotype" w:eastAsia="Palatino Linotype" w:hAnsi="Palatino Linotype" w:cs="Palatino Linotype"/>
          <w:b/>
          <w:bCs/>
          <w:i/>
          <w:iCs/>
        </w:rPr>
      </w:pPr>
      <w:r w:rsidRPr="00987A13">
        <w:rPr>
          <w:rFonts w:ascii="Palatino Linotype" w:eastAsia="Palatino Linotype" w:hAnsi="Palatino Linotype" w:cs="Palatino Linotype"/>
          <w:b/>
          <w:bCs/>
          <w:i/>
          <w:iCs/>
        </w:rPr>
        <w:t>“Artículo 137.</w:t>
      </w:r>
      <w:r w:rsidRPr="00987A13">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2507" w:rsidRPr="00987A13" w:rsidRDefault="00F72507">
      <w:pPr>
        <w:spacing w:line="360" w:lineRule="auto"/>
        <w:ind w:left="993" w:right="1041"/>
        <w:jc w:val="both"/>
        <w:rPr>
          <w:rFonts w:ascii="Palatino Linotype" w:eastAsia="Palatino Linotype" w:hAnsi="Palatino Linotype" w:cs="Palatino Linotype"/>
          <w:b/>
          <w:bCs/>
          <w:i/>
          <w:iCs/>
        </w:rPr>
      </w:pP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“Artículo 143</w:t>
      </w:r>
      <w:r w:rsidRPr="00987A13">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I.</w:t>
      </w:r>
      <w:r w:rsidRPr="00987A13">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F72507"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540584" w:rsidRPr="00987A13" w:rsidRDefault="00540584">
      <w:pPr>
        <w:spacing w:line="360" w:lineRule="auto"/>
        <w:ind w:left="993" w:right="1041"/>
        <w:jc w:val="both"/>
        <w:rPr>
          <w:rFonts w:ascii="Palatino Linotype" w:eastAsia="Palatino Linotype" w:hAnsi="Palatino Linotype" w:cs="Palatino Linotype"/>
          <w:i/>
          <w:iCs/>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w:t>
      </w:r>
      <w:r w:rsidRPr="00987A13">
        <w:rPr>
          <w:rFonts w:ascii="Palatino Linotype" w:eastAsia="Palatino Linotype" w:hAnsi="Palatino Linotype" w:cs="Palatino Linotype"/>
          <w:color w:val="000000"/>
        </w:rPr>
        <w:lastRenderedPageBreak/>
        <w:t>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72507" w:rsidRPr="00987A13" w:rsidRDefault="00F72507">
      <w:pPr>
        <w:spacing w:line="360" w:lineRule="auto"/>
        <w:ind w:right="51"/>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72507" w:rsidRPr="00987A13" w:rsidRDefault="00F72507">
      <w:pPr>
        <w:spacing w:line="360" w:lineRule="auto"/>
        <w:ind w:right="50"/>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72507" w:rsidRPr="00987A13" w:rsidRDefault="001C4B97">
      <w:pPr>
        <w:spacing w:line="360" w:lineRule="auto"/>
        <w:ind w:left="851" w:right="1043"/>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“Artículo 49.</w:t>
      </w:r>
      <w:r w:rsidRPr="00987A13">
        <w:rPr>
          <w:rFonts w:ascii="Palatino Linotype" w:eastAsia="Palatino Linotype" w:hAnsi="Palatino Linotype" w:cs="Palatino Linotype"/>
          <w:i/>
          <w:iCs/>
        </w:rPr>
        <w:t xml:space="preserve"> </w:t>
      </w:r>
      <w:r w:rsidRPr="00987A13">
        <w:rPr>
          <w:rFonts w:ascii="Palatino Linotype" w:eastAsia="Palatino Linotype" w:hAnsi="Palatino Linotype" w:cs="Palatino Linotype"/>
          <w:b/>
          <w:bCs/>
          <w:i/>
          <w:iCs/>
        </w:rPr>
        <w:t>Los Comités de Transparencia</w:t>
      </w:r>
      <w:r w:rsidRPr="00987A13">
        <w:rPr>
          <w:rFonts w:ascii="Palatino Linotype" w:eastAsia="Palatino Linotype" w:hAnsi="Palatino Linotype" w:cs="Palatino Linotype"/>
          <w:i/>
          <w:iCs/>
        </w:rPr>
        <w:t xml:space="preserve"> tendrán las siguientes atribuciones:</w:t>
      </w:r>
    </w:p>
    <w:p w:rsidR="00F72507" w:rsidRPr="00987A13" w:rsidRDefault="001C4B97">
      <w:pPr>
        <w:spacing w:line="360" w:lineRule="auto"/>
        <w:ind w:left="851" w:right="1043"/>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VIII. Aprobar, modificar o revocar la clasificación de la información</w:t>
      </w:r>
      <w:r w:rsidRPr="00987A13">
        <w:rPr>
          <w:rFonts w:ascii="Palatino Linotype" w:eastAsia="Palatino Linotype" w:hAnsi="Palatino Linotype" w:cs="Palatino Linotype"/>
          <w:i/>
          <w:iCs/>
        </w:rPr>
        <w:t>…”</w:t>
      </w:r>
    </w:p>
    <w:p w:rsidR="00F72507" w:rsidRPr="00987A13" w:rsidRDefault="001C4B97">
      <w:pPr>
        <w:spacing w:line="360" w:lineRule="auto"/>
        <w:ind w:left="851" w:right="1043"/>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w:t>
      </w:r>
      <w:r w:rsidRPr="00987A13">
        <w:rPr>
          <w:rFonts w:ascii="Palatino Linotype" w:eastAsia="Palatino Linotype" w:hAnsi="Palatino Linotype" w:cs="Palatino Linotype"/>
          <w:b/>
          <w:bCs/>
          <w:i/>
          <w:iCs/>
        </w:rPr>
        <w:t>Artículo 53.</w:t>
      </w:r>
      <w:r w:rsidRPr="00987A13">
        <w:rPr>
          <w:rFonts w:ascii="Palatino Linotype" w:eastAsia="Palatino Linotype" w:hAnsi="Palatino Linotype" w:cs="Palatino Linotype"/>
          <w:i/>
          <w:iCs/>
        </w:rPr>
        <w:t xml:space="preserve"> Las </w:t>
      </w:r>
      <w:r w:rsidRPr="00987A13">
        <w:rPr>
          <w:rFonts w:ascii="Palatino Linotype" w:eastAsia="Palatino Linotype" w:hAnsi="Palatino Linotype" w:cs="Palatino Linotype"/>
          <w:b/>
          <w:bCs/>
          <w:i/>
          <w:iCs/>
        </w:rPr>
        <w:t>Unidades de Transparencia</w:t>
      </w:r>
      <w:r w:rsidRPr="00987A13">
        <w:rPr>
          <w:rFonts w:ascii="Palatino Linotype" w:eastAsia="Palatino Linotype" w:hAnsi="Palatino Linotype" w:cs="Palatino Linotype"/>
          <w:i/>
          <w:iCs/>
        </w:rPr>
        <w:t xml:space="preserve"> tendrán las siguientes </w:t>
      </w:r>
      <w:r w:rsidRPr="00987A13">
        <w:rPr>
          <w:rFonts w:ascii="Palatino Linotype" w:eastAsia="Palatino Linotype" w:hAnsi="Palatino Linotype" w:cs="Palatino Linotype"/>
          <w:b/>
          <w:bCs/>
          <w:i/>
          <w:iCs/>
        </w:rPr>
        <w:t>funciones</w:t>
      </w:r>
      <w:r w:rsidRPr="00987A13">
        <w:rPr>
          <w:rFonts w:ascii="Palatino Linotype" w:eastAsia="Palatino Linotype" w:hAnsi="Palatino Linotype" w:cs="Palatino Linotype"/>
          <w:i/>
          <w:iCs/>
        </w:rPr>
        <w:t>:</w:t>
      </w:r>
    </w:p>
    <w:p w:rsidR="00F72507" w:rsidRPr="00987A13" w:rsidRDefault="001C4B97">
      <w:pPr>
        <w:spacing w:line="360" w:lineRule="auto"/>
        <w:ind w:left="851" w:right="1043"/>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lastRenderedPageBreak/>
        <w:t>X. Presentar ante el Comité, el proyecto de clasificación de información</w:t>
      </w:r>
      <w:r w:rsidRPr="00987A13">
        <w:rPr>
          <w:rFonts w:ascii="Palatino Linotype" w:eastAsia="Palatino Linotype" w:hAnsi="Palatino Linotype" w:cs="Palatino Linotype"/>
          <w:i/>
          <w:iCs/>
        </w:rPr>
        <w:t xml:space="preserve">…” </w:t>
      </w:r>
    </w:p>
    <w:p w:rsidR="00F72507" w:rsidRPr="00987A13" w:rsidRDefault="001C4B97">
      <w:pPr>
        <w:spacing w:line="360" w:lineRule="auto"/>
        <w:ind w:left="851" w:right="1043"/>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“Artículo 59.</w:t>
      </w:r>
      <w:r w:rsidRPr="00987A13">
        <w:rPr>
          <w:rFonts w:ascii="Palatino Linotype" w:eastAsia="Palatino Linotype" w:hAnsi="Palatino Linotype" w:cs="Palatino Linotype"/>
          <w:i/>
          <w:iCs/>
        </w:rPr>
        <w:t xml:space="preserve"> Los </w:t>
      </w:r>
      <w:r w:rsidRPr="00987A13">
        <w:rPr>
          <w:rFonts w:ascii="Palatino Linotype" w:eastAsia="Palatino Linotype" w:hAnsi="Palatino Linotype" w:cs="Palatino Linotype"/>
          <w:b/>
          <w:bCs/>
          <w:i/>
          <w:iCs/>
        </w:rPr>
        <w:t>servidores públicos habilitados</w:t>
      </w:r>
      <w:r w:rsidRPr="00987A13">
        <w:rPr>
          <w:rFonts w:ascii="Palatino Linotype" w:eastAsia="Palatino Linotype" w:hAnsi="Palatino Linotype" w:cs="Palatino Linotype"/>
          <w:i/>
          <w:iCs/>
        </w:rPr>
        <w:t xml:space="preserve"> tendrán las </w:t>
      </w:r>
      <w:r w:rsidRPr="00987A13">
        <w:rPr>
          <w:rFonts w:ascii="Palatino Linotype" w:eastAsia="Palatino Linotype" w:hAnsi="Palatino Linotype" w:cs="Palatino Linotype"/>
          <w:b/>
          <w:bCs/>
          <w:i/>
          <w:iCs/>
        </w:rPr>
        <w:t>funciones</w:t>
      </w:r>
      <w:r w:rsidRPr="00987A13">
        <w:rPr>
          <w:rFonts w:ascii="Palatino Linotype" w:eastAsia="Palatino Linotype" w:hAnsi="Palatino Linotype" w:cs="Palatino Linotype"/>
          <w:i/>
          <w:iCs/>
        </w:rPr>
        <w:t xml:space="preserve"> siguientes:</w:t>
      </w:r>
    </w:p>
    <w:p w:rsidR="00F72507" w:rsidRPr="00987A13" w:rsidRDefault="001C4B97">
      <w:pPr>
        <w:spacing w:line="360" w:lineRule="auto"/>
        <w:ind w:left="851" w:right="1043"/>
        <w:jc w:val="both"/>
        <w:rPr>
          <w:rFonts w:ascii="Palatino Linotype" w:eastAsia="Palatino Linotype" w:hAnsi="Palatino Linotype" w:cs="Palatino Linotype"/>
          <w:i/>
          <w:iCs/>
        </w:rPr>
      </w:pPr>
      <w:r w:rsidRPr="00987A13">
        <w:rPr>
          <w:rFonts w:ascii="Palatino Linotype" w:eastAsia="Palatino Linotype" w:hAnsi="Palatino Linotype" w:cs="Palatino Linotype"/>
          <w:b/>
          <w:bCs/>
          <w:i/>
          <w:iCs/>
        </w:rPr>
        <w:t>V. Integrar y presentar al responsable de la Unidad de Transparencia la propuesta de clasificación de información</w:t>
      </w:r>
      <w:r w:rsidRPr="00987A13">
        <w:rPr>
          <w:rFonts w:ascii="Palatino Linotype" w:eastAsia="Palatino Linotype" w:hAnsi="Palatino Linotype" w:cs="Palatino Linotype"/>
          <w:i/>
          <w:iCs/>
        </w:rPr>
        <w:t>, la cual tendrá los fundamentos y argumentos en que se basa dicha propuesta…”</w:t>
      </w:r>
    </w:p>
    <w:p w:rsidR="00F72507" w:rsidRPr="00987A13" w:rsidRDefault="00F72507">
      <w:pPr>
        <w:spacing w:line="360" w:lineRule="auto"/>
        <w:ind w:left="851" w:right="1043"/>
        <w:jc w:val="both"/>
        <w:rPr>
          <w:rFonts w:ascii="Palatino Linotype" w:eastAsia="Palatino Linotype" w:hAnsi="Palatino Linotype" w:cs="Palatino Linotype"/>
          <w:i/>
          <w:iCs/>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rsidR="00F72507" w:rsidRPr="00987A13" w:rsidRDefault="001C4B97">
      <w:pPr>
        <w:spacing w:line="360" w:lineRule="auto"/>
        <w:ind w:left="993"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w:t>
      </w:r>
      <w:r w:rsidRPr="00987A13">
        <w:rPr>
          <w:rFonts w:ascii="Palatino Linotype" w:eastAsia="Palatino Linotype" w:hAnsi="Palatino Linotype" w:cs="Palatino Linotype"/>
          <w:b/>
          <w:bCs/>
          <w:i/>
          <w:iCs/>
        </w:rPr>
        <w:t>Artículo 149.</w:t>
      </w:r>
      <w:r w:rsidRPr="00987A13">
        <w:rPr>
          <w:rFonts w:ascii="Palatino Linotype" w:eastAsia="Palatino Linotype" w:hAnsi="Palatino Linotype" w:cs="Palatino Linotype"/>
          <w:i/>
          <w:iCs/>
        </w:rPr>
        <w:t xml:space="preserve"> El </w:t>
      </w:r>
      <w:r w:rsidRPr="00987A13">
        <w:rPr>
          <w:rFonts w:ascii="Palatino Linotype" w:eastAsia="Palatino Linotype" w:hAnsi="Palatino Linotype" w:cs="Palatino Linotype"/>
          <w:b/>
          <w:bCs/>
          <w:i/>
          <w:iCs/>
        </w:rPr>
        <w:t>acuerdo que clasifique la información como confidencial</w:t>
      </w:r>
      <w:r w:rsidRPr="00987A13">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72507" w:rsidRPr="00987A13" w:rsidRDefault="00F72507">
      <w:pPr>
        <w:spacing w:line="360" w:lineRule="auto"/>
        <w:ind w:right="-93"/>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Al </w:t>
      </w:r>
      <w:r w:rsidRPr="00987A13">
        <w:rPr>
          <w:rFonts w:ascii="Palatino Linotype" w:eastAsia="Palatino Linotype" w:hAnsi="Palatino Linotype" w:cs="Palatino Linotype"/>
          <w:color w:val="222222"/>
        </w:rPr>
        <w:t>respecto</w:t>
      </w:r>
      <w:r w:rsidRPr="00987A13">
        <w:rPr>
          <w:rFonts w:ascii="Palatino Linotype" w:eastAsia="Palatino Linotype" w:hAnsi="Palatino Linotype" w:cs="Palatino Linotype"/>
          <w:color w:val="000000"/>
        </w:rPr>
        <w:t xml:space="preserve">, es de señalar que </w:t>
      </w:r>
      <w:r w:rsidRPr="00987A13">
        <w:rPr>
          <w:rFonts w:ascii="Palatino Linotype" w:eastAsia="Palatino Linotype" w:hAnsi="Palatino Linotype" w:cs="Palatino Linotype"/>
          <w:b/>
          <w:bCs/>
          <w:color w:val="000000"/>
        </w:rPr>
        <w:t xml:space="preserve">la firma </w:t>
      </w:r>
      <w:r w:rsidRPr="00987A13">
        <w:rPr>
          <w:rFonts w:ascii="Palatino Linotype" w:eastAsia="Palatino Linotype" w:hAnsi="Palatino Linotype" w:cs="Palatino Linotype"/>
          <w:color w:val="000000"/>
        </w:rPr>
        <w:t xml:space="preserve">es considerada un dato personal, al tratarse de información gráfica a través de la cual su titular exterioriza su voluntad en actos públicos y privados. </w:t>
      </w:r>
    </w:p>
    <w:p w:rsidR="00F72507" w:rsidRPr="00987A13" w:rsidRDefault="00F72507">
      <w:pPr>
        <w:spacing w:line="360" w:lineRule="auto"/>
        <w:ind w:right="-93"/>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F72507" w:rsidRPr="00987A13" w:rsidRDefault="00F72507">
      <w:pPr>
        <w:spacing w:line="360" w:lineRule="auto"/>
        <w:ind w:right="-93"/>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F72507" w:rsidRPr="00987A13" w:rsidRDefault="00F72507">
      <w:pPr>
        <w:spacing w:line="360" w:lineRule="auto"/>
        <w:ind w:right="-93"/>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lastRenderedPageBreak/>
        <w:t>Sirve de sustento a lo anterior el Criterio de Interpretación 02/19 emitido por el Instituto Nacional de Transparencia, Acceso a la Información y Protección de Datos Personales, cuyo rubro y texto establecen lo siguiente:</w:t>
      </w:r>
    </w:p>
    <w:p w:rsidR="00F72507" w:rsidRPr="00987A13" w:rsidRDefault="001C4B97">
      <w:pPr>
        <w:spacing w:line="360" w:lineRule="auto"/>
        <w:ind w:left="1134" w:right="1041"/>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w:t>
      </w:r>
      <w:r w:rsidRPr="00987A13">
        <w:rPr>
          <w:rFonts w:ascii="Palatino Linotype" w:eastAsia="Palatino Linotype" w:hAnsi="Palatino Linotype" w:cs="Palatino Linotype"/>
          <w:b/>
          <w:bCs/>
          <w:i/>
          <w:iCs/>
        </w:rPr>
        <w:t>FIRMA Y RÚBRICA DE SERVIDORES PÚBLICOS.</w:t>
      </w:r>
      <w:r w:rsidRPr="00987A13">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F72507" w:rsidRPr="00987A13" w:rsidRDefault="00F72507">
      <w:pPr>
        <w:spacing w:line="360" w:lineRule="auto"/>
        <w:ind w:left="1134" w:right="1041"/>
        <w:jc w:val="both"/>
        <w:rPr>
          <w:rFonts w:ascii="Palatino Linotype" w:eastAsia="Palatino Linotype" w:hAnsi="Palatino Linotype" w:cs="Palatino Linotype"/>
          <w:i/>
          <w:iCs/>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highlight w:val="white"/>
        </w:rPr>
      </w:pPr>
      <w:r w:rsidRPr="00987A13">
        <w:rPr>
          <w:rFonts w:ascii="Palatino Linotype" w:eastAsia="Palatino Linotype" w:hAnsi="Palatino Linotype" w:cs="Palatino Linotype"/>
          <w:color w:val="000000"/>
        </w:rPr>
        <w:t xml:space="preserve">Al respecto, se destaca que la versión pública que elabore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987A13">
        <w:rPr>
          <w:rFonts w:ascii="Palatino Linotype" w:eastAsia="Palatino Linotype" w:hAnsi="Palatino Linotype" w:cs="Palatino Linotype"/>
          <w:color w:val="000000"/>
          <w:highlight w:val="white"/>
        </w:rPr>
        <w:t>.</w:t>
      </w:r>
    </w:p>
    <w:p w:rsidR="00F72507" w:rsidRPr="0037257A" w:rsidRDefault="00F7250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0A4E30" w:rsidRPr="0037257A" w:rsidRDefault="000A4E30" w:rsidP="008F7FEE">
      <w:pPr>
        <w:numPr>
          <w:ilvl w:val="0"/>
          <w:numId w:val="3"/>
        </w:numPr>
        <w:spacing w:line="360" w:lineRule="auto"/>
        <w:ind w:left="0" w:firstLine="0"/>
        <w:jc w:val="both"/>
        <w:rPr>
          <w:rFonts w:ascii="Palatino Linotype" w:hAnsi="Palatino Linotype" w:cs="Tahoma"/>
          <w:bCs/>
          <w:lang w:val="es-ES" w:eastAsia="en-US"/>
        </w:rPr>
      </w:pPr>
      <w:r w:rsidRPr="0037257A">
        <w:rPr>
          <w:rFonts w:ascii="Palatino Linotype" w:hAnsi="Palatino Linotype" w:cs="Tahoma"/>
          <w:bCs/>
          <w:lang w:val="es-ES" w:eastAsia="en-US"/>
        </w:rPr>
        <w:t xml:space="preserve">Respecto del RFC de proveedores, no puede considerarse como clasificado aun siendo de personas físicas ya que </w:t>
      </w:r>
      <w:r w:rsidRPr="0037257A">
        <w:rPr>
          <w:rFonts w:ascii="Palatino Linotype" w:eastAsia="Palatino Linotype" w:hAnsi="Palatino Linotype" w:cs="Palatino Linotype"/>
          <w:color w:val="000000"/>
        </w:rPr>
        <w:t>corresponde</w:t>
      </w:r>
      <w:r w:rsidRPr="0037257A">
        <w:rPr>
          <w:rFonts w:ascii="Palatino Linotype" w:hAnsi="Palatino Linotype" w:cs="Tahoma"/>
          <w:bCs/>
          <w:lang w:val="es-ES" w:eastAsia="en-US"/>
        </w:rPr>
        <w:t xml:space="preserve"> a un requisito indispensable para ser </w:t>
      </w:r>
      <w:r w:rsidRPr="0037257A">
        <w:rPr>
          <w:rFonts w:ascii="Palatino Linotype" w:eastAsia="Palatino Linotype" w:hAnsi="Palatino Linotype" w:cs="Palatino Linotype"/>
          <w:color w:val="000000"/>
        </w:rPr>
        <w:t>contratista</w:t>
      </w:r>
      <w:r w:rsidRPr="0037257A">
        <w:rPr>
          <w:rFonts w:ascii="Palatino Linotype" w:hAnsi="Palatino Linotype" w:cs="Tahoma"/>
          <w:bCs/>
          <w:lang w:val="es-ES" w:eastAsia="en-US"/>
        </w:rPr>
        <w:t xml:space="preserve">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000A4E30" w:rsidRPr="0037257A" w:rsidRDefault="000A4E30" w:rsidP="000A4E30">
      <w:pPr>
        <w:spacing w:line="360" w:lineRule="auto"/>
        <w:ind w:right="-91"/>
        <w:jc w:val="both"/>
        <w:rPr>
          <w:rFonts w:ascii="Palatino Linotype" w:hAnsi="Palatino Linotype" w:cs="Tahoma"/>
          <w:bCs/>
          <w:lang w:val="es-ES" w:eastAsia="en-US"/>
        </w:rPr>
      </w:pPr>
    </w:p>
    <w:p w:rsidR="000A4E30" w:rsidRPr="0037257A" w:rsidRDefault="000A4E30" w:rsidP="008F7FEE">
      <w:pPr>
        <w:numPr>
          <w:ilvl w:val="0"/>
          <w:numId w:val="3"/>
        </w:numPr>
        <w:spacing w:line="360" w:lineRule="auto"/>
        <w:ind w:left="0" w:firstLine="0"/>
        <w:jc w:val="both"/>
        <w:rPr>
          <w:rFonts w:ascii="Palatino Linotype" w:hAnsi="Palatino Linotype" w:cs="Tahoma"/>
          <w:bCs/>
          <w:lang w:val="es-ES" w:eastAsia="en-US"/>
        </w:rPr>
      </w:pPr>
      <w:r w:rsidRPr="0037257A">
        <w:rPr>
          <w:rFonts w:ascii="Palatino Linotype" w:hAnsi="Palatino Linotype" w:cs="Tahoma"/>
          <w:bCs/>
          <w:lang w:val="es-ES" w:eastAsia="en-US"/>
        </w:rPr>
        <w:lastRenderedPageBreak/>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0A4E30" w:rsidRPr="0037257A" w:rsidRDefault="000A4E30" w:rsidP="000A4E30">
      <w:pPr>
        <w:spacing w:line="360" w:lineRule="auto"/>
        <w:ind w:right="-91"/>
        <w:jc w:val="both"/>
        <w:rPr>
          <w:rFonts w:ascii="Palatino Linotype" w:hAnsi="Palatino Linotype" w:cs="Tahoma"/>
          <w:bCs/>
          <w:lang w:val="es-ES" w:eastAsia="en-US"/>
        </w:rPr>
      </w:pPr>
    </w:p>
    <w:p w:rsidR="000A4E30" w:rsidRPr="0037257A" w:rsidRDefault="000A4E30" w:rsidP="008F7FEE">
      <w:pPr>
        <w:numPr>
          <w:ilvl w:val="0"/>
          <w:numId w:val="3"/>
        </w:numPr>
        <w:spacing w:line="360" w:lineRule="auto"/>
        <w:ind w:left="0" w:firstLine="0"/>
        <w:jc w:val="both"/>
        <w:rPr>
          <w:rFonts w:ascii="Palatino Linotype" w:hAnsi="Palatino Linotype" w:cs="Tahoma"/>
          <w:bCs/>
          <w:lang w:val="es-ES" w:eastAsia="en-US"/>
        </w:rPr>
      </w:pPr>
      <w:r w:rsidRPr="0037257A">
        <w:rPr>
          <w:rFonts w:ascii="Palatino Linotype" w:hAnsi="Palatino Linotype" w:cs="Tahoma"/>
          <w:bCs/>
          <w:lang w:val="es-ES" w:eastAsia="en-U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000A4E30" w:rsidRPr="0037257A" w:rsidRDefault="000A4E30" w:rsidP="000A4E30">
      <w:pPr>
        <w:spacing w:line="360" w:lineRule="auto"/>
        <w:ind w:right="-91"/>
        <w:jc w:val="both"/>
        <w:rPr>
          <w:rFonts w:ascii="Palatino Linotype" w:hAnsi="Palatino Linotype" w:cs="Tahoma"/>
          <w:bCs/>
          <w:lang w:val="es-ES" w:eastAsia="en-US"/>
        </w:rPr>
      </w:pPr>
    </w:p>
    <w:p w:rsidR="000A4E30" w:rsidRPr="0037257A" w:rsidRDefault="000A4E30" w:rsidP="008F7FEE">
      <w:pPr>
        <w:numPr>
          <w:ilvl w:val="0"/>
          <w:numId w:val="3"/>
        </w:numPr>
        <w:spacing w:line="360" w:lineRule="auto"/>
        <w:ind w:left="0" w:firstLine="0"/>
        <w:jc w:val="both"/>
        <w:rPr>
          <w:rFonts w:ascii="Palatino Linotype" w:hAnsi="Palatino Linotype" w:cs="Tahoma"/>
          <w:bCs/>
          <w:lang w:val="es-ES" w:eastAsia="en-US"/>
        </w:rPr>
      </w:pPr>
      <w:r w:rsidRPr="0037257A">
        <w:rPr>
          <w:rFonts w:ascii="Palatino Linotype" w:hAnsi="Palatino Linotype" w:cs="Tahoma"/>
          <w:bCs/>
          <w:lang w:val="es-ES" w:eastAsia="en-US"/>
        </w:rPr>
        <w:t>Por lo que refiere al RFC de personas jurídico-colectivas, se reitera que no constituyen información confidencial, tal y como lo estableció el entonces Instituto Nacional de Transparencia, Acceso a la Información Pública y Protección de Datos Personales –INAI-, en su Criterio histórico 1/2014.</w:t>
      </w:r>
    </w:p>
    <w:p w:rsidR="000A4E30" w:rsidRPr="0037257A" w:rsidRDefault="000A4E30" w:rsidP="000A4E30">
      <w:pPr>
        <w:spacing w:line="360" w:lineRule="auto"/>
        <w:ind w:left="567" w:right="539"/>
        <w:jc w:val="both"/>
        <w:rPr>
          <w:rFonts w:ascii="Palatino Linotype" w:hAnsi="Palatino Linotype" w:cs="Tahoma"/>
          <w:bCs/>
          <w:i/>
          <w:lang w:val="es-ES" w:eastAsia="en-US"/>
        </w:rPr>
      </w:pPr>
      <w:r w:rsidRPr="0037257A">
        <w:rPr>
          <w:rFonts w:ascii="Palatino Linotype" w:hAnsi="Palatino Linotype" w:cs="Tahoma"/>
          <w:b/>
          <w:bCs/>
          <w:i/>
          <w:lang w:val="es-ES" w:eastAsia="en-US"/>
        </w:rPr>
        <w:t>Denominación o razón social, y Registro Federal de Contribuyentes de personas morales, no constituyen información confidencial</w:t>
      </w:r>
      <w:r w:rsidRPr="0037257A">
        <w:rPr>
          <w:rFonts w:ascii="Palatino Linotype" w:hAnsi="Palatino Linotype" w:cs="Tahoma"/>
          <w:bCs/>
          <w:i/>
          <w:lang w:val="es-ES" w:eastAsia="en-US"/>
        </w:rPr>
        <w:t xml:space="preserve">. La denominación o razón social de personas morales es pública, por encontrarse inscritas en el Registro Público de Comercio. Por lo que respecta a su Registro Federal de Contribuyentes (RFC), en </w:t>
      </w:r>
      <w:r w:rsidRPr="0037257A">
        <w:rPr>
          <w:rFonts w:ascii="Palatino Linotype" w:hAnsi="Palatino Linotype" w:cs="Tahoma"/>
          <w:bCs/>
          <w:i/>
          <w:lang w:val="es-ES" w:eastAsia="en-US"/>
        </w:rPr>
        <w:lastRenderedPageBreak/>
        <w:t>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0A4E30" w:rsidRPr="0037257A" w:rsidRDefault="000A4E30" w:rsidP="000A4E30">
      <w:pPr>
        <w:spacing w:line="360" w:lineRule="auto"/>
        <w:ind w:right="-91"/>
        <w:jc w:val="both"/>
        <w:rPr>
          <w:rFonts w:ascii="Palatino Linotype" w:hAnsi="Palatino Linotype" w:cs="Tahoma"/>
          <w:bCs/>
          <w:lang w:val="es-ES" w:eastAsia="en-US"/>
        </w:rPr>
      </w:pPr>
    </w:p>
    <w:p w:rsidR="000A4E30" w:rsidRPr="0037257A" w:rsidRDefault="000A4E30" w:rsidP="008F7FEE">
      <w:pPr>
        <w:numPr>
          <w:ilvl w:val="0"/>
          <w:numId w:val="3"/>
        </w:numPr>
        <w:spacing w:line="360" w:lineRule="auto"/>
        <w:ind w:left="0" w:firstLine="0"/>
        <w:jc w:val="both"/>
        <w:rPr>
          <w:rFonts w:ascii="Palatino Linotype" w:hAnsi="Palatino Linotype" w:cs="Tahoma"/>
          <w:bCs/>
          <w:lang w:val="es-ES" w:eastAsia="en-US"/>
        </w:rPr>
      </w:pPr>
      <w:r w:rsidRPr="0037257A">
        <w:rPr>
          <w:rFonts w:ascii="Palatino Linotype" w:hAnsi="Palatino Linotype" w:cs="Tahoma"/>
          <w:bCs/>
          <w:lang w:val="es-ES" w:eastAsia="en-US"/>
        </w:rPr>
        <w:t>Por consiguiente, no procede clasificar como confidencial con fundamento en el artículo 143, fracción I, de la Ley de Transparencia y Acceso a la Información Pública del Estado de México y Municipios y, eliminar RFC de personas físicas ni de personas jurídico-colectivas en los documentos que pudiera proporcionar el Sujeto Obligado.</w:t>
      </w:r>
    </w:p>
    <w:p w:rsidR="000A4E30" w:rsidRPr="0037257A" w:rsidRDefault="000A4E30" w:rsidP="000A4E30">
      <w:pPr>
        <w:pBdr>
          <w:top w:val="nil"/>
          <w:left w:val="nil"/>
          <w:bottom w:val="nil"/>
          <w:right w:val="nil"/>
          <w:between w:val="nil"/>
        </w:pBdr>
        <w:spacing w:line="360" w:lineRule="auto"/>
        <w:jc w:val="both"/>
        <w:rPr>
          <w:rFonts w:ascii="Palatino Linotype" w:hAnsi="Palatino Linotype" w:cs="Tahoma"/>
          <w:bCs/>
          <w:lang w:val="es-ES" w:eastAsia="en-US"/>
        </w:rPr>
      </w:pP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 xml:space="preserve">Igualmente, resulta importante destacar que el </w:t>
      </w:r>
      <w:r w:rsidRPr="0037257A">
        <w:rPr>
          <w:rFonts w:ascii="Palatino Linotype" w:eastAsia="Palatino Linotype" w:hAnsi="Palatino Linotype" w:cs="Palatino Linotype"/>
          <w:i/>
        </w:rPr>
        <w:t>número de cuenta bancaria</w:t>
      </w:r>
      <w:r w:rsidRPr="0037257A">
        <w:rPr>
          <w:rFonts w:ascii="Palatino Linotype" w:eastAsia="Palatino Linotype" w:hAnsi="Palatino Linotype" w:cs="Palatino Linotype"/>
        </w:rPr>
        <w:t xml:space="preserve"> de las personas físicas o</w:t>
      </w:r>
      <w:r w:rsidRPr="0037257A">
        <w:rPr>
          <w:rFonts w:ascii="Palatino Linotype" w:hAnsi="Palatino Linotype" w:cs="Tahoma"/>
          <w:bCs/>
          <w:lang w:val="es-ES" w:eastAsia="en-US"/>
        </w:rPr>
        <w:t xml:space="preserve"> jurídico-colectivas</w:t>
      </w:r>
      <w:r w:rsidRPr="0037257A">
        <w:rPr>
          <w:rFonts w:ascii="Palatino Linotype" w:eastAsia="Palatino Linotype" w:hAnsi="Palatino Linotype" w:cs="Palatino Linotype"/>
        </w:rPr>
        <w:t xml:space="preserve"> es información </w:t>
      </w:r>
      <w:r w:rsidRPr="0037257A">
        <w:rPr>
          <w:rFonts w:ascii="Palatino Linotype" w:hAnsi="Palatino Linotype" w:cs="Tahoma"/>
          <w:bCs/>
          <w:lang w:val="es-ES" w:eastAsia="en-US"/>
        </w:rPr>
        <w:t>que</w:t>
      </w:r>
      <w:r w:rsidRPr="0037257A">
        <w:rPr>
          <w:rFonts w:ascii="Palatino Linotype" w:eastAsia="Palatino Linotype" w:hAnsi="Palatino Linotype" w:cs="Palatino Linotype"/>
        </w:rPr>
        <w:t xml:space="preserv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A4E30" w:rsidRPr="0037257A" w:rsidRDefault="000A4E30" w:rsidP="000A4E30">
      <w:pPr>
        <w:pStyle w:val="Prrafodelista"/>
        <w:rPr>
          <w:rFonts w:ascii="Palatino Linotype" w:eastAsia="Palatino Linotype" w:hAnsi="Palatino Linotype" w:cs="Palatino Linotype"/>
        </w:rPr>
      </w:pP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A4E30" w:rsidRPr="0037257A" w:rsidRDefault="000A4E30" w:rsidP="000A4E30">
      <w:pPr>
        <w:spacing w:line="360" w:lineRule="auto"/>
        <w:ind w:right="50"/>
        <w:jc w:val="both"/>
        <w:rPr>
          <w:rFonts w:ascii="Palatino Linotype" w:eastAsia="Palatino Linotype" w:hAnsi="Palatino Linotype" w:cs="Palatino Linotype"/>
        </w:rPr>
      </w:pP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rsidR="000A4E30" w:rsidRPr="0037257A" w:rsidRDefault="000A4E30" w:rsidP="000A4E30">
      <w:pPr>
        <w:spacing w:line="360" w:lineRule="auto"/>
        <w:ind w:right="50"/>
        <w:jc w:val="both"/>
        <w:rPr>
          <w:rFonts w:ascii="Palatino Linotype" w:eastAsia="Palatino Linotype" w:hAnsi="Palatino Linotype" w:cs="Palatino Linotype"/>
        </w:rPr>
      </w:pP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0A4E30" w:rsidRPr="0037257A" w:rsidRDefault="000A4E30" w:rsidP="000A4E30">
      <w:pPr>
        <w:pStyle w:val="Prrafodelista"/>
        <w:rPr>
          <w:rFonts w:ascii="Palatino Linotype" w:eastAsia="Palatino Linotype" w:hAnsi="Palatino Linotype" w:cs="Palatino Linotype"/>
        </w:rPr>
      </w:pPr>
    </w:p>
    <w:p w:rsidR="000A4E30" w:rsidRPr="0037257A" w:rsidRDefault="000A4E30"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0A4E30" w:rsidRPr="0037257A" w:rsidRDefault="000A4E30" w:rsidP="000A4E30">
      <w:pPr>
        <w:spacing w:after="240" w:line="276" w:lineRule="auto"/>
        <w:ind w:left="851" w:right="900"/>
        <w:jc w:val="both"/>
        <w:rPr>
          <w:rFonts w:ascii="Palatino Linotype" w:eastAsia="Palatino Linotype" w:hAnsi="Palatino Linotype" w:cs="Palatino Linotype"/>
          <w:i/>
        </w:rPr>
      </w:pPr>
      <w:r w:rsidRPr="0037257A">
        <w:rPr>
          <w:rFonts w:ascii="Palatino Linotype" w:eastAsia="Palatino Linotype" w:hAnsi="Palatino Linotype" w:cs="Palatino Linotype"/>
          <w:b/>
          <w:i/>
        </w:rPr>
        <w:t>“Cuentas bancarias y/o CLABE interbancaria de personas físicas y morales privadas.</w:t>
      </w:r>
      <w:r w:rsidRPr="0037257A">
        <w:rPr>
          <w:rFonts w:ascii="Palatino Linotype" w:eastAsia="Palatino Linotype" w:hAnsi="Palatino Linotype" w:cs="Palatino Linotype"/>
          <w:i/>
        </w:rPr>
        <w:t xml:space="preserve"> El número de cuenta bancaria y/o CLABE interbancaria de particulares es información confidencial, al tratarse de un conjunto de caracteres </w:t>
      </w:r>
      <w:r w:rsidRPr="0037257A">
        <w:rPr>
          <w:rFonts w:ascii="Palatino Linotype" w:eastAsia="Palatino Linotype" w:hAnsi="Palatino Linotype" w:cs="Palatino Linotype"/>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A4E30" w:rsidRPr="0037257A" w:rsidRDefault="000A4E30" w:rsidP="000A4E30">
      <w:pPr>
        <w:spacing w:before="240" w:line="276" w:lineRule="auto"/>
        <w:ind w:left="851" w:right="900"/>
        <w:jc w:val="both"/>
        <w:rPr>
          <w:rFonts w:ascii="Palatino Linotype" w:eastAsia="Palatino Linotype" w:hAnsi="Palatino Linotype" w:cs="Palatino Linotype"/>
          <w:i/>
        </w:rPr>
      </w:pPr>
      <w:r w:rsidRPr="0037257A">
        <w:rPr>
          <w:rFonts w:ascii="Palatino Linotype" w:eastAsia="Palatino Linotype" w:hAnsi="Palatino Linotype" w:cs="Palatino Linotype"/>
          <w:b/>
          <w:i/>
        </w:rPr>
        <w:t>Cuentas bancarias y/o CLABE interbancaria de sujetos obligados que reciben y/o transfieren recursos públicos, son información pública</w:t>
      </w:r>
      <w:r w:rsidRPr="0037257A">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A4E30" w:rsidRPr="0037257A" w:rsidRDefault="000A4E30" w:rsidP="000A4E30">
      <w:pPr>
        <w:spacing w:line="360" w:lineRule="auto"/>
        <w:ind w:left="851" w:right="900"/>
        <w:jc w:val="both"/>
        <w:rPr>
          <w:rFonts w:ascii="Palatino Linotype" w:eastAsia="Palatino Linotype" w:hAnsi="Palatino Linotype" w:cs="Palatino Linotype"/>
          <w:i/>
        </w:rPr>
      </w:pPr>
    </w:p>
    <w:p w:rsidR="00987A13" w:rsidRPr="0037257A" w:rsidRDefault="00987A13"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 xml:space="preserve">Relacionado con lo anterior, el </w:t>
      </w:r>
      <w:r w:rsidRPr="0037257A">
        <w:rPr>
          <w:rFonts w:ascii="Palatino Linotype" w:eastAsia="Palatino Linotype" w:hAnsi="Palatino Linotype" w:cs="Palatino Linotype"/>
          <w:b/>
        </w:rPr>
        <w:t>nombre de las personas físicas</w:t>
      </w:r>
      <w:r w:rsidRPr="0037257A">
        <w:rPr>
          <w:rFonts w:ascii="Palatino Linotype" w:eastAsia="Palatino Linotype" w:hAnsi="Palatino Linotype" w:cs="Palatino Linotype"/>
        </w:rPr>
        <w:t xml:space="preserve"> o los </w:t>
      </w:r>
      <w:r w:rsidRPr="0037257A">
        <w:rPr>
          <w:rFonts w:ascii="Palatino Linotype" w:eastAsia="Palatino Linotype" w:hAnsi="Palatino Linotype" w:cs="Palatino Linotype"/>
          <w:b/>
        </w:rPr>
        <w:t>representantes legales de las personas morales</w:t>
      </w:r>
      <w:r w:rsidRPr="0037257A">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987A13" w:rsidRPr="0037257A" w:rsidRDefault="00987A13" w:rsidP="00987A13">
      <w:pPr>
        <w:spacing w:line="360" w:lineRule="auto"/>
        <w:ind w:right="51"/>
        <w:jc w:val="both"/>
        <w:rPr>
          <w:rFonts w:ascii="Palatino Linotype" w:eastAsia="Palatino Linotype" w:hAnsi="Palatino Linotype" w:cs="Palatino Linotype"/>
        </w:rPr>
      </w:pPr>
    </w:p>
    <w:p w:rsidR="00987A13" w:rsidRPr="0037257A" w:rsidRDefault="00987A13"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rsidR="00987A13" w:rsidRPr="0037257A" w:rsidRDefault="00987A13" w:rsidP="00987A13">
      <w:pPr>
        <w:spacing w:after="120" w:line="276" w:lineRule="auto"/>
        <w:ind w:left="851" w:right="902"/>
        <w:jc w:val="both"/>
        <w:rPr>
          <w:rFonts w:ascii="Palatino Linotype" w:eastAsia="Palatino Linotype" w:hAnsi="Palatino Linotype" w:cs="Palatino Linotype"/>
          <w:i/>
        </w:rPr>
      </w:pPr>
      <w:r w:rsidRPr="0037257A">
        <w:rPr>
          <w:rFonts w:ascii="Palatino Linotype" w:eastAsia="Palatino Linotype" w:hAnsi="Palatino Linotype" w:cs="Palatino Linotype"/>
          <w:i/>
        </w:rPr>
        <w:t>“</w:t>
      </w:r>
      <w:r w:rsidRPr="0037257A">
        <w:rPr>
          <w:rFonts w:ascii="Palatino Linotype" w:eastAsia="Palatino Linotype" w:hAnsi="Palatino Linotype" w:cs="Palatino Linotype"/>
          <w:b/>
          <w:i/>
        </w:rPr>
        <w:t>Artículo 23.</w:t>
      </w:r>
      <w:r w:rsidRPr="0037257A">
        <w:rPr>
          <w:rFonts w:ascii="Palatino Linotype" w:eastAsia="Palatino Linotype" w:hAnsi="Palatino Linotype" w:cs="Palatino Linotype"/>
          <w:i/>
        </w:rPr>
        <w:t xml:space="preserve"> (…)</w:t>
      </w:r>
    </w:p>
    <w:p w:rsidR="00987A13" w:rsidRPr="0037257A" w:rsidRDefault="00987A13" w:rsidP="00987A13">
      <w:pPr>
        <w:spacing w:before="120" w:line="276" w:lineRule="auto"/>
        <w:ind w:left="851" w:right="902"/>
        <w:jc w:val="both"/>
        <w:rPr>
          <w:rFonts w:ascii="Palatino Linotype" w:eastAsia="Palatino Linotype" w:hAnsi="Palatino Linotype" w:cs="Palatino Linotype"/>
          <w:i/>
        </w:rPr>
      </w:pPr>
      <w:r w:rsidRPr="0037257A">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87A13" w:rsidRPr="0037257A" w:rsidRDefault="00987A13" w:rsidP="00987A13">
      <w:pPr>
        <w:spacing w:before="120" w:line="276" w:lineRule="auto"/>
        <w:ind w:left="851" w:right="902"/>
        <w:jc w:val="both"/>
        <w:rPr>
          <w:rFonts w:ascii="Palatino Linotype" w:eastAsia="Palatino Linotype" w:hAnsi="Palatino Linotype" w:cs="Palatino Linotype"/>
          <w:i/>
        </w:rPr>
      </w:pPr>
    </w:p>
    <w:p w:rsidR="00987A13" w:rsidRPr="0037257A" w:rsidRDefault="00987A13" w:rsidP="008F7FEE">
      <w:pPr>
        <w:numPr>
          <w:ilvl w:val="0"/>
          <w:numId w:val="3"/>
        </w:numPr>
        <w:spacing w:line="360" w:lineRule="auto"/>
        <w:ind w:left="0" w:firstLine="0"/>
        <w:jc w:val="both"/>
        <w:rPr>
          <w:rFonts w:ascii="Palatino Linotype" w:eastAsia="Palatino Linotype" w:hAnsi="Palatino Linotype" w:cs="Palatino Linotype"/>
        </w:rPr>
      </w:pPr>
      <w:r w:rsidRPr="0037257A">
        <w:rPr>
          <w:rFonts w:ascii="Palatino Linotype" w:eastAsia="Palatino Linotype" w:hAnsi="Palatino Linotype" w:cs="Palatino Linotype"/>
        </w:rPr>
        <w:t>Asimismo, resulta aplicable el contenido del Criterio de interpretación 01/19 emitido por el entonces Instituto Nacional de Transparencia, Acceso a la Información, y Protección de Datos Personales, INAI, que lleva por rubro y texto los siguientes</w:t>
      </w:r>
    </w:p>
    <w:p w:rsidR="00987A13" w:rsidRPr="00987A13" w:rsidRDefault="00987A13" w:rsidP="00987A13">
      <w:pPr>
        <w:spacing w:line="276" w:lineRule="auto"/>
        <w:ind w:left="851" w:right="900"/>
        <w:jc w:val="both"/>
        <w:rPr>
          <w:rFonts w:ascii="Palatino Linotype" w:eastAsia="Palatino Linotype" w:hAnsi="Palatino Linotype" w:cs="Palatino Linotype"/>
          <w:i/>
        </w:rPr>
      </w:pPr>
      <w:r w:rsidRPr="0037257A">
        <w:rPr>
          <w:rFonts w:ascii="Palatino Linotype" w:eastAsia="Palatino Linotype" w:hAnsi="Palatino Linotype" w:cs="Palatino Linotype"/>
          <w:b/>
          <w:i/>
        </w:rPr>
        <w:t>“Datos de identificación del representante o apoderado legal.</w:t>
      </w:r>
      <w:r w:rsidRPr="0037257A">
        <w:rPr>
          <w:rFonts w:ascii="Palatino Linotype" w:eastAsia="Palatino Linotype" w:hAnsi="Palatino Linotype" w:cs="Palatino Linotype"/>
          <w:i/>
        </w:rPr>
        <w:t xml:space="preserve"> </w:t>
      </w:r>
      <w:r w:rsidRPr="0037257A">
        <w:rPr>
          <w:rFonts w:ascii="Palatino Linotype" w:eastAsia="Palatino Linotype" w:hAnsi="Palatino Linotype" w:cs="Palatino Linotype"/>
          <w:b/>
          <w:i/>
        </w:rPr>
        <w:t xml:space="preserve">Naturaleza jurídica. </w:t>
      </w:r>
      <w:r w:rsidRPr="0037257A">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37257A">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37257A">
        <w:rPr>
          <w:rFonts w:ascii="Palatino Linotype" w:eastAsia="Palatino Linotype" w:hAnsi="Palatino Linotype" w:cs="Palatino Linotype"/>
          <w:i/>
        </w:rPr>
        <w:t>.”</w:t>
      </w:r>
    </w:p>
    <w:p w:rsidR="000A4E30" w:rsidRPr="00987A13" w:rsidRDefault="000A4E30" w:rsidP="000A4E30">
      <w:pPr>
        <w:spacing w:line="360" w:lineRule="auto"/>
        <w:ind w:right="-93"/>
        <w:contextualSpacing/>
        <w:jc w:val="both"/>
        <w:rPr>
          <w:rFonts w:ascii="Palatino Linotype" w:hAnsi="Palatino Linotype" w:cs="Tahoma"/>
          <w:bCs/>
          <w:iCs/>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w:t>
      </w:r>
      <w:r w:rsidRPr="00987A13">
        <w:rPr>
          <w:rFonts w:ascii="Palatino Linotype" w:eastAsia="Palatino Linotype" w:hAnsi="Palatino Linotype" w:cs="Palatino Linotype"/>
          <w:color w:val="000000"/>
        </w:rPr>
        <w:lastRenderedPageBreak/>
        <w:t>respectiva, es decir, si no se exponen de manera puntual las razones de ello se estaría violentando desde un inicio el derecho de acceso a la información del solicitante, por lo que el acuerdo respectivo, deberá hacerse del conocimiento del </w:t>
      </w:r>
      <w:r w:rsidRPr="00987A13">
        <w:rPr>
          <w:rFonts w:ascii="Palatino Linotype" w:eastAsia="Palatino Linotype" w:hAnsi="Palatino Linotype" w:cs="Palatino Linotype"/>
          <w:b/>
          <w:bCs/>
          <w:color w:val="000000"/>
        </w:rPr>
        <w:t>RECURRENTE.</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F72507" w:rsidRPr="00987A13" w:rsidRDefault="00F725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72507" w:rsidRPr="00987A13" w:rsidRDefault="00F72507">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“Quincuagésimo sexto</w:t>
      </w:r>
      <w:r w:rsidRPr="00987A13">
        <w:rPr>
          <w:rFonts w:ascii="Palatino Linotype" w:eastAsia="Palatino Linotype" w:hAnsi="Palatino Linotype" w:cs="Palatino Linotype"/>
          <w:b/>
          <w:bCs/>
          <w:i/>
          <w:iCs/>
        </w:rPr>
        <w:t xml:space="preserve">. La versión pública del documento o expediente que contenga partes o secciones reservadas o confidenciales, será elaborada </w:t>
      </w:r>
      <w:r w:rsidRPr="00987A13">
        <w:rPr>
          <w:rFonts w:ascii="Palatino Linotype" w:eastAsia="Palatino Linotype" w:hAnsi="Palatino Linotype" w:cs="Palatino Linotype"/>
          <w:b/>
          <w:bCs/>
          <w:i/>
          <w:iCs/>
        </w:rPr>
        <w:lastRenderedPageBreak/>
        <w:t>por los sujetos obligados, previo pago de los costos de reproducción, a través de sus áreas y deberá ser aprobada por su Comité de Transparencia</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F72507" w:rsidRPr="00987A13" w:rsidRDefault="001C4B97">
      <w:pPr>
        <w:spacing w:line="360" w:lineRule="auto"/>
        <w:ind w:left="851" w:right="902"/>
        <w:jc w:val="both"/>
        <w:rPr>
          <w:rFonts w:ascii="Palatino Linotype" w:eastAsia="Palatino Linotype" w:hAnsi="Palatino Linotype" w:cs="Palatino Linotype"/>
          <w:i/>
          <w:iCs/>
        </w:rPr>
      </w:pPr>
      <w:r w:rsidRPr="00987A13">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F72507" w:rsidRPr="00987A13" w:rsidRDefault="00F72507">
      <w:pPr>
        <w:spacing w:line="360" w:lineRule="auto"/>
        <w:ind w:left="851" w:right="902"/>
        <w:jc w:val="both"/>
        <w:rPr>
          <w:rFonts w:ascii="Palatino Linotype" w:eastAsia="Palatino Linotype" w:hAnsi="Palatino Linotype" w:cs="Palatino Linotype"/>
          <w:i/>
          <w:iCs/>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Por lo tanto, </w:t>
      </w:r>
      <w:r w:rsidRPr="00987A13">
        <w:rPr>
          <w:rFonts w:ascii="Palatino Linotype" w:eastAsia="Palatino Linotype" w:hAnsi="Palatino Linotype" w:cs="Palatino Linotype"/>
          <w:b/>
          <w:bCs/>
          <w:color w:val="000000"/>
        </w:rPr>
        <w:t xml:space="preserve">la entrega de documentos en su versión pública debe </w:t>
      </w:r>
      <w:r w:rsidRPr="00987A13">
        <w:rPr>
          <w:rFonts w:ascii="Palatino Linotype" w:eastAsia="Palatino Linotype" w:hAnsi="Palatino Linotype" w:cs="Palatino Linotype"/>
          <w:color w:val="000000"/>
        </w:rPr>
        <w:t>acompañarse</w:t>
      </w:r>
      <w:r w:rsidRPr="00987A13">
        <w:rPr>
          <w:rFonts w:ascii="Palatino Linotype" w:eastAsia="Palatino Linotype" w:hAnsi="Palatino Linotype" w:cs="Palatino Linotype"/>
          <w:b/>
          <w:bCs/>
          <w:color w:val="000000"/>
        </w:rPr>
        <w:t xml:space="preserve"> </w:t>
      </w:r>
      <w:r w:rsidRPr="00987A13">
        <w:rPr>
          <w:rFonts w:ascii="Palatino Linotype" w:eastAsia="Palatino Linotype" w:hAnsi="Palatino Linotype" w:cs="Palatino Linotype"/>
          <w:color w:val="000000"/>
        </w:rPr>
        <w:t>necesariamente</w:t>
      </w:r>
      <w:r w:rsidRPr="00987A13">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987A13">
        <w:rPr>
          <w:rFonts w:ascii="Palatino Linotype" w:eastAsia="Palatino Linotype" w:hAnsi="Palatino Linotype" w:cs="Palatino Linotype"/>
          <w:color w:val="000000"/>
        </w:rPr>
        <w:t xml:space="preserve">, ya que no hacerlo, se reitera que lo entregado no tendría un sustento jurídico ni resultaría ser una versión pública, sino más bien una documentación </w:t>
      </w:r>
      <w:r w:rsidRPr="00987A13">
        <w:rPr>
          <w:rFonts w:ascii="Palatino Linotype" w:eastAsia="Palatino Linotype" w:hAnsi="Palatino Linotype" w:cs="Palatino Linotype"/>
          <w:color w:val="000000"/>
        </w:rPr>
        <w:lastRenderedPageBreak/>
        <w:t>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72507" w:rsidRPr="00987A13" w:rsidRDefault="00F72507">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Los sujetos obligados</w:t>
      </w:r>
      <w:r w:rsidRPr="00987A13">
        <w:rPr>
          <w:rFonts w:ascii="Palatino Linotype" w:eastAsia="Palatino Linotype" w:hAnsi="Palatino Linotype" w:cs="Palatino Linotype"/>
          <w:b/>
          <w:bCs/>
          <w:color w:val="000000"/>
        </w:rPr>
        <w:t xml:space="preserve"> </w:t>
      </w:r>
      <w:r w:rsidRPr="00987A13">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2"/>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F72507" w:rsidRPr="00987A13" w:rsidTr="00540584">
        <w:tc>
          <w:tcPr>
            <w:tcW w:w="2689" w:type="dxa"/>
          </w:tcPr>
          <w:p w:rsidR="00F72507" w:rsidRPr="00987A13" w:rsidRDefault="001C4B97">
            <w:pPr>
              <w:tabs>
                <w:tab w:val="left" w:pos="284"/>
              </w:tabs>
              <w:rPr>
                <w:rFonts w:ascii="Palatino Linotype" w:eastAsia="Palatino Linotype" w:hAnsi="Palatino Linotype" w:cs="Palatino Linotype"/>
              </w:rPr>
            </w:pPr>
            <w:r w:rsidRPr="00987A13">
              <w:rPr>
                <w:rFonts w:ascii="Palatino Linotype" w:eastAsia="Palatino Linotype" w:hAnsi="Palatino Linotype" w:cs="Palatino Linotype"/>
              </w:rPr>
              <w:t>a) Requisitos previos.</w:t>
            </w:r>
          </w:p>
        </w:tc>
        <w:tc>
          <w:tcPr>
            <w:tcW w:w="6945" w:type="dxa"/>
          </w:tcPr>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F72507" w:rsidRPr="00987A13" w:rsidRDefault="001C4B97">
            <w:pPr>
              <w:tabs>
                <w:tab w:val="left" w:pos="284"/>
              </w:tabs>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987A13">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987A13">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F72507" w:rsidRPr="00987A13" w:rsidRDefault="00F72507">
            <w:pPr>
              <w:tabs>
                <w:tab w:val="left" w:pos="284"/>
              </w:tabs>
              <w:jc w:val="both"/>
              <w:rPr>
                <w:rFonts w:ascii="Palatino Linotype" w:eastAsia="Palatino Linotype" w:hAnsi="Palatino Linotype" w:cs="Palatino Linotype"/>
              </w:rPr>
            </w:pPr>
          </w:p>
        </w:tc>
      </w:tr>
      <w:tr w:rsidR="00F72507" w:rsidRPr="00987A13" w:rsidTr="00540584">
        <w:tc>
          <w:tcPr>
            <w:tcW w:w="2689" w:type="dxa"/>
          </w:tcPr>
          <w:p w:rsidR="00F72507" w:rsidRPr="00987A13" w:rsidRDefault="001C4B97">
            <w:pPr>
              <w:tabs>
                <w:tab w:val="left" w:pos="284"/>
              </w:tabs>
              <w:rPr>
                <w:rFonts w:ascii="Palatino Linotype" w:eastAsia="Palatino Linotype" w:hAnsi="Palatino Linotype" w:cs="Palatino Linotype"/>
              </w:rPr>
            </w:pPr>
            <w:r w:rsidRPr="00987A13">
              <w:rPr>
                <w:rFonts w:ascii="Palatino Linotype" w:eastAsia="Palatino Linotype" w:hAnsi="Palatino Linotype" w:cs="Palatino Linotype"/>
              </w:rPr>
              <w:lastRenderedPageBreak/>
              <w:t>b) Supuestos de clasificación.</w:t>
            </w:r>
          </w:p>
        </w:tc>
        <w:tc>
          <w:tcPr>
            <w:tcW w:w="6945" w:type="dxa"/>
          </w:tcPr>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72507" w:rsidRPr="00987A13" w:rsidRDefault="001C4B97">
            <w:pPr>
              <w:tabs>
                <w:tab w:val="left" w:pos="284"/>
              </w:tabs>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F72507" w:rsidRPr="00987A13" w:rsidRDefault="00F72507">
            <w:pPr>
              <w:tabs>
                <w:tab w:val="left" w:pos="284"/>
              </w:tabs>
              <w:jc w:val="both"/>
              <w:rPr>
                <w:rFonts w:ascii="Palatino Linotype" w:eastAsia="Palatino Linotype" w:hAnsi="Palatino Linotype" w:cs="Palatino Linotype"/>
              </w:rPr>
            </w:pPr>
          </w:p>
        </w:tc>
      </w:tr>
      <w:tr w:rsidR="00F72507" w:rsidRPr="00987A13" w:rsidTr="00540584">
        <w:tc>
          <w:tcPr>
            <w:tcW w:w="2689" w:type="dxa"/>
          </w:tcPr>
          <w:p w:rsidR="00F72507" w:rsidRPr="00987A13" w:rsidRDefault="001C4B97">
            <w:pPr>
              <w:tabs>
                <w:tab w:val="left" w:pos="284"/>
              </w:tabs>
              <w:rPr>
                <w:rFonts w:ascii="Palatino Linotype" w:eastAsia="Palatino Linotype" w:hAnsi="Palatino Linotype" w:cs="Palatino Linotype"/>
              </w:rPr>
            </w:pPr>
            <w:r w:rsidRPr="00987A13">
              <w:rPr>
                <w:rFonts w:ascii="Palatino Linotype" w:eastAsia="Palatino Linotype" w:hAnsi="Palatino Linotype" w:cs="Palatino Linotype"/>
              </w:rPr>
              <w:t>c) Formalidades para emitir el acuerdo de clasificación.</w:t>
            </w:r>
          </w:p>
        </w:tc>
        <w:tc>
          <w:tcPr>
            <w:tcW w:w="6945" w:type="dxa"/>
          </w:tcPr>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Es necesario que </w:t>
            </w:r>
            <w:r w:rsidRPr="00987A13">
              <w:rPr>
                <w:rFonts w:ascii="Palatino Linotype" w:eastAsia="Palatino Linotype" w:hAnsi="Palatino Linotype" w:cs="Palatino Linotype"/>
                <w:b/>
                <w:bCs/>
                <w:color w:val="000000"/>
                <w:u w:val="single"/>
              </w:rPr>
              <w:t>el acto reúna con los requisitos elementales</w:t>
            </w:r>
            <w:r w:rsidRPr="00987A13">
              <w:rPr>
                <w:rFonts w:ascii="Palatino Linotype" w:eastAsia="Palatino Linotype" w:hAnsi="Palatino Linotype" w:cs="Palatino Linotype"/>
                <w:color w:val="000000"/>
              </w:rPr>
              <w:t>, entre ellos, que la autoridad que va a emitir el acto de autoridad sea la legalmente facultada para ello.</w:t>
            </w:r>
          </w:p>
          <w:p w:rsidR="00F72507" w:rsidRPr="00987A13" w:rsidRDefault="001C4B97">
            <w:pPr>
              <w:tabs>
                <w:tab w:val="left" w:pos="284"/>
              </w:tabs>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F72507" w:rsidRPr="00987A13" w:rsidRDefault="00F72507">
            <w:pPr>
              <w:tabs>
                <w:tab w:val="left" w:pos="284"/>
              </w:tabs>
              <w:jc w:val="both"/>
              <w:rPr>
                <w:rFonts w:ascii="Palatino Linotype" w:eastAsia="Palatino Linotype" w:hAnsi="Palatino Linotype" w:cs="Palatino Linotype"/>
              </w:rPr>
            </w:pPr>
          </w:p>
        </w:tc>
      </w:tr>
      <w:tr w:rsidR="00F72507" w:rsidRPr="00987A13" w:rsidTr="00540584">
        <w:tc>
          <w:tcPr>
            <w:tcW w:w="2689" w:type="dxa"/>
          </w:tcPr>
          <w:p w:rsidR="00F72507" w:rsidRPr="00987A13" w:rsidRDefault="00F72507">
            <w:pPr>
              <w:tabs>
                <w:tab w:val="left" w:pos="284"/>
              </w:tabs>
              <w:rPr>
                <w:rFonts w:ascii="Palatino Linotype" w:eastAsia="Palatino Linotype" w:hAnsi="Palatino Linotype" w:cs="Palatino Linotype"/>
              </w:rPr>
            </w:pPr>
          </w:p>
          <w:p w:rsidR="00F72507" w:rsidRPr="00987A13" w:rsidRDefault="001C4B97">
            <w:pPr>
              <w:tabs>
                <w:tab w:val="left" w:pos="284"/>
              </w:tabs>
              <w:jc w:val="both"/>
              <w:rPr>
                <w:rFonts w:ascii="Palatino Linotype" w:eastAsia="Palatino Linotype" w:hAnsi="Palatino Linotype" w:cs="Palatino Linotype"/>
              </w:rPr>
            </w:pPr>
            <w:r w:rsidRPr="00987A13">
              <w:rPr>
                <w:rFonts w:ascii="Palatino Linotype" w:eastAsia="Palatino Linotype" w:hAnsi="Palatino Linotype" w:cs="Palatino Linotype"/>
                <w:color w:val="000000"/>
              </w:rPr>
              <w:t xml:space="preserve">d) Requisitos de fondo del acuerdo de clasificación. </w:t>
            </w:r>
          </w:p>
        </w:tc>
        <w:tc>
          <w:tcPr>
            <w:tcW w:w="6945" w:type="dxa"/>
          </w:tcPr>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87A13">
              <w:rPr>
                <w:rFonts w:ascii="Palatino Linotype" w:eastAsia="Palatino Linotype" w:hAnsi="Palatino Linotype" w:cs="Palatino Linotype"/>
                <w:b/>
                <w:bCs/>
                <w:color w:val="000000"/>
              </w:rPr>
              <w:t>Sujetos Obligados</w:t>
            </w:r>
            <w:r w:rsidRPr="00987A13">
              <w:rPr>
                <w:rFonts w:ascii="Palatino Linotype" w:eastAsia="Palatino Linotype" w:hAnsi="Palatino Linotype" w:cs="Palatino Linotype"/>
                <w:color w:val="000000"/>
              </w:rPr>
              <w:t xml:space="preserve">, por lo que deberán fundar y motivar debidamente la clasificación. </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De lo anterior, se desprende que para una correcta </w:t>
            </w:r>
            <w:r w:rsidRPr="00987A13">
              <w:rPr>
                <w:rFonts w:ascii="Palatino Linotype" w:eastAsia="Palatino Linotype" w:hAnsi="Palatino Linotype" w:cs="Palatino Linotype"/>
                <w:b/>
                <w:bCs/>
                <w:color w:val="000000"/>
              </w:rPr>
              <w:t>clasificación total o parcial</w:t>
            </w:r>
            <w:r w:rsidRPr="00987A13">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Ahora bien, </w:t>
            </w:r>
            <w:r w:rsidRPr="00987A13">
              <w:rPr>
                <w:rFonts w:ascii="Palatino Linotype" w:eastAsia="Palatino Linotype" w:hAnsi="Palatino Linotype" w:cs="Palatino Linotype"/>
                <w:b/>
                <w:bCs/>
                <w:color w:val="000000"/>
                <w:u w:val="single"/>
              </w:rPr>
              <w:t>para cada caso además de fundar y motivar</w:t>
            </w:r>
            <w:r w:rsidRPr="00987A13">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F72507" w:rsidRPr="00987A13" w:rsidRDefault="00F72507">
            <w:pPr>
              <w:tabs>
                <w:tab w:val="left" w:pos="284"/>
              </w:tabs>
              <w:ind w:right="49"/>
              <w:jc w:val="both"/>
              <w:rPr>
                <w:rFonts w:ascii="Palatino Linotype" w:eastAsia="Palatino Linotype" w:hAnsi="Palatino Linotype" w:cs="Palatino Linotype"/>
                <w:color w:val="000000"/>
              </w:rPr>
            </w:pPr>
          </w:p>
        </w:tc>
      </w:tr>
      <w:tr w:rsidR="00F72507" w:rsidRPr="00987A13" w:rsidTr="00540584">
        <w:tc>
          <w:tcPr>
            <w:tcW w:w="2689" w:type="dxa"/>
          </w:tcPr>
          <w:p w:rsidR="00F72507" w:rsidRPr="00987A13" w:rsidRDefault="001C4B97">
            <w:pPr>
              <w:tabs>
                <w:tab w:val="left" w:pos="284"/>
              </w:tabs>
              <w:ind w:right="49"/>
              <w:jc w:val="both"/>
              <w:rPr>
                <w:rFonts w:ascii="Palatino Linotype" w:eastAsia="Palatino Linotype" w:hAnsi="Palatino Linotype" w:cs="Palatino Linotype"/>
              </w:rPr>
            </w:pPr>
            <w:r w:rsidRPr="00987A13">
              <w:rPr>
                <w:rFonts w:ascii="Palatino Linotype" w:eastAsia="Palatino Linotype" w:hAnsi="Palatino Linotype" w:cs="Palatino Linotype"/>
              </w:rPr>
              <w:lastRenderedPageBreak/>
              <w:t xml:space="preserve">e) Condiciones especiales de la clasificación de la información como confidencial. </w:t>
            </w:r>
          </w:p>
        </w:tc>
        <w:tc>
          <w:tcPr>
            <w:tcW w:w="6945" w:type="dxa"/>
          </w:tcPr>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F72507" w:rsidRPr="00987A13" w:rsidRDefault="001C4B97">
            <w:pPr>
              <w:tabs>
                <w:tab w:val="left" w:pos="284"/>
              </w:tabs>
              <w:ind w:right="49"/>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72507" w:rsidRPr="00987A13" w:rsidRDefault="001C4B97">
            <w:pPr>
              <w:tabs>
                <w:tab w:val="left" w:pos="284"/>
              </w:tabs>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F72507" w:rsidRPr="00987A13" w:rsidRDefault="00F72507">
            <w:pPr>
              <w:tabs>
                <w:tab w:val="left" w:pos="284"/>
              </w:tabs>
              <w:rPr>
                <w:rFonts w:ascii="Palatino Linotype" w:eastAsia="Palatino Linotype" w:hAnsi="Palatino Linotype" w:cs="Palatino Linotype"/>
              </w:rPr>
            </w:pPr>
          </w:p>
        </w:tc>
      </w:tr>
    </w:tbl>
    <w:p w:rsidR="00F72507" w:rsidRPr="00987A13" w:rsidRDefault="00F72507">
      <w:pPr>
        <w:tabs>
          <w:tab w:val="left" w:pos="284"/>
        </w:tabs>
        <w:spacing w:line="360" w:lineRule="auto"/>
        <w:rPr>
          <w:rFonts w:ascii="Palatino Linotype" w:eastAsia="Palatino Linotype" w:hAnsi="Palatino Linotype" w:cs="Palatino Linotype"/>
          <w:color w:val="000000"/>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72507" w:rsidRPr="00987A13" w:rsidRDefault="00F72507">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i/>
          <w:iCs/>
          <w:color w:val="000000"/>
        </w:rPr>
      </w:pPr>
    </w:p>
    <w:p w:rsidR="00F72507" w:rsidRPr="00987A13" w:rsidRDefault="001C4B97" w:rsidP="008F7FEE">
      <w:pPr>
        <w:numPr>
          <w:ilvl w:val="0"/>
          <w:numId w:val="3"/>
        </w:numPr>
        <w:spacing w:line="360" w:lineRule="auto"/>
        <w:ind w:left="0" w:firstLine="0"/>
        <w:jc w:val="both"/>
        <w:rPr>
          <w:rFonts w:ascii="Palatino Linotype" w:eastAsia="Palatino Linotype" w:hAnsi="Palatino Linotype" w:cs="Palatino Linotype"/>
        </w:rPr>
      </w:pPr>
      <w:r w:rsidRPr="00987A13">
        <w:rPr>
          <w:rFonts w:ascii="Palatino Linotype" w:eastAsia="Palatino Linotype" w:hAnsi="Palatino Linotype" w:cs="Palatino Linotype"/>
          <w:color w:val="222222"/>
        </w:rPr>
        <w:t xml:space="preserve">Por lo </w:t>
      </w:r>
      <w:r w:rsidRPr="00987A13">
        <w:rPr>
          <w:rFonts w:ascii="Palatino Linotype" w:eastAsia="Palatino Linotype" w:hAnsi="Palatino Linotype" w:cs="Palatino Linotype"/>
        </w:rPr>
        <w:t>anteriormente</w:t>
      </w:r>
      <w:r w:rsidRPr="00987A13">
        <w:rPr>
          <w:rFonts w:ascii="Palatino Linotype" w:eastAsia="Palatino Linotype" w:hAnsi="Palatino Linotype" w:cs="Palatino Linotype"/>
          <w:color w:val="222222"/>
        </w:rPr>
        <w:t xml:space="preserve"> expuesto y fundado, este </w:t>
      </w:r>
      <w:r w:rsidRPr="00987A13">
        <w:rPr>
          <w:rFonts w:ascii="Palatino Linotype" w:eastAsia="Palatino Linotype" w:hAnsi="Palatino Linotype" w:cs="Palatino Linotype"/>
          <w:b/>
          <w:bCs/>
          <w:color w:val="222222"/>
        </w:rPr>
        <w:t>ÓRGANO GARANTE</w:t>
      </w:r>
      <w:r w:rsidRPr="00987A13">
        <w:rPr>
          <w:rFonts w:ascii="Palatino Linotype" w:eastAsia="Palatino Linotype" w:hAnsi="Palatino Linotype" w:cs="Palatino Linotype"/>
          <w:color w:val="222222"/>
        </w:rPr>
        <w:t xml:space="preserve"> emite los </w:t>
      </w:r>
      <w:r w:rsidRPr="00987A13">
        <w:rPr>
          <w:rFonts w:ascii="Palatino Linotype" w:eastAsia="Palatino Linotype" w:hAnsi="Palatino Linotype" w:cs="Palatino Linotype"/>
        </w:rPr>
        <w:t>siguientes</w:t>
      </w:r>
      <w:r w:rsidRPr="00987A13">
        <w:rPr>
          <w:rFonts w:ascii="Palatino Linotype" w:eastAsia="Palatino Linotype" w:hAnsi="Palatino Linotype" w:cs="Palatino Linotype"/>
          <w:color w:val="222222"/>
        </w:rPr>
        <w:t>:</w:t>
      </w:r>
    </w:p>
    <w:p w:rsidR="00F72507" w:rsidRPr="00987A13" w:rsidRDefault="001C4B97">
      <w:pPr>
        <w:keepNext/>
        <w:keepLines/>
        <w:spacing w:line="360" w:lineRule="auto"/>
        <w:jc w:val="center"/>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R E S O L U T I V O S</w:t>
      </w:r>
    </w:p>
    <w:p w:rsidR="00F72507" w:rsidRPr="00987A13" w:rsidRDefault="001C4B97">
      <w:pPr>
        <w:spacing w:line="360" w:lineRule="auto"/>
        <w:ind w:right="-929"/>
        <w:jc w:val="both"/>
        <w:rPr>
          <w:rFonts w:ascii="Palatino Linotype" w:eastAsia="Palatino Linotype" w:hAnsi="Palatino Linotype" w:cs="Palatino Linotype"/>
          <w:b/>
          <w:bCs/>
        </w:rPr>
      </w:pPr>
      <w:r w:rsidRPr="00987A13">
        <w:rPr>
          <w:rFonts w:ascii="Palatino Linotype" w:eastAsia="Palatino Linotype" w:hAnsi="Palatino Linotype" w:cs="Palatino Linotype"/>
          <w:b/>
          <w:bCs/>
        </w:rPr>
        <w:tab/>
      </w:r>
    </w:p>
    <w:p w:rsidR="00F72507" w:rsidRPr="00987A13" w:rsidRDefault="001C4B97">
      <w:pPr>
        <w:spacing w:line="360" w:lineRule="auto"/>
        <w:jc w:val="both"/>
        <w:rPr>
          <w:rFonts w:ascii="Palatino Linotype" w:eastAsia="Palatino Linotype" w:hAnsi="Palatino Linotype" w:cs="Palatino Linotype"/>
        </w:rPr>
      </w:pPr>
      <w:r w:rsidRPr="00987A13">
        <w:rPr>
          <w:rFonts w:ascii="Palatino Linotype" w:eastAsia="Palatino Linotype" w:hAnsi="Palatino Linotype" w:cs="Palatino Linotype"/>
          <w:b/>
          <w:bCs/>
        </w:rPr>
        <w:t>PRIMERO</w:t>
      </w:r>
      <w:r w:rsidRPr="00987A13">
        <w:rPr>
          <w:rFonts w:ascii="Palatino Linotype" w:eastAsia="Palatino Linotype" w:hAnsi="Palatino Linotype" w:cs="Palatino Linotype"/>
        </w:rPr>
        <w:t xml:space="preserve">. Resultan fundadas las razones o motivos de inconformidad hechos valer en el Recurso de Revisión </w:t>
      </w:r>
      <w:r w:rsidRPr="00987A13">
        <w:rPr>
          <w:rFonts w:ascii="Palatino Linotype" w:eastAsia="Palatino Linotype" w:hAnsi="Palatino Linotype" w:cs="Palatino Linotype"/>
          <w:b/>
          <w:bCs/>
        </w:rPr>
        <w:t xml:space="preserve">06553/INFOEM/IP/RR/2025, </w:t>
      </w:r>
      <w:r w:rsidRPr="00987A13">
        <w:rPr>
          <w:rFonts w:ascii="Palatino Linotype" w:eastAsia="Palatino Linotype" w:hAnsi="Palatino Linotype" w:cs="Palatino Linotype"/>
        </w:rPr>
        <w:t xml:space="preserve">en términos de los </w:t>
      </w:r>
      <w:r w:rsidRPr="00987A13">
        <w:rPr>
          <w:rFonts w:ascii="Palatino Linotype" w:eastAsia="Palatino Linotype" w:hAnsi="Palatino Linotype" w:cs="Palatino Linotype"/>
          <w:b/>
          <w:bCs/>
        </w:rPr>
        <w:t>Considerandos</w:t>
      </w:r>
      <w:r w:rsidRPr="00987A13">
        <w:rPr>
          <w:rFonts w:ascii="Palatino Linotype" w:eastAsia="Palatino Linotype" w:hAnsi="Palatino Linotype" w:cs="Palatino Linotype"/>
        </w:rPr>
        <w:t xml:space="preserve"> </w:t>
      </w:r>
      <w:r w:rsidRPr="00987A13">
        <w:rPr>
          <w:rFonts w:ascii="Palatino Linotype" w:eastAsia="Palatino Linotype" w:hAnsi="Palatino Linotype" w:cs="Palatino Linotype"/>
          <w:b/>
          <w:bCs/>
        </w:rPr>
        <w:t xml:space="preserve">Cuarto y Quinto </w:t>
      </w:r>
      <w:r w:rsidRPr="00987A13">
        <w:rPr>
          <w:rFonts w:ascii="Palatino Linotype" w:eastAsia="Palatino Linotype" w:hAnsi="Palatino Linotype" w:cs="Palatino Linotype"/>
        </w:rPr>
        <w:t>de la presente Resolución.</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pPr>
        <w:spacing w:line="360" w:lineRule="auto"/>
        <w:jc w:val="both"/>
        <w:rPr>
          <w:rFonts w:ascii="Palatino Linotype" w:eastAsia="Palatino Linotype" w:hAnsi="Palatino Linotype" w:cs="Palatino Linotype"/>
        </w:rPr>
      </w:pPr>
      <w:r w:rsidRPr="00987A13">
        <w:rPr>
          <w:rFonts w:ascii="Palatino Linotype" w:eastAsia="Palatino Linotype" w:hAnsi="Palatino Linotype" w:cs="Palatino Linotype"/>
          <w:b/>
          <w:bCs/>
        </w:rPr>
        <w:lastRenderedPageBreak/>
        <w:t xml:space="preserve">SEGUNDO. </w:t>
      </w:r>
      <w:r w:rsidRPr="00987A13">
        <w:rPr>
          <w:rFonts w:ascii="Palatino Linotype" w:eastAsia="Palatino Linotype" w:hAnsi="Palatino Linotype" w:cs="Palatino Linotype"/>
          <w:color w:val="000000"/>
        </w:rPr>
        <w:t xml:space="preserve">Se </w:t>
      </w:r>
      <w:r w:rsidRPr="00987A13">
        <w:rPr>
          <w:rFonts w:ascii="Palatino Linotype" w:eastAsia="Palatino Linotype" w:hAnsi="Palatino Linotype" w:cs="Palatino Linotype"/>
          <w:b/>
          <w:bCs/>
          <w:color w:val="000000"/>
        </w:rPr>
        <w:t xml:space="preserve">REVOCA </w:t>
      </w:r>
      <w:r w:rsidRPr="00987A13">
        <w:rPr>
          <w:rFonts w:ascii="Palatino Linotype" w:eastAsia="Palatino Linotype" w:hAnsi="Palatino Linotype" w:cs="Palatino Linotype"/>
          <w:color w:val="000000"/>
        </w:rPr>
        <w:t xml:space="preserve">la respuesta emitida por el </w:t>
      </w:r>
      <w:r w:rsidRPr="00987A13">
        <w:rPr>
          <w:rFonts w:ascii="Palatino Linotype" w:eastAsia="Palatino Linotype" w:hAnsi="Palatino Linotype" w:cs="Palatino Linotype"/>
          <w:b/>
          <w:bCs/>
          <w:color w:val="000000"/>
        </w:rPr>
        <w:t>Ayuntamiento de Metepec</w:t>
      </w:r>
      <w:r w:rsidRPr="00987A13">
        <w:rPr>
          <w:rFonts w:ascii="Palatino Linotype" w:eastAsia="Palatino Linotype" w:hAnsi="Palatino Linotype" w:cs="Palatino Linotype"/>
          <w:b/>
          <w:bCs/>
        </w:rPr>
        <w:t>;</w:t>
      </w:r>
      <w:r w:rsidRPr="00987A13">
        <w:rPr>
          <w:rFonts w:ascii="Palatino Linotype" w:eastAsia="Palatino Linotype" w:hAnsi="Palatino Linotype" w:cs="Palatino Linotype"/>
        </w:rPr>
        <w:t xml:space="preserve"> por lo que</w:t>
      </w:r>
      <w:r w:rsidRPr="00987A13">
        <w:rPr>
          <w:rFonts w:ascii="Palatino Linotype" w:eastAsia="Palatino Linotype" w:hAnsi="Palatino Linotype" w:cs="Palatino Linotype"/>
          <w:color w:val="000000"/>
        </w:rPr>
        <w:t xml:space="preserve"> se </w:t>
      </w:r>
      <w:r w:rsidRPr="00987A13">
        <w:rPr>
          <w:rFonts w:ascii="Palatino Linotype" w:eastAsia="Palatino Linotype" w:hAnsi="Palatino Linotype" w:cs="Palatino Linotype"/>
          <w:b/>
          <w:bCs/>
          <w:color w:val="000000"/>
        </w:rPr>
        <w:t>ORDENA</w:t>
      </w:r>
      <w:r w:rsidRPr="00987A13">
        <w:rPr>
          <w:rFonts w:ascii="Palatino Linotype" w:eastAsia="Palatino Linotype" w:hAnsi="Palatino Linotype" w:cs="Palatino Linotype"/>
          <w:color w:val="000000"/>
        </w:rPr>
        <w:t xml:space="preserve"> entregar vía Sistema de Acceso a la Información Mexiquense (</w:t>
      </w:r>
      <w:r w:rsidRPr="00987A13">
        <w:rPr>
          <w:rFonts w:ascii="Palatino Linotype" w:eastAsia="Palatino Linotype" w:hAnsi="Palatino Linotype" w:cs="Palatino Linotype"/>
          <w:b/>
          <w:bCs/>
          <w:color w:val="000000"/>
        </w:rPr>
        <w:t>SAIMEX</w:t>
      </w:r>
      <w:r w:rsidRPr="00987A13">
        <w:rPr>
          <w:rFonts w:ascii="Palatino Linotype" w:eastAsia="Palatino Linotype" w:hAnsi="Palatino Linotype" w:cs="Palatino Linotype"/>
          <w:color w:val="000000"/>
        </w:rPr>
        <w:t>), la siguiente información en versión pública</w:t>
      </w:r>
      <w:r w:rsidRPr="00987A13">
        <w:rPr>
          <w:rFonts w:ascii="Palatino Linotype" w:eastAsia="Palatino Linotype" w:hAnsi="Palatino Linotype" w:cs="Palatino Linotype"/>
        </w:rPr>
        <w:t>:</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Contratos celebrados para llevar a cabo el “Festival Quimera” en los años 2022, 2023, 2024 y del 01 de enero al 29 de abril de 2025.</w:t>
      </w:r>
    </w:p>
    <w:p w:rsidR="00F72507" w:rsidRPr="00987A13" w:rsidRDefault="001C4B97">
      <w:pPr>
        <w:pBdr>
          <w:top w:val="nil"/>
          <w:left w:val="nil"/>
          <w:bottom w:val="nil"/>
          <w:right w:val="nil"/>
          <w:between w:val="nil"/>
        </w:pBdr>
        <w:spacing w:line="360" w:lineRule="auto"/>
        <w:ind w:left="778" w:right="709"/>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 xml:space="preserve"> </w:t>
      </w:r>
    </w:p>
    <w:p w:rsidR="00F72507" w:rsidRPr="00987A13" w:rsidRDefault="001C4B97">
      <w:pPr>
        <w:spacing w:line="360" w:lineRule="auto"/>
        <w:jc w:val="both"/>
        <w:rPr>
          <w:rFonts w:ascii="Palatino Linotype" w:eastAsia="Palatino Linotype" w:hAnsi="Palatino Linotype" w:cs="Palatino Linotype"/>
        </w:rPr>
      </w:pPr>
      <w:r w:rsidRPr="00987A13">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F72507" w:rsidRPr="00987A13" w:rsidRDefault="00F72507">
      <w:pPr>
        <w:spacing w:line="360" w:lineRule="auto"/>
        <w:jc w:val="both"/>
        <w:rPr>
          <w:rFonts w:ascii="Palatino Linotype" w:eastAsia="Palatino Linotype" w:hAnsi="Palatino Linotype" w:cs="Palatino Linotype"/>
          <w:b/>
          <w:bCs/>
          <w:color w:val="000000"/>
        </w:rPr>
      </w:pPr>
    </w:p>
    <w:p w:rsidR="00F72507" w:rsidRPr="00987A13" w:rsidRDefault="001C4B97">
      <w:pPr>
        <w:spacing w:line="360" w:lineRule="auto"/>
        <w:jc w:val="both"/>
        <w:rPr>
          <w:rFonts w:ascii="Palatino Linotype" w:eastAsia="Palatino Linotype" w:hAnsi="Palatino Linotype" w:cs="Palatino Linotype"/>
        </w:rPr>
      </w:pPr>
      <w:r w:rsidRPr="00987A13">
        <w:rPr>
          <w:rFonts w:ascii="Palatino Linotype" w:eastAsia="Palatino Linotype" w:hAnsi="Palatino Linotype" w:cs="Palatino Linotype"/>
          <w:color w:val="000000"/>
        </w:rPr>
        <w:t xml:space="preserve">Para el caso de no haber celebrado contratos del </w:t>
      </w:r>
      <w:r w:rsidRPr="00987A13">
        <w:rPr>
          <w:rFonts w:ascii="Palatino Linotype" w:eastAsia="Palatino Linotype" w:hAnsi="Palatino Linotype" w:cs="Palatino Linotype"/>
          <w:b/>
          <w:bCs/>
          <w:color w:val="000000"/>
        </w:rPr>
        <w:t>01 de enero al 29 de abril de 2025,</w:t>
      </w:r>
      <w:r w:rsidRPr="00987A13">
        <w:rPr>
          <w:rFonts w:ascii="Palatino Linotype" w:eastAsia="Palatino Linotype" w:hAnsi="Palatino Linotype" w:cs="Palatino Linotype"/>
          <w:color w:val="000000"/>
        </w:rPr>
        <w:t xml:space="preserve"> bastará que el </w:t>
      </w:r>
      <w:r w:rsidRPr="00987A13">
        <w:rPr>
          <w:rFonts w:ascii="Palatino Linotype" w:eastAsia="Palatino Linotype" w:hAnsi="Palatino Linotype" w:cs="Palatino Linotype"/>
          <w:b/>
          <w:bCs/>
          <w:color w:val="000000"/>
        </w:rPr>
        <w:t>SUJETO OBLIGADO</w:t>
      </w:r>
      <w:r w:rsidRPr="00987A13">
        <w:rPr>
          <w:rFonts w:ascii="Palatino Linotype" w:eastAsia="Palatino Linotype" w:hAnsi="Palatino Linotype" w:cs="Palatino Linotype"/>
          <w:color w:val="000000"/>
        </w:rPr>
        <w:t xml:space="preserve"> lo haga del conocimiento de la parte </w:t>
      </w:r>
      <w:r w:rsidRPr="00987A13">
        <w:rPr>
          <w:rFonts w:ascii="Palatino Linotype" w:eastAsia="Palatino Linotype" w:hAnsi="Palatino Linotype" w:cs="Palatino Linotype"/>
          <w:b/>
          <w:bCs/>
          <w:color w:val="000000"/>
        </w:rPr>
        <w:t>RECURRENTE</w:t>
      </w:r>
      <w:r w:rsidRPr="00987A13">
        <w:rPr>
          <w:rFonts w:ascii="Palatino Linotype" w:eastAsia="Palatino Linotype" w:hAnsi="Palatino Linotype" w:cs="Palatino Linotype"/>
          <w:color w:val="000000"/>
        </w:rPr>
        <w:t xml:space="preserve"> al momento de dar cumplimiento a la presente Resolución en términos del artículo 19 párrafo segundo de la</w:t>
      </w:r>
      <w:r w:rsidRPr="00987A13">
        <w:rPr>
          <w:rFonts w:ascii="Palatino Linotype" w:eastAsia="Palatino Linotype" w:hAnsi="Palatino Linotype" w:cs="Palatino Linotype"/>
        </w:rPr>
        <w:t xml:space="preserve"> Ley de Transparencia y Acceso a la Información Pública del Estado de México y Municipios.</w:t>
      </w: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1C4B97">
      <w:pPr>
        <w:spacing w:line="360" w:lineRule="auto"/>
        <w:ind w:right="51"/>
        <w:jc w:val="both"/>
        <w:rPr>
          <w:rFonts w:ascii="Palatino Linotype" w:eastAsia="Palatino Linotype" w:hAnsi="Palatino Linotype" w:cs="Palatino Linotype"/>
        </w:rPr>
      </w:pPr>
      <w:r w:rsidRPr="00987A13">
        <w:rPr>
          <w:rFonts w:ascii="Palatino Linotype" w:eastAsia="Palatino Linotype" w:hAnsi="Palatino Linotype" w:cs="Palatino Linotype"/>
          <w:b/>
          <w:bCs/>
        </w:rPr>
        <w:t xml:space="preserve">TERCERO. Notifíquese </w:t>
      </w:r>
      <w:r w:rsidRPr="00987A13">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87A13">
        <w:rPr>
          <w:rFonts w:ascii="Palatino Linotype" w:eastAsia="Palatino Linotype" w:hAnsi="Palatino Linotype" w:cs="Palatino Linotype"/>
          <w:b/>
          <w:bCs/>
        </w:rPr>
        <w:t xml:space="preserve">dé cumplimiento a lo ordenado dentro del plazo de diez </w:t>
      </w:r>
      <w:r w:rsidRPr="00987A13">
        <w:rPr>
          <w:rFonts w:ascii="Palatino Linotype" w:eastAsia="Palatino Linotype" w:hAnsi="Palatino Linotype" w:cs="Palatino Linotype"/>
          <w:b/>
          <w:bCs/>
        </w:rPr>
        <w:lastRenderedPageBreak/>
        <w:t>días hábiles,</w:t>
      </w:r>
      <w:r w:rsidRPr="00987A13">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72507" w:rsidRPr="00987A13" w:rsidRDefault="00F72507">
      <w:pPr>
        <w:spacing w:line="360" w:lineRule="auto"/>
        <w:ind w:right="51"/>
        <w:jc w:val="both"/>
        <w:rPr>
          <w:rFonts w:ascii="Palatino Linotype" w:eastAsia="Palatino Linotype" w:hAnsi="Palatino Linotype" w:cs="Palatino Linotype"/>
        </w:rPr>
      </w:pPr>
    </w:p>
    <w:p w:rsidR="00F72507" w:rsidRPr="00987A13" w:rsidRDefault="001C4B97">
      <w:pPr>
        <w:spacing w:line="360" w:lineRule="auto"/>
        <w:ind w:right="51"/>
        <w:jc w:val="both"/>
        <w:rPr>
          <w:rFonts w:ascii="Palatino Linotype" w:eastAsia="Palatino Linotype" w:hAnsi="Palatino Linotype" w:cs="Palatino Linotype"/>
        </w:rPr>
      </w:pPr>
      <w:r w:rsidRPr="00987A13">
        <w:rPr>
          <w:rFonts w:ascii="Palatino Linotype" w:eastAsia="Palatino Linotype" w:hAnsi="Palatino Linotype" w:cs="Palatino Linotype"/>
          <w:b/>
          <w:bCs/>
        </w:rPr>
        <w:t xml:space="preserve">CUARTO. </w:t>
      </w:r>
      <w:r w:rsidRPr="00987A1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87A13">
        <w:rPr>
          <w:rFonts w:ascii="Palatino Linotype" w:eastAsia="Palatino Linotype" w:hAnsi="Palatino Linotype" w:cs="Palatino Linotype"/>
          <w:b/>
          <w:bCs/>
        </w:rPr>
        <w:t>SUJETO OBLIGADO</w:t>
      </w:r>
      <w:r w:rsidRPr="00987A13">
        <w:rPr>
          <w:rFonts w:ascii="Palatino Linotype" w:eastAsia="Palatino Linotype" w:hAnsi="Palatino Linotype" w:cs="Palatino Linotype"/>
        </w:rPr>
        <w:t xml:space="preserve"> de manera fundada y motivada, podrá solicitar una ampliación de plazo para el cumplimiento de la presente Resolución.</w:t>
      </w:r>
    </w:p>
    <w:p w:rsidR="00F72507" w:rsidRPr="00987A13" w:rsidRDefault="00F72507">
      <w:pPr>
        <w:spacing w:line="360" w:lineRule="auto"/>
        <w:ind w:right="51"/>
        <w:jc w:val="both"/>
        <w:rPr>
          <w:rFonts w:ascii="Palatino Linotype" w:eastAsia="Palatino Linotype" w:hAnsi="Palatino Linotype" w:cs="Palatino Linotype"/>
        </w:rPr>
      </w:pPr>
    </w:p>
    <w:p w:rsidR="00F72507" w:rsidRDefault="001C4B97">
      <w:pPr>
        <w:tabs>
          <w:tab w:val="left" w:pos="8080"/>
        </w:tabs>
        <w:spacing w:line="360" w:lineRule="auto"/>
        <w:ind w:right="51"/>
        <w:jc w:val="both"/>
        <w:rPr>
          <w:rFonts w:ascii="Palatino Linotype" w:eastAsia="Palatino Linotype" w:hAnsi="Palatino Linotype" w:cs="Palatino Linotype"/>
        </w:rPr>
      </w:pPr>
      <w:bookmarkStart w:id="9" w:name="_heading=h.lnxbz9" w:colFirst="0" w:colLast="0"/>
      <w:bookmarkEnd w:id="9"/>
      <w:r w:rsidRPr="00987A13">
        <w:rPr>
          <w:rFonts w:ascii="Palatino Linotype" w:eastAsia="Palatino Linotype" w:hAnsi="Palatino Linotype" w:cs="Palatino Linotype"/>
          <w:b/>
          <w:bCs/>
        </w:rPr>
        <w:t xml:space="preserve">QUINTO. </w:t>
      </w:r>
      <w:r w:rsidRPr="00987A13">
        <w:rPr>
          <w:rFonts w:ascii="Palatino Linotype" w:eastAsia="Palatino Linotype" w:hAnsi="Palatino Linotype" w:cs="Palatino Linotype"/>
        </w:rPr>
        <w:t xml:space="preserve">Notifíquese al </w:t>
      </w:r>
      <w:r w:rsidRPr="00987A13">
        <w:rPr>
          <w:rFonts w:ascii="Palatino Linotype" w:eastAsia="Palatino Linotype" w:hAnsi="Palatino Linotype" w:cs="Palatino Linotype"/>
          <w:b/>
          <w:bCs/>
        </w:rPr>
        <w:t>RECURRENTE</w:t>
      </w:r>
      <w:r w:rsidRPr="00987A13">
        <w:rPr>
          <w:rFonts w:ascii="Palatino Linotype" w:eastAsia="Palatino Linotype" w:hAnsi="Palatino Linotype" w:cs="Palatino Linotype"/>
        </w:rPr>
        <w:t xml:space="preserve"> la presente Resolución, vía </w:t>
      </w:r>
      <w:r w:rsidRPr="00987A13">
        <w:rPr>
          <w:rFonts w:ascii="Palatino Linotype" w:eastAsia="Palatino Linotype" w:hAnsi="Palatino Linotype" w:cs="Palatino Linotype"/>
          <w:b/>
          <w:bCs/>
        </w:rPr>
        <w:t>SAIMEX</w:t>
      </w:r>
      <w:r w:rsidRPr="00987A13">
        <w:rPr>
          <w:rFonts w:ascii="Palatino Linotype" w:eastAsia="Palatino Linotype" w:hAnsi="Palatino Linotype" w:cs="Palatino Linotype"/>
        </w:rPr>
        <w:t>.</w:t>
      </w:r>
    </w:p>
    <w:p w:rsidR="00274CD9" w:rsidRPr="00987A13" w:rsidRDefault="00274CD9">
      <w:pPr>
        <w:tabs>
          <w:tab w:val="left" w:pos="8080"/>
        </w:tabs>
        <w:spacing w:line="360" w:lineRule="auto"/>
        <w:ind w:right="51"/>
        <w:jc w:val="both"/>
        <w:rPr>
          <w:rFonts w:ascii="Palatino Linotype" w:eastAsia="Palatino Linotype" w:hAnsi="Palatino Linotype" w:cs="Palatino Linotype"/>
        </w:rPr>
      </w:pPr>
    </w:p>
    <w:p w:rsidR="00F72507" w:rsidRPr="00987A13" w:rsidRDefault="001C4B97">
      <w:pPr>
        <w:shd w:val="clear" w:color="auto" w:fill="FFFFFF"/>
        <w:spacing w:line="360" w:lineRule="auto"/>
        <w:ind w:right="51"/>
        <w:jc w:val="both"/>
        <w:rPr>
          <w:rFonts w:ascii="Palatino Linotype" w:eastAsia="Palatino Linotype" w:hAnsi="Palatino Linotype" w:cs="Palatino Linotype"/>
        </w:rPr>
      </w:pPr>
      <w:r w:rsidRPr="00987A13">
        <w:rPr>
          <w:rFonts w:ascii="Palatino Linotype" w:eastAsia="Palatino Linotype" w:hAnsi="Palatino Linotype" w:cs="Palatino Linotype"/>
          <w:b/>
          <w:bCs/>
        </w:rPr>
        <w:t xml:space="preserve">SEXTO. </w:t>
      </w:r>
      <w:r w:rsidRPr="00987A13">
        <w:rPr>
          <w:rFonts w:ascii="Palatino Linotype" w:eastAsia="Palatino Linotype" w:hAnsi="Palatino Linotype" w:cs="Palatino Linotype"/>
        </w:rPr>
        <w:t>Se hace del conocimiento del</w:t>
      </w:r>
      <w:r w:rsidRPr="00987A13">
        <w:rPr>
          <w:rFonts w:ascii="Palatino Linotype" w:eastAsia="Palatino Linotype" w:hAnsi="Palatino Linotype" w:cs="Palatino Linotype"/>
          <w:b/>
          <w:bCs/>
        </w:rPr>
        <w:t xml:space="preserve"> RECURRENTE </w:t>
      </w:r>
      <w:r w:rsidRPr="00987A13">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F72507" w:rsidRPr="00987A13" w:rsidRDefault="00F72507">
      <w:pPr>
        <w:spacing w:line="360" w:lineRule="auto"/>
        <w:jc w:val="both"/>
        <w:rPr>
          <w:rFonts w:ascii="Palatino Linotype" w:eastAsia="Palatino Linotype" w:hAnsi="Palatino Linotype" w:cs="Palatino Linotype"/>
          <w:color w:val="000000"/>
        </w:rPr>
      </w:pPr>
    </w:p>
    <w:p w:rsidR="00274CD9" w:rsidRDefault="00274CD9" w:rsidP="00274CD9">
      <w:pPr>
        <w:spacing w:before="240" w:after="240" w:line="360" w:lineRule="auto"/>
        <w:ind w:firstLine="1"/>
        <w:jc w:val="both"/>
        <w:rPr>
          <w:rFonts w:ascii="Palatino Linotype" w:hAnsi="Palatino Linotype"/>
        </w:rPr>
      </w:pPr>
      <w:bookmarkStart w:id="10" w:name="_Hlk99014733"/>
      <w:r>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Pr>
          <w:rFonts w:ascii="Palatino Linotype" w:hAnsi="Palatino Linotype" w:cs="Palatino Linotype"/>
        </w:rPr>
        <w:lastRenderedPageBreak/>
        <w:t xml:space="preserve">NORIEGA Y GUADALUPE RAMÍREZ PEÑA; EN LA CUARTA SESIÓN ORDINARIA, CELEBRADA EL CINCO (05) DE FEBRERO DE DOS MIL VEINTISÉIS, ANTE EL SECRETARIO TÉCNICO DEL PLENO </w:t>
      </w:r>
      <w:r w:rsidRPr="008304B6">
        <w:rPr>
          <w:rFonts w:ascii="Palatino Linotype" w:hAnsi="Palatino Linotype" w:cs="Palatino Linotype"/>
          <w:color w:val="000000" w:themeColor="text1"/>
        </w:rPr>
        <w:t>ALEXIS TAPIA RAMÍREZ.</w:t>
      </w:r>
    </w:p>
    <w:bookmarkEnd w:id="10"/>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F72507">
      <w:pPr>
        <w:spacing w:line="360" w:lineRule="auto"/>
        <w:jc w:val="both"/>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F72507" w:rsidRPr="00987A13" w:rsidRDefault="001C4B97">
      <w:pPr>
        <w:tabs>
          <w:tab w:val="left" w:pos="3374"/>
        </w:tabs>
        <w:spacing w:line="360" w:lineRule="auto"/>
        <w:rPr>
          <w:rFonts w:ascii="Palatino Linotype" w:eastAsia="Palatino Linotype" w:hAnsi="Palatino Linotype" w:cs="Palatino Linotype"/>
        </w:rPr>
      </w:pPr>
      <w:r w:rsidRPr="00987A13">
        <w:rPr>
          <w:rFonts w:ascii="Palatino Linotype" w:eastAsia="Palatino Linotype" w:hAnsi="Palatino Linotype" w:cs="Palatino Linotype"/>
        </w:rPr>
        <w:tab/>
      </w: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tabs>
          <w:tab w:val="left" w:pos="3374"/>
        </w:tabs>
        <w:spacing w:line="360" w:lineRule="auto"/>
        <w:rPr>
          <w:rFonts w:ascii="Palatino Linotype" w:eastAsia="Palatino Linotype" w:hAnsi="Palatino Linotype" w:cs="Palatino Linotype"/>
        </w:rPr>
      </w:pPr>
    </w:p>
    <w:p w:rsidR="00F72507" w:rsidRPr="00987A13" w:rsidRDefault="00F72507">
      <w:pPr>
        <w:spacing w:line="360" w:lineRule="auto"/>
        <w:rPr>
          <w:rFonts w:ascii="Palatino Linotype" w:eastAsia="Palatino Linotype" w:hAnsi="Palatino Linotype" w:cs="Palatino Linotype"/>
        </w:rPr>
      </w:pPr>
    </w:p>
    <w:p w:rsidR="000A4E30" w:rsidRPr="00987A13" w:rsidRDefault="000A4E30">
      <w:pPr>
        <w:spacing w:line="360" w:lineRule="auto"/>
        <w:rPr>
          <w:rFonts w:ascii="Palatino Linotype" w:eastAsia="Palatino Linotype" w:hAnsi="Palatino Linotype" w:cs="Palatino Linotype"/>
        </w:rPr>
      </w:pPr>
    </w:p>
    <w:p w:rsidR="00987A13" w:rsidRPr="00987A13" w:rsidRDefault="00987A13">
      <w:pPr>
        <w:spacing w:line="360" w:lineRule="auto"/>
        <w:rPr>
          <w:rFonts w:ascii="Palatino Linotype" w:eastAsia="Palatino Linotype" w:hAnsi="Palatino Linotype" w:cs="Palatino Linotype"/>
        </w:rPr>
      </w:pPr>
    </w:p>
    <w:sectPr w:rsidR="00987A13" w:rsidRPr="00987A13" w:rsidSect="00540584">
      <w:headerReference w:type="even" r:id="rId12"/>
      <w:headerReference w:type="default" r:id="rId13"/>
      <w:footerReference w:type="default" r:id="rId14"/>
      <w:headerReference w:type="first" r:id="rId15"/>
      <w:footerReference w:type="first" r:id="rId16"/>
      <w:pgSz w:w="12240" w:h="15840"/>
      <w:pgMar w:top="1985"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056" w:rsidRDefault="000B3056">
      <w:r>
        <w:separator/>
      </w:r>
    </w:p>
  </w:endnote>
  <w:endnote w:type="continuationSeparator" w:id="0">
    <w:p w:rsidR="000B3056" w:rsidRDefault="000B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35CF3B03-10A1-4158-87E2-7A7415CB8954}"/>
    <w:embedBold r:id="rId2" w:fontKey="{79DBFF10-7125-4C90-A960-6B6FC613AE63}"/>
    <w:embedItalic r:id="rId3" w:fontKey="{088FDE77-2C47-4A46-AF3B-6B2C6A83D5AB}"/>
    <w:embedBoldItalic r:id="rId4" w:fontKey="{34913E5C-FA1C-4DAD-8E8F-A1F59303C533}"/>
  </w:font>
  <w:font w:name="Noto Sans Symbols">
    <w:altName w:val="Times New Roman"/>
    <w:charset w:val="00"/>
    <w:family w:val="auto"/>
    <w:pitch w:val="default"/>
    <w:embedRegular r:id="rId5" w:fontKey="{68B3A4E1-6426-4E71-973E-A3AFAE000952}"/>
  </w:font>
  <w:font w:name="Calibri">
    <w:panose1 w:val="020F0502020204030204"/>
    <w:charset w:val="00"/>
    <w:family w:val="swiss"/>
    <w:pitch w:val="variable"/>
    <w:sig w:usb0="E4002EFF" w:usb1="C200247B" w:usb2="00000009" w:usb3="00000000" w:csb0="000001FF" w:csb1="00000000"/>
    <w:embedRegular r:id="rId6" w:fontKey="{2922AD31-18D1-4018-866B-1CCACE73916D}"/>
    <w:embedBold r:id="rId7" w:fontKey="{9EE89D1E-EAC0-4D00-BCFB-3916844EA704}"/>
    <w:embedItalic r:id="rId8" w:fontKey="{A374F21A-ACE5-4AA5-84A6-C2443F61E5E6}"/>
    <w:embedBoldItalic r:id="rId9" w:fontKey="{3CB3FCF6-FDF4-46B0-972F-1CD19D358B54}"/>
  </w:font>
  <w:font w:name="Calibri Light">
    <w:panose1 w:val="020F0302020204030204"/>
    <w:charset w:val="00"/>
    <w:family w:val="swiss"/>
    <w:pitch w:val="variable"/>
    <w:sig w:usb0="E4002EFF" w:usb1="C200247B" w:usb2="00000009" w:usb3="00000000" w:csb0="000001FF" w:csb1="00000000"/>
    <w:embedRegular r:id="rId10" w:fontKey="{09E731EE-F267-4B2F-8A0E-1DB00B6FA6E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5924ADCC-B2B6-4773-B85A-7E6882C12750}"/>
  </w:font>
  <w:font w:name="Tahoma">
    <w:panose1 w:val="020B0604030504040204"/>
    <w:charset w:val="00"/>
    <w:family w:val="swiss"/>
    <w:pitch w:val="variable"/>
    <w:sig w:usb0="E1002EFF" w:usb1="C000605B" w:usb2="00000029" w:usb3="00000000" w:csb0="000101FF" w:csb1="00000000"/>
    <w:embedBold r:id="rId12" w:fontKey="{C00B8800-1F7D-4F24-8C1B-1051F05BABFE}"/>
    <w:embedBoldItalic r:id="rId13" w:fontKey="{24B1E11B-9192-4402-B0A1-8F2545BD1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07" w:rsidRPr="00540584" w:rsidRDefault="001C4B97">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2"/>
      </w:rPr>
    </w:pPr>
    <w:r w:rsidRPr="00540584">
      <w:rPr>
        <w:rFonts w:ascii="Palatino Linotype" w:eastAsia="Palatino Linotype" w:hAnsi="Palatino Linotype" w:cs="Palatino Linotype"/>
        <w:b/>
        <w:color w:val="000000"/>
        <w:sz w:val="22"/>
        <w:szCs w:val="22"/>
      </w:rPr>
      <w:t xml:space="preserve">Página </w:t>
    </w:r>
    <w:r w:rsidRPr="00540584">
      <w:rPr>
        <w:rFonts w:ascii="Palatino Linotype" w:eastAsia="Palatino Linotype" w:hAnsi="Palatino Linotype" w:cs="Palatino Linotype"/>
        <w:b/>
        <w:color w:val="000000"/>
        <w:sz w:val="22"/>
        <w:szCs w:val="22"/>
      </w:rPr>
      <w:fldChar w:fldCharType="begin"/>
    </w:r>
    <w:r w:rsidRPr="00540584">
      <w:rPr>
        <w:rFonts w:ascii="Palatino Linotype" w:eastAsia="Palatino Linotype" w:hAnsi="Palatino Linotype" w:cs="Palatino Linotype"/>
        <w:b/>
        <w:color w:val="000000"/>
        <w:sz w:val="22"/>
        <w:szCs w:val="22"/>
      </w:rPr>
      <w:instrText>PAGE</w:instrText>
    </w:r>
    <w:r w:rsidRPr="00540584">
      <w:rPr>
        <w:rFonts w:ascii="Palatino Linotype" w:eastAsia="Palatino Linotype" w:hAnsi="Palatino Linotype" w:cs="Palatino Linotype"/>
        <w:b/>
        <w:color w:val="000000"/>
        <w:sz w:val="22"/>
        <w:szCs w:val="22"/>
      </w:rPr>
      <w:fldChar w:fldCharType="separate"/>
    </w:r>
    <w:r w:rsidR="009125BB">
      <w:rPr>
        <w:rFonts w:ascii="Palatino Linotype" w:eastAsia="Palatino Linotype" w:hAnsi="Palatino Linotype" w:cs="Palatino Linotype"/>
        <w:b/>
        <w:noProof/>
        <w:color w:val="000000"/>
        <w:sz w:val="22"/>
        <w:szCs w:val="22"/>
      </w:rPr>
      <w:t>21</w:t>
    </w:r>
    <w:r w:rsidRPr="00540584">
      <w:rPr>
        <w:rFonts w:ascii="Palatino Linotype" w:eastAsia="Palatino Linotype" w:hAnsi="Palatino Linotype" w:cs="Palatino Linotype"/>
        <w:b/>
        <w:color w:val="000000"/>
        <w:sz w:val="22"/>
        <w:szCs w:val="22"/>
      </w:rPr>
      <w:fldChar w:fldCharType="end"/>
    </w:r>
    <w:r w:rsidRPr="00540584">
      <w:rPr>
        <w:rFonts w:ascii="Palatino Linotype" w:eastAsia="Palatino Linotype" w:hAnsi="Palatino Linotype" w:cs="Palatino Linotype"/>
        <w:b/>
        <w:color w:val="000000"/>
        <w:sz w:val="22"/>
        <w:szCs w:val="22"/>
      </w:rPr>
      <w:t xml:space="preserve"> de </w:t>
    </w:r>
    <w:r w:rsidRPr="00540584">
      <w:rPr>
        <w:rFonts w:ascii="Palatino Linotype" w:eastAsia="Palatino Linotype" w:hAnsi="Palatino Linotype" w:cs="Palatino Linotype"/>
        <w:b/>
        <w:color w:val="000000"/>
        <w:sz w:val="22"/>
        <w:szCs w:val="22"/>
      </w:rPr>
      <w:fldChar w:fldCharType="begin"/>
    </w:r>
    <w:r w:rsidRPr="00540584">
      <w:rPr>
        <w:rFonts w:ascii="Palatino Linotype" w:eastAsia="Palatino Linotype" w:hAnsi="Palatino Linotype" w:cs="Palatino Linotype"/>
        <w:b/>
        <w:color w:val="000000"/>
        <w:sz w:val="22"/>
        <w:szCs w:val="22"/>
      </w:rPr>
      <w:instrText>NUMPAGES</w:instrText>
    </w:r>
    <w:r w:rsidRPr="00540584">
      <w:rPr>
        <w:rFonts w:ascii="Palatino Linotype" w:eastAsia="Palatino Linotype" w:hAnsi="Palatino Linotype" w:cs="Palatino Linotype"/>
        <w:b/>
        <w:color w:val="000000"/>
        <w:sz w:val="22"/>
        <w:szCs w:val="22"/>
      </w:rPr>
      <w:fldChar w:fldCharType="separate"/>
    </w:r>
    <w:r w:rsidR="009125BB">
      <w:rPr>
        <w:rFonts w:ascii="Palatino Linotype" w:eastAsia="Palatino Linotype" w:hAnsi="Palatino Linotype" w:cs="Palatino Linotype"/>
        <w:b/>
        <w:noProof/>
        <w:color w:val="000000"/>
        <w:sz w:val="22"/>
        <w:szCs w:val="22"/>
      </w:rPr>
      <w:t>45</w:t>
    </w:r>
    <w:r w:rsidRPr="00540584">
      <w:rPr>
        <w:rFonts w:ascii="Palatino Linotype" w:eastAsia="Palatino Linotype" w:hAnsi="Palatino Linotype" w:cs="Palatino Linotype"/>
        <w:b/>
        <w:color w:val="000000"/>
        <w:sz w:val="22"/>
        <w:szCs w:val="22"/>
      </w:rPr>
      <w:fldChar w:fldCharType="end"/>
    </w:r>
  </w:p>
  <w:p w:rsidR="00F72507" w:rsidRDefault="00F7250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07" w:rsidRPr="00540584" w:rsidRDefault="001C4B97">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540584">
      <w:rPr>
        <w:rFonts w:ascii="Palatino Linotype" w:eastAsia="Palatino Linotype" w:hAnsi="Palatino Linotype" w:cs="Palatino Linotype"/>
        <w:b/>
        <w:color w:val="000000"/>
        <w:sz w:val="22"/>
        <w:szCs w:val="20"/>
      </w:rPr>
      <w:t xml:space="preserve">Página </w:t>
    </w:r>
    <w:r w:rsidRPr="00540584">
      <w:rPr>
        <w:rFonts w:ascii="Palatino Linotype" w:eastAsia="Palatino Linotype" w:hAnsi="Palatino Linotype" w:cs="Palatino Linotype"/>
        <w:b/>
        <w:color w:val="000000"/>
        <w:sz w:val="22"/>
        <w:szCs w:val="20"/>
      </w:rPr>
      <w:fldChar w:fldCharType="begin"/>
    </w:r>
    <w:r w:rsidRPr="00540584">
      <w:rPr>
        <w:rFonts w:ascii="Palatino Linotype" w:eastAsia="Palatino Linotype" w:hAnsi="Palatino Linotype" w:cs="Palatino Linotype"/>
        <w:b/>
        <w:color w:val="000000"/>
        <w:sz w:val="22"/>
        <w:szCs w:val="20"/>
      </w:rPr>
      <w:instrText>PAGE</w:instrText>
    </w:r>
    <w:r w:rsidRPr="00540584">
      <w:rPr>
        <w:rFonts w:ascii="Palatino Linotype" w:eastAsia="Palatino Linotype" w:hAnsi="Palatino Linotype" w:cs="Palatino Linotype"/>
        <w:b/>
        <w:color w:val="000000"/>
        <w:sz w:val="22"/>
        <w:szCs w:val="20"/>
      </w:rPr>
      <w:fldChar w:fldCharType="separate"/>
    </w:r>
    <w:r w:rsidR="009125BB">
      <w:rPr>
        <w:rFonts w:ascii="Palatino Linotype" w:eastAsia="Palatino Linotype" w:hAnsi="Palatino Linotype" w:cs="Palatino Linotype"/>
        <w:b/>
        <w:noProof/>
        <w:color w:val="000000"/>
        <w:sz w:val="22"/>
        <w:szCs w:val="20"/>
      </w:rPr>
      <w:t>1</w:t>
    </w:r>
    <w:r w:rsidRPr="00540584">
      <w:rPr>
        <w:rFonts w:ascii="Palatino Linotype" w:eastAsia="Palatino Linotype" w:hAnsi="Palatino Linotype" w:cs="Palatino Linotype"/>
        <w:b/>
        <w:color w:val="000000"/>
        <w:sz w:val="22"/>
        <w:szCs w:val="20"/>
      </w:rPr>
      <w:fldChar w:fldCharType="end"/>
    </w:r>
    <w:r w:rsidRPr="00540584">
      <w:rPr>
        <w:rFonts w:ascii="Palatino Linotype" w:eastAsia="Palatino Linotype" w:hAnsi="Palatino Linotype" w:cs="Palatino Linotype"/>
        <w:b/>
        <w:color w:val="000000"/>
        <w:sz w:val="22"/>
        <w:szCs w:val="20"/>
      </w:rPr>
      <w:t xml:space="preserve"> de </w:t>
    </w:r>
    <w:r w:rsidRPr="00540584">
      <w:rPr>
        <w:rFonts w:ascii="Palatino Linotype" w:eastAsia="Palatino Linotype" w:hAnsi="Palatino Linotype" w:cs="Palatino Linotype"/>
        <w:b/>
        <w:color w:val="000000"/>
        <w:sz w:val="22"/>
        <w:szCs w:val="20"/>
      </w:rPr>
      <w:fldChar w:fldCharType="begin"/>
    </w:r>
    <w:r w:rsidRPr="00540584">
      <w:rPr>
        <w:rFonts w:ascii="Palatino Linotype" w:eastAsia="Palatino Linotype" w:hAnsi="Palatino Linotype" w:cs="Palatino Linotype"/>
        <w:b/>
        <w:color w:val="000000"/>
        <w:sz w:val="22"/>
        <w:szCs w:val="20"/>
      </w:rPr>
      <w:instrText>NUMPAGES</w:instrText>
    </w:r>
    <w:r w:rsidRPr="00540584">
      <w:rPr>
        <w:rFonts w:ascii="Palatino Linotype" w:eastAsia="Palatino Linotype" w:hAnsi="Palatino Linotype" w:cs="Palatino Linotype"/>
        <w:b/>
        <w:color w:val="000000"/>
        <w:sz w:val="22"/>
        <w:szCs w:val="20"/>
      </w:rPr>
      <w:fldChar w:fldCharType="separate"/>
    </w:r>
    <w:r w:rsidR="009125BB">
      <w:rPr>
        <w:rFonts w:ascii="Palatino Linotype" w:eastAsia="Palatino Linotype" w:hAnsi="Palatino Linotype" w:cs="Palatino Linotype"/>
        <w:b/>
        <w:noProof/>
        <w:color w:val="000000"/>
        <w:sz w:val="22"/>
        <w:szCs w:val="20"/>
      </w:rPr>
      <w:t>45</w:t>
    </w:r>
    <w:r w:rsidRPr="00540584">
      <w:rPr>
        <w:rFonts w:ascii="Palatino Linotype" w:eastAsia="Palatino Linotype" w:hAnsi="Palatino Linotype" w:cs="Palatino Linotype"/>
        <w:b/>
        <w:color w:val="000000"/>
        <w:sz w:val="22"/>
        <w:szCs w:val="20"/>
      </w:rPr>
      <w:fldChar w:fldCharType="end"/>
    </w:r>
  </w:p>
  <w:p w:rsidR="00F72507" w:rsidRDefault="00F7250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056" w:rsidRDefault="000B3056">
      <w:r>
        <w:separator/>
      </w:r>
    </w:p>
  </w:footnote>
  <w:footnote w:type="continuationSeparator" w:id="0">
    <w:p w:rsidR="000B3056" w:rsidRDefault="000B3056">
      <w:r>
        <w:continuationSeparator/>
      </w:r>
    </w:p>
  </w:footnote>
  <w:footnote w:id="1">
    <w:p w:rsidR="00F72507" w:rsidRDefault="001C4B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F72507" w:rsidRDefault="001C4B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F72507" w:rsidRDefault="001C4B9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F72507" w:rsidRDefault="001C4B9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F72507" w:rsidRDefault="001C4B97">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F72507" w:rsidRDefault="001C4B9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F72507" w:rsidRDefault="001C4B9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F72507" w:rsidRDefault="001C4B97">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07" w:rsidRDefault="000B305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519" w:type="dxa"/>
      <w:tblInd w:w="3544" w:type="dxa"/>
      <w:tblLayout w:type="fixed"/>
      <w:tblLook w:val="0400" w:firstRow="0" w:lastRow="0" w:firstColumn="0" w:lastColumn="0" w:noHBand="0" w:noVBand="1"/>
    </w:tblPr>
    <w:tblGrid>
      <w:gridCol w:w="2976"/>
      <w:gridCol w:w="3543"/>
    </w:tblGrid>
    <w:tr w:rsidR="00F72507" w:rsidTr="00540584">
      <w:trPr>
        <w:trHeight w:val="227"/>
      </w:trPr>
      <w:tc>
        <w:tcPr>
          <w:tcW w:w="2976" w:type="dxa"/>
          <w:vAlign w:val="center"/>
        </w:tcPr>
        <w:p w:rsidR="00F72507" w:rsidRPr="00540584" w:rsidRDefault="001C4B97">
          <w:pPr>
            <w:ind w:right="34"/>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Recurso de Revisión:</w:t>
          </w:r>
        </w:p>
      </w:tc>
      <w:tc>
        <w:tcPr>
          <w:tcW w:w="3543" w:type="dxa"/>
          <w:vAlign w:val="center"/>
        </w:tcPr>
        <w:p w:rsidR="00F72507" w:rsidRPr="00540584" w:rsidRDefault="001C4B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540584">
            <w:rPr>
              <w:rFonts w:ascii="Palatino Linotype" w:eastAsia="Palatino Linotype" w:hAnsi="Palatino Linotype" w:cs="Palatino Linotype"/>
              <w:color w:val="000000"/>
              <w:szCs w:val="22"/>
            </w:rPr>
            <w:t>06553/INFOEM/IP/RR/2025</w:t>
          </w:r>
        </w:p>
      </w:tc>
    </w:tr>
    <w:tr w:rsidR="00F72507" w:rsidTr="00540584">
      <w:trPr>
        <w:trHeight w:val="242"/>
      </w:trPr>
      <w:tc>
        <w:tcPr>
          <w:tcW w:w="2976" w:type="dxa"/>
          <w:vAlign w:val="center"/>
        </w:tcPr>
        <w:p w:rsidR="00F72507" w:rsidRPr="00540584" w:rsidRDefault="001C4B97">
          <w:pPr>
            <w:ind w:right="34"/>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Sujeto Obligado:</w:t>
          </w:r>
        </w:p>
      </w:tc>
      <w:tc>
        <w:tcPr>
          <w:tcW w:w="3543" w:type="dxa"/>
          <w:vAlign w:val="center"/>
        </w:tcPr>
        <w:p w:rsidR="00F72507" w:rsidRPr="00540584" w:rsidRDefault="001C4B97">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540584">
            <w:rPr>
              <w:rFonts w:ascii="Palatino Linotype" w:eastAsia="Palatino Linotype" w:hAnsi="Palatino Linotype" w:cs="Palatino Linotype"/>
              <w:color w:val="000000"/>
              <w:szCs w:val="22"/>
            </w:rPr>
            <w:t>Ayuntamiento de Metepec</w:t>
          </w:r>
        </w:p>
      </w:tc>
    </w:tr>
    <w:tr w:rsidR="00F72507" w:rsidTr="00540584">
      <w:trPr>
        <w:trHeight w:val="342"/>
      </w:trPr>
      <w:tc>
        <w:tcPr>
          <w:tcW w:w="2976" w:type="dxa"/>
          <w:vAlign w:val="center"/>
        </w:tcPr>
        <w:p w:rsidR="00F72507" w:rsidRPr="00540584" w:rsidRDefault="001C4B97">
          <w:pPr>
            <w:ind w:right="34"/>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Comisionada Ponente:</w:t>
          </w:r>
        </w:p>
      </w:tc>
      <w:tc>
        <w:tcPr>
          <w:tcW w:w="3543" w:type="dxa"/>
          <w:vAlign w:val="center"/>
        </w:tcPr>
        <w:p w:rsidR="00F72507" w:rsidRPr="00540584" w:rsidRDefault="001C4B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540584">
            <w:rPr>
              <w:rFonts w:ascii="Palatino Linotype" w:eastAsia="Palatino Linotype" w:hAnsi="Palatino Linotype" w:cs="Palatino Linotype"/>
              <w:color w:val="000000"/>
              <w:szCs w:val="22"/>
            </w:rPr>
            <w:t>María del Rosario Mejía Ayala</w:t>
          </w:r>
        </w:p>
      </w:tc>
    </w:tr>
  </w:tbl>
  <w:p w:rsidR="00F72507" w:rsidRPr="00540584" w:rsidRDefault="000B3056">
    <w:pPr>
      <w:pBdr>
        <w:top w:val="nil"/>
        <w:left w:val="nil"/>
        <w:bottom w:val="nil"/>
        <w:right w:val="nil"/>
        <w:between w:val="nil"/>
      </w:pBdr>
      <w:tabs>
        <w:tab w:val="center" w:pos="4419"/>
        <w:tab w:val="right" w:pos="8838"/>
        <w:tab w:val="left" w:pos="6005"/>
      </w:tabs>
      <w:rPr>
        <w:color w:val="000000"/>
        <w:sz w:val="16"/>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57.1pt;margin-top:-114.2pt;width:609.4pt;height:793.75pt;z-index:-251659776;mso-position-horizontal-relative:margin;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660" w:type="dxa"/>
      <w:tblInd w:w="3261" w:type="dxa"/>
      <w:tblLayout w:type="fixed"/>
      <w:tblLook w:val="0400" w:firstRow="0" w:lastRow="0" w:firstColumn="0" w:lastColumn="0" w:noHBand="0" w:noVBand="1"/>
    </w:tblPr>
    <w:tblGrid>
      <w:gridCol w:w="2977"/>
      <w:gridCol w:w="3683"/>
    </w:tblGrid>
    <w:tr w:rsidR="00F72507" w:rsidTr="00540584">
      <w:trPr>
        <w:trHeight w:val="227"/>
      </w:trPr>
      <w:tc>
        <w:tcPr>
          <w:tcW w:w="2977" w:type="dxa"/>
          <w:vAlign w:val="center"/>
        </w:tcPr>
        <w:p w:rsidR="00F72507" w:rsidRPr="00540584" w:rsidRDefault="001C4B97">
          <w:pPr>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Recurso de Revisión:</w:t>
          </w:r>
        </w:p>
      </w:tc>
      <w:tc>
        <w:tcPr>
          <w:tcW w:w="3683" w:type="dxa"/>
          <w:vAlign w:val="center"/>
        </w:tcPr>
        <w:p w:rsidR="00F72507" w:rsidRPr="00540584" w:rsidRDefault="001C4B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540584">
            <w:rPr>
              <w:rFonts w:ascii="Palatino Linotype" w:eastAsia="Palatino Linotype" w:hAnsi="Palatino Linotype" w:cs="Palatino Linotype"/>
              <w:color w:val="000000"/>
              <w:szCs w:val="22"/>
            </w:rPr>
            <w:t>06553/INFOEM/IP/RR/2025</w:t>
          </w:r>
        </w:p>
      </w:tc>
    </w:tr>
    <w:tr w:rsidR="00F72507" w:rsidTr="00540584">
      <w:trPr>
        <w:trHeight w:val="242"/>
      </w:trPr>
      <w:tc>
        <w:tcPr>
          <w:tcW w:w="2977" w:type="dxa"/>
          <w:vAlign w:val="center"/>
        </w:tcPr>
        <w:p w:rsidR="00F72507" w:rsidRPr="00540584" w:rsidRDefault="001C4B97">
          <w:pPr>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Recurrente:</w:t>
          </w:r>
        </w:p>
      </w:tc>
      <w:tc>
        <w:tcPr>
          <w:tcW w:w="3683" w:type="dxa"/>
        </w:tcPr>
        <w:p w:rsidR="00F72507" w:rsidRPr="00540584" w:rsidRDefault="009125BB">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r>
            <w:rPr>
              <w:rFonts w:ascii="Palatino Linotype" w:eastAsia="Palatino Linotype" w:hAnsi="Palatino Linotype" w:cs="Palatino Linotype"/>
              <w:szCs w:val="22"/>
            </w:rPr>
            <w:t>XXXX</w:t>
          </w:r>
        </w:p>
      </w:tc>
    </w:tr>
    <w:tr w:rsidR="00F72507" w:rsidTr="00540584">
      <w:trPr>
        <w:trHeight w:val="342"/>
      </w:trPr>
      <w:tc>
        <w:tcPr>
          <w:tcW w:w="2977" w:type="dxa"/>
          <w:vAlign w:val="center"/>
        </w:tcPr>
        <w:p w:rsidR="00F72507" w:rsidRPr="00540584" w:rsidRDefault="001C4B97">
          <w:pPr>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Sujeto Obligado:</w:t>
          </w:r>
        </w:p>
      </w:tc>
      <w:tc>
        <w:tcPr>
          <w:tcW w:w="3683" w:type="dxa"/>
          <w:vAlign w:val="center"/>
        </w:tcPr>
        <w:p w:rsidR="00F72507" w:rsidRPr="00540584" w:rsidRDefault="0037257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540584">
            <w:rPr>
              <w:rFonts w:ascii="Palatino Linotype" w:eastAsia="Palatino Linotype" w:hAnsi="Palatino Linotype" w:cs="Palatino Linotype"/>
              <w:color w:val="000000"/>
              <w:szCs w:val="22"/>
            </w:rPr>
            <w:t>Ayuntamiento de Metepec</w:t>
          </w:r>
        </w:p>
      </w:tc>
    </w:tr>
    <w:tr w:rsidR="00F72507" w:rsidTr="00540584">
      <w:trPr>
        <w:trHeight w:val="342"/>
      </w:trPr>
      <w:tc>
        <w:tcPr>
          <w:tcW w:w="2977" w:type="dxa"/>
          <w:vAlign w:val="center"/>
        </w:tcPr>
        <w:p w:rsidR="00F72507" w:rsidRPr="00540584" w:rsidRDefault="001C4B97">
          <w:pPr>
            <w:jc w:val="right"/>
            <w:rPr>
              <w:rFonts w:ascii="Palatino Linotype" w:eastAsia="Palatino Linotype" w:hAnsi="Palatino Linotype" w:cs="Palatino Linotype"/>
              <w:b/>
              <w:bCs/>
              <w:szCs w:val="22"/>
            </w:rPr>
          </w:pPr>
          <w:r w:rsidRPr="00540584">
            <w:rPr>
              <w:rFonts w:ascii="Palatino Linotype" w:eastAsia="Palatino Linotype" w:hAnsi="Palatino Linotype" w:cs="Palatino Linotype"/>
              <w:b/>
              <w:bCs/>
              <w:szCs w:val="22"/>
            </w:rPr>
            <w:t>Comisionada Ponente:</w:t>
          </w:r>
        </w:p>
      </w:tc>
      <w:tc>
        <w:tcPr>
          <w:tcW w:w="3683" w:type="dxa"/>
          <w:vAlign w:val="center"/>
        </w:tcPr>
        <w:p w:rsidR="00F72507" w:rsidRPr="00540584" w:rsidRDefault="001C4B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540584">
            <w:rPr>
              <w:rFonts w:ascii="Palatino Linotype" w:eastAsia="Palatino Linotype" w:hAnsi="Palatino Linotype" w:cs="Palatino Linotype"/>
              <w:color w:val="000000"/>
              <w:szCs w:val="22"/>
            </w:rPr>
            <w:t>María del Rosario Mejía Ayala</w:t>
          </w:r>
        </w:p>
      </w:tc>
    </w:tr>
  </w:tbl>
  <w:p w:rsidR="00F72507" w:rsidRDefault="000B3056">
    <w:pPr>
      <w:pBdr>
        <w:top w:val="nil"/>
        <w:left w:val="nil"/>
        <w:bottom w:val="nil"/>
        <w:right w:val="nil"/>
        <w:between w:val="nil"/>
      </w:pBdr>
      <w:tabs>
        <w:tab w:val="center" w:pos="4419"/>
        <w:tab w:val="right" w:pos="8838"/>
      </w:tabs>
      <w:rPr>
        <w:color w:val="000000"/>
        <w:sz w:val="16"/>
        <w:szCs w:val="16"/>
      </w:rPr>
    </w:pPr>
    <w:r>
      <w:rPr>
        <w:color w:val="000000"/>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5.85pt;margin-top:-123.8pt;width:609.4pt;height:793.75pt;z-index:-251658752;mso-position-horizontal-relative:margin;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75745"/>
    <w:multiLevelType w:val="multilevel"/>
    <w:tmpl w:val="6BE255EE"/>
    <w:lvl w:ilvl="0">
      <w:start w:val="1"/>
      <w:numFmt w:val="lowerLetter"/>
      <w:lvlText w:val="%1)"/>
      <w:lvlJc w:val="left"/>
      <w:pPr>
        <w:ind w:left="778"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101733"/>
    <w:multiLevelType w:val="multilevel"/>
    <w:tmpl w:val="5C64F6FC"/>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D03ABC"/>
    <w:multiLevelType w:val="multilevel"/>
    <w:tmpl w:val="1076E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C8078EB"/>
    <w:multiLevelType w:val="multilevel"/>
    <w:tmpl w:val="5C581CF8"/>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792C1A"/>
    <w:multiLevelType w:val="multilevel"/>
    <w:tmpl w:val="4DB80ED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58C96DD5"/>
    <w:multiLevelType w:val="multilevel"/>
    <w:tmpl w:val="89249512"/>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F56402"/>
    <w:multiLevelType w:val="multilevel"/>
    <w:tmpl w:val="E62850E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4873195"/>
    <w:multiLevelType w:val="multilevel"/>
    <w:tmpl w:val="9BA6ACCA"/>
    <w:lvl w:ilvl="0">
      <w:start w:val="24"/>
      <w:numFmt w:val="decimal"/>
      <w:lvlText w:val="%1."/>
      <w:lvlJc w:val="left"/>
      <w:pPr>
        <w:ind w:left="644"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2"/>
  </w:num>
  <w:num w:numId="4">
    <w:abstractNumId w:val="6"/>
  </w:num>
  <w:num w:numId="5">
    <w:abstractNumId w:val="4"/>
  </w:num>
  <w:num w:numId="6">
    <w:abstractNumId w:val="5"/>
  </w:num>
  <w:num w:numId="7">
    <w:abstractNumId w:val="3"/>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507"/>
    <w:rsid w:val="000A4E30"/>
    <w:rsid w:val="000B3056"/>
    <w:rsid w:val="000F0A9A"/>
    <w:rsid w:val="001C4B97"/>
    <w:rsid w:val="00274CD9"/>
    <w:rsid w:val="0037257A"/>
    <w:rsid w:val="00540584"/>
    <w:rsid w:val="00615C93"/>
    <w:rsid w:val="00763833"/>
    <w:rsid w:val="008F7FEE"/>
    <w:rsid w:val="009125BB"/>
    <w:rsid w:val="00987A13"/>
    <w:rsid w:val="00CE5EC4"/>
    <w:rsid w:val="00E82704"/>
    <w:rsid w:val="00F725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17289C8-7E89-4669-A53D-9DF138DF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BF46D9"/>
    <w:pPr>
      <w:spacing w:before="100" w:beforeAutospacing="1" w:after="100" w:afterAutospacing="1"/>
    </w:pPr>
    <w:rPr>
      <w:rFonts w:ascii="Times New Roman" w:eastAsia="Times New Roman" w:hAnsi="Times New Roman" w:cs="Times New Roman"/>
      <w:lang w:val="es-MX"/>
    </w:rPr>
  </w:style>
  <w:style w:type="paragraph" w:styleId="Listaconvietas2">
    <w:name w:val="List Bullet 2"/>
    <w:basedOn w:val="Normal"/>
    <w:uiPriority w:val="99"/>
    <w:unhideWhenUsed/>
    <w:rsid w:val="00C45B65"/>
    <w:pPr>
      <w:numPr>
        <w:numId w:val="8"/>
      </w:numPr>
      <w:contextualSpacing/>
    </w:pPr>
    <w:rPr>
      <w:rFonts w:ascii="Times New Roman" w:eastAsia="Times New Roman" w:hAnsi="Times New Roman" w:cs="Times New Roman"/>
      <w:sz w:val="20"/>
      <w:szCs w:val="20"/>
      <w:lang w:val="es-MX"/>
    </w:rPr>
  </w:style>
  <w:style w:type="numbering" w:customStyle="1" w:styleId="Estiloimportado22">
    <w:name w:val="Estilo importado 22"/>
    <w:rsid w:val="003C3C97"/>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ZoyHAXlCLvWSBcsB9Lyz5v7CPw==">CgMxLjAyDmgucHQyMTNldDA3d2xmMghoLmdqZGd4czIJaC4zMGowemxsMgloLjFmb2I5dGUyCWguM3pueXNoNzIJaC4yZXQ5MnAwMghoLnR5amN3dDIJaC4zZHk2dmttMghoLmxueGJ6OTgAciExLVh5VnJabDlfT2V0UnJXUkNsNUgxS1FlbE1YYWg1Y04=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10128</Words>
  <Characters>55709</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10</cp:revision>
  <cp:lastPrinted>2026-02-09T17:28:00Z</cp:lastPrinted>
  <dcterms:created xsi:type="dcterms:W3CDTF">2026-02-03T21:05:00Z</dcterms:created>
  <dcterms:modified xsi:type="dcterms:W3CDTF">2026-02-16T17:37:00Z</dcterms:modified>
</cp:coreProperties>
</file>