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E5" w:rsidRPr="006D5314" w:rsidRDefault="007B3AE5" w:rsidP="007B3AE5">
      <w:pPr>
        <w:tabs>
          <w:tab w:val="left" w:pos="0"/>
        </w:tabs>
        <w:spacing w:line="360" w:lineRule="auto"/>
        <w:ind w:right="-879"/>
        <w:jc w:val="both"/>
        <w:rPr>
          <w:rFonts w:ascii="Palatino Linotype" w:eastAsia="Palatino Linotype" w:hAnsi="Palatino Linotype" w:cs="Palatino Linotype"/>
        </w:rPr>
      </w:pPr>
      <w:bookmarkStart w:id="0" w:name="_GoBack"/>
      <w:bookmarkEnd w:id="0"/>
      <w:r w:rsidRPr="006D531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w:t>
      </w:r>
      <w:r w:rsidR="006D5314" w:rsidRPr="006D5314">
        <w:rPr>
          <w:rFonts w:ascii="Palatino Linotype" w:eastAsia="Palatino Linotype" w:hAnsi="Palatino Linotype" w:cs="Palatino Linotype"/>
        </w:rPr>
        <w:t xml:space="preserve"> fecha</w:t>
      </w:r>
      <w:r w:rsidRPr="006D5314">
        <w:rPr>
          <w:rFonts w:ascii="Palatino Linotype" w:eastAsia="Palatino Linotype" w:hAnsi="Palatino Linotype" w:cs="Palatino Linotype"/>
          <w:b/>
        </w:rPr>
        <w:t xml:space="preserve"> </w:t>
      </w:r>
      <w:r w:rsidR="00403FD1" w:rsidRPr="006D5314">
        <w:rPr>
          <w:rFonts w:ascii="Palatino Linotype" w:eastAsia="Palatino Linotype" w:hAnsi="Palatino Linotype" w:cs="Palatino Linotype"/>
        </w:rPr>
        <w:t xml:space="preserve">quince </w:t>
      </w:r>
      <w:r w:rsidR="006D5314" w:rsidRPr="006D5314">
        <w:rPr>
          <w:rFonts w:ascii="Palatino Linotype" w:eastAsia="Palatino Linotype" w:hAnsi="Palatino Linotype" w:cs="Palatino Linotype"/>
        </w:rPr>
        <w:t xml:space="preserve">(15) </w:t>
      </w:r>
      <w:r w:rsidRPr="006D5314">
        <w:rPr>
          <w:rFonts w:ascii="Palatino Linotype" w:eastAsia="Palatino Linotype" w:hAnsi="Palatino Linotype" w:cs="Palatino Linotype"/>
        </w:rPr>
        <w:t xml:space="preserve">de abril de dos mil veintiséis. </w:t>
      </w:r>
    </w:p>
    <w:p w:rsidR="0072148B" w:rsidRPr="006D5314" w:rsidRDefault="0072148B">
      <w:pPr>
        <w:tabs>
          <w:tab w:val="left" w:pos="3465"/>
        </w:tabs>
        <w:spacing w:line="360" w:lineRule="auto"/>
        <w:ind w:right="-787"/>
        <w:jc w:val="both"/>
        <w:rPr>
          <w:rFonts w:ascii="Palatino Linotype" w:eastAsia="Palatino Linotype" w:hAnsi="Palatino Linotype" w:cs="Palatino Linotype"/>
        </w:rPr>
      </w:pPr>
    </w:p>
    <w:p w:rsidR="0072148B" w:rsidRPr="006D5314" w:rsidRDefault="00A077F4">
      <w:pPr>
        <w:spacing w:line="360" w:lineRule="auto"/>
        <w:ind w:right="-787"/>
        <w:jc w:val="both"/>
        <w:rPr>
          <w:rFonts w:ascii="Palatino Linotype" w:eastAsia="Palatino Linotype" w:hAnsi="Palatino Linotype" w:cs="Palatino Linotype"/>
        </w:rPr>
      </w:pPr>
      <w:r w:rsidRPr="006D5314">
        <w:rPr>
          <w:rFonts w:ascii="Palatino Linotype" w:eastAsia="Palatino Linotype" w:hAnsi="Palatino Linotype" w:cs="Palatino Linotype"/>
          <w:b/>
        </w:rPr>
        <w:t xml:space="preserve">VISTAS </w:t>
      </w:r>
      <w:r w:rsidRPr="006D5314">
        <w:rPr>
          <w:rFonts w:ascii="Palatino Linotype" w:eastAsia="Palatino Linotype" w:hAnsi="Palatino Linotype" w:cs="Palatino Linotype"/>
        </w:rPr>
        <w:t xml:space="preserve">las constancias para resolver </w:t>
      </w:r>
      <w:r w:rsidR="002C4BEC" w:rsidRPr="006D5314">
        <w:rPr>
          <w:rFonts w:ascii="Palatino Linotype" w:eastAsia="Palatino Linotype" w:hAnsi="Palatino Linotype" w:cs="Palatino Linotype"/>
          <w:color w:val="000000"/>
        </w:rPr>
        <w:t>el Recurso</w:t>
      </w:r>
      <w:r w:rsidRPr="006D5314">
        <w:rPr>
          <w:rFonts w:ascii="Palatino Linotype" w:eastAsia="Palatino Linotype" w:hAnsi="Palatino Linotype" w:cs="Palatino Linotype"/>
          <w:color w:val="000000"/>
        </w:rPr>
        <w:t xml:space="preserve"> de Revisión </w:t>
      </w:r>
      <w:r w:rsidR="007B3AE5" w:rsidRPr="006D5314">
        <w:rPr>
          <w:rFonts w:ascii="Palatino Linotype" w:eastAsia="Palatino Linotype" w:hAnsi="Palatino Linotype" w:cs="Palatino Linotype"/>
          <w:b/>
          <w:color w:val="000000"/>
        </w:rPr>
        <w:t>12133</w:t>
      </w:r>
      <w:r w:rsidRPr="006D5314">
        <w:rPr>
          <w:rFonts w:ascii="Palatino Linotype" w:eastAsia="Palatino Linotype" w:hAnsi="Palatino Linotype" w:cs="Palatino Linotype"/>
          <w:b/>
          <w:color w:val="000000"/>
        </w:rPr>
        <w:t>/INFOEM/IP/RR/2025</w:t>
      </w:r>
      <w:r w:rsidR="002C4BEC" w:rsidRPr="006D5314">
        <w:rPr>
          <w:rFonts w:ascii="Palatino Linotype" w:eastAsia="Palatino Linotype" w:hAnsi="Palatino Linotype" w:cs="Palatino Linotype"/>
          <w:color w:val="000000"/>
        </w:rPr>
        <w:t>, promovido</w:t>
      </w:r>
      <w:r w:rsidRPr="006D5314">
        <w:rPr>
          <w:rFonts w:ascii="Palatino Linotype" w:eastAsia="Palatino Linotype" w:hAnsi="Palatino Linotype" w:cs="Palatino Linotype"/>
          <w:color w:val="000000"/>
        </w:rPr>
        <w:t xml:space="preserve"> por </w:t>
      </w:r>
      <w:r w:rsidR="00F4500D">
        <w:rPr>
          <w:rFonts w:ascii="Palatino Linotype" w:eastAsia="Palatino Linotype" w:hAnsi="Palatino Linotype" w:cs="Palatino Linotype"/>
          <w:b/>
          <w:color w:val="000000"/>
        </w:rPr>
        <w:t>XXXX</w:t>
      </w:r>
      <w:r w:rsidRPr="006D5314">
        <w:rPr>
          <w:rFonts w:ascii="Palatino Linotype" w:eastAsia="Palatino Linotype" w:hAnsi="Palatino Linotype" w:cs="Palatino Linotype"/>
          <w:color w:val="000000"/>
        </w:rPr>
        <w:t>,</w:t>
      </w:r>
      <w:r w:rsidRPr="006D5314">
        <w:rPr>
          <w:rFonts w:ascii="Palatino Linotype" w:eastAsia="Palatino Linotype" w:hAnsi="Palatino Linotype" w:cs="Palatino Linotype"/>
        </w:rPr>
        <w:t xml:space="preserve"> en lo sucesivo </w:t>
      </w:r>
      <w:r w:rsidRPr="006D5314">
        <w:rPr>
          <w:rFonts w:ascii="Palatino Linotype" w:eastAsia="Palatino Linotype" w:hAnsi="Palatino Linotype" w:cs="Palatino Linotype"/>
          <w:b/>
        </w:rPr>
        <w:t>EL RECURRENTE</w:t>
      </w:r>
      <w:r w:rsidRPr="006D5314">
        <w:rPr>
          <w:rFonts w:ascii="Palatino Linotype" w:eastAsia="Palatino Linotype" w:hAnsi="Palatino Linotype" w:cs="Palatino Linotype"/>
        </w:rPr>
        <w:t>, en contr</w:t>
      </w:r>
      <w:r w:rsidR="002C4BEC" w:rsidRPr="006D5314">
        <w:rPr>
          <w:rFonts w:ascii="Palatino Linotype" w:eastAsia="Palatino Linotype" w:hAnsi="Palatino Linotype" w:cs="Palatino Linotype"/>
        </w:rPr>
        <w:t>a de la respuesta otorgada a la solicitud</w:t>
      </w:r>
      <w:r w:rsidRPr="006D5314">
        <w:rPr>
          <w:rFonts w:ascii="Palatino Linotype" w:eastAsia="Palatino Linotype" w:hAnsi="Palatino Linotype" w:cs="Palatino Linotype"/>
        </w:rPr>
        <w:t xml:space="preserve"> de información </w:t>
      </w:r>
      <w:r w:rsidR="007B3AE5" w:rsidRPr="006D5314">
        <w:rPr>
          <w:rFonts w:ascii="Palatino Linotype" w:eastAsia="Palatino Linotype" w:hAnsi="Palatino Linotype" w:cs="Palatino Linotype"/>
          <w:b/>
        </w:rPr>
        <w:t>00281/JIQUIPIL/IP/2025</w:t>
      </w:r>
      <w:r w:rsidRPr="006D5314">
        <w:rPr>
          <w:rFonts w:ascii="Palatino Linotype" w:eastAsia="Palatino Linotype" w:hAnsi="Palatino Linotype" w:cs="Palatino Linotype"/>
        </w:rPr>
        <w:t xml:space="preserve">, por parte del </w:t>
      </w:r>
      <w:r w:rsidR="002D36FF" w:rsidRPr="006D5314">
        <w:rPr>
          <w:rFonts w:ascii="Palatino Linotype" w:eastAsia="Palatino Linotype" w:hAnsi="Palatino Linotype" w:cs="Palatino Linotype"/>
          <w:b/>
        </w:rPr>
        <w:t>Ayuntamiento de Jiquipilco</w:t>
      </w:r>
      <w:r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rPr>
        <w:t xml:space="preserve">en adelante el </w:t>
      </w:r>
      <w:r w:rsidRPr="006D5314">
        <w:rPr>
          <w:rFonts w:ascii="Palatino Linotype" w:eastAsia="Palatino Linotype" w:hAnsi="Palatino Linotype" w:cs="Palatino Linotype"/>
          <w:b/>
        </w:rPr>
        <w:t>SUJETO OBLIGADO</w:t>
      </w:r>
      <w:r w:rsidRPr="006D5314">
        <w:rPr>
          <w:rFonts w:ascii="Palatino Linotype" w:eastAsia="Palatino Linotype" w:hAnsi="Palatino Linotype" w:cs="Palatino Linotype"/>
        </w:rPr>
        <w:t>, se emite la presente resolución con base en los siguientes:</w:t>
      </w:r>
    </w:p>
    <w:p w:rsidR="0072148B" w:rsidRPr="006D5314" w:rsidRDefault="00AF6B09">
      <w:pPr>
        <w:spacing w:line="360" w:lineRule="auto"/>
        <w:ind w:right="-787"/>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 </w:t>
      </w:r>
    </w:p>
    <w:p w:rsidR="0072148B" w:rsidRPr="006D5314"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6D5314">
        <w:rPr>
          <w:rFonts w:ascii="Palatino Linotype" w:eastAsia="Palatino Linotype" w:hAnsi="Palatino Linotype" w:cs="Palatino Linotype"/>
          <w:b/>
          <w:color w:val="000000"/>
          <w:sz w:val="24"/>
          <w:szCs w:val="24"/>
        </w:rPr>
        <w:t>A N T E C E D E N T E S</w:t>
      </w:r>
    </w:p>
    <w:p w:rsidR="0072148B" w:rsidRPr="006D5314"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6D5314" w:rsidRDefault="00A077F4"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El </w:t>
      </w:r>
      <w:r w:rsidR="007B3AE5" w:rsidRPr="006D5314">
        <w:rPr>
          <w:rFonts w:ascii="Palatino Linotype" w:eastAsia="Palatino Linotype" w:hAnsi="Palatino Linotype" w:cs="Palatino Linotype"/>
          <w:b/>
          <w:color w:val="000000"/>
        </w:rPr>
        <w:t>veintidós de septiembre</w:t>
      </w:r>
      <w:r w:rsidRPr="006D5314">
        <w:rPr>
          <w:rFonts w:ascii="Palatino Linotype" w:eastAsia="Palatino Linotype" w:hAnsi="Palatino Linotype" w:cs="Palatino Linotype"/>
          <w:b/>
          <w:color w:val="000000"/>
        </w:rPr>
        <w:t xml:space="preserve"> de dos mil veinticinco</w:t>
      </w:r>
      <w:r w:rsidRPr="006D5314">
        <w:rPr>
          <w:rFonts w:ascii="Palatino Linotype" w:eastAsia="Palatino Linotype" w:hAnsi="Palatino Linotype" w:cs="Palatino Linotype"/>
          <w:color w:val="000000"/>
        </w:rPr>
        <w:t>,</w:t>
      </w:r>
      <w:r w:rsidRPr="006D5314">
        <w:rPr>
          <w:rFonts w:ascii="Palatino Linotype" w:eastAsia="Palatino Linotype" w:hAnsi="Palatino Linotype" w:cs="Palatino Linotype"/>
          <w:b/>
          <w:color w:val="000000"/>
        </w:rPr>
        <w:t xml:space="preserve"> </w:t>
      </w:r>
      <w:r w:rsidRPr="006D5314">
        <w:rPr>
          <w:rFonts w:ascii="Palatino Linotype" w:eastAsia="Palatino Linotype" w:hAnsi="Palatino Linotype" w:cs="Palatino Linotype"/>
          <w:color w:val="000000"/>
        </w:rPr>
        <w:t>se presentó ante el Sujeto Obligado vía Sistema de Acceso a la Información Mex</w:t>
      </w:r>
      <w:r w:rsidR="002C4BEC" w:rsidRPr="006D5314">
        <w:rPr>
          <w:rFonts w:ascii="Palatino Linotype" w:eastAsia="Palatino Linotype" w:hAnsi="Palatino Linotype" w:cs="Palatino Linotype"/>
          <w:color w:val="000000"/>
        </w:rPr>
        <w:t xml:space="preserve">iquense, en adelante SAIMEX, la siguiente </w:t>
      </w:r>
      <w:r w:rsidR="002C4BEC" w:rsidRPr="006D5314">
        <w:rPr>
          <w:rFonts w:ascii="Palatino Linotype" w:eastAsia="Palatino Linotype" w:hAnsi="Palatino Linotype" w:cs="Palatino Linotype"/>
          <w:b/>
          <w:color w:val="000000"/>
        </w:rPr>
        <w:t xml:space="preserve">solicitud </w:t>
      </w:r>
      <w:r w:rsidRPr="006D5314">
        <w:rPr>
          <w:rFonts w:ascii="Palatino Linotype" w:eastAsia="Palatino Linotype" w:hAnsi="Palatino Linotype" w:cs="Palatino Linotype"/>
          <w:b/>
          <w:color w:val="000000"/>
        </w:rPr>
        <w:t>de información pública</w:t>
      </w:r>
      <w:r w:rsidRPr="006D5314">
        <w:rPr>
          <w:rFonts w:ascii="Palatino Linotype" w:eastAsia="Palatino Linotype" w:hAnsi="Palatino Linotype" w:cs="Palatino Linotype"/>
          <w:color w:val="000000"/>
        </w:rPr>
        <w:t>:</w:t>
      </w:r>
    </w:p>
    <w:p w:rsidR="0072148B" w:rsidRPr="006D5314" w:rsidRDefault="0072148B" w:rsidP="00223B24">
      <w:pPr>
        <w:pBdr>
          <w:top w:val="nil"/>
          <w:left w:val="nil"/>
          <w:bottom w:val="nil"/>
          <w:right w:val="nil"/>
          <w:between w:val="nil"/>
        </w:pBdr>
        <w:ind w:right="-788"/>
        <w:jc w:val="both"/>
        <w:rPr>
          <w:rFonts w:ascii="Palatino Linotype" w:eastAsia="Palatino Linotype" w:hAnsi="Palatino Linotype" w:cs="Palatino Linotype"/>
          <w:color w:val="000000"/>
        </w:rPr>
      </w:pPr>
    </w:p>
    <w:p w:rsidR="0072148B" w:rsidRPr="006D5314" w:rsidRDefault="002C4BEC" w:rsidP="00AE129A">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 xml:space="preserve"> </w:t>
      </w:r>
      <w:r w:rsidR="00223B24" w:rsidRPr="006D5314">
        <w:rPr>
          <w:rFonts w:ascii="Palatino Linotype" w:eastAsia="Palatino Linotype" w:hAnsi="Palatino Linotype" w:cs="Palatino Linotype"/>
          <w:i/>
          <w:color w:val="000000"/>
        </w:rPr>
        <w:t>“</w:t>
      </w:r>
      <w:r w:rsidR="007B3AE5" w:rsidRPr="006D5314">
        <w:rPr>
          <w:rFonts w:ascii="Palatino Linotype" w:eastAsia="Palatino Linotype" w:hAnsi="Palatino Linotype" w:cs="Palatino Linotype"/>
          <w:i/>
          <w:color w:val="000000"/>
        </w:rPr>
        <w:t>Solicito la documentación en su versión pública que comprueba todo el proceso licitatorio (Invitaciones, Cartas de Aceptación, Acta de Visita de Obra, Acta de Junta de Aclaraciones, Invitación a instancias internas: Comité Interno de Obra Pública y externas: Cámara Mexicana de la Industria de la Construcción y Secretaría de la Contraloría, Acta de Apertura de Propuestas, Cuadro Frio y/o Cuadro Comparativo, Dictamen de Adjudicación, Acta de Fallo y Contrato) de las obras a las que se dió arranque el 19 de septiembre de 2025 como se indicó en la página de Facebook del Municipio que fueron: La Nopalera, Loma Hidalgo Manzana Cuarta y Manzana Cuarta de Cabecera Municipal (Anexo imagen tomada de Facebook)</w:t>
      </w:r>
      <w:r w:rsidR="00223B24" w:rsidRPr="006D5314">
        <w:rPr>
          <w:rFonts w:ascii="Palatino Linotype" w:eastAsia="Palatino Linotype" w:hAnsi="Palatino Linotype" w:cs="Palatino Linotype"/>
          <w:i/>
          <w:color w:val="000000"/>
        </w:rPr>
        <w:t>” (Sic)</w:t>
      </w:r>
    </w:p>
    <w:p w:rsidR="00223B24" w:rsidRPr="006D5314" w:rsidRDefault="00223B24" w:rsidP="00223B24">
      <w:pPr>
        <w:pBdr>
          <w:top w:val="nil"/>
          <w:left w:val="nil"/>
          <w:bottom w:val="nil"/>
          <w:right w:val="nil"/>
          <w:between w:val="nil"/>
        </w:pBdr>
        <w:ind w:right="-787"/>
        <w:jc w:val="both"/>
        <w:rPr>
          <w:rFonts w:ascii="Palatino Linotype" w:eastAsia="Palatino Linotype" w:hAnsi="Palatino Linotype" w:cs="Palatino Linotype"/>
          <w:i/>
          <w:color w:val="000000"/>
        </w:rPr>
      </w:pPr>
    </w:p>
    <w:p w:rsidR="007B3AE5" w:rsidRPr="006D5314" w:rsidRDefault="007B3AE5" w:rsidP="00223B24">
      <w:pPr>
        <w:pBdr>
          <w:top w:val="nil"/>
          <w:left w:val="nil"/>
          <w:bottom w:val="nil"/>
          <w:right w:val="nil"/>
          <w:between w:val="nil"/>
        </w:pBdr>
        <w:ind w:right="-787"/>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El particular adjunto el archivo digital que se describe a continuación:</w:t>
      </w:r>
    </w:p>
    <w:p w:rsidR="007B3AE5" w:rsidRPr="006D5314" w:rsidRDefault="007B3AE5" w:rsidP="00223B24">
      <w:pPr>
        <w:pBdr>
          <w:top w:val="nil"/>
          <w:left w:val="nil"/>
          <w:bottom w:val="nil"/>
          <w:right w:val="nil"/>
          <w:between w:val="nil"/>
        </w:pBdr>
        <w:ind w:right="-787"/>
        <w:jc w:val="both"/>
        <w:rPr>
          <w:rFonts w:ascii="Palatino Linotype" w:eastAsia="Palatino Linotype" w:hAnsi="Palatino Linotype" w:cs="Palatino Linotype"/>
          <w:b/>
          <w:i/>
          <w:color w:val="000000"/>
        </w:rPr>
      </w:pPr>
      <w:r w:rsidRPr="006D5314">
        <w:rPr>
          <w:rFonts w:ascii="Palatino Linotype" w:eastAsia="Palatino Linotype" w:hAnsi="Palatino Linotype" w:cs="Palatino Linotype"/>
          <w:b/>
          <w:i/>
          <w:color w:val="000000"/>
        </w:rPr>
        <w:t>Arranque de obra Jiquipilco.pdf</w:t>
      </w:r>
    </w:p>
    <w:p w:rsidR="00117BD4" w:rsidRPr="006D5314" w:rsidRDefault="00117BD4" w:rsidP="00223B24">
      <w:pPr>
        <w:pBdr>
          <w:top w:val="nil"/>
          <w:left w:val="nil"/>
          <w:bottom w:val="nil"/>
          <w:right w:val="nil"/>
          <w:between w:val="nil"/>
        </w:pBdr>
        <w:ind w:right="-787"/>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Folleto </w:t>
      </w:r>
      <w:r w:rsidR="00B91B6C" w:rsidRPr="006D5314">
        <w:rPr>
          <w:rFonts w:ascii="Palatino Linotype" w:eastAsia="Palatino Linotype" w:hAnsi="Palatino Linotype" w:cs="Palatino Linotype"/>
          <w:color w:val="000000"/>
        </w:rPr>
        <w:t xml:space="preserve">publicitario </w:t>
      </w:r>
      <w:r w:rsidRPr="006D5314">
        <w:rPr>
          <w:rFonts w:ascii="Palatino Linotype" w:eastAsia="Palatino Linotype" w:hAnsi="Palatino Linotype" w:cs="Palatino Linotype"/>
          <w:color w:val="000000"/>
        </w:rPr>
        <w:t>en el que el Ayuntamiento de Jiquipilco invita al arranque de obra pública.</w:t>
      </w:r>
    </w:p>
    <w:p w:rsidR="00117BD4" w:rsidRPr="006D5314" w:rsidRDefault="00117BD4" w:rsidP="00223B24">
      <w:pPr>
        <w:pBdr>
          <w:top w:val="nil"/>
          <w:left w:val="nil"/>
          <w:bottom w:val="nil"/>
          <w:right w:val="nil"/>
          <w:between w:val="nil"/>
        </w:pBdr>
        <w:ind w:right="-787"/>
        <w:jc w:val="both"/>
        <w:rPr>
          <w:rFonts w:ascii="Palatino Linotype" w:eastAsia="Palatino Linotype" w:hAnsi="Palatino Linotype" w:cs="Palatino Linotype"/>
          <w:color w:val="000000"/>
        </w:rPr>
      </w:pPr>
    </w:p>
    <w:p w:rsidR="00117BD4" w:rsidRPr="006D5314" w:rsidRDefault="00117BD4" w:rsidP="00117BD4">
      <w:pPr>
        <w:pBdr>
          <w:top w:val="nil"/>
          <w:left w:val="nil"/>
          <w:bottom w:val="nil"/>
          <w:right w:val="nil"/>
          <w:between w:val="nil"/>
        </w:pBdr>
        <w:ind w:right="-787"/>
        <w:jc w:val="center"/>
        <w:rPr>
          <w:rFonts w:ascii="Palatino Linotype" w:eastAsia="Palatino Linotype" w:hAnsi="Palatino Linotype" w:cs="Palatino Linotype"/>
          <w:color w:val="000000"/>
        </w:rPr>
      </w:pPr>
    </w:p>
    <w:p w:rsidR="00117BD4" w:rsidRPr="006D5314" w:rsidRDefault="00117BD4" w:rsidP="00117BD4">
      <w:pPr>
        <w:pBdr>
          <w:top w:val="nil"/>
          <w:left w:val="nil"/>
          <w:bottom w:val="nil"/>
          <w:right w:val="nil"/>
          <w:between w:val="nil"/>
        </w:pBdr>
        <w:ind w:right="-787"/>
        <w:jc w:val="center"/>
        <w:rPr>
          <w:rFonts w:ascii="Palatino Linotype" w:eastAsia="Palatino Linotype" w:hAnsi="Palatino Linotype" w:cs="Palatino Linotype"/>
          <w:color w:val="000000"/>
        </w:rPr>
      </w:pPr>
      <w:r w:rsidRPr="006D5314">
        <w:rPr>
          <w:rFonts w:ascii="Palatino Linotype" w:eastAsia="Palatino Linotype" w:hAnsi="Palatino Linotype" w:cs="Palatino Linotype"/>
          <w:noProof/>
          <w:color w:val="000000"/>
          <w:lang w:val="es-MX" w:eastAsia="es-MX"/>
        </w:rPr>
        <w:drawing>
          <wp:inline distT="0" distB="0" distL="0" distR="0" wp14:anchorId="4E9A65BC" wp14:editId="328E0203">
            <wp:extent cx="3576021" cy="2431415"/>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84"/>
                    <a:stretch/>
                  </pic:blipFill>
                  <pic:spPr bwMode="auto">
                    <a:xfrm>
                      <a:off x="0" y="0"/>
                      <a:ext cx="3595395" cy="2444588"/>
                    </a:xfrm>
                    <a:prstGeom prst="rect">
                      <a:avLst/>
                    </a:prstGeom>
                    <a:ln>
                      <a:noFill/>
                    </a:ln>
                    <a:extLst>
                      <a:ext uri="{53640926-AAD7-44D8-BBD7-CCE9431645EC}">
                        <a14:shadowObscured xmlns:a14="http://schemas.microsoft.com/office/drawing/2010/main"/>
                      </a:ext>
                    </a:extLst>
                  </pic:spPr>
                </pic:pic>
              </a:graphicData>
            </a:graphic>
          </wp:inline>
        </w:drawing>
      </w:r>
    </w:p>
    <w:p w:rsidR="00117BD4" w:rsidRPr="006D5314" w:rsidRDefault="00117BD4" w:rsidP="00223B24">
      <w:pPr>
        <w:pBdr>
          <w:top w:val="nil"/>
          <w:left w:val="nil"/>
          <w:bottom w:val="nil"/>
          <w:right w:val="nil"/>
          <w:between w:val="nil"/>
        </w:pBdr>
        <w:ind w:right="-787"/>
        <w:jc w:val="both"/>
        <w:rPr>
          <w:rFonts w:ascii="Palatino Linotype" w:eastAsia="Palatino Linotype" w:hAnsi="Palatino Linotype" w:cs="Palatino Linotype"/>
          <w:color w:val="000000"/>
        </w:rPr>
      </w:pPr>
    </w:p>
    <w:p w:rsidR="007B3AE5" w:rsidRPr="006D5314" w:rsidRDefault="007B3AE5" w:rsidP="00223B24">
      <w:pPr>
        <w:pBdr>
          <w:top w:val="nil"/>
          <w:left w:val="nil"/>
          <w:bottom w:val="nil"/>
          <w:right w:val="nil"/>
          <w:between w:val="nil"/>
        </w:pBdr>
        <w:ind w:right="-787"/>
        <w:jc w:val="both"/>
        <w:rPr>
          <w:rFonts w:ascii="Palatino Linotype" w:eastAsia="Palatino Linotype" w:hAnsi="Palatino Linotype" w:cs="Palatino Linotype"/>
          <w:b/>
          <w:i/>
          <w:color w:val="000000"/>
        </w:rPr>
      </w:pPr>
    </w:p>
    <w:p w:rsidR="0072148B" w:rsidRPr="006D5314"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Se eligió como modalidad de entrega de la información: A través del </w:t>
      </w:r>
      <w:r w:rsidRPr="006D5314">
        <w:rPr>
          <w:rFonts w:ascii="Palatino Linotype" w:eastAsia="Palatino Linotype" w:hAnsi="Palatino Linotype" w:cs="Palatino Linotype"/>
          <w:b/>
          <w:color w:val="000000"/>
        </w:rPr>
        <w:t>SAIMEX.</w:t>
      </w:r>
    </w:p>
    <w:p w:rsidR="00413E57" w:rsidRPr="006D5314" w:rsidRDefault="00413E57" w:rsidP="00413E57">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2D36FF" w:rsidRPr="006D5314" w:rsidRDefault="002D36FF" w:rsidP="002D36FF">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El </w:t>
      </w:r>
      <w:r w:rsidR="00A60601" w:rsidRPr="006D5314">
        <w:rPr>
          <w:rFonts w:ascii="Palatino Linotype" w:eastAsia="Palatino Linotype" w:hAnsi="Palatino Linotype" w:cs="Palatino Linotype"/>
          <w:b/>
          <w:color w:val="000000"/>
        </w:rPr>
        <w:t>trece de octubre</w:t>
      </w:r>
      <w:r w:rsidRPr="006D5314">
        <w:rPr>
          <w:rFonts w:ascii="Palatino Linotype" w:eastAsia="Palatino Linotype" w:hAnsi="Palatino Linotype" w:cs="Palatino Linotype"/>
          <w:b/>
          <w:color w:val="000000"/>
        </w:rPr>
        <w:t xml:space="preserve"> de dos mil veinticinco</w:t>
      </w:r>
      <w:r w:rsidRPr="006D5314">
        <w:rPr>
          <w:rFonts w:ascii="Palatino Linotype" w:eastAsia="Palatino Linotype" w:hAnsi="Palatino Linotype" w:cs="Palatino Linotype"/>
          <w:color w:val="000000"/>
        </w:rPr>
        <w:t xml:space="preserve">, el Sujeto Obligado notificó prórroga para atender la solicitud de información por 7 días más, bajo las siguientes consideraciones: </w:t>
      </w:r>
      <w:r w:rsidR="00A60601" w:rsidRPr="006D5314">
        <w:rPr>
          <w:rFonts w:ascii="Palatino Linotype" w:eastAsia="Palatino Linotype" w:hAnsi="Palatino Linotype" w:cs="Palatino Linotype"/>
          <w:i/>
          <w:color w:val="000000"/>
        </w:rPr>
        <w:t>DESPUÉS DEL ANÁLISIS A SU PETICIÓN SE CONSIDERA PROCEDENTE AFÍN DE PODER DAR CUMPLIMENTO CON LA SOLICITUD DE INFORMACIÓN REQUERIDA</w:t>
      </w:r>
      <w:r w:rsidRPr="006D5314">
        <w:rPr>
          <w:rFonts w:ascii="Palatino Linotype" w:eastAsia="Palatino Linotype" w:hAnsi="Palatino Linotype" w:cs="Palatino Linotype"/>
          <w:i/>
          <w:color w:val="000000"/>
        </w:rPr>
        <w:t>.</w:t>
      </w:r>
    </w:p>
    <w:p w:rsidR="002D36FF" w:rsidRPr="006D5314" w:rsidRDefault="002D36FF" w:rsidP="002D36FF">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E1C35" w:rsidRPr="006D5314" w:rsidRDefault="00A077F4"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El</w:t>
      </w:r>
      <w:r w:rsidRPr="006D5314">
        <w:rPr>
          <w:rFonts w:ascii="Palatino Linotype" w:eastAsia="Palatino Linotype" w:hAnsi="Palatino Linotype" w:cs="Palatino Linotype"/>
          <w:b/>
          <w:color w:val="000000"/>
        </w:rPr>
        <w:t xml:space="preserve"> </w:t>
      </w:r>
      <w:r w:rsidR="00026793" w:rsidRPr="006D5314">
        <w:rPr>
          <w:rFonts w:ascii="Palatino Linotype" w:eastAsia="Palatino Linotype" w:hAnsi="Palatino Linotype" w:cs="Palatino Linotype"/>
          <w:b/>
          <w:color w:val="000000"/>
        </w:rPr>
        <w:t xml:space="preserve">veintidós de </w:t>
      </w:r>
      <w:r w:rsidR="00A60601" w:rsidRPr="006D5314">
        <w:rPr>
          <w:rFonts w:ascii="Palatino Linotype" w:eastAsia="Palatino Linotype" w:hAnsi="Palatino Linotype" w:cs="Palatino Linotype"/>
          <w:b/>
          <w:color w:val="000000"/>
        </w:rPr>
        <w:t>octubre</w:t>
      </w:r>
      <w:r w:rsidRPr="006D5314">
        <w:rPr>
          <w:rFonts w:ascii="Palatino Linotype" w:eastAsia="Palatino Linotype" w:hAnsi="Palatino Linotype" w:cs="Palatino Linotype"/>
          <w:b/>
          <w:color w:val="000000"/>
        </w:rPr>
        <w:t xml:space="preserve"> de dos mil veinticinco</w:t>
      </w:r>
      <w:r w:rsidRPr="006D5314">
        <w:rPr>
          <w:rFonts w:ascii="Palatino Linotype" w:eastAsia="Palatino Linotype" w:hAnsi="Palatino Linotype" w:cs="Palatino Linotype"/>
          <w:color w:val="000000"/>
        </w:rPr>
        <w:t>, el Sujeto Obligado</w:t>
      </w:r>
      <w:r w:rsidRPr="006D5314">
        <w:rPr>
          <w:rFonts w:ascii="Palatino Linotype" w:eastAsia="Palatino Linotype" w:hAnsi="Palatino Linotype" w:cs="Palatino Linotype"/>
          <w:b/>
          <w:color w:val="000000"/>
        </w:rPr>
        <w:t>,</w:t>
      </w:r>
      <w:r w:rsidRPr="006D5314">
        <w:rPr>
          <w:rFonts w:ascii="Palatino Linotype" w:eastAsia="Palatino Linotype" w:hAnsi="Palatino Linotype" w:cs="Palatino Linotype"/>
          <w:color w:val="000000"/>
        </w:rPr>
        <w:t xml:space="preserve"> dio </w:t>
      </w:r>
      <w:r w:rsidRPr="006D5314">
        <w:rPr>
          <w:rFonts w:ascii="Palatino Linotype" w:eastAsia="Palatino Linotype" w:hAnsi="Palatino Linotype" w:cs="Palatino Linotype"/>
          <w:b/>
          <w:color w:val="000000"/>
        </w:rPr>
        <w:t>respuesta</w:t>
      </w:r>
      <w:r w:rsidRPr="006D5314">
        <w:rPr>
          <w:rFonts w:ascii="Palatino Linotype" w:eastAsia="Palatino Linotype" w:hAnsi="Palatino Linotype" w:cs="Palatino Linotype"/>
          <w:color w:val="000000"/>
        </w:rPr>
        <w:t xml:space="preserve"> a través </w:t>
      </w:r>
      <w:r w:rsidR="00A60601" w:rsidRPr="006D5314">
        <w:rPr>
          <w:rFonts w:ascii="Palatino Linotype" w:eastAsia="Palatino Linotype" w:hAnsi="Palatino Linotype" w:cs="Palatino Linotype"/>
          <w:color w:val="000000"/>
        </w:rPr>
        <w:t>del</w:t>
      </w:r>
      <w:r w:rsidRPr="006D5314">
        <w:rPr>
          <w:rFonts w:ascii="Palatino Linotype" w:eastAsia="Palatino Linotype" w:hAnsi="Palatino Linotype" w:cs="Palatino Linotype"/>
          <w:color w:val="000000"/>
        </w:rPr>
        <w:t xml:space="preserve"> </w:t>
      </w:r>
      <w:r w:rsidR="008419F5" w:rsidRPr="006D5314">
        <w:rPr>
          <w:rFonts w:ascii="Palatino Linotype" w:eastAsia="Palatino Linotype" w:hAnsi="Palatino Linotype" w:cs="Palatino Linotype"/>
          <w:color w:val="000000"/>
        </w:rPr>
        <w:t>siguiente archivo electrónico</w:t>
      </w:r>
      <w:r w:rsidRPr="006D5314">
        <w:rPr>
          <w:rFonts w:ascii="Palatino Linotype" w:eastAsia="Palatino Linotype" w:hAnsi="Palatino Linotype" w:cs="Palatino Linotype"/>
          <w:b/>
          <w:i/>
          <w:color w:val="000000"/>
        </w:rPr>
        <w:t>:</w:t>
      </w:r>
    </w:p>
    <w:p w:rsidR="00D4747B" w:rsidRPr="006D5314" w:rsidRDefault="00A60601"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6D5314">
        <w:rPr>
          <w:rFonts w:ascii="Palatino Linotype" w:eastAsia="Palatino Linotype" w:hAnsi="Palatino Linotype" w:cs="Palatino Linotype"/>
          <w:b/>
          <w:i/>
          <w:color w:val="000000"/>
        </w:rPr>
        <w:t>TRANSPARENCIA 735.pdf</w:t>
      </w:r>
    </w:p>
    <w:p w:rsidR="00A60601" w:rsidRPr="006D5314" w:rsidRDefault="00E9130D"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Oficio DOP/735/2025-10 de </w:t>
      </w:r>
      <w:r w:rsidR="004A6550" w:rsidRPr="006D5314">
        <w:rPr>
          <w:rFonts w:ascii="Palatino Linotype" w:eastAsia="Palatino Linotype" w:hAnsi="Palatino Linotype" w:cs="Palatino Linotype"/>
          <w:color w:val="000000"/>
        </w:rPr>
        <w:t>fecha 21 de octubre de 2025, firmado el Director de Obras Públicas, a través del cual refiere lo siguiente:</w:t>
      </w:r>
    </w:p>
    <w:p w:rsidR="004A6550" w:rsidRPr="006D5314" w:rsidRDefault="004A655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4A6550" w:rsidRPr="006D5314" w:rsidRDefault="004A655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 xml:space="preserve">“… de la documentación en su versión publica que compruebe el proceso de licitación de las obras a las que dio arranque al 19 de septiembre de 2025, como se indicó en la página de Facebook del municipio que fueron: La Nopalera, Loma Hidalgo Manzana Cuarta Y </w:t>
      </w:r>
      <w:r w:rsidR="007C5CBD" w:rsidRPr="006D5314">
        <w:rPr>
          <w:rFonts w:ascii="Palatino Linotype" w:eastAsia="Palatino Linotype" w:hAnsi="Palatino Linotype" w:cs="Palatino Linotype"/>
          <w:i/>
          <w:color w:val="000000"/>
        </w:rPr>
        <w:t>Manzana</w:t>
      </w:r>
      <w:r w:rsidRPr="006D5314">
        <w:rPr>
          <w:rFonts w:ascii="Palatino Linotype" w:eastAsia="Palatino Linotype" w:hAnsi="Palatino Linotype" w:cs="Palatino Linotype"/>
          <w:i/>
          <w:color w:val="000000"/>
        </w:rPr>
        <w:t xml:space="preserve"> Cuarta De Cabecera Municipal, por lo que se contesta en el siguiente sentido:</w:t>
      </w:r>
    </w:p>
    <w:p w:rsidR="004A6550" w:rsidRPr="006D5314" w:rsidRDefault="004A655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4A6550" w:rsidRPr="006D5314" w:rsidRDefault="004A655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 xml:space="preserve">En aras de lo manifestado y </w:t>
      </w:r>
      <w:r w:rsidR="007C5CBD" w:rsidRPr="006D5314">
        <w:rPr>
          <w:rFonts w:ascii="Palatino Linotype" w:eastAsia="Palatino Linotype" w:hAnsi="Palatino Linotype" w:cs="Palatino Linotype"/>
          <w:i/>
          <w:color w:val="000000"/>
        </w:rPr>
        <w:t>en re</w:t>
      </w:r>
      <w:r w:rsidRPr="006D5314">
        <w:rPr>
          <w:rFonts w:ascii="Palatino Linotype" w:eastAsia="Palatino Linotype" w:hAnsi="Palatino Linotype" w:cs="Palatino Linotype"/>
          <w:i/>
          <w:color w:val="000000"/>
        </w:rPr>
        <w:t xml:space="preserve">lación a </w:t>
      </w:r>
      <w:r w:rsidRPr="006D5314">
        <w:rPr>
          <w:rFonts w:ascii="Palatino Linotype" w:eastAsia="Palatino Linotype" w:hAnsi="Palatino Linotype" w:cs="Palatino Linotype"/>
          <w:b/>
          <w:i/>
          <w:color w:val="000000"/>
        </w:rPr>
        <w:t xml:space="preserve">los expedientes de </w:t>
      </w:r>
      <w:r w:rsidR="007C5CBD" w:rsidRPr="006D5314">
        <w:rPr>
          <w:rFonts w:ascii="Palatino Linotype" w:eastAsia="Palatino Linotype" w:hAnsi="Palatino Linotype" w:cs="Palatino Linotype"/>
          <w:b/>
          <w:i/>
          <w:color w:val="000000"/>
        </w:rPr>
        <w:t>las</w:t>
      </w:r>
      <w:r w:rsidRPr="006D5314">
        <w:rPr>
          <w:rFonts w:ascii="Palatino Linotype" w:eastAsia="Palatino Linotype" w:hAnsi="Palatino Linotype" w:cs="Palatino Linotype"/>
          <w:b/>
          <w:i/>
          <w:color w:val="000000"/>
        </w:rPr>
        <w:t xml:space="preserve"> obras que se dio </w:t>
      </w:r>
      <w:r w:rsidR="007C5CBD" w:rsidRPr="006D5314">
        <w:rPr>
          <w:rFonts w:ascii="Palatino Linotype" w:eastAsia="Palatino Linotype" w:hAnsi="Palatino Linotype" w:cs="Palatino Linotype"/>
          <w:b/>
          <w:i/>
          <w:color w:val="000000"/>
        </w:rPr>
        <w:t>arranque</w:t>
      </w:r>
      <w:r w:rsidRPr="006D5314">
        <w:rPr>
          <w:rFonts w:ascii="Palatino Linotype" w:eastAsia="Palatino Linotype" w:hAnsi="Palatino Linotype" w:cs="Palatino Linotype"/>
          <w:b/>
          <w:i/>
          <w:color w:val="000000"/>
        </w:rPr>
        <w:t xml:space="preserve"> al </w:t>
      </w:r>
      <w:r w:rsidR="007C5CBD" w:rsidRPr="006D5314">
        <w:rPr>
          <w:rFonts w:ascii="Palatino Linotype" w:eastAsia="Palatino Linotype" w:hAnsi="Palatino Linotype" w:cs="Palatino Linotype"/>
          <w:b/>
          <w:i/>
          <w:color w:val="000000"/>
        </w:rPr>
        <w:t>día</w:t>
      </w:r>
      <w:r w:rsidRPr="006D5314">
        <w:rPr>
          <w:rFonts w:ascii="Palatino Linotype" w:eastAsia="Palatino Linotype" w:hAnsi="Palatino Linotype" w:cs="Palatino Linotype"/>
          <w:b/>
          <w:i/>
          <w:color w:val="000000"/>
        </w:rPr>
        <w:t xml:space="preserve"> 19 de </w:t>
      </w:r>
      <w:r w:rsidR="007C5CBD" w:rsidRPr="006D5314">
        <w:rPr>
          <w:rFonts w:ascii="Palatino Linotype" w:eastAsia="Palatino Linotype" w:hAnsi="Palatino Linotype" w:cs="Palatino Linotype"/>
          <w:b/>
          <w:i/>
          <w:color w:val="000000"/>
        </w:rPr>
        <w:t>septiembre</w:t>
      </w:r>
      <w:r w:rsidRPr="006D5314">
        <w:rPr>
          <w:rFonts w:ascii="Palatino Linotype" w:eastAsia="Palatino Linotype" w:hAnsi="Palatino Linotype" w:cs="Palatino Linotype"/>
          <w:b/>
          <w:i/>
          <w:color w:val="000000"/>
        </w:rPr>
        <w:t xml:space="preserve"> de 2025, los mismos se encuentran en proceso de integración para su inclusión al Tercer Informe Trimestral</w:t>
      </w:r>
      <w:r w:rsidRPr="006D5314">
        <w:rPr>
          <w:rFonts w:ascii="Palatino Linotype" w:eastAsia="Palatino Linotype" w:hAnsi="Palatino Linotype" w:cs="Palatino Linotype"/>
          <w:i/>
          <w:color w:val="000000"/>
        </w:rPr>
        <w:t xml:space="preserve"> y su posterior remisión al </w:t>
      </w:r>
      <w:r w:rsidR="007C5CBD" w:rsidRPr="006D5314">
        <w:rPr>
          <w:rFonts w:ascii="Palatino Linotype" w:eastAsia="Palatino Linotype" w:hAnsi="Palatino Linotype" w:cs="Palatino Linotype"/>
          <w:i/>
          <w:color w:val="000000"/>
        </w:rPr>
        <w:t>Órgano</w:t>
      </w:r>
      <w:r w:rsidRPr="006D5314">
        <w:rPr>
          <w:rFonts w:ascii="Palatino Linotype" w:eastAsia="Palatino Linotype" w:hAnsi="Palatino Linotype" w:cs="Palatino Linotype"/>
          <w:i/>
          <w:color w:val="000000"/>
        </w:rPr>
        <w:t xml:space="preserve"> Superior de Fiscalización del Estado de México, aunado a la excesiva carga </w:t>
      </w:r>
      <w:r w:rsidR="007C5CBD" w:rsidRPr="006D5314">
        <w:rPr>
          <w:rFonts w:ascii="Palatino Linotype" w:eastAsia="Palatino Linotype" w:hAnsi="Palatino Linotype" w:cs="Palatino Linotype"/>
          <w:i/>
          <w:color w:val="000000"/>
        </w:rPr>
        <w:t>de</w:t>
      </w:r>
      <w:r w:rsidRPr="006D5314">
        <w:rPr>
          <w:rFonts w:ascii="Palatino Linotype" w:eastAsia="Palatino Linotype" w:hAnsi="Palatino Linotype" w:cs="Palatino Linotype"/>
          <w:i/>
          <w:color w:val="000000"/>
        </w:rPr>
        <w:t xml:space="preserve"> trabajo, </w:t>
      </w:r>
      <w:r w:rsidRPr="006D5314">
        <w:rPr>
          <w:rFonts w:ascii="Palatino Linotype" w:eastAsia="Palatino Linotype" w:hAnsi="Palatino Linotype" w:cs="Palatino Linotype"/>
          <w:b/>
          <w:i/>
          <w:color w:val="000000"/>
        </w:rPr>
        <w:t xml:space="preserve">se hace </w:t>
      </w:r>
      <w:r w:rsidR="007C5CBD" w:rsidRPr="006D5314">
        <w:rPr>
          <w:rFonts w:ascii="Palatino Linotype" w:eastAsia="Palatino Linotype" w:hAnsi="Palatino Linotype" w:cs="Palatino Linotype"/>
          <w:b/>
          <w:i/>
          <w:color w:val="000000"/>
        </w:rPr>
        <w:t>imposible</w:t>
      </w:r>
      <w:r w:rsidRPr="006D5314">
        <w:rPr>
          <w:rFonts w:ascii="Palatino Linotype" w:eastAsia="Palatino Linotype" w:hAnsi="Palatino Linotype" w:cs="Palatino Linotype"/>
          <w:b/>
          <w:i/>
          <w:color w:val="000000"/>
        </w:rPr>
        <w:t xml:space="preserve"> en este momento la entrega dicha información, toda vez que la misma se está preparando para la entrega </w:t>
      </w:r>
      <w:r w:rsidR="007C5CBD" w:rsidRPr="006D5314">
        <w:rPr>
          <w:rFonts w:ascii="Palatino Linotype" w:eastAsia="Palatino Linotype" w:hAnsi="Palatino Linotype" w:cs="Palatino Linotype"/>
          <w:b/>
          <w:i/>
          <w:color w:val="000000"/>
        </w:rPr>
        <w:t>formal</w:t>
      </w:r>
      <w:r w:rsidRPr="006D5314">
        <w:rPr>
          <w:rFonts w:ascii="Palatino Linotype" w:eastAsia="Palatino Linotype" w:hAnsi="Palatino Linotype" w:cs="Palatino Linotype"/>
          <w:b/>
          <w:i/>
          <w:color w:val="000000"/>
        </w:rPr>
        <w:t xml:space="preserve"> al </w:t>
      </w:r>
      <w:r w:rsidR="007C5CBD" w:rsidRPr="006D5314">
        <w:rPr>
          <w:rFonts w:ascii="Palatino Linotype" w:eastAsia="Palatino Linotype" w:hAnsi="Palatino Linotype" w:cs="Palatino Linotype"/>
          <w:b/>
          <w:i/>
          <w:color w:val="000000"/>
        </w:rPr>
        <w:t>ente</w:t>
      </w:r>
      <w:r w:rsidRPr="006D5314">
        <w:rPr>
          <w:rFonts w:ascii="Palatino Linotype" w:eastAsia="Palatino Linotype" w:hAnsi="Palatino Linotype" w:cs="Palatino Linotype"/>
          <w:b/>
          <w:i/>
          <w:color w:val="000000"/>
        </w:rPr>
        <w:t xml:space="preserve"> Fiscalizador Estatal</w:t>
      </w:r>
      <w:r w:rsidRPr="006D5314">
        <w:rPr>
          <w:rFonts w:ascii="Palatino Linotype" w:eastAsia="Palatino Linotype" w:hAnsi="Palatino Linotype" w:cs="Palatino Linotype"/>
          <w:i/>
          <w:color w:val="000000"/>
        </w:rPr>
        <w:t xml:space="preserve">. Lo </w:t>
      </w:r>
      <w:r w:rsidR="007C5CBD" w:rsidRPr="006D5314">
        <w:rPr>
          <w:rFonts w:ascii="Palatino Linotype" w:eastAsia="Palatino Linotype" w:hAnsi="Palatino Linotype" w:cs="Palatino Linotype"/>
          <w:i/>
          <w:color w:val="000000"/>
        </w:rPr>
        <w:t>anterior</w:t>
      </w:r>
      <w:r w:rsidRPr="006D5314">
        <w:rPr>
          <w:rFonts w:ascii="Palatino Linotype" w:eastAsia="Palatino Linotype" w:hAnsi="Palatino Linotype" w:cs="Palatino Linotype"/>
          <w:i/>
          <w:color w:val="000000"/>
        </w:rPr>
        <w:t xml:space="preserve"> de conformidad con lo publicado en el periódico oficial Gaceta de </w:t>
      </w:r>
      <w:r w:rsidR="007C5CBD" w:rsidRPr="006D5314">
        <w:rPr>
          <w:rFonts w:ascii="Palatino Linotype" w:eastAsia="Palatino Linotype" w:hAnsi="Palatino Linotype" w:cs="Palatino Linotype"/>
          <w:i/>
          <w:color w:val="000000"/>
        </w:rPr>
        <w:t>Gobierno</w:t>
      </w:r>
      <w:r w:rsidRPr="006D5314">
        <w:rPr>
          <w:rFonts w:ascii="Palatino Linotype" w:eastAsia="Palatino Linotype" w:hAnsi="Palatino Linotype" w:cs="Palatino Linotype"/>
          <w:i/>
          <w:color w:val="000000"/>
        </w:rPr>
        <w:t xml:space="preserve"> del Estado de</w:t>
      </w:r>
      <w:r w:rsidR="007C5CBD" w:rsidRPr="006D5314">
        <w:rPr>
          <w:rFonts w:ascii="Palatino Linotype" w:eastAsia="Palatino Linotype" w:hAnsi="Palatino Linotype" w:cs="Palatino Linotype"/>
          <w:i/>
          <w:color w:val="000000"/>
        </w:rPr>
        <w:t xml:space="preserve"> México, de fecha 1 de abril del</w:t>
      </w:r>
      <w:r w:rsidRPr="006D5314">
        <w:rPr>
          <w:rFonts w:ascii="Palatino Linotype" w:eastAsia="Palatino Linotype" w:hAnsi="Palatino Linotype" w:cs="Palatino Linotype"/>
          <w:i/>
          <w:color w:val="000000"/>
        </w:rPr>
        <w:t xml:space="preserve"> 2025, acuerdo 7/2025, por lo que posterior a dicha entrega se estará en </w:t>
      </w:r>
      <w:r w:rsidR="007C5CBD" w:rsidRPr="006D5314">
        <w:rPr>
          <w:rFonts w:ascii="Palatino Linotype" w:eastAsia="Palatino Linotype" w:hAnsi="Palatino Linotype" w:cs="Palatino Linotype"/>
          <w:i/>
          <w:color w:val="000000"/>
        </w:rPr>
        <w:t>posibilidad</w:t>
      </w:r>
      <w:r w:rsidRPr="006D5314">
        <w:rPr>
          <w:rFonts w:ascii="Palatino Linotype" w:eastAsia="Palatino Linotype" w:hAnsi="Palatino Linotype" w:cs="Palatino Linotype"/>
          <w:i/>
          <w:color w:val="000000"/>
        </w:rPr>
        <w:t xml:space="preserve"> de atender lo solicitado.</w:t>
      </w:r>
      <w:r w:rsidR="007C5CBD" w:rsidRPr="006D5314">
        <w:rPr>
          <w:rFonts w:ascii="Palatino Linotype" w:eastAsia="Palatino Linotype" w:hAnsi="Palatino Linotype" w:cs="Palatino Linotype"/>
          <w:i/>
          <w:color w:val="000000"/>
        </w:rPr>
        <w:t>” (Sic)</w:t>
      </w:r>
    </w:p>
    <w:p w:rsidR="004A6550" w:rsidRPr="006D5314" w:rsidRDefault="004A6550" w:rsidP="00F647E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2C7769" w:rsidRPr="006D5314" w:rsidRDefault="002C7769" w:rsidP="007E18CF">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72148B" w:rsidRPr="006D5314" w:rsidRDefault="00A077F4"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El</w:t>
      </w:r>
      <w:r w:rsidRPr="006D5314">
        <w:rPr>
          <w:rFonts w:ascii="Palatino Linotype" w:eastAsia="Palatino Linotype" w:hAnsi="Palatino Linotype" w:cs="Palatino Linotype"/>
          <w:b/>
          <w:color w:val="000000"/>
        </w:rPr>
        <w:t xml:space="preserve"> </w:t>
      </w:r>
      <w:r w:rsidR="006F513B" w:rsidRPr="006D5314">
        <w:rPr>
          <w:rFonts w:ascii="Palatino Linotype" w:eastAsia="Palatino Linotype" w:hAnsi="Palatino Linotype" w:cs="Palatino Linotype"/>
          <w:b/>
          <w:color w:val="000000"/>
        </w:rPr>
        <w:t>veintidós de octubre</w:t>
      </w:r>
      <w:r w:rsidRPr="006D5314">
        <w:rPr>
          <w:rFonts w:ascii="Palatino Linotype" w:eastAsia="Palatino Linotype" w:hAnsi="Palatino Linotype" w:cs="Palatino Linotype"/>
          <w:b/>
          <w:color w:val="000000"/>
        </w:rPr>
        <w:t xml:space="preserve"> de dos mil veinticinco</w:t>
      </w:r>
      <w:r w:rsidRPr="006D5314">
        <w:rPr>
          <w:rFonts w:ascii="Palatino Linotype" w:eastAsia="Palatino Linotype" w:hAnsi="Palatino Linotype" w:cs="Palatino Linotype"/>
          <w:color w:val="000000"/>
        </w:rPr>
        <w:t xml:space="preserve">, el particular interpuso </w:t>
      </w:r>
      <w:r w:rsidR="00E30A06" w:rsidRPr="006D5314">
        <w:rPr>
          <w:rFonts w:ascii="Palatino Linotype" w:eastAsia="Palatino Linotype" w:hAnsi="Palatino Linotype" w:cs="Palatino Linotype"/>
          <w:color w:val="000000"/>
        </w:rPr>
        <w:t xml:space="preserve">el </w:t>
      </w:r>
      <w:r w:rsidR="00E30A06" w:rsidRPr="006D5314">
        <w:rPr>
          <w:rFonts w:ascii="Palatino Linotype" w:eastAsia="Palatino Linotype" w:hAnsi="Palatino Linotype" w:cs="Palatino Linotype"/>
          <w:b/>
          <w:color w:val="000000"/>
        </w:rPr>
        <w:t>recurso</w:t>
      </w:r>
      <w:r w:rsidRPr="006D5314">
        <w:rPr>
          <w:rFonts w:ascii="Palatino Linotype" w:eastAsia="Palatino Linotype" w:hAnsi="Palatino Linotype" w:cs="Palatino Linotype"/>
          <w:b/>
          <w:color w:val="000000"/>
        </w:rPr>
        <w:t xml:space="preserve"> de revisión</w:t>
      </w:r>
      <w:r w:rsidRPr="006D5314">
        <w:rPr>
          <w:rFonts w:ascii="Palatino Linotype" w:eastAsia="Palatino Linotype" w:hAnsi="Palatino Linotype" w:cs="Palatino Linotype"/>
          <w:color w:val="000000"/>
        </w:rPr>
        <w:t xml:space="preserve"> a</w:t>
      </w:r>
      <w:r w:rsidR="00E30A06" w:rsidRPr="006D5314">
        <w:rPr>
          <w:rFonts w:ascii="Palatino Linotype" w:eastAsia="Palatino Linotype" w:hAnsi="Palatino Linotype" w:cs="Palatino Linotype"/>
          <w:color w:val="000000"/>
        </w:rPr>
        <w:t>l</w:t>
      </w:r>
      <w:r w:rsidRPr="006D5314">
        <w:rPr>
          <w:rFonts w:ascii="Palatino Linotype" w:eastAsia="Palatino Linotype" w:hAnsi="Palatino Linotype" w:cs="Palatino Linotype"/>
          <w:color w:val="000000"/>
        </w:rPr>
        <w:t xml:space="preserve"> </w:t>
      </w:r>
      <w:r w:rsidR="00E30A06" w:rsidRPr="006D5314">
        <w:rPr>
          <w:rFonts w:ascii="Palatino Linotype" w:eastAsia="Palatino Linotype" w:hAnsi="Palatino Linotype" w:cs="Palatino Linotype"/>
          <w:color w:val="000000"/>
        </w:rPr>
        <w:t>que se le</w:t>
      </w:r>
      <w:r w:rsidRPr="006D5314">
        <w:rPr>
          <w:rFonts w:ascii="Palatino Linotype" w:eastAsia="Palatino Linotype" w:hAnsi="Palatino Linotype" w:cs="Palatino Linotype"/>
          <w:color w:val="000000"/>
        </w:rPr>
        <w:t xml:space="preserve"> </w:t>
      </w:r>
      <w:r w:rsidR="00E30A06" w:rsidRPr="006D5314">
        <w:rPr>
          <w:rFonts w:ascii="Palatino Linotype" w:eastAsia="Palatino Linotype" w:hAnsi="Palatino Linotype" w:cs="Palatino Linotype"/>
          <w:color w:val="000000"/>
        </w:rPr>
        <w:t>asignó</w:t>
      </w:r>
      <w:r w:rsidRPr="006D5314">
        <w:rPr>
          <w:rFonts w:ascii="Palatino Linotype" w:eastAsia="Palatino Linotype" w:hAnsi="Palatino Linotype" w:cs="Palatino Linotype"/>
          <w:color w:val="000000"/>
        </w:rPr>
        <w:t xml:space="preserve"> </w:t>
      </w:r>
      <w:r w:rsidR="00E30A06" w:rsidRPr="006D5314">
        <w:rPr>
          <w:rFonts w:ascii="Palatino Linotype" w:eastAsia="Palatino Linotype" w:hAnsi="Palatino Linotype" w:cs="Palatino Linotype"/>
          <w:color w:val="000000"/>
        </w:rPr>
        <w:t>el folio</w:t>
      </w:r>
      <w:r w:rsidRPr="006D5314">
        <w:rPr>
          <w:rFonts w:ascii="Palatino Linotype" w:eastAsia="Palatino Linotype" w:hAnsi="Palatino Linotype" w:cs="Palatino Linotype"/>
          <w:color w:val="000000"/>
        </w:rPr>
        <w:t xml:space="preserve"> </w:t>
      </w:r>
      <w:r w:rsidR="006F513B" w:rsidRPr="006D5314">
        <w:rPr>
          <w:rFonts w:ascii="Palatino Linotype" w:eastAsia="Palatino Linotype" w:hAnsi="Palatino Linotype" w:cs="Palatino Linotype"/>
          <w:b/>
          <w:color w:val="000000"/>
        </w:rPr>
        <w:t>12133</w:t>
      </w:r>
      <w:r w:rsidR="00E30A06" w:rsidRPr="006D5314">
        <w:rPr>
          <w:rFonts w:ascii="Palatino Linotype" w:eastAsia="Palatino Linotype" w:hAnsi="Palatino Linotype" w:cs="Palatino Linotype"/>
          <w:b/>
          <w:color w:val="000000"/>
        </w:rPr>
        <w:t>/INFOEM/IP/RR/2025</w:t>
      </w:r>
      <w:r w:rsidRPr="006D5314">
        <w:rPr>
          <w:rFonts w:ascii="Palatino Linotype" w:eastAsia="Palatino Linotype" w:hAnsi="Palatino Linotype" w:cs="Palatino Linotype"/>
          <w:b/>
          <w:color w:val="000000"/>
        </w:rPr>
        <w:t xml:space="preserve"> </w:t>
      </w:r>
      <w:r w:rsidRPr="006D5314">
        <w:rPr>
          <w:rFonts w:ascii="Palatino Linotype" w:eastAsia="Palatino Linotype" w:hAnsi="Palatino Linotype" w:cs="Palatino Linotype"/>
          <w:color w:val="000000"/>
        </w:rPr>
        <w:t xml:space="preserve">en contra de </w:t>
      </w:r>
      <w:r w:rsidR="00E30A06" w:rsidRPr="006D5314">
        <w:rPr>
          <w:rFonts w:ascii="Palatino Linotype" w:eastAsia="Palatino Linotype" w:hAnsi="Palatino Linotype" w:cs="Palatino Linotype"/>
          <w:color w:val="000000"/>
        </w:rPr>
        <w:t>la respuesta emitida</w:t>
      </w:r>
      <w:r w:rsidRPr="006D5314">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6D5314" w:rsidRDefault="0033402D" w:rsidP="0033402D">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72148B" w:rsidRPr="006D5314" w:rsidRDefault="00A077F4"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bookmarkStart w:id="2" w:name="_heading=h.30j0zll" w:colFirst="0" w:colLast="0"/>
      <w:bookmarkEnd w:id="2"/>
      <w:r w:rsidRPr="006D5314">
        <w:rPr>
          <w:rFonts w:ascii="Palatino Linotype" w:eastAsia="Palatino Linotype" w:hAnsi="Palatino Linotype" w:cs="Palatino Linotype"/>
          <w:b/>
          <w:color w:val="000000"/>
        </w:rPr>
        <w:t xml:space="preserve">Acto impugnado: </w:t>
      </w:r>
      <w:r w:rsidRPr="006D5314">
        <w:rPr>
          <w:rFonts w:ascii="Palatino Linotype" w:eastAsia="Palatino Linotype" w:hAnsi="Palatino Linotype" w:cs="Palatino Linotype"/>
          <w:i/>
          <w:color w:val="000000"/>
        </w:rPr>
        <w:t>“</w:t>
      </w:r>
      <w:r w:rsidR="006F513B" w:rsidRPr="006D5314">
        <w:rPr>
          <w:rFonts w:ascii="Palatino Linotype" w:eastAsia="Palatino Linotype" w:hAnsi="Palatino Linotype" w:cs="Palatino Linotype"/>
          <w:i/>
          <w:color w:val="000000"/>
        </w:rPr>
        <w:t>Solicité la documentación en su versión pública que comprueba todo el proceso licitatorio (Invitaciones, Cartas de Aceptación, Acta de Visita de Obra, Acta de Junta de Aclaraciones, Invitación a instancias internas: Comité Interno de Obra Pública y externas: Cámara Mexicana de la Industria de la Construcción y Secretaría de la Contraloría, Acta de Apertura de Propuestas, Cuadro Frio y/o Cuadro Comparativo, Dictamen de Adjudicación, Acta de Fallo y Contrato) de las obras a las que se dió arranque el 19 de septiembre de 2025 como se indicó en la página de Facebook del Municipio que fueron: La Nopalera, Loma Hidalgo Manzana Cuarta y Manzana Cuarta de Cabecera Municipal (Anexo imagen tomada de Facebook)</w:t>
      </w:r>
      <w:r w:rsidRPr="006D5314">
        <w:rPr>
          <w:rFonts w:ascii="Palatino Linotype" w:eastAsia="Palatino Linotype" w:hAnsi="Palatino Linotype" w:cs="Palatino Linotype"/>
          <w:i/>
          <w:color w:val="000000"/>
        </w:rPr>
        <w:t>” (Sic)</w:t>
      </w:r>
    </w:p>
    <w:p w:rsidR="0072148B" w:rsidRPr="006D5314" w:rsidRDefault="0072148B"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p>
    <w:p w:rsidR="0072148B" w:rsidRPr="006D5314" w:rsidRDefault="00A077F4" w:rsidP="0033402D">
      <w:pPr>
        <w:pBdr>
          <w:top w:val="nil"/>
          <w:left w:val="nil"/>
          <w:bottom w:val="nil"/>
          <w:right w:val="nil"/>
          <w:between w:val="nil"/>
        </w:pBdr>
        <w:ind w:left="851" w:right="-79"/>
        <w:jc w:val="both"/>
        <w:rPr>
          <w:rFonts w:ascii="Palatino Linotype" w:eastAsia="Palatino Linotype" w:hAnsi="Palatino Linotype" w:cs="Palatino Linotype"/>
          <w:i/>
          <w:color w:val="000000"/>
        </w:rPr>
      </w:pPr>
      <w:bookmarkStart w:id="3" w:name="_heading=h.1fob9te" w:colFirst="0" w:colLast="0"/>
      <w:bookmarkEnd w:id="3"/>
      <w:r w:rsidRPr="006D5314">
        <w:rPr>
          <w:rFonts w:ascii="Palatino Linotype" w:eastAsia="Palatino Linotype" w:hAnsi="Palatino Linotype" w:cs="Palatino Linotype"/>
          <w:b/>
          <w:color w:val="000000"/>
        </w:rPr>
        <w:t xml:space="preserve">Razones o Motivos de inconformidad: </w:t>
      </w:r>
      <w:r w:rsidRPr="006D5314">
        <w:rPr>
          <w:rFonts w:ascii="Palatino Linotype" w:eastAsia="Palatino Linotype" w:hAnsi="Palatino Linotype" w:cs="Palatino Linotype"/>
          <w:i/>
          <w:color w:val="000000"/>
        </w:rPr>
        <w:t>“</w:t>
      </w:r>
      <w:r w:rsidR="006F513B" w:rsidRPr="006D5314">
        <w:rPr>
          <w:rFonts w:ascii="Palatino Linotype" w:eastAsia="Palatino Linotype" w:hAnsi="Palatino Linotype" w:cs="Palatino Linotype"/>
          <w:i/>
          <w:color w:val="000000"/>
        </w:rPr>
        <w:t>Se tuvo el tiempo suficiente para entregar la información, además de que se les otorgó una prórroga y aún así no entregaron absolutamente nada de la información solicitada. Si en verdad se tiene la información no toma mucho tiempo digitalizarla y entregarla como se debe</w:t>
      </w:r>
      <w:r w:rsidR="00A05FF8" w:rsidRPr="006D5314">
        <w:rPr>
          <w:rFonts w:ascii="Palatino Linotype" w:eastAsia="Palatino Linotype" w:hAnsi="Palatino Linotype" w:cs="Palatino Linotype"/>
          <w:i/>
          <w:color w:val="000000"/>
        </w:rPr>
        <w:t>.</w:t>
      </w:r>
      <w:r w:rsidRPr="006D5314">
        <w:rPr>
          <w:rFonts w:ascii="Palatino Linotype" w:eastAsia="Palatino Linotype" w:hAnsi="Palatino Linotype" w:cs="Palatino Linotype"/>
          <w:i/>
          <w:color w:val="000000"/>
        </w:rPr>
        <w:t xml:space="preserve">” </w:t>
      </w:r>
      <w:r w:rsidRPr="006D5314">
        <w:rPr>
          <w:rFonts w:ascii="Palatino Linotype" w:eastAsia="Palatino Linotype" w:hAnsi="Palatino Linotype" w:cs="Palatino Linotype"/>
          <w:color w:val="000000"/>
        </w:rPr>
        <w:t>(Sic)</w:t>
      </w:r>
    </w:p>
    <w:p w:rsidR="0072148B" w:rsidRPr="006D5314"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6D5314" w:rsidRDefault="006C72E8" w:rsidP="00BA646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lastRenderedPageBreak/>
        <w:t>La Comisionada Ponente</w:t>
      </w:r>
      <w:r w:rsidR="00A077F4" w:rsidRPr="006D5314">
        <w:rPr>
          <w:rFonts w:ascii="Palatino Linotype" w:eastAsia="Palatino Linotype" w:hAnsi="Palatino Linotype" w:cs="Palatino Linotype"/>
          <w:color w:val="000000"/>
        </w:rPr>
        <w:t xml:space="preserve"> con fundamento en lo dispuesto por el artículo 185, fracción II, de la ley de la materia, a través </w:t>
      </w:r>
      <w:r w:rsidRPr="006D5314">
        <w:rPr>
          <w:rFonts w:ascii="Palatino Linotype" w:eastAsia="Palatino Linotype" w:hAnsi="Palatino Linotype" w:cs="Palatino Linotype"/>
          <w:color w:val="000000"/>
        </w:rPr>
        <w:t>del</w:t>
      </w:r>
      <w:r w:rsidR="00A077F4" w:rsidRPr="006D5314">
        <w:rPr>
          <w:rFonts w:ascii="Palatino Linotype" w:eastAsia="Palatino Linotype" w:hAnsi="Palatino Linotype" w:cs="Palatino Linotype"/>
          <w:color w:val="000000"/>
        </w:rPr>
        <w:t xml:space="preserve"> </w:t>
      </w:r>
      <w:r w:rsidRPr="006D5314">
        <w:rPr>
          <w:rFonts w:ascii="Palatino Linotype" w:eastAsia="Palatino Linotype" w:hAnsi="Palatino Linotype" w:cs="Palatino Linotype"/>
          <w:b/>
          <w:color w:val="000000"/>
        </w:rPr>
        <w:t>acuerdo</w:t>
      </w:r>
      <w:r w:rsidR="00A077F4" w:rsidRPr="006D5314">
        <w:rPr>
          <w:rFonts w:ascii="Palatino Linotype" w:eastAsia="Palatino Linotype" w:hAnsi="Palatino Linotype" w:cs="Palatino Linotype"/>
          <w:b/>
          <w:color w:val="000000"/>
        </w:rPr>
        <w:t xml:space="preserve"> de admisión </w:t>
      </w:r>
      <w:r w:rsidRPr="006D5314">
        <w:rPr>
          <w:rFonts w:ascii="Palatino Linotype" w:eastAsia="Palatino Linotype" w:hAnsi="Palatino Linotype" w:cs="Palatino Linotype"/>
          <w:color w:val="000000"/>
        </w:rPr>
        <w:t>de fecha</w:t>
      </w:r>
      <w:r w:rsidR="00A077F4" w:rsidRPr="006D5314">
        <w:rPr>
          <w:rFonts w:ascii="Palatino Linotype" w:eastAsia="Palatino Linotype" w:hAnsi="Palatino Linotype" w:cs="Palatino Linotype"/>
          <w:color w:val="000000"/>
        </w:rPr>
        <w:t xml:space="preserve"> </w:t>
      </w:r>
      <w:r w:rsidR="00A05FF8" w:rsidRPr="006D5314">
        <w:rPr>
          <w:rFonts w:ascii="Palatino Linotype" w:eastAsia="Palatino Linotype" w:hAnsi="Palatino Linotype" w:cs="Palatino Linotype"/>
          <w:b/>
          <w:color w:val="000000"/>
        </w:rPr>
        <w:t>veintiséis de junio</w:t>
      </w:r>
      <w:r w:rsidR="00A077F4" w:rsidRPr="006D5314">
        <w:rPr>
          <w:rFonts w:ascii="Palatino Linotype" w:eastAsia="Palatino Linotype" w:hAnsi="Palatino Linotype" w:cs="Palatino Linotype"/>
          <w:b/>
          <w:color w:val="000000"/>
        </w:rPr>
        <w:t xml:space="preserve"> dos mil veinticinco, </w:t>
      </w:r>
      <w:r w:rsidRPr="006D5314">
        <w:rPr>
          <w:rFonts w:ascii="Palatino Linotype" w:eastAsia="Palatino Linotype" w:hAnsi="Palatino Linotype" w:cs="Palatino Linotype"/>
          <w:color w:val="000000"/>
        </w:rPr>
        <w:t>puso</w:t>
      </w:r>
      <w:r w:rsidR="00A077F4" w:rsidRPr="006D5314">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6D5314">
        <w:rPr>
          <w:rFonts w:ascii="Palatino Linotype" w:eastAsia="Palatino Linotype" w:hAnsi="Palatino Linotype" w:cs="Palatino Linotype"/>
        </w:rPr>
        <w:t>manifestara</w:t>
      </w:r>
      <w:r w:rsidR="00A077F4" w:rsidRPr="006D5314">
        <w:rPr>
          <w:rFonts w:ascii="Palatino Linotype" w:eastAsia="Palatino Linotype" w:hAnsi="Palatino Linotype" w:cs="Palatino Linotype"/>
          <w:color w:val="000000"/>
        </w:rPr>
        <w:t xml:space="preserve"> lo que a su derecho conviniera, </w:t>
      </w:r>
      <w:r w:rsidR="00A077F4" w:rsidRPr="006D5314">
        <w:rPr>
          <w:rFonts w:ascii="Palatino Linotype" w:eastAsia="Palatino Linotype" w:hAnsi="Palatino Linotype" w:cs="Palatino Linotype"/>
        </w:rPr>
        <w:t>ofreciera</w:t>
      </w:r>
      <w:r w:rsidR="00A077F4" w:rsidRPr="006D5314">
        <w:rPr>
          <w:rFonts w:ascii="Palatino Linotype" w:eastAsia="Palatino Linotype" w:hAnsi="Palatino Linotype" w:cs="Palatino Linotype"/>
          <w:color w:val="000000"/>
        </w:rPr>
        <w:t xml:space="preserve"> pruebas y alegatos según corresponda al caso concreto, de esta forma para que el </w:t>
      </w:r>
      <w:r w:rsidR="00A077F4" w:rsidRPr="006D5314">
        <w:rPr>
          <w:rFonts w:ascii="Palatino Linotype" w:eastAsia="Palatino Linotype" w:hAnsi="Palatino Linotype" w:cs="Palatino Linotype"/>
          <w:b/>
          <w:color w:val="000000"/>
        </w:rPr>
        <w:t xml:space="preserve">SUJETO OBLIGADO </w:t>
      </w:r>
      <w:r w:rsidR="00A077F4" w:rsidRPr="006D5314">
        <w:rPr>
          <w:rFonts w:ascii="Palatino Linotype" w:eastAsia="Palatino Linotype" w:hAnsi="Palatino Linotype" w:cs="Palatino Linotype"/>
        </w:rPr>
        <w:t>presentara</w:t>
      </w:r>
      <w:r w:rsidR="00A077F4" w:rsidRPr="006D5314">
        <w:rPr>
          <w:rFonts w:ascii="Palatino Linotype" w:eastAsia="Palatino Linotype" w:hAnsi="Palatino Linotype" w:cs="Palatino Linotype"/>
          <w:color w:val="000000"/>
        </w:rPr>
        <w:t xml:space="preserve"> el Informe Justificado procedente.</w:t>
      </w:r>
    </w:p>
    <w:p w:rsidR="004E0AFD" w:rsidRPr="006D5314" w:rsidRDefault="004E0AFD" w:rsidP="004E0AFD">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F23135" w:rsidRPr="006D5314" w:rsidRDefault="004E0AFD"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El Recurrente</w:t>
      </w:r>
      <w:r w:rsidRPr="006D5314">
        <w:rPr>
          <w:rFonts w:ascii="Palatino Linotype" w:eastAsia="Palatino Linotype" w:hAnsi="Palatino Linotype" w:cs="Palatino Linotype"/>
          <w:b/>
          <w:color w:val="000000"/>
        </w:rPr>
        <w:t xml:space="preserve"> </w:t>
      </w:r>
      <w:r w:rsidR="00F23135" w:rsidRPr="006D5314">
        <w:rPr>
          <w:rFonts w:ascii="Palatino Linotype" w:eastAsia="Palatino Linotype" w:hAnsi="Palatino Linotype" w:cs="Palatino Linotype"/>
          <w:b/>
          <w:color w:val="000000"/>
        </w:rPr>
        <w:t>en fecha siete de noviembre de dos mil veinticinco</w:t>
      </w:r>
      <w:r w:rsidR="00F23135" w:rsidRPr="006D5314">
        <w:rPr>
          <w:rFonts w:ascii="Palatino Linotype" w:eastAsia="Palatino Linotype" w:hAnsi="Palatino Linotype" w:cs="Palatino Linotype"/>
          <w:color w:val="000000"/>
        </w:rPr>
        <w:t xml:space="preserve">, adjuntó el archivo denominado </w:t>
      </w:r>
      <w:r w:rsidR="00F23135" w:rsidRPr="006D5314">
        <w:rPr>
          <w:rFonts w:ascii="Palatino Linotype" w:eastAsia="Palatino Linotype" w:hAnsi="Palatino Linotype" w:cs="Palatino Linotype"/>
          <w:b/>
          <w:bCs/>
          <w:i/>
          <w:color w:val="000000"/>
        </w:rPr>
        <w:t>Lineamientos Informes Trimestrales OSFEM 2025.pdf</w:t>
      </w:r>
      <w:r w:rsidR="00F23135" w:rsidRPr="006D5314">
        <w:rPr>
          <w:rFonts w:ascii="Palatino Linotype" w:eastAsia="Palatino Linotype" w:hAnsi="Palatino Linotype" w:cs="Palatino Linotype"/>
          <w:b/>
          <w:bCs/>
          <w:color w:val="000000"/>
        </w:rPr>
        <w:t xml:space="preserve">, </w:t>
      </w:r>
      <w:r w:rsidR="00F23135" w:rsidRPr="006D5314">
        <w:rPr>
          <w:rFonts w:ascii="Palatino Linotype" w:eastAsia="Palatino Linotype" w:hAnsi="Palatino Linotype" w:cs="Palatino Linotype"/>
          <w:bCs/>
          <w:color w:val="000000"/>
        </w:rPr>
        <w:t>archivo que contiene el ACUERDO 7/2025 POR EL QUE SE EMITEN LOS LINEAMIENTOS, FECHAS DE CAPACITACIÓN Y CALENDARIZACIÓN PARA LA INTEGRACIÓN Y PRESENTACIÓN DE LOS INFORMES TRIMESTRALES ESTATALES Y MUNICIPALES DEL EJERCICIO FISCAL 2025, DE LAS ENTIDADES FISCALIZABLES DEL ESTADO DE MÉXICO, manifestando como comentarios “La información solicitada NO se integra a los informes trimestrales del OSFEM, requiriéndose solo la información de los numerales 1, 2 y 3 de la página 46 (45 del pdf) referente a obra como se establece en la gaceta del 01 de abril de 2025”</w:t>
      </w:r>
    </w:p>
    <w:p w:rsidR="00F23135" w:rsidRPr="006D5314" w:rsidRDefault="00F23135" w:rsidP="00F2313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4E0AFD" w:rsidRPr="006D5314" w:rsidRDefault="004E0AFD"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Por su parte, el </w:t>
      </w:r>
      <w:r w:rsidRPr="006D5314">
        <w:rPr>
          <w:rFonts w:ascii="Palatino Linotype" w:eastAsia="Palatino Linotype" w:hAnsi="Palatino Linotype" w:cs="Palatino Linotype"/>
          <w:b/>
          <w:color w:val="000000"/>
        </w:rPr>
        <w:t>Sujeto Obligado</w:t>
      </w:r>
      <w:r w:rsidRPr="006D5314">
        <w:rPr>
          <w:rFonts w:ascii="Palatino Linotype" w:eastAsia="Palatino Linotype" w:hAnsi="Palatino Linotype" w:cs="Palatino Linotype"/>
          <w:color w:val="000000"/>
        </w:rPr>
        <w:t>,</w:t>
      </w:r>
      <w:r w:rsidRPr="006D5314">
        <w:rPr>
          <w:rFonts w:ascii="Palatino Linotype" w:eastAsia="Palatino Linotype" w:hAnsi="Palatino Linotype" w:cs="Palatino Linotype"/>
          <w:b/>
          <w:color w:val="000000"/>
        </w:rPr>
        <w:t xml:space="preserve"> </w:t>
      </w:r>
      <w:r w:rsidR="00F23135" w:rsidRPr="006D5314">
        <w:rPr>
          <w:rFonts w:ascii="Palatino Linotype" w:eastAsia="Palatino Linotype" w:hAnsi="Palatino Linotype" w:cs="Palatino Linotype"/>
          <w:color w:val="000000"/>
        </w:rPr>
        <w:t>fue omiso en rendir</w:t>
      </w:r>
      <w:r w:rsidR="00F26E84" w:rsidRPr="006D5314">
        <w:rPr>
          <w:rFonts w:ascii="Palatino Linotype" w:eastAsia="Palatino Linotype" w:hAnsi="Palatino Linotype" w:cs="Palatino Linotype"/>
          <w:color w:val="000000"/>
        </w:rPr>
        <w:t xml:space="preserve"> </w:t>
      </w:r>
      <w:r w:rsidR="00F26E84" w:rsidRPr="006D5314">
        <w:rPr>
          <w:rFonts w:ascii="Palatino Linotype" w:eastAsia="Palatino Linotype" w:hAnsi="Palatino Linotype" w:cs="Palatino Linotype"/>
          <w:b/>
          <w:color w:val="000000"/>
        </w:rPr>
        <w:t>informe</w:t>
      </w:r>
      <w:r w:rsidR="00BB0B24" w:rsidRPr="006D5314">
        <w:rPr>
          <w:rFonts w:ascii="Palatino Linotype" w:eastAsia="Palatino Linotype" w:hAnsi="Palatino Linotype" w:cs="Palatino Linotype"/>
          <w:b/>
          <w:color w:val="000000"/>
        </w:rPr>
        <w:t xml:space="preserve"> justificado</w:t>
      </w:r>
      <w:r w:rsidR="00F23135" w:rsidRPr="006D5314">
        <w:rPr>
          <w:rFonts w:ascii="Palatino Linotype" w:eastAsia="Palatino Linotype" w:hAnsi="Palatino Linotype" w:cs="Palatino Linotype"/>
          <w:color w:val="000000"/>
        </w:rPr>
        <w:t>.</w:t>
      </w:r>
    </w:p>
    <w:p w:rsidR="00451CF4" w:rsidRPr="006D5314" w:rsidRDefault="00451CF4" w:rsidP="00D22E88">
      <w:pPr>
        <w:pBdr>
          <w:top w:val="nil"/>
          <w:left w:val="nil"/>
          <w:bottom w:val="nil"/>
          <w:right w:val="nil"/>
          <w:between w:val="nil"/>
        </w:pBdr>
        <w:ind w:right="-79"/>
        <w:rPr>
          <w:rFonts w:ascii="Palatino Linotype" w:eastAsia="Palatino Linotype" w:hAnsi="Palatino Linotype" w:cs="Palatino Linotype"/>
          <w:color w:val="000000"/>
        </w:rPr>
      </w:pPr>
    </w:p>
    <w:p w:rsidR="00084793" w:rsidRPr="006D5314" w:rsidRDefault="00084793"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6D5314">
        <w:rPr>
          <w:rFonts w:ascii="Palatino Linotype" w:eastAsia="Palatino Linotype" w:hAnsi="Palatino Linotype" w:cs="Palatino Linotype"/>
          <w:color w:val="000000"/>
        </w:rPr>
        <w:t>En fecha</w:t>
      </w:r>
      <w:r w:rsidRPr="006D5314">
        <w:rPr>
          <w:rFonts w:ascii="Palatino Linotype" w:eastAsia="Palatino Linotype" w:hAnsi="Palatino Linotype" w:cs="Palatino Linotype"/>
          <w:b/>
          <w:color w:val="000000"/>
        </w:rPr>
        <w:t xml:space="preserve"> </w:t>
      </w:r>
      <w:r w:rsidR="004D28FF" w:rsidRPr="006D5314">
        <w:rPr>
          <w:rFonts w:ascii="Palatino Linotype" w:eastAsia="Palatino Linotype" w:hAnsi="Palatino Linotype" w:cs="Palatino Linotype"/>
          <w:b/>
          <w:color w:val="000000"/>
        </w:rPr>
        <w:t>ocho de diciembre</w:t>
      </w:r>
      <w:r w:rsidR="00EB753F" w:rsidRPr="006D5314">
        <w:rPr>
          <w:rFonts w:ascii="Palatino Linotype" w:eastAsia="Palatino Linotype" w:hAnsi="Palatino Linotype" w:cs="Palatino Linotype"/>
          <w:b/>
          <w:color w:val="000000"/>
        </w:rPr>
        <w:t xml:space="preserve"> de</w:t>
      </w:r>
      <w:r w:rsidRPr="006D5314">
        <w:rPr>
          <w:rFonts w:ascii="Palatino Linotype" w:eastAsia="Palatino Linotype" w:hAnsi="Palatino Linotype" w:cs="Palatino Linotype"/>
          <w:b/>
          <w:color w:val="000000"/>
        </w:rPr>
        <w:t xml:space="preserve"> dos mil veinticinco</w:t>
      </w:r>
      <w:r w:rsidRPr="006D5314">
        <w:rPr>
          <w:rFonts w:ascii="Palatino Linotype" w:eastAsia="Palatino Linotype" w:hAnsi="Palatino Linotype" w:cs="Palatino Linotype"/>
          <w:color w:val="000000"/>
        </w:rPr>
        <w:t>, se acordó ampliar el pazo para resolver el presente Recurso de Revisión.</w:t>
      </w:r>
    </w:p>
    <w:p w:rsidR="00084793" w:rsidRPr="006D5314" w:rsidRDefault="00084793" w:rsidP="00084793">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6D5314" w:rsidRDefault="00A077F4"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6D5314">
        <w:rPr>
          <w:rFonts w:ascii="Palatino Linotype" w:eastAsia="Palatino Linotype" w:hAnsi="Palatino Linotype" w:cs="Palatino Linotype"/>
          <w:color w:val="000000"/>
        </w:rPr>
        <w:t xml:space="preserve">Seguidamente, en fecha </w:t>
      </w:r>
      <w:r w:rsidR="004D28FF" w:rsidRPr="006D5314">
        <w:rPr>
          <w:rFonts w:ascii="Palatino Linotype" w:eastAsia="Palatino Linotype" w:hAnsi="Palatino Linotype" w:cs="Palatino Linotype"/>
          <w:b/>
          <w:color w:val="000000"/>
        </w:rPr>
        <w:t>siete de abril de dos mil veintiséis</w:t>
      </w:r>
      <w:r w:rsidRPr="006D5314">
        <w:rPr>
          <w:rFonts w:ascii="Palatino Linotype" w:eastAsia="Palatino Linotype" w:hAnsi="Palatino Linotype" w:cs="Palatino Linotype"/>
          <w:color w:val="000000"/>
        </w:rPr>
        <w:t xml:space="preserve">, la Comisionada Ponente dictó el </w:t>
      </w:r>
      <w:r w:rsidRPr="006D5314">
        <w:rPr>
          <w:rFonts w:ascii="Palatino Linotype" w:eastAsia="Palatino Linotype" w:hAnsi="Palatino Linotype" w:cs="Palatino Linotype"/>
          <w:b/>
          <w:color w:val="000000"/>
        </w:rPr>
        <w:t>cierre del periodo de instrucción</w:t>
      </w:r>
      <w:r w:rsidRPr="006D5314">
        <w:rPr>
          <w:rFonts w:ascii="Palatino Linotype" w:eastAsia="Palatino Linotype" w:hAnsi="Palatino Linotype" w:cs="Palatino Linotype"/>
          <w:color w:val="000000"/>
        </w:rPr>
        <w:t xml:space="preserve"> y, ordenó la resolución</w:t>
      </w:r>
      <w:r w:rsidR="00A42940" w:rsidRPr="006D5314">
        <w:rPr>
          <w:rFonts w:ascii="Palatino Linotype" w:eastAsia="Palatino Linotype" w:hAnsi="Palatino Linotype" w:cs="Palatino Linotype"/>
          <w:color w:val="000000"/>
        </w:rPr>
        <w:t xml:space="preserve"> que conforme a Derecho proceda</w:t>
      </w:r>
      <w:r w:rsidRPr="006D5314">
        <w:rPr>
          <w:rFonts w:ascii="Palatino Linotype" w:eastAsia="Palatino Linotype" w:hAnsi="Palatino Linotype" w:cs="Palatino Linotype"/>
          <w:color w:val="000000"/>
        </w:rPr>
        <w:t>:</w:t>
      </w:r>
      <w:r w:rsidR="006D5314">
        <w:rPr>
          <w:rFonts w:ascii="Palatino Linotype" w:eastAsia="Palatino Linotype" w:hAnsi="Palatino Linotype" w:cs="Palatino Linotype"/>
          <w:color w:val="000000"/>
        </w:rPr>
        <w:t xml:space="preserve"> ---------------------------------------------------------------------------------------------------------------</w:t>
      </w:r>
    </w:p>
    <w:p w:rsidR="00A42940" w:rsidRPr="006D5314" w:rsidRDefault="00A42940" w:rsidP="00A42940">
      <w:pPr>
        <w:keepNext/>
        <w:keepLines/>
        <w:spacing w:line="360" w:lineRule="auto"/>
        <w:jc w:val="center"/>
        <w:rPr>
          <w:rFonts w:ascii="Palatino Linotype" w:eastAsia="Palatino Linotype" w:hAnsi="Palatino Linotype" w:cs="Palatino Linotype"/>
          <w:b/>
        </w:rPr>
      </w:pPr>
      <w:r w:rsidRPr="006D5314">
        <w:rPr>
          <w:rFonts w:ascii="Palatino Linotype" w:eastAsia="Palatino Linotype" w:hAnsi="Palatino Linotype" w:cs="Palatino Linotype"/>
          <w:b/>
        </w:rPr>
        <w:lastRenderedPageBreak/>
        <w:t>C</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O</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N</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S</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I</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D</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E</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R</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A</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N</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D</w:t>
      </w:r>
      <w:r w:rsidR="003C12D7"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 xml:space="preserve">O </w:t>
      </w:r>
    </w:p>
    <w:p w:rsidR="00A42940" w:rsidRPr="006D5314" w:rsidRDefault="00A42940" w:rsidP="00A42940">
      <w:pPr>
        <w:spacing w:line="360" w:lineRule="auto"/>
        <w:rPr>
          <w:rFonts w:ascii="Palatino Linotype" w:eastAsia="Palatino Linotype" w:hAnsi="Palatino Linotype" w:cs="Palatino Linotype"/>
        </w:rPr>
      </w:pPr>
    </w:p>
    <w:p w:rsidR="00A42940" w:rsidRPr="006D5314" w:rsidRDefault="00A42940" w:rsidP="00A42940">
      <w:pPr>
        <w:keepNext/>
        <w:keepLines/>
        <w:spacing w:line="360" w:lineRule="auto"/>
        <w:rPr>
          <w:rFonts w:ascii="Palatino Linotype" w:eastAsia="Palatino Linotype" w:hAnsi="Palatino Linotype" w:cs="Palatino Linotype"/>
          <w:b/>
        </w:rPr>
      </w:pPr>
      <w:r w:rsidRPr="006D5314">
        <w:rPr>
          <w:rFonts w:ascii="Palatino Linotype" w:eastAsia="Palatino Linotype" w:hAnsi="Palatino Linotype" w:cs="Palatino Linotype"/>
          <w:b/>
        </w:rPr>
        <w:t>PRIMERO. De la competencia</w:t>
      </w:r>
    </w:p>
    <w:p w:rsidR="007B3AE5" w:rsidRPr="006D5314" w:rsidRDefault="007B3AE5"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6D5314" w:rsidRDefault="00A42940" w:rsidP="00A42940">
      <w:pPr>
        <w:tabs>
          <w:tab w:val="left" w:pos="426"/>
        </w:tabs>
        <w:spacing w:line="360" w:lineRule="auto"/>
        <w:jc w:val="both"/>
        <w:rPr>
          <w:rFonts w:ascii="Palatino Linotype" w:eastAsia="Palatino Linotype" w:hAnsi="Palatino Linotype" w:cs="Palatino Linotype"/>
          <w:color w:val="000000"/>
        </w:rPr>
      </w:pPr>
    </w:p>
    <w:p w:rsidR="00A42940" w:rsidRPr="006D5314" w:rsidRDefault="009172CA" w:rsidP="00A42940">
      <w:pPr>
        <w:keepNext/>
        <w:keepLines/>
        <w:spacing w:line="360" w:lineRule="auto"/>
        <w:rPr>
          <w:rFonts w:ascii="Palatino Linotype" w:eastAsia="Palatino Linotype" w:hAnsi="Palatino Linotype" w:cs="Palatino Linotype"/>
          <w:b/>
        </w:rPr>
      </w:pPr>
      <w:r w:rsidRPr="006D5314">
        <w:rPr>
          <w:rFonts w:ascii="Palatino Linotype" w:eastAsia="Palatino Linotype" w:hAnsi="Palatino Linotype" w:cs="Palatino Linotype"/>
          <w:b/>
        </w:rPr>
        <w:t xml:space="preserve">SEGUNDO. De la oportunidad, procedencia </w:t>
      </w:r>
      <w:r w:rsidRPr="006D5314">
        <w:rPr>
          <w:rFonts w:ascii="Palatino Linotype" w:eastAsia="Palatino Linotype" w:hAnsi="Palatino Linotype" w:cs="Palatino Linotype"/>
          <w:b/>
          <w:color w:val="000000"/>
        </w:rPr>
        <w:t>y especial pronunciamiento.</w:t>
      </w:r>
    </w:p>
    <w:p w:rsidR="00A42940" w:rsidRPr="006D5314" w:rsidRDefault="00A42940" w:rsidP="00BA646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El medio de impugnación fue presentado a través del </w:t>
      </w:r>
      <w:r w:rsidRPr="006D5314">
        <w:rPr>
          <w:rFonts w:ascii="Palatino Linotype" w:eastAsia="Palatino Linotype" w:hAnsi="Palatino Linotype" w:cs="Palatino Linotype"/>
          <w:b/>
        </w:rPr>
        <w:t>SAIMEX,</w:t>
      </w:r>
      <w:r w:rsidRPr="006D5314">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6D5314">
        <w:rPr>
          <w:rFonts w:ascii="Palatino Linotype" w:eastAsia="Palatino Linotype" w:hAnsi="Palatino Linotype" w:cs="Palatino Linotype"/>
          <w:b/>
        </w:rPr>
        <w:t>SUJETO OBLIGADO</w:t>
      </w:r>
      <w:r w:rsidRPr="006D5314">
        <w:rPr>
          <w:rFonts w:ascii="Palatino Linotype" w:eastAsia="Palatino Linotype" w:hAnsi="Palatino Linotype" w:cs="Palatino Linotype"/>
        </w:rPr>
        <w:t xml:space="preserve"> entregó respuesta el </w:t>
      </w:r>
      <w:r w:rsidR="009172CA" w:rsidRPr="006D5314">
        <w:rPr>
          <w:rFonts w:ascii="Palatino Linotype" w:eastAsia="Palatino Linotype" w:hAnsi="Palatino Linotype" w:cs="Palatino Linotype"/>
          <w:b/>
        </w:rPr>
        <w:t>veintidós de octubre</w:t>
      </w:r>
      <w:r w:rsidR="00D02866"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b/>
        </w:rPr>
        <w:t>de dos mil veinticinco</w:t>
      </w:r>
      <w:r w:rsidRPr="006D5314">
        <w:rPr>
          <w:rFonts w:ascii="Palatino Linotype" w:eastAsia="Palatino Linotype" w:hAnsi="Palatino Linotype" w:cs="Palatino Linotype"/>
        </w:rPr>
        <w:t xml:space="preserve">, de tal forma que el plazo para interponer el recurso transcurrió del </w:t>
      </w:r>
      <w:r w:rsidR="009172CA" w:rsidRPr="006D5314">
        <w:rPr>
          <w:rFonts w:ascii="Palatino Linotype" w:eastAsia="Palatino Linotype" w:hAnsi="Palatino Linotype" w:cs="Palatino Linotype"/>
          <w:b/>
        </w:rPr>
        <w:t>veintitrés de octubre al doce de noviembre</w:t>
      </w:r>
      <w:r w:rsidRPr="006D5314">
        <w:rPr>
          <w:rFonts w:ascii="Palatino Linotype" w:eastAsia="Palatino Linotype" w:hAnsi="Palatino Linotype" w:cs="Palatino Linotype"/>
          <w:b/>
        </w:rPr>
        <w:t xml:space="preserve"> dos mil veinticinco, </w:t>
      </w:r>
      <w:r w:rsidRPr="006D5314">
        <w:rPr>
          <w:rFonts w:ascii="Palatino Linotype" w:eastAsia="Palatino Linotype" w:hAnsi="Palatino Linotype" w:cs="Palatino Linotype"/>
        </w:rPr>
        <w:t xml:space="preserve">en consecuencia, si el </w:t>
      </w:r>
      <w:r w:rsidRPr="006D5314">
        <w:rPr>
          <w:rFonts w:ascii="Palatino Linotype" w:eastAsia="Palatino Linotype" w:hAnsi="Palatino Linotype" w:cs="Palatino Linotype"/>
          <w:b/>
        </w:rPr>
        <w:t>PARTICULAR</w:t>
      </w:r>
      <w:r w:rsidRPr="006D5314">
        <w:rPr>
          <w:rFonts w:ascii="Palatino Linotype" w:eastAsia="Palatino Linotype" w:hAnsi="Palatino Linotype" w:cs="Palatino Linotype"/>
        </w:rPr>
        <w:t xml:space="preserve"> presentó su inconformidad el </w:t>
      </w:r>
      <w:r w:rsidR="009172CA" w:rsidRPr="006D5314">
        <w:rPr>
          <w:rFonts w:ascii="Palatino Linotype" w:eastAsia="Palatino Linotype" w:hAnsi="Palatino Linotype" w:cs="Palatino Linotype"/>
          <w:b/>
        </w:rPr>
        <w:t>veintidós de octubre</w:t>
      </w:r>
      <w:r w:rsidRPr="006D5314">
        <w:rPr>
          <w:rFonts w:ascii="Palatino Linotype" w:eastAsia="Palatino Linotype" w:hAnsi="Palatino Linotype" w:cs="Palatino Linotype"/>
          <w:b/>
        </w:rPr>
        <w:t xml:space="preserve"> de dos mil veinticinco</w:t>
      </w:r>
      <w:r w:rsidRPr="006D5314">
        <w:rPr>
          <w:rFonts w:ascii="Palatino Linotype" w:eastAsia="Palatino Linotype" w:hAnsi="Palatino Linotype" w:cs="Palatino Linotype"/>
        </w:rPr>
        <w:t xml:space="preserve">, este  se encuentra dentro de los márgenes temporales previstos en el artículo 178 de la </w:t>
      </w:r>
      <w:r w:rsidRPr="006D5314">
        <w:rPr>
          <w:rFonts w:ascii="Palatino Linotype" w:eastAsia="Palatino Linotype" w:hAnsi="Palatino Linotype" w:cs="Palatino Linotype"/>
          <w:b/>
        </w:rPr>
        <w:t xml:space="preserve">Ley de Transparencia y Acceso a la Información Pública del Estado de México y Municipios </w:t>
      </w:r>
      <w:r w:rsidRPr="006D5314">
        <w:rPr>
          <w:rFonts w:ascii="Palatino Linotype" w:eastAsia="Palatino Linotype" w:hAnsi="Palatino Linotype" w:cs="Palatino Linotype"/>
        </w:rPr>
        <w:t xml:space="preserve">vigente. </w:t>
      </w:r>
    </w:p>
    <w:p w:rsidR="009172CA" w:rsidRPr="006D5314" w:rsidRDefault="009172CA" w:rsidP="009172CA">
      <w:pPr>
        <w:numPr>
          <w:ilvl w:val="0"/>
          <w:numId w:val="2"/>
        </w:numPr>
        <w:pBdr>
          <w:top w:val="nil"/>
          <w:left w:val="nil"/>
          <w:bottom w:val="nil"/>
          <w:right w:val="nil"/>
          <w:between w:val="nil"/>
        </w:pBdr>
        <w:spacing w:line="360" w:lineRule="auto"/>
        <w:ind w:left="0" w:right="-787" w:firstLine="0"/>
        <w:jc w:val="both"/>
      </w:pPr>
      <w:r w:rsidRPr="006D5314">
        <w:rPr>
          <w:rFonts w:ascii="Palatino Linotype" w:eastAsia="Palatino Linotype" w:hAnsi="Palatino Linotype" w:cs="Palatino Linotype"/>
        </w:rPr>
        <w:lastRenderedPageBreak/>
        <w:t>Por otro lado, el escrito contiene las formalidades previstas por el artículo 180, último párrafo, de la citada Ley de la materia, por lo que es procedente que este Instituto conozca y resuelva el presente recurso.</w:t>
      </w:r>
    </w:p>
    <w:p w:rsidR="009172CA" w:rsidRPr="006D5314" w:rsidRDefault="009172CA" w:rsidP="009172CA">
      <w:pPr>
        <w:rPr>
          <w:rFonts w:ascii="Palatino Linotype" w:eastAsia="Palatino Linotype" w:hAnsi="Palatino Linotype" w:cs="Palatino Linotype"/>
          <w:b/>
          <w:color w:val="000000"/>
        </w:rPr>
      </w:pPr>
    </w:p>
    <w:p w:rsidR="009172CA" w:rsidRPr="006D5314" w:rsidRDefault="009172CA" w:rsidP="009172CA">
      <w:pPr>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De la prorroga indebida</w:t>
      </w:r>
    </w:p>
    <w:p w:rsidR="009172CA" w:rsidRPr="006D5314" w:rsidRDefault="009172CA"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6D5314">
        <w:rPr>
          <w:rFonts w:ascii="Palatino Linotype" w:eastAsia="Palatino Linotype" w:hAnsi="Palatino Linotype" w:cs="Palatino Linotype"/>
        </w:rPr>
        <w:t>Es menester señalar que</w:t>
      </w:r>
      <w:r w:rsidRPr="006D5314">
        <w:rPr>
          <w:rFonts w:ascii="Palatino Linotype" w:eastAsia="Palatino Linotype" w:hAnsi="Palatino Linotype" w:cs="Palatino Linotype"/>
          <w:color w:val="222222"/>
        </w:rPr>
        <w:t xml:space="preserve"> el </w:t>
      </w:r>
      <w:r w:rsidRPr="006D5314">
        <w:rPr>
          <w:rFonts w:ascii="Palatino Linotype" w:eastAsia="Palatino Linotype" w:hAnsi="Palatino Linotype" w:cs="Palatino Linotype"/>
          <w:b/>
          <w:color w:val="222222"/>
        </w:rPr>
        <w:t>SUJETO OBLIGADO</w:t>
      </w:r>
      <w:r w:rsidRPr="006D5314">
        <w:rPr>
          <w:rFonts w:ascii="Palatino Linotype" w:eastAsia="Palatino Linotype" w:hAnsi="Palatino Linotype" w:cs="Palatino Linotype"/>
          <w:color w:val="222222"/>
        </w:rPr>
        <w:t> solicitó una prórroga que resulta</w:t>
      </w:r>
      <w:r w:rsidRPr="006D5314">
        <w:rPr>
          <w:rFonts w:ascii="Palatino Linotype" w:eastAsia="Palatino Linotype" w:hAnsi="Palatino Linotype" w:cs="Palatino Linotype"/>
          <w:b/>
          <w:i/>
          <w:color w:val="222222"/>
        </w:rPr>
        <w:t xml:space="preserve"> </w:t>
      </w:r>
      <w:r w:rsidRPr="006D5314">
        <w:rPr>
          <w:rFonts w:ascii="Palatino Linotype" w:eastAsia="Palatino Linotype" w:hAnsi="Palatino Linotype" w:cs="Palatino Linotype"/>
          <w:color w:val="000000"/>
        </w:rPr>
        <w:t xml:space="preserve">indebida, infundada </w:t>
      </w:r>
      <w:r w:rsidRPr="006D5314">
        <w:rPr>
          <w:rFonts w:ascii="Palatino Linotype" w:eastAsia="Palatino Linotype" w:hAnsi="Palatino Linotype" w:cs="Palatino Linotype"/>
          <w:color w:val="222222"/>
        </w:rPr>
        <w:t>y con falta de motivación, que si bien, fue otorgada, carece de toda validez; toda vez que el artículo 163 de la ley de la materia señala lo siguiente:</w:t>
      </w:r>
    </w:p>
    <w:p w:rsidR="009172CA" w:rsidRPr="006D5314" w:rsidRDefault="009172CA" w:rsidP="009172CA">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6D5314">
        <w:rPr>
          <w:rFonts w:ascii="Palatino Linotype" w:eastAsia="Palatino Linotype" w:hAnsi="Palatino Linotype" w:cs="Palatino Linotype"/>
          <w:b/>
          <w:i/>
          <w:color w:val="222222"/>
        </w:rPr>
        <w:t>Artículo 163. </w:t>
      </w:r>
      <w:r w:rsidRPr="006D5314">
        <w:rPr>
          <w:rFonts w:ascii="Palatino Linotype" w:eastAsia="Palatino Linotype" w:hAnsi="Palatino Linotype" w:cs="Palatino Linotype"/>
          <w:i/>
          <w:color w:val="222222"/>
        </w:rPr>
        <w:t>La Unidad de Transparencia deberá notificar la respuesta a la solicitud al interesado en el menor tiempo posible, que no podrá exceder de quince días hábiles, contados a partir del día siguiente a la presentación de aquélla.</w:t>
      </w:r>
    </w:p>
    <w:p w:rsidR="009172CA" w:rsidRPr="006D5314" w:rsidRDefault="009172CA" w:rsidP="009172CA">
      <w:pPr>
        <w:pBdr>
          <w:top w:val="nil"/>
          <w:left w:val="nil"/>
          <w:bottom w:val="nil"/>
          <w:right w:val="nil"/>
          <w:between w:val="nil"/>
        </w:pBdr>
        <w:ind w:left="709" w:right="900"/>
        <w:jc w:val="both"/>
        <w:rPr>
          <w:rFonts w:ascii="Palatino Linotype" w:eastAsia="Palatino Linotype" w:hAnsi="Palatino Linotype" w:cs="Palatino Linotype"/>
          <w:color w:val="222222"/>
        </w:rPr>
      </w:pPr>
    </w:p>
    <w:p w:rsidR="009172CA" w:rsidRPr="006D5314" w:rsidRDefault="009172CA" w:rsidP="009172CA">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6D5314">
        <w:rPr>
          <w:rFonts w:ascii="Palatino Linotype" w:eastAsia="Palatino Linotype" w:hAnsi="Palatino Linotype" w:cs="Palatino Linotype"/>
          <w:i/>
          <w:color w:val="2222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172CA" w:rsidRPr="006D5314" w:rsidRDefault="009172CA" w:rsidP="009172CA">
      <w:pPr>
        <w:pBdr>
          <w:top w:val="nil"/>
          <w:left w:val="nil"/>
          <w:bottom w:val="nil"/>
          <w:right w:val="nil"/>
          <w:between w:val="nil"/>
        </w:pBdr>
        <w:ind w:left="709" w:right="900"/>
        <w:jc w:val="both"/>
        <w:rPr>
          <w:rFonts w:ascii="Palatino Linotype" w:eastAsia="Palatino Linotype" w:hAnsi="Palatino Linotype" w:cs="Palatino Linotype"/>
          <w:i/>
          <w:color w:val="222222"/>
        </w:rPr>
      </w:pPr>
    </w:p>
    <w:p w:rsidR="009172CA" w:rsidRPr="006D5314" w:rsidRDefault="009172CA"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222222"/>
        </w:rPr>
      </w:pPr>
      <w:r w:rsidRPr="006D5314">
        <w:rPr>
          <w:rFonts w:ascii="Palatino Linotype" w:eastAsia="Palatino Linotype" w:hAnsi="Palatino Linotype" w:cs="Palatino Linotype"/>
          <w:color w:val="222222"/>
        </w:rPr>
        <w:t xml:space="preserve">Solo en aquellos </w:t>
      </w:r>
      <w:r w:rsidRPr="006D5314">
        <w:rPr>
          <w:rFonts w:ascii="Palatino Linotype" w:eastAsia="Palatino Linotype" w:hAnsi="Palatino Linotype" w:cs="Palatino Linotype"/>
          <w:b/>
          <w:color w:val="222222"/>
        </w:rPr>
        <w:t>casos excepcionales</w:t>
      </w:r>
      <w:r w:rsidRPr="006D5314">
        <w:rPr>
          <w:rFonts w:ascii="Palatino Linotype" w:eastAsia="Palatino Linotype" w:hAnsi="Palatino Linotype" w:cs="Palatino Linotype"/>
          <w:color w:val="222222"/>
        </w:rPr>
        <w:t xml:space="preserve"> el </w:t>
      </w:r>
      <w:r w:rsidRPr="006D5314">
        <w:rPr>
          <w:rFonts w:ascii="Palatino Linotype" w:eastAsia="Palatino Linotype" w:hAnsi="Palatino Linotype" w:cs="Palatino Linotype"/>
          <w:b/>
          <w:color w:val="222222"/>
        </w:rPr>
        <w:t xml:space="preserve">SUJETO OBLIGADO </w:t>
      </w:r>
      <w:r w:rsidRPr="006D5314">
        <w:rPr>
          <w:rFonts w:ascii="Palatino Linotype" w:eastAsia="Palatino Linotype" w:hAnsi="Palatino Linotype" w:cs="Palatino Linotype"/>
          <w:color w:val="222222"/>
        </w:rPr>
        <w:t xml:space="preserve">podrá solicitar se amplíe el termino de quince días para proporcionar respuesta a cualquier solicitud de </w:t>
      </w:r>
      <w:r w:rsidRPr="006D5314">
        <w:rPr>
          <w:rFonts w:ascii="Palatino Linotype" w:eastAsia="Palatino Linotype" w:hAnsi="Palatino Linotype" w:cs="Palatino Linotype"/>
          <w:color w:val="000000"/>
        </w:rPr>
        <w:t>información</w:t>
      </w:r>
      <w:r w:rsidRPr="006D5314">
        <w:rPr>
          <w:rFonts w:ascii="Palatino Linotype" w:eastAsia="Palatino Linotype" w:hAnsi="Palatino Linotype" w:cs="Palatino Linotype"/>
          <w:color w:val="222222"/>
        </w:rPr>
        <w:t xml:space="preserve">, plazo que podrá ser prorrogado por otros siete días más, siempre y cuando medien razones que justifiquen la ampliación, las cuales deberán estar </w:t>
      </w:r>
      <w:r w:rsidRPr="006D5314">
        <w:rPr>
          <w:rFonts w:ascii="Palatino Linotype" w:eastAsia="Palatino Linotype" w:hAnsi="Palatino Linotype" w:cs="Palatino Linotype"/>
          <w:b/>
          <w:color w:val="222222"/>
          <w:u w:val="single"/>
        </w:rPr>
        <w:t>fundadas y motivadas</w:t>
      </w:r>
      <w:r w:rsidRPr="006D5314">
        <w:rPr>
          <w:rFonts w:ascii="Palatino Linotype" w:eastAsia="Palatino Linotype" w:hAnsi="Palatino Linotype" w:cs="Palatino Linotype"/>
          <w:color w:val="222222"/>
        </w:rPr>
        <w:t xml:space="preserve">,  mismas que </w:t>
      </w:r>
      <w:r w:rsidRPr="006D5314">
        <w:rPr>
          <w:rFonts w:ascii="Palatino Linotype" w:eastAsia="Palatino Linotype" w:hAnsi="Palatino Linotype" w:cs="Palatino Linotype"/>
          <w:b/>
          <w:color w:val="222222"/>
        </w:rPr>
        <w:t xml:space="preserve">deberán ser aprobadas por los integrantes de su Comité de Transparencia mediante la emisión de una resolución </w:t>
      </w:r>
      <w:r w:rsidRPr="006D5314">
        <w:rPr>
          <w:rFonts w:ascii="Palatino Linotype" w:eastAsia="Palatino Linotype" w:hAnsi="Palatino Linotype" w:cs="Palatino Linotype"/>
          <w:color w:val="222222"/>
        </w:rPr>
        <w:t xml:space="preserve">que deberá notificarse al solicitante. Situación que, en el caso concreto, evidentemente no ocurrió </w:t>
      </w:r>
    </w:p>
    <w:p w:rsidR="009172CA" w:rsidRPr="006D5314" w:rsidRDefault="009172CA" w:rsidP="009172CA">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rsidR="009172CA" w:rsidRPr="006D5314" w:rsidRDefault="009172CA"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6D5314">
        <w:rPr>
          <w:rFonts w:ascii="Palatino Linotype" w:eastAsia="Palatino Linotype" w:hAnsi="Palatino Linotype" w:cs="Palatino Linotype"/>
          <w:color w:val="222222"/>
        </w:rPr>
        <w:lastRenderedPageBreak/>
        <w:t xml:space="preserve">Lo anterior implica una alta responsabilidad, toda vez que dicha prórroga deberá recaer en un documento, debidamente </w:t>
      </w:r>
      <w:r w:rsidRPr="006D5314">
        <w:rPr>
          <w:rFonts w:ascii="Palatino Linotype" w:eastAsia="Palatino Linotype" w:hAnsi="Palatino Linotype" w:cs="Palatino Linotype"/>
          <w:b/>
          <w:color w:val="222222"/>
        </w:rPr>
        <w:t>validado y firmado</w:t>
      </w:r>
      <w:r w:rsidRPr="006D5314">
        <w:rPr>
          <w:rFonts w:ascii="Palatino Linotype" w:eastAsia="Palatino Linotype" w:hAnsi="Palatino Linotype" w:cs="Palatino Linotype"/>
          <w:color w:val="222222"/>
        </w:rPr>
        <w:t xml:space="preserve"> por los integrantes del Comité, lo cual obviamente no ocurrió en la prorroga emitida por el </w:t>
      </w:r>
      <w:r w:rsidRPr="006D5314">
        <w:rPr>
          <w:rFonts w:ascii="Palatino Linotype" w:eastAsia="Palatino Linotype" w:hAnsi="Palatino Linotype" w:cs="Palatino Linotype"/>
          <w:b/>
          <w:color w:val="222222"/>
        </w:rPr>
        <w:t>Ayuntamiento de Jiquipilco</w:t>
      </w:r>
      <w:r w:rsidRPr="006D5314">
        <w:rPr>
          <w:rFonts w:ascii="Palatino Linotype" w:eastAsia="Palatino Linotype" w:hAnsi="Palatino Linotype" w:cs="Palatino Linotype"/>
          <w:color w:val="222222"/>
        </w:rPr>
        <w:t>, toda vez que en la prórroga requerida, no se señalan de por medio razones fundadas y motivadas, así como tampoco se emitió un acuerdo del Comité de Transparencia, que se debió notificar al solicitante, violentando lo dispuesto en el artículo 163 de la Ley de Transparencia y Acceso a la Información Pública del Estado de México y Municipios</w:t>
      </w:r>
      <w:r w:rsidRPr="006D5314">
        <w:rPr>
          <w:rFonts w:ascii="Palatino Linotype" w:eastAsia="Palatino Linotype" w:hAnsi="Palatino Linotype" w:cs="Palatino Linotype"/>
          <w:i/>
          <w:color w:val="222222"/>
        </w:rPr>
        <w:t>.</w:t>
      </w:r>
    </w:p>
    <w:p w:rsidR="00524D11" w:rsidRPr="006D5314" w:rsidRDefault="00524D11" w:rsidP="00524D11">
      <w:pPr>
        <w:pBdr>
          <w:top w:val="nil"/>
          <w:left w:val="nil"/>
          <w:bottom w:val="nil"/>
          <w:right w:val="nil"/>
          <w:between w:val="nil"/>
        </w:pBdr>
        <w:spacing w:line="360" w:lineRule="auto"/>
        <w:ind w:right="-787"/>
        <w:jc w:val="both"/>
        <w:rPr>
          <w:rFonts w:ascii="Palatino Linotype" w:eastAsia="Palatino Linotype" w:hAnsi="Palatino Linotype" w:cs="Palatino Linotype"/>
          <w:color w:val="222222"/>
        </w:rPr>
      </w:pPr>
    </w:p>
    <w:p w:rsidR="00524D11" w:rsidRPr="006D5314" w:rsidRDefault="00524D11" w:rsidP="009172CA">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222222"/>
        </w:rPr>
      </w:pPr>
      <w:r w:rsidRPr="006D5314">
        <w:rPr>
          <w:rFonts w:ascii="Palatino Linotype" w:eastAsia="Palatino Linotype" w:hAnsi="Palatino Linotype" w:cs="Palatino Linotype"/>
          <w:color w:val="222222"/>
        </w:rPr>
        <w:t>En razón de ello, se exhorta al Sujeto Obligado acatar las formalidades establecidas en la norma, conforme a los argumentos expuestos en los párrafos anteriores.</w:t>
      </w:r>
    </w:p>
    <w:p w:rsidR="00A42940" w:rsidRPr="006D5314" w:rsidRDefault="00A42940" w:rsidP="00A42940">
      <w:pPr>
        <w:spacing w:line="360" w:lineRule="auto"/>
        <w:ind w:right="49"/>
        <w:jc w:val="both"/>
        <w:rPr>
          <w:rFonts w:ascii="Palatino Linotype" w:eastAsia="Palatino Linotype" w:hAnsi="Palatino Linotype" w:cs="Palatino Linotype"/>
        </w:rPr>
      </w:pPr>
      <w:bookmarkStart w:id="5" w:name="_heading=h.2et92p0" w:colFirst="0" w:colLast="0"/>
      <w:bookmarkEnd w:id="5"/>
    </w:p>
    <w:p w:rsidR="00A42940" w:rsidRPr="006D5314" w:rsidRDefault="00A42940" w:rsidP="00A42940">
      <w:pPr>
        <w:pStyle w:val="Ttulo2"/>
        <w:rPr>
          <w:rFonts w:ascii="Palatino Linotype" w:eastAsia="Palatino Linotype" w:hAnsi="Palatino Linotype" w:cs="Palatino Linotype"/>
          <w:b/>
          <w:i/>
          <w:color w:val="000000"/>
          <w:sz w:val="24"/>
          <w:szCs w:val="24"/>
        </w:rPr>
      </w:pPr>
      <w:r w:rsidRPr="006D5314">
        <w:rPr>
          <w:rFonts w:ascii="Palatino Linotype" w:eastAsia="Palatino Linotype" w:hAnsi="Palatino Linotype" w:cs="Palatino Linotype"/>
          <w:b/>
          <w:color w:val="000000"/>
          <w:sz w:val="24"/>
          <w:szCs w:val="24"/>
        </w:rPr>
        <w:t xml:space="preserve">TERCERO. Del planteamiento de la </w:t>
      </w:r>
      <w:r w:rsidRPr="006D5314">
        <w:rPr>
          <w:rFonts w:ascii="Palatino Linotype" w:eastAsia="Palatino Linotype" w:hAnsi="Palatino Linotype" w:cs="Palatino Linotype"/>
          <w:b/>
          <w:i/>
          <w:color w:val="000000"/>
          <w:sz w:val="24"/>
          <w:szCs w:val="24"/>
        </w:rPr>
        <w:t>Litis.</w:t>
      </w:r>
    </w:p>
    <w:p w:rsidR="002B7A1B" w:rsidRPr="006D5314" w:rsidRDefault="002B7A1B" w:rsidP="009037EC">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Se solicitó tener acceso, a la información que a continuación se simplifica:</w:t>
      </w:r>
    </w:p>
    <w:p w:rsidR="00277CA1" w:rsidRPr="006D5314" w:rsidRDefault="0058583E" w:rsidP="00AD3503">
      <w:pPr>
        <w:pStyle w:val="Prrafodelista"/>
        <w:numPr>
          <w:ilvl w:val="0"/>
          <w:numId w:val="5"/>
        </w:numPr>
        <w:ind w:left="993"/>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 xml:space="preserve"> </w:t>
      </w:r>
      <w:r w:rsidR="0046023D" w:rsidRPr="006D5314">
        <w:rPr>
          <w:rFonts w:ascii="Palatino Linotype" w:eastAsia="Palatino Linotype" w:hAnsi="Palatino Linotype" w:cs="Palatino Linotype"/>
          <w:i/>
          <w:color w:val="000000"/>
        </w:rPr>
        <w:t>Documentación que dé cuenta del procedimiento de licitación de las obras a las que se dio arranque el 19 de septiembre de 2025: La Nopalera, Loma Hidalgo Manzana Cuarta y Manzana Cuarta de Cabecera Municipal.</w:t>
      </w:r>
    </w:p>
    <w:p w:rsidR="00E20333" w:rsidRPr="006D5314" w:rsidRDefault="00E20333" w:rsidP="00E20333">
      <w:pPr>
        <w:pStyle w:val="Prrafodelista"/>
        <w:ind w:left="1440" w:right="-788"/>
        <w:jc w:val="both"/>
        <w:rPr>
          <w:rFonts w:ascii="Palatino Linotype" w:eastAsia="Palatino Linotype" w:hAnsi="Palatino Linotype" w:cs="Palatino Linotype"/>
        </w:rPr>
      </w:pPr>
    </w:p>
    <w:p w:rsidR="002B7A1B" w:rsidRPr="006D5314" w:rsidRDefault="002B7A1B" w:rsidP="00BA6467">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rPr>
        <w:t>En respuesta, el Sujeto Obligado</w:t>
      </w:r>
      <w:r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rPr>
        <w:t xml:space="preserve">remitió </w:t>
      </w:r>
      <w:r w:rsidR="00FA778F" w:rsidRPr="006D5314">
        <w:rPr>
          <w:rFonts w:ascii="Palatino Linotype" w:eastAsia="Palatino Linotype" w:hAnsi="Palatino Linotype" w:cs="Palatino Linotype"/>
        </w:rPr>
        <w:t xml:space="preserve">el archivo </w:t>
      </w:r>
      <w:r w:rsidRPr="006D5314">
        <w:rPr>
          <w:rFonts w:ascii="Palatino Linotype" w:eastAsia="Palatino Linotype" w:hAnsi="Palatino Linotype" w:cs="Palatino Linotype"/>
        </w:rPr>
        <w:t>ya de</w:t>
      </w:r>
      <w:r w:rsidR="00CA3E32" w:rsidRPr="006D5314">
        <w:rPr>
          <w:rFonts w:ascii="Palatino Linotype" w:eastAsia="Palatino Linotype" w:hAnsi="Palatino Linotype" w:cs="Palatino Linotype"/>
        </w:rPr>
        <w:t>scritos en el anterior párrafo 3</w:t>
      </w:r>
      <w:r w:rsidRPr="006D5314">
        <w:rPr>
          <w:rFonts w:ascii="Palatino Linotype" w:eastAsia="Palatino Linotype" w:hAnsi="Palatino Linotype" w:cs="Palatino Linotype"/>
        </w:rPr>
        <w:t>, inconforme con la</w:t>
      </w:r>
      <w:r w:rsidR="00FA778F" w:rsidRPr="006D5314">
        <w:rPr>
          <w:rFonts w:ascii="Palatino Linotype" w:eastAsia="Palatino Linotype" w:hAnsi="Palatino Linotype" w:cs="Palatino Linotype"/>
        </w:rPr>
        <w:t xml:space="preserve"> respuesta</w:t>
      </w:r>
      <w:r w:rsidRPr="006D5314">
        <w:rPr>
          <w:rFonts w:ascii="Palatino Linotype" w:eastAsia="Palatino Linotype" w:hAnsi="Palatino Linotype" w:cs="Palatino Linotype"/>
        </w:rPr>
        <w:t xml:space="preserve">, se interpuso recurso de revisión argumentando sustancialmente </w:t>
      </w:r>
      <w:r w:rsidR="00B56CC3" w:rsidRPr="006D5314">
        <w:rPr>
          <w:rFonts w:ascii="Palatino Linotype" w:eastAsia="Palatino Linotype" w:hAnsi="Palatino Linotype" w:cs="Palatino Linotype"/>
        </w:rPr>
        <w:t xml:space="preserve">la </w:t>
      </w:r>
      <w:r w:rsidR="003B6848" w:rsidRPr="006D5314">
        <w:rPr>
          <w:rFonts w:ascii="Palatino Linotype" w:eastAsia="Palatino Linotype" w:hAnsi="Palatino Linotype" w:cs="Palatino Linotype"/>
        </w:rPr>
        <w:t>negativa a la información solicitada</w:t>
      </w:r>
      <w:r w:rsidRPr="006D5314">
        <w:rPr>
          <w:rFonts w:ascii="Palatino Linotype" w:eastAsia="Palatino Linotype" w:hAnsi="Palatino Linotype" w:cs="Palatino Linotype"/>
        </w:rPr>
        <w:t>.</w:t>
      </w:r>
    </w:p>
    <w:p w:rsidR="002B7A1B" w:rsidRPr="006D5314" w:rsidRDefault="002B7A1B" w:rsidP="002B7A1B">
      <w:pPr>
        <w:ind w:left="720" w:right="-788"/>
        <w:contextualSpacing/>
        <w:jc w:val="both"/>
        <w:rPr>
          <w:rFonts w:ascii="Palatino Linotype" w:eastAsia="Palatino Linotype" w:hAnsi="Palatino Linotype" w:cs="Palatino Linotype"/>
          <w:i/>
          <w:color w:val="000000"/>
        </w:rPr>
      </w:pPr>
    </w:p>
    <w:p w:rsidR="002B7A1B" w:rsidRPr="006D5314" w:rsidRDefault="002B7A1B" w:rsidP="00A52F82">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En dichas condiciones, la controversia a resolver en el presente proveído, corresponde a determinar si se actualiza la </w:t>
      </w:r>
      <w:r w:rsidRPr="006D5314">
        <w:rPr>
          <w:rFonts w:ascii="Palatino Linotype" w:eastAsia="Palatino Linotype" w:hAnsi="Palatino Linotype" w:cs="Palatino Linotype"/>
          <w:b/>
        </w:rPr>
        <w:t>causal de procedencia</w:t>
      </w:r>
      <w:r w:rsidRPr="006D5314">
        <w:rPr>
          <w:rFonts w:ascii="Palatino Linotype" w:eastAsia="Palatino Linotype" w:hAnsi="Palatino Linotype" w:cs="Palatino Linotype"/>
        </w:rPr>
        <w:t xml:space="preserve"> prevista en el </w:t>
      </w:r>
      <w:r w:rsidRPr="006D5314">
        <w:rPr>
          <w:rFonts w:ascii="Palatino Linotype" w:eastAsia="Palatino Linotype" w:hAnsi="Palatino Linotype" w:cs="Palatino Linotype"/>
          <w:b/>
        </w:rPr>
        <w:t xml:space="preserve">artículo 179, </w:t>
      </w:r>
      <w:r w:rsidR="00006F1B" w:rsidRPr="006D5314">
        <w:rPr>
          <w:rFonts w:ascii="Palatino Linotype" w:eastAsia="Palatino Linotype" w:hAnsi="Palatino Linotype" w:cs="Palatino Linotype"/>
          <w:b/>
        </w:rPr>
        <w:t>fracción</w:t>
      </w:r>
      <w:r w:rsidR="000C003E" w:rsidRPr="006D5314">
        <w:rPr>
          <w:rFonts w:ascii="Palatino Linotype" w:eastAsia="Palatino Linotype" w:hAnsi="Palatino Linotype" w:cs="Palatino Linotype"/>
          <w:b/>
        </w:rPr>
        <w:t xml:space="preserve"> </w:t>
      </w:r>
      <w:r w:rsidR="003B6848" w:rsidRPr="006D5314">
        <w:rPr>
          <w:rFonts w:ascii="Palatino Linotype" w:eastAsia="Palatino Linotype" w:hAnsi="Palatino Linotype" w:cs="Palatino Linotype"/>
          <w:b/>
        </w:rPr>
        <w:t>I</w:t>
      </w:r>
      <w:r w:rsidRPr="006D5314">
        <w:rPr>
          <w:rFonts w:ascii="Palatino Linotype" w:eastAsia="Palatino Linotype" w:hAnsi="Palatino Linotype" w:cs="Palatino Linotype"/>
        </w:rPr>
        <w:t>,</w:t>
      </w:r>
      <w:r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rPr>
        <w:t xml:space="preserve">de la </w:t>
      </w:r>
      <w:r w:rsidRPr="006D5314">
        <w:rPr>
          <w:rFonts w:ascii="Palatino Linotype" w:eastAsia="Palatino Linotype" w:hAnsi="Palatino Linotype" w:cs="Palatino Linotype"/>
          <w:b/>
        </w:rPr>
        <w:t>Ley de Transparencia y Acceso a la Información Pública del Estado de México y Municipios</w:t>
      </w:r>
      <w:r w:rsidRPr="006D5314">
        <w:rPr>
          <w:rFonts w:ascii="Palatino Linotype" w:eastAsia="Palatino Linotype" w:hAnsi="Palatino Linotype" w:cs="Palatino Linotype"/>
        </w:rPr>
        <w:t xml:space="preserve">; </w:t>
      </w:r>
      <w:r w:rsidR="00006F1B" w:rsidRPr="006D5314">
        <w:rPr>
          <w:rFonts w:ascii="Palatino Linotype" w:eastAsia="Palatino Linotype" w:hAnsi="Palatino Linotype" w:cs="Palatino Linotype"/>
          <w:color w:val="000000"/>
        </w:rPr>
        <w:t>fracción</w:t>
      </w:r>
      <w:r w:rsidRPr="006D5314">
        <w:rPr>
          <w:rFonts w:ascii="Palatino Linotype" w:eastAsia="Palatino Linotype" w:hAnsi="Palatino Linotype" w:cs="Palatino Linotype"/>
          <w:color w:val="000000"/>
        </w:rPr>
        <w:t xml:space="preserve"> que determina la hipótesis relativa</w:t>
      </w:r>
      <w:r w:rsidR="000C003E" w:rsidRPr="006D5314">
        <w:rPr>
          <w:rFonts w:ascii="Palatino Linotype" w:eastAsia="Palatino Linotype" w:hAnsi="Palatino Linotype" w:cs="Palatino Linotype"/>
          <w:color w:val="000000"/>
        </w:rPr>
        <w:t xml:space="preserve"> a </w:t>
      </w:r>
      <w:r w:rsidR="003B6848" w:rsidRPr="006D5314">
        <w:rPr>
          <w:rFonts w:ascii="Palatino Linotype" w:eastAsia="Palatino Linotype" w:hAnsi="Palatino Linotype" w:cs="Palatino Linotype"/>
          <w:b/>
          <w:color w:val="000000"/>
        </w:rPr>
        <w:t>la negativa a la información solicitada</w:t>
      </w:r>
      <w:r w:rsidRPr="006D5314">
        <w:rPr>
          <w:rFonts w:ascii="Palatino Linotype" w:eastAsia="Palatino Linotype" w:hAnsi="Palatino Linotype" w:cs="Palatino Linotype"/>
          <w:color w:val="000000"/>
        </w:rPr>
        <w:t xml:space="preserve">; </w:t>
      </w:r>
      <w:r w:rsidRPr="006D5314">
        <w:rPr>
          <w:rFonts w:ascii="Palatino Linotype" w:eastAsia="Palatino Linotype" w:hAnsi="Palatino Linotype" w:cs="Palatino Linotype"/>
        </w:rPr>
        <w:t xml:space="preserve">contexto del cual se dolió el Recurrente al momento de interponer su </w:t>
      </w:r>
      <w:r w:rsidRPr="006D5314">
        <w:rPr>
          <w:rFonts w:ascii="Palatino Linotype" w:eastAsia="Palatino Linotype" w:hAnsi="Palatino Linotype" w:cs="Palatino Linotype"/>
        </w:rPr>
        <w:lastRenderedPageBreak/>
        <w:t>inconformidad.</w:t>
      </w:r>
      <w:r w:rsidRPr="006D5314">
        <w:rPr>
          <w:rFonts w:ascii="Palatino Linotype" w:eastAsia="Palatino Linotype" w:hAnsi="Palatino Linotype" w:cs="Palatino Linotype"/>
          <w:color w:val="000000"/>
        </w:rPr>
        <w:t xml:space="preserve"> De modo tal que el presente recurso de revisión se </w:t>
      </w:r>
      <w:r w:rsidRPr="006D5314">
        <w:rPr>
          <w:rFonts w:ascii="Palatino Linotype" w:eastAsia="Palatino Linotype" w:hAnsi="Palatino Linotype" w:cs="Palatino Linotype"/>
        </w:rPr>
        <w:t>abocará</w:t>
      </w:r>
      <w:r w:rsidRPr="006D5314">
        <w:rPr>
          <w:rFonts w:ascii="Palatino Linotype" w:eastAsia="Palatino Linotype" w:hAnsi="Palatino Linotype" w:cs="Palatino Linotype"/>
          <w:color w:val="000000"/>
        </w:rPr>
        <w:t xml:space="preserve"> en determinar si el Sujeto Obligado con su respuesta ciertamente actualiza la causal de procedencia</w:t>
      </w:r>
      <w:r w:rsidRPr="006D5314">
        <w:rPr>
          <w:rFonts w:ascii="Palatino Linotype" w:eastAsia="Palatino Linotype" w:hAnsi="Palatino Linotype" w:cs="Palatino Linotype"/>
          <w:b/>
          <w:color w:val="000000"/>
        </w:rPr>
        <w:t xml:space="preserve"> </w:t>
      </w:r>
      <w:r w:rsidR="001C1CEC" w:rsidRPr="006D5314">
        <w:rPr>
          <w:rFonts w:ascii="Palatino Linotype" w:eastAsia="Palatino Linotype" w:hAnsi="Palatino Linotype" w:cs="Palatino Linotype"/>
          <w:color w:val="000000"/>
        </w:rPr>
        <w:t>señalada.</w:t>
      </w:r>
    </w:p>
    <w:p w:rsidR="002B7A1B" w:rsidRPr="006D5314" w:rsidRDefault="002B7A1B" w:rsidP="002B7A1B">
      <w:pPr>
        <w:spacing w:line="360" w:lineRule="auto"/>
        <w:ind w:right="-787"/>
        <w:rPr>
          <w:rFonts w:ascii="Palatino Linotype" w:eastAsia="Palatino Linotype" w:hAnsi="Palatino Linotype" w:cs="Palatino Linotype"/>
        </w:rPr>
      </w:pPr>
    </w:p>
    <w:p w:rsidR="00846BB7" w:rsidRPr="006D5314" w:rsidRDefault="00846BB7" w:rsidP="00846BB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6D5314">
        <w:rPr>
          <w:rFonts w:ascii="Palatino Linotype" w:eastAsia="Palatino Linotype" w:hAnsi="Palatino Linotype" w:cs="Palatino Linotype"/>
          <w:b/>
          <w:color w:val="000000"/>
          <w:sz w:val="24"/>
          <w:szCs w:val="24"/>
        </w:rPr>
        <w:t>CUARTO. Del estudio y resolución del asunto.</w:t>
      </w:r>
    </w:p>
    <w:p w:rsidR="002B7A1B" w:rsidRPr="006D5314" w:rsidRDefault="002B7A1B" w:rsidP="00BA6467">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6D5314" w:rsidRDefault="002B7A1B" w:rsidP="002B7A1B">
      <w:pPr>
        <w:spacing w:line="360" w:lineRule="auto"/>
        <w:ind w:right="-787"/>
        <w:jc w:val="both"/>
        <w:rPr>
          <w:rFonts w:ascii="Palatino Linotype" w:eastAsia="Palatino Linotype" w:hAnsi="Palatino Linotype" w:cs="Palatino Linotype"/>
        </w:rPr>
      </w:pPr>
    </w:p>
    <w:p w:rsidR="002B7A1B" w:rsidRPr="006D5314" w:rsidRDefault="002B7A1B" w:rsidP="00BA6467">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6D5314" w:rsidRDefault="002B7A1B" w:rsidP="002B7A1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2B7A1B" w:rsidRPr="006D5314" w:rsidRDefault="002B7A1B" w:rsidP="00BA6467">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w:t>
      </w:r>
      <w:r w:rsidRPr="006D5314">
        <w:rPr>
          <w:rFonts w:ascii="Palatino Linotype" w:eastAsia="Palatino Linotype" w:hAnsi="Palatino Linotype" w:cs="Palatino Linotype"/>
        </w:rPr>
        <w:lastRenderedPageBreak/>
        <w:t>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6D5314" w:rsidRDefault="00FA778F" w:rsidP="00FA778F">
      <w:pPr>
        <w:spacing w:line="360" w:lineRule="auto"/>
        <w:ind w:right="-787"/>
        <w:jc w:val="both"/>
        <w:rPr>
          <w:rFonts w:ascii="Palatino Linotype" w:eastAsia="Palatino Linotype" w:hAnsi="Palatino Linotype" w:cs="Palatino Linotype"/>
        </w:rPr>
      </w:pPr>
    </w:p>
    <w:p w:rsidR="002B7A1B" w:rsidRPr="006D5314" w:rsidRDefault="00FA778F" w:rsidP="0004020B">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Del Sujeto Obligado.</w:t>
      </w:r>
    </w:p>
    <w:p w:rsidR="008F1029" w:rsidRPr="006D5314" w:rsidRDefault="00FE0439" w:rsidP="002E0058">
      <w:pPr>
        <w:numPr>
          <w:ilvl w:val="0"/>
          <w:numId w:val="2"/>
        </w:numPr>
        <w:spacing w:line="360" w:lineRule="auto"/>
        <w:ind w:left="0" w:right="-787" w:firstLine="0"/>
        <w:jc w:val="both"/>
      </w:pPr>
      <w:r w:rsidRPr="006D5314">
        <w:rPr>
          <w:rFonts w:ascii="Palatino Linotype" w:eastAsia="Palatino Linotype" w:hAnsi="Palatino Linotype" w:cs="Palatino Linotype"/>
        </w:rPr>
        <w:t>La Administración Pública Municipal Centralizada estará integrada por las siguientes dependencias administrativas</w:t>
      </w:r>
      <w:r w:rsidR="002E0058" w:rsidRPr="006D5314">
        <w:rPr>
          <w:rFonts w:ascii="Palatino Linotype" w:eastAsia="Palatino Linotype" w:hAnsi="Palatino Linotype" w:cs="Palatino Linotype"/>
        </w:rPr>
        <w:t xml:space="preserve">, de conformidad con el artículo </w:t>
      </w:r>
      <w:r w:rsidRPr="006D5314">
        <w:rPr>
          <w:rFonts w:ascii="Palatino Linotype" w:eastAsia="Palatino Linotype" w:hAnsi="Palatino Linotype" w:cs="Palatino Linotype"/>
        </w:rPr>
        <w:t>73, del Bando Municipal 2025:</w:t>
      </w: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ARTÍCULO 73. La Administración Pública Municipal Centralizada estará integrada por las siguientes dependencias administrativas: </w:t>
      </w:r>
    </w:p>
    <w:p w:rsidR="00FE0439" w:rsidRPr="006D5314" w:rsidRDefault="00FE0439" w:rsidP="00327915">
      <w:pPr>
        <w:ind w:left="567" w:right="-220"/>
        <w:jc w:val="both"/>
        <w:rPr>
          <w:rFonts w:ascii="Palatino Linotype" w:eastAsia="Palatino Linotype" w:hAnsi="Palatino Linotype" w:cs="Palatino Linotype"/>
          <w:i/>
        </w:rPr>
      </w:pP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Secretaría del Ayuntamiento; </w:t>
      </w: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Tesorería Municipal; </w:t>
      </w: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III. Órgano Interno de Control;</w:t>
      </w: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IV. Secretaría Técnica; </w:t>
      </w:r>
    </w:p>
    <w:p w:rsidR="00FE0439" w:rsidRPr="006D5314" w:rsidRDefault="00FE0439" w:rsidP="00327915">
      <w:pPr>
        <w:ind w:left="567" w:right="-220"/>
        <w:jc w:val="both"/>
        <w:rPr>
          <w:rFonts w:ascii="Palatino Linotype" w:eastAsia="Palatino Linotype" w:hAnsi="Palatino Linotype" w:cs="Palatino Linotype"/>
          <w:b/>
          <w:i/>
        </w:rPr>
      </w:pPr>
      <w:r w:rsidRPr="006D5314">
        <w:rPr>
          <w:rFonts w:ascii="Palatino Linotype" w:eastAsia="Palatino Linotype" w:hAnsi="Palatino Linotype" w:cs="Palatino Linotype"/>
          <w:b/>
          <w:i/>
        </w:rPr>
        <w:t xml:space="preserve">V. Direcciones y Subdirecciones; y </w:t>
      </w: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VI. Coordinaciones y unidades administrativas.</w:t>
      </w:r>
    </w:p>
    <w:p w:rsidR="00FE0439" w:rsidRPr="006D5314" w:rsidRDefault="00FE0439" w:rsidP="00327915">
      <w:pPr>
        <w:ind w:left="567" w:right="-220"/>
        <w:jc w:val="both"/>
        <w:rPr>
          <w:rFonts w:ascii="Palatino Linotype" w:eastAsia="Palatino Linotype" w:hAnsi="Palatino Linotype" w:cs="Palatino Linotype"/>
          <w:i/>
        </w:rPr>
      </w:pPr>
    </w:p>
    <w:p w:rsidR="00FE0439" w:rsidRPr="006D5314" w:rsidRDefault="00FE0439" w:rsidP="00327915">
      <w:pPr>
        <w:ind w:left="567" w:right="-220"/>
        <w:jc w:val="both"/>
        <w:rPr>
          <w:rFonts w:ascii="Palatino Linotype" w:eastAsia="Palatino Linotype" w:hAnsi="Palatino Linotype" w:cs="Palatino Linotype"/>
          <w:i/>
        </w:rPr>
      </w:pP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ARTÍCULO 77.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2025-2027. </w:t>
      </w:r>
    </w:p>
    <w:p w:rsidR="00FE0439" w:rsidRPr="006D5314" w:rsidRDefault="00FE0439" w:rsidP="00327915">
      <w:pPr>
        <w:ind w:left="567" w:right="-220"/>
        <w:jc w:val="both"/>
        <w:rPr>
          <w:rFonts w:ascii="Palatino Linotype" w:eastAsia="Palatino Linotype" w:hAnsi="Palatino Linotype" w:cs="Palatino Linotype"/>
          <w:i/>
        </w:rPr>
      </w:pP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Para el ejercicio de sus atribuciones, el Ayuntamiento se auxiliará de las siguientes dependencias centralizadas:</w:t>
      </w:r>
    </w:p>
    <w:p w:rsidR="00FE0439" w:rsidRPr="006D5314" w:rsidRDefault="00FE0439"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327915" w:rsidRPr="006D5314" w:rsidRDefault="00327915" w:rsidP="00327915">
      <w:pPr>
        <w:ind w:left="567" w:right="-220"/>
        <w:jc w:val="both"/>
        <w:rPr>
          <w:rFonts w:ascii="Palatino Linotype" w:eastAsia="Palatino Linotype" w:hAnsi="Palatino Linotype" w:cs="Palatino Linotype"/>
          <w:b/>
          <w:i/>
        </w:rPr>
      </w:pPr>
      <w:r w:rsidRPr="006D5314">
        <w:rPr>
          <w:rFonts w:ascii="Palatino Linotype" w:eastAsia="Palatino Linotype" w:hAnsi="Palatino Linotype" w:cs="Palatino Linotype"/>
          <w:b/>
          <w:i/>
        </w:rPr>
        <w:t xml:space="preserve">VIII. Dirección de Obras Públicas; </w:t>
      </w:r>
    </w:p>
    <w:p w:rsidR="00327915"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a. Subdirección de Obras Públicas </w:t>
      </w:r>
    </w:p>
    <w:p w:rsidR="00327915"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b. Coordinación de Planeación y Elaboración de Proyectos;</w:t>
      </w:r>
    </w:p>
    <w:p w:rsidR="00FE0439" w:rsidRPr="006D5314" w:rsidRDefault="00FE0439" w:rsidP="00FE0439">
      <w:pPr>
        <w:ind w:left="1134"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lastRenderedPageBreak/>
        <w:t>…</w:t>
      </w:r>
    </w:p>
    <w:p w:rsidR="00922187" w:rsidRPr="006D5314" w:rsidRDefault="00922187" w:rsidP="00922187">
      <w:pPr>
        <w:spacing w:line="360" w:lineRule="auto"/>
        <w:ind w:right="-787"/>
        <w:jc w:val="both"/>
        <w:rPr>
          <w:rFonts w:ascii="Palatino Linotype" w:eastAsia="Palatino Linotype" w:hAnsi="Palatino Linotype" w:cs="Palatino Linotype"/>
        </w:rPr>
      </w:pPr>
    </w:p>
    <w:p w:rsidR="00922187" w:rsidRPr="006D5314" w:rsidRDefault="00922187" w:rsidP="00922187">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La </w:t>
      </w:r>
      <w:r w:rsidRPr="006D5314">
        <w:rPr>
          <w:rFonts w:ascii="Palatino Linotype" w:eastAsia="Palatino Linotype" w:hAnsi="Palatino Linotype" w:cs="Palatino Linotype"/>
          <w:b/>
        </w:rPr>
        <w:t xml:space="preserve">Dirección de </w:t>
      </w:r>
      <w:r w:rsidR="00327915" w:rsidRPr="006D5314">
        <w:rPr>
          <w:rFonts w:ascii="Palatino Linotype" w:eastAsia="Palatino Linotype" w:hAnsi="Palatino Linotype" w:cs="Palatino Linotype"/>
          <w:b/>
        </w:rPr>
        <w:t>Obras Públicas</w:t>
      </w:r>
      <w:r w:rsidRPr="006D5314">
        <w:rPr>
          <w:rFonts w:ascii="Palatino Linotype" w:eastAsia="Palatino Linotype" w:hAnsi="Palatino Linotype" w:cs="Palatino Linotype"/>
        </w:rPr>
        <w:t xml:space="preserve"> es la </w:t>
      </w:r>
      <w:r w:rsidR="00327915" w:rsidRPr="006D5314">
        <w:rPr>
          <w:rFonts w:ascii="Palatino Linotype" w:eastAsia="Palatino Linotype" w:hAnsi="Palatino Linotype" w:cs="Palatino Linotype"/>
        </w:rPr>
        <w:t xml:space="preserve">encargada de </w:t>
      </w:r>
      <w:r w:rsidRPr="006D5314">
        <w:rPr>
          <w:rFonts w:ascii="Palatino Linotype" w:eastAsia="Palatino Linotype" w:hAnsi="Palatino Linotype" w:cs="Palatino Linotype"/>
        </w:rPr>
        <w:t xml:space="preserve"> </w:t>
      </w:r>
      <w:r w:rsidR="00327915" w:rsidRPr="006D5314">
        <w:rPr>
          <w:rFonts w:ascii="Palatino Linotype" w:eastAsia="Palatino Linotype" w:hAnsi="Palatino Linotype" w:cs="Palatino Linotype"/>
        </w:rPr>
        <w:t xml:space="preserve">vigilar la ejecución de obras por cooperación, así como la construcción y mejoramiento de obras de infraestructura y equipamiento urbano y las demás que le asignen otros ordenamientos, y tiene dentro de sus atribuciones las señaladas en el </w:t>
      </w:r>
      <w:r w:rsidRPr="006D5314">
        <w:rPr>
          <w:rFonts w:ascii="Palatino Linotype" w:eastAsia="Palatino Linotype" w:hAnsi="Palatino Linotype" w:cs="Palatino Linotype"/>
        </w:rPr>
        <w:t xml:space="preserve">artículo </w:t>
      </w:r>
      <w:r w:rsidR="00327915" w:rsidRPr="006D5314">
        <w:rPr>
          <w:rFonts w:ascii="Palatino Linotype" w:eastAsia="Palatino Linotype" w:hAnsi="Palatino Linotype" w:cs="Palatino Linotype"/>
        </w:rPr>
        <w:t>126</w:t>
      </w:r>
      <w:r w:rsidRPr="006D5314">
        <w:rPr>
          <w:rFonts w:ascii="Palatino Linotype" w:eastAsia="Palatino Linotype" w:hAnsi="Palatino Linotype" w:cs="Palatino Linotype"/>
        </w:rPr>
        <w:t>, del Bando Municipal 2025.</w:t>
      </w:r>
    </w:p>
    <w:p w:rsidR="00922187" w:rsidRPr="006D5314" w:rsidRDefault="00922187" w:rsidP="002F5BCF">
      <w:pPr>
        <w:spacing w:line="360" w:lineRule="auto"/>
        <w:ind w:right="-787"/>
        <w:jc w:val="both"/>
        <w:rPr>
          <w:rFonts w:ascii="Palatino Linotype" w:eastAsia="Palatino Linotype" w:hAnsi="Palatino Linotype" w:cs="Palatino Linotype"/>
        </w:rPr>
      </w:pPr>
    </w:p>
    <w:p w:rsidR="00FE0439"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126</w:t>
      </w:r>
      <w:r w:rsidRPr="006D5314">
        <w:rPr>
          <w:rFonts w:ascii="Palatino Linotype" w:eastAsia="Palatino Linotype" w:hAnsi="Palatino Linotype" w:cs="Palatino Linotype"/>
          <w:i/>
        </w:rPr>
        <w:t>. Vigilar la ejecución de obras por cooperación, así como la construcción y mejoramiento de obras de infraestructura y equipamiento urbano y las demás que le asignen otros ordenamientos, el Presidente Municipal y la o el Director de Obras Públicas quien tendrá las siguientes atribuciones:</w:t>
      </w:r>
    </w:p>
    <w:p w:rsidR="00327915" w:rsidRPr="006D5314" w:rsidRDefault="00327915" w:rsidP="00327915">
      <w:pPr>
        <w:ind w:left="567" w:right="-220"/>
        <w:jc w:val="both"/>
        <w:rPr>
          <w:rFonts w:ascii="Palatino Linotype" w:eastAsia="Palatino Linotype" w:hAnsi="Palatino Linotype" w:cs="Palatino Linotype"/>
          <w:i/>
        </w:rPr>
      </w:pPr>
    </w:p>
    <w:p w:rsidR="00327915"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Realizar la programación y ejecución de las obras públicas y servicios relacionados con las mismas, que por orden expresa del Ayuntamiento requieran prioridad; </w:t>
      </w:r>
    </w:p>
    <w:p w:rsidR="00327915"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Planear y coordinar los proyectos de obras públicas y servicios relacionados con las mismas que autorice el Ayuntamiento, una vez que se cumplan los requisitos de licitación y otros que determine la ley de la materia; </w:t>
      </w:r>
    </w:p>
    <w:p w:rsidR="000A17F5"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III. Proyectar las obras públicas y servicios relacionados con las mismas, que realice el Municipio, incluyendo la conservación y mantenimiento de edificios, monumentos, calles, parques y jardines; </w:t>
      </w:r>
    </w:p>
    <w:p w:rsidR="00327915" w:rsidRPr="006D5314" w:rsidRDefault="0032791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IV. Construir y ejecutar todas aquellas obras públicas y servicios relacionados con las mismas, que aumenten y mantengan la infraestructura municipal y que estén consideradas en el programa respectivo;</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VIII. Vigilar la construcción de las obras por administración y por contrato que hayan sido adjudicadas a los contratistas;</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X. Verificar que las obras públicas y los servicios relacionados con las mismas, hayan sido programadas, presupuestadas, ejecutadas, adquiridas y contratadas en estricto apego a las disposiciones legales aplicables; </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XI. Integrar y verificar que se elaboren de manera correcta y completa las bitácoras y/o expedientes abiertos con motivo de la obra pública y servicios relacionados con las mismas, conforme a lo establecido en las disposiciones legales aplicables;</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lastRenderedPageBreak/>
        <w:t>…</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XVIII. Vigilar que la ejecución de la obra pública adjudicada y los servicios relacionados con ésta se sujeten a las condiciones contratadas;</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XXVI. Desarrollar, ordenar y resguardar la información sobre los procedimientos adquisitivos de licitaciones públicas, invitación restringida y adjudicaciones directas de obra pública, así como los acuerdos de acciones que se llevarán a cabo para su cumplimiento.</w:t>
      </w:r>
    </w:p>
    <w:p w:rsidR="000A17F5" w:rsidRPr="006D5314" w:rsidRDefault="000A17F5" w:rsidP="00327915">
      <w:pPr>
        <w:ind w:left="567"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2C3AC3" w:rsidRPr="006D5314" w:rsidRDefault="002C3AC3" w:rsidP="002C3AC3">
      <w:pPr>
        <w:spacing w:line="360" w:lineRule="auto"/>
        <w:ind w:right="-787"/>
        <w:jc w:val="both"/>
        <w:rPr>
          <w:rFonts w:ascii="Palatino Linotype" w:eastAsia="Palatino Linotype" w:hAnsi="Palatino Linotype" w:cs="Palatino Linotype"/>
        </w:rPr>
      </w:pPr>
    </w:p>
    <w:p w:rsidR="009E6EE0" w:rsidRPr="006D5314" w:rsidRDefault="008F1029" w:rsidP="009E6EE0">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De lo </w:t>
      </w:r>
      <w:r w:rsidR="009E6EE0" w:rsidRPr="006D5314">
        <w:rPr>
          <w:rFonts w:ascii="Palatino Linotype" w:eastAsia="Palatino Linotype" w:hAnsi="Palatino Linotype" w:cs="Palatino Linotype"/>
        </w:rPr>
        <w:t>expuesto es de precisar que la respuesta fue emitida</w:t>
      </w:r>
      <w:r w:rsidRPr="006D5314">
        <w:rPr>
          <w:rFonts w:ascii="Palatino Linotype" w:eastAsia="Palatino Linotype" w:hAnsi="Palatino Linotype" w:cs="Palatino Linotype"/>
        </w:rPr>
        <w:t xml:space="preserve"> </w:t>
      </w:r>
      <w:r w:rsidR="003600F4" w:rsidRPr="006D5314">
        <w:rPr>
          <w:rFonts w:ascii="Palatino Linotype" w:eastAsia="Palatino Linotype" w:hAnsi="Palatino Linotype" w:cs="Palatino Linotype"/>
        </w:rPr>
        <w:t xml:space="preserve">por la </w:t>
      </w:r>
      <w:r w:rsidR="00256EB0" w:rsidRPr="006D5314">
        <w:rPr>
          <w:rFonts w:ascii="Palatino Linotype" w:eastAsia="Palatino Linotype" w:hAnsi="Palatino Linotype" w:cs="Palatino Linotype"/>
          <w:b/>
        </w:rPr>
        <w:t>Dirección de Obras Públicas</w:t>
      </w:r>
      <w:r w:rsidR="009E6EE0" w:rsidRPr="006D5314">
        <w:rPr>
          <w:rFonts w:ascii="Palatino Linotype" w:eastAsia="Palatino Linotype" w:hAnsi="Palatino Linotype" w:cs="Palatino Linotype"/>
        </w:rPr>
        <w:t xml:space="preserve">, por lo que podemos advertir que </w:t>
      </w:r>
      <w:r w:rsidR="009E6EE0" w:rsidRPr="006D5314">
        <w:rPr>
          <w:rFonts w:ascii="Palatino Linotype" w:eastAsia="Palatino Linotype" w:hAnsi="Palatino Linotype" w:cs="Palatino Linotype"/>
          <w:b/>
        </w:rPr>
        <w:t>EL SUJETO OBLIGADO siguió el procedimiento inmerso en la normatividad aplicable</w:t>
      </w:r>
      <w:r w:rsidR="009E6EE0" w:rsidRPr="006D5314">
        <w:rPr>
          <w:rFonts w:ascii="Palatino Linotype" w:eastAsia="Palatino Linotype" w:hAnsi="Palatino Linotype" w:cs="Palatino Linotype"/>
        </w:rPr>
        <w:t>, ya que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9E6EE0" w:rsidRPr="006D5314" w:rsidRDefault="009E6EE0" w:rsidP="009E6EE0">
      <w:pPr>
        <w:spacing w:line="360" w:lineRule="auto"/>
        <w:ind w:right="-787"/>
        <w:jc w:val="both"/>
        <w:rPr>
          <w:rFonts w:ascii="Palatino Linotype" w:eastAsia="Palatino Linotype" w:hAnsi="Palatino Linotype" w:cs="Palatino Linotype"/>
        </w:rPr>
      </w:pPr>
    </w:p>
    <w:p w:rsidR="009E6EE0" w:rsidRPr="006D5314" w:rsidRDefault="009E6EE0" w:rsidP="009E6EE0">
      <w:pPr>
        <w:ind w:left="1134" w:right="-220"/>
        <w:jc w:val="both"/>
        <w:rPr>
          <w:rFonts w:ascii="Palatino Linotype" w:eastAsia="Palatino Linotype" w:hAnsi="Palatino Linotype" w:cs="Palatino Linotype"/>
          <w:i/>
        </w:rPr>
      </w:pPr>
      <w:r w:rsidRPr="006D5314">
        <w:rPr>
          <w:rFonts w:ascii="Palatino Linotype" w:eastAsia="Palatino Linotype" w:hAnsi="Palatino Linotype" w:cs="Palatino Linotype"/>
          <w:b/>
          <w:i/>
        </w:rPr>
        <w:t>XXXIX.</w:t>
      </w:r>
      <w:r w:rsidRPr="006D5314">
        <w:rPr>
          <w:rFonts w:ascii="Palatino Linotype" w:eastAsia="Palatino Linotype" w:hAnsi="Palatino Linotype" w:cs="Palatino Linotype"/>
          <w:i/>
        </w:rPr>
        <w:t xml:space="preserve"> </w:t>
      </w:r>
      <w:r w:rsidRPr="006D5314">
        <w:rPr>
          <w:rFonts w:ascii="Palatino Linotype" w:eastAsia="Palatino Linotype" w:hAnsi="Palatino Linotype" w:cs="Palatino Linotype"/>
          <w:b/>
          <w:i/>
        </w:rPr>
        <w:t>Servidor público habilitado</w:t>
      </w:r>
      <w:r w:rsidRPr="006D5314">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E6EE0" w:rsidRPr="006D5314" w:rsidRDefault="009E6EE0" w:rsidP="009E6EE0">
      <w:pPr>
        <w:ind w:right="-788"/>
        <w:jc w:val="both"/>
        <w:rPr>
          <w:rFonts w:ascii="Palatino Linotype" w:eastAsia="Palatino Linotype" w:hAnsi="Palatino Linotype" w:cs="Palatino Linotype"/>
        </w:rPr>
      </w:pPr>
    </w:p>
    <w:p w:rsidR="009E6EE0" w:rsidRPr="006D5314" w:rsidRDefault="009E6EE0" w:rsidP="009E6EE0">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Así las cosas, se advierte que la Unidad de Transparencia </w:t>
      </w:r>
      <w:r w:rsidRPr="006D5314">
        <w:rPr>
          <w:rFonts w:ascii="Palatino Linotype" w:eastAsia="Palatino Linotype" w:hAnsi="Palatino Linotype" w:cs="Palatino Linotype"/>
          <w:b/>
        </w:rPr>
        <w:t>cumplió</w:t>
      </w:r>
      <w:r w:rsidRPr="006D5314">
        <w:rPr>
          <w:rFonts w:ascii="Palatino Linotype" w:eastAsia="Palatino Linotype" w:hAnsi="Palatino Linotype" w:cs="Palatino Linotype"/>
        </w:rPr>
        <w:t xml:space="preserve"> con lo establecido en el artículo 162 de la Ley de Transparencia y Acceso a la Información Pública del Estado de México y Municipios, el cual menciona lo siguiente:</w:t>
      </w:r>
    </w:p>
    <w:p w:rsidR="009E6EE0" w:rsidRPr="006D5314" w:rsidRDefault="009E6EE0" w:rsidP="009E6EE0">
      <w:pPr>
        <w:ind w:right="-788"/>
        <w:jc w:val="both"/>
        <w:rPr>
          <w:rFonts w:ascii="Palatino Linotype" w:eastAsia="Palatino Linotype" w:hAnsi="Palatino Linotype" w:cs="Palatino Linotype"/>
        </w:rPr>
      </w:pPr>
    </w:p>
    <w:p w:rsidR="009E6EE0" w:rsidRPr="006D5314" w:rsidRDefault="009E6EE0" w:rsidP="009E6EE0">
      <w:pPr>
        <w:ind w:left="1134"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r w:rsidRPr="006D5314">
        <w:rPr>
          <w:rFonts w:ascii="Palatino Linotype" w:eastAsia="Palatino Linotype" w:hAnsi="Palatino Linotype" w:cs="Palatino Linotype"/>
          <w:b/>
          <w:i/>
        </w:rPr>
        <w:t>Artículo 162.</w:t>
      </w:r>
      <w:r w:rsidRPr="006D5314">
        <w:rPr>
          <w:rFonts w:ascii="Palatino Linotype" w:eastAsia="Palatino Linotype" w:hAnsi="Palatino Linotype" w:cs="Palatino Linotype"/>
          <w:i/>
        </w:rPr>
        <w:t xml:space="preserve"> Las unidades de transparencia deberán garantizar que las solicitudes se turnen a </w:t>
      </w:r>
      <w:r w:rsidRPr="006D5314">
        <w:rPr>
          <w:rFonts w:ascii="Palatino Linotype" w:eastAsia="Palatino Linotype" w:hAnsi="Palatino Linotype" w:cs="Palatino Linotype"/>
          <w:b/>
          <w:i/>
        </w:rPr>
        <w:t>todas las Áreas competentes</w:t>
      </w:r>
      <w:r w:rsidRPr="006D5314">
        <w:rPr>
          <w:rFonts w:ascii="Palatino Linotype" w:eastAsia="Palatino Linotype" w:hAnsi="Palatino Linotype" w:cs="Palatino Linotype"/>
          <w:i/>
        </w:rPr>
        <w:t xml:space="preserve"> que cuenten con la información o deban tenerla de acuerdo a sus facultades, competencias y funciones, </w:t>
      </w:r>
      <w:r w:rsidRPr="006D5314">
        <w:rPr>
          <w:rFonts w:ascii="Palatino Linotype" w:eastAsia="Palatino Linotype" w:hAnsi="Palatino Linotype" w:cs="Palatino Linotype"/>
          <w:b/>
          <w:i/>
        </w:rPr>
        <w:t>con el objeto de que realicen una búsqueda exhaustiva y razonable de la información solicitada</w:t>
      </w:r>
      <w:r w:rsidRPr="006D5314">
        <w:rPr>
          <w:rFonts w:ascii="Palatino Linotype" w:eastAsia="Palatino Linotype" w:hAnsi="Palatino Linotype" w:cs="Palatino Linotype"/>
          <w:i/>
        </w:rPr>
        <w:t>.”</w:t>
      </w:r>
    </w:p>
    <w:p w:rsidR="008F1029" w:rsidRPr="006D5314" w:rsidRDefault="008F1029" w:rsidP="00326075">
      <w:pPr>
        <w:spacing w:line="360" w:lineRule="auto"/>
        <w:ind w:right="-787"/>
        <w:jc w:val="both"/>
        <w:rPr>
          <w:rFonts w:ascii="Palatino Linotype" w:eastAsia="Palatino Linotype" w:hAnsi="Palatino Linotype" w:cs="Palatino Linotype"/>
          <w:color w:val="000000"/>
        </w:rPr>
      </w:pPr>
    </w:p>
    <w:p w:rsidR="008F1029" w:rsidRPr="006D5314" w:rsidRDefault="008F1029" w:rsidP="008F1029">
      <w:pPr>
        <w:numPr>
          <w:ilvl w:val="0"/>
          <w:numId w:val="2"/>
        </w:numPr>
        <w:spacing w:line="360" w:lineRule="auto"/>
        <w:ind w:left="0" w:right="-787" w:firstLine="0"/>
        <w:jc w:val="both"/>
        <w:rPr>
          <w:color w:val="000000"/>
        </w:rPr>
      </w:pPr>
      <w:r w:rsidRPr="006D5314">
        <w:rPr>
          <w:rFonts w:ascii="Palatino Linotype" w:eastAsia="Palatino Linotype" w:hAnsi="Palatino Linotype" w:cs="Palatino Linotype"/>
        </w:rPr>
        <w:t>Es</w:t>
      </w:r>
      <w:r w:rsidRPr="006D5314">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6D5314" w:rsidRDefault="008F1029" w:rsidP="008F1029">
      <w:pPr>
        <w:spacing w:line="360" w:lineRule="auto"/>
        <w:ind w:right="-787"/>
        <w:jc w:val="both"/>
        <w:rPr>
          <w:color w:val="000000"/>
        </w:rPr>
      </w:pPr>
    </w:p>
    <w:p w:rsidR="008F1029" w:rsidRPr="006D5314" w:rsidRDefault="008F1029" w:rsidP="008F1029">
      <w:pPr>
        <w:ind w:left="1134" w:right="-220"/>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w:t>
      </w:r>
      <w:r w:rsidRPr="006D5314">
        <w:rPr>
          <w:rFonts w:ascii="Palatino Linotype" w:eastAsia="Palatino Linotype" w:hAnsi="Palatino Linotype" w:cs="Palatino Linotype"/>
          <w:b/>
          <w:i/>
          <w:color w:val="000000"/>
        </w:rPr>
        <w:t xml:space="preserve">Artículo 3. </w:t>
      </w:r>
      <w:r w:rsidRPr="006D5314">
        <w:rPr>
          <w:rFonts w:ascii="Palatino Linotype" w:eastAsia="Palatino Linotype" w:hAnsi="Palatino Linotype" w:cs="Palatino Linotype"/>
          <w:i/>
          <w:color w:val="000000"/>
        </w:rPr>
        <w:t>Para los efectos de la presente Ley se entenderá por:</w:t>
      </w:r>
    </w:p>
    <w:p w:rsidR="008F1029" w:rsidRPr="006D5314" w:rsidRDefault="008F1029" w:rsidP="008F1029">
      <w:pPr>
        <w:ind w:left="1134" w:right="-220"/>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w:t>
      </w:r>
    </w:p>
    <w:p w:rsidR="008F1029" w:rsidRPr="006D5314" w:rsidRDefault="008F1029" w:rsidP="008F1029">
      <w:pPr>
        <w:ind w:left="1134" w:right="-220"/>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b/>
          <w:i/>
          <w:color w:val="000000"/>
        </w:rPr>
        <w:t>XI. Documento:</w:t>
      </w:r>
      <w:r w:rsidRPr="006D5314">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6D5314" w:rsidRDefault="008F1029" w:rsidP="008F1029">
      <w:pPr>
        <w:spacing w:line="360" w:lineRule="auto"/>
        <w:ind w:left="1134" w:right="-220"/>
        <w:jc w:val="both"/>
        <w:rPr>
          <w:rFonts w:ascii="Palatino Linotype" w:eastAsia="Palatino Linotype" w:hAnsi="Palatino Linotype" w:cs="Palatino Linotype"/>
          <w:i/>
          <w:color w:val="000000"/>
        </w:rPr>
      </w:pPr>
      <w:r w:rsidRPr="006D5314">
        <w:rPr>
          <w:rFonts w:ascii="Palatino Linotype" w:eastAsia="Palatino Linotype" w:hAnsi="Palatino Linotype" w:cs="Palatino Linotype"/>
          <w:i/>
          <w:color w:val="000000"/>
        </w:rPr>
        <w:t>(…)”</w:t>
      </w:r>
    </w:p>
    <w:p w:rsidR="008F1029" w:rsidRPr="006D5314" w:rsidRDefault="008F1029" w:rsidP="008F1029">
      <w:pPr>
        <w:ind w:right="-787"/>
        <w:jc w:val="both"/>
        <w:rPr>
          <w:rFonts w:ascii="Palatino Linotype" w:eastAsia="Palatino Linotype" w:hAnsi="Palatino Linotype" w:cs="Palatino Linotype"/>
        </w:rPr>
      </w:pPr>
    </w:p>
    <w:p w:rsidR="008F1029" w:rsidRPr="006D5314" w:rsidRDefault="008F1029" w:rsidP="008F1029">
      <w:pPr>
        <w:numPr>
          <w:ilvl w:val="0"/>
          <w:numId w:val="2"/>
        </w:numPr>
        <w:spacing w:line="360" w:lineRule="auto"/>
        <w:ind w:left="0" w:right="-787" w:firstLine="0"/>
        <w:jc w:val="both"/>
        <w:rPr>
          <w:color w:val="000000"/>
        </w:rPr>
      </w:pPr>
      <w:r w:rsidRPr="006D5314">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6D5314">
        <w:rPr>
          <w:rFonts w:ascii="Palatino Linotype" w:eastAsia="Palatino Linotype" w:hAnsi="Palatino Linotype" w:cs="Palatino Linotype"/>
          <w:color w:val="000000"/>
        </w:rPr>
        <w:lastRenderedPageBreak/>
        <w:t>del Estado Libre y Soberano de México “Gaceta del Gobierno”, el diecinueve de octubre de dos mil once, cuyo rubro y texto dispone:</w:t>
      </w:r>
    </w:p>
    <w:p w:rsidR="008F1029" w:rsidRPr="006D5314" w:rsidRDefault="008F1029" w:rsidP="008F1029">
      <w:pPr>
        <w:ind w:left="850" w:right="-220"/>
        <w:jc w:val="both"/>
        <w:rPr>
          <w:rFonts w:ascii="Palatino Linotype" w:eastAsia="Palatino Linotype" w:hAnsi="Palatino Linotype" w:cs="Palatino Linotype"/>
          <w:b/>
          <w:i/>
        </w:rPr>
      </w:pPr>
      <w:r w:rsidRPr="006D5314">
        <w:rPr>
          <w:rFonts w:ascii="Palatino Linotype" w:eastAsia="Palatino Linotype" w:hAnsi="Palatino Linotype" w:cs="Palatino Linotype"/>
          <w:b/>
        </w:rPr>
        <w:t>“</w:t>
      </w:r>
      <w:r w:rsidRPr="006D5314">
        <w:rPr>
          <w:rFonts w:ascii="Palatino Linotype" w:eastAsia="Palatino Linotype" w:hAnsi="Palatino Linotype" w:cs="Palatino Linotype"/>
          <w:b/>
          <w:i/>
        </w:rPr>
        <w:t>CRITERIO 0002-11</w:t>
      </w:r>
    </w:p>
    <w:p w:rsidR="008F1029" w:rsidRPr="006D5314" w:rsidRDefault="008F1029" w:rsidP="008F1029">
      <w:pPr>
        <w:ind w:left="850" w:right="-220"/>
        <w:jc w:val="both"/>
        <w:rPr>
          <w:rFonts w:ascii="Palatino Linotype" w:eastAsia="Palatino Linotype" w:hAnsi="Palatino Linotype" w:cs="Palatino Linotype"/>
          <w:i/>
        </w:rPr>
      </w:pPr>
      <w:r w:rsidRPr="006D531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D531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6D5314" w:rsidRDefault="008F1029" w:rsidP="008F1029">
      <w:pPr>
        <w:ind w:left="850"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En consecuencia el acceso a la información se refiere a que se cumplan cualquiera de los siguientes tres supuestos:</w:t>
      </w:r>
    </w:p>
    <w:p w:rsidR="008F1029" w:rsidRPr="006D5314" w:rsidRDefault="008F1029" w:rsidP="008F1029">
      <w:pPr>
        <w:ind w:left="850" w:right="-220"/>
        <w:jc w:val="both"/>
        <w:rPr>
          <w:rFonts w:ascii="Palatino Linotype" w:eastAsia="Palatino Linotype" w:hAnsi="Palatino Linotype" w:cs="Palatino Linotype"/>
          <w:b/>
          <w:i/>
        </w:rPr>
      </w:pPr>
      <w:r w:rsidRPr="006D5314">
        <w:rPr>
          <w:rFonts w:ascii="Palatino Linotype" w:eastAsia="Palatino Linotype" w:hAnsi="Palatino Linotype" w:cs="Palatino Linotype"/>
          <w:b/>
          <w:i/>
        </w:rPr>
        <w:t xml:space="preserve">1) </w:t>
      </w:r>
      <w:r w:rsidRPr="006D5314">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8F1029" w:rsidRPr="006D5314" w:rsidRDefault="008F1029" w:rsidP="008F1029">
      <w:pPr>
        <w:ind w:left="850"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F1029" w:rsidRPr="006D5314" w:rsidRDefault="008F1029" w:rsidP="008F1029">
      <w:pPr>
        <w:ind w:left="850"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8F1029" w:rsidRPr="006D5314" w:rsidRDefault="008F1029" w:rsidP="008F1029">
      <w:pPr>
        <w:tabs>
          <w:tab w:val="left" w:pos="851"/>
        </w:tabs>
        <w:spacing w:line="360" w:lineRule="auto"/>
        <w:ind w:left="850" w:right="-220"/>
        <w:rPr>
          <w:rFonts w:ascii="Palatino Linotype" w:eastAsia="Palatino Linotype" w:hAnsi="Palatino Linotype" w:cs="Palatino Linotype"/>
        </w:rPr>
      </w:pPr>
      <w:r w:rsidRPr="006D5314">
        <w:rPr>
          <w:rFonts w:ascii="Palatino Linotype" w:eastAsia="Palatino Linotype" w:hAnsi="Palatino Linotype" w:cs="Palatino Linotype"/>
        </w:rPr>
        <w:t>(Énfasis Añadido)</w:t>
      </w:r>
    </w:p>
    <w:p w:rsidR="008F1029" w:rsidRPr="006D5314" w:rsidRDefault="008F1029" w:rsidP="008F1029">
      <w:pPr>
        <w:pBdr>
          <w:top w:val="nil"/>
          <w:left w:val="nil"/>
          <w:bottom w:val="nil"/>
          <w:right w:val="nil"/>
          <w:between w:val="nil"/>
        </w:pBdr>
        <w:ind w:right="-787"/>
        <w:jc w:val="both"/>
        <w:rPr>
          <w:rFonts w:ascii="Palatino Linotype" w:eastAsia="Palatino Linotype" w:hAnsi="Palatino Linotype" w:cs="Palatino Linotype"/>
          <w:color w:val="000000"/>
        </w:rPr>
      </w:pPr>
    </w:p>
    <w:p w:rsidR="008F1029" w:rsidRPr="006D5314" w:rsidRDefault="008F1029" w:rsidP="008F1029">
      <w:pPr>
        <w:numPr>
          <w:ilvl w:val="0"/>
          <w:numId w:val="2"/>
        </w:numPr>
        <w:spacing w:line="360" w:lineRule="auto"/>
        <w:ind w:left="0" w:right="-787" w:firstLine="0"/>
        <w:jc w:val="both"/>
        <w:rPr>
          <w:color w:val="000000"/>
        </w:rPr>
      </w:pPr>
      <w:r w:rsidRPr="006D5314">
        <w:rPr>
          <w:rFonts w:ascii="Palatino Linotype" w:eastAsia="Palatino Linotype" w:hAnsi="Palatino Linotype" w:cs="Palatino Linotype"/>
          <w:color w:val="000000"/>
        </w:rPr>
        <w:t>Por su parte los artículos 160 y 166, de la Ley local en la materia, que se reproduce de la siguiente forma:</w:t>
      </w:r>
    </w:p>
    <w:p w:rsidR="008F1029" w:rsidRPr="006D5314" w:rsidRDefault="008F1029" w:rsidP="008F1029">
      <w:pPr>
        <w:ind w:left="566"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r w:rsidRPr="006D5314">
        <w:rPr>
          <w:rFonts w:ascii="Palatino Linotype" w:eastAsia="Palatino Linotype" w:hAnsi="Palatino Linotype" w:cs="Palatino Linotype"/>
          <w:b/>
          <w:i/>
        </w:rPr>
        <w:t>Artículo 160.</w:t>
      </w:r>
      <w:r w:rsidRPr="006D5314">
        <w:rPr>
          <w:rFonts w:ascii="Palatino Linotype" w:eastAsia="Palatino Linotype" w:hAnsi="Palatino Linotype" w:cs="Palatino Linotype"/>
          <w:i/>
        </w:rPr>
        <w:t xml:space="preserve"> </w:t>
      </w:r>
      <w:r w:rsidRPr="006D5314">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D5314">
        <w:rPr>
          <w:rFonts w:ascii="Palatino Linotype" w:eastAsia="Palatino Linotype" w:hAnsi="Palatino Linotype" w:cs="Palatino Linotype"/>
          <w:i/>
        </w:rPr>
        <w:t>.</w:t>
      </w:r>
    </w:p>
    <w:p w:rsidR="008F1029" w:rsidRPr="006D5314" w:rsidRDefault="008F1029" w:rsidP="008F1029">
      <w:pPr>
        <w:ind w:left="566" w:right="-220"/>
        <w:jc w:val="both"/>
        <w:rPr>
          <w:rFonts w:ascii="Palatino Linotype" w:eastAsia="Palatino Linotype" w:hAnsi="Palatino Linotype" w:cs="Palatino Linotype"/>
          <w:i/>
        </w:rPr>
      </w:pPr>
    </w:p>
    <w:p w:rsidR="008F1029" w:rsidRPr="006D5314" w:rsidRDefault="008F1029" w:rsidP="008F1029">
      <w:pPr>
        <w:ind w:left="566" w:right="-220"/>
        <w:jc w:val="both"/>
        <w:rPr>
          <w:rFonts w:ascii="Palatino Linotype" w:eastAsia="Palatino Linotype" w:hAnsi="Palatino Linotype" w:cs="Palatino Linotype"/>
          <w:i/>
        </w:rPr>
      </w:pPr>
      <w:r w:rsidRPr="006D5314">
        <w:rPr>
          <w:rFonts w:ascii="Palatino Linotype" w:eastAsia="Palatino Linotype" w:hAnsi="Palatino Linotype" w:cs="Palatino Linotype"/>
          <w:i/>
        </w:rPr>
        <w:t>En caso que la información solicitada consista en bases de datos se deberá privilegiar la entrega de la misma en formatos abiertos.</w:t>
      </w:r>
    </w:p>
    <w:p w:rsidR="00925608" w:rsidRPr="006D5314" w:rsidRDefault="00925608" w:rsidP="008F1029">
      <w:pPr>
        <w:ind w:left="566" w:right="-220"/>
        <w:jc w:val="both"/>
        <w:rPr>
          <w:rFonts w:ascii="Palatino Linotype" w:eastAsia="Palatino Linotype" w:hAnsi="Palatino Linotype" w:cs="Palatino Linotype"/>
          <w:i/>
        </w:rPr>
      </w:pPr>
    </w:p>
    <w:p w:rsidR="008F1029" w:rsidRPr="006D5314" w:rsidRDefault="008F1029" w:rsidP="008F1029">
      <w:pPr>
        <w:ind w:left="566" w:right="-220"/>
        <w:jc w:val="both"/>
        <w:rPr>
          <w:rFonts w:ascii="Palatino Linotype" w:eastAsia="Palatino Linotype" w:hAnsi="Palatino Linotype" w:cs="Palatino Linotype"/>
          <w:i/>
          <w:u w:val="single"/>
        </w:rPr>
      </w:pPr>
      <w:r w:rsidRPr="006D5314">
        <w:rPr>
          <w:rFonts w:ascii="Palatino Linotype" w:eastAsia="Palatino Linotype" w:hAnsi="Palatino Linotype" w:cs="Palatino Linotype"/>
          <w:b/>
          <w:i/>
        </w:rPr>
        <w:lastRenderedPageBreak/>
        <w:t>Artículo 166.</w:t>
      </w:r>
      <w:r w:rsidRPr="006D5314">
        <w:rPr>
          <w:rFonts w:ascii="Palatino Linotype" w:eastAsia="Palatino Linotype" w:hAnsi="Palatino Linotype" w:cs="Palatino Linotype"/>
          <w:i/>
        </w:rPr>
        <w:t xml:space="preserve"> </w:t>
      </w:r>
      <w:r w:rsidRPr="006D5314">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6D5314" w:rsidRDefault="008F1029" w:rsidP="008F1029">
      <w:pPr>
        <w:spacing w:line="360" w:lineRule="auto"/>
        <w:ind w:left="566" w:right="-220"/>
        <w:jc w:val="both"/>
        <w:rPr>
          <w:rFonts w:ascii="Palatino Linotype" w:eastAsia="Palatino Linotype" w:hAnsi="Palatino Linotype" w:cs="Palatino Linotype"/>
        </w:rPr>
      </w:pPr>
      <w:r w:rsidRPr="006D5314">
        <w:rPr>
          <w:rFonts w:ascii="Palatino Linotype" w:eastAsia="Palatino Linotype" w:hAnsi="Palatino Linotype" w:cs="Palatino Linotype"/>
        </w:rPr>
        <w:t>(Énfasis añadido)</w:t>
      </w:r>
    </w:p>
    <w:p w:rsidR="008F1029" w:rsidRPr="006D5314" w:rsidRDefault="008F1029" w:rsidP="008F1029">
      <w:pPr>
        <w:ind w:right="-787"/>
        <w:jc w:val="both"/>
        <w:rPr>
          <w:rFonts w:ascii="Palatino Linotype" w:eastAsia="Palatino Linotype" w:hAnsi="Palatino Linotype" w:cs="Palatino Linotype"/>
        </w:rPr>
      </w:pPr>
    </w:p>
    <w:p w:rsidR="008F1029" w:rsidRPr="006D5314" w:rsidRDefault="008F1029" w:rsidP="008F1029">
      <w:pPr>
        <w:numPr>
          <w:ilvl w:val="0"/>
          <w:numId w:val="2"/>
        </w:numPr>
        <w:spacing w:line="360" w:lineRule="auto"/>
        <w:ind w:left="0" w:right="-787" w:firstLine="0"/>
        <w:jc w:val="both"/>
        <w:rPr>
          <w:color w:val="000000"/>
        </w:rPr>
      </w:pPr>
      <w:r w:rsidRPr="006D5314">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6EB0" w:rsidRPr="006D5314" w:rsidRDefault="00396EB0" w:rsidP="00396EB0">
      <w:pPr>
        <w:spacing w:line="360" w:lineRule="auto"/>
        <w:ind w:right="-787"/>
        <w:jc w:val="both"/>
        <w:rPr>
          <w:color w:val="000000"/>
        </w:rPr>
      </w:pPr>
    </w:p>
    <w:p w:rsidR="00396EB0" w:rsidRPr="006D5314" w:rsidRDefault="00396EB0" w:rsidP="0004020B">
      <w:pPr>
        <w:numPr>
          <w:ilvl w:val="0"/>
          <w:numId w:val="10"/>
        </w:numPr>
        <w:pBdr>
          <w:top w:val="nil"/>
          <w:left w:val="nil"/>
          <w:bottom w:val="nil"/>
          <w:right w:val="nil"/>
          <w:between w:val="nil"/>
        </w:pBdr>
        <w:tabs>
          <w:tab w:val="left" w:pos="0"/>
          <w:tab w:val="left" w:pos="567"/>
        </w:tabs>
        <w:spacing w:line="360" w:lineRule="auto"/>
        <w:ind w:left="0" w:right="-788"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b/>
          <w:color w:val="000000"/>
        </w:rPr>
        <w:t xml:space="preserve">De la naturaleza de la información solicitada. </w:t>
      </w:r>
    </w:p>
    <w:p w:rsidR="00396EB0" w:rsidRPr="006D5314" w:rsidRDefault="00396EB0" w:rsidP="00396EB0">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Se </w:t>
      </w:r>
      <w:r w:rsidRPr="006D5314">
        <w:rPr>
          <w:rFonts w:ascii="Palatino Linotype" w:eastAsia="Palatino Linotype" w:hAnsi="Palatino Linotype" w:cs="Palatino Linotype"/>
          <w:color w:val="000000"/>
        </w:rPr>
        <w:t>precisa</w:t>
      </w:r>
      <w:r w:rsidRPr="006D5314">
        <w:rPr>
          <w:rFonts w:ascii="Palatino Linotype" w:eastAsia="Palatino Linotype" w:hAnsi="Palatino Linotype" w:cs="Palatino Linotype"/>
        </w:rPr>
        <w:t xml:space="preserve"> que se obvia el análisis de la competencia por parte del </w:t>
      </w:r>
      <w:r w:rsidRPr="006D5314">
        <w:rPr>
          <w:rFonts w:ascii="Palatino Linotype" w:eastAsia="Palatino Linotype" w:hAnsi="Palatino Linotype" w:cs="Palatino Linotype"/>
          <w:b/>
        </w:rPr>
        <w:t>SUJETO OBLIGADO</w:t>
      </w:r>
      <w:r w:rsidRPr="006D5314">
        <w:rPr>
          <w:rFonts w:ascii="Palatino Linotype" w:eastAsia="Palatino Linotype" w:hAnsi="Palatino Linotype" w:cs="Palatino Linotype"/>
        </w:rPr>
        <w:t xml:space="preserve">, para generar, administrar o poseer la información solicitada, dado que éste ha asumido la misma, en razón que en </w:t>
      </w:r>
      <w:r w:rsidR="00201414" w:rsidRPr="006D5314">
        <w:rPr>
          <w:rFonts w:ascii="Palatino Linotype" w:eastAsia="Palatino Linotype" w:hAnsi="Palatino Linotype" w:cs="Palatino Linotype"/>
        </w:rPr>
        <w:t>informe justificado</w:t>
      </w:r>
      <w:r w:rsidRPr="006D5314">
        <w:rPr>
          <w:rFonts w:ascii="Palatino Linotype" w:eastAsia="Palatino Linotype" w:hAnsi="Palatino Linotype" w:cs="Palatino Linotype"/>
        </w:rPr>
        <w:t xml:space="preserve"> admitió contar con dicha información, tan es así que </w:t>
      </w:r>
      <w:r w:rsidR="00A5524E" w:rsidRPr="006D5314">
        <w:rPr>
          <w:rFonts w:ascii="Palatino Linotype" w:eastAsia="Palatino Linotype" w:hAnsi="Palatino Linotype" w:cs="Palatino Linotype"/>
        </w:rPr>
        <w:t>refirió que los expedientes de las obras que se dio arranque al día 19 de septiembre de 2025, se encuentran en proceso de integración para su inclusión al Tercer Informe Trimestral, razón por la que no pueden ser entregados, sino hasta posterior a su entrega al ente fiscalizador estatal.</w:t>
      </w:r>
    </w:p>
    <w:p w:rsidR="00396EB0" w:rsidRPr="006D5314" w:rsidRDefault="00396EB0" w:rsidP="00396EB0">
      <w:pPr>
        <w:tabs>
          <w:tab w:val="left" w:pos="0"/>
          <w:tab w:val="left" w:pos="567"/>
        </w:tabs>
        <w:spacing w:line="360" w:lineRule="auto"/>
        <w:ind w:left="-566" w:right="-787"/>
        <w:jc w:val="both"/>
        <w:rPr>
          <w:rFonts w:ascii="Palatino Linotype" w:eastAsia="Palatino Linotype" w:hAnsi="Palatino Linotype" w:cs="Palatino Linotype"/>
        </w:rPr>
      </w:pPr>
    </w:p>
    <w:p w:rsidR="00396EB0" w:rsidRPr="006D5314" w:rsidRDefault="00396EB0" w:rsidP="00396EB0">
      <w:pPr>
        <w:numPr>
          <w:ilvl w:val="0"/>
          <w:numId w:val="2"/>
        </w:numPr>
        <w:spacing w:line="360" w:lineRule="auto"/>
        <w:ind w:left="0" w:right="-787" w:firstLine="0"/>
        <w:jc w:val="both"/>
      </w:pPr>
      <w:bookmarkStart w:id="7" w:name="_heading=h.2s8eyo1" w:colFirst="0" w:colLast="0"/>
      <w:bookmarkEnd w:id="7"/>
      <w:r w:rsidRPr="006D5314">
        <w:rPr>
          <w:rFonts w:ascii="Palatino Linotype" w:eastAsia="Palatino Linotype" w:hAnsi="Palatino Linotype" w:cs="Palatino Linotype"/>
        </w:rPr>
        <w:t xml:space="preserve">En efecto, el </w:t>
      </w:r>
      <w:r w:rsidRPr="006D5314">
        <w:rPr>
          <w:rFonts w:ascii="Palatino Linotype" w:eastAsia="Palatino Linotype" w:hAnsi="Palatino Linotype" w:cs="Palatino Linotype"/>
          <w:color w:val="000000"/>
        </w:rPr>
        <w:t>hecho</w:t>
      </w:r>
      <w:r w:rsidRPr="006D5314">
        <w:rPr>
          <w:rFonts w:ascii="Palatino Linotype" w:eastAsia="Palatino Linotype" w:hAnsi="Palatino Linotype" w:cs="Palatino Linotype"/>
        </w:rPr>
        <w:t xml:space="preserve"> de que </w:t>
      </w:r>
      <w:r w:rsidRPr="006D5314">
        <w:rPr>
          <w:rFonts w:ascii="Palatino Linotype" w:eastAsia="Palatino Linotype" w:hAnsi="Palatino Linotype" w:cs="Palatino Linotype"/>
          <w:b/>
        </w:rPr>
        <w:t>EL SUJETO OBLIGADO</w:t>
      </w:r>
      <w:r w:rsidRPr="006D5314">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96EB0" w:rsidRPr="006D5314" w:rsidRDefault="00396EB0" w:rsidP="00396EB0">
      <w:pPr>
        <w:spacing w:line="360" w:lineRule="auto"/>
        <w:ind w:right="-787"/>
        <w:jc w:val="both"/>
      </w:pPr>
    </w:p>
    <w:p w:rsidR="00396EB0" w:rsidRPr="006D5314" w:rsidRDefault="00396EB0" w:rsidP="00396EB0">
      <w:pPr>
        <w:tabs>
          <w:tab w:val="left" w:pos="8505"/>
        </w:tabs>
        <w:ind w:left="709"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lastRenderedPageBreak/>
        <w:t>“</w:t>
      </w:r>
      <w:r w:rsidRPr="006D5314">
        <w:rPr>
          <w:rFonts w:ascii="Palatino Linotype" w:eastAsia="Palatino Linotype" w:hAnsi="Palatino Linotype" w:cs="Palatino Linotype"/>
          <w:b/>
          <w:i/>
        </w:rPr>
        <w:t>Artículo 12.</w:t>
      </w:r>
      <w:r w:rsidRPr="006D5314">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396EB0" w:rsidRPr="006D5314" w:rsidRDefault="00396EB0" w:rsidP="00396EB0">
      <w:pPr>
        <w:tabs>
          <w:tab w:val="left" w:pos="8505"/>
        </w:tabs>
        <w:ind w:left="709" w:right="-858"/>
        <w:jc w:val="both"/>
        <w:rPr>
          <w:rFonts w:ascii="Palatino Linotype" w:eastAsia="Palatino Linotype" w:hAnsi="Palatino Linotype" w:cs="Palatino Linotype"/>
          <w:i/>
        </w:rPr>
      </w:pPr>
    </w:p>
    <w:p w:rsidR="00396EB0" w:rsidRPr="006D5314" w:rsidRDefault="00396EB0" w:rsidP="00396EB0">
      <w:pPr>
        <w:tabs>
          <w:tab w:val="left" w:pos="8505"/>
        </w:tabs>
        <w:ind w:left="709"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96EB0" w:rsidRPr="006D5314" w:rsidRDefault="00396EB0" w:rsidP="00396EB0">
      <w:pPr>
        <w:tabs>
          <w:tab w:val="left" w:pos="8505"/>
        </w:tabs>
        <w:ind w:left="709" w:right="-858"/>
        <w:jc w:val="both"/>
        <w:rPr>
          <w:rFonts w:ascii="Palatino Linotype" w:eastAsia="Palatino Linotype" w:hAnsi="Palatino Linotype" w:cs="Palatino Linotype"/>
          <w:i/>
        </w:rPr>
      </w:pPr>
    </w:p>
    <w:p w:rsidR="00396EB0" w:rsidRPr="006D5314" w:rsidRDefault="00396EB0" w:rsidP="00396EB0">
      <w:pPr>
        <w:pBdr>
          <w:top w:val="nil"/>
          <w:left w:val="nil"/>
          <w:bottom w:val="nil"/>
          <w:right w:val="nil"/>
          <w:between w:val="nil"/>
        </w:pBdr>
        <w:ind w:left="-566" w:right="-787"/>
        <w:rPr>
          <w:rFonts w:ascii="Palatino Linotype" w:eastAsia="Palatino Linotype" w:hAnsi="Palatino Linotype" w:cs="Palatino Linotype"/>
          <w:color w:val="000000"/>
        </w:rPr>
      </w:pPr>
    </w:p>
    <w:p w:rsidR="00396EB0" w:rsidRPr="006D5314" w:rsidRDefault="00396EB0" w:rsidP="00396EB0">
      <w:pPr>
        <w:numPr>
          <w:ilvl w:val="0"/>
          <w:numId w:val="2"/>
        </w:numPr>
        <w:spacing w:line="360" w:lineRule="auto"/>
        <w:ind w:left="0" w:right="-787" w:firstLine="0"/>
        <w:jc w:val="both"/>
        <w:rPr>
          <w:color w:val="000000"/>
        </w:rPr>
      </w:pPr>
      <w:r w:rsidRPr="006D5314">
        <w:rPr>
          <w:rFonts w:ascii="Palatino Linotype" w:eastAsia="Palatino Linotype" w:hAnsi="Palatino Linotype" w:cs="Palatino Linotype"/>
        </w:rPr>
        <w:t xml:space="preserve">Así, el estudio de </w:t>
      </w:r>
      <w:r w:rsidRPr="006D5314">
        <w:rPr>
          <w:rFonts w:ascii="Palatino Linotype" w:eastAsia="Palatino Linotype" w:hAnsi="Palatino Linotype" w:cs="Palatino Linotype"/>
          <w:color w:val="000000"/>
        </w:rPr>
        <w:t>la</w:t>
      </w:r>
      <w:r w:rsidRPr="006D5314">
        <w:rPr>
          <w:rFonts w:ascii="Palatino Linotype" w:eastAsia="Palatino Linotype" w:hAnsi="Palatino Linotype" w:cs="Palatino Linotype"/>
        </w:rPr>
        <w:t xml:space="preserve"> naturaleza jurídica de la información pública solicitada, tiene por objeto determinar si ésta la genera, posee o administra </w:t>
      </w:r>
      <w:r w:rsidRPr="006D5314">
        <w:rPr>
          <w:rFonts w:ascii="Palatino Linotype" w:eastAsia="Palatino Linotype" w:hAnsi="Palatino Linotype" w:cs="Palatino Linotype"/>
          <w:b/>
        </w:rPr>
        <w:t>EL SUJETO OBLIGADO</w:t>
      </w:r>
      <w:r w:rsidRPr="006D5314">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E0784B" w:rsidRPr="006D5314" w:rsidRDefault="00E0784B" w:rsidP="00925608">
      <w:pPr>
        <w:spacing w:line="360" w:lineRule="auto"/>
        <w:ind w:right="-787"/>
        <w:jc w:val="both"/>
        <w:rPr>
          <w:rFonts w:ascii="Palatino Linotype" w:eastAsia="Palatino Linotype" w:hAnsi="Palatino Linotype" w:cs="Palatino Linotype"/>
        </w:rPr>
      </w:pPr>
    </w:p>
    <w:p w:rsidR="00E0784B" w:rsidRPr="006D5314" w:rsidRDefault="00E0784B" w:rsidP="00E0784B">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Es de recordar que el particular solicitó la información siguiente </w:t>
      </w:r>
      <w:r w:rsidR="00367552" w:rsidRPr="006D5314">
        <w:rPr>
          <w:rFonts w:ascii="Palatino Linotype" w:eastAsia="Palatino Linotype" w:hAnsi="Palatino Linotype" w:cs="Palatino Linotype"/>
          <w:i/>
          <w:u w:val="single"/>
        </w:rPr>
        <w:t>Documentación que dé cuenta del procedimiento de licitación pública de las obras a las que se dio arranque el 19 de septiembre de 2025: La Nopalera, Loma Hidalgo Manzana Cuarta y Manzana Cuarta de Cabecera Municipal</w:t>
      </w:r>
      <w:r w:rsidRPr="006D5314">
        <w:rPr>
          <w:rFonts w:ascii="Palatino Linotype" w:eastAsia="Palatino Linotype" w:hAnsi="Palatino Linotype" w:cs="Palatino Linotype"/>
          <w:i/>
        </w:rPr>
        <w:t xml:space="preserve">, </w:t>
      </w:r>
      <w:r w:rsidRPr="006D5314">
        <w:rPr>
          <w:rFonts w:ascii="Palatino Linotype" w:eastAsia="Palatino Linotype" w:hAnsi="Palatino Linotype" w:cs="Palatino Linotype"/>
        </w:rPr>
        <w:t xml:space="preserve">en respuesta el Sujeto Obligado </w:t>
      </w:r>
      <w:r w:rsidR="00367552" w:rsidRPr="006D5314">
        <w:rPr>
          <w:rFonts w:ascii="Palatino Linotype" w:eastAsia="Palatino Linotype" w:hAnsi="Palatino Linotype" w:cs="Palatino Linotype"/>
        </w:rPr>
        <w:t>a través de la unidad administrativa competente que los expedientes de las obras que se dio arranque al día 19 de septiembre de 2025, se encuentran en proceso de integración para su inclusión al Tercer Informe Trimestral, razón por la que no pueden ser entregados, sino hasta posterior a su entrega al ente fiscalizador estatal,</w:t>
      </w:r>
      <w:r w:rsidR="00684415" w:rsidRPr="006D5314">
        <w:rPr>
          <w:rFonts w:ascii="Palatino Linotype" w:eastAsia="Palatino Linotype" w:hAnsi="Palatino Linotype" w:cs="Palatino Linotype"/>
        </w:rPr>
        <w:t xml:space="preserve"> en consecuencia el particular se dolió </w:t>
      </w:r>
      <w:r w:rsidR="00367552" w:rsidRPr="006D5314">
        <w:rPr>
          <w:rFonts w:ascii="Palatino Linotype" w:eastAsia="Palatino Linotype" w:hAnsi="Palatino Linotype" w:cs="Palatino Linotype"/>
        </w:rPr>
        <w:t>por la negativa a la información solicitada</w:t>
      </w:r>
      <w:r w:rsidR="00874119" w:rsidRPr="006D5314">
        <w:rPr>
          <w:rFonts w:ascii="Palatino Linotype" w:eastAsia="Palatino Linotype" w:hAnsi="Palatino Linotype" w:cs="Palatino Linotype"/>
        </w:rPr>
        <w:t xml:space="preserve">, remitiendo en etapa de manifestaciones los </w:t>
      </w:r>
      <w:r w:rsidR="00874119" w:rsidRPr="006D5314">
        <w:rPr>
          <w:rFonts w:ascii="Palatino Linotype" w:eastAsia="Palatino Linotype" w:hAnsi="Palatino Linotype" w:cs="Palatino Linotype"/>
          <w:bCs/>
        </w:rPr>
        <w:t xml:space="preserve">Lineamientos, para la integración y presentación de los informes trimestrales estatales y municipales del ejercicio fiscal 2025, de las entidades fiscalizables del Estado de México, manifestando como comentarios que la información solicitada no se integra </w:t>
      </w:r>
      <w:r w:rsidR="00874119" w:rsidRPr="006D5314">
        <w:rPr>
          <w:rFonts w:ascii="Palatino Linotype" w:eastAsia="Palatino Linotype" w:hAnsi="Palatino Linotype" w:cs="Palatino Linotype"/>
          <w:bCs/>
        </w:rPr>
        <w:lastRenderedPageBreak/>
        <w:t>a los informes trimestrales del OSFEM,</w:t>
      </w:r>
      <w:r w:rsidR="00C71E1E" w:rsidRPr="006D5314">
        <w:rPr>
          <w:rFonts w:ascii="Palatino Linotype" w:eastAsia="Palatino Linotype" w:hAnsi="Palatino Linotype" w:cs="Palatino Linotype"/>
          <w:bCs/>
        </w:rPr>
        <w:t xml:space="preserve"> siendo omiso el Sujeto Obligado de rendir informe justificado.</w:t>
      </w:r>
    </w:p>
    <w:p w:rsidR="000E4710" w:rsidRPr="006D5314" w:rsidRDefault="000E4710" w:rsidP="000E4710">
      <w:pPr>
        <w:spacing w:line="360" w:lineRule="auto"/>
        <w:ind w:right="-787"/>
        <w:jc w:val="both"/>
        <w:rPr>
          <w:rFonts w:ascii="Palatino Linotype" w:eastAsia="Palatino Linotype" w:hAnsi="Palatino Linotype" w:cs="Palatino Linotype"/>
        </w:rPr>
      </w:pPr>
    </w:p>
    <w:p w:rsidR="00B642E1" w:rsidRPr="006D5314" w:rsidRDefault="00B642E1" w:rsidP="00B642E1">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Calibri" w:hAnsi="Palatino Linotype" w:cs="Arial"/>
        </w:rPr>
        <w:t xml:space="preserve">En este </w:t>
      </w:r>
      <w:r w:rsidRPr="006D5314">
        <w:rPr>
          <w:rFonts w:ascii="Palatino Linotype" w:eastAsia="Palatino Linotype" w:hAnsi="Palatino Linotype" w:cs="Palatino Linotype"/>
          <w:bCs/>
        </w:rPr>
        <w:t>contexto</w:t>
      </w:r>
      <w:r w:rsidRPr="006D5314">
        <w:rPr>
          <w:rFonts w:ascii="Palatino Linotype" w:eastAsia="Calibri" w:hAnsi="Palatino Linotype" w:cs="Arial"/>
        </w:rPr>
        <w:t xml:space="preserve">, es de precisar lo que establece la legislación respecto de los procedimientos de adquisición, arrendamientos y servicios; </w:t>
      </w:r>
      <w:r w:rsidRPr="006D5314">
        <w:rPr>
          <w:rFonts w:ascii="Palatino Linotype" w:eastAsia="Palatino Linotype" w:hAnsi="Palatino Linotype" w:cs="Palatino Linotype"/>
          <w:color w:val="000000"/>
        </w:rPr>
        <w:t xml:space="preserve">los artículos 1, fracción III, y 4 de la Ley de la de Contratación Pública del Estado de México y Municipios, especifica que los Ayuntamientos y sus organismos serán los encargados de realizar los actos relativos a la planeación, programación, presupuestación, ejecución y control de la adquisición (bienes muebles e inmuebles), arrendamiento (bienes muebles e inmuebles), y la </w:t>
      </w:r>
      <w:r w:rsidRPr="006D5314">
        <w:rPr>
          <w:rFonts w:ascii="Palatino Linotype" w:eastAsia="Palatino Linotype" w:hAnsi="Palatino Linotype" w:cs="Palatino Linotype"/>
          <w:b/>
          <w:color w:val="000000"/>
        </w:rPr>
        <w:t>contratación de servicios de cualquier naturaleza</w:t>
      </w:r>
      <w:r w:rsidRPr="006D5314">
        <w:rPr>
          <w:rFonts w:ascii="Palatino Linotype" w:eastAsia="Palatino Linotype" w:hAnsi="Palatino Linotype" w:cs="Palatino Linotype"/>
          <w:color w:val="000000"/>
        </w:rPr>
        <w:t xml:space="preserve">. </w:t>
      </w:r>
    </w:p>
    <w:p w:rsidR="00B642E1" w:rsidRPr="006D5314" w:rsidRDefault="00B642E1" w:rsidP="00B642E1">
      <w:pPr>
        <w:ind w:right="-787"/>
        <w:jc w:val="both"/>
        <w:rPr>
          <w:rFonts w:ascii="Palatino Linotype" w:eastAsia="Palatino Linotype" w:hAnsi="Palatino Linotype" w:cs="Palatino Linotype"/>
          <w:color w:val="000000"/>
        </w:rPr>
      </w:pPr>
    </w:p>
    <w:p w:rsidR="00B642E1" w:rsidRPr="006D5314" w:rsidRDefault="00B642E1" w:rsidP="00B642E1">
      <w:pPr>
        <w:ind w:left="567" w:right="-85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4.- </w:t>
      </w:r>
      <w:r w:rsidRPr="006D5314">
        <w:rPr>
          <w:rFonts w:ascii="Palatino Linotype" w:eastAsia="Palatino Linotype" w:hAnsi="Palatino Linotype" w:cs="Palatino Linotype"/>
          <w:i/>
        </w:rPr>
        <w:t>Para los efectos de esta Ley, en las adquisiciones, enajenaciones, arrendamientos y servicios, quedan comprendidos:</w:t>
      </w:r>
    </w:p>
    <w:p w:rsidR="00B642E1" w:rsidRPr="006D5314" w:rsidRDefault="00B642E1" w:rsidP="00B642E1">
      <w:pPr>
        <w:ind w:left="567" w:right="-856"/>
        <w:jc w:val="both"/>
        <w:rPr>
          <w:rFonts w:ascii="Palatino Linotype" w:eastAsia="Palatino Linotype" w:hAnsi="Palatino Linotype" w:cs="Palatino Linotype"/>
          <w:i/>
        </w:rPr>
      </w:pPr>
    </w:p>
    <w:p w:rsidR="00B642E1" w:rsidRPr="006D5314" w:rsidRDefault="00B642E1" w:rsidP="00B642E1">
      <w:pPr>
        <w:ind w:left="567" w:right="-85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V. </w:t>
      </w:r>
      <w:r w:rsidRPr="006D5314">
        <w:rPr>
          <w:rFonts w:ascii="Palatino Linotype" w:eastAsia="Palatino Linotype" w:hAnsi="Palatino Linotype" w:cs="Palatino Linotype"/>
          <w:i/>
        </w:rPr>
        <w:t xml:space="preserve">La contratación de los servicios, relacionados con bienes muebles que se encuentran incorporados o adheridos a bienes inmuebles, cuya instalación o mantenimiento no implique modificación al bien inmueble. </w:t>
      </w:r>
    </w:p>
    <w:p w:rsidR="00B642E1" w:rsidRPr="006D5314" w:rsidRDefault="00B642E1" w:rsidP="00B642E1">
      <w:pPr>
        <w:ind w:left="567" w:right="-856"/>
        <w:jc w:val="both"/>
        <w:rPr>
          <w:rFonts w:ascii="Palatino Linotype" w:eastAsia="Palatino Linotype" w:hAnsi="Palatino Linotype" w:cs="Palatino Linotype"/>
          <w:i/>
        </w:rPr>
      </w:pPr>
    </w:p>
    <w:p w:rsidR="00B642E1" w:rsidRPr="006D5314" w:rsidRDefault="00B642E1" w:rsidP="00B642E1">
      <w:pPr>
        <w:ind w:left="567" w:right="-85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 La contratación de los servicios de reconstrucción y mantenimiento de bienes muebles. </w:t>
      </w:r>
    </w:p>
    <w:p w:rsidR="00B642E1" w:rsidRPr="006D5314" w:rsidRDefault="00B642E1" w:rsidP="00B642E1">
      <w:pPr>
        <w:ind w:left="567" w:right="-856"/>
        <w:jc w:val="both"/>
        <w:rPr>
          <w:rFonts w:ascii="Palatino Linotype" w:eastAsia="Palatino Linotype" w:hAnsi="Palatino Linotype" w:cs="Palatino Linotype"/>
          <w:i/>
        </w:rPr>
      </w:pPr>
    </w:p>
    <w:p w:rsidR="00B642E1" w:rsidRPr="006D5314" w:rsidRDefault="00B642E1" w:rsidP="00B642E1">
      <w:pPr>
        <w:ind w:left="567" w:right="-856"/>
        <w:jc w:val="both"/>
        <w:rPr>
          <w:rFonts w:ascii="Palatino Linotype" w:eastAsia="Palatino Linotype" w:hAnsi="Palatino Linotype" w:cs="Palatino Linotype"/>
          <w:i/>
        </w:rPr>
      </w:pPr>
      <w:r w:rsidRPr="006D5314">
        <w:rPr>
          <w:rFonts w:ascii="Palatino Linotype" w:eastAsia="Palatino Linotype" w:hAnsi="Palatino Linotype" w:cs="Palatino Linotype"/>
          <w:i/>
        </w:rPr>
        <w:t>VII. La contratación de los servicios de maquila, seguros y transportación, así como de los de limpieza y vigilancia de bienes inmuebles.</w:t>
      </w:r>
    </w:p>
    <w:p w:rsidR="00B642E1" w:rsidRPr="006D5314" w:rsidRDefault="00B642E1" w:rsidP="00B642E1">
      <w:pPr>
        <w:ind w:left="567" w:right="-856"/>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B642E1" w:rsidRPr="006D5314" w:rsidRDefault="00B642E1" w:rsidP="00B642E1">
      <w:pPr>
        <w:ind w:left="567" w:right="-856"/>
        <w:jc w:val="both"/>
        <w:rPr>
          <w:rFonts w:ascii="Palatino Linotype" w:eastAsia="Palatino Linotype" w:hAnsi="Palatino Linotype" w:cs="Palatino Linotype"/>
          <w:i/>
        </w:rPr>
      </w:pPr>
    </w:p>
    <w:p w:rsidR="00B642E1" w:rsidRPr="006D5314" w:rsidRDefault="00B642E1" w:rsidP="00B642E1">
      <w:pPr>
        <w:ind w:left="567" w:right="-856"/>
        <w:jc w:val="both"/>
        <w:rPr>
          <w:rFonts w:ascii="Palatino Linotype" w:eastAsia="Palatino Linotype" w:hAnsi="Palatino Linotype" w:cs="Palatino Linotype"/>
          <w:b/>
          <w:i/>
        </w:rPr>
      </w:pPr>
      <w:r w:rsidRPr="006D5314">
        <w:rPr>
          <w:rFonts w:ascii="Palatino Linotype" w:eastAsia="Palatino Linotype" w:hAnsi="Palatino Linotype" w:cs="Palatino Linotype"/>
          <w:b/>
          <w:i/>
        </w:rPr>
        <w:t>En general, otros actos que impliquen la contratación de servicios de cualquier naturaleza.</w:t>
      </w:r>
    </w:p>
    <w:p w:rsidR="00B642E1" w:rsidRPr="006D5314" w:rsidRDefault="00B642E1" w:rsidP="00B642E1">
      <w:pPr>
        <w:ind w:left="567" w:right="-856"/>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b/>
          <w:i/>
        </w:rPr>
        <w:t>…</w:t>
      </w:r>
    </w:p>
    <w:p w:rsidR="00B642E1" w:rsidRPr="006D5314" w:rsidRDefault="00B642E1" w:rsidP="00B642E1">
      <w:pPr>
        <w:pBdr>
          <w:top w:val="nil"/>
          <w:left w:val="nil"/>
          <w:bottom w:val="nil"/>
          <w:right w:val="nil"/>
          <w:between w:val="nil"/>
        </w:pBdr>
        <w:spacing w:line="360" w:lineRule="auto"/>
        <w:ind w:left="644"/>
        <w:rPr>
          <w:rFonts w:ascii="Palatino Linotype" w:eastAsia="Palatino Linotype" w:hAnsi="Palatino Linotype" w:cs="Palatino Linotype"/>
          <w:color w:val="000000"/>
        </w:rPr>
      </w:pPr>
    </w:p>
    <w:p w:rsidR="00B642E1" w:rsidRPr="006D5314" w:rsidRDefault="00B642E1" w:rsidP="005962B3">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En ese contexto las adquisiciones, arrendamientos y servicios, se adjudicarán a través de </w:t>
      </w:r>
      <w:r w:rsidRPr="006D5314">
        <w:rPr>
          <w:rFonts w:ascii="Palatino Linotype" w:eastAsia="Calibri" w:hAnsi="Palatino Linotype" w:cs="Arial"/>
        </w:rPr>
        <w:t>procedimientos</w:t>
      </w:r>
      <w:r w:rsidRPr="006D5314">
        <w:rPr>
          <w:rFonts w:ascii="Palatino Linotype" w:eastAsia="Palatino Linotype" w:hAnsi="Palatino Linotype" w:cs="Palatino Linotype"/>
          <w:color w:val="000000"/>
        </w:rPr>
        <w:t xml:space="preserve"> de licitación pública, invitación restringida y adjudicación directa.</w:t>
      </w:r>
    </w:p>
    <w:p w:rsidR="00B642E1" w:rsidRPr="006D5314" w:rsidRDefault="00B642E1" w:rsidP="005962B3">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lastRenderedPageBreak/>
        <w:t xml:space="preserve">En </w:t>
      </w:r>
      <w:r w:rsidRPr="006D5314">
        <w:rPr>
          <w:rFonts w:ascii="Palatino Linotype" w:eastAsia="Palatino Linotype" w:hAnsi="Palatino Linotype" w:cs="Palatino Linotype"/>
          <w:color w:val="000000"/>
        </w:rPr>
        <w:t>este</w:t>
      </w:r>
      <w:r w:rsidRPr="006D5314">
        <w:rPr>
          <w:rFonts w:ascii="Palatino Linotype" w:eastAsia="Palatino Linotype" w:hAnsi="Palatino Linotype" w:cs="Palatino Linotype"/>
        </w:rPr>
        <w:t xml:space="preserve"> </w:t>
      </w:r>
      <w:r w:rsidRPr="006D5314">
        <w:rPr>
          <w:rFonts w:ascii="Palatino Linotype" w:eastAsia="Calibri" w:hAnsi="Palatino Linotype" w:cs="Arial"/>
        </w:rPr>
        <w:t>orden</w:t>
      </w:r>
      <w:r w:rsidRPr="006D5314">
        <w:rPr>
          <w:rFonts w:ascii="Palatino Linotype" w:eastAsia="Palatino Linotype" w:hAnsi="Palatino Linotype" w:cs="Palatino Linotype"/>
        </w:rPr>
        <w:t xml:space="preserve"> de ideas, la Ley de Contratación Pública del Estado de México prevé que las adquisiciones, arrendamientos y servicios se adjudicarán mediante licitación pública, esto previa emisión de una convocatoria pública; invitación restringida o adjudicación directa , asimismo la legislación en análisis regula lo siguiente sobre el tópico en estudio: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35.- </w:t>
      </w:r>
      <w:r w:rsidRPr="006D5314">
        <w:rPr>
          <w:rFonts w:ascii="Palatino Linotype" w:eastAsia="Palatino Linotype" w:hAnsi="Palatino Linotype" w:cs="Palatino Linotype"/>
          <w:i/>
        </w:rPr>
        <w:t xml:space="preserve">En los </w:t>
      </w:r>
      <w:r w:rsidRPr="006D5314">
        <w:rPr>
          <w:rFonts w:ascii="Palatino Linotype" w:eastAsia="Palatino Linotype" w:hAnsi="Palatino Linotype" w:cs="Palatino Linotype"/>
          <w:b/>
          <w:i/>
        </w:rPr>
        <w:t>procedimientos de licitación pública</w:t>
      </w:r>
      <w:r w:rsidRPr="006D5314">
        <w:rPr>
          <w:rFonts w:ascii="Palatino Linotype" w:eastAsia="Palatino Linotype" w:hAnsi="Palatino Linotype" w:cs="Palatino Linotype"/>
          <w:i/>
        </w:rPr>
        <w:t xml:space="preserve"> se observará lo siguiente: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I. </w:t>
      </w:r>
      <w:r w:rsidRPr="006D5314">
        <w:rPr>
          <w:rFonts w:ascii="Palatino Linotype" w:eastAsia="Palatino Linotype" w:hAnsi="Palatino Linotype" w:cs="Palatino Linotype"/>
          <w:i/>
        </w:rPr>
        <w:t xml:space="preserve">El acto de presentación y apertura de propuestas se llevará a cabo por el servidor público que designe la convocante, conforme al procedimiento que se establezca en el reglamento de esta Ley. </w:t>
      </w:r>
    </w:p>
    <w:p w:rsidR="00B642E1" w:rsidRPr="006D5314" w:rsidRDefault="00B642E1" w:rsidP="00B642E1">
      <w:pPr>
        <w:ind w:left="567" w:right="-858"/>
        <w:jc w:val="both"/>
        <w:rPr>
          <w:rFonts w:ascii="Palatino Linotype" w:eastAsia="Palatino Linotype" w:hAnsi="Palatino Linotype" w:cs="Palatino Linotype"/>
          <w:b/>
          <w:i/>
          <w:u w:val="single"/>
        </w:rPr>
      </w:pPr>
      <w:r w:rsidRPr="006D5314">
        <w:rPr>
          <w:rFonts w:ascii="Palatino Linotype" w:eastAsia="Palatino Linotype" w:hAnsi="Palatino Linotype" w:cs="Palatino Linotype"/>
          <w:b/>
          <w:i/>
        </w:rPr>
        <w:t xml:space="preserve">II. </w:t>
      </w:r>
      <w:r w:rsidRPr="006D5314">
        <w:rPr>
          <w:rFonts w:ascii="Palatino Linotype" w:eastAsia="Palatino Linotype" w:hAnsi="Palatino Linotype" w:cs="Palatino Linotype"/>
          <w:i/>
        </w:rPr>
        <w:t>El comité de adquisiciones y servicios evaluará y analizará las propuestas técnicas y económicas presentadas por los licitantes en el ámbito de las respectivas competencias de sus integrantes, y emitirá el dictamen de adjudicación.</w:t>
      </w:r>
      <w:r w:rsidRPr="006D5314">
        <w:rPr>
          <w:rFonts w:ascii="Palatino Linotype" w:eastAsia="Palatino Linotype" w:hAnsi="Palatino Linotype" w:cs="Palatino Linotype"/>
          <w:b/>
          <w:i/>
          <w:u w:val="single"/>
        </w:rPr>
        <w:t xml:space="preserve">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III. </w:t>
      </w:r>
      <w:r w:rsidRPr="006D5314">
        <w:rPr>
          <w:rFonts w:ascii="Palatino Linotype" w:eastAsia="Palatino Linotype" w:hAnsi="Palatino Linotype" w:cs="Palatino Linotype"/>
          <w:i/>
        </w:rPr>
        <w:t xml:space="preserve">Las bases de licitación se pondrán a la venta a partir de la fecha de publicación de la convocatoria y hasta el día hábil anterior a la fecha de celebración de la junta de aclaraciones o, en su defecto, del acto de presentación y apertura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IV. </w:t>
      </w:r>
      <w:r w:rsidRPr="006D5314">
        <w:rPr>
          <w:rFonts w:ascii="Palatino Linotype" w:eastAsia="Palatino Linotype" w:hAnsi="Palatino Linotype" w:cs="Palatino Linotype"/>
          <w:i/>
        </w:rPr>
        <w:t>Las convocantes podrán modificar los plazos y términos establecidos en la convocatoria o en las bases de licitación, hasta cinco días hábiles anteriores a la fecha de la celebración del acto de presentación y apertura de propuestas.</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V. </w:t>
      </w:r>
      <w:r w:rsidRPr="006D5314">
        <w:rPr>
          <w:rFonts w:ascii="Palatino Linotype" w:eastAsia="Palatino Linotype" w:hAnsi="Palatino Linotype" w:cs="Palatino Linotype"/>
          <w:i/>
        </w:rPr>
        <w:t xml:space="preserve">Las modificaciones no podrán limitar el número de licitantes, sustituir o variar sustancialmente los bienes o servicios convocados originalmente, ni adicionar otros distintos.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VI. </w:t>
      </w:r>
      <w:r w:rsidRPr="006D5314">
        <w:rPr>
          <w:rFonts w:ascii="Palatino Linotype" w:eastAsia="Palatino Linotype" w:hAnsi="Palatino Linotype" w:cs="Palatino Linotype"/>
          <w:i/>
        </w:rPr>
        <w:t xml:space="preserve">Las modificaciones a la convocatoria o a las bases se harán del conocimiento de los interesados hasta tres días hábiles antes de la fecha señalada para el acto de presentación y apertura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VII. </w:t>
      </w:r>
      <w:r w:rsidRPr="006D5314">
        <w:rPr>
          <w:rFonts w:ascii="Palatino Linotype" w:eastAsia="Palatino Linotype" w:hAnsi="Palatino Linotype" w:cs="Palatino Linotype"/>
          <w:i/>
        </w:rPr>
        <w:t xml:space="preserve">Se emitirá el fallo dentro de los 15 días hábiles siguientes a la publicación de la convocatoria.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VIII. </w:t>
      </w:r>
      <w:r w:rsidRPr="006D5314">
        <w:rPr>
          <w:rFonts w:ascii="Palatino Linotype" w:eastAsia="Palatino Linotype" w:hAnsi="Palatino Linotype" w:cs="Palatino Linotype"/>
          <w:i/>
        </w:rPr>
        <w:t>Los licitantes se podrán registrar hasta el día y la hora fijados para el acto de presentación y apertura de propuestas.</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DE LA INVITACIÓN RESTRINGIDA</w:t>
      </w:r>
    </w:p>
    <w:p w:rsidR="00B642E1" w:rsidRPr="006D5314" w:rsidRDefault="00B642E1" w:rsidP="00B642E1">
      <w:pPr>
        <w:ind w:left="567" w:right="-858"/>
        <w:jc w:val="center"/>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44</w:t>
      </w:r>
      <w:r w:rsidRPr="006D5314">
        <w:rPr>
          <w:rFonts w:ascii="Palatino Linotype" w:eastAsia="Palatino Linotype" w:hAnsi="Palatino Linotype" w:cs="Palatino Linotype"/>
          <w:i/>
        </w:rPr>
        <w:t xml:space="preserve">.- La Oficialía Mayor, las entidades, los tribunales administrativos y los ayuntamientos podrán adquirir y contratar servicios mediante invitación restringida, cuando: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Se hubiere declarado desierto un procedimiento de licitación, o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El importe de la operación no exceda de los montos establecidos por el Presupuesto de Egresos del Gobierno del Estado de México del ejercicio correspondiente.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La Oficialía Mayor,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En la invitación deberá especificarse si en el proceso de asignación aplicará la modalidad de subasta inversa.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45</w:t>
      </w:r>
      <w:r w:rsidRPr="006D5314">
        <w:rPr>
          <w:rFonts w:ascii="Palatino Linotype" w:eastAsia="Palatino Linotype" w:hAnsi="Palatino Linotype" w:cs="Palatino Linotype"/>
          <w:i/>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46</w:t>
      </w:r>
      <w:r w:rsidRPr="006D5314">
        <w:rPr>
          <w:rFonts w:ascii="Palatino Linotype" w:eastAsia="Palatino Linotype" w:hAnsi="Palatino Linotype" w:cs="Palatino Linotype"/>
          <w:i/>
        </w:rPr>
        <w:t>.- El procedimiento de invitación restringida se desarrollará en los términos de la licitación pública, a excepción de la publicación de la convocatoria.</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DE LA ADJUDICACIÓN DIRECTA</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48.-</w:t>
      </w:r>
      <w:r w:rsidRPr="006D5314">
        <w:rPr>
          <w:rFonts w:ascii="Palatino Linotype" w:eastAsia="Palatino Linotype" w:hAnsi="Palatino Linotype" w:cs="Palatino Linotype"/>
          <w:i/>
        </w:rPr>
        <w:t xml:space="preserve"> La Oficialía Mayor, las entidades, los tribunales administrativos y los ayuntamientos podrán adquirir bienes, arrendar bienes muebles e inmuebles y contratar servicios, mediante adjudicación directa, cuando: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La adquisición o el servicio sólo puedan realizarse con una determinada persona, por tratarse de obras de arte, titularidad de patentes, registros, marcas específicas, derechos de autor u otros derechos exclusivos.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IV. Sea urgente la adquisición de bienes, arrendamientos o servicios por estar en riesgo el orden social, la salubridad, la seguridad pública o el ambiente, de alguna zona o región del Estado; se </w:t>
      </w:r>
      <w:r w:rsidRPr="006D5314">
        <w:rPr>
          <w:rFonts w:ascii="Palatino Linotype" w:eastAsia="Palatino Linotype" w:hAnsi="Palatino Linotype" w:cs="Palatino Linotype"/>
          <w:i/>
        </w:rPr>
        <w:lastRenderedPageBreak/>
        <w:t xml:space="preserve">paralicen los servicios públicos; se trate de programas o acciones de apoyo a la población para atender necesidades apremiantes, o concurra alguna causa similar de interés público.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 Existan circunstancias que puedan provocar pérdidas o costos adicionales importantes al erario.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 Pueda comprometerse información de naturaleza confidencial para el Estado o municipios, por razones de seguridad pública.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 Existan circunstancias extraordinarias o imprevisibles derivadas de riesgo o desastre. En este supuesto, la adquisición, arrendamiento y servicio deberá limitarse a lo estrictamente necesario para enfrentar tal eventualidad.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VIII. Se hubiere rescindido un contrato, por causas imputables al proveedor o que la persona que habiendo resultado ganadora en una licitación, no concurra a la suscripción del contrato dentro del plazo establecido en esta Ley. En estos supuestos, la Oficialía Mayor,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IX. Se hubiere declarado desierto un procedimiento de invitación restringida.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X. Cuando se aseguren condiciones financieras que permitan al Estado o a los municipios cumplir con la obligación de pago de manera diferida, sin que ello implique un costo financiero adicional o que habiéndolo, sea inferior al del mercado, o</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B642E1" w:rsidRPr="006D5314" w:rsidRDefault="00B642E1" w:rsidP="00B642E1">
      <w:pPr>
        <w:spacing w:line="360" w:lineRule="auto"/>
        <w:ind w:right="-787"/>
        <w:jc w:val="both"/>
        <w:rPr>
          <w:rFonts w:ascii="Palatino Linotype" w:eastAsia="Palatino Linotype" w:hAnsi="Palatino Linotype" w:cs="Palatino Linotype"/>
        </w:rPr>
      </w:pPr>
    </w:p>
    <w:p w:rsidR="00B642E1" w:rsidRDefault="00B642E1" w:rsidP="005962B3">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color w:val="000000"/>
        </w:rPr>
        <w:t>Posteriormente</w:t>
      </w:r>
      <w:r w:rsidRPr="006D5314">
        <w:rPr>
          <w:rFonts w:ascii="Palatino Linotype" w:eastAsia="Palatino Linotype" w:hAnsi="Palatino Linotype" w:cs="Palatino Linotype"/>
        </w:rPr>
        <w:t xml:space="preserve"> los entes públicos deberán ceñirse al procedimiento dispuesto por el Reglamento de la legislación en referencia, el cual se cita a continuación para mejor proveer del estudio: </w:t>
      </w:r>
    </w:p>
    <w:p w:rsidR="006D5314" w:rsidRPr="006D5314" w:rsidRDefault="006D5314" w:rsidP="006D5314">
      <w:pPr>
        <w:spacing w:line="360" w:lineRule="auto"/>
        <w:ind w:right="-787"/>
        <w:jc w:val="both"/>
        <w:rPr>
          <w:rFonts w:ascii="Palatino Linotype" w:eastAsia="Palatino Linotype" w:hAnsi="Palatino Linotype" w:cs="Palatino Linotype"/>
        </w:rPr>
      </w:pPr>
    </w:p>
    <w:p w:rsidR="00B642E1" w:rsidRPr="006D5314" w:rsidRDefault="00B642E1" w:rsidP="00B642E1">
      <w:pPr>
        <w:ind w:left="567" w:right="-858"/>
        <w:jc w:val="center"/>
        <w:rPr>
          <w:rFonts w:ascii="Palatino Linotype" w:eastAsia="Palatino Linotype" w:hAnsi="Palatino Linotype" w:cs="Palatino Linotype"/>
          <w:i/>
        </w:rPr>
      </w:pPr>
      <w:r w:rsidRPr="006D5314">
        <w:rPr>
          <w:rFonts w:ascii="Palatino Linotype" w:eastAsia="Palatino Linotype" w:hAnsi="Palatino Linotype" w:cs="Palatino Linotype"/>
          <w:b/>
          <w:i/>
        </w:rPr>
        <w:lastRenderedPageBreak/>
        <w:t>“TÍTULO SEXTO</w:t>
      </w:r>
    </w:p>
    <w:p w:rsidR="00B642E1" w:rsidRPr="006D5314" w:rsidRDefault="00B642E1" w:rsidP="00B642E1">
      <w:pPr>
        <w:ind w:left="567" w:right="-858"/>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DE LOS PROCEDIMIENTOS DE ADQUISICIÓN</w:t>
      </w:r>
    </w:p>
    <w:p w:rsidR="00B642E1" w:rsidRPr="006D5314" w:rsidRDefault="00B642E1" w:rsidP="00B642E1">
      <w:pPr>
        <w:ind w:left="567" w:right="-858"/>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CAPÍTULO PRIMERO</w:t>
      </w:r>
    </w:p>
    <w:p w:rsidR="00B642E1" w:rsidRPr="006D5314" w:rsidRDefault="00B642E1" w:rsidP="00B642E1">
      <w:pPr>
        <w:ind w:left="567" w:right="-858"/>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DE LA LICITACIÓN PÚBLICA</w:t>
      </w:r>
    </w:p>
    <w:p w:rsidR="00B642E1" w:rsidRPr="006D5314" w:rsidRDefault="00B642E1" w:rsidP="00B642E1">
      <w:pPr>
        <w:ind w:left="567" w:right="-858"/>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SECCIÓN PRIMERA</w:t>
      </w: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GENERALIDADES</w:t>
      </w:r>
    </w:p>
    <w:p w:rsidR="00B642E1" w:rsidRPr="006D5314" w:rsidRDefault="00B642E1" w:rsidP="00B642E1">
      <w:pPr>
        <w:ind w:left="567" w:right="-858"/>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b/>
          <w:i/>
          <w:u w:val="single"/>
        </w:rPr>
      </w:pPr>
      <w:r w:rsidRPr="006D5314">
        <w:rPr>
          <w:rFonts w:ascii="Palatino Linotype" w:eastAsia="Palatino Linotype" w:hAnsi="Palatino Linotype" w:cs="Palatino Linotype"/>
          <w:b/>
          <w:i/>
        </w:rPr>
        <w:t xml:space="preserve">Artículo 61.- </w:t>
      </w:r>
      <w:r w:rsidRPr="006D5314">
        <w:rPr>
          <w:rFonts w:ascii="Palatino Linotype" w:eastAsia="Palatino Linotype" w:hAnsi="Palatino Linotype" w:cs="Palatino Linotype"/>
          <w:i/>
        </w:rPr>
        <w:t xml:space="preserve">La Secretaría, organismos auxiliares, tribunales administrativos y </w:t>
      </w:r>
      <w:r w:rsidRPr="006D5314">
        <w:rPr>
          <w:rFonts w:ascii="Palatino Linotype" w:eastAsia="Palatino Linotype" w:hAnsi="Palatino Linotype" w:cs="Palatino Linotype"/>
          <w:b/>
          <w:i/>
          <w:u w:val="single"/>
        </w:rPr>
        <w:t xml:space="preserve">municipios podrán realizar licitaciones públicas, para la adquisición, arrendamiento de bienes y la contratación de servicios de cualquier naturaleza, conforme a las previsiones y disposiciones presupuestarias respectivas. </w:t>
      </w:r>
    </w:p>
    <w:p w:rsidR="00B642E1" w:rsidRPr="006D5314" w:rsidRDefault="00B642E1" w:rsidP="00B642E1">
      <w:pPr>
        <w:ind w:left="567" w:right="-858"/>
        <w:jc w:val="both"/>
        <w:rPr>
          <w:rFonts w:ascii="Palatino Linotype" w:eastAsia="Palatino Linotype" w:hAnsi="Palatino Linotype" w:cs="Palatino Linotype"/>
          <w:b/>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62.- </w:t>
      </w:r>
      <w:r w:rsidRPr="006D5314">
        <w:rPr>
          <w:rFonts w:ascii="Palatino Linotype" w:eastAsia="Palatino Linotype" w:hAnsi="Palatino Linotype" w:cs="Palatino Linotype"/>
          <w:b/>
          <w:i/>
          <w:u w:val="single"/>
        </w:rPr>
        <w:t>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6D5314">
        <w:rPr>
          <w:rFonts w:ascii="Palatino Linotype" w:eastAsia="Palatino Linotype" w:hAnsi="Palatino Linotype" w:cs="Palatino Linotype"/>
          <w:i/>
        </w:rPr>
        <w:t xml:space="preserve">.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67.- </w:t>
      </w:r>
      <w:r w:rsidRPr="006D5314">
        <w:rPr>
          <w:rFonts w:ascii="Palatino Linotype" w:eastAsia="Palatino Linotype" w:hAnsi="Palatino Linotype" w:cs="Palatino Linotype"/>
          <w:i/>
        </w:rPr>
        <w:t xml:space="preserve">El procedimiento de licitación pública comprende las siguientes fases: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Publicación de la convocatoria;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Venta de las bases de licitación;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III. Visita, en su caso, al sitio donde se vayan a suministrar los bienes o a prestar los servicios;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IV. Junta de aclaraciones, en su caso;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 Acto de presentación y apertura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 Análisis y evaluación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 Dictamen de adjudicación;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VIII. Fallo;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IX. Suscripción del contrato; y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X. Suministro de los bienes o inicio de la prestación del servicio.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68.- </w:t>
      </w:r>
      <w:r w:rsidRPr="006D5314">
        <w:rPr>
          <w:rFonts w:ascii="Palatino Linotype" w:eastAsia="Palatino Linotype" w:hAnsi="Palatino Linotype" w:cs="Palatino Linotype"/>
          <w:i/>
        </w:rPr>
        <w:t xml:space="preserve">En el procedimiento de licitación pública se observará lo siguiente: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La convocante con base en las necesidades de las unidades administrativas solicitantes de la adquisición de bienes o la contratación de servicios, y atendiendo a las características de los mismos, programará las fechas en que tendrá verificativo la junta de aclaraciones, en su caso, y el acto de presentación y apertura de propuestas, y fallo, dentro del plazo de quince días hábiles siguientes a la publicación de la convocatoria;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lastRenderedPageBreak/>
        <w:t xml:space="preserve">II. La venta de bases iniciará a partir del día de publicación de la convocatoria y concluirá el día hábil anterior al día de celebración de la junta de aclaraciones.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Cuando no se celebre junta de aclaraciones, la venta de bases concluirá el día hábil anterior a la celebración del acto de presentación y apertura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En todo caso, el plazo de venta de bases no será menor a tres días hábiles contados a partir del día de la publicación de la convocatoria;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III. La convocante podrá modificar la convocatoria o las bases dentro de los cinco días hábiles anteriores a la fecha de la celebración del acto de presentación y apertura de propuestas. En caso de que no se celebre junta de aclaraciones y se hagan modificaciones a la convocatoria o a las bases, se ajustará el plazo programado para la celebración del acto de presentación y apertura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 La junta de aclaraciones deberá realizarse tres días hábiles antes de la celebración del acto de presentación y apertura de propuestas. Las modificaciones que se deriven de la junta de aclaraciones formarán parte integral de las bases y se entregará copia simple del acta correspondiente a las personas que acrediten haberlas adquirido.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69.- </w:t>
      </w:r>
      <w:r w:rsidRPr="006D5314">
        <w:rPr>
          <w:rFonts w:ascii="Palatino Linotype" w:eastAsia="Palatino Linotype" w:hAnsi="Palatino Linotype" w:cs="Palatino Linotype"/>
          <w:i/>
        </w:rPr>
        <w:t>En los procedimientos de licitación pública cuyo monto rebase el equivalente a dos millones de salario mínimo general vigente en la Capital del Estado y en aquellos casos en los que el área solicitante así lo determine por su complejidad o impacto que tenga en sus programas sustantivos, será obligatoria la participación de testigos sociales, en términos del Título Décimo del Libro Primero del Código Administrativo del Estado de México.</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CAPÍTULO SEGUNDO</w:t>
      </w: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DE LAS EXCEPCIONES A LA LICITACION PÚBLICA</w:t>
      </w: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SECCIÓN PRIMERA</w:t>
      </w: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DE LA INVITACIÓN RESTRINGIDA</w:t>
      </w:r>
    </w:p>
    <w:p w:rsidR="00B642E1" w:rsidRPr="006D5314" w:rsidRDefault="00B642E1" w:rsidP="00B642E1">
      <w:pPr>
        <w:ind w:left="567" w:right="-858"/>
        <w:jc w:val="center"/>
        <w:rPr>
          <w:rFonts w:ascii="Palatino Linotype" w:eastAsia="Palatino Linotype" w:hAnsi="Palatino Linotype" w:cs="Palatino Linotype"/>
          <w:b/>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90</w:t>
      </w:r>
      <w:r w:rsidRPr="006D5314">
        <w:rPr>
          <w:rFonts w:ascii="Palatino Linotype" w:eastAsia="Palatino Linotype" w:hAnsi="Palatino Linotype" w:cs="Palatino Linotype"/>
          <w:i/>
        </w:rPr>
        <w:t xml:space="preserve">.- En el procedimiento de invitación restringida se deberá observar lo siguiente: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Se invitará a un mínimo de tres personas seleccionadas de entre las que se encuentren inscritas en el catálogo de proveedores y de prestadores de servicios.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lastRenderedPageBreak/>
        <w:t xml:space="preserve">Se podrá invitar a personas que no se encuentren inscritas, cuando en el giro correspondiente del catálogo de proveedores y prestadores de servicios no exista el registro mínimo de personas requeridas para tal modalidad;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Las bases de la invitación restringida indicarán los aspectos de la adquisición o contratación; y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III. Serán aplicables, en lo conducente, las disposiciones de la licitación pública.</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SECCIÓN SEGUNDA</w:t>
      </w:r>
    </w:p>
    <w:p w:rsidR="00B642E1" w:rsidRPr="006D5314" w:rsidRDefault="00B642E1" w:rsidP="00B642E1">
      <w:pPr>
        <w:ind w:left="567" w:right="-858"/>
        <w:jc w:val="center"/>
        <w:rPr>
          <w:rFonts w:ascii="Palatino Linotype" w:eastAsia="Palatino Linotype" w:hAnsi="Palatino Linotype" w:cs="Palatino Linotype"/>
          <w:b/>
          <w:i/>
        </w:rPr>
      </w:pPr>
      <w:r w:rsidRPr="006D5314">
        <w:rPr>
          <w:rFonts w:ascii="Palatino Linotype" w:eastAsia="Palatino Linotype" w:hAnsi="Palatino Linotype" w:cs="Palatino Linotype"/>
          <w:b/>
          <w:i/>
        </w:rPr>
        <w:t>DE LA ADJUDICACIÓN DIRECTA</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91</w:t>
      </w:r>
      <w:r w:rsidRPr="006D5314">
        <w:rPr>
          <w:rFonts w:ascii="Palatino Linotype" w:eastAsia="Palatino Linotype" w:hAnsi="Palatino Linotype" w:cs="Palatino Linotype"/>
          <w:i/>
        </w:rPr>
        <w:t xml:space="preserve">.- La Secretaría, organismos auxiliares, tribunales administrativos y </w:t>
      </w:r>
      <w:r w:rsidRPr="006D5314">
        <w:rPr>
          <w:rFonts w:ascii="Palatino Linotype" w:eastAsia="Palatino Linotype" w:hAnsi="Palatino Linotype" w:cs="Palatino Linotype"/>
          <w:b/>
          <w:i/>
        </w:rPr>
        <w:t>municipios</w:t>
      </w:r>
      <w:r w:rsidRPr="006D5314">
        <w:rPr>
          <w:rFonts w:ascii="Palatino Linotype" w:eastAsia="Palatino Linotype" w:hAnsi="Palatino Linotype" w:cs="Palatino Linotype"/>
          <w:i/>
        </w:rPr>
        <w:t xml:space="preserve"> </w:t>
      </w:r>
      <w:r w:rsidRPr="006D5314">
        <w:rPr>
          <w:rFonts w:ascii="Palatino Linotype" w:eastAsia="Palatino Linotype" w:hAnsi="Palatino Linotype" w:cs="Palatino Linotype"/>
          <w:b/>
          <w:i/>
        </w:rPr>
        <w:t>podrán</w:t>
      </w:r>
      <w:r w:rsidRPr="006D5314">
        <w:rPr>
          <w:rFonts w:ascii="Palatino Linotype" w:eastAsia="Palatino Linotype" w:hAnsi="Palatino Linotype" w:cs="Palatino Linotype"/>
          <w:i/>
        </w:rPr>
        <w:t xml:space="preserve"> adquirir, arrendar o enajenar bienes, y contra</w:t>
      </w:r>
      <w:r w:rsidRPr="006D5314">
        <w:rPr>
          <w:rFonts w:ascii="Palatino Linotype" w:eastAsia="Palatino Linotype" w:hAnsi="Palatino Linotype" w:cs="Palatino Linotype"/>
          <w:b/>
          <w:i/>
        </w:rPr>
        <w:t>tar servicios, mediante el procedimiento de adjudicación directa</w:t>
      </w:r>
      <w:r w:rsidRPr="006D5314">
        <w:rPr>
          <w:rFonts w:ascii="Palatino Linotype" w:eastAsia="Palatino Linotype" w:hAnsi="Palatino Linotype" w:cs="Palatino Linotype"/>
          <w:i/>
        </w:rPr>
        <w:t xml:space="preserve"> en los términos establecidos por la Ley.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92</w:t>
      </w:r>
      <w:r w:rsidRPr="006D5314">
        <w:rPr>
          <w:rFonts w:ascii="Palatino Linotype" w:eastAsia="Palatino Linotype" w:hAnsi="Palatino Linotype" w:cs="Palatino Linotype"/>
          <w:i/>
        </w:rPr>
        <w:t xml:space="preserve">.- </w:t>
      </w:r>
      <w:r w:rsidRPr="006D5314">
        <w:rPr>
          <w:rFonts w:ascii="Palatino Linotype" w:eastAsia="Palatino Linotype" w:hAnsi="Palatino Linotype" w:cs="Palatino Linotype"/>
          <w:b/>
          <w:i/>
        </w:rPr>
        <w:t>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w:t>
      </w:r>
      <w:r w:rsidRPr="006D5314">
        <w:rPr>
          <w:rFonts w:ascii="Palatino Linotype" w:eastAsia="Palatino Linotype" w:hAnsi="Palatino Linotype" w:cs="Palatino Linotype"/>
          <w:i/>
        </w:rPr>
        <w:t xml:space="preserve">, sin que sea necesario observar las disposiciones de los demás artículos de esta Sección.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En el caso de los municipios, las cotizaciones deberán obtenerse a través de sus áreas de administración.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93</w:t>
      </w:r>
      <w:r w:rsidRPr="006D5314">
        <w:rPr>
          <w:rFonts w:ascii="Palatino Linotype" w:eastAsia="Palatino Linotype" w:hAnsi="Palatino Linotype" w:cs="Palatino Linotype"/>
          <w:i/>
        </w:rPr>
        <w:t xml:space="preserve">.- La Secretaría, organismos auxiliares, tribunales administrativos y municipios, solicitarán al comité el dictamen de procedencia del procedimiento de adjudicación directa, acreditando previamente: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La descripción general de los bienes a adquirir o el servicio a contratar;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La justificación o conveniencia de llevar a cabo la adjudicación directa; y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III. Certificación de suficiencia presupuestaria.</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El oficio justificatorio a que se refiere la fracción II, deberá formularse por el titular de la unidad administrativa interesada en la adquisición de los bienes, la contratación de servicios o el arrendamiento.</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b/>
          <w:i/>
        </w:rPr>
      </w:pPr>
      <w:r w:rsidRPr="006D5314">
        <w:rPr>
          <w:rFonts w:ascii="Palatino Linotype" w:eastAsia="Palatino Linotype" w:hAnsi="Palatino Linotype" w:cs="Palatino Linotype"/>
          <w:b/>
          <w:i/>
        </w:rPr>
        <w:t xml:space="preserve">Artículo 94.- En el procedimiento de adjudicación directa se observará lo siguiente: </w:t>
      </w:r>
    </w:p>
    <w:p w:rsidR="00B642E1" w:rsidRPr="006D5314" w:rsidRDefault="00B642E1" w:rsidP="00B642E1">
      <w:pPr>
        <w:ind w:left="567" w:right="-858"/>
        <w:jc w:val="both"/>
        <w:rPr>
          <w:rFonts w:ascii="Palatino Linotype" w:eastAsia="Palatino Linotype" w:hAnsi="Palatino Linotype" w:cs="Palatino Linotype"/>
          <w:i/>
        </w:rPr>
      </w:pP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II.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 III. La solicitud de participación contendrá, como mínimo, la descripción y cantidad de los bienes o servicios requeridos, lugar, plazo de entrega o duración del servicio y forma de pago;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IV. La solicitud de participación deberá señalar el día, hora y lugar en que tendrá verificativo el acto de presentación y apertura de ofertas;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 Atendiendo a la naturaleza de los bienes o servicios, la convocante podrá optar entre celebrar o no junta de aclaraciones, en términos de lo dispuesto por este Reglamento;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 El servidor público designado por la convocante será el responsable de llevar a cabo el acto de presentación y apertura de propuestas;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 Se observarán, en lo conducente, las disposiciones relativas a la contraoferta; y </w:t>
      </w:r>
    </w:p>
    <w:p w:rsidR="00B642E1" w:rsidRPr="006D5314" w:rsidRDefault="00B642E1" w:rsidP="00B642E1">
      <w:pPr>
        <w:ind w:left="567" w:right="-858"/>
        <w:jc w:val="both"/>
        <w:rPr>
          <w:rFonts w:ascii="Palatino Linotype" w:eastAsia="Palatino Linotype" w:hAnsi="Palatino Linotype" w:cs="Palatino Linotype"/>
          <w:i/>
        </w:rPr>
      </w:pPr>
      <w:r w:rsidRPr="006D5314">
        <w:rPr>
          <w:rFonts w:ascii="Palatino Linotype" w:eastAsia="Palatino Linotype" w:hAnsi="Palatino Linotype" w:cs="Palatino Linotype"/>
          <w:i/>
        </w:rPr>
        <w:t>VIII. El comité será responsable de emitir el dictamen de adjudicación que servirá de base para el fallo de adjudicación; correspondiendo a la convocante emitir dicho fallo, quien lo hará del conocimiento de los licitantes. Los actos referidos en los incisos anteriores deberán documentarse en el acta correspondiente y publicarse en el sistema COMPRAMEX. Artículo 95.- En los procedimientos de adjudicación directa, previa dictaminación del Comité respectivo, la convocante podrá adjudicar el contrato al oferente que reúna el mayor número de requisitos solicitados.</w:t>
      </w:r>
    </w:p>
    <w:p w:rsidR="00B642E1" w:rsidRPr="006D5314" w:rsidRDefault="00B642E1" w:rsidP="00B642E1">
      <w:pPr>
        <w:pBdr>
          <w:top w:val="nil"/>
          <w:left w:val="nil"/>
          <w:bottom w:val="nil"/>
          <w:right w:val="nil"/>
          <w:between w:val="nil"/>
        </w:pBdr>
        <w:spacing w:line="360" w:lineRule="auto"/>
        <w:ind w:left="644"/>
        <w:rPr>
          <w:rFonts w:ascii="Palatino Linotype" w:eastAsia="Palatino Linotype" w:hAnsi="Palatino Linotype" w:cs="Palatino Linotype"/>
          <w:color w:val="000000"/>
        </w:rPr>
      </w:pPr>
    </w:p>
    <w:p w:rsidR="00B642E1" w:rsidRPr="006D5314" w:rsidRDefault="00B642E1" w:rsidP="005962B3">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rPr>
        <w:lastRenderedPageBreak/>
        <w:t>Conforme</w:t>
      </w:r>
      <w:r w:rsidRPr="006D5314">
        <w:rPr>
          <w:rFonts w:ascii="Palatino Linotype" w:eastAsia="Palatino Linotype" w:hAnsi="Palatino Linotype" w:cs="Palatino Linotype"/>
          <w:color w:val="000000"/>
        </w:rPr>
        <w:t xml:space="preserve"> al artículo 65, de la Ley de Contratación Pública del Estado de México y Municipios, </w:t>
      </w:r>
      <w:r w:rsidRPr="006D5314">
        <w:rPr>
          <w:rFonts w:ascii="Palatino Linotype" w:eastAsia="Palatino Linotype" w:hAnsi="Palatino Linotype" w:cs="Palatino Linotype"/>
          <w:b/>
          <w:color w:val="000000"/>
        </w:rPr>
        <w:t>la adjudicación de un procedimiento de adquisición y arrendamiento de bienes y contratación de servicios se realizará mediante la suscripción de un contrato</w:t>
      </w:r>
      <w:r w:rsidRPr="006D5314">
        <w:rPr>
          <w:rFonts w:ascii="Palatino Linotype" w:eastAsia="Palatino Linotype" w:hAnsi="Palatino Linotype" w:cs="Palatino Linotype"/>
          <w:color w:val="000000"/>
        </w:rPr>
        <w:t>, entre el Sujeto Obligado y la persona a la cual haya ganado el procedimiento respectivo, dentro de los diez días hábiles siguientes a la notificación del fallo.</w:t>
      </w:r>
    </w:p>
    <w:p w:rsidR="00B642E1" w:rsidRPr="006D5314" w:rsidRDefault="00B642E1" w:rsidP="00B642E1">
      <w:pPr>
        <w:spacing w:line="360" w:lineRule="auto"/>
        <w:ind w:right="-787"/>
        <w:jc w:val="both"/>
        <w:rPr>
          <w:rFonts w:ascii="Palatino Linotype" w:eastAsia="Palatino Linotype" w:hAnsi="Palatino Linotype" w:cs="Palatino Linotype"/>
          <w:color w:val="000000"/>
        </w:rPr>
      </w:pPr>
    </w:p>
    <w:p w:rsidR="00B642E1" w:rsidRPr="006D5314" w:rsidRDefault="00B642E1" w:rsidP="005962B3">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color w:val="000000"/>
        </w:rPr>
        <w:t>Ahora</w:t>
      </w:r>
      <w:r w:rsidRPr="006D5314">
        <w:rPr>
          <w:rFonts w:ascii="Palatino Linotype" w:eastAsia="Palatino Linotype" w:hAnsi="Palatino Linotype" w:cs="Palatino Linotype"/>
        </w:rPr>
        <w:t xml:space="preserve"> bien, </w:t>
      </w:r>
      <w:r w:rsidRPr="006D5314">
        <w:rPr>
          <w:rFonts w:ascii="Palatino Linotype" w:eastAsia="Palatino Linotype" w:hAnsi="Palatino Linotype" w:cs="Palatino Linotype"/>
          <w:color w:val="000000"/>
        </w:rPr>
        <w:t>por</w:t>
      </w:r>
      <w:r w:rsidRPr="006D5314">
        <w:rPr>
          <w:rFonts w:ascii="Palatino Linotype" w:eastAsia="Palatino Linotype" w:hAnsi="Palatino Linotype" w:cs="Palatino Linotype"/>
        </w:rPr>
        <w:t xml:space="preserve"> cuanto hace a los contratos que emanan de los procedimientos que regula la Ley de Contratación Pública del Estado de México y Municipios, el Reglamento de esta, establece que los instrumentos jurídicos vinculantes deberán reunir los siguientes elementos: </w:t>
      </w:r>
    </w:p>
    <w:p w:rsidR="00B642E1" w:rsidRPr="006D5314" w:rsidRDefault="00B642E1" w:rsidP="00B642E1">
      <w:pPr>
        <w:ind w:left="566" w:right="-716"/>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“TÍTULO NOVENO</w:t>
      </w:r>
    </w:p>
    <w:p w:rsidR="00B642E1" w:rsidRPr="006D5314" w:rsidRDefault="00B642E1" w:rsidP="00B642E1">
      <w:pPr>
        <w:ind w:left="566" w:right="-716"/>
        <w:jc w:val="center"/>
        <w:rPr>
          <w:rFonts w:ascii="Palatino Linotype" w:eastAsia="Palatino Linotype" w:hAnsi="Palatino Linotype" w:cs="Palatino Linotype"/>
          <w:i/>
        </w:rPr>
      </w:pPr>
      <w:r w:rsidRPr="006D5314">
        <w:rPr>
          <w:rFonts w:ascii="Palatino Linotype" w:eastAsia="Palatino Linotype" w:hAnsi="Palatino Linotype" w:cs="Palatino Linotype"/>
          <w:b/>
          <w:i/>
        </w:rPr>
        <w:t>DE LOS CONTRATOS</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Artículo 120.- Los contratos relacionados con las materias reguladas por la Ley referirán, como mínimo, lo siguiente:</w:t>
      </w:r>
      <w:r w:rsidRPr="006D5314">
        <w:rPr>
          <w:rFonts w:ascii="Palatino Linotype" w:eastAsia="Palatino Linotype" w:hAnsi="Palatino Linotype" w:cs="Palatino Linotype"/>
          <w:i/>
        </w:rPr>
        <w:t xml:space="preserve">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 Objeto;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 Fecha de suministro de los bienes o período de prestación del servicio;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III. Datos del procedimiento que dio origen al contrato;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IV. Importe total;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 Porcentajes, número y fechas de las exhibiciones y amortización de los anticipos que se otorguen;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 Formalidades para el otorgamiento y cobro de garantías;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VIII. Términos en que el proveedor o prestador del servicio, en su caso, reintegrará las cantidades que, en cualquier forma, hubiere recibido en exceso por la contratación;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IX. Causales por las que la Secretaría, organismos auxiliares, tribunales administrativos o municipios podrán dar por rescindido el contrato y sus efectos;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lastRenderedPageBreak/>
        <w:t xml:space="preserve">X. Las consecuencias de la cancelación o terminación anticipada por causas imputables al proveedor o prestador del servicio;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XI. Señalamiento del domicilio de las partes, ubicado en el territorio del Estado, o bien, domicilio para oír y recibir notificaciones; y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XII. Renuncia expresa al fuero que les pudiera corresponder en función de su domicilio o vecindad presente o futuro.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121.- </w:t>
      </w:r>
      <w:r w:rsidRPr="006D5314">
        <w:rPr>
          <w:rFonts w:ascii="Palatino Linotype" w:eastAsia="Palatino Linotype" w:hAnsi="Palatino Linotype" w:cs="Palatino Linotype"/>
          <w:i/>
        </w:rPr>
        <w:t xml:space="preserve">Cuando el contrato sea adjudicado a varios participantes, deberá ser firmado por todos, especificando las obligaciones que a cada uno correspondan.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122.- </w:t>
      </w:r>
      <w:r w:rsidRPr="006D5314">
        <w:rPr>
          <w:rFonts w:ascii="Palatino Linotype" w:eastAsia="Palatino Linotype" w:hAnsi="Palatino Linotype" w:cs="Palatino Linotype"/>
          <w:i/>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123.- </w:t>
      </w:r>
      <w:r w:rsidRPr="006D5314">
        <w:rPr>
          <w:rFonts w:ascii="Palatino Linotype" w:eastAsia="Palatino Linotype" w:hAnsi="Palatino Linotype" w:cs="Palatino Linotype"/>
          <w:i/>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No se generará el pago de gastos o recargos por parte de la contratante, si durante el plazo para emitir la resolución de la transmisión de los derechos de cobro, se origina un retraso en el pago pactado.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124.- </w:t>
      </w:r>
      <w:r w:rsidRPr="006D5314">
        <w:rPr>
          <w:rFonts w:ascii="Palatino Linotype" w:eastAsia="Palatino Linotype" w:hAnsi="Palatino Linotype" w:cs="Palatino Linotype"/>
          <w:i/>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125.- </w:t>
      </w:r>
      <w:r w:rsidRPr="006D5314">
        <w:rPr>
          <w:rFonts w:ascii="Palatino Linotype" w:eastAsia="Palatino Linotype" w:hAnsi="Palatino Linotype" w:cs="Palatino Linotype"/>
          <w:i/>
        </w:rPr>
        <w:t xml:space="preserve">La contratante en caso de ser necesario y se aseguren las mejores condiciones disponibles en cuanto precio, calidad, financiamiento, oportunidad y demás circunstancias pertinentes, 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Igual porcentaje se aplicará a las modificaciones o prórrogas que se hagan respecto a la vigencia de los contratos de prestación de servicios.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lastRenderedPageBreak/>
        <w:t xml:space="preserve">Artículo 126.- </w:t>
      </w:r>
      <w:r w:rsidRPr="006D5314">
        <w:rPr>
          <w:rFonts w:ascii="Palatino Linotype" w:eastAsia="Palatino Linotype" w:hAnsi="Palatino Linotype" w:cs="Palatino Linotype"/>
          <w:i/>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Artículo 127.- </w:t>
      </w:r>
      <w:r w:rsidRPr="006D5314">
        <w:rPr>
          <w:rFonts w:ascii="Palatino Linotype" w:eastAsia="Palatino Linotype" w:hAnsi="Palatino Linotype" w:cs="Palatino Linotype"/>
          <w:i/>
        </w:rPr>
        <w:t xml:space="preserve">Las unidades administrativas usuarias deberán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 xml:space="preserve">Al escrito por medio del cual se informe el cumplimiento o incumplimiento del proveedor o prestador del servicio, se adjuntarán copia de las facturas que acrediten el suministro de los bienes o prestación de los servicios relativos. </w:t>
      </w:r>
    </w:p>
    <w:p w:rsidR="00B642E1" w:rsidRPr="006D5314" w:rsidRDefault="00B642E1" w:rsidP="00B642E1">
      <w:pPr>
        <w:ind w:left="566" w:right="-716"/>
        <w:jc w:val="both"/>
        <w:rPr>
          <w:rFonts w:ascii="Palatino Linotype" w:eastAsia="Palatino Linotype" w:hAnsi="Palatino Linotype" w:cs="Palatino Linotype"/>
          <w:i/>
        </w:rPr>
      </w:pPr>
      <w:r w:rsidRPr="006D5314">
        <w:rPr>
          <w:rFonts w:ascii="Palatino Linotype" w:eastAsia="Palatino Linotype" w:hAnsi="Palatino Linotype" w:cs="Palatino Linotype"/>
          <w:i/>
        </w:rPr>
        <w:t>Lo anterior, podrá ser informado a través del sistema COMPRAMEX.”</w:t>
      </w:r>
    </w:p>
    <w:p w:rsidR="00B642E1" w:rsidRPr="006D5314" w:rsidRDefault="00B642E1" w:rsidP="00B642E1">
      <w:pPr>
        <w:spacing w:line="360" w:lineRule="auto"/>
        <w:ind w:right="-787"/>
        <w:jc w:val="both"/>
        <w:rPr>
          <w:rFonts w:ascii="Palatino Linotype" w:eastAsia="Palatino Linotype" w:hAnsi="Palatino Linotype" w:cs="Palatino Linotype"/>
        </w:rPr>
      </w:pPr>
    </w:p>
    <w:p w:rsidR="00B642E1" w:rsidRPr="006D5314" w:rsidRDefault="00B642E1" w:rsidP="005962B3">
      <w:pPr>
        <w:numPr>
          <w:ilvl w:val="0"/>
          <w:numId w:val="2"/>
        </w:numPr>
        <w:spacing w:line="360" w:lineRule="auto"/>
        <w:ind w:left="0" w:right="-787" w:firstLine="0"/>
        <w:jc w:val="both"/>
        <w:rPr>
          <w:rFonts w:ascii="Palatino Linotype" w:eastAsia="Calibri" w:hAnsi="Palatino Linotype" w:cs="Arial"/>
          <w:i/>
        </w:rPr>
      </w:pPr>
      <w:r w:rsidRPr="006D5314">
        <w:rPr>
          <w:rFonts w:ascii="Palatino Linotype" w:eastAsia="Palatino Linotype" w:hAnsi="Palatino Linotype" w:cs="Palatino Linotype"/>
          <w:color w:val="000000"/>
        </w:rPr>
        <w:t>Dentro</w:t>
      </w:r>
      <w:r w:rsidRPr="006D5314">
        <w:rPr>
          <w:rFonts w:ascii="Palatino Linotype" w:eastAsia="Palatino Linotype" w:hAnsi="Palatino Linotype" w:cs="Palatino Linotype"/>
        </w:rPr>
        <w:t xml:space="preserve"> del procedimiento de la licitación pública una de las últimas fases es la suscripción del contrato. </w:t>
      </w:r>
      <w:r w:rsidRPr="006D5314">
        <w:rPr>
          <w:rFonts w:ascii="Palatino Linotype" w:eastAsia="Palatino Linotype" w:hAnsi="Palatino Linotype" w:cs="Palatino Linotype"/>
          <w:color w:val="000000"/>
        </w:rPr>
        <w:t xml:space="preserve">Luego entonces </w:t>
      </w:r>
      <w:r w:rsidRPr="006D5314">
        <w:rPr>
          <w:rFonts w:ascii="Palatino Linotype" w:eastAsia="Palatino Linotype" w:hAnsi="Palatino Linotype" w:cs="Palatino Linotype"/>
          <w:b/>
          <w:color w:val="000000"/>
        </w:rPr>
        <w:t>la adjudicación de un procedimiento de adquisición de bienes y servicios se realizará mediante la suscripción de un contrato</w:t>
      </w:r>
      <w:r w:rsidRPr="006D5314">
        <w:rPr>
          <w:rFonts w:ascii="Palatino Linotype" w:eastAsia="Palatino Linotype" w:hAnsi="Palatino Linotype" w:cs="Palatino Linotype"/>
          <w:color w:val="000000"/>
        </w:rPr>
        <w:t>.</w:t>
      </w:r>
    </w:p>
    <w:p w:rsidR="006D5314" w:rsidRPr="006D5314" w:rsidRDefault="006D5314" w:rsidP="006D5314">
      <w:pPr>
        <w:spacing w:line="360" w:lineRule="auto"/>
        <w:ind w:right="-787"/>
        <w:jc w:val="both"/>
        <w:rPr>
          <w:rFonts w:ascii="Palatino Linotype" w:eastAsia="Calibri" w:hAnsi="Palatino Linotype" w:cs="Arial"/>
          <w:i/>
        </w:rPr>
      </w:pPr>
    </w:p>
    <w:p w:rsidR="00B642E1" w:rsidRPr="006D5314" w:rsidRDefault="00B642E1" w:rsidP="005962B3">
      <w:pPr>
        <w:numPr>
          <w:ilvl w:val="0"/>
          <w:numId w:val="2"/>
        </w:numPr>
        <w:spacing w:line="360" w:lineRule="auto"/>
        <w:ind w:left="0" w:right="-787" w:firstLine="0"/>
        <w:jc w:val="both"/>
        <w:rPr>
          <w:rFonts w:ascii="Palatino Linotype" w:eastAsia="Calibri" w:hAnsi="Palatino Linotype" w:cs="Arial"/>
          <w:i/>
        </w:rPr>
      </w:pPr>
      <w:r w:rsidRPr="006D5314">
        <w:rPr>
          <w:rFonts w:ascii="Palatino Linotype" w:eastAsia="Palatino Linotype" w:hAnsi="Palatino Linotype" w:cs="Palatino Linotype"/>
        </w:rPr>
        <w:t>Asimismo, es de referir que se tiene como obligación de transparencia común la de poner a disposición la información relativa a los procesos y resultados sobre procedimientos de adjudicación directa, invitación restringida y licitación de cualquier naturaleza, incluyendo la versión pública del expediente respectivo, tal como lo señala el artículo 92, de la Ley de Transparencia y Acceso a la Información Pública del Estado de México y Municipios:</w:t>
      </w:r>
    </w:p>
    <w:p w:rsidR="00B642E1" w:rsidRPr="006D5314" w:rsidRDefault="00B642E1" w:rsidP="00B642E1">
      <w:pPr>
        <w:ind w:left="567" w:right="-574"/>
        <w:jc w:val="center"/>
        <w:rPr>
          <w:rFonts w:ascii="Palatino Linotype" w:hAnsi="Palatino Linotype" w:cs="Tahoma"/>
          <w:b/>
          <w:i/>
        </w:rPr>
      </w:pPr>
      <w:r w:rsidRPr="006D5314">
        <w:rPr>
          <w:rFonts w:ascii="Palatino Linotype" w:hAnsi="Palatino Linotype" w:cs="Tahoma"/>
          <w:b/>
          <w:i/>
        </w:rPr>
        <w:t>De las Obligaciones de Transparencia Comunes</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b/>
          <w:i/>
        </w:rPr>
        <w:t>Artículo 92</w:t>
      </w:r>
      <w:r w:rsidRPr="006D5314">
        <w:rPr>
          <w:rFonts w:ascii="Palatino Linotype" w:hAnsi="Palatino Linotype" w:cs="Tahoma"/>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b/>
          <w:i/>
        </w:rPr>
        <w:t>XXIX</w:t>
      </w:r>
      <w:r w:rsidRPr="006D5314">
        <w:rPr>
          <w:rFonts w:ascii="Palatino Linotype" w:hAnsi="Palatino Linotype" w:cs="Tahoma"/>
          <w:i/>
        </w:rPr>
        <w:t xml:space="preserve">. </w:t>
      </w:r>
      <w:r w:rsidRPr="006D5314">
        <w:rPr>
          <w:rFonts w:ascii="Palatino Linotype" w:hAnsi="Palatino Linotype" w:cs="Tahoma"/>
          <w:b/>
          <w:i/>
        </w:rPr>
        <w:t xml:space="preserve">La información sobre los procesos y resultados sobre procedimientos de adjudicación directa, invitación restringida y licitación de cualquier naturaleza, </w:t>
      </w:r>
      <w:r w:rsidRPr="006D5314">
        <w:rPr>
          <w:rFonts w:ascii="Palatino Linotype" w:hAnsi="Palatino Linotype" w:cs="Tahoma"/>
          <w:b/>
          <w:i/>
          <w:u w:val="single"/>
        </w:rPr>
        <w:lastRenderedPageBreak/>
        <w:t>incluyendo la versión pública del expediente respectivo y de los contratos celebrados</w:t>
      </w:r>
      <w:r w:rsidRPr="006D5314">
        <w:rPr>
          <w:rFonts w:ascii="Palatino Linotype" w:hAnsi="Palatino Linotype" w:cs="Tahoma"/>
          <w:i/>
        </w:rPr>
        <w:t xml:space="preserve">, que deberán contener, por los menos, lo siguiente: </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b/>
          <w:i/>
        </w:rPr>
      </w:pPr>
      <w:r w:rsidRPr="006D5314">
        <w:rPr>
          <w:rFonts w:ascii="Palatino Linotype" w:hAnsi="Palatino Linotype" w:cs="Tahoma"/>
          <w:b/>
          <w:i/>
        </w:rPr>
        <w:t xml:space="preserve">a) De licitaciones públicas o procedimientos de invitación restringida: </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 La convocatoria o invitación emitida, así como los fundamentos legales aplicados para llevarla a cabo;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2) Los nombres de los participantes o invitados;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3) El nombre del ganador y las razones que lo justifican;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4) El área solicitante y la responsable de su ejecución;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5) Las convocatorias e invitaciones emitidas;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6) Los dictámenes y fallo de adjudicación;</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7) El contrato y, en su caso, sus anexos;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8) Los mecanismos de vigilancia y supervisión, incluyendo en su caso, los estudios de impacto urbano y ambiental, según corresponda;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9) La partida presupuestal, de conformidad con el clasificador por objeto del gasto, en el caso de ser aplicable;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10) Origen de los recursos especificando si son federales, estatales o municipales, así como el tipo de fondo de participación o aportación respectiva;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11) Los convenios modificatorios que, en su caso, sean firmados, precisando el objeto y la fecha de celebración;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12) Los informes de avance físico y financiero sobre las obras o servicios contratados;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13) El convenio de terminación; y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14) El finiquito. </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b/>
          <w:i/>
        </w:rPr>
      </w:pPr>
      <w:r w:rsidRPr="006D5314">
        <w:rPr>
          <w:rFonts w:ascii="Palatino Linotype" w:hAnsi="Palatino Linotype" w:cs="Tahoma"/>
          <w:b/>
          <w:i/>
        </w:rPr>
        <w:t xml:space="preserve">b) De las adjudicaciones directas: </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 La propuesta enviada por el participante;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2) Los motivos y fundamentos legales aplicados para llevarla a cabo;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3) La autorización del ejercicio de la opción;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4) En su caso, las cotizaciones consideradas, especificando los nombres de los proveedores y sus montos;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5) El nombre de la persona física o jurídica colectiva adjudicada;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6) La unidad administrativa solicitante y la responsable de su ejecución;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7) El número, fecha, el monto del contrato y el plazo de entrega o de ejecución de los servicios u obra;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lastRenderedPageBreak/>
        <w:t xml:space="preserve">8) Los mecanismos de vigilancia y supervisión, incluyendo, en su caso, los estudios de impacto urbano y ambiental, según corresponda;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9) Los informes de avance sobre las obras o servicios contratados;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 xml:space="preserve">10) El convenio de terminación; y </w:t>
      </w: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11) El finiquito.</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i/>
        </w:rPr>
      </w:pPr>
      <w:r w:rsidRPr="006D5314">
        <w:rPr>
          <w:rFonts w:ascii="Palatino Linotype" w:hAnsi="Palatino Linotype" w:cs="Tahoma"/>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642E1" w:rsidRPr="006D5314" w:rsidRDefault="00B642E1" w:rsidP="00B642E1">
      <w:pPr>
        <w:ind w:left="567" w:right="-574"/>
        <w:jc w:val="both"/>
        <w:rPr>
          <w:rFonts w:ascii="Palatino Linotype" w:hAnsi="Palatino Linotype" w:cs="Tahoma"/>
          <w:i/>
        </w:rPr>
      </w:pPr>
    </w:p>
    <w:p w:rsidR="00B642E1" w:rsidRPr="006D5314" w:rsidRDefault="00B642E1" w:rsidP="00B642E1">
      <w:pPr>
        <w:ind w:left="567" w:right="-574"/>
        <w:jc w:val="both"/>
        <w:rPr>
          <w:rFonts w:ascii="Palatino Linotype" w:hAnsi="Palatino Linotype" w:cs="Tahoma"/>
          <w:i/>
        </w:rPr>
      </w:pPr>
    </w:p>
    <w:p w:rsidR="00B642E1" w:rsidRPr="006D5314" w:rsidRDefault="00B642E1" w:rsidP="005962B3">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En este mismo </w:t>
      </w:r>
      <w:r w:rsidRPr="006D5314">
        <w:rPr>
          <w:rFonts w:ascii="Palatino Linotype" w:eastAsia="Palatino Linotype" w:hAnsi="Palatino Linotype" w:cs="Palatino Linotype"/>
        </w:rPr>
        <w:t>sentido</w:t>
      </w:r>
      <w:r w:rsidRPr="006D5314">
        <w:rPr>
          <w:rFonts w:ascii="Palatino Linotype" w:eastAsia="Palatino Linotype" w:hAnsi="Palatino Linotype" w:cs="Palatino Linotype"/>
          <w:color w:val="000000"/>
        </w:rPr>
        <w:t xml:space="preserve"> los Lineamientos Técnicos Generales para la publicación, homologación y </w:t>
      </w:r>
      <w:r w:rsidRPr="006D5314">
        <w:rPr>
          <w:rFonts w:ascii="Palatino Linotype" w:eastAsia="Palatino Linotype" w:hAnsi="Palatino Linotype" w:cs="Palatino Linotype"/>
        </w:rPr>
        <w:t>estandarización</w:t>
      </w:r>
      <w:r w:rsidRPr="006D5314">
        <w:rPr>
          <w:rFonts w:ascii="Palatino Linotype" w:eastAsia="Palatino Linotype" w:hAnsi="Palatino Linotype" w:cs="Palatino Linotype"/>
          <w:color w:val="000000"/>
        </w:rPr>
        <w:t xml:space="preserve">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en la fracción </w:t>
      </w:r>
      <w:r w:rsidRPr="006D5314">
        <w:rPr>
          <w:rFonts w:ascii="Palatino Linotype" w:eastAsia="Palatino Linotype" w:hAnsi="Palatino Linotype" w:cs="Palatino Linotype"/>
          <w:color w:val="000000"/>
          <w:u w:val="single"/>
        </w:rPr>
        <w:t>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r w:rsidRPr="006D5314">
        <w:rPr>
          <w:rFonts w:ascii="Palatino Linotype" w:eastAsia="Palatino Linotype" w:hAnsi="Palatino Linotype" w:cs="Palatino Linotype"/>
          <w:color w:val="000000"/>
        </w:rPr>
        <w:t xml:space="preserve"> establece diversos criterios sustantivos de contenido, entre ellos los siguientes:</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Criterios sustantivos de contenido</w:t>
      </w:r>
      <w:r w:rsidRPr="006D5314">
        <w:rPr>
          <w:rFonts w:ascii="Palatino Linotype" w:hAnsi="Palatino Linotype" w:cs="Tahoma"/>
          <w:i/>
        </w:rPr>
        <w:t xml:space="preserve"> </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 xml:space="preserve">Respecto de cada una de las etapas del procedimiento de contratación </w:t>
      </w:r>
      <w:r w:rsidRPr="006D5314">
        <w:rPr>
          <w:rFonts w:ascii="Palatino Linotype" w:hAnsi="Palatino Linotype" w:cs="Tahoma"/>
          <w:b/>
          <w:i/>
        </w:rPr>
        <w:t xml:space="preserve">de licitación pública, invitación a cuando menos tres personas y adjudicación directa </w:t>
      </w:r>
      <w:r w:rsidRPr="006D5314">
        <w:rPr>
          <w:rFonts w:ascii="Palatino Linotype" w:hAnsi="Palatino Linotype" w:cs="Tahoma"/>
          <w:i/>
        </w:rPr>
        <w:t>se publicarán los siguientes datos:</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3</w:t>
      </w:r>
      <w:r w:rsidRPr="006D5314">
        <w:rPr>
          <w:rFonts w:ascii="Palatino Linotype" w:hAnsi="Palatino Linotype" w:cs="Tahoma"/>
          <w:i/>
        </w:rPr>
        <w:t xml:space="preserve"> Tipo de procedimiento (catálogo): Licitación pública/Invitación a cuando menos tres personas/ Adjudicación directa/ Otra (especificar). En caso de que no se haya llevado a cabo alguno de los tres procedimientos en el periodo que se informa, se deberá </w:t>
      </w:r>
      <w:r w:rsidRPr="006D5314">
        <w:rPr>
          <w:rFonts w:ascii="Palatino Linotype" w:hAnsi="Palatino Linotype" w:cs="Tahoma"/>
          <w:i/>
        </w:rPr>
        <w:lastRenderedPageBreak/>
        <w:t>incluir un registro con el periodo respectivo, el procedimiento y señalar mediante una nota fundamentada, motivada y actualizada al periodo correspondiente, que no se llevó a cabo ningún procedimiento de ese tipo.</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4</w:t>
      </w:r>
      <w:r w:rsidRPr="006D5314">
        <w:rPr>
          <w:rFonts w:ascii="Palatino Linotype" w:hAnsi="Palatino Linotype" w:cs="Tahoma"/>
          <w:i/>
        </w:rPr>
        <w:t xml:space="preserve"> Materia o tipo de contratación (catálogo): Obra pública/Servicios relacionados con obra pública/Adquisiciones/Arrendamientos/Servicios.</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En cuanto al contrato se publicarán los siguientes datos:</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46</w:t>
      </w:r>
      <w:r w:rsidRPr="006D5314">
        <w:rPr>
          <w:rFonts w:ascii="Palatino Linotype" w:hAnsi="Palatino Linotype" w:cs="Tahoma"/>
          <w:i/>
        </w:rPr>
        <w:t xml:space="preserve"> Monto del contrato sin impuestos incluidos (expresados en pesos mexicanos).</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47</w:t>
      </w:r>
      <w:r w:rsidRPr="006D5314">
        <w:rPr>
          <w:rFonts w:ascii="Palatino Linotype" w:hAnsi="Palatino Linotype" w:cs="Tahoma"/>
          <w:i/>
        </w:rPr>
        <w:t xml:space="preserve"> Monto total del contrato con impuestos incluidos (expresados en pesos mexicanos).</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Si se trata de obra pública y/o servicios relacionados con la misma se deberán incluir los siguientes datos:</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63</w:t>
      </w:r>
      <w:r w:rsidRPr="006D5314">
        <w:rPr>
          <w:rFonts w:ascii="Palatino Linotype" w:hAnsi="Palatino Linotype" w:cs="Tahoma"/>
          <w:i/>
        </w:rPr>
        <w:t xml:space="preserve"> Lugar donde se realizará la obra pública y/o servicio relacionado con la misma. </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64</w:t>
      </w:r>
      <w:r w:rsidRPr="006D5314">
        <w:rPr>
          <w:rFonts w:ascii="Palatino Linotype" w:hAnsi="Palatino Linotype" w:cs="Tahoma"/>
          <w:i/>
        </w:rPr>
        <w:t xml:space="preserve"> Breve descripción de la obra pública.</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67</w:t>
      </w:r>
      <w:r w:rsidRPr="006D5314">
        <w:rPr>
          <w:rFonts w:ascii="Palatino Linotype" w:hAnsi="Palatino Linotype" w:cs="Tahoma"/>
          <w:i/>
        </w:rPr>
        <w:t xml:space="preserve"> Etapa de la obra pública y/o servicio de la misma (catálogo): En planeación/ En progreso/ Finiquito.</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Asimismo, se deberán publicar los siguientes documentos:</w:t>
      </w:r>
    </w:p>
    <w:p w:rsidR="00B642E1" w:rsidRPr="006D5314" w:rsidRDefault="00B642E1" w:rsidP="00B642E1">
      <w:pPr>
        <w:ind w:left="1134" w:right="-574"/>
        <w:jc w:val="both"/>
        <w:rPr>
          <w:rFonts w:ascii="Palatino Linotype" w:hAnsi="Palatino Linotype" w:cs="Tahoma"/>
          <w:i/>
        </w:rPr>
      </w:pP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74</w:t>
      </w:r>
      <w:r w:rsidRPr="006D5314">
        <w:rPr>
          <w:rFonts w:ascii="Palatino Linotype" w:hAnsi="Palatino Linotype" w:cs="Tahoma"/>
          <w:i/>
        </w:rPr>
        <w:t xml:space="preserve"> Hipervínculo, en su caso, al (los) informe(s) de avance físicos en versión pública si así corresponde.</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i/>
        </w:rPr>
        <w:t>…</w:t>
      </w:r>
    </w:p>
    <w:p w:rsidR="00B642E1" w:rsidRPr="006D5314" w:rsidRDefault="00B642E1" w:rsidP="00B642E1">
      <w:pPr>
        <w:ind w:left="1134" w:right="-574"/>
        <w:jc w:val="both"/>
        <w:rPr>
          <w:rFonts w:ascii="Palatino Linotype" w:hAnsi="Palatino Linotype" w:cs="Tahoma"/>
          <w:i/>
        </w:rPr>
      </w:pPr>
      <w:r w:rsidRPr="006D5314">
        <w:rPr>
          <w:rFonts w:ascii="Palatino Linotype" w:hAnsi="Palatino Linotype" w:cs="Tahoma"/>
          <w:b/>
          <w:i/>
        </w:rPr>
        <w:t>Criterio 78</w:t>
      </w:r>
      <w:r w:rsidRPr="006D5314">
        <w:rPr>
          <w:rFonts w:ascii="Palatino Linotype" w:hAnsi="Palatino Linotype" w:cs="Tahoma"/>
          <w:i/>
        </w:rPr>
        <w:t xml:space="preserve"> Hipervínculo a la factura o documento que cumpla con requisitos fiscales.</w:t>
      </w:r>
    </w:p>
    <w:p w:rsidR="00B642E1" w:rsidRPr="006D5314" w:rsidRDefault="00B642E1" w:rsidP="00B642E1">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B642E1" w:rsidRPr="006D5314" w:rsidRDefault="00B642E1" w:rsidP="001220D5">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lastRenderedPageBreak/>
        <w:t>Es así que existe la obligación de publicitar la información que involucra recursos públicos, como lo son los expedientes de procedimientos de adquisiciones y servicios; los contratos celebrados derivados de un procedimiento de adquisición y servicios, así como,  el documento que ampara las erogaciones realizadas con erario público, al ser información que resulta relevante y beneficiosa para la sociedad y no simplemente de interés individual, cuya divulgación resulta útil para que el público comprenda las actividades que llevan a cabo los sujetos obligados.</w:t>
      </w:r>
    </w:p>
    <w:p w:rsidR="00B642E1" w:rsidRPr="006D5314" w:rsidRDefault="00B642E1" w:rsidP="00B642E1">
      <w:pPr>
        <w:pBdr>
          <w:top w:val="nil"/>
          <w:left w:val="nil"/>
          <w:bottom w:val="nil"/>
          <w:right w:val="nil"/>
          <w:between w:val="nil"/>
        </w:pBdr>
        <w:ind w:right="851"/>
        <w:jc w:val="both"/>
        <w:rPr>
          <w:rFonts w:ascii="Palatino Linotype" w:eastAsia="Palatino Linotype" w:hAnsi="Palatino Linotype" w:cs="Palatino Linotype"/>
          <w:i/>
        </w:rPr>
      </w:pPr>
    </w:p>
    <w:p w:rsidR="00B642E1" w:rsidRPr="006D5314" w:rsidRDefault="00B642E1" w:rsidP="001220D5">
      <w:pPr>
        <w:numPr>
          <w:ilvl w:val="0"/>
          <w:numId w:val="2"/>
        </w:numPr>
        <w:spacing w:line="360" w:lineRule="auto"/>
        <w:ind w:left="0" w:right="-787" w:firstLine="0"/>
        <w:jc w:val="both"/>
        <w:rPr>
          <w:rFonts w:ascii="Palatino Linotype" w:hAnsi="Palatino Linotype"/>
          <w:b/>
          <w:i/>
        </w:rPr>
      </w:pPr>
      <w:r w:rsidRPr="006D5314">
        <w:rPr>
          <w:rFonts w:ascii="Palatino Linotype" w:eastAsia="Palatino Linotype" w:hAnsi="Palatino Linotype" w:cs="Palatino Linotype"/>
          <w:color w:val="000000"/>
        </w:rPr>
        <w:t xml:space="preserve">Por lo anterior, este Organismo Garante, con la finalidad de garantizar el derecho humano de </w:t>
      </w:r>
      <w:r w:rsidRPr="006D5314">
        <w:rPr>
          <w:rFonts w:ascii="Palatino Linotype" w:eastAsia="Palatino Linotype" w:hAnsi="Palatino Linotype" w:cs="Palatino Linotype"/>
        </w:rPr>
        <w:t>acceso</w:t>
      </w:r>
      <w:r w:rsidRPr="006D5314">
        <w:rPr>
          <w:rFonts w:ascii="Palatino Linotype" w:eastAsia="Palatino Linotype" w:hAnsi="Palatino Linotype" w:cs="Palatino Linotype"/>
          <w:color w:val="000000"/>
        </w:rPr>
        <w:t xml:space="preserve"> a la </w:t>
      </w:r>
      <w:r w:rsidRPr="006D5314">
        <w:rPr>
          <w:rFonts w:ascii="Palatino Linotype" w:eastAsia="Palatino Linotype" w:hAnsi="Palatino Linotype" w:cs="Palatino Linotype"/>
        </w:rPr>
        <w:t>información</w:t>
      </w:r>
      <w:r w:rsidRPr="006D5314">
        <w:rPr>
          <w:rFonts w:ascii="Palatino Linotype" w:eastAsia="Palatino Linotype" w:hAnsi="Palatino Linotype" w:cs="Palatino Linotype"/>
          <w:color w:val="000000"/>
        </w:rPr>
        <w:t xml:space="preserve"> de la parte </w:t>
      </w:r>
      <w:r w:rsidRPr="006D5314">
        <w:rPr>
          <w:rFonts w:ascii="Palatino Linotype" w:eastAsia="Palatino Linotype" w:hAnsi="Palatino Linotype" w:cs="Palatino Linotype"/>
          <w:b/>
          <w:color w:val="000000"/>
        </w:rPr>
        <w:t>Recurrente,</w:t>
      </w:r>
      <w:r w:rsidRPr="006D5314">
        <w:rPr>
          <w:rFonts w:ascii="Palatino Linotype" w:eastAsia="Palatino Linotype" w:hAnsi="Palatino Linotype" w:cs="Palatino Linotype"/>
          <w:color w:val="000000"/>
        </w:rPr>
        <w:t xml:space="preserve"> estima procedente</w:t>
      </w:r>
      <w:r w:rsidRPr="006D5314">
        <w:rPr>
          <w:rFonts w:ascii="Palatino Linotype" w:eastAsia="Palatino Linotype" w:hAnsi="Palatino Linotype" w:cs="Palatino Linotype"/>
          <w:b/>
          <w:color w:val="000000"/>
        </w:rPr>
        <w:t xml:space="preserve"> REVOCAR</w:t>
      </w:r>
      <w:r w:rsidRPr="006D5314">
        <w:rPr>
          <w:rFonts w:ascii="Palatino Linotype" w:eastAsia="Palatino Linotype" w:hAnsi="Palatino Linotype" w:cs="Palatino Linotype"/>
          <w:color w:val="000000"/>
        </w:rPr>
        <w:t xml:space="preserve"> la respuesta emitida y </w:t>
      </w:r>
      <w:r w:rsidRPr="006D5314">
        <w:rPr>
          <w:rFonts w:ascii="Palatino Linotype" w:eastAsia="Palatino Linotype" w:hAnsi="Palatino Linotype" w:cs="Palatino Linotype"/>
          <w:b/>
          <w:color w:val="000000"/>
        </w:rPr>
        <w:t>ORDENAR</w:t>
      </w:r>
      <w:r w:rsidRPr="006D5314">
        <w:rPr>
          <w:rFonts w:ascii="Palatino Linotype" w:eastAsia="Palatino Linotype" w:hAnsi="Palatino Linotype" w:cs="Palatino Linotype"/>
          <w:color w:val="000000"/>
        </w:rPr>
        <w:t xml:space="preserve"> que, previa búsqueda exhaustiva y razonable, de ser procedente en versión pública</w:t>
      </w:r>
      <w:r w:rsidRPr="006D5314">
        <w:rPr>
          <w:rFonts w:ascii="Palatino Linotype" w:eastAsia="Palatino Linotype" w:hAnsi="Palatino Linotype" w:cs="Palatino Linotype"/>
          <w:b/>
          <w:color w:val="000000"/>
        </w:rPr>
        <w:t xml:space="preserve">, </w:t>
      </w:r>
      <w:r w:rsidRPr="006D5314">
        <w:rPr>
          <w:rFonts w:ascii="Palatino Linotype" w:eastAsia="Palatino Linotype" w:hAnsi="Palatino Linotype" w:cs="Palatino Linotype"/>
          <w:color w:val="000000"/>
        </w:rPr>
        <w:t xml:space="preserve">se haga entrega </w:t>
      </w:r>
      <w:r w:rsidRPr="006D5314">
        <w:rPr>
          <w:rFonts w:ascii="Palatino Linotype" w:hAnsi="Palatino Linotype"/>
        </w:rPr>
        <w:t xml:space="preserve">de la información siguiente: </w:t>
      </w:r>
      <w:r w:rsidR="001220D5" w:rsidRPr="006D5314">
        <w:rPr>
          <w:rFonts w:ascii="Palatino Linotype" w:hAnsi="Palatino Linotype"/>
          <w:b/>
        </w:rPr>
        <w:t xml:space="preserve">La documentación que dé cuenta del procedimiento de adjudicación de las obras referidas en la solicitud de información, </w:t>
      </w:r>
      <w:r w:rsidRPr="006D5314">
        <w:rPr>
          <w:rFonts w:ascii="Palatino Linotype" w:hAnsi="Palatino Linotype"/>
          <w:b/>
        </w:rPr>
        <w:t>al 22 de septiembre de 2025.</w:t>
      </w:r>
    </w:p>
    <w:p w:rsidR="00B642E1" w:rsidRPr="006D5314" w:rsidRDefault="00B642E1" w:rsidP="00B642E1">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highlight w:val="yellow"/>
        </w:rPr>
      </w:pPr>
    </w:p>
    <w:p w:rsidR="00B642E1" w:rsidRPr="006D5314" w:rsidRDefault="00B642E1" w:rsidP="0088619A">
      <w:pPr>
        <w:numPr>
          <w:ilvl w:val="0"/>
          <w:numId w:val="2"/>
        </w:numPr>
        <w:spacing w:line="360" w:lineRule="auto"/>
        <w:ind w:left="0" w:right="-787" w:firstLine="0"/>
        <w:jc w:val="both"/>
        <w:rPr>
          <w:color w:val="000000"/>
        </w:rPr>
      </w:pPr>
      <w:r w:rsidRPr="006D5314">
        <w:rPr>
          <w:rFonts w:ascii="Palatino Linotype" w:eastAsia="Palatino Linotype" w:hAnsi="Palatino Linotype" w:cs="Palatino Linotype"/>
          <w:color w:val="000000"/>
        </w:rPr>
        <w:t xml:space="preserve">Por otro lado, no pasa desapercibido para este Órgano Garante, que la información que se ordena entregar puede contener información susceptible de clasificarse; para lo cual, el </w:t>
      </w:r>
      <w:r w:rsidRPr="006D5314">
        <w:rPr>
          <w:rFonts w:ascii="Palatino Linotype" w:eastAsia="Palatino Linotype" w:hAnsi="Palatino Linotype" w:cs="Palatino Linotype"/>
          <w:b/>
          <w:color w:val="000000"/>
        </w:rPr>
        <w:t>SUJETO OBLIGADO</w:t>
      </w:r>
      <w:r w:rsidRPr="006D5314">
        <w:rPr>
          <w:rFonts w:ascii="Palatino Linotype" w:eastAsia="Palatino Linotype" w:hAnsi="Palatino Linotype" w:cs="Palatino Linotype"/>
          <w:color w:val="000000"/>
        </w:rPr>
        <w:t xml:space="preserve"> deberá atender al siguiente Considerando.</w:t>
      </w:r>
    </w:p>
    <w:p w:rsidR="00B642E1" w:rsidRPr="006D5314" w:rsidRDefault="00B642E1" w:rsidP="00B642E1">
      <w:pPr>
        <w:spacing w:line="360" w:lineRule="auto"/>
        <w:ind w:right="-858"/>
        <w:jc w:val="both"/>
        <w:rPr>
          <w:rFonts w:ascii="Palatino Linotype" w:eastAsia="Palatino Linotype" w:hAnsi="Palatino Linotype" w:cs="Palatino Linotype"/>
          <w:b/>
          <w:color w:val="000000"/>
        </w:rPr>
      </w:pPr>
    </w:p>
    <w:p w:rsidR="00B642E1" w:rsidRPr="006D5314" w:rsidRDefault="00B642E1" w:rsidP="00B642E1">
      <w:pPr>
        <w:keepNext/>
        <w:keepLines/>
        <w:spacing w:after="160" w:line="360" w:lineRule="auto"/>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QUINTO. De la versión pública.</w:t>
      </w:r>
    </w:p>
    <w:p w:rsidR="00B642E1" w:rsidRPr="006D5314" w:rsidRDefault="00B642E1" w:rsidP="00B642E1">
      <w:pPr>
        <w:keepNext/>
        <w:keepLines/>
        <w:numPr>
          <w:ilvl w:val="0"/>
          <w:numId w:val="29"/>
        </w:numPr>
        <w:tabs>
          <w:tab w:val="left" w:pos="284"/>
        </w:tabs>
        <w:spacing w:after="160" w:line="360" w:lineRule="auto"/>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 xml:space="preserve">Nociones generales. </w:t>
      </w: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Debe destacarse </w:t>
      </w:r>
      <w:r w:rsidRPr="006D5314">
        <w:rPr>
          <w:rFonts w:ascii="Palatino Linotype" w:eastAsia="Palatino Linotype" w:hAnsi="Palatino Linotype" w:cs="Palatino Linotype"/>
        </w:rPr>
        <w:t>que</w:t>
      </w:r>
      <w:r w:rsidRPr="006D5314">
        <w:rPr>
          <w:rFonts w:ascii="Palatino Linotype" w:eastAsia="Palatino Linotype" w:hAnsi="Palatino Linotype" w:cs="Palatino Linotype"/>
          <w:color w:val="000000"/>
        </w:rPr>
        <w:t>, debido a la naturaleza de la información solicitada</w:t>
      </w:r>
      <w:r w:rsidRPr="006D5314">
        <w:rPr>
          <w:rFonts w:ascii="Palatino Linotype" w:eastAsia="Palatino Linotype" w:hAnsi="Palatino Linotype" w:cs="Palatino Linotype"/>
          <w:b/>
          <w:color w:val="000000"/>
        </w:rPr>
        <w:t xml:space="preserve">, </w:t>
      </w:r>
      <w:r w:rsidRPr="006D5314">
        <w:rPr>
          <w:rFonts w:ascii="Palatino Linotype" w:eastAsia="Palatino Linotype" w:hAnsi="Palatino Linotype" w:cs="Palatino Linotype"/>
          <w:color w:val="000000"/>
        </w:rPr>
        <w:t xml:space="preserve">eventualmente pudieran obrar datos personales susceptibles de protegerse, el </w:t>
      </w:r>
      <w:r w:rsidRPr="006D5314">
        <w:rPr>
          <w:rFonts w:ascii="Palatino Linotype" w:eastAsia="Palatino Linotype" w:hAnsi="Palatino Linotype" w:cs="Palatino Linotype"/>
          <w:b/>
          <w:color w:val="000000"/>
        </w:rPr>
        <w:t xml:space="preserve">SUJETO </w:t>
      </w:r>
      <w:r w:rsidRPr="006D5314">
        <w:rPr>
          <w:rFonts w:ascii="Palatino Linotype" w:eastAsia="Palatino Linotype" w:hAnsi="Palatino Linotype" w:cs="Palatino Linotype"/>
          <w:b/>
          <w:color w:val="000000"/>
        </w:rPr>
        <w:lastRenderedPageBreak/>
        <w:t xml:space="preserve">OBLIGADO </w:t>
      </w:r>
      <w:r w:rsidRPr="006D5314">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642E1" w:rsidRPr="006D5314" w:rsidRDefault="00B642E1" w:rsidP="00B642E1">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No pasa desapercibido para este Órgano Garante que los Sujetos Obligados</w:t>
      </w:r>
      <w:r w:rsidRPr="006D5314">
        <w:rPr>
          <w:rFonts w:ascii="Palatino Linotype" w:eastAsia="Palatino Linotype" w:hAnsi="Palatino Linotype" w:cs="Palatino Linotype"/>
          <w:b/>
          <w:color w:val="000000"/>
        </w:rPr>
        <w:t xml:space="preserve"> </w:t>
      </w:r>
      <w:r w:rsidRPr="006D531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642E1" w:rsidRPr="006D5314" w:rsidRDefault="00B642E1" w:rsidP="00B642E1">
      <w:pPr>
        <w:tabs>
          <w:tab w:val="left" w:pos="284"/>
        </w:tabs>
        <w:spacing w:after="160"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B642E1" w:rsidRPr="006D5314" w:rsidTr="006D5314">
        <w:tc>
          <w:tcPr>
            <w:tcW w:w="2689" w:type="dxa"/>
          </w:tcPr>
          <w:p w:rsidR="00B642E1" w:rsidRPr="006D5314" w:rsidRDefault="00B642E1" w:rsidP="00854E07">
            <w:pPr>
              <w:tabs>
                <w:tab w:val="left" w:pos="284"/>
              </w:tabs>
              <w:spacing w:line="360" w:lineRule="auto"/>
              <w:rPr>
                <w:rFonts w:ascii="Palatino Linotype" w:eastAsia="Palatino Linotype" w:hAnsi="Palatino Linotype" w:cs="Palatino Linotype"/>
                <w:b/>
              </w:rPr>
            </w:pPr>
            <w:r w:rsidRPr="006D5314">
              <w:rPr>
                <w:rFonts w:ascii="Palatino Linotype" w:eastAsia="Palatino Linotype" w:hAnsi="Palatino Linotype" w:cs="Palatino Linotype"/>
                <w:b/>
              </w:rPr>
              <w:t>a) Requisitos previos.</w:t>
            </w:r>
          </w:p>
        </w:tc>
        <w:tc>
          <w:tcPr>
            <w:tcW w:w="7229" w:type="dxa"/>
          </w:tcPr>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B642E1" w:rsidRPr="006D5314" w:rsidRDefault="00B642E1" w:rsidP="00854E07">
            <w:pPr>
              <w:tabs>
                <w:tab w:val="left" w:pos="284"/>
              </w:tabs>
              <w:spacing w:line="360" w:lineRule="auto"/>
              <w:jc w:val="both"/>
              <w:rPr>
                <w:rFonts w:ascii="Palatino Linotype" w:eastAsia="Palatino Linotype" w:hAnsi="Palatino Linotype" w:cs="Palatino Linotype"/>
                <w:b/>
              </w:rPr>
            </w:pPr>
            <w:r w:rsidRPr="006D5314">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6D5314">
              <w:rPr>
                <w:rFonts w:ascii="Palatino Linotype" w:eastAsia="Palatino Linotype" w:hAnsi="Palatino Linotype" w:cs="Palatino Linotype"/>
                <w:b/>
                <w:color w:val="000000"/>
                <w:u w:val="single"/>
              </w:rPr>
              <w:t xml:space="preserve">no se puede hacer un acuerdo para clasificar de manera general </w:t>
            </w:r>
            <w:r w:rsidRPr="006D5314">
              <w:rPr>
                <w:rFonts w:ascii="Palatino Linotype" w:eastAsia="Palatino Linotype" w:hAnsi="Palatino Linotype" w:cs="Palatino Linotype"/>
                <w:b/>
                <w:color w:val="000000"/>
                <w:u w:val="single"/>
              </w:rPr>
              <w:lastRenderedPageBreak/>
              <w:t>todos los documentos de un expediente o área, sin</w:t>
            </w:r>
            <w:r w:rsidRPr="006D5314">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B642E1" w:rsidRPr="006D5314" w:rsidTr="006D5314">
        <w:tc>
          <w:tcPr>
            <w:tcW w:w="2689" w:type="dxa"/>
          </w:tcPr>
          <w:p w:rsidR="00B642E1" w:rsidRPr="006D5314" w:rsidRDefault="00B642E1" w:rsidP="00854E07">
            <w:pPr>
              <w:tabs>
                <w:tab w:val="left" w:pos="284"/>
              </w:tabs>
              <w:spacing w:line="360" w:lineRule="auto"/>
              <w:rPr>
                <w:rFonts w:ascii="Palatino Linotype" w:eastAsia="Palatino Linotype" w:hAnsi="Palatino Linotype" w:cs="Palatino Linotype"/>
                <w:b/>
              </w:rPr>
            </w:pPr>
            <w:r w:rsidRPr="006D5314">
              <w:rPr>
                <w:rFonts w:ascii="Palatino Linotype" w:eastAsia="Palatino Linotype" w:hAnsi="Palatino Linotype" w:cs="Palatino Linotype"/>
                <w:b/>
              </w:rPr>
              <w:lastRenderedPageBreak/>
              <w:t>b) Supuestos de clasificación.</w:t>
            </w:r>
          </w:p>
        </w:tc>
        <w:tc>
          <w:tcPr>
            <w:tcW w:w="7229" w:type="dxa"/>
          </w:tcPr>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642E1" w:rsidRPr="006D5314" w:rsidRDefault="00B642E1" w:rsidP="00854E07">
            <w:pPr>
              <w:tabs>
                <w:tab w:val="left" w:pos="284"/>
              </w:tabs>
              <w:spacing w:line="360" w:lineRule="auto"/>
              <w:jc w:val="both"/>
              <w:rPr>
                <w:rFonts w:ascii="Palatino Linotype" w:eastAsia="Palatino Linotype" w:hAnsi="Palatino Linotype" w:cs="Palatino Linotype"/>
              </w:rPr>
            </w:pPr>
            <w:r w:rsidRPr="006D5314">
              <w:rPr>
                <w:rFonts w:ascii="Palatino Linotype" w:eastAsia="Palatino Linotype" w:hAnsi="Palatino Linotype" w:cs="Palatino Linotype"/>
                <w:color w:val="000000"/>
              </w:rPr>
              <w:t xml:space="preserve">El </w:t>
            </w:r>
            <w:r w:rsidRPr="006D5314">
              <w:rPr>
                <w:rFonts w:ascii="Palatino Linotype" w:eastAsia="Palatino Linotype" w:hAnsi="Palatino Linotype" w:cs="Palatino Linotype"/>
                <w:b/>
                <w:color w:val="000000"/>
              </w:rPr>
              <w:t>Sujeto Obligado</w:t>
            </w:r>
            <w:r w:rsidRPr="006D531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642E1" w:rsidRPr="006D5314" w:rsidTr="006D5314">
        <w:tc>
          <w:tcPr>
            <w:tcW w:w="2689" w:type="dxa"/>
          </w:tcPr>
          <w:p w:rsidR="00B642E1" w:rsidRPr="006D5314" w:rsidRDefault="00B642E1" w:rsidP="00854E07">
            <w:pPr>
              <w:tabs>
                <w:tab w:val="left" w:pos="284"/>
              </w:tabs>
              <w:spacing w:line="360" w:lineRule="auto"/>
              <w:rPr>
                <w:rFonts w:ascii="Palatino Linotype" w:eastAsia="Palatino Linotype" w:hAnsi="Palatino Linotype" w:cs="Palatino Linotype"/>
                <w:b/>
              </w:rPr>
            </w:pPr>
            <w:r w:rsidRPr="006D5314">
              <w:rPr>
                <w:rFonts w:ascii="Palatino Linotype" w:eastAsia="Palatino Linotype" w:hAnsi="Palatino Linotype" w:cs="Palatino Linotype"/>
                <w:b/>
              </w:rPr>
              <w:lastRenderedPageBreak/>
              <w:t>c) Formalidades para emitir el acuerdo de clasificación.</w:t>
            </w:r>
          </w:p>
        </w:tc>
        <w:tc>
          <w:tcPr>
            <w:tcW w:w="7229" w:type="dxa"/>
          </w:tcPr>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Es necesario que </w:t>
            </w:r>
            <w:r w:rsidRPr="006D5314">
              <w:rPr>
                <w:rFonts w:ascii="Palatino Linotype" w:eastAsia="Palatino Linotype" w:hAnsi="Palatino Linotype" w:cs="Palatino Linotype"/>
                <w:b/>
                <w:color w:val="000000"/>
                <w:u w:val="single"/>
              </w:rPr>
              <w:t>el acto reúna con los requisitos elementales</w:t>
            </w:r>
            <w:r w:rsidRPr="006D5314">
              <w:rPr>
                <w:rFonts w:ascii="Palatino Linotype" w:eastAsia="Palatino Linotype" w:hAnsi="Palatino Linotype" w:cs="Palatino Linotype"/>
                <w:color w:val="000000"/>
              </w:rPr>
              <w:t>, entre ellos, que la autoridad que va a emitir el acto de autoridad sea la legalmente facultada para ello.</w:t>
            </w:r>
          </w:p>
          <w:p w:rsidR="00B642E1" w:rsidRPr="006D5314" w:rsidRDefault="00B642E1" w:rsidP="00854E07">
            <w:pPr>
              <w:tabs>
                <w:tab w:val="left" w:pos="284"/>
              </w:tabs>
              <w:spacing w:line="360" w:lineRule="auto"/>
              <w:jc w:val="both"/>
              <w:rPr>
                <w:rFonts w:ascii="Palatino Linotype" w:eastAsia="Palatino Linotype" w:hAnsi="Palatino Linotype" w:cs="Palatino Linotype"/>
              </w:rPr>
            </w:pPr>
            <w:r w:rsidRPr="006D5314">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642E1" w:rsidRPr="006D5314" w:rsidTr="006D5314">
        <w:tc>
          <w:tcPr>
            <w:tcW w:w="2689" w:type="dxa"/>
          </w:tcPr>
          <w:p w:rsidR="00B642E1" w:rsidRPr="006D5314" w:rsidRDefault="00B642E1" w:rsidP="00854E07">
            <w:pPr>
              <w:tabs>
                <w:tab w:val="left" w:pos="284"/>
              </w:tabs>
              <w:spacing w:line="360" w:lineRule="auto"/>
              <w:rPr>
                <w:rFonts w:ascii="Palatino Linotype" w:eastAsia="Palatino Linotype" w:hAnsi="Palatino Linotype" w:cs="Palatino Linotype"/>
                <w:b/>
              </w:rPr>
            </w:pPr>
          </w:p>
          <w:p w:rsidR="00B642E1" w:rsidRPr="006D5314" w:rsidRDefault="00B642E1" w:rsidP="00854E07">
            <w:pPr>
              <w:tabs>
                <w:tab w:val="left" w:pos="284"/>
              </w:tabs>
              <w:spacing w:line="360" w:lineRule="auto"/>
              <w:jc w:val="both"/>
              <w:rPr>
                <w:rFonts w:ascii="Palatino Linotype" w:eastAsia="Palatino Linotype" w:hAnsi="Palatino Linotype" w:cs="Palatino Linotype"/>
                <w:b/>
              </w:rPr>
            </w:pPr>
            <w:r w:rsidRPr="006D5314">
              <w:rPr>
                <w:rFonts w:ascii="Palatino Linotype" w:eastAsia="Palatino Linotype" w:hAnsi="Palatino Linotype" w:cs="Palatino Linotype"/>
                <w:b/>
                <w:color w:val="000000"/>
              </w:rPr>
              <w:t xml:space="preserve">d) Requisitos de fondo del acuerdo de clasificación. </w:t>
            </w:r>
          </w:p>
        </w:tc>
        <w:tc>
          <w:tcPr>
            <w:tcW w:w="7229" w:type="dxa"/>
          </w:tcPr>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D5314">
              <w:rPr>
                <w:rFonts w:ascii="Palatino Linotype" w:eastAsia="Palatino Linotype" w:hAnsi="Palatino Linotype" w:cs="Palatino Linotype"/>
                <w:b/>
                <w:color w:val="000000"/>
              </w:rPr>
              <w:t>Sujetos Obligados</w:t>
            </w:r>
            <w:r w:rsidRPr="006D5314">
              <w:rPr>
                <w:rFonts w:ascii="Palatino Linotype" w:eastAsia="Palatino Linotype" w:hAnsi="Palatino Linotype" w:cs="Palatino Linotype"/>
                <w:color w:val="000000"/>
              </w:rPr>
              <w:t xml:space="preserve">, por lo que deberán fundar y motivar debidamente la clasificación. </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De lo anterior, se desprende que para una correcta </w:t>
            </w:r>
            <w:r w:rsidRPr="006D5314">
              <w:rPr>
                <w:rFonts w:ascii="Palatino Linotype" w:eastAsia="Palatino Linotype" w:hAnsi="Palatino Linotype" w:cs="Palatino Linotype"/>
                <w:b/>
                <w:color w:val="000000"/>
              </w:rPr>
              <w:t>clasificación total o parcial</w:t>
            </w:r>
            <w:r w:rsidRPr="006D5314">
              <w:rPr>
                <w:rFonts w:ascii="Palatino Linotype" w:eastAsia="Palatino Linotype" w:hAnsi="Palatino Linotype" w:cs="Palatino Linotype"/>
                <w:color w:val="000000"/>
              </w:rPr>
              <w:t xml:space="preserve">, esto es determinar los datos que se suprimen en las </w:t>
            </w:r>
            <w:r w:rsidRPr="006D5314">
              <w:rPr>
                <w:rFonts w:ascii="Palatino Linotype" w:eastAsia="Palatino Linotype" w:hAnsi="Palatino Linotype" w:cs="Palatino Linotype"/>
                <w:color w:val="000000"/>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Ahora bien, </w:t>
            </w:r>
            <w:r w:rsidRPr="006D5314">
              <w:rPr>
                <w:rFonts w:ascii="Palatino Linotype" w:eastAsia="Palatino Linotype" w:hAnsi="Palatino Linotype" w:cs="Palatino Linotype"/>
                <w:b/>
                <w:color w:val="000000"/>
                <w:u w:val="single"/>
              </w:rPr>
              <w:t>para cada caso además de fundar y motivar</w:t>
            </w:r>
            <w:r w:rsidRPr="006D531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42E1" w:rsidRPr="006D5314" w:rsidTr="006D5314">
        <w:tc>
          <w:tcPr>
            <w:tcW w:w="2689" w:type="dxa"/>
          </w:tcPr>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b/>
              </w:rPr>
            </w:pPr>
            <w:r w:rsidRPr="006D5314">
              <w:rPr>
                <w:rFonts w:ascii="Palatino Linotype" w:eastAsia="Palatino Linotype" w:hAnsi="Palatino Linotype" w:cs="Palatino Linotype"/>
                <w:b/>
              </w:rPr>
              <w:lastRenderedPageBreak/>
              <w:t xml:space="preserve">e) Condiciones especiales de la clasificación de la información como confidencial. </w:t>
            </w:r>
          </w:p>
        </w:tc>
        <w:tc>
          <w:tcPr>
            <w:tcW w:w="7229" w:type="dxa"/>
          </w:tcPr>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642E1" w:rsidRPr="006D5314" w:rsidRDefault="00B642E1" w:rsidP="00854E07">
            <w:pPr>
              <w:tabs>
                <w:tab w:val="left" w:pos="284"/>
              </w:tabs>
              <w:spacing w:line="360" w:lineRule="auto"/>
              <w:ind w:right="49"/>
              <w:jc w:val="both"/>
              <w:rPr>
                <w:rFonts w:ascii="Palatino Linotype" w:eastAsia="Palatino Linotype" w:hAnsi="Palatino Linotype" w:cs="Palatino Linotype"/>
                <w:color w:val="000000"/>
              </w:rPr>
            </w:pPr>
            <w:r w:rsidRPr="006D531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42E1" w:rsidRPr="006D5314" w:rsidRDefault="00B642E1" w:rsidP="00854E07">
            <w:pPr>
              <w:tabs>
                <w:tab w:val="left" w:pos="284"/>
              </w:tabs>
              <w:spacing w:line="360" w:lineRule="auto"/>
              <w:rPr>
                <w:rFonts w:ascii="Palatino Linotype" w:eastAsia="Palatino Linotype" w:hAnsi="Palatino Linotype" w:cs="Palatino Linotype"/>
              </w:rPr>
            </w:pPr>
            <w:r w:rsidRPr="006D531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642E1" w:rsidRPr="006D5314" w:rsidRDefault="00B642E1" w:rsidP="00B642E1">
      <w:pPr>
        <w:tabs>
          <w:tab w:val="left" w:pos="284"/>
        </w:tabs>
        <w:spacing w:line="360" w:lineRule="auto"/>
        <w:rPr>
          <w:rFonts w:ascii="Palatino Linotype" w:eastAsia="Palatino Linotype" w:hAnsi="Palatino Linotype" w:cs="Palatino Linotype"/>
          <w:color w:val="000000"/>
        </w:rPr>
      </w:pPr>
    </w:p>
    <w:p w:rsidR="00B642E1" w:rsidRPr="006D5314" w:rsidRDefault="00B642E1" w:rsidP="00B642E1">
      <w:pPr>
        <w:rPr>
          <w:rFonts w:ascii="Palatino Linotype" w:eastAsia="Palatino Linotype" w:hAnsi="Palatino Linotype" w:cs="Palatino Linotype"/>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iCs/>
        </w:rPr>
      </w:pPr>
      <w:r w:rsidRPr="006D5314">
        <w:rPr>
          <w:rFonts w:ascii="Palatino Linotype" w:hAnsi="Palatino Linotype" w:cs="Tahoma"/>
          <w:bCs/>
          <w:iCs/>
        </w:rPr>
        <w:t xml:space="preserve">Dada la </w:t>
      </w:r>
      <w:r w:rsidRPr="006D5314">
        <w:rPr>
          <w:rFonts w:ascii="Palatino Linotype" w:eastAsia="Palatino Linotype" w:hAnsi="Palatino Linotype" w:cs="Palatino Linotype"/>
          <w:color w:val="000000"/>
        </w:rPr>
        <w:t>complejidad</w:t>
      </w:r>
      <w:r w:rsidRPr="006D5314">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w:t>
      </w:r>
      <w:r w:rsidRPr="006D5314">
        <w:rPr>
          <w:rFonts w:ascii="Palatino Linotype" w:eastAsia="Palatino Linotype" w:hAnsi="Palatino Linotype" w:cs="Palatino Linotype"/>
          <w:color w:val="000000"/>
        </w:rPr>
        <w:t xml:space="preserve"> </w:t>
      </w:r>
      <w:r w:rsidRPr="006D5314">
        <w:rPr>
          <w:rFonts w:ascii="Palatino Linotype" w:hAnsi="Palatino Linotype" w:cs="Tahoma"/>
          <w:bCs/>
          <w:iCs/>
        </w:rPr>
        <w:t xml:space="preserve">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w:t>
      </w:r>
      <w:r w:rsidRPr="006D5314">
        <w:rPr>
          <w:rFonts w:ascii="Palatino Linotype" w:eastAsia="Palatino Linotype" w:hAnsi="Palatino Linotype" w:cs="Palatino Linotype"/>
          <w:color w:val="000000"/>
        </w:rPr>
        <w:t>cuentas</w:t>
      </w:r>
      <w:r w:rsidRPr="006D5314">
        <w:rPr>
          <w:rFonts w:ascii="Palatino Linotype" w:hAnsi="Palatino Linotype" w:cs="Tahoma"/>
          <w:bCs/>
          <w:iCs/>
        </w:rPr>
        <w:t xml:space="preserve">, constituyen información de naturaleza pública, </w:t>
      </w:r>
      <w:r w:rsidRPr="006D5314">
        <w:rPr>
          <w:rFonts w:ascii="Palatino Linotype" w:hAnsi="Palatino Linotype" w:cs="Tahoma"/>
          <w:bCs/>
          <w:iCs/>
        </w:rPr>
        <w:lastRenderedPageBreak/>
        <w:t>en razón de que el beneficio de su publicidad es mayor que el beneficio de su clasificación, aun tratándose de información personal.</w:t>
      </w:r>
    </w:p>
    <w:p w:rsidR="00B642E1" w:rsidRPr="006D5314" w:rsidRDefault="00B642E1" w:rsidP="00B642E1">
      <w:pPr>
        <w:spacing w:line="360" w:lineRule="auto"/>
        <w:jc w:val="both"/>
        <w:rPr>
          <w:rFonts w:ascii="Palatino Linotype" w:hAnsi="Palatino Linotype" w:cs="Tahoma"/>
          <w:bCs/>
          <w:iC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iCs/>
        </w:rPr>
      </w:pPr>
      <w:r w:rsidRPr="006D5314">
        <w:rPr>
          <w:rFonts w:ascii="Palatino Linotype" w:hAnsi="Palatino Linotype" w:cs="Tahoma"/>
          <w:bCs/>
          <w:iCs/>
        </w:rPr>
        <w:t xml:space="preserve">Ahora </w:t>
      </w:r>
      <w:r w:rsidRPr="006D5314">
        <w:rPr>
          <w:rFonts w:ascii="Palatino Linotype" w:eastAsia="Palatino Linotype" w:hAnsi="Palatino Linotype" w:cs="Palatino Linotype"/>
          <w:color w:val="000000"/>
        </w:rPr>
        <w:t>bien</w:t>
      </w:r>
      <w:r w:rsidRPr="006D5314">
        <w:rPr>
          <w:rFonts w:ascii="Palatino Linotype" w:hAnsi="Palatino Linotype" w:cs="Tahoma"/>
          <w:bCs/>
          <w:iCs/>
        </w:rPr>
        <w:t xml:space="preserve">, </w:t>
      </w:r>
      <w:r w:rsidRPr="006D5314">
        <w:rPr>
          <w:rFonts w:ascii="Palatino Linotype" w:eastAsia="Palatino Linotype" w:hAnsi="Palatino Linotype" w:cs="Palatino Linotype"/>
          <w:color w:val="000000"/>
        </w:rPr>
        <w:t>cuando</w:t>
      </w:r>
      <w:r w:rsidRPr="006D5314">
        <w:rPr>
          <w:rFonts w:ascii="Palatino Linotype" w:hAnsi="Palatino Linotype" w:cs="Tahoma"/>
          <w:bCs/>
          <w:iCs/>
        </w:rPr>
        <w:t xml:space="preserve">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w:t>
      </w:r>
      <w:r w:rsidRPr="006D5314">
        <w:rPr>
          <w:rFonts w:ascii="Palatino Linotype" w:eastAsia="Palatino Linotype" w:hAnsi="Palatino Linotype" w:cs="Palatino Linotype"/>
          <w:color w:val="000000"/>
        </w:rPr>
        <w:t>ponderación</w:t>
      </w:r>
      <w:r w:rsidRPr="006D5314">
        <w:rPr>
          <w:rFonts w:ascii="Palatino Linotype" w:hAnsi="Palatino Linotype" w:cs="Tahoma"/>
          <w:bCs/>
          <w:iCs/>
        </w:rPr>
        <w:t xml:space="preserve"> en donde únicamente se privilegie la publicidad de los datos esenciales para la transparencia y rendición de cuentas, sin afectar la vida privada de las personas.</w:t>
      </w:r>
    </w:p>
    <w:p w:rsidR="00B642E1" w:rsidRPr="006D5314" w:rsidRDefault="00B642E1" w:rsidP="00B642E1">
      <w:pPr>
        <w:spacing w:line="360" w:lineRule="auto"/>
        <w:jc w:val="both"/>
        <w:rPr>
          <w:rFonts w:ascii="Palatino Linotype" w:hAnsi="Palatino Linotype" w:cs="Tahoma"/>
          <w:bCs/>
          <w:iC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iCs/>
        </w:rPr>
      </w:pPr>
      <w:r w:rsidRPr="006D5314">
        <w:rPr>
          <w:rFonts w:ascii="Palatino Linotype" w:hAnsi="Palatino Linotype" w:cs="Tahoma"/>
          <w:bCs/>
          <w:iCs/>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r w:rsidRPr="006D5314">
        <w:rPr>
          <w:rFonts w:ascii="Palatino Linotype" w:hAnsi="Palatino Linotype" w:cs="Tahoma"/>
          <w:bCs/>
          <w:lang w:eastAsia="en-US"/>
        </w:rPr>
        <w:t>.</w:t>
      </w:r>
    </w:p>
    <w:p w:rsidR="00B642E1" w:rsidRPr="006D5314" w:rsidRDefault="00B642E1" w:rsidP="00B642E1">
      <w:pPr>
        <w:jc w:val="both"/>
        <w:rPr>
          <w:rFonts w:ascii="Palatino Linotype" w:hAnsi="Palatino Linotype" w:cs="Tahoma"/>
          <w:b/>
        </w:rPr>
      </w:pPr>
    </w:p>
    <w:p w:rsidR="00B642E1" w:rsidRPr="006D5314" w:rsidRDefault="00B642E1" w:rsidP="00B642E1">
      <w:pPr>
        <w:numPr>
          <w:ilvl w:val="0"/>
          <w:numId w:val="30"/>
        </w:numPr>
        <w:spacing w:line="360" w:lineRule="auto"/>
        <w:jc w:val="both"/>
        <w:rPr>
          <w:rFonts w:ascii="Palatino Linotype" w:hAnsi="Palatino Linotype" w:cs="Tahoma"/>
          <w:bCs/>
          <w:lang w:val="es-ES" w:eastAsia="en-US"/>
        </w:rPr>
      </w:pPr>
      <w:r w:rsidRPr="006D5314">
        <w:rPr>
          <w:rFonts w:ascii="Palatino Linotype" w:hAnsi="Palatino Linotype" w:cs="Tahoma"/>
          <w:b/>
          <w:bCs/>
          <w:lang w:eastAsia="en-US"/>
        </w:rPr>
        <w:t>Registro Federal de Contribuyentes (RFC)</w:t>
      </w:r>
    </w:p>
    <w:p w:rsidR="00B642E1" w:rsidRPr="006D5314" w:rsidRDefault="00B642E1" w:rsidP="00B642E1">
      <w:pPr>
        <w:spacing w:line="360" w:lineRule="auto"/>
        <w:jc w:val="both"/>
        <w:rPr>
          <w:rFonts w:ascii="Palatino Linotype" w:hAnsi="Palatino Linotype" w:cs="Tahoma"/>
          <w:b/>
          <w:bCs/>
          <w:lang w:eastAsia="en-US"/>
        </w:rPr>
      </w:pPr>
      <w:r w:rsidRPr="006D5314">
        <w:rPr>
          <w:rFonts w:ascii="Palatino Linotype" w:hAnsi="Palatino Linotype" w:cs="Tahoma"/>
          <w:b/>
          <w:bCs/>
          <w:lang w:eastAsia="en-US"/>
        </w:rPr>
        <w:t>Persona física.</w:t>
      </w:r>
    </w:p>
    <w:p w:rsidR="00B642E1" w:rsidRPr="006D5314" w:rsidRDefault="00B642E1" w:rsidP="0088619A">
      <w:pPr>
        <w:numPr>
          <w:ilvl w:val="0"/>
          <w:numId w:val="2"/>
        </w:numPr>
        <w:spacing w:line="360" w:lineRule="auto"/>
        <w:ind w:left="0" w:right="-787" w:firstLine="0"/>
        <w:jc w:val="both"/>
        <w:rPr>
          <w:rFonts w:ascii="Palatino Linotype" w:hAnsi="Palatino Linotype" w:cs="Tahoma"/>
        </w:rPr>
      </w:pPr>
      <w:r w:rsidRPr="006D5314">
        <w:rPr>
          <w:rFonts w:ascii="Palatino Linotype" w:hAnsi="Palatino Linotype" w:cs="Tahoma"/>
        </w:rPr>
        <w:t xml:space="preserve">Al respecto, </w:t>
      </w:r>
      <w:r w:rsidRPr="006D5314">
        <w:rPr>
          <w:rFonts w:ascii="Palatino Linotype" w:hAnsi="Palatino Linotype" w:cs="Tahoma"/>
          <w:bCs/>
          <w:iCs/>
        </w:rPr>
        <w:t>cabe</w:t>
      </w:r>
      <w:r w:rsidRPr="006D5314">
        <w:rPr>
          <w:rFonts w:ascii="Palatino Linotype" w:hAnsi="Palatino Linotype" w:cs="Tahoma"/>
        </w:rPr>
        <w:t xml:space="preserve"> precisar que las personas físicas que deban presentar declaraciones periódicas o que </w:t>
      </w:r>
      <w:r w:rsidRPr="006D5314">
        <w:rPr>
          <w:rFonts w:ascii="Palatino Linotype" w:hAnsi="Palatino Linotype" w:cs="Tahoma"/>
          <w:bCs/>
          <w:iCs/>
        </w:rPr>
        <w:t>están</w:t>
      </w:r>
      <w:r w:rsidRPr="006D5314">
        <w:rPr>
          <w:rFonts w:ascii="Palatino Linotype" w:hAnsi="Palatino Linotype" w:cs="Tahoma"/>
        </w:rPr>
        <w:t xml:space="preserve"> obligadas a expedir comprobantes fiscales, tienen que solicitar su inscripción en el </w:t>
      </w:r>
      <w:r w:rsidRPr="006D5314">
        <w:rPr>
          <w:rFonts w:ascii="Palatino Linotype" w:hAnsi="Palatino Linotype" w:cs="Tahoma"/>
          <w:bCs/>
          <w:iCs/>
        </w:rPr>
        <w:t>Registro</w:t>
      </w:r>
      <w:r w:rsidRPr="006D5314">
        <w:rPr>
          <w:rFonts w:ascii="Palatino Linotype" w:hAnsi="Palatino Linotype" w:cs="Tahoma"/>
        </w:rPr>
        <w:t xml:space="preserve"> Federal de Contribuyentes, esta inscripción es realizada por el Servicio de Administración Tributaria, quien entrega una cédula de identificación fiscal en </w:t>
      </w:r>
      <w:r w:rsidRPr="006D5314">
        <w:rPr>
          <w:rFonts w:ascii="Palatino Linotype" w:hAnsi="Palatino Linotype" w:cs="Tahoma"/>
        </w:rPr>
        <w:lastRenderedPageBreak/>
        <w:t>donde consta la clave que asigna este órgano desconcentrado de la Secretaría de Hacienda y Crédito Público, de acuerdo al artículo 27 del Código Fiscal de la Federación.</w:t>
      </w:r>
    </w:p>
    <w:p w:rsidR="00B642E1" w:rsidRPr="006D5314" w:rsidRDefault="00B642E1" w:rsidP="00B642E1">
      <w:pPr>
        <w:jc w:val="both"/>
        <w:rPr>
          <w:rFonts w:ascii="Palatino Linotype" w:hAnsi="Palatino Linotype" w:cs="Tahoma"/>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rPr>
      </w:pPr>
      <w:r w:rsidRPr="006D5314">
        <w:rPr>
          <w:rFonts w:ascii="Palatino Linotype" w:hAnsi="Palatino Linotype" w:cs="Tahoma"/>
        </w:rPr>
        <w:t xml:space="preserve">De </w:t>
      </w:r>
      <w:r w:rsidRPr="006D5314">
        <w:rPr>
          <w:rFonts w:ascii="Palatino Linotype" w:hAnsi="Palatino Linotype" w:cs="Tahoma"/>
          <w:bCs/>
          <w:iCs/>
        </w:rPr>
        <w:t>acuerdo</w:t>
      </w:r>
      <w:r w:rsidRPr="006D5314">
        <w:rPr>
          <w:rFonts w:ascii="Palatino Linotype" w:hAnsi="Palatino Linotype" w:cs="Tahoma"/>
        </w:rPr>
        <w:t xml:space="preserve"> con lo establecido en el artículo en comento, esta clave se compone de trece caracteres </w:t>
      </w:r>
      <w:r w:rsidRPr="006D5314">
        <w:rPr>
          <w:rFonts w:ascii="Palatino Linotype" w:hAnsi="Palatino Linotype" w:cs="Tahoma"/>
          <w:bCs/>
          <w:iCs/>
        </w:rPr>
        <w:t>alfanuméricos</w:t>
      </w:r>
      <w:r w:rsidRPr="006D5314">
        <w:rPr>
          <w:rFonts w:ascii="Palatino Linotype" w:hAnsi="Palatino Linotype" w:cs="Tahoma"/>
        </w:rPr>
        <w:t>, con datos obtenidos de los apellidos, nombre(s), fecha de nacimiento del titular, más una homoclave que establece el sistema automático del Servicio de Administración Tributaria.</w:t>
      </w:r>
    </w:p>
    <w:p w:rsidR="00B642E1" w:rsidRPr="006D5314" w:rsidRDefault="00B642E1" w:rsidP="00B642E1">
      <w:pPr>
        <w:jc w:val="both"/>
        <w:rPr>
          <w:rFonts w:ascii="Palatino Linotype" w:hAnsi="Palatino Linotype" w:cs="Tahoma"/>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rPr>
      </w:pPr>
      <w:r w:rsidRPr="006D5314">
        <w:rPr>
          <w:rFonts w:ascii="Palatino Linotype" w:hAnsi="Palatino Linotype" w:cs="Tahoma"/>
          <w:bCs/>
          <w:iCs/>
        </w:rPr>
        <w:t>Ahora</w:t>
      </w:r>
      <w:r w:rsidRPr="006D5314">
        <w:rPr>
          <w:rFonts w:ascii="Palatino Linotype" w:hAnsi="Palatino Linotype" w:cs="Tahoma"/>
        </w:rPr>
        <w:t xml:space="preserve"> bien, la clave del Registro Federal de Contribuyentes es el medio de control que tiene la </w:t>
      </w:r>
      <w:r w:rsidRPr="006D5314">
        <w:rPr>
          <w:rFonts w:ascii="Palatino Linotype" w:hAnsi="Palatino Linotype" w:cs="Tahoma"/>
          <w:bCs/>
          <w:iCs/>
        </w:rPr>
        <w:t>Secretaría</w:t>
      </w:r>
      <w:r w:rsidRPr="006D5314">
        <w:rPr>
          <w:rFonts w:ascii="Palatino Linotype" w:hAnsi="Palatino Linotype" w:cs="Tahoma"/>
        </w:rPr>
        <w:t xml:space="preserve">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642E1" w:rsidRPr="006D5314" w:rsidRDefault="00B642E1" w:rsidP="00B642E1">
      <w:pPr>
        <w:jc w:val="both"/>
        <w:rPr>
          <w:rFonts w:ascii="Palatino Linotype" w:hAnsi="Palatino Linotype" w:cs="Tahoma"/>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rPr>
      </w:pPr>
      <w:r w:rsidRPr="006D5314">
        <w:rPr>
          <w:rFonts w:ascii="Palatino Linotype" w:hAnsi="Palatino Linotype" w:cs="Tahoma"/>
        </w:rPr>
        <w:t xml:space="preserve">Conforme a lo expuesto, el Registro Federal de Contribuyentes, es un dato personal, ya que hace a las </w:t>
      </w:r>
      <w:r w:rsidRPr="006D5314">
        <w:rPr>
          <w:rFonts w:ascii="Palatino Linotype" w:hAnsi="Palatino Linotype" w:cs="Tahoma"/>
          <w:bCs/>
          <w:iCs/>
        </w:rPr>
        <w:t>personas</w:t>
      </w:r>
      <w:r w:rsidRPr="006D5314">
        <w:rPr>
          <w:rFonts w:ascii="Palatino Linotype" w:hAnsi="Palatino Linotype" w:cs="Tahoma"/>
        </w:rPr>
        <w:t xml:space="preserve"> físicas </w:t>
      </w:r>
      <w:r w:rsidRPr="006D5314">
        <w:rPr>
          <w:rFonts w:ascii="Palatino Linotype" w:hAnsi="Palatino Linotype" w:cs="Tahoma"/>
          <w:bCs/>
          <w:iCs/>
        </w:rPr>
        <w:t>identificas</w:t>
      </w:r>
      <w:r w:rsidRPr="006D5314">
        <w:rPr>
          <w:rFonts w:ascii="Palatino Linotype" w:hAnsi="Palatino Linotype" w:cs="Tahoma"/>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B642E1" w:rsidRPr="006D5314" w:rsidRDefault="00B642E1" w:rsidP="00B642E1">
      <w:pPr>
        <w:spacing w:line="360" w:lineRule="auto"/>
        <w:jc w:val="both"/>
        <w:rPr>
          <w:rFonts w:ascii="Palatino Linotype" w:hAnsi="Palatino Linotype" w:cs="Tahoma"/>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rPr>
      </w:pPr>
      <w:r w:rsidRPr="006D5314">
        <w:rPr>
          <w:rFonts w:ascii="Palatino Linotype" w:hAnsi="Palatino Linotype" w:cs="Tahoma"/>
          <w:bCs/>
        </w:rPr>
        <w:t xml:space="preserve">Lo </w:t>
      </w:r>
      <w:r w:rsidRPr="006D5314">
        <w:rPr>
          <w:rFonts w:ascii="Palatino Linotype" w:hAnsi="Palatino Linotype" w:cs="Tahoma"/>
        </w:rPr>
        <w:t>anterior</w:t>
      </w:r>
      <w:r w:rsidRPr="006D5314">
        <w:rPr>
          <w:rFonts w:ascii="Palatino Linotype" w:hAnsi="Palatino Linotype" w:cs="Tahoma"/>
          <w:bCs/>
        </w:rPr>
        <w:t xml:space="preserve">, resulta </w:t>
      </w:r>
      <w:r w:rsidRPr="006D5314">
        <w:rPr>
          <w:rFonts w:ascii="Palatino Linotype" w:hAnsi="Palatino Linotype" w:cs="Tahoma"/>
          <w:bCs/>
          <w:iCs/>
        </w:rPr>
        <w:t>congruente</w:t>
      </w:r>
      <w:r w:rsidRPr="006D5314">
        <w:rPr>
          <w:rFonts w:ascii="Palatino Linotype" w:hAnsi="Palatino Linotype" w:cs="Tahoma"/>
          <w:bCs/>
        </w:rPr>
        <w:t xml:space="preserve"> con el Criterio orientador 19/17 emitido por el Instituto Nacional de Transparencia, </w:t>
      </w:r>
      <w:r w:rsidRPr="006D5314">
        <w:rPr>
          <w:rFonts w:ascii="Palatino Linotype" w:hAnsi="Palatino Linotype" w:cs="Tahoma"/>
          <w:bCs/>
          <w:iCs/>
        </w:rPr>
        <w:t>Acceso</w:t>
      </w:r>
      <w:r w:rsidRPr="006D5314">
        <w:rPr>
          <w:rFonts w:ascii="Palatino Linotype" w:hAnsi="Palatino Linotype" w:cs="Tahoma"/>
          <w:bCs/>
        </w:rPr>
        <w:t xml:space="preserve"> a la Información y Protección de Datos Personales, en el cual se señala lo siguiente:</w:t>
      </w:r>
    </w:p>
    <w:p w:rsidR="00B642E1" w:rsidRPr="006D5314" w:rsidRDefault="00B642E1" w:rsidP="00B642E1">
      <w:pPr>
        <w:spacing w:line="360" w:lineRule="auto"/>
        <w:ind w:right="-787"/>
        <w:jc w:val="both"/>
        <w:rPr>
          <w:rFonts w:ascii="Palatino Linotype" w:hAnsi="Palatino Linotype" w:cs="Tahoma"/>
          <w:bCs/>
        </w:rPr>
      </w:pPr>
    </w:p>
    <w:p w:rsidR="00B642E1" w:rsidRPr="006D5314" w:rsidRDefault="00B642E1" w:rsidP="00B642E1">
      <w:pPr>
        <w:ind w:left="1134" w:right="-716"/>
        <w:contextualSpacing/>
        <w:jc w:val="both"/>
        <w:rPr>
          <w:rFonts w:ascii="Palatino Linotype" w:hAnsi="Palatino Linotype" w:cs="Tahoma"/>
          <w:i/>
        </w:rPr>
      </w:pPr>
      <w:r w:rsidRPr="006D5314">
        <w:rPr>
          <w:rFonts w:ascii="Palatino Linotype" w:hAnsi="Palatino Linotype" w:cs="Tahoma"/>
          <w:b/>
          <w:i/>
        </w:rPr>
        <w:lastRenderedPageBreak/>
        <w:t>Registro Federal de Contribuyentes (RFC) de personas físicas.</w:t>
      </w:r>
      <w:r w:rsidRPr="006D5314">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rsidR="00B642E1" w:rsidRPr="006D5314" w:rsidRDefault="00B642E1" w:rsidP="00B642E1">
      <w:pPr>
        <w:spacing w:line="360" w:lineRule="auto"/>
        <w:ind w:left="567"/>
        <w:contextualSpacing/>
        <w:jc w:val="both"/>
        <w:rPr>
          <w:rFonts w:ascii="Palatino Linotype" w:hAnsi="Palatino Linotype" w:cs="Tahoma"/>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eastAsia="en-US"/>
        </w:rPr>
      </w:pPr>
      <w:r w:rsidRPr="006D5314">
        <w:rPr>
          <w:rFonts w:ascii="Palatino Linotype" w:hAnsi="Palatino Linotype" w:cs="Tahoma"/>
        </w:rPr>
        <w:t xml:space="preserve">De tal </w:t>
      </w:r>
      <w:r w:rsidRPr="006D5314">
        <w:rPr>
          <w:rFonts w:ascii="Palatino Linotype" w:hAnsi="Palatino Linotype" w:cs="Tahoma"/>
          <w:bCs/>
          <w:iCs/>
        </w:rPr>
        <w:t>suerte</w:t>
      </w:r>
      <w:r w:rsidRPr="006D5314">
        <w:rPr>
          <w:rFonts w:ascii="Palatino Linotype" w:hAnsi="Palatino Linotype" w:cs="Tahoma"/>
        </w:rPr>
        <w:t xml:space="preserve">, el Registro Federal de Contribuyentes de persona físicas no guarda relación con </w:t>
      </w:r>
      <w:r w:rsidRPr="006D5314">
        <w:rPr>
          <w:rFonts w:ascii="Palatino Linotype" w:hAnsi="Palatino Linotype" w:cs="Tahoma"/>
          <w:bCs/>
        </w:rPr>
        <w:t>la</w:t>
      </w:r>
      <w:r w:rsidRPr="006D5314">
        <w:rPr>
          <w:rFonts w:ascii="Palatino Linotype" w:hAnsi="Palatino Linotype" w:cs="Tahoma"/>
        </w:rPr>
        <w:t xml:space="preserve"> </w:t>
      </w:r>
      <w:r w:rsidRPr="006D5314">
        <w:rPr>
          <w:rFonts w:ascii="Palatino Linotype" w:hAnsi="Palatino Linotype" w:cs="Tahoma"/>
          <w:bCs/>
        </w:rPr>
        <w:t>transparencia</w:t>
      </w:r>
      <w:r w:rsidRPr="006D5314">
        <w:rPr>
          <w:rFonts w:ascii="Palatino Linotype" w:hAnsi="Palatino Linotype" w:cs="Tahoma"/>
        </w:rPr>
        <w:t xml:space="preserve"> de los recursos públicos, por lo que constituye un dato personal </w:t>
      </w:r>
      <w:r w:rsidRPr="006D5314">
        <w:rPr>
          <w:rFonts w:ascii="Palatino Linotype" w:hAnsi="Palatino Linotype" w:cs="Tahoma"/>
          <w:bCs/>
        </w:rPr>
        <w:t>confidencial</w:t>
      </w:r>
      <w:r w:rsidRPr="006D5314">
        <w:rPr>
          <w:rFonts w:ascii="Palatino Linotype" w:hAnsi="Palatino Linotype" w:cs="Tahoma"/>
        </w:rPr>
        <w:t xml:space="preserve"> al actualizar el supuesto normativo del artículo 143, fracción I, de la Ley de Transparencia y Acceso a la Información Pública del Estado de México y Municipios.</w:t>
      </w:r>
    </w:p>
    <w:p w:rsidR="00B642E1" w:rsidRPr="006D5314" w:rsidRDefault="00B642E1" w:rsidP="00B642E1">
      <w:pPr>
        <w:jc w:val="both"/>
        <w:rPr>
          <w:rFonts w:ascii="Palatino Linotype" w:hAnsi="Palatino Linotype" w:cs="Tahoma"/>
          <w:bCs/>
          <w:lang w:val="es-ES" w:eastAsia="en-US"/>
        </w:rPr>
      </w:pPr>
    </w:p>
    <w:p w:rsidR="00B642E1" w:rsidRPr="006D5314" w:rsidRDefault="00B642E1" w:rsidP="00B642E1">
      <w:pPr>
        <w:pStyle w:val="Prrafodelista"/>
        <w:numPr>
          <w:ilvl w:val="0"/>
          <w:numId w:val="30"/>
        </w:numPr>
        <w:spacing w:line="360" w:lineRule="auto"/>
        <w:ind w:right="-93"/>
        <w:jc w:val="both"/>
        <w:rPr>
          <w:rFonts w:ascii="Palatino Linotype" w:hAnsi="Palatino Linotype" w:cs="Tahoma"/>
          <w:b/>
          <w:lang w:val="es-ES" w:eastAsia="en-US"/>
        </w:rPr>
      </w:pPr>
      <w:r w:rsidRPr="006D5314">
        <w:rPr>
          <w:rFonts w:ascii="Palatino Linotype" w:hAnsi="Palatino Linotype" w:cs="Tahoma"/>
          <w:b/>
          <w:lang w:val="es-ES" w:eastAsia="en-US"/>
        </w:rPr>
        <w:t>Persona Jurídico-colectiva.</w:t>
      </w: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eastAsia="en-US"/>
        </w:rPr>
      </w:pPr>
      <w:r w:rsidRPr="006D5314">
        <w:rPr>
          <w:rFonts w:ascii="Palatino Linotype" w:hAnsi="Palatino Linotype" w:cs="Tahoma"/>
          <w:bCs/>
          <w:lang w:val="es-ES" w:eastAsia="en-US"/>
        </w:rPr>
        <w:t xml:space="preserve">Al </w:t>
      </w:r>
      <w:r w:rsidRPr="006D5314">
        <w:rPr>
          <w:rFonts w:ascii="Palatino Linotype" w:hAnsi="Palatino Linotype" w:cs="Tahoma"/>
          <w:bCs/>
        </w:rPr>
        <w:t>respecto</w:t>
      </w:r>
      <w:r w:rsidRPr="006D5314">
        <w:rPr>
          <w:rFonts w:ascii="Palatino Linotype" w:hAnsi="Palatino Linotype" w:cs="Tahoma"/>
          <w:bCs/>
          <w:lang w:val="es-ES" w:eastAsia="en-US"/>
        </w:rPr>
        <w:t xml:space="preserve">, el Registro Federal de Contribuyentes, inicia con un preinscripción por Internet y se </w:t>
      </w:r>
      <w:r w:rsidRPr="006D5314">
        <w:rPr>
          <w:rFonts w:ascii="Palatino Linotype" w:hAnsi="Palatino Linotype" w:cs="Tahoma"/>
          <w:bCs/>
        </w:rPr>
        <w:t>concluye</w:t>
      </w:r>
      <w:r w:rsidRPr="006D5314">
        <w:rPr>
          <w:rFonts w:ascii="Palatino Linotype" w:hAnsi="Palatino Linotype" w:cs="Tahoma"/>
          <w:bCs/>
          <w:lang w:val="es-ES" w:eastAsia="en-US"/>
        </w:rPr>
        <w:t xml:space="preserve"> en cualquier Administración Desconcentrada de Servicios al Contribuyente, en donde aquellas personas que realicen el trámite tendrán que entregar ciertos documentos, que para las personas jurídico colectivas, serán, entre otros, la copia</w:t>
      </w:r>
      <w:r w:rsidRPr="006D5314">
        <w:rPr>
          <w:rFonts w:ascii="Palatino Linotype" w:hAnsi="Palatino Linotype" w:cs="Tahoma"/>
          <w:bCs/>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6D5314">
        <w:rPr>
          <w:rFonts w:ascii="Palatino Linotype" w:hAnsi="Palatino Linotype" w:cs="Tahoma"/>
          <w:b/>
          <w:bCs/>
          <w:lang w:eastAsia="en-US"/>
        </w:rPr>
        <w:t>cédula de identificación fiscal o constancia de registro.</w:t>
      </w:r>
    </w:p>
    <w:p w:rsidR="00B642E1" w:rsidRPr="006D5314" w:rsidRDefault="00B642E1" w:rsidP="00B642E1">
      <w:pPr>
        <w:jc w:val="both"/>
        <w:rPr>
          <w:rFonts w:ascii="Palatino Linotype" w:hAnsi="Palatino Linotype" w:cs="Tahoma"/>
          <w:bCs/>
          <w:lang w:val="es-ES" w:eastAsia="en-U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val="es-ES" w:eastAsia="en-US"/>
        </w:rPr>
      </w:pPr>
      <w:r w:rsidRPr="006D5314">
        <w:rPr>
          <w:rFonts w:ascii="Palatino Linotype" w:hAnsi="Palatino Linotype" w:cs="Tahoma"/>
          <w:bCs/>
          <w:lang w:val="es-ES" w:eastAsia="en-US"/>
        </w:rPr>
        <w:t xml:space="preserve">Por ende, la </w:t>
      </w:r>
      <w:r w:rsidRPr="006D5314">
        <w:rPr>
          <w:rFonts w:ascii="Palatino Linotype" w:hAnsi="Palatino Linotype" w:cs="Tahoma"/>
          <w:bCs/>
        </w:rPr>
        <w:t>información</w:t>
      </w:r>
      <w:r w:rsidRPr="006D5314">
        <w:rPr>
          <w:rFonts w:ascii="Palatino Linotype" w:hAnsi="Palatino Linotype" w:cs="Tahoma"/>
          <w:bCs/>
          <w:lang w:val="es-ES" w:eastAsia="en-US"/>
        </w:rPr>
        <w:t xml:space="preserve"> correspondiente al Registro Federal de Contribuyentes de una persona moral da cuenta </w:t>
      </w:r>
      <w:r w:rsidRPr="006D5314">
        <w:rPr>
          <w:rFonts w:ascii="Palatino Linotype" w:hAnsi="Palatino Linotype" w:cs="Tahoma"/>
          <w:bCs/>
        </w:rPr>
        <w:t>del</w:t>
      </w:r>
      <w:r w:rsidRPr="006D5314">
        <w:rPr>
          <w:rFonts w:ascii="Palatino Linotype" w:hAnsi="Palatino Linotype" w:cs="Tahoma"/>
          <w:bCs/>
          <w:lang w:val="es-ES" w:eastAsia="en-US"/>
        </w:rPr>
        <w:t xml:space="preserve"> cumplimiento o no en sus obligaciones fiscales; por tanto, no se actualiza su clasificación como confidencial.</w:t>
      </w:r>
    </w:p>
    <w:p w:rsidR="00B642E1" w:rsidRPr="006D5314" w:rsidRDefault="00B642E1" w:rsidP="00B642E1">
      <w:pPr>
        <w:jc w:val="both"/>
        <w:rPr>
          <w:rFonts w:ascii="Palatino Linotype" w:hAnsi="Palatino Linotype" w:cs="Tahoma"/>
          <w:b/>
          <w:bCs/>
          <w:lang w:eastAsia="en-U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val="es-ES" w:eastAsia="en-US"/>
        </w:rPr>
      </w:pPr>
      <w:r w:rsidRPr="006D5314">
        <w:rPr>
          <w:rFonts w:ascii="Palatino Linotype" w:hAnsi="Palatino Linotype" w:cs="Tahoma"/>
          <w:bCs/>
        </w:rPr>
        <w:lastRenderedPageBreak/>
        <w:t>Además</w:t>
      </w:r>
      <w:r w:rsidRPr="006D5314">
        <w:rPr>
          <w:rFonts w:ascii="Palatino Linotype" w:hAnsi="Palatino Linotype" w:cs="Tahoma"/>
          <w:bCs/>
          <w:lang w:val="es-ES" w:eastAsia="en-US"/>
        </w:rPr>
        <w:t>, resulta aplicable el Criterio orientador 08/19 emitido por el Instituto Nacional de Transparencia, Acceso a la Información y Protección de Datos Personales, que señala lo siguiente:</w:t>
      </w:r>
    </w:p>
    <w:p w:rsidR="00B642E1" w:rsidRPr="006D5314" w:rsidRDefault="00B642E1" w:rsidP="00B642E1">
      <w:pPr>
        <w:ind w:left="567" w:right="-716"/>
        <w:jc w:val="both"/>
        <w:rPr>
          <w:rFonts w:ascii="Palatino Linotype" w:hAnsi="Palatino Linotype" w:cs="Tahoma"/>
          <w:bCs/>
          <w:i/>
          <w:lang w:eastAsia="en-US"/>
        </w:rPr>
      </w:pPr>
      <w:r w:rsidRPr="006D5314">
        <w:rPr>
          <w:rFonts w:ascii="Palatino Linotype" w:hAnsi="Palatino Linotype" w:cs="Tahoma"/>
          <w:b/>
          <w:bCs/>
          <w:i/>
          <w:lang w:eastAsia="en-US"/>
        </w:rPr>
        <w:t xml:space="preserve">Razón social y RFC de personas morales. </w:t>
      </w:r>
      <w:r w:rsidRPr="006D5314">
        <w:rPr>
          <w:rFonts w:ascii="Palatino Linotype"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B642E1" w:rsidRPr="006D5314" w:rsidRDefault="00B642E1" w:rsidP="00B642E1">
      <w:pPr>
        <w:spacing w:line="360" w:lineRule="auto"/>
        <w:ind w:right="-93"/>
        <w:jc w:val="both"/>
        <w:rPr>
          <w:rFonts w:ascii="Palatino Linotype" w:hAnsi="Palatino Linotype" w:cs="Tahoma"/>
          <w:bCs/>
          <w:lang w:val="es-ES" w:eastAsia="en-U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val="es-ES" w:eastAsia="en-US"/>
        </w:rPr>
      </w:pPr>
      <w:r w:rsidRPr="006D5314">
        <w:rPr>
          <w:rFonts w:ascii="Palatino Linotype" w:hAnsi="Palatino Linotype" w:cs="Tahoma"/>
          <w:bCs/>
          <w:lang w:val="es-ES" w:eastAsia="en-US"/>
        </w:rPr>
        <w:t xml:space="preserve">Dicho </w:t>
      </w:r>
      <w:r w:rsidRPr="006D5314">
        <w:rPr>
          <w:rFonts w:ascii="Palatino Linotype" w:hAnsi="Palatino Linotype" w:cs="Tahoma"/>
          <w:bCs/>
        </w:rPr>
        <w:t>criterio</w:t>
      </w:r>
      <w:r w:rsidRPr="006D5314">
        <w:rPr>
          <w:rFonts w:ascii="Palatino Linotype" w:hAnsi="Palatino Linotype" w:cs="Tahoma"/>
          <w:bCs/>
          <w:lang w:val="es-ES" w:eastAsia="en-US"/>
        </w:rPr>
        <w:t>, precisa que el Registro Federal de Contribuyentes de personas morales, es público, al no referir a hechos o actos de carácter económico, contable, jurídico o administrativo que sean útiles o representen una ventaja a sus competidores.</w:t>
      </w:r>
    </w:p>
    <w:p w:rsidR="00B642E1" w:rsidRPr="006D5314" w:rsidRDefault="00B642E1" w:rsidP="00B642E1">
      <w:pPr>
        <w:spacing w:line="360" w:lineRule="auto"/>
        <w:ind w:right="-93"/>
        <w:jc w:val="both"/>
        <w:rPr>
          <w:rFonts w:ascii="Palatino Linotype" w:hAnsi="Palatino Linotype" w:cs="Tahoma"/>
          <w:bCs/>
          <w:lang w:val="es-ES" w:eastAsia="en-U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eastAsia="en-US"/>
        </w:rPr>
      </w:pPr>
      <w:r w:rsidRPr="006D5314">
        <w:rPr>
          <w:rFonts w:ascii="Palatino Linotype" w:hAnsi="Palatino Linotype" w:cs="Tahoma"/>
          <w:bCs/>
          <w:lang w:val="es-ES" w:eastAsia="en-US"/>
        </w:rPr>
        <w:t xml:space="preserve">De tales </w:t>
      </w:r>
      <w:r w:rsidRPr="006D5314">
        <w:rPr>
          <w:rFonts w:ascii="Palatino Linotype" w:hAnsi="Palatino Linotype" w:cs="Tahoma"/>
          <w:bCs/>
        </w:rPr>
        <w:t>circunstancias</w:t>
      </w:r>
      <w:r w:rsidRPr="006D5314">
        <w:rPr>
          <w:rFonts w:ascii="Palatino Linotype" w:hAnsi="Palatino Linotype" w:cs="Tahoma"/>
          <w:bCs/>
          <w:lang w:val="es-ES" w:eastAsia="en-US"/>
        </w:rPr>
        <w:t xml:space="preserve">, el </w:t>
      </w:r>
      <w:r w:rsidRPr="006D5314">
        <w:rPr>
          <w:rFonts w:ascii="Palatino Linotype" w:hAnsi="Palatino Linotype" w:cs="Tahoma"/>
          <w:b/>
          <w:bCs/>
          <w:lang w:val="es-ES" w:eastAsia="en-US"/>
        </w:rPr>
        <w:t>Registro Federal de Contribuyentes de personas</w:t>
      </w:r>
      <w:r w:rsidRPr="006D5314">
        <w:rPr>
          <w:rFonts w:ascii="Palatino Linotype" w:hAnsi="Palatino Linotype" w:cs="Tahoma"/>
          <w:b/>
          <w:bCs/>
          <w:lang w:eastAsia="en-US"/>
        </w:rPr>
        <w:t xml:space="preserve"> morales, no actualizan la causal de clasificación</w:t>
      </w:r>
      <w:r w:rsidRPr="006D5314">
        <w:rPr>
          <w:rFonts w:ascii="Palatino Linotype" w:hAnsi="Palatino Linotype" w:cs="Tahoma"/>
          <w:bCs/>
          <w:lang w:eastAsia="en-US"/>
        </w:rPr>
        <w:t>, prevista en el artículo 143, fracción I de la Ley de Transparencia y Acceso a la Información Pública del Estado de México y Municipios, al ser de naturaleza pública.</w:t>
      </w:r>
    </w:p>
    <w:p w:rsidR="00B642E1" w:rsidRPr="006D5314" w:rsidRDefault="00B642E1" w:rsidP="00B642E1">
      <w:pPr>
        <w:spacing w:line="360" w:lineRule="auto"/>
        <w:ind w:right="-787"/>
        <w:jc w:val="both"/>
        <w:rPr>
          <w:rFonts w:ascii="Palatino Linotype" w:hAnsi="Palatino Linotype" w:cs="Tahoma"/>
          <w:bCs/>
          <w:lang w:eastAsia="en-US"/>
        </w:rPr>
      </w:pPr>
    </w:p>
    <w:p w:rsidR="00B642E1" w:rsidRPr="006D5314" w:rsidRDefault="00B642E1" w:rsidP="0088619A">
      <w:pPr>
        <w:numPr>
          <w:ilvl w:val="0"/>
          <w:numId w:val="2"/>
        </w:numPr>
        <w:spacing w:line="360" w:lineRule="auto"/>
        <w:ind w:left="0" w:right="-787" w:firstLine="0"/>
        <w:jc w:val="both"/>
      </w:pPr>
      <w:r w:rsidRPr="006D5314">
        <w:rPr>
          <w:rFonts w:ascii="Palatino Linotype" w:hAnsi="Palatino Linotype" w:cs="Tahoma"/>
          <w:bCs/>
          <w:lang w:val="es-ES" w:eastAsia="en-US"/>
        </w:rPr>
        <w:t>Además</w:t>
      </w:r>
      <w:r w:rsidRPr="006D5314">
        <w:rPr>
          <w:rFonts w:ascii="Palatino Linotype" w:hAnsi="Palatino Linotype"/>
          <w:color w:val="000000"/>
        </w:rPr>
        <w:t xml:space="preserve">, las </w:t>
      </w:r>
      <w:r w:rsidRPr="006D5314">
        <w:rPr>
          <w:rFonts w:ascii="Palatino Linotype" w:hAnsi="Palatino Linotype" w:cs="Tahoma"/>
          <w:bCs/>
          <w:lang w:val="es-ES" w:eastAsia="en-US"/>
        </w:rPr>
        <w:t>personas</w:t>
      </w:r>
      <w:r w:rsidRPr="006D5314">
        <w:rPr>
          <w:rFonts w:ascii="Palatino Linotype" w:hAnsi="Palatino Linotype"/>
          <w:color w:val="000000"/>
        </w:rPr>
        <w:t xml:space="preserve"> físicas que realicen las actividades contratadas por las instituciones, renuncian </w:t>
      </w:r>
      <w:r w:rsidRPr="006D5314">
        <w:rPr>
          <w:rFonts w:ascii="Palatino Linotype" w:hAnsi="Palatino Linotype" w:cs="Tahoma"/>
          <w:bCs/>
          <w:lang w:val="es-ES" w:eastAsia="en-US"/>
        </w:rPr>
        <w:t>implícitamente</w:t>
      </w:r>
      <w:r w:rsidRPr="006D5314">
        <w:rPr>
          <w:rFonts w:ascii="Palatino Linotype" w:hAnsi="Palatino Linotype"/>
          <w:color w:val="000000"/>
        </w:rPr>
        <w:t xml:space="preserve"> a una parte de su derecho a la intimidad al obtener beneficios y lucros de los recursos públicos por dicha contratación, por lo que no puede considerarse como información clasificada lo relativo a su nombre, registro federal de contribuyentes y </w:t>
      </w:r>
      <w:r w:rsidRPr="006D5314">
        <w:rPr>
          <w:rFonts w:ascii="Palatino Linotype" w:hAnsi="Palatino Linotype" w:cs="Tahoma"/>
          <w:bCs/>
          <w:lang w:val="es-ES" w:eastAsia="en-US"/>
        </w:rPr>
        <w:t>domicilio</w:t>
      </w:r>
      <w:r w:rsidRPr="006D5314">
        <w:rPr>
          <w:rFonts w:ascii="Palatino Linotype" w:hAnsi="Palatino Linotype"/>
          <w:color w:val="000000"/>
        </w:rPr>
        <w:t xml:space="preserve"> fiscal, atento a que dicha información es la que puede generar certeza en los gobernados en que se está ejerciendo debidamente el presupuesto.</w:t>
      </w:r>
    </w:p>
    <w:p w:rsidR="00B642E1" w:rsidRPr="006D5314" w:rsidRDefault="00B642E1" w:rsidP="00B642E1">
      <w:pPr>
        <w:spacing w:line="360" w:lineRule="auto"/>
        <w:ind w:right="276"/>
        <w:jc w:val="both"/>
      </w:pPr>
    </w:p>
    <w:p w:rsidR="00B642E1" w:rsidRPr="006D5314" w:rsidRDefault="00B642E1" w:rsidP="0088619A">
      <w:pPr>
        <w:numPr>
          <w:ilvl w:val="0"/>
          <w:numId w:val="2"/>
        </w:numPr>
        <w:spacing w:line="360" w:lineRule="auto"/>
        <w:ind w:left="0" w:right="-787" w:firstLine="0"/>
        <w:jc w:val="both"/>
      </w:pPr>
      <w:r w:rsidRPr="006D5314">
        <w:rPr>
          <w:rFonts w:ascii="Palatino Linotype" w:hAnsi="Palatino Linotype"/>
          <w:color w:val="000000"/>
        </w:rPr>
        <w:lastRenderedPageBreak/>
        <w:t xml:space="preserve">Robustece lo anterior el criterio orientador 04/21 emitido por el Instituto Nacional de Transparencia, Acceso a la </w:t>
      </w:r>
      <w:r w:rsidRPr="006D5314">
        <w:rPr>
          <w:rFonts w:ascii="Palatino Linotype" w:hAnsi="Palatino Linotype" w:cs="Tahoma"/>
          <w:bCs/>
          <w:lang w:val="es-ES" w:eastAsia="en-US"/>
        </w:rPr>
        <w:t>Información</w:t>
      </w:r>
      <w:r w:rsidRPr="006D5314">
        <w:rPr>
          <w:rFonts w:ascii="Palatino Linotype" w:hAnsi="Palatino Linotype"/>
          <w:color w:val="000000"/>
        </w:rPr>
        <w:t xml:space="preserve"> y Protección de Datos Personales, INAI, el cual refiere:</w:t>
      </w:r>
    </w:p>
    <w:p w:rsidR="00B642E1" w:rsidRPr="006D5314" w:rsidRDefault="00B642E1" w:rsidP="00B642E1">
      <w:pPr>
        <w:ind w:left="567" w:right="-716"/>
        <w:jc w:val="both"/>
        <w:rPr>
          <w:rFonts w:ascii="Palatino Linotype" w:hAnsi="Palatino Linotype"/>
          <w:i/>
          <w:iCs/>
          <w:color w:val="000000"/>
        </w:rPr>
      </w:pPr>
      <w:r w:rsidRPr="006D5314">
        <w:rPr>
          <w:rFonts w:ascii="Palatino Linotype" w:hAnsi="Palatino Linotype"/>
          <w:b/>
          <w:bCs/>
          <w:i/>
          <w:iCs/>
          <w:color w:val="000000"/>
        </w:rPr>
        <w:t xml:space="preserve">“Registro Federal de Contribuyentes (RFC) de personas físicas proveedoras o contratistas. </w:t>
      </w:r>
      <w:r w:rsidRPr="006D5314">
        <w:rPr>
          <w:rFonts w:ascii="Palatino Linotype" w:hAnsi="Palatino Linotype"/>
          <w:i/>
          <w:iCs/>
          <w:color w:val="000000"/>
        </w:rPr>
        <w:t xml:space="preserve">El RFC de contratistas o proveedores de los sujetos obligados debe ser público, ya que al tratarse de personas con contrataciones públicas, su difusión favorece la </w:t>
      </w:r>
      <w:r w:rsidRPr="006D5314">
        <w:rPr>
          <w:rFonts w:ascii="Palatino Linotype" w:hAnsi="Palatino Linotype" w:cs="Tahoma"/>
          <w:bCs/>
          <w:i/>
          <w:lang w:eastAsia="en-US"/>
        </w:rPr>
        <w:t>transparencia</w:t>
      </w:r>
      <w:r w:rsidRPr="006D5314">
        <w:rPr>
          <w:rFonts w:ascii="Palatino Linotype" w:hAnsi="Palatino Linotype"/>
          <w:i/>
          <w:iCs/>
          <w:color w:val="000000"/>
        </w:rPr>
        <w:t xml:space="preserve"> con la que deben administrarse los recursos públicos, en términos del artículo 134 de la Constitución Política de los Estados Unidos Mexicanos.”</w:t>
      </w:r>
    </w:p>
    <w:p w:rsidR="00B642E1" w:rsidRPr="006D5314" w:rsidRDefault="00B642E1" w:rsidP="00B642E1">
      <w:pPr>
        <w:jc w:val="both"/>
        <w:rPr>
          <w:rFonts w:ascii="Palatino Linotype" w:hAnsi="Palatino Linotype" w:cs="Tahoma"/>
          <w:bCs/>
          <w:iCs/>
        </w:rPr>
      </w:pPr>
    </w:p>
    <w:p w:rsidR="00B642E1" w:rsidRPr="006D5314" w:rsidRDefault="00B642E1" w:rsidP="00B642E1">
      <w:pPr>
        <w:jc w:val="both"/>
        <w:rPr>
          <w:rFonts w:ascii="Palatino Linotype" w:hAnsi="Palatino Linotype" w:cs="Tahoma"/>
          <w:bCs/>
          <w:iCs/>
        </w:rPr>
      </w:pPr>
    </w:p>
    <w:p w:rsidR="00B642E1" w:rsidRPr="006D5314" w:rsidRDefault="00B642E1" w:rsidP="00B642E1">
      <w:pPr>
        <w:numPr>
          <w:ilvl w:val="0"/>
          <w:numId w:val="31"/>
        </w:numPr>
        <w:spacing w:line="360" w:lineRule="auto"/>
        <w:jc w:val="both"/>
        <w:rPr>
          <w:rFonts w:ascii="Palatino Linotype" w:hAnsi="Palatino Linotype" w:cs="Tahoma"/>
          <w:b/>
        </w:rPr>
      </w:pPr>
      <w:r w:rsidRPr="006D5314">
        <w:rPr>
          <w:rFonts w:ascii="Palatino Linotype" w:hAnsi="Palatino Linotype" w:cs="Tahoma"/>
          <w:b/>
        </w:rPr>
        <w:t>Clave Única de Registro de Población (CURP).</w:t>
      </w: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De igual manera la </w:t>
      </w:r>
      <w:r w:rsidRPr="006D5314">
        <w:rPr>
          <w:rFonts w:ascii="Palatino Linotype" w:eastAsia="Palatino Linotype" w:hAnsi="Palatino Linotype" w:cs="Palatino Linotype"/>
          <w:b/>
        </w:rPr>
        <w:t>Clave Única de Registro de Población (CURP),</w:t>
      </w:r>
      <w:r w:rsidRPr="006D5314">
        <w:rPr>
          <w:rFonts w:ascii="Palatino Linotype" w:eastAsia="Palatino Linotype" w:hAnsi="Palatino Linotype" w:cs="Palatino Linotype"/>
        </w:rPr>
        <w:t xml:space="preserve"> constituye un dato personal, ya que tiene </w:t>
      </w:r>
      <w:r w:rsidRPr="006D5314">
        <w:rPr>
          <w:rFonts w:ascii="Palatino Linotype" w:hAnsi="Palatino Linotype"/>
          <w:color w:val="000000"/>
        </w:rPr>
        <w:t>como</w:t>
      </w:r>
      <w:r w:rsidRPr="006D5314">
        <w:rPr>
          <w:rFonts w:ascii="Palatino Linotype" w:eastAsia="Palatino Linotype" w:hAnsi="Palatino Linotype" w:cs="Palatino Linotype"/>
        </w:rPr>
        <w:t xml:space="preserve">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B642E1" w:rsidRPr="006D5314" w:rsidRDefault="00B642E1" w:rsidP="00B642E1">
      <w:pPr>
        <w:tabs>
          <w:tab w:val="left" w:pos="284"/>
        </w:tabs>
        <w:spacing w:line="360" w:lineRule="auto"/>
        <w:jc w:val="both"/>
        <w:rPr>
          <w:rFonts w:ascii="Palatino Linotype" w:eastAsia="Palatino Linotype" w:hAnsi="Palatino Linotype" w:cs="Palatino Linotype"/>
        </w:rPr>
      </w:pP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Argumento que es compartido por el Instituto Nacional de Transparencia, Acceso a la Información y Protección </w:t>
      </w:r>
      <w:r w:rsidRPr="006D5314">
        <w:rPr>
          <w:rFonts w:ascii="Palatino Linotype" w:hAnsi="Palatino Linotype"/>
          <w:color w:val="000000"/>
        </w:rPr>
        <w:t>de</w:t>
      </w:r>
      <w:r w:rsidRPr="006D5314">
        <w:rPr>
          <w:rFonts w:ascii="Palatino Linotype" w:eastAsia="Palatino Linotype" w:hAnsi="Palatino Linotype" w:cs="Palatino Linotype"/>
        </w:rPr>
        <w:t xml:space="preserve"> Datos Personales, INAI, conforme al criterio orientador 18/17, el cual refiere: </w:t>
      </w:r>
    </w:p>
    <w:p w:rsidR="00B642E1" w:rsidRPr="006D5314" w:rsidRDefault="00B642E1" w:rsidP="00B642E1">
      <w:pPr>
        <w:ind w:left="567" w:right="-716"/>
        <w:jc w:val="both"/>
        <w:rPr>
          <w:rFonts w:ascii="Palatino Linotype" w:eastAsia="Palatino Linotype" w:hAnsi="Palatino Linotype" w:cs="Palatino Linotype"/>
          <w:i/>
        </w:rPr>
      </w:pPr>
      <w:r w:rsidRPr="006D5314">
        <w:rPr>
          <w:rFonts w:ascii="Palatino Linotype" w:eastAsia="Palatino Linotype" w:hAnsi="Palatino Linotype" w:cs="Palatino Linotype"/>
          <w:b/>
          <w:i/>
        </w:rPr>
        <w:t xml:space="preserve">“Clave Única de Registro de Población (CURP). </w:t>
      </w:r>
      <w:r w:rsidRPr="006D5314">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642E1" w:rsidRDefault="00B642E1" w:rsidP="00B642E1">
      <w:pPr>
        <w:pBdr>
          <w:top w:val="nil"/>
          <w:left w:val="nil"/>
          <w:bottom w:val="nil"/>
          <w:right w:val="nil"/>
          <w:between w:val="nil"/>
        </w:pBdr>
        <w:spacing w:line="360" w:lineRule="auto"/>
        <w:ind w:right="-787"/>
        <w:jc w:val="both"/>
        <w:rPr>
          <w:rFonts w:ascii="Palatino Linotype" w:eastAsia="Palatino Linotype" w:hAnsi="Palatino Linotype" w:cs="Palatino Linotype"/>
          <w:bCs/>
        </w:rPr>
      </w:pPr>
    </w:p>
    <w:p w:rsidR="006D5314" w:rsidRPr="006D5314" w:rsidRDefault="006D5314" w:rsidP="00B642E1">
      <w:pPr>
        <w:pBdr>
          <w:top w:val="nil"/>
          <w:left w:val="nil"/>
          <w:bottom w:val="nil"/>
          <w:right w:val="nil"/>
          <w:between w:val="nil"/>
        </w:pBdr>
        <w:spacing w:line="360" w:lineRule="auto"/>
        <w:ind w:right="-787"/>
        <w:jc w:val="both"/>
        <w:rPr>
          <w:rFonts w:ascii="Palatino Linotype" w:eastAsia="Palatino Linotype" w:hAnsi="Palatino Linotype" w:cs="Palatino Linotype"/>
          <w:bCs/>
        </w:rPr>
      </w:pPr>
    </w:p>
    <w:p w:rsidR="00B642E1" w:rsidRPr="006D5314" w:rsidRDefault="00B642E1" w:rsidP="00B642E1">
      <w:pPr>
        <w:pStyle w:val="Prrafodelista"/>
        <w:numPr>
          <w:ilvl w:val="0"/>
          <w:numId w:val="33"/>
        </w:numPr>
        <w:pBdr>
          <w:top w:val="nil"/>
          <w:left w:val="nil"/>
          <w:bottom w:val="nil"/>
          <w:right w:val="nil"/>
          <w:between w:val="nil"/>
        </w:pBdr>
        <w:spacing w:line="360" w:lineRule="auto"/>
        <w:ind w:right="-787"/>
        <w:jc w:val="both"/>
        <w:rPr>
          <w:rFonts w:ascii="Palatino Linotype" w:eastAsia="Palatino Linotype" w:hAnsi="Palatino Linotype" w:cs="Palatino Linotype"/>
          <w:b/>
          <w:bCs/>
        </w:rPr>
      </w:pPr>
      <w:r w:rsidRPr="006D5314">
        <w:rPr>
          <w:rFonts w:ascii="Palatino Linotype" w:hAnsi="Palatino Linotype"/>
          <w:b/>
          <w:color w:val="000000"/>
        </w:rPr>
        <w:lastRenderedPageBreak/>
        <w:t>Cuentas bancarias o clabes interbancarias</w:t>
      </w:r>
    </w:p>
    <w:p w:rsidR="00B642E1" w:rsidRPr="006D5314" w:rsidRDefault="00B642E1" w:rsidP="0088619A">
      <w:pPr>
        <w:numPr>
          <w:ilvl w:val="0"/>
          <w:numId w:val="2"/>
        </w:numPr>
        <w:spacing w:line="360" w:lineRule="auto"/>
        <w:ind w:left="0" w:right="-787" w:firstLine="0"/>
        <w:jc w:val="both"/>
      </w:pPr>
      <w:r w:rsidRPr="006D5314">
        <w:rPr>
          <w:rFonts w:ascii="Palatino Linotype" w:eastAsia="Palatino Linotype" w:hAnsi="Palatino Linotype" w:cs="Palatino Linotype"/>
        </w:rPr>
        <w:t xml:space="preserve">Resulta importante señalar que </w:t>
      </w:r>
      <w:r w:rsidRPr="006D5314">
        <w:rPr>
          <w:rFonts w:ascii="Palatino Linotype" w:hAnsi="Palatino Linotype"/>
          <w:color w:val="000000"/>
        </w:rPr>
        <w:t>tratándose de las cuentas bancarias o clabes interbancarias de los Sujetos Obligados ya que su publicidad cede a la rendición de cuentas al transparentar la forma en que son administrados los recursos públicos.</w:t>
      </w:r>
    </w:p>
    <w:p w:rsidR="00B642E1" w:rsidRPr="006D5314" w:rsidRDefault="00B642E1" w:rsidP="00B642E1">
      <w:pPr>
        <w:spacing w:line="360" w:lineRule="auto"/>
        <w:ind w:right="276"/>
        <w:jc w:val="both"/>
      </w:pPr>
    </w:p>
    <w:p w:rsidR="00B642E1" w:rsidRPr="006D5314" w:rsidRDefault="00B642E1" w:rsidP="0088619A">
      <w:pPr>
        <w:numPr>
          <w:ilvl w:val="0"/>
          <w:numId w:val="2"/>
        </w:numPr>
        <w:spacing w:line="360" w:lineRule="auto"/>
        <w:ind w:left="0" w:right="-787" w:firstLine="0"/>
        <w:jc w:val="both"/>
      </w:pPr>
      <w:r w:rsidRPr="006D5314">
        <w:rPr>
          <w:rFonts w:ascii="Palatino Linotype" w:hAnsi="Palatino Linotype"/>
          <w:color w:val="000000"/>
        </w:rPr>
        <w:t xml:space="preserve">Lo argumentado encuentra sustento en los criterios orientadores 10/17 y 11/17 emitidos por el </w:t>
      </w:r>
      <w:r w:rsidRPr="006D5314">
        <w:rPr>
          <w:rFonts w:ascii="Palatino Linotype" w:eastAsia="Palatino Linotype" w:hAnsi="Palatino Linotype" w:cs="Palatino Linotype"/>
        </w:rPr>
        <w:t>Instituto</w:t>
      </w:r>
      <w:r w:rsidRPr="006D5314">
        <w:rPr>
          <w:rFonts w:ascii="Palatino Linotype" w:hAnsi="Palatino Linotype"/>
          <w:color w:val="000000"/>
        </w:rPr>
        <w:t xml:space="preserve"> Nacional de Transparencia, Acceso a la Información y Protección de Datos Personales, INAI, que llevan por rubro y texto los siguientes:</w:t>
      </w:r>
    </w:p>
    <w:p w:rsidR="00B642E1" w:rsidRPr="006D5314" w:rsidRDefault="00B642E1" w:rsidP="00B642E1">
      <w:pPr>
        <w:pStyle w:val="NormalWeb"/>
        <w:spacing w:before="240" w:beforeAutospacing="0" w:after="240" w:afterAutospacing="0"/>
        <w:ind w:left="567" w:right="-291"/>
        <w:jc w:val="both"/>
      </w:pPr>
      <w:r w:rsidRPr="006D5314">
        <w:rPr>
          <w:rFonts w:ascii="Palatino Linotype" w:hAnsi="Palatino Linotype"/>
          <w:b/>
          <w:bCs/>
          <w:i/>
          <w:iCs/>
          <w:color w:val="000000"/>
        </w:rPr>
        <w:t>“Cuentas bancarias y/o CLABE interbancaria de personas físicas y morales privadas.</w:t>
      </w:r>
      <w:r w:rsidRPr="006D5314">
        <w:rPr>
          <w:rFonts w:ascii="Palatino Linotype" w:hAnsi="Palatino Linotype"/>
          <w:i/>
          <w:iCs/>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642E1" w:rsidRPr="006D5314" w:rsidRDefault="00B642E1" w:rsidP="00B642E1">
      <w:pPr>
        <w:pStyle w:val="NormalWeb"/>
        <w:spacing w:before="240" w:beforeAutospacing="0" w:after="240" w:afterAutospacing="0"/>
        <w:ind w:left="567" w:right="-291"/>
        <w:jc w:val="both"/>
        <w:rPr>
          <w:rFonts w:ascii="Palatino Linotype" w:hAnsi="Palatino Linotype"/>
          <w:i/>
          <w:iCs/>
          <w:color w:val="000000"/>
        </w:rPr>
      </w:pPr>
      <w:r w:rsidRPr="006D5314">
        <w:rPr>
          <w:rFonts w:ascii="Palatino Linotype" w:hAnsi="Palatino Linotype"/>
          <w:b/>
          <w:bCs/>
          <w:i/>
          <w:iCs/>
          <w:color w:val="000000"/>
        </w:rPr>
        <w:t>Cuentas bancarias y/o CLABE interbancaria de sujetos obligados que reciben y/o transfieren recursos públicos, son información pública</w:t>
      </w:r>
      <w:r w:rsidRPr="006D5314">
        <w:rPr>
          <w:rFonts w:ascii="Palatino Linotype" w:hAnsi="Palatino Linotype"/>
          <w:i/>
          <w:iCs/>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B642E1" w:rsidRPr="006D5314" w:rsidRDefault="00B642E1" w:rsidP="00B642E1">
      <w:pPr>
        <w:pStyle w:val="NormalWeb"/>
        <w:spacing w:before="240" w:beforeAutospacing="0" w:after="240" w:afterAutospacing="0"/>
        <w:ind w:right="1127"/>
        <w:jc w:val="both"/>
        <w:rPr>
          <w:rFonts w:ascii="Palatino Linotype" w:hAnsi="Palatino Linotype"/>
          <w:i/>
          <w:iCs/>
          <w:color w:val="000000"/>
        </w:rPr>
      </w:pP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bCs/>
        </w:rPr>
      </w:pPr>
      <w:r w:rsidRPr="006D5314">
        <w:rPr>
          <w:rFonts w:ascii="Palatino Linotype" w:eastAsia="Palatino Linotype" w:hAnsi="Palatino Linotype" w:cs="Palatino Linotype"/>
        </w:rPr>
        <w:t xml:space="preserve">Si bien las cuentas bancarias y/o CLABE de personas que </w:t>
      </w:r>
      <w:r w:rsidRPr="006D5314">
        <w:rPr>
          <w:rFonts w:ascii="Palatino Linotype" w:eastAsia="Palatino Linotype" w:hAnsi="Palatino Linotype" w:cs="Palatino Linotype"/>
          <w:bCs/>
          <w:iCs/>
        </w:rPr>
        <w:t xml:space="preserve">reciben y/o transfieren recursos </w:t>
      </w:r>
      <w:r w:rsidRPr="006D5314">
        <w:rPr>
          <w:rFonts w:ascii="Palatino Linotype" w:hAnsi="Palatino Linotype"/>
          <w:color w:val="000000"/>
        </w:rPr>
        <w:t>públicos</w:t>
      </w:r>
      <w:r w:rsidRPr="006D5314">
        <w:rPr>
          <w:rFonts w:ascii="Palatino Linotype" w:eastAsia="Palatino Linotype" w:hAnsi="Palatino Linotype" w:cs="Palatino Linotype"/>
        </w:rPr>
        <w:t xml:space="preserve"> corresponden a datos personales, </w:t>
      </w:r>
      <w:r w:rsidRPr="006D5314">
        <w:rPr>
          <w:rFonts w:ascii="Palatino Linotype" w:eastAsia="Palatino Linotype" w:hAnsi="Palatino Linotype" w:cs="Palatino Linotype"/>
          <w:bCs/>
        </w:rPr>
        <w:t>no actualizan la causal de clasificación establecida en el artículo 143, fracción I, de la Ley de Transparencia y Acceso a la Información Pública del Estado de México y Municipios.</w:t>
      </w:r>
    </w:p>
    <w:p w:rsidR="00B642E1" w:rsidRPr="006D5314" w:rsidRDefault="00B642E1" w:rsidP="00B642E1">
      <w:pPr>
        <w:spacing w:line="360" w:lineRule="auto"/>
        <w:ind w:right="-93"/>
        <w:jc w:val="both"/>
        <w:rPr>
          <w:rFonts w:ascii="Palatino Linotype" w:hAnsi="Palatino Linotype" w:cs="Tahoma"/>
          <w:bCs/>
          <w:lang w:val="es-ES" w:eastAsia="en-US"/>
        </w:rPr>
      </w:pPr>
    </w:p>
    <w:p w:rsidR="00B642E1" w:rsidRPr="006D5314" w:rsidRDefault="00B642E1" w:rsidP="00B642E1">
      <w:pPr>
        <w:pStyle w:val="Prrafodelista"/>
        <w:numPr>
          <w:ilvl w:val="0"/>
          <w:numId w:val="32"/>
        </w:numPr>
        <w:spacing w:line="360" w:lineRule="auto"/>
        <w:jc w:val="both"/>
        <w:rPr>
          <w:rFonts w:ascii="Palatino Linotype" w:hAnsi="Palatino Linotype" w:cs="Tahoma"/>
          <w:b/>
          <w:lang w:val="es-ES" w:eastAsia="en-US"/>
        </w:rPr>
      </w:pPr>
      <w:r w:rsidRPr="006D5314">
        <w:rPr>
          <w:rFonts w:ascii="Palatino Linotype" w:hAnsi="Palatino Linotype" w:cs="Tahoma"/>
          <w:b/>
          <w:lang w:val="es-ES" w:eastAsia="en-US"/>
        </w:rPr>
        <w:lastRenderedPageBreak/>
        <w:t>Nombre, firma y rúbrica de representante legal.</w:t>
      </w: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t xml:space="preserve">Al respecto, </w:t>
      </w:r>
      <w:r w:rsidRPr="006D5314">
        <w:rPr>
          <w:rFonts w:ascii="Palatino Linotype" w:eastAsia="Palatino Linotype" w:hAnsi="Palatino Linotype" w:cs="Palatino Linotype"/>
        </w:rPr>
        <w:t>resulta</w:t>
      </w:r>
      <w:r w:rsidRPr="006D5314">
        <w:rPr>
          <w:rFonts w:ascii="Palatino Linotype" w:hAnsi="Palatino Linotype" w:cs="Tahoma"/>
          <w:lang w:val="es-ES"/>
        </w:rPr>
        <w:t xml:space="preserve"> </w:t>
      </w:r>
      <w:r w:rsidRPr="006D5314">
        <w:rPr>
          <w:rFonts w:ascii="Palatino Linotype" w:hAnsi="Palatino Linotype"/>
          <w:color w:val="000000"/>
        </w:rPr>
        <w:t>necesario</w:t>
      </w:r>
      <w:r w:rsidRPr="006D5314">
        <w:rPr>
          <w:rFonts w:ascii="Palatino Linotype" w:hAnsi="Palatino Linotype" w:cs="Tahoma"/>
          <w:lang w:val="es-ES"/>
        </w:rPr>
        <w:t xml:space="preserve"> señalar que las personas jurídico colectivas son representadas mediante personas físicas, debidamente acreditadas para realizar determinados actos a nombre de la jurídico-colectiva, por lo que, el nombre de dichos individuos no </w:t>
      </w:r>
      <w:r w:rsidRPr="006D5314">
        <w:rPr>
          <w:rFonts w:ascii="Palatino Linotype" w:eastAsia="Palatino Linotype" w:hAnsi="Palatino Linotype" w:cs="Palatino Linotype"/>
        </w:rPr>
        <w:t>puede</w:t>
      </w:r>
      <w:r w:rsidRPr="006D5314">
        <w:rPr>
          <w:rFonts w:ascii="Palatino Linotype" w:hAnsi="Palatino Linotype" w:cs="Tahoma"/>
          <w:lang w:val="es-ES"/>
        </w:rPr>
        <w:t xml:space="preserve"> ser objeto de </w:t>
      </w:r>
      <w:r w:rsidRPr="006D5314">
        <w:rPr>
          <w:rFonts w:ascii="Palatino Linotype" w:eastAsia="Palatino Linotype" w:hAnsi="Palatino Linotype" w:cs="Palatino Linotype"/>
        </w:rPr>
        <w:t>clasificación</w:t>
      </w:r>
      <w:r w:rsidRPr="006D5314">
        <w:rPr>
          <w:rFonts w:ascii="Palatino Linotype" w:hAnsi="Palatino Linotype" w:cs="Tahoma"/>
          <w:lang w:val="es-ES"/>
        </w:rPr>
        <w:t>, en virtud de que la representación persigue la finalidad de dar certeza jurídica a los actos que realiza, en el presente caso, solicitar y recibir diversas Licencias de Funcionamiento.</w:t>
      </w:r>
    </w:p>
    <w:p w:rsidR="00B642E1" w:rsidRPr="006D5314" w:rsidRDefault="00B642E1" w:rsidP="00B642E1">
      <w:pPr>
        <w:spacing w:line="360" w:lineRule="auto"/>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t xml:space="preserve">En ese </w:t>
      </w:r>
      <w:r w:rsidRPr="006D5314">
        <w:rPr>
          <w:rFonts w:ascii="Palatino Linotype" w:eastAsia="Palatino Linotype" w:hAnsi="Palatino Linotype" w:cs="Palatino Linotype"/>
        </w:rPr>
        <w:t>sentido</w:t>
      </w:r>
      <w:r w:rsidRPr="006D5314">
        <w:rPr>
          <w:rFonts w:ascii="Palatino Linotype" w:hAnsi="Palatino Linotype" w:cs="Tahoma"/>
          <w:lang w:val="es-ES"/>
        </w:rPr>
        <w:t>,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B642E1" w:rsidRPr="006D5314" w:rsidRDefault="00B642E1" w:rsidP="00B642E1">
      <w:pPr>
        <w:spacing w:line="360" w:lineRule="auto"/>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t xml:space="preserve">En esa tesitura, la </w:t>
      </w:r>
      <w:r w:rsidRPr="006D5314">
        <w:rPr>
          <w:rFonts w:ascii="Palatino Linotype" w:eastAsia="Palatino Linotype" w:hAnsi="Palatino Linotype" w:cs="Palatino Linotype"/>
        </w:rPr>
        <w:t>representación</w:t>
      </w:r>
      <w:r w:rsidRPr="006D5314">
        <w:rPr>
          <w:rFonts w:ascii="Palatino Linotype" w:hAnsi="Palatino Linotype" w:cs="Tahoma"/>
          <w:lang w:val="es-ES"/>
        </w:rPr>
        <w:t xml:space="preserve"> de las personas morales se realizará por medio de representantes o </w:t>
      </w:r>
      <w:r w:rsidRPr="006D5314">
        <w:rPr>
          <w:rFonts w:ascii="Palatino Linotype" w:eastAsia="Palatino Linotype" w:hAnsi="Palatino Linotype" w:cs="Palatino Linotype"/>
        </w:rPr>
        <w:t>apoderados</w:t>
      </w:r>
      <w:r w:rsidRPr="006D5314">
        <w:rPr>
          <w:rFonts w:ascii="Palatino Linotype" w:hAnsi="Palatino Linotype" w:cs="Tahoma"/>
          <w:lang w:val="es-ES"/>
        </w:rPr>
        <w:t xml:space="preserve">, y </w:t>
      </w:r>
      <w:r w:rsidRPr="006D5314">
        <w:rPr>
          <w:rFonts w:ascii="Palatino Linotype" w:eastAsia="Palatino Linotype" w:hAnsi="Palatino Linotype" w:cs="Palatino Linotype"/>
        </w:rPr>
        <w:t>en</w:t>
      </w:r>
      <w:r w:rsidRPr="006D5314">
        <w:rPr>
          <w:rFonts w:ascii="Palatino Linotype" w:hAnsi="Palatino Linotype" w:cs="Tahoma"/>
          <w:lang w:val="es-ES"/>
        </w:rPr>
        <w:t xml:space="preserve"> el caso específico de las sociedades mercantiles, dicha representación se otorgará mediante instrumento público.</w:t>
      </w:r>
    </w:p>
    <w:p w:rsidR="00B642E1" w:rsidRPr="006D5314" w:rsidRDefault="00B642E1" w:rsidP="00B642E1">
      <w:pPr>
        <w:spacing w:line="360" w:lineRule="auto"/>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t xml:space="preserve">Ello, toda vez que la representación legal debe ser conocida para surtir efectos ante terceros; es decir, la publicidad </w:t>
      </w:r>
      <w:r w:rsidRPr="006D5314">
        <w:rPr>
          <w:rFonts w:ascii="Palatino Linotype" w:eastAsia="Palatino Linotype" w:hAnsi="Palatino Linotype" w:cs="Palatino Linotype"/>
        </w:rPr>
        <w:t>de</w:t>
      </w:r>
      <w:r w:rsidRPr="006D5314">
        <w:rPr>
          <w:rFonts w:ascii="Palatino Linotype" w:hAnsi="Palatino Linotype" w:cs="Tahoma"/>
          <w:lang w:val="es-ES"/>
        </w:rPr>
        <w:t xml:space="preserve"> la misma tiene por objeto dar certeza a quienes se relacionan con la persona jurídico-</w:t>
      </w:r>
      <w:r w:rsidRPr="006D5314">
        <w:rPr>
          <w:rFonts w:ascii="Palatino Linotype" w:eastAsia="Palatino Linotype" w:hAnsi="Palatino Linotype" w:cs="Palatino Linotype"/>
        </w:rPr>
        <w:t>colectiva</w:t>
      </w:r>
      <w:r w:rsidRPr="006D5314">
        <w:rPr>
          <w:rFonts w:ascii="Palatino Linotype" w:hAnsi="Palatino Linotype" w:cs="Tahoma"/>
          <w:lang w:val="es-ES"/>
        </w:rPr>
        <w:t xml:space="preserve"> representada, que las actuaciones de su representante están previamente autorizadas y que surtirán efectos legales a que constriñe cada acto.</w:t>
      </w:r>
    </w:p>
    <w:p w:rsidR="00B642E1" w:rsidRPr="006D5314" w:rsidRDefault="00B642E1" w:rsidP="00B642E1">
      <w:pPr>
        <w:spacing w:line="360" w:lineRule="auto"/>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lastRenderedPageBreak/>
        <w:t xml:space="preserve">En ese orden de ideas, </w:t>
      </w:r>
      <w:r w:rsidRPr="006D5314">
        <w:rPr>
          <w:rFonts w:ascii="Palatino Linotype" w:eastAsia="Palatino Linotype" w:hAnsi="Palatino Linotype" w:cs="Palatino Linotype"/>
        </w:rPr>
        <w:t>se</w:t>
      </w:r>
      <w:r w:rsidRPr="006D5314">
        <w:rPr>
          <w:rFonts w:ascii="Palatino Linotype" w:hAnsi="Palatino Linotype" w:cs="Tahoma"/>
          <w:lang w:val="es-ES"/>
        </w:rPr>
        <w:t xml:space="preserve"> estima que si bien, el nombre es uno de los atributos de la personalidad y la manifestación principal del derecho subjetivo a la identidad, en virtud de que hace una persona física identificada o identificable; lo cierto es que el </w:t>
      </w:r>
      <w:r w:rsidRPr="006D5314">
        <w:rPr>
          <w:rFonts w:ascii="Palatino Linotype" w:hAnsi="Palatino Linotype" w:cs="Tahoma"/>
          <w:b/>
          <w:lang w:val="es-ES"/>
        </w:rPr>
        <w:t>nombre, la firma y la rúbrica del apoderado legal de una empresa</w:t>
      </w:r>
      <w:r w:rsidRPr="006D5314">
        <w:rPr>
          <w:rFonts w:ascii="Palatino Linotype" w:hAnsi="Palatino Linotype" w:cs="Tahoma"/>
          <w:lang w:val="es-ES"/>
        </w:rPr>
        <w:t xml:space="preserve">, </w:t>
      </w:r>
      <w:r w:rsidRPr="006D5314">
        <w:rPr>
          <w:rFonts w:ascii="Palatino Linotype" w:hAnsi="Palatino Linotype" w:cs="Tahoma"/>
          <w:b/>
          <w:lang w:val="es-ES"/>
        </w:rPr>
        <w:t xml:space="preserve">es público, </w:t>
      </w:r>
      <w:r w:rsidRPr="006D5314">
        <w:rPr>
          <w:rFonts w:ascii="Palatino Linotype" w:hAnsi="Palatino Linotype" w:cs="Tahoma"/>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B642E1" w:rsidRPr="006D5314" w:rsidRDefault="00B642E1" w:rsidP="00B642E1">
      <w:pPr>
        <w:spacing w:line="360" w:lineRule="auto"/>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t xml:space="preserve">Lo anterior, se robustece con el criterio orientador 01/19, emitido por el Instituto Nacional de </w:t>
      </w:r>
      <w:r w:rsidRPr="006D5314">
        <w:rPr>
          <w:rFonts w:ascii="Palatino Linotype" w:eastAsia="Palatino Linotype" w:hAnsi="Palatino Linotype" w:cs="Palatino Linotype"/>
        </w:rPr>
        <w:t>Transparencia</w:t>
      </w:r>
      <w:r w:rsidRPr="006D5314">
        <w:rPr>
          <w:rFonts w:ascii="Palatino Linotype" w:hAnsi="Palatino Linotype" w:cs="Tahoma"/>
          <w:lang w:val="es-ES"/>
        </w:rPr>
        <w:t>, Acceso a la Información Pública y Protección de Datos Personales, que establece lo siguiente:</w:t>
      </w:r>
    </w:p>
    <w:p w:rsidR="00B642E1" w:rsidRPr="006D5314" w:rsidRDefault="00B642E1" w:rsidP="00B642E1">
      <w:pPr>
        <w:ind w:right="-788"/>
        <w:jc w:val="both"/>
        <w:rPr>
          <w:rFonts w:ascii="Palatino Linotype" w:hAnsi="Palatino Linotype" w:cs="Tahoma"/>
          <w:lang w:val="es-ES"/>
        </w:rPr>
      </w:pPr>
    </w:p>
    <w:p w:rsidR="00B642E1" w:rsidRPr="006D5314" w:rsidRDefault="00B642E1" w:rsidP="00B642E1">
      <w:pPr>
        <w:tabs>
          <w:tab w:val="left" w:pos="8080"/>
        </w:tabs>
        <w:ind w:left="567" w:right="-716"/>
        <w:jc w:val="both"/>
        <w:rPr>
          <w:rFonts w:ascii="Palatino Linotype" w:hAnsi="Palatino Linotype" w:cs="Tahoma"/>
          <w:i/>
          <w:lang w:val="es-ES"/>
        </w:rPr>
      </w:pPr>
      <w:r w:rsidRPr="006D5314">
        <w:rPr>
          <w:rFonts w:ascii="Palatino Linotype" w:hAnsi="Palatino Linotype" w:cs="Tahoma"/>
          <w:b/>
          <w:i/>
        </w:rPr>
        <w:t>Datos de identificación del representante o apoderado legal.</w:t>
      </w:r>
      <w:r w:rsidRPr="006D5314">
        <w:rPr>
          <w:rFonts w:ascii="Palatino Linotype" w:hAnsi="Palatino Linotype" w:cs="Tahoma"/>
          <w:i/>
        </w:rPr>
        <w:t xml:space="preserve"> </w:t>
      </w:r>
      <w:r w:rsidRPr="006D5314">
        <w:rPr>
          <w:rFonts w:ascii="Palatino Linotype" w:hAnsi="Palatino Linotype" w:cs="Tahoma"/>
          <w:b/>
          <w:i/>
        </w:rPr>
        <w:t xml:space="preserve">Naturaleza jurídica. </w:t>
      </w:r>
      <w:r w:rsidRPr="006D5314">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B642E1" w:rsidRPr="006D5314" w:rsidRDefault="00B642E1" w:rsidP="00B642E1">
      <w:pPr>
        <w:spacing w:line="360" w:lineRule="auto"/>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hAnsi="Palatino Linotype" w:cs="Tahoma"/>
          <w:lang w:val="es-ES"/>
        </w:rPr>
        <w:t xml:space="preserve">Ante tales </w:t>
      </w:r>
      <w:r w:rsidRPr="006D5314">
        <w:rPr>
          <w:rFonts w:ascii="Palatino Linotype" w:eastAsia="Palatino Linotype" w:hAnsi="Palatino Linotype" w:cs="Palatino Linotype"/>
        </w:rPr>
        <w:t>situaciones</w:t>
      </w:r>
      <w:r w:rsidRPr="006D5314">
        <w:rPr>
          <w:rFonts w:ascii="Palatino Linotype" w:hAnsi="Palatino Linotype" w:cs="Tahoma"/>
          <w:lang w:val="es-ES"/>
        </w:rPr>
        <w:t xml:space="preserve">, </w:t>
      </w:r>
      <w:r w:rsidRPr="006D5314">
        <w:rPr>
          <w:rFonts w:ascii="Palatino Linotype" w:hAnsi="Palatino Linotype" w:cs="Tahoma"/>
          <w:b/>
          <w:lang w:val="es-ES"/>
        </w:rPr>
        <w:t>el nombre, firma y rúbrica del representante legal</w:t>
      </w:r>
      <w:r w:rsidRPr="006D5314">
        <w:rPr>
          <w:rFonts w:ascii="Palatino Linotype" w:hAnsi="Palatino Linotype" w:cs="Tahoma"/>
          <w:lang w:val="es-ES"/>
        </w:rPr>
        <w:t xml:space="preserve">, de una persona jurídica colectiva que solicitó una Licencia de Funcionamiento, </w:t>
      </w:r>
      <w:r w:rsidRPr="006D5314">
        <w:rPr>
          <w:rFonts w:ascii="Palatino Linotype" w:hAnsi="Palatino Linotype" w:cs="Tahoma"/>
          <w:b/>
          <w:lang w:val="es-ES"/>
        </w:rPr>
        <w:t>no es susceptible de ser clasificado como confidencial</w:t>
      </w:r>
      <w:r w:rsidRPr="006D5314">
        <w:rPr>
          <w:rFonts w:ascii="Palatino Linotype" w:hAnsi="Palatino Linotype" w:cs="Tahoma"/>
          <w:lang w:val="es-ES"/>
        </w:rPr>
        <w:t>, en términos del artículo 143, fracción I de la Ley Federal de Transparencia y Acceso a la Información Pública; inclusive ayuda a rendir cuentas, de que dicha autorización fue entregada a la persona adecuada.</w:t>
      </w:r>
    </w:p>
    <w:p w:rsidR="00B642E1" w:rsidRDefault="00B642E1" w:rsidP="00B642E1">
      <w:pPr>
        <w:spacing w:line="360" w:lineRule="auto"/>
        <w:ind w:right="-787"/>
        <w:jc w:val="both"/>
        <w:rPr>
          <w:rFonts w:ascii="Palatino Linotype" w:hAnsi="Palatino Linotype" w:cs="Tahoma"/>
          <w:lang w:val="es-ES"/>
        </w:rPr>
      </w:pPr>
    </w:p>
    <w:p w:rsidR="006D5314" w:rsidRPr="006D5314" w:rsidRDefault="006D5314" w:rsidP="00B642E1">
      <w:pPr>
        <w:spacing w:line="360" w:lineRule="auto"/>
        <w:ind w:right="-787"/>
        <w:jc w:val="both"/>
        <w:rPr>
          <w:rFonts w:ascii="Palatino Linotype" w:hAnsi="Palatino Linotype" w:cs="Tahoma"/>
          <w:lang w:val="es-ES"/>
        </w:rPr>
      </w:pPr>
    </w:p>
    <w:p w:rsidR="00B642E1" w:rsidRPr="006D5314" w:rsidRDefault="00B642E1" w:rsidP="00B642E1">
      <w:pPr>
        <w:pStyle w:val="Prrafodelista"/>
        <w:numPr>
          <w:ilvl w:val="0"/>
          <w:numId w:val="33"/>
        </w:numPr>
        <w:shd w:val="clear" w:color="auto" w:fill="FFFFFF" w:themeFill="background1"/>
        <w:spacing w:line="360" w:lineRule="auto"/>
        <w:jc w:val="both"/>
        <w:rPr>
          <w:rFonts w:ascii="Palatino Linotype" w:hAnsi="Palatino Linotype" w:cs="Tahoma"/>
          <w:b/>
        </w:rPr>
      </w:pPr>
      <w:r w:rsidRPr="006D5314">
        <w:rPr>
          <w:rFonts w:ascii="Palatino Linotype" w:hAnsi="Palatino Linotype" w:cs="Tahoma"/>
          <w:b/>
        </w:rPr>
        <w:lastRenderedPageBreak/>
        <w:t>Domicilio Fiscal o legal (proveedor persona física o moral)</w:t>
      </w:r>
    </w:p>
    <w:p w:rsidR="00B642E1" w:rsidRPr="006D5314" w:rsidRDefault="00B642E1" w:rsidP="0088619A">
      <w:pPr>
        <w:numPr>
          <w:ilvl w:val="0"/>
          <w:numId w:val="2"/>
        </w:numPr>
        <w:spacing w:line="360" w:lineRule="auto"/>
        <w:ind w:left="0" w:right="-787" w:firstLine="0"/>
        <w:jc w:val="both"/>
        <w:rPr>
          <w:rFonts w:ascii="Palatino Linotype" w:hAnsi="Palatino Linotype" w:cs="Tahoma"/>
          <w:lang w:val="es-ES"/>
        </w:rPr>
      </w:pPr>
      <w:r w:rsidRPr="006D5314">
        <w:rPr>
          <w:rFonts w:ascii="Palatino Linotype" w:eastAsia="Palatino Linotype" w:hAnsi="Palatino Linotype" w:cs="Palatino Linotype"/>
        </w:rPr>
        <w:t>De</w:t>
      </w:r>
      <w:r w:rsidRPr="006D5314">
        <w:rPr>
          <w:rFonts w:ascii="Palatino Linotype" w:hAnsi="Palatino Linotype" w:cs="Tahoma"/>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B642E1" w:rsidRPr="006D5314" w:rsidRDefault="00B642E1" w:rsidP="00B642E1">
      <w:pPr>
        <w:spacing w:line="360" w:lineRule="auto"/>
        <w:ind w:right="-787"/>
        <w:jc w:val="both"/>
        <w:rPr>
          <w:rFonts w:ascii="Palatino Linotype" w:hAnsi="Palatino Linotype" w:cs="Tahoma"/>
          <w:lang w:val="es-ES"/>
        </w:rPr>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iCs/>
          <w:lang w:val="es-ES"/>
        </w:rPr>
      </w:pPr>
      <w:r w:rsidRPr="006D5314">
        <w:rPr>
          <w:rFonts w:ascii="Palatino Linotype" w:hAnsi="Palatino Linotype" w:cs="Tahoma"/>
          <w:bCs/>
          <w:iCs/>
          <w:lang w:val="es-ES"/>
        </w:rPr>
        <w:t xml:space="preserve">Además, </w:t>
      </w:r>
      <w:r w:rsidRPr="006D5314">
        <w:rPr>
          <w:rFonts w:ascii="Palatino Linotype" w:hAnsi="Palatino Linotype" w:cs="Tahoma"/>
          <w:lang w:val="es-ES"/>
        </w:rPr>
        <w:t>respecto</w:t>
      </w:r>
      <w:r w:rsidRPr="006D5314">
        <w:rPr>
          <w:rFonts w:ascii="Palatino Linotype" w:hAnsi="Palatino Linotype" w:cs="Tahoma"/>
          <w:bCs/>
          <w:iCs/>
          <w:lang w:val="es-ES"/>
        </w:rPr>
        <w:t xml:space="preserve"> </w:t>
      </w:r>
      <w:r w:rsidRPr="006D5314">
        <w:rPr>
          <w:rFonts w:ascii="Palatino Linotype" w:hAnsi="Palatino Linotype" w:cs="Tahoma"/>
          <w:lang w:val="es-ES"/>
        </w:rPr>
        <w:t>al</w:t>
      </w:r>
      <w:r w:rsidRPr="006D5314">
        <w:rPr>
          <w:rFonts w:ascii="Palatino Linotype" w:hAnsi="Palatino Linotype" w:cs="Tahoma"/>
          <w:bCs/>
          <w:iCs/>
          <w:lang w:val="es-ES"/>
        </w:rPr>
        <w:t xml:space="preserve"> domicilio fiscal, resulta necesario traer el artículo 22 del Código Financiero del Estado de México y Municipios, que establece:</w:t>
      </w:r>
    </w:p>
    <w:p w:rsidR="00B642E1" w:rsidRPr="006D5314" w:rsidRDefault="00B642E1" w:rsidP="00B642E1">
      <w:pPr>
        <w:tabs>
          <w:tab w:val="left" w:pos="8080"/>
        </w:tabs>
        <w:ind w:left="567" w:right="-716"/>
        <w:jc w:val="both"/>
        <w:rPr>
          <w:rFonts w:ascii="Palatino Linotype" w:hAnsi="Palatino Linotype" w:cs="Tahoma"/>
          <w:b/>
          <w:bCs/>
          <w:i/>
          <w:iCs/>
        </w:rPr>
      </w:pPr>
      <w:r w:rsidRPr="006D5314">
        <w:rPr>
          <w:rFonts w:ascii="Palatino Linotype" w:hAnsi="Palatino Linotype" w:cs="Tahoma"/>
          <w:b/>
          <w:bCs/>
          <w:i/>
          <w:iCs/>
        </w:rPr>
        <w:t xml:space="preserve">Artículo 22.- Se considera domicilio fiscal de las personas físicas y </w:t>
      </w:r>
      <w:r w:rsidRPr="006D5314">
        <w:rPr>
          <w:rFonts w:ascii="Palatino Linotype" w:hAnsi="Palatino Linotype" w:cs="Tahoma"/>
          <w:i/>
        </w:rPr>
        <w:t>jurídicas</w:t>
      </w:r>
      <w:r w:rsidRPr="006D5314">
        <w:rPr>
          <w:rFonts w:ascii="Palatino Linotype" w:hAnsi="Palatino Linotype" w:cs="Tahoma"/>
          <w:b/>
          <w:bCs/>
          <w:i/>
          <w:iCs/>
        </w:rPr>
        <w:t xml:space="preserve"> colectivas: </w:t>
      </w:r>
    </w:p>
    <w:p w:rsidR="00B642E1" w:rsidRPr="006D5314" w:rsidRDefault="00B642E1" w:rsidP="00B642E1">
      <w:pPr>
        <w:shd w:val="clear" w:color="auto" w:fill="FFFFFF" w:themeFill="background1"/>
        <w:ind w:left="1134" w:right="902"/>
        <w:jc w:val="both"/>
        <w:rPr>
          <w:rFonts w:ascii="Palatino Linotype" w:hAnsi="Palatino Linotype" w:cs="Tahoma"/>
          <w:bCs/>
          <w:i/>
          <w:iCs/>
        </w:rPr>
      </w:pPr>
    </w:p>
    <w:p w:rsidR="00B642E1" w:rsidRPr="006D5314" w:rsidRDefault="00B642E1" w:rsidP="00B642E1">
      <w:pPr>
        <w:tabs>
          <w:tab w:val="left" w:pos="8080"/>
        </w:tabs>
        <w:ind w:left="567" w:right="-716"/>
        <w:jc w:val="both"/>
        <w:rPr>
          <w:rFonts w:ascii="Palatino Linotype" w:hAnsi="Palatino Linotype" w:cs="Tahoma"/>
          <w:bCs/>
          <w:i/>
          <w:iCs/>
        </w:rPr>
      </w:pPr>
      <w:r w:rsidRPr="006D5314">
        <w:rPr>
          <w:rFonts w:ascii="Palatino Linotype" w:hAnsi="Palatino Linotype" w:cs="Tahoma"/>
          <w:bCs/>
          <w:i/>
          <w:iCs/>
        </w:rPr>
        <w:t xml:space="preserve">I. El lugar o establecimiento donde se realicen actividades que generen obligaciones fiscales. </w:t>
      </w:r>
    </w:p>
    <w:p w:rsidR="00B642E1" w:rsidRPr="006D5314" w:rsidRDefault="00B642E1" w:rsidP="00B642E1">
      <w:pPr>
        <w:tabs>
          <w:tab w:val="left" w:pos="8080"/>
        </w:tabs>
        <w:ind w:left="567" w:right="-716"/>
        <w:jc w:val="both"/>
        <w:rPr>
          <w:rFonts w:ascii="Palatino Linotype" w:hAnsi="Palatino Linotype" w:cs="Tahoma"/>
          <w:bCs/>
          <w:i/>
          <w:iCs/>
        </w:rPr>
      </w:pPr>
    </w:p>
    <w:p w:rsidR="00B642E1" w:rsidRPr="006D5314" w:rsidRDefault="00B642E1" w:rsidP="00B642E1">
      <w:pPr>
        <w:tabs>
          <w:tab w:val="left" w:pos="8080"/>
        </w:tabs>
        <w:ind w:left="567" w:right="-716"/>
        <w:jc w:val="both"/>
        <w:rPr>
          <w:rFonts w:ascii="Palatino Linotype" w:hAnsi="Palatino Linotype" w:cs="Tahoma"/>
          <w:bCs/>
          <w:i/>
          <w:iCs/>
        </w:rPr>
      </w:pPr>
      <w:r w:rsidRPr="006D5314">
        <w:rPr>
          <w:rFonts w:ascii="Palatino Linotype" w:hAnsi="Palatino Linotype" w:cs="Tahoma"/>
          <w:bCs/>
          <w:i/>
          <w:iCs/>
        </w:rPr>
        <w:t xml:space="preserve">II. El lugar o establecimiento en que se realice el hecho generador de la obligación fiscal, cuando las actividades no se realicen en forma habitual. </w:t>
      </w:r>
    </w:p>
    <w:p w:rsidR="00B642E1" w:rsidRPr="006D5314" w:rsidRDefault="00B642E1" w:rsidP="00B642E1">
      <w:pPr>
        <w:tabs>
          <w:tab w:val="left" w:pos="8080"/>
        </w:tabs>
        <w:ind w:left="567" w:right="-716"/>
        <w:jc w:val="both"/>
        <w:rPr>
          <w:rFonts w:ascii="Palatino Linotype" w:hAnsi="Palatino Linotype" w:cs="Tahoma"/>
          <w:bCs/>
          <w:i/>
          <w:iCs/>
        </w:rPr>
      </w:pPr>
    </w:p>
    <w:p w:rsidR="00B642E1" w:rsidRPr="006D5314" w:rsidRDefault="00B642E1" w:rsidP="00B642E1">
      <w:pPr>
        <w:tabs>
          <w:tab w:val="left" w:pos="8080"/>
        </w:tabs>
        <w:ind w:left="567" w:right="-716"/>
        <w:jc w:val="both"/>
        <w:rPr>
          <w:rFonts w:ascii="Palatino Linotype" w:hAnsi="Palatino Linotype" w:cs="Tahoma"/>
          <w:bCs/>
          <w:i/>
          <w:iCs/>
        </w:rPr>
      </w:pPr>
      <w:r w:rsidRPr="006D5314">
        <w:rPr>
          <w:rFonts w:ascii="Palatino Linotype" w:hAnsi="Palatino Linotype" w:cs="Tahoma"/>
          <w:bCs/>
          <w:i/>
          <w:iCs/>
        </w:rPr>
        <w:t xml:space="preserve">III. El inmueble en el que residan en el territorio del Estado de México, cuando realicen sus actividades en la vía pública, en puestos fijos y semifijos; </w:t>
      </w:r>
    </w:p>
    <w:p w:rsidR="00B642E1" w:rsidRPr="006D5314" w:rsidRDefault="00B642E1" w:rsidP="00B642E1">
      <w:pPr>
        <w:tabs>
          <w:tab w:val="left" w:pos="8080"/>
        </w:tabs>
        <w:ind w:left="567" w:right="-716"/>
        <w:jc w:val="both"/>
        <w:rPr>
          <w:rFonts w:ascii="Palatino Linotype" w:hAnsi="Palatino Linotype" w:cs="Tahoma"/>
          <w:bCs/>
          <w:i/>
          <w:iCs/>
        </w:rPr>
      </w:pPr>
    </w:p>
    <w:p w:rsidR="00B642E1" w:rsidRPr="006D5314" w:rsidRDefault="00B642E1" w:rsidP="00B642E1">
      <w:pPr>
        <w:tabs>
          <w:tab w:val="left" w:pos="8080"/>
        </w:tabs>
        <w:ind w:left="567" w:right="-716"/>
        <w:jc w:val="both"/>
        <w:rPr>
          <w:rFonts w:ascii="Palatino Linotype" w:hAnsi="Palatino Linotype" w:cs="Tahoma"/>
          <w:bCs/>
          <w:i/>
          <w:iCs/>
        </w:rPr>
      </w:pPr>
      <w:r w:rsidRPr="006D5314">
        <w:rPr>
          <w:rFonts w:ascii="Palatino Linotype" w:hAnsi="Palatino Linotype" w:cs="Tahoma"/>
          <w:bCs/>
          <w:i/>
          <w:iCs/>
        </w:rPr>
        <w:t xml:space="preserve">IV. La residencia que identifique la autoridad fiscal, cuando exista certeza de que es el único lugar posible de localización del contribuyente. </w:t>
      </w:r>
    </w:p>
    <w:p w:rsidR="00B642E1" w:rsidRPr="006D5314" w:rsidRDefault="00B642E1" w:rsidP="00B642E1">
      <w:pPr>
        <w:tabs>
          <w:tab w:val="left" w:pos="8080"/>
        </w:tabs>
        <w:ind w:left="567" w:right="-716"/>
        <w:jc w:val="both"/>
        <w:rPr>
          <w:rFonts w:ascii="Palatino Linotype" w:hAnsi="Palatino Linotype" w:cs="Tahoma"/>
          <w:bCs/>
          <w:i/>
          <w:iCs/>
        </w:rPr>
      </w:pPr>
    </w:p>
    <w:p w:rsidR="00B642E1" w:rsidRPr="006D5314" w:rsidRDefault="00B642E1" w:rsidP="00B642E1">
      <w:pPr>
        <w:tabs>
          <w:tab w:val="left" w:pos="8080"/>
        </w:tabs>
        <w:ind w:left="567" w:right="-716"/>
        <w:jc w:val="both"/>
        <w:rPr>
          <w:rFonts w:ascii="Palatino Linotype" w:hAnsi="Palatino Linotype" w:cs="Tahoma"/>
          <w:bCs/>
          <w:i/>
          <w:iCs/>
        </w:rPr>
      </w:pPr>
      <w:r w:rsidRPr="006D5314">
        <w:rPr>
          <w:rFonts w:ascii="Palatino Linotype" w:hAnsi="Palatino Linotype" w:cs="Tahoma"/>
          <w:bCs/>
          <w:i/>
          <w:iCs/>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B642E1" w:rsidRPr="006D5314" w:rsidRDefault="00B642E1" w:rsidP="00B642E1">
      <w:pPr>
        <w:tabs>
          <w:tab w:val="left" w:pos="8080"/>
        </w:tabs>
        <w:ind w:left="567" w:right="-716"/>
        <w:jc w:val="both"/>
        <w:rPr>
          <w:rFonts w:ascii="Palatino Linotype" w:hAnsi="Palatino Linotype" w:cs="Tahoma"/>
          <w:bCs/>
          <w:i/>
          <w:iCs/>
        </w:rPr>
      </w:pPr>
      <w:r w:rsidRPr="006D5314">
        <w:rPr>
          <w:rFonts w:ascii="Palatino Linotype" w:hAnsi="Palatino Linotype" w:cs="Tahoma"/>
          <w:bCs/>
          <w:i/>
          <w:iCs/>
        </w:rPr>
        <w:t>…</w:t>
      </w:r>
    </w:p>
    <w:p w:rsidR="00B642E1" w:rsidRPr="006D5314" w:rsidRDefault="00B642E1" w:rsidP="00B642E1">
      <w:pPr>
        <w:jc w:val="both"/>
        <w:rPr>
          <w:rFonts w:ascii="Palatino Linotype" w:hAnsi="Palatino Linotype" w:cs="Tahoma"/>
          <w:bCs/>
          <w:iCs/>
          <w:lang w:val="es-ES"/>
        </w:rPr>
      </w:pPr>
    </w:p>
    <w:p w:rsidR="00B642E1" w:rsidRPr="006D5314" w:rsidRDefault="00B642E1" w:rsidP="00B642E1">
      <w:pPr>
        <w:pStyle w:val="Prrafodelista"/>
        <w:numPr>
          <w:ilvl w:val="0"/>
          <w:numId w:val="33"/>
        </w:numPr>
        <w:spacing w:line="360" w:lineRule="auto"/>
        <w:ind w:right="-787"/>
        <w:jc w:val="both"/>
        <w:rPr>
          <w:rFonts w:ascii="Palatino Linotype" w:hAnsi="Palatino Linotype" w:cs="Tahoma"/>
          <w:b/>
          <w:bCs/>
        </w:rPr>
      </w:pPr>
      <w:r w:rsidRPr="006D5314">
        <w:rPr>
          <w:rFonts w:ascii="Palatino Linotype" w:hAnsi="Palatino Linotype" w:cs="Tahoma"/>
          <w:b/>
          <w:bCs/>
        </w:rPr>
        <w:t>Número telefónico</w:t>
      </w:r>
    </w:p>
    <w:p w:rsidR="00B642E1" w:rsidRPr="006D5314" w:rsidRDefault="00B642E1" w:rsidP="0088619A">
      <w:pPr>
        <w:numPr>
          <w:ilvl w:val="0"/>
          <w:numId w:val="2"/>
        </w:numPr>
        <w:spacing w:line="360" w:lineRule="auto"/>
        <w:ind w:left="0" w:right="-787" w:firstLine="0"/>
        <w:jc w:val="both"/>
        <w:rPr>
          <w:rFonts w:ascii="Palatino Linotype" w:hAnsi="Palatino Linotype" w:cs="Tahoma"/>
          <w:bCs/>
        </w:rPr>
      </w:pPr>
      <w:r w:rsidRPr="006D5314">
        <w:rPr>
          <w:rFonts w:ascii="Palatino Linotype" w:hAnsi="Palatino Linotype" w:cs="Tahoma"/>
          <w:b/>
          <w:bCs/>
        </w:rPr>
        <w:t>Un</w:t>
      </w:r>
      <w:r w:rsidRPr="006D5314">
        <w:rPr>
          <w:rFonts w:ascii="Palatino Linotype" w:hAnsi="Palatino Linotype" w:cs="Tahoma"/>
          <w:bCs/>
        </w:rPr>
        <w:t> </w:t>
      </w:r>
      <w:r w:rsidRPr="006D5314">
        <w:rPr>
          <w:rFonts w:ascii="Palatino Linotype" w:hAnsi="Palatino Linotype" w:cs="Tahoma"/>
          <w:b/>
          <w:bCs/>
        </w:rPr>
        <w:t>número de teléfono</w:t>
      </w:r>
      <w:r w:rsidRPr="006D5314">
        <w:rPr>
          <w:rFonts w:ascii="Palatino Linotype" w:hAnsi="Palatino Linotype" w:cs="Tahoma"/>
          <w:bCs/>
        </w:rPr>
        <w:t xml:space="preserve"> es </w:t>
      </w:r>
      <w:r w:rsidRPr="006D5314">
        <w:rPr>
          <w:rFonts w:ascii="Palatino Linotype" w:hAnsi="Palatino Linotype" w:cs="Tahoma"/>
          <w:lang w:val="es-ES"/>
        </w:rPr>
        <w:t>una</w:t>
      </w:r>
      <w:r w:rsidRPr="006D5314">
        <w:rPr>
          <w:rFonts w:ascii="Palatino Linotype" w:hAnsi="Palatino Linotype" w:cs="Tahoma"/>
          <w:bCs/>
        </w:rPr>
        <w:t xml:space="preserve"> </w:t>
      </w:r>
      <w:r w:rsidRPr="006D5314">
        <w:rPr>
          <w:rFonts w:ascii="Palatino Linotype" w:hAnsi="Palatino Linotype" w:cs="Tahoma"/>
          <w:lang w:val="es-ES"/>
        </w:rPr>
        <w:t>secuencia</w:t>
      </w:r>
      <w:r w:rsidRPr="006D5314">
        <w:rPr>
          <w:rFonts w:ascii="Palatino Linotype" w:hAnsi="Palatino Linotype" w:cs="Tahoma"/>
          <w:bCs/>
        </w:rPr>
        <w:t xml:space="preserve"> de </w:t>
      </w:r>
      <w:r w:rsidRPr="006D5314">
        <w:rPr>
          <w:rStyle w:val="Hipervnculo"/>
          <w:rFonts w:ascii="Palatino Linotype" w:eastAsiaTheme="majorEastAsia" w:hAnsi="Palatino Linotype" w:cs="Tahoma"/>
          <w:bCs/>
          <w:color w:val="auto"/>
          <w:u w:val="none"/>
        </w:rPr>
        <w:t>dígitos</w:t>
      </w:r>
      <w:r w:rsidRPr="006D5314">
        <w:rPr>
          <w:rFonts w:ascii="Palatino Linotype" w:hAnsi="Palatino Linotype" w:cs="Tahoma"/>
          <w:bCs/>
        </w:rPr>
        <w:t> utilizada para identificar una </w:t>
      </w:r>
      <w:r w:rsidRPr="006D5314">
        <w:rPr>
          <w:rStyle w:val="Hipervnculo"/>
          <w:rFonts w:ascii="Palatino Linotype" w:eastAsiaTheme="majorEastAsia" w:hAnsi="Palatino Linotype" w:cs="Tahoma"/>
          <w:bCs/>
          <w:color w:val="auto"/>
          <w:u w:val="none"/>
        </w:rPr>
        <w:t>línea telefónica</w:t>
      </w:r>
      <w:r w:rsidRPr="006D5314">
        <w:rPr>
          <w:rFonts w:ascii="Palatino Linotype" w:hAnsi="Palatino Linotype" w:cs="Tahoma"/>
          <w:bCs/>
        </w:rPr>
        <w:t> dentro de una </w:t>
      </w:r>
      <w:r w:rsidRPr="006D5314">
        <w:rPr>
          <w:rStyle w:val="Hipervnculo"/>
          <w:rFonts w:ascii="Palatino Linotype" w:eastAsiaTheme="majorEastAsia" w:hAnsi="Palatino Linotype" w:cs="Tahoma"/>
          <w:bCs/>
          <w:color w:val="auto"/>
          <w:u w:val="none"/>
        </w:rPr>
        <w:t>Red Telefónica Conmutada</w:t>
      </w:r>
      <w:r w:rsidRPr="006D5314">
        <w:rPr>
          <w:rFonts w:ascii="Palatino Linotype" w:hAnsi="Palatino Linotype" w:cs="Tahoma"/>
          <w:bCs/>
        </w:rPr>
        <w:t xml:space="preserve">, el número contiene la información necesaria para identificar el punto final de la llamada. Los números de teléfono están a </w:t>
      </w:r>
      <w:r w:rsidRPr="006D5314">
        <w:rPr>
          <w:rFonts w:ascii="Palatino Linotype" w:hAnsi="Palatino Linotype" w:cs="Tahoma"/>
          <w:bCs/>
        </w:rPr>
        <w:lastRenderedPageBreak/>
        <w:t>menudo asignados a líneas que tienen conectados dispositivos distintos de un </w:t>
      </w:r>
      <w:r w:rsidRPr="006D5314">
        <w:rPr>
          <w:rStyle w:val="Hipervnculo"/>
          <w:rFonts w:ascii="Palatino Linotype" w:eastAsiaTheme="majorEastAsia" w:hAnsi="Palatino Linotype" w:cs="Tahoma"/>
          <w:bCs/>
          <w:color w:val="auto"/>
          <w:u w:val="none"/>
        </w:rPr>
        <w:t>teléfono</w:t>
      </w:r>
      <w:r w:rsidRPr="006D5314">
        <w:rPr>
          <w:rFonts w:ascii="Palatino Linotype" w:hAnsi="Palatino Linotype" w:cs="Tahoma"/>
          <w:bCs/>
        </w:rPr>
        <w:t>, tales como </w:t>
      </w:r>
      <w:r w:rsidRPr="006D5314">
        <w:rPr>
          <w:rStyle w:val="Hipervnculo"/>
          <w:rFonts w:ascii="Palatino Linotype" w:eastAsiaTheme="majorEastAsia" w:hAnsi="Palatino Linotype" w:cs="Tahoma"/>
          <w:bCs/>
          <w:color w:val="auto"/>
          <w:u w:val="none"/>
        </w:rPr>
        <w:t>faxes</w:t>
      </w:r>
      <w:r w:rsidRPr="006D5314">
        <w:rPr>
          <w:rFonts w:ascii="Palatino Linotype" w:hAnsi="Palatino Linotype" w:cs="Tahoma"/>
          <w:bCs/>
        </w:rPr>
        <w:t> y </w:t>
      </w:r>
      <w:r w:rsidRPr="006D5314">
        <w:rPr>
          <w:rStyle w:val="Hipervnculo"/>
          <w:rFonts w:ascii="Palatino Linotype" w:eastAsiaTheme="majorEastAsia" w:hAnsi="Palatino Linotype" w:cs="Tahoma"/>
          <w:bCs/>
          <w:color w:val="auto"/>
          <w:u w:val="none"/>
        </w:rPr>
        <w:t>módems</w:t>
      </w:r>
      <w:r w:rsidRPr="006D5314">
        <w:rPr>
          <w:rFonts w:ascii="Palatino Linotype" w:hAnsi="Palatino Linotype" w:cs="Tahoma"/>
          <w:bCs/>
        </w:rPr>
        <w:t>. Cada uno de esos </w:t>
      </w:r>
      <w:r w:rsidRPr="006D5314">
        <w:rPr>
          <w:rStyle w:val="Hipervnculo"/>
          <w:rFonts w:ascii="Palatino Linotype" w:eastAsiaTheme="majorEastAsia" w:hAnsi="Palatino Linotype" w:cs="Tahoma"/>
          <w:bCs/>
          <w:color w:val="auto"/>
          <w:u w:val="none"/>
        </w:rPr>
        <w:t>puntos de terminación de red</w:t>
      </w:r>
      <w:r w:rsidRPr="006D5314">
        <w:rPr>
          <w:rFonts w:ascii="Palatino Linotype" w:hAnsi="Palatino Linotype" w:cs="Tahoma"/>
          <w:bCs/>
        </w:rPr>
        <w:t> deben de tener un número único en la red para poder realizar una </w:t>
      </w:r>
      <w:r w:rsidRPr="006D5314">
        <w:rPr>
          <w:rStyle w:val="Hipervnculo"/>
          <w:rFonts w:ascii="Palatino Linotype" w:eastAsiaTheme="majorEastAsia" w:hAnsi="Palatino Linotype" w:cs="Tahoma"/>
          <w:bCs/>
          <w:color w:val="auto"/>
          <w:u w:val="none"/>
        </w:rPr>
        <w:t>llamada telefónica</w:t>
      </w:r>
      <w:r w:rsidRPr="006D5314">
        <w:rPr>
          <w:rFonts w:ascii="Palatino Linotype" w:hAnsi="Palatino Linotype" w:cs="Tahoma"/>
          <w:bCs/>
        </w:rPr>
        <w:t>.</w:t>
      </w:r>
    </w:p>
    <w:p w:rsidR="00B642E1" w:rsidRPr="006D5314" w:rsidRDefault="00B642E1" w:rsidP="00B642E1">
      <w:pPr>
        <w:spacing w:line="360" w:lineRule="auto"/>
        <w:ind w:right="-93"/>
        <w:jc w:val="both"/>
        <w:rPr>
          <w:rFonts w:ascii="Palatino Linotype" w:hAnsi="Palatino Linotype" w:cs="Tahoma"/>
          <w:bCs/>
        </w:rPr>
      </w:pPr>
    </w:p>
    <w:p w:rsidR="00B642E1" w:rsidRPr="006D5314" w:rsidRDefault="00B642E1" w:rsidP="00B642E1">
      <w:pPr>
        <w:pStyle w:val="Prrafodelista"/>
        <w:numPr>
          <w:ilvl w:val="0"/>
          <w:numId w:val="33"/>
        </w:numPr>
        <w:spacing w:line="360" w:lineRule="auto"/>
        <w:jc w:val="both"/>
        <w:rPr>
          <w:rFonts w:ascii="Palatino Linotype" w:hAnsi="Palatino Linotype" w:cs="Tahoma"/>
        </w:rPr>
      </w:pPr>
      <w:r w:rsidRPr="006D5314">
        <w:rPr>
          <w:rFonts w:ascii="Palatino Linotype" w:hAnsi="Palatino Linotype" w:cs="Tahoma"/>
          <w:b/>
        </w:rPr>
        <w:t>Correo electrónico</w:t>
      </w:r>
    </w:p>
    <w:p w:rsidR="00B642E1" w:rsidRPr="006D5314" w:rsidRDefault="00B642E1" w:rsidP="0088619A">
      <w:pPr>
        <w:numPr>
          <w:ilvl w:val="0"/>
          <w:numId w:val="2"/>
        </w:numPr>
        <w:spacing w:line="360" w:lineRule="auto"/>
        <w:ind w:left="0" w:right="-787" w:firstLine="0"/>
        <w:jc w:val="both"/>
        <w:rPr>
          <w:rFonts w:ascii="Palatino Linotype" w:hAnsi="Palatino Linotype" w:cs="Tahoma"/>
          <w:bCs/>
          <w:lang w:eastAsia="en-US"/>
        </w:rPr>
      </w:pPr>
      <w:r w:rsidRPr="006D5314">
        <w:rPr>
          <w:rFonts w:ascii="Palatino Linotype" w:hAnsi="Palatino Linotype" w:cs="Tahoma"/>
          <w:b/>
          <w:bCs/>
        </w:rPr>
        <w:t>El</w:t>
      </w:r>
      <w:r w:rsidRPr="006D5314">
        <w:rPr>
          <w:rFonts w:ascii="Palatino Linotype" w:hAnsi="Palatino Linotype" w:cs="Tahoma"/>
          <w:bCs/>
          <w:lang w:eastAsia="en-US"/>
        </w:rPr>
        <w:t xml:space="preserve"> </w:t>
      </w:r>
      <w:r w:rsidRPr="006D5314">
        <w:rPr>
          <w:rFonts w:ascii="Palatino Linotype" w:hAnsi="Palatino Linotype" w:cs="Tahoma"/>
          <w:b/>
          <w:bCs/>
          <w:lang w:eastAsia="en-US"/>
        </w:rPr>
        <w:t>correo electrónico</w:t>
      </w:r>
      <w:r w:rsidRPr="006D5314">
        <w:rPr>
          <w:rFonts w:ascii="Palatino Linotype" w:hAnsi="Palatino Linotype" w:cs="Tahoma"/>
          <w:bCs/>
          <w:lang w:eastAsia="en-US"/>
        </w:rPr>
        <w:t xml:space="preserve"> es un siste</w:t>
      </w:r>
      <w:r w:rsidRPr="006D5314">
        <w:rPr>
          <w:rFonts w:ascii="Palatino Linotype" w:hAnsi="Palatino Linotype" w:cs="Tahoma"/>
          <w:lang w:val="es-ES"/>
        </w:rPr>
        <w:t>m</w:t>
      </w:r>
      <w:r w:rsidRPr="006D5314">
        <w:rPr>
          <w:rFonts w:ascii="Palatino Linotype" w:hAnsi="Palatino Linotype" w:cs="Tahoma"/>
          <w:bCs/>
          <w:lang w:eastAsia="en-US"/>
        </w:rPr>
        <w:t>a d</w:t>
      </w:r>
      <w:r w:rsidRPr="006D5314">
        <w:rPr>
          <w:rFonts w:ascii="Palatino Linotype" w:hAnsi="Palatino Linotype" w:cs="Tahoma"/>
          <w:lang w:val="es-ES"/>
        </w:rPr>
        <w:t>e</w:t>
      </w:r>
      <w:r w:rsidRPr="006D5314">
        <w:rPr>
          <w:rFonts w:ascii="Palatino Linotype" w:hAnsi="Palatino Linotype" w:cs="Tahoma"/>
          <w:bCs/>
          <w:lang w:eastAsia="en-US"/>
        </w:rPr>
        <w:t xml:space="preserve"> transmisión de mensajes a través de internet. Dicho dato se puede asimilar al teléfono o domicilio particular, cuya nomenclatura, se considera </w:t>
      </w:r>
      <w:r w:rsidRPr="006D5314">
        <w:rPr>
          <w:rFonts w:ascii="Palatino Linotype" w:hAnsi="Palatino Linotype" w:cs="Tahoma"/>
          <w:bCs/>
        </w:rPr>
        <w:t>como</w:t>
      </w:r>
      <w:r w:rsidRPr="006D5314">
        <w:rPr>
          <w:rFonts w:ascii="Palatino Linotype" w:hAnsi="Palatino Linotype" w:cs="Tahoma"/>
          <w:bCs/>
          <w:lang w:eastAsia="en-US"/>
        </w:rPr>
        <w:t xml:space="preserve"> un dato personal, toda vez que es un medio para comunicarse con la persona titular del mismo, la hace localizable e incluso identificable, al poder estar conformado por parte de su nombre o bien, fecha de nacimiento.</w:t>
      </w:r>
    </w:p>
    <w:p w:rsidR="00B642E1" w:rsidRPr="006D5314" w:rsidRDefault="00B642E1" w:rsidP="00B642E1">
      <w:pPr>
        <w:spacing w:line="360" w:lineRule="auto"/>
        <w:jc w:val="both"/>
      </w:pPr>
    </w:p>
    <w:p w:rsidR="00B642E1" w:rsidRPr="006D5314" w:rsidRDefault="00B642E1" w:rsidP="0088619A">
      <w:pPr>
        <w:numPr>
          <w:ilvl w:val="0"/>
          <w:numId w:val="2"/>
        </w:numPr>
        <w:spacing w:line="360" w:lineRule="auto"/>
        <w:ind w:left="0" w:right="-787" w:firstLine="0"/>
        <w:jc w:val="both"/>
        <w:rPr>
          <w:rFonts w:ascii="Palatino Linotype" w:hAnsi="Palatino Linotype" w:cs="Tahoma"/>
          <w:bCs/>
        </w:rPr>
      </w:pPr>
      <w:r w:rsidRPr="006D5314">
        <w:rPr>
          <w:rFonts w:ascii="Palatino Linotype" w:hAnsi="Palatino Linotype" w:cs="Tahoma"/>
          <w:bCs/>
        </w:rPr>
        <w:t xml:space="preserve">Al respecto debe </w:t>
      </w:r>
      <w:r w:rsidRPr="006D5314">
        <w:rPr>
          <w:rFonts w:ascii="Palatino Linotype" w:hAnsi="Palatino Linotype" w:cs="Tahoma"/>
          <w:bCs/>
          <w:lang w:eastAsia="en-US"/>
        </w:rPr>
        <w:t>mencionarse</w:t>
      </w:r>
      <w:r w:rsidRPr="006D5314">
        <w:rPr>
          <w:rFonts w:ascii="Palatino Linotype" w:hAnsi="Palatino Linotype" w:cs="Tahoma"/>
          <w:bCs/>
        </w:rPr>
        <w:t xml:space="preserve"> que </w:t>
      </w:r>
      <w:r w:rsidRPr="006D5314">
        <w:rPr>
          <w:rFonts w:ascii="Palatino Linotype" w:hAnsi="Palatino Linotype" w:cs="Tahoma"/>
          <w:bCs/>
          <w:iCs/>
          <w:lang w:val="es-ES"/>
        </w:rPr>
        <w:t xml:space="preserve">conforme a lo establecido en los criterios números 16, 18 y </w:t>
      </w:r>
      <w:r w:rsidRPr="006D5314">
        <w:rPr>
          <w:rFonts w:ascii="Palatino Linotype" w:hAnsi="Palatino Linotype" w:cs="Tahoma"/>
          <w:bCs/>
        </w:rPr>
        <w:t>19</w:t>
      </w:r>
      <w:r w:rsidRPr="006D5314">
        <w:rPr>
          <w:rFonts w:ascii="Palatino Linotype" w:hAnsi="Palatino Linotype" w:cs="Tahoma"/>
          <w:bCs/>
          <w:iCs/>
          <w:lang w:val="es-ES"/>
        </w:rPr>
        <w:t xml:space="preserve"> de </w:t>
      </w:r>
      <w:r w:rsidRPr="006D5314">
        <w:rPr>
          <w:rFonts w:ascii="Palatino Linotype" w:hAnsi="Palatino Linotype" w:cs="Tahoma"/>
          <w:bC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6D5314">
        <w:rPr>
          <w:rFonts w:ascii="Palatino Linotype" w:hAnsi="Palatino Linotype" w:cs="Tahoma"/>
          <w:b/>
          <w:bCs/>
        </w:rPr>
        <w:t>el domicilio fiscal, y datos de contacto como teléfono y correo electrónico de los proveedores y contratistas, es un dato que debe ser público, motivo por el cual no es procedente que se realice su clasificación como confidencial.</w:t>
      </w:r>
    </w:p>
    <w:p w:rsidR="00B642E1" w:rsidRPr="006D5314" w:rsidRDefault="00B642E1" w:rsidP="00B642E1">
      <w:pPr>
        <w:spacing w:line="360" w:lineRule="auto"/>
        <w:ind w:right="1"/>
        <w:jc w:val="both"/>
        <w:rPr>
          <w:rFonts w:ascii="Palatino Linotype" w:eastAsia="Palatino Linotype" w:hAnsi="Palatino Linotype" w:cs="Palatino Linotype"/>
          <w:b/>
        </w:rPr>
      </w:pP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lastRenderedPageBreak/>
        <w:t xml:space="preserve">En ese </w:t>
      </w:r>
      <w:r w:rsidRPr="006D5314">
        <w:rPr>
          <w:rFonts w:ascii="Palatino Linotype" w:hAnsi="Palatino Linotype" w:cs="Tahoma"/>
          <w:bCs/>
          <w:iCs/>
          <w:lang w:val="es-ES"/>
        </w:rPr>
        <w:t>sentido</w:t>
      </w:r>
      <w:r w:rsidRPr="006D5314">
        <w:rPr>
          <w:rFonts w:ascii="Palatino Linotype" w:eastAsia="Palatino Linotype" w:hAnsi="Palatino Linotype" w:cs="Palatino Linotype"/>
        </w:rPr>
        <w:t xml:space="preserve">, el </w:t>
      </w:r>
      <w:r w:rsidRPr="006D5314">
        <w:rPr>
          <w:rFonts w:ascii="Palatino Linotype" w:eastAsia="Palatino Linotype" w:hAnsi="Palatino Linotype" w:cs="Palatino Linotype"/>
          <w:b/>
        </w:rPr>
        <w:t>SUJETO OBLIGADO</w:t>
      </w:r>
      <w:r w:rsidRPr="006D5314">
        <w:rPr>
          <w:rFonts w:ascii="Palatino Linotype" w:eastAsia="Palatino Linotype" w:hAnsi="Palatino Linotype" w:cs="Palatino Linotype"/>
        </w:rPr>
        <w:t xml:space="preserve"> deberá de emitir el Acuerdo del Comité de Transparencia, mediante el cual de manera fundada y motivada establezca las razones por las cuales se clasifican como confidenciales los datos expuestos con anterioridad.</w:t>
      </w:r>
    </w:p>
    <w:p w:rsidR="00B642E1" w:rsidRPr="006D5314" w:rsidRDefault="00B642E1" w:rsidP="00B642E1">
      <w:pPr>
        <w:tabs>
          <w:tab w:val="left" w:pos="284"/>
        </w:tabs>
        <w:spacing w:line="360" w:lineRule="auto"/>
        <w:jc w:val="both"/>
        <w:rPr>
          <w:rFonts w:ascii="Palatino Linotype" w:eastAsia="Palatino Linotype" w:hAnsi="Palatino Linotype" w:cs="Palatino Linotype"/>
          <w:color w:val="000000"/>
        </w:rPr>
      </w:pP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color w:val="000000"/>
        </w:rPr>
      </w:pPr>
      <w:r w:rsidRPr="006D5314">
        <w:rPr>
          <w:rFonts w:ascii="Palatino Linotype" w:hAnsi="Palatino Linotype" w:cs="Tahoma"/>
          <w:bCs/>
          <w:iCs/>
          <w:lang w:val="es-ES"/>
        </w:rPr>
        <w:t>Derivado</w:t>
      </w:r>
      <w:r w:rsidRPr="006D5314">
        <w:rPr>
          <w:rFonts w:ascii="Palatino Linotype" w:eastAsia="Palatino Linotype" w:hAnsi="Palatino Linotype" w:cs="Palatino Linotype"/>
        </w:rPr>
        <w:t xml:space="preserve"> de lo establecido en párrafos anteriores, si el </w:t>
      </w:r>
      <w:r w:rsidRPr="006D5314">
        <w:rPr>
          <w:rFonts w:ascii="Palatino Linotype" w:eastAsia="Palatino Linotype" w:hAnsi="Palatino Linotype" w:cs="Palatino Linotype"/>
          <w:b/>
        </w:rPr>
        <w:t>SUJETO OBLIGADO</w:t>
      </w:r>
      <w:r w:rsidRPr="006D5314">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642E1" w:rsidRPr="006D5314" w:rsidRDefault="00B642E1" w:rsidP="00B642E1">
      <w:pPr>
        <w:spacing w:line="360" w:lineRule="auto"/>
        <w:jc w:val="both"/>
        <w:rPr>
          <w:color w:val="000000"/>
        </w:rPr>
      </w:pPr>
    </w:p>
    <w:p w:rsidR="00B642E1" w:rsidRPr="006D5314" w:rsidRDefault="00B642E1" w:rsidP="0088619A">
      <w:pPr>
        <w:numPr>
          <w:ilvl w:val="0"/>
          <w:numId w:val="2"/>
        </w:numPr>
        <w:spacing w:line="360" w:lineRule="auto"/>
        <w:ind w:left="0" w:right="-787" w:firstLine="0"/>
        <w:jc w:val="both"/>
        <w:rPr>
          <w:rFonts w:ascii="Palatino Linotype" w:eastAsia="Palatino Linotype" w:hAnsi="Palatino Linotype" w:cs="Palatino Linotype"/>
        </w:rPr>
      </w:pPr>
      <w:r w:rsidRPr="006D5314">
        <w:rPr>
          <w:rFonts w:ascii="Palatino Linotype" w:eastAsia="Palatino Linotype" w:hAnsi="Palatino Linotype" w:cs="Palatino Linotype"/>
        </w:rPr>
        <w:t xml:space="preserve">Con fundamento en lo </w:t>
      </w:r>
      <w:r w:rsidRPr="006D5314">
        <w:rPr>
          <w:rFonts w:ascii="Palatino Linotype" w:hAnsi="Palatino Linotype"/>
        </w:rPr>
        <w:t>prescrito</w:t>
      </w:r>
      <w:r w:rsidRPr="006D5314">
        <w:rPr>
          <w:rFonts w:ascii="Palatino Linotype" w:eastAsia="Palatino Linotype" w:hAnsi="Palatino Linotype" w:cs="Palatino Linotype"/>
        </w:rPr>
        <w:t xml:space="preserve"> en los artículos </w:t>
      </w:r>
      <w:r w:rsidRPr="006D5314">
        <w:rPr>
          <w:rFonts w:ascii="Palatino Linotype" w:eastAsia="Palatino Linotype" w:hAnsi="Palatino Linotype" w:cs="Palatino Linotype"/>
          <w:color w:val="000000"/>
        </w:rPr>
        <w:t xml:space="preserve">5, párrafos cuadragésimo cuarto, cuadragésimo </w:t>
      </w:r>
      <w:r w:rsidRPr="006D5314">
        <w:rPr>
          <w:rFonts w:ascii="Palatino Linotype" w:hAnsi="Palatino Linotype" w:cs="Tahoma"/>
          <w:bCs/>
          <w:iCs/>
          <w:lang w:val="es-ES"/>
        </w:rPr>
        <w:t>quinto</w:t>
      </w:r>
      <w:r w:rsidRPr="006D5314">
        <w:rPr>
          <w:rFonts w:ascii="Palatino Linotype" w:eastAsia="Palatino Linotype" w:hAnsi="Palatino Linotype" w:cs="Palatino Linotype"/>
          <w:color w:val="000000"/>
        </w:rPr>
        <w:t xml:space="preserve"> y cuadragésimo sexto, fracciones IV y V, de la Constitución Política del Estado Libre y Soberano de México</w:t>
      </w:r>
      <w:r w:rsidRPr="006D5314">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B642E1" w:rsidRPr="006D5314" w:rsidRDefault="00B642E1" w:rsidP="00B642E1">
      <w:pPr>
        <w:ind w:right="278"/>
        <w:rPr>
          <w:rFonts w:ascii="Palatino Linotype" w:eastAsia="Palatino Linotype" w:hAnsi="Palatino Linotype" w:cs="Palatino Linotype"/>
        </w:rPr>
      </w:pPr>
    </w:p>
    <w:p w:rsidR="00B642E1" w:rsidRPr="006D5314" w:rsidRDefault="00B642E1" w:rsidP="00B642E1">
      <w:pPr>
        <w:spacing w:line="360" w:lineRule="auto"/>
        <w:ind w:right="276"/>
        <w:jc w:val="center"/>
        <w:rPr>
          <w:rFonts w:ascii="Palatino Linotype" w:eastAsia="Palatino Linotype" w:hAnsi="Palatino Linotype" w:cs="Palatino Linotype"/>
          <w:b/>
        </w:rPr>
      </w:pPr>
      <w:r w:rsidRPr="006D5314">
        <w:rPr>
          <w:rFonts w:ascii="Palatino Linotype" w:eastAsia="Palatino Linotype" w:hAnsi="Palatino Linotype" w:cs="Palatino Linotype"/>
          <w:b/>
        </w:rPr>
        <w:t>R E S U E L V E</w:t>
      </w:r>
    </w:p>
    <w:p w:rsidR="00B642E1" w:rsidRPr="006D5314" w:rsidRDefault="00B642E1" w:rsidP="00B642E1">
      <w:pPr>
        <w:spacing w:line="360" w:lineRule="auto"/>
        <w:ind w:right="-787"/>
        <w:jc w:val="center"/>
        <w:rPr>
          <w:rFonts w:ascii="Palatino Linotype" w:eastAsia="Palatino Linotype" w:hAnsi="Palatino Linotype" w:cs="Palatino Linotype"/>
          <w:b/>
        </w:rPr>
      </w:pPr>
    </w:p>
    <w:p w:rsidR="00B642E1" w:rsidRPr="006D5314" w:rsidRDefault="00B642E1" w:rsidP="00B642E1">
      <w:pPr>
        <w:spacing w:line="360" w:lineRule="auto"/>
        <w:ind w:right="-716"/>
        <w:jc w:val="both"/>
        <w:rPr>
          <w:rFonts w:ascii="Palatino Linotype" w:eastAsia="Palatino Linotype" w:hAnsi="Palatino Linotype" w:cs="Palatino Linotype"/>
        </w:rPr>
      </w:pPr>
      <w:r w:rsidRPr="006D5314">
        <w:rPr>
          <w:rFonts w:ascii="Palatino Linotype" w:eastAsia="Palatino Linotype" w:hAnsi="Palatino Linotype" w:cs="Palatino Linotype"/>
          <w:b/>
        </w:rPr>
        <w:t xml:space="preserve">PRIMERO. </w:t>
      </w:r>
      <w:r w:rsidRPr="006D5314">
        <w:rPr>
          <w:rFonts w:ascii="Palatino Linotype" w:eastAsia="Palatino Linotype" w:hAnsi="Palatino Linotype" w:cs="Palatino Linotype"/>
        </w:rPr>
        <w:t xml:space="preserve">Resultan </w:t>
      </w:r>
      <w:r w:rsidRPr="006D5314">
        <w:rPr>
          <w:rFonts w:ascii="Palatino Linotype" w:eastAsia="Palatino Linotype" w:hAnsi="Palatino Linotype" w:cs="Palatino Linotype"/>
          <w:b/>
        </w:rPr>
        <w:t>FUNDADAS</w:t>
      </w:r>
      <w:r w:rsidRPr="006D5314">
        <w:rPr>
          <w:rFonts w:ascii="Palatino Linotype" w:eastAsia="Palatino Linotype" w:hAnsi="Palatino Linotype" w:cs="Palatino Linotype"/>
        </w:rPr>
        <w:t xml:space="preserve"> las</w:t>
      </w:r>
      <w:r w:rsidRPr="006D5314">
        <w:rPr>
          <w:rFonts w:ascii="Palatino Linotype" w:eastAsia="Palatino Linotype" w:hAnsi="Palatino Linotype" w:cs="Palatino Linotype"/>
          <w:b/>
        </w:rPr>
        <w:t xml:space="preserve"> </w:t>
      </w:r>
      <w:r w:rsidRPr="006D5314">
        <w:rPr>
          <w:rFonts w:ascii="Palatino Linotype" w:eastAsia="Palatino Linotype" w:hAnsi="Palatino Linotype" w:cs="Palatino Linotype"/>
        </w:rPr>
        <w:t>razones o motivos de inconformidad hechos valer en el Recurso de Revisión</w:t>
      </w:r>
      <w:r w:rsidRPr="006D5314">
        <w:rPr>
          <w:rFonts w:ascii="Palatino Linotype" w:eastAsia="Palatino Linotype" w:hAnsi="Palatino Linotype" w:cs="Palatino Linotype"/>
          <w:b/>
        </w:rPr>
        <w:t> </w:t>
      </w:r>
      <w:r w:rsidR="00994EFD" w:rsidRPr="006D5314">
        <w:rPr>
          <w:rFonts w:ascii="Palatino Linotype" w:eastAsia="Palatino Linotype" w:hAnsi="Palatino Linotype" w:cs="Palatino Linotype"/>
          <w:b/>
          <w:color w:val="000000"/>
        </w:rPr>
        <w:t xml:space="preserve">12133/INFOEM/IP/RR/2025 </w:t>
      </w:r>
      <w:r w:rsidRPr="006D5314">
        <w:rPr>
          <w:rFonts w:ascii="Palatino Linotype" w:eastAsia="Palatino Linotype" w:hAnsi="Palatino Linotype" w:cs="Palatino Linotype"/>
        </w:rPr>
        <w:t xml:space="preserve">en términos del </w:t>
      </w:r>
      <w:r w:rsidRPr="006D5314">
        <w:rPr>
          <w:rFonts w:ascii="Palatino Linotype" w:eastAsia="Palatino Linotype" w:hAnsi="Palatino Linotype" w:cs="Palatino Linotype"/>
          <w:b/>
        </w:rPr>
        <w:t xml:space="preserve">Considerando CUARTO </w:t>
      </w:r>
      <w:r w:rsidRPr="006D5314">
        <w:rPr>
          <w:rFonts w:ascii="Palatino Linotype" w:eastAsia="Palatino Linotype" w:hAnsi="Palatino Linotype" w:cs="Palatino Linotype"/>
        </w:rPr>
        <w:t>de la presente resolución.</w:t>
      </w:r>
    </w:p>
    <w:p w:rsidR="00B642E1" w:rsidRPr="006D5314" w:rsidRDefault="00B642E1" w:rsidP="00B642E1">
      <w:pPr>
        <w:spacing w:line="360" w:lineRule="auto"/>
        <w:ind w:right="-716"/>
        <w:jc w:val="both"/>
        <w:rPr>
          <w:rFonts w:ascii="Palatino Linotype" w:eastAsia="Palatino Linotype" w:hAnsi="Palatino Linotype" w:cs="Palatino Linotype"/>
          <w:b/>
        </w:rPr>
      </w:pPr>
    </w:p>
    <w:p w:rsidR="00B642E1" w:rsidRPr="006D5314" w:rsidRDefault="00B642E1" w:rsidP="00B642E1">
      <w:pPr>
        <w:spacing w:line="360" w:lineRule="auto"/>
        <w:ind w:right="-716"/>
        <w:jc w:val="both"/>
        <w:rPr>
          <w:rFonts w:ascii="Palatino Linotype" w:eastAsia="Palatino Linotype" w:hAnsi="Palatino Linotype" w:cs="Palatino Linotype"/>
        </w:rPr>
      </w:pPr>
      <w:bookmarkStart w:id="8" w:name="_heading=h.17dp8vu" w:colFirst="0" w:colLast="0"/>
      <w:bookmarkEnd w:id="8"/>
      <w:r w:rsidRPr="006D5314">
        <w:rPr>
          <w:rFonts w:ascii="Palatino Linotype" w:eastAsia="Palatino Linotype" w:hAnsi="Palatino Linotype" w:cs="Palatino Linotype"/>
          <w:b/>
        </w:rPr>
        <w:t>SEGUNDO.</w:t>
      </w:r>
      <w:r w:rsidRPr="006D5314">
        <w:rPr>
          <w:rFonts w:ascii="Palatino Linotype" w:eastAsia="Palatino Linotype" w:hAnsi="Palatino Linotype" w:cs="Palatino Linotype"/>
          <w:color w:val="2F5496"/>
        </w:rPr>
        <w:t xml:space="preserve"> </w:t>
      </w:r>
      <w:r w:rsidRPr="006D5314">
        <w:rPr>
          <w:rFonts w:ascii="Palatino Linotype" w:eastAsia="Palatino Linotype" w:hAnsi="Palatino Linotype" w:cs="Palatino Linotype"/>
          <w:color w:val="000000"/>
        </w:rPr>
        <w:t xml:space="preserve">Se </w:t>
      </w:r>
      <w:r w:rsidRPr="006D5314">
        <w:rPr>
          <w:rFonts w:ascii="Palatino Linotype" w:eastAsia="Palatino Linotype" w:hAnsi="Palatino Linotype" w:cs="Palatino Linotype"/>
          <w:b/>
          <w:color w:val="000000"/>
        </w:rPr>
        <w:t xml:space="preserve">REVOCA </w:t>
      </w:r>
      <w:r w:rsidRPr="006D5314">
        <w:rPr>
          <w:rFonts w:ascii="Palatino Linotype" w:eastAsia="Palatino Linotype" w:hAnsi="Palatino Linotype" w:cs="Palatino Linotype"/>
          <w:color w:val="000000"/>
        </w:rPr>
        <w:t xml:space="preserve">la respuesta emitida por el </w:t>
      </w:r>
      <w:r w:rsidRPr="006D5314">
        <w:rPr>
          <w:rFonts w:ascii="Palatino Linotype" w:eastAsia="Palatino Linotype" w:hAnsi="Palatino Linotype" w:cs="Palatino Linotype"/>
          <w:b/>
        </w:rPr>
        <w:t xml:space="preserve">Ayuntamiento de </w:t>
      </w:r>
      <w:r w:rsidR="00994EFD" w:rsidRPr="006D5314">
        <w:rPr>
          <w:rFonts w:ascii="Palatino Linotype" w:eastAsia="Palatino Linotype" w:hAnsi="Palatino Linotype" w:cs="Palatino Linotype"/>
          <w:b/>
        </w:rPr>
        <w:t>Jiquipilco</w:t>
      </w:r>
      <w:r w:rsidR="00994EFD" w:rsidRPr="006D5314">
        <w:rPr>
          <w:rFonts w:ascii="Palatino Linotype" w:eastAsia="Palatino Linotype" w:hAnsi="Palatino Linotype" w:cs="Palatino Linotype"/>
          <w:color w:val="000000"/>
        </w:rPr>
        <w:t xml:space="preserve"> </w:t>
      </w:r>
      <w:r w:rsidRPr="006D5314">
        <w:rPr>
          <w:rFonts w:ascii="Palatino Linotype" w:eastAsia="Palatino Linotype" w:hAnsi="Palatino Linotype" w:cs="Palatino Linotype"/>
          <w:color w:val="000000"/>
        </w:rPr>
        <w:t xml:space="preserve">y se </w:t>
      </w:r>
      <w:r w:rsidRPr="006D5314">
        <w:rPr>
          <w:rFonts w:ascii="Palatino Linotype" w:eastAsia="Palatino Linotype" w:hAnsi="Palatino Linotype" w:cs="Palatino Linotype"/>
          <w:b/>
          <w:color w:val="000000"/>
        </w:rPr>
        <w:t>ORDENA</w:t>
      </w:r>
      <w:r w:rsidRPr="006D5314">
        <w:rPr>
          <w:rFonts w:ascii="Palatino Linotype" w:eastAsia="Palatino Linotype" w:hAnsi="Palatino Linotype" w:cs="Palatino Linotype"/>
          <w:color w:val="000000"/>
        </w:rPr>
        <w:t xml:space="preserve"> entregar, vía Sistema de Acceso a la Información Mexiquense </w:t>
      </w:r>
      <w:r w:rsidR="00994EFD" w:rsidRPr="006D5314">
        <w:rPr>
          <w:rFonts w:ascii="Palatino Linotype" w:eastAsia="Palatino Linotype" w:hAnsi="Palatino Linotype" w:cs="Palatino Linotype"/>
          <w:b/>
          <w:color w:val="000000"/>
        </w:rPr>
        <w:t>(SAIMEX)</w:t>
      </w:r>
      <w:r w:rsidRPr="006D5314">
        <w:rPr>
          <w:rFonts w:ascii="Palatino Linotype" w:eastAsia="Palatino Linotype" w:hAnsi="Palatino Linotype" w:cs="Palatino Linotype"/>
        </w:rPr>
        <w:t xml:space="preserve">, </w:t>
      </w:r>
      <w:r w:rsidR="00994EFD" w:rsidRPr="006D5314">
        <w:rPr>
          <w:rFonts w:ascii="Palatino Linotype" w:eastAsia="Palatino Linotype" w:hAnsi="Palatino Linotype" w:cs="Palatino Linotype"/>
        </w:rPr>
        <w:t>de</w:t>
      </w:r>
      <w:r w:rsidRPr="006D5314">
        <w:rPr>
          <w:rFonts w:ascii="Palatino Linotype" w:eastAsia="Palatino Linotype" w:hAnsi="Palatino Linotype" w:cs="Palatino Linotype"/>
        </w:rPr>
        <w:t xml:space="preserve"> ser procedente en versión pública, la siguiente información:</w:t>
      </w:r>
    </w:p>
    <w:p w:rsidR="00994EFD" w:rsidRPr="006D5314" w:rsidRDefault="00994EFD" w:rsidP="00B642E1">
      <w:pPr>
        <w:spacing w:line="360" w:lineRule="auto"/>
        <w:ind w:right="-716"/>
        <w:jc w:val="both"/>
        <w:rPr>
          <w:rFonts w:ascii="Palatino Linotype" w:eastAsia="Palatino Linotype" w:hAnsi="Palatino Linotype" w:cs="Palatino Linotype"/>
        </w:rPr>
      </w:pPr>
    </w:p>
    <w:p w:rsidR="00B642E1" w:rsidRPr="006D5314" w:rsidRDefault="00994EFD" w:rsidP="00994EFD">
      <w:pPr>
        <w:pStyle w:val="Prrafodelista"/>
        <w:numPr>
          <w:ilvl w:val="2"/>
          <w:numId w:val="34"/>
        </w:numPr>
        <w:spacing w:line="360" w:lineRule="auto"/>
        <w:ind w:left="993" w:right="-714"/>
        <w:rPr>
          <w:rFonts w:ascii="Palatino Linotype" w:eastAsia="Palatino Linotype" w:hAnsi="Palatino Linotype" w:cs="Palatino Linotype"/>
          <w:b/>
          <w:color w:val="000000"/>
        </w:rPr>
      </w:pPr>
      <w:r w:rsidRPr="006D5314">
        <w:rPr>
          <w:rFonts w:ascii="Palatino Linotype" w:eastAsia="Palatino Linotype" w:hAnsi="Palatino Linotype" w:cs="Palatino Linotype"/>
          <w:b/>
          <w:color w:val="000000"/>
        </w:rPr>
        <w:t>Documentación que dé cuenta del procedimiento de adjudicación de las obras referidas en la solicitud de información, al 22 de septiembre de 2025.</w:t>
      </w:r>
    </w:p>
    <w:p w:rsidR="00B642E1" w:rsidRPr="006D5314" w:rsidRDefault="00B642E1" w:rsidP="00B642E1">
      <w:pPr>
        <w:pStyle w:val="Prrafodelista"/>
        <w:spacing w:line="360" w:lineRule="auto"/>
        <w:ind w:left="993" w:right="-714"/>
        <w:jc w:val="both"/>
        <w:rPr>
          <w:rFonts w:ascii="Palatino Linotype" w:eastAsia="Palatino Linotype" w:hAnsi="Palatino Linotype" w:cs="Palatino Linotype"/>
          <w:b/>
        </w:rPr>
      </w:pPr>
    </w:p>
    <w:p w:rsidR="00B642E1" w:rsidRPr="006D5314" w:rsidRDefault="00B642E1" w:rsidP="00B642E1">
      <w:pPr>
        <w:pStyle w:val="Prrafodelista"/>
        <w:tabs>
          <w:tab w:val="left" w:pos="8080"/>
        </w:tabs>
        <w:spacing w:line="360" w:lineRule="auto"/>
        <w:ind w:left="993" w:right="49"/>
        <w:jc w:val="both"/>
        <w:rPr>
          <w:rFonts w:ascii="Palatino Linotype" w:hAnsi="Palatino Linotype" w:cs="Arial"/>
          <w:b/>
        </w:rPr>
      </w:pPr>
      <w:r w:rsidRPr="006D5314">
        <w:rPr>
          <w:rFonts w:ascii="Palatino Linotype" w:hAnsi="Palatino Linotype" w:cs="Arial"/>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D5314">
        <w:rPr>
          <w:rFonts w:ascii="Palatino Linotype" w:hAnsi="Palatino Linotype" w:cs="Arial"/>
          <w:b/>
        </w:rPr>
        <w:t>RECURRENTE.</w:t>
      </w:r>
    </w:p>
    <w:p w:rsidR="00B642E1" w:rsidRPr="006D5314" w:rsidRDefault="00B642E1" w:rsidP="00B642E1">
      <w:pPr>
        <w:spacing w:line="360" w:lineRule="auto"/>
        <w:ind w:right="-714"/>
        <w:jc w:val="both"/>
        <w:rPr>
          <w:rFonts w:ascii="Palatino Linotype" w:eastAsia="Palatino Linotype" w:hAnsi="Palatino Linotype" w:cs="Palatino Linotype"/>
          <w:b/>
        </w:rPr>
      </w:pPr>
    </w:p>
    <w:p w:rsidR="00915922" w:rsidRPr="006D5314" w:rsidRDefault="00915922" w:rsidP="00915922">
      <w:pPr>
        <w:tabs>
          <w:tab w:val="left" w:pos="8080"/>
        </w:tabs>
        <w:spacing w:line="360" w:lineRule="auto"/>
        <w:ind w:right="49"/>
        <w:jc w:val="both"/>
        <w:rPr>
          <w:rFonts w:ascii="Palatino Linotype" w:eastAsia="Palatino Linotype" w:hAnsi="Palatino Linotype" w:cs="Palatino Linotype"/>
          <w:b/>
          <w:bCs/>
        </w:rPr>
      </w:pPr>
      <w:r w:rsidRPr="006D5314">
        <w:rPr>
          <w:rFonts w:ascii="Palatino Linotype" w:eastAsia="Palatino Linotype" w:hAnsi="Palatino Linotype" w:cs="Palatino Linotype"/>
          <w:b/>
          <w:bCs/>
        </w:rPr>
        <w:t xml:space="preserve">TERCERO. NOTIFÍQUESE </w:t>
      </w:r>
      <w:r w:rsidRPr="006D5314">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D5314">
        <w:rPr>
          <w:rFonts w:ascii="Palatino Linotype" w:eastAsia="Palatino Linotype" w:hAnsi="Palatino Linotype" w:cs="Palatino Linotype"/>
          <w:b/>
          <w:bCs/>
        </w:rPr>
        <w:t>dé cumplimiento a lo ordenado dentro del plazo de diez días hábiles,</w:t>
      </w:r>
      <w:r w:rsidRPr="006D531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15922" w:rsidRPr="006D5314" w:rsidRDefault="00915922" w:rsidP="00915922">
      <w:pPr>
        <w:tabs>
          <w:tab w:val="left" w:pos="8080"/>
        </w:tabs>
        <w:spacing w:line="360" w:lineRule="auto"/>
        <w:ind w:right="49"/>
        <w:jc w:val="both"/>
        <w:rPr>
          <w:rFonts w:ascii="Palatino Linotype" w:eastAsia="Palatino Linotype" w:hAnsi="Palatino Linotype" w:cs="Palatino Linotype"/>
        </w:rPr>
      </w:pPr>
    </w:p>
    <w:p w:rsidR="00915922" w:rsidRPr="006D5314" w:rsidRDefault="00915922" w:rsidP="00915922">
      <w:pPr>
        <w:spacing w:line="360" w:lineRule="auto"/>
        <w:jc w:val="both"/>
        <w:rPr>
          <w:rFonts w:ascii="Palatino Linotype" w:eastAsia="Palatino Linotype" w:hAnsi="Palatino Linotype" w:cs="Palatino Linotype"/>
        </w:rPr>
      </w:pPr>
      <w:r w:rsidRPr="006D5314">
        <w:rPr>
          <w:rFonts w:ascii="Palatino Linotype" w:eastAsia="Palatino Linotype" w:hAnsi="Palatino Linotype" w:cs="Palatino Linotype"/>
          <w:b/>
          <w:bCs/>
        </w:rPr>
        <w:lastRenderedPageBreak/>
        <w:t xml:space="preserve">CUARTO. </w:t>
      </w:r>
      <w:r w:rsidRPr="006D531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D5314">
        <w:rPr>
          <w:rFonts w:ascii="Palatino Linotype" w:eastAsia="Palatino Linotype" w:hAnsi="Palatino Linotype" w:cs="Palatino Linotype"/>
          <w:b/>
          <w:bCs/>
        </w:rPr>
        <w:t>SUJETO OBLIGADO</w:t>
      </w:r>
      <w:r w:rsidRPr="006D5314">
        <w:rPr>
          <w:rFonts w:ascii="Palatino Linotype" w:eastAsia="Palatino Linotype" w:hAnsi="Palatino Linotype" w:cs="Palatino Linotype"/>
        </w:rPr>
        <w:t xml:space="preserve"> de manera fundada y motivada, podrá solicitar una ampliación de plazo para el cumplimiento de la presente resolución.</w:t>
      </w:r>
    </w:p>
    <w:p w:rsidR="00915922" w:rsidRPr="006D5314" w:rsidRDefault="00915922" w:rsidP="00915922">
      <w:pPr>
        <w:spacing w:line="360" w:lineRule="auto"/>
        <w:ind w:right="-858"/>
        <w:jc w:val="both"/>
        <w:rPr>
          <w:rFonts w:ascii="Palatino Linotype" w:eastAsia="Palatino Linotype" w:hAnsi="Palatino Linotype" w:cs="Palatino Linotype"/>
        </w:rPr>
      </w:pPr>
    </w:p>
    <w:p w:rsidR="00915922" w:rsidRPr="006D5314" w:rsidRDefault="00915922" w:rsidP="00915922">
      <w:pPr>
        <w:spacing w:line="360" w:lineRule="auto"/>
        <w:ind w:right="4"/>
        <w:jc w:val="both"/>
        <w:rPr>
          <w:rFonts w:ascii="Palatino Linotype" w:eastAsia="Palatino Linotype" w:hAnsi="Palatino Linotype" w:cs="Palatino Linotype"/>
        </w:rPr>
      </w:pPr>
      <w:r w:rsidRPr="006D5314">
        <w:rPr>
          <w:rFonts w:ascii="Palatino Linotype" w:eastAsia="Palatino Linotype" w:hAnsi="Palatino Linotype" w:cs="Palatino Linotype"/>
          <w:b/>
          <w:bCs/>
        </w:rPr>
        <w:t>QUINTO. NOTIFÍQUESE</w:t>
      </w:r>
      <w:r w:rsidRPr="006D5314">
        <w:rPr>
          <w:rFonts w:ascii="Palatino Linotype" w:eastAsia="Palatino Linotype" w:hAnsi="Palatino Linotype" w:cs="Palatino Linotype"/>
        </w:rPr>
        <w:t xml:space="preserve"> la presente resolución a la parte </w:t>
      </w:r>
      <w:r w:rsidRPr="006D5314">
        <w:rPr>
          <w:rFonts w:ascii="Palatino Linotype" w:eastAsia="Palatino Linotype" w:hAnsi="Palatino Linotype" w:cs="Palatino Linotype"/>
          <w:b/>
          <w:bCs/>
        </w:rPr>
        <w:t>Recurrente</w:t>
      </w:r>
      <w:r w:rsidRPr="006D5314">
        <w:rPr>
          <w:rFonts w:ascii="Palatino Linotype" w:eastAsia="Palatino Linotype" w:hAnsi="Palatino Linotype" w:cs="Palatino Linotype"/>
        </w:rPr>
        <w:t xml:space="preserve"> a través del Sistema de Acceso a la Información Mexiquense </w:t>
      </w:r>
      <w:r w:rsidRPr="006D5314">
        <w:rPr>
          <w:rFonts w:ascii="Palatino Linotype" w:eastAsia="Palatino Linotype" w:hAnsi="Palatino Linotype" w:cs="Palatino Linotype"/>
          <w:b/>
          <w:bCs/>
        </w:rPr>
        <w:t>(SAIMEX)</w:t>
      </w:r>
      <w:r w:rsidRPr="006D5314">
        <w:rPr>
          <w:rFonts w:ascii="Palatino Linotype" w:eastAsia="Palatino Linotype" w:hAnsi="Palatino Linotype" w:cs="Palatino Linotype"/>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630E98" w:rsidRPr="006D5314" w:rsidRDefault="00630E98" w:rsidP="008C47B0">
      <w:pPr>
        <w:spacing w:line="360" w:lineRule="auto"/>
        <w:ind w:right="-858"/>
        <w:jc w:val="both"/>
        <w:rPr>
          <w:rFonts w:ascii="Palatino Linotype" w:eastAsia="Palatino Linotype" w:hAnsi="Palatino Linotype" w:cs="Palatino Linotype"/>
        </w:rPr>
      </w:pPr>
    </w:p>
    <w:p w:rsidR="00403FD1" w:rsidRPr="006D5314" w:rsidRDefault="00403FD1" w:rsidP="00403FD1">
      <w:pPr>
        <w:spacing w:before="240" w:after="240" w:line="360" w:lineRule="auto"/>
        <w:ind w:firstLine="1"/>
        <w:jc w:val="both"/>
        <w:rPr>
          <w:rFonts w:ascii="Palatino Linotype" w:hAnsi="Palatino Linotype"/>
        </w:rPr>
      </w:pPr>
      <w:bookmarkStart w:id="9" w:name="_Hlk99014733"/>
      <w:r w:rsidRPr="006D5314">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6D5314">
        <w:rPr>
          <w:rFonts w:ascii="Palatino Linotype" w:hAnsi="Palatino Linotype" w:cs="Palatino Linotype"/>
          <w:color w:val="000000" w:themeColor="text1"/>
        </w:rPr>
        <w:t>ALEXIS TAPIA RAMÍREZ.</w:t>
      </w:r>
    </w:p>
    <w:bookmarkEnd w:id="9"/>
    <w:p w:rsidR="00A10ACB" w:rsidRPr="006D5314" w:rsidRDefault="00A10ACB" w:rsidP="000E67B2">
      <w:pPr>
        <w:spacing w:before="240" w:after="240" w:line="360" w:lineRule="auto"/>
        <w:ind w:right="-787"/>
        <w:jc w:val="both"/>
        <w:rPr>
          <w:rFonts w:ascii="Palatino Linotype" w:eastAsia="Palatino Linotype" w:hAnsi="Palatino Linotype" w:cs="Palatino Linotype"/>
        </w:rPr>
      </w:pPr>
    </w:p>
    <w:p w:rsidR="0072148B" w:rsidRPr="006D5314" w:rsidRDefault="0072148B" w:rsidP="00A122CB">
      <w:pPr>
        <w:rPr>
          <w:rFonts w:ascii="Palatino Linotype" w:eastAsia="Palatino Linotype" w:hAnsi="Palatino Linotype" w:cs="Palatino Linotype"/>
        </w:rPr>
      </w:pPr>
    </w:p>
    <w:p w:rsidR="0072148B" w:rsidRPr="006D5314" w:rsidRDefault="0072148B">
      <w:pPr>
        <w:spacing w:line="360" w:lineRule="auto"/>
        <w:ind w:right="-787"/>
        <w:rPr>
          <w:rFonts w:ascii="Palatino Linotype" w:eastAsia="Palatino Linotype" w:hAnsi="Palatino Linotype" w:cs="Palatino Linotype"/>
        </w:rPr>
      </w:pPr>
    </w:p>
    <w:p w:rsidR="0072148B" w:rsidRPr="006D5314" w:rsidRDefault="0072148B">
      <w:pPr>
        <w:spacing w:line="360" w:lineRule="auto"/>
        <w:ind w:right="-787"/>
        <w:rPr>
          <w:rFonts w:ascii="Palatino Linotype" w:eastAsia="Palatino Linotype" w:hAnsi="Palatino Linotype" w:cs="Palatino Linotype"/>
        </w:rPr>
      </w:pPr>
    </w:p>
    <w:p w:rsidR="0072148B" w:rsidRPr="006D5314" w:rsidRDefault="0072148B">
      <w:pPr>
        <w:spacing w:line="360" w:lineRule="auto"/>
        <w:ind w:right="-787"/>
        <w:rPr>
          <w:rFonts w:ascii="Palatino Linotype" w:eastAsia="Palatino Linotype" w:hAnsi="Palatino Linotype" w:cs="Palatino Linotype"/>
        </w:rPr>
      </w:pPr>
    </w:p>
    <w:p w:rsidR="0072148B" w:rsidRPr="006D5314" w:rsidRDefault="00A077F4">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r w:rsidRPr="006D5314">
        <w:rPr>
          <w:rFonts w:ascii="Palatino Linotype" w:eastAsia="Palatino Linotype" w:hAnsi="Palatino Linotype" w:cs="Palatino Linotype"/>
        </w:rPr>
        <w:tab/>
      </w:r>
    </w:p>
    <w:p w:rsidR="001D2811" w:rsidRPr="006D5314" w:rsidRDefault="001D2811">
      <w:pPr>
        <w:tabs>
          <w:tab w:val="left" w:pos="3374"/>
        </w:tabs>
        <w:spacing w:line="360" w:lineRule="auto"/>
        <w:ind w:right="-787"/>
        <w:rPr>
          <w:rFonts w:ascii="Palatino Linotype" w:eastAsia="Palatino Linotype" w:hAnsi="Palatino Linotype" w:cs="Palatino Linotype"/>
        </w:rPr>
      </w:pPr>
    </w:p>
    <w:p w:rsidR="001D2811" w:rsidRPr="006D5314" w:rsidRDefault="001D2811">
      <w:pPr>
        <w:tabs>
          <w:tab w:val="left" w:pos="3374"/>
        </w:tabs>
        <w:spacing w:line="360" w:lineRule="auto"/>
        <w:ind w:right="-787"/>
        <w:rPr>
          <w:rFonts w:ascii="Palatino Linotype" w:eastAsia="Palatino Linotype" w:hAnsi="Palatino Linotype" w:cs="Palatino Linotype"/>
        </w:rPr>
      </w:pPr>
    </w:p>
    <w:p w:rsidR="001D2811" w:rsidRPr="006D5314" w:rsidRDefault="001D2811">
      <w:pPr>
        <w:tabs>
          <w:tab w:val="left" w:pos="3374"/>
        </w:tabs>
        <w:spacing w:line="360" w:lineRule="auto"/>
        <w:ind w:right="-787"/>
        <w:rPr>
          <w:rFonts w:ascii="Palatino Linotype" w:eastAsia="Palatino Linotype" w:hAnsi="Palatino Linotype" w:cs="Palatino Linotype"/>
        </w:rPr>
      </w:pPr>
    </w:p>
    <w:p w:rsidR="001D2811" w:rsidRPr="006D5314" w:rsidRDefault="001D2811">
      <w:pPr>
        <w:tabs>
          <w:tab w:val="left" w:pos="3374"/>
        </w:tabs>
        <w:spacing w:line="360" w:lineRule="auto"/>
        <w:ind w:right="-787"/>
        <w:rPr>
          <w:rFonts w:ascii="Palatino Linotype" w:eastAsia="Palatino Linotype" w:hAnsi="Palatino Linotype" w:cs="Palatino Linotype"/>
        </w:rPr>
      </w:pPr>
    </w:p>
    <w:p w:rsidR="001D2811" w:rsidRPr="006D5314" w:rsidRDefault="001D2811">
      <w:pPr>
        <w:tabs>
          <w:tab w:val="left" w:pos="3374"/>
        </w:tabs>
        <w:spacing w:line="360" w:lineRule="auto"/>
        <w:ind w:right="-787"/>
        <w:rPr>
          <w:rFonts w:ascii="Palatino Linotype" w:eastAsia="Palatino Linotype" w:hAnsi="Palatino Linotype" w:cs="Palatino Linotype"/>
        </w:rPr>
      </w:pPr>
    </w:p>
    <w:p w:rsidR="001D2811" w:rsidRPr="006D5314" w:rsidRDefault="001D2811">
      <w:pPr>
        <w:tabs>
          <w:tab w:val="left" w:pos="3374"/>
        </w:tabs>
        <w:spacing w:line="360" w:lineRule="auto"/>
        <w:ind w:right="-787"/>
        <w:rPr>
          <w:rFonts w:ascii="Palatino Linotype" w:eastAsia="Palatino Linotype" w:hAnsi="Palatino Linotype" w:cs="Palatino Linotype"/>
        </w:rPr>
      </w:pPr>
    </w:p>
    <w:sectPr w:rsidR="001D2811" w:rsidRPr="006D5314">
      <w:headerReference w:type="even" r:id="rId9"/>
      <w:headerReference w:type="default" r:id="rId10"/>
      <w:footerReference w:type="default" r:id="rId11"/>
      <w:headerReference w:type="first" r:id="rId12"/>
      <w:footerReference w:type="first" r:id="rId13"/>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510" w:rsidRDefault="00C00510">
      <w:r>
        <w:separator/>
      </w:r>
    </w:p>
  </w:endnote>
  <w:endnote w:type="continuationSeparator" w:id="0">
    <w:p w:rsidR="00C00510" w:rsidRDefault="00C0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03" w:rsidRDefault="00AD350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4500D">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4500D">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AD3503" w:rsidRDefault="00AD350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03" w:rsidRDefault="00AD350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4500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4500D">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AD3503" w:rsidRDefault="00AD350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510" w:rsidRDefault="00C00510">
      <w:r>
        <w:separator/>
      </w:r>
    </w:p>
  </w:footnote>
  <w:footnote w:type="continuationSeparator" w:id="0">
    <w:p w:rsidR="00C00510" w:rsidRDefault="00C00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03" w:rsidRDefault="00C0051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686" w:type="dxa"/>
      <w:tblLayout w:type="fixed"/>
      <w:tblLook w:val="0400" w:firstRow="0" w:lastRow="0" w:firstColumn="0" w:lastColumn="0" w:noHBand="0" w:noVBand="1"/>
    </w:tblPr>
    <w:tblGrid>
      <w:gridCol w:w="2693"/>
      <w:gridCol w:w="4252"/>
    </w:tblGrid>
    <w:tr w:rsidR="00AD3503" w:rsidTr="006D5314">
      <w:trPr>
        <w:trHeight w:val="227"/>
      </w:trPr>
      <w:tc>
        <w:tcPr>
          <w:tcW w:w="2693" w:type="dxa"/>
        </w:tcPr>
        <w:p w:rsidR="00AD3503" w:rsidRPr="006D5314" w:rsidRDefault="00AD3503" w:rsidP="007B3AE5">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Recurso de Revisión:</w:t>
          </w:r>
        </w:p>
      </w:tc>
      <w:tc>
        <w:tcPr>
          <w:tcW w:w="4252" w:type="dxa"/>
        </w:tcPr>
        <w:p w:rsidR="00AD3503" w:rsidRPr="006D5314" w:rsidRDefault="00AD3503" w:rsidP="007B3AE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6D5314">
            <w:rPr>
              <w:rFonts w:ascii="Palatino Linotype" w:eastAsia="Palatino Linotype" w:hAnsi="Palatino Linotype" w:cs="Palatino Linotype"/>
              <w:color w:val="000000"/>
              <w:szCs w:val="22"/>
            </w:rPr>
            <w:t>12133/INFOEM/IP/RR/2025</w:t>
          </w:r>
        </w:p>
      </w:tc>
    </w:tr>
    <w:tr w:rsidR="00AD3503" w:rsidTr="006D5314">
      <w:trPr>
        <w:trHeight w:val="342"/>
      </w:trPr>
      <w:tc>
        <w:tcPr>
          <w:tcW w:w="2693" w:type="dxa"/>
        </w:tcPr>
        <w:p w:rsidR="00AD3503" w:rsidRPr="006D5314" w:rsidRDefault="00AD3503" w:rsidP="007B3AE5">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Sujeto Obligado:</w:t>
          </w:r>
        </w:p>
      </w:tc>
      <w:tc>
        <w:tcPr>
          <w:tcW w:w="4252" w:type="dxa"/>
        </w:tcPr>
        <w:p w:rsidR="00AD3503" w:rsidRPr="006D5314" w:rsidRDefault="00AD3503" w:rsidP="007B3AE5">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6D5314">
            <w:rPr>
              <w:rFonts w:ascii="Palatino Linotype" w:eastAsia="Palatino Linotype" w:hAnsi="Palatino Linotype" w:cs="Palatino Linotype"/>
              <w:color w:val="000000"/>
              <w:szCs w:val="22"/>
            </w:rPr>
            <w:t>Ayuntamiento de Jiquipilco</w:t>
          </w:r>
        </w:p>
      </w:tc>
    </w:tr>
    <w:tr w:rsidR="00AD3503" w:rsidTr="006D5314">
      <w:trPr>
        <w:trHeight w:val="342"/>
      </w:trPr>
      <w:tc>
        <w:tcPr>
          <w:tcW w:w="2693" w:type="dxa"/>
        </w:tcPr>
        <w:p w:rsidR="00AD3503" w:rsidRPr="006D5314" w:rsidRDefault="00AD3503" w:rsidP="007B3AE5">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Comisionada Ponente:</w:t>
          </w:r>
        </w:p>
      </w:tc>
      <w:tc>
        <w:tcPr>
          <w:tcW w:w="4252" w:type="dxa"/>
        </w:tcPr>
        <w:p w:rsidR="00AD3503" w:rsidRPr="006D5314" w:rsidRDefault="00AD3503" w:rsidP="007B3AE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6D5314">
            <w:rPr>
              <w:rFonts w:ascii="Palatino Linotype" w:eastAsia="Palatino Linotype" w:hAnsi="Palatino Linotype" w:cs="Palatino Linotype"/>
              <w:color w:val="000000"/>
              <w:szCs w:val="22"/>
            </w:rPr>
            <w:t>María del Rosario Mejía Ayala</w:t>
          </w:r>
        </w:p>
      </w:tc>
    </w:tr>
  </w:tbl>
  <w:p w:rsidR="00AD3503" w:rsidRDefault="00C0051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686" w:type="dxa"/>
      <w:tblLayout w:type="fixed"/>
      <w:tblLook w:val="0400" w:firstRow="0" w:lastRow="0" w:firstColumn="0" w:lastColumn="0" w:noHBand="0" w:noVBand="1"/>
    </w:tblPr>
    <w:tblGrid>
      <w:gridCol w:w="2693"/>
      <w:gridCol w:w="4252"/>
    </w:tblGrid>
    <w:tr w:rsidR="00AD3503" w:rsidTr="006D5314">
      <w:trPr>
        <w:trHeight w:val="227"/>
      </w:trPr>
      <w:tc>
        <w:tcPr>
          <w:tcW w:w="2693" w:type="dxa"/>
        </w:tcPr>
        <w:p w:rsidR="00AD3503" w:rsidRPr="006D5314" w:rsidRDefault="00AD3503">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Recurso de Revisión:</w:t>
          </w:r>
        </w:p>
      </w:tc>
      <w:tc>
        <w:tcPr>
          <w:tcW w:w="4252" w:type="dxa"/>
        </w:tcPr>
        <w:p w:rsidR="00AD3503" w:rsidRPr="006D5314" w:rsidRDefault="00AD3503" w:rsidP="009858A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6D5314">
            <w:rPr>
              <w:rFonts w:ascii="Palatino Linotype" w:eastAsia="Palatino Linotype" w:hAnsi="Palatino Linotype" w:cs="Palatino Linotype"/>
              <w:color w:val="000000"/>
              <w:szCs w:val="22"/>
            </w:rPr>
            <w:t>12133/INFOEM/IP/RR/2025</w:t>
          </w:r>
        </w:p>
      </w:tc>
    </w:tr>
    <w:tr w:rsidR="00AD3503" w:rsidTr="006D5314">
      <w:trPr>
        <w:trHeight w:val="242"/>
      </w:trPr>
      <w:tc>
        <w:tcPr>
          <w:tcW w:w="2693" w:type="dxa"/>
        </w:tcPr>
        <w:p w:rsidR="00AD3503" w:rsidRPr="006D5314" w:rsidRDefault="00AD3503">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Recurrente:</w:t>
          </w:r>
        </w:p>
      </w:tc>
      <w:tc>
        <w:tcPr>
          <w:tcW w:w="4252" w:type="dxa"/>
        </w:tcPr>
        <w:p w:rsidR="00AD3503" w:rsidRPr="006D5314" w:rsidRDefault="00F4500D">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AD3503" w:rsidTr="006D5314">
      <w:trPr>
        <w:trHeight w:val="342"/>
      </w:trPr>
      <w:tc>
        <w:tcPr>
          <w:tcW w:w="2693" w:type="dxa"/>
        </w:tcPr>
        <w:p w:rsidR="00AD3503" w:rsidRPr="006D5314" w:rsidRDefault="00AD3503">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Sujeto Obligado:</w:t>
          </w:r>
        </w:p>
      </w:tc>
      <w:tc>
        <w:tcPr>
          <w:tcW w:w="4252" w:type="dxa"/>
        </w:tcPr>
        <w:p w:rsidR="00AD3503" w:rsidRPr="006D5314" w:rsidRDefault="00AD3503">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6D5314">
            <w:rPr>
              <w:rFonts w:ascii="Palatino Linotype" w:eastAsia="Palatino Linotype" w:hAnsi="Palatino Linotype" w:cs="Palatino Linotype"/>
              <w:color w:val="000000"/>
              <w:szCs w:val="22"/>
            </w:rPr>
            <w:t>Ayuntamiento de Jiquipilco</w:t>
          </w:r>
        </w:p>
      </w:tc>
    </w:tr>
    <w:tr w:rsidR="00AD3503" w:rsidTr="006D5314">
      <w:trPr>
        <w:trHeight w:val="342"/>
      </w:trPr>
      <w:tc>
        <w:tcPr>
          <w:tcW w:w="2693" w:type="dxa"/>
        </w:tcPr>
        <w:p w:rsidR="00AD3503" w:rsidRPr="006D5314" w:rsidRDefault="00AD3503">
          <w:pPr>
            <w:jc w:val="right"/>
            <w:rPr>
              <w:rFonts w:ascii="Palatino Linotype" w:eastAsia="Palatino Linotype" w:hAnsi="Palatino Linotype" w:cs="Palatino Linotype"/>
              <w:b/>
              <w:szCs w:val="22"/>
            </w:rPr>
          </w:pPr>
          <w:r w:rsidRPr="006D5314">
            <w:rPr>
              <w:rFonts w:ascii="Palatino Linotype" w:eastAsia="Palatino Linotype" w:hAnsi="Palatino Linotype" w:cs="Palatino Linotype"/>
              <w:b/>
              <w:szCs w:val="22"/>
            </w:rPr>
            <w:t>Comisionada Ponente:</w:t>
          </w:r>
        </w:p>
      </w:tc>
      <w:tc>
        <w:tcPr>
          <w:tcW w:w="4252" w:type="dxa"/>
        </w:tcPr>
        <w:p w:rsidR="00AD3503" w:rsidRPr="006D5314" w:rsidRDefault="00AD3503">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6D5314">
            <w:rPr>
              <w:rFonts w:ascii="Palatino Linotype" w:eastAsia="Palatino Linotype" w:hAnsi="Palatino Linotype" w:cs="Palatino Linotype"/>
              <w:color w:val="000000"/>
              <w:szCs w:val="22"/>
            </w:rPr>
            <w:t>María del Rosario Mejía Ayala</w:t>
          </w:r>
        </w:p>
      </w:tc>
    </w:tr>
  </w:tbl>
  <w:p w:rsidR="00AD3503" w:rsidRDefault="00C0051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C5508"/>
    <w:multiLevelType w:val="hybridMultilevel"/>
    <w:tmpl w:val="A2447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CF00F7C"/>
    <w:multiLevelType w:val="hybridMultilevel"/>
    <w:tmpl w:val="66AAFC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E81856"/>
    <w:multiLevelType w:val="hybridMultilevel"/>
    <w:tmpl w:val="81007F72"/>
    <w:lvl w:ilvl="0" w:tplc="080A0001">
      <w:start w:val="1"/>
      <w:numFmt w:val="bullet"/>
      <w:lvlText w:val=""/>
      <w:lvlJc w:val="left"/>
      <w:pPr>
        <w:ind w:left="1440" w:hanging="360"/>
      </w:pPr>
      <w:rPr>
        <w:rFonts w:ascii="Symbol" w:hAnsi="Symbol" w:hint="default"/>
      </w:rPr>
    </w:lvl>
    <w:lvl w:ilvl="1" w:tplc="080A0011">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242E16"/>
    <w:multiLevelType w:val="hybridMultilevel"/>
    <w:tmpl w:val="7FA0BFB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6D55A6"/>
    <w:multiLevelType w:val="hybridMultilevel"/>
    <w:tmpl w:val="00DC3CD2"/>
    <w:lvl w:ilvl="0" w:tplc="701098CE">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9F1316B"/>
    <w:multiLevelType w:val="multilevel"/>
    <w:tmpl w:val="3E2A1F4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2E2E46BA"/>
    <w:multiLevelType w:val="hybridMultilevel"/>
    <w:tmpl w:val="BA969D84"/>
    <w:lvl w:ilvl="0" w:tplc="080A0001">
      <w:start w:val="1"/>
      <w:numFmt w:val="bullet"/>
      <w:lvlText w:val=""/>
      <w:lvlJc w:val="left"/>
      <w:pPr>
        <w:ind w:left="1440" w:hanging="360"/>
      </w:pPr>
      <w:rPr>
        <w:rFonts w:ascii="Symbol" w:hAnsi="Symbol" w:hint="default"/>
      </w:r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1C53AE"/>
    <w:multiLevelType w:val="hybridMultilevel"/>
    <w:tmpl w:val="E4DED202"/>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511439DC"/>
    <w:multiLevelType w:val="hybridMultilevel"/>
    <w:tmpl w:val="B39276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549E76B4"/>
    <w:multiLevelType w:val="hybridMultilevel"/>
    <w:tmpl w:val="3B82690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18224F"/>
    <w:multiLevelType w:val="hybridMultilevel"/>
    <w:tmpl w:val="AF3292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B953E09"/>
    <w:multiLevelType w:val="hybridMultilevel"/>
    <w:tmpl w:val="1BB44C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E064666"/>
    <w:multiLevelType w:val="hybridMultilevel"/>
    <w:tmpl w:val="A45CD73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492C90"/>
    <w:multiLevelType w:val="hybridMultilevel"/>
    <w:tmpl w:val="8AAA1B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8" w15:restartNumberingAfterBreak="0">
    <w:nsid w:val="701C328D"/>
    <w:multiLevelType w:val="hybridMultilevel"/>
    <w:tmpl w:val="3174BF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11">
      <w:start w:val="1"/>
      <w:numFmt w:val="decimal"/>
      <w:lvlText w:val="%3)"/>
      <w:lvlJc w:val="left"/>
      <w:pPr>
        <w:ind w:left="2160" w:hanging="36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7A085BB8"/>
    <w:multiLevelType w:val="hybridMultilevel"/>
    <w:tmpl w:val="C422E7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8E3405"/>
    <w:multiLevelType w:val="multilevel"/>
    <w:tmpl w:val="8D20AECA"/>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AF3AF7"/>
    <w:multiLevelType w:val="multilevel"/>
    <w:tmpl w:val="8D768C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1"/>
  </w:num>
  <w:num w:numId="3">
    <w:abstractNumId w:val="20"/>
  </w:num>
  <w:num w:numId="4">
    <w:abstractNumId w:val="24"/>
  </w:num>
  <w:num w:numId="5">
    <w:abstractNumId w:val="11"/>
  </w:num>
  <w:num w:numId="6">
    <w:abstractNumId w:val="21"/>
  </w:num>
  <w:num w:numId="7">
    <w:abstractNumId w:val="1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8"/>
  </w:num>
  <w:num w:numId="11">
    <w:abstractNumId w:val="7"/>
  </w:num>
  <w:num w:numId="12">
    <w:abstractNumId w:val="23"/>
  </w:num>
  <w:num w:numId="13">
    <w:abstractNumId w:val="26"/>
  </w:num>
  <w:num w:numId="14">
    <w:abstractNumId w:val="4"/>
  </w:num>
  <w:num w:numId="15">
    <w:abstractNumId w:val="22"/>
  </w:num>
  <w:num w:numId="16">
    <w:abstractNumId w:val="18"/>
  </w:num>
  <w:num w:numId="17">
    <w:abstractNumId w:val="3"/>
  </w:num>
  <w:num w:numId="18">
    <w:abstractNumId w:val="19"/>
  </w:num>
  <w:num w:numId="19">
    <w:abstractNumId w:val="9"/>
  </w:num>
  <w:num w:numId="20">
    <w:abstractNumId w:val="30"/>
  </w:num>
  <w:num w:numId="21">
    <w:abstractNumId w:val="16"/>
  </w:num>
  <w:num w:numId="22">
    <w:abstractNumId w:val="27"/>
  </w:num>
  <w:num w:numId="23">
    <w:abstractNumId w:val="1"/>
  </w:num>
  <w:num w:numId="24">
    <w:abstractNumId w:val="6"/>
  </w:num>
  <w:num w:numId="25">
    <w:abstractNumId w:val="10"/>
  </w:num>
  <w:num w:numId="26">
    <w:abstractNumId w:val="12"/>
  </w:num>
  <w:num w:numId="27">
    <w:abstractNumId w:val="33"/>
  </w:num>
  <w:num w:numId="28">
    <w:abstractNumId w:val="13"/>
  </w:num>
  <w:num w:numId="29">
    <w:abstractNumId w:val="14"/>
  </w:num>
  <w:num w:numId="30">
    <w:abstractNumId w:val="5"/>
  </w:num>
  <w:num w:numId="31">
    <w:abstractNumId w:val="2"/>
  </w:num>
  <w:num w:numId="32">
    <w:abstractNumId w:val="0"/>
  </w:num>
  <w:num w:numId="33">
    <w:abstractNumId w:val="25"/>
  </w:num>
  <w:num w:numId="34">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489"/>
    <w:rsid w:val="00003DD9"/>
    <w:rsid w:val="00006F1B"/>
    <w:rsid w:val="000103EB"/>
    <w:rsid w:val="00016420"/>
    <w:rsid w:val="0002040E"/>
    <w:rsid w:val="00021303"/>
    <w:rsid w:val="00022704"/>
    <w:rsid w:val="00023808"/>
    <w:rsid w:val="00023A0F"/>
    <w:rsid w:val="00023F89"/>
    <w:rsid w:val="00024F93"/>
    <w:rsid w:val="0002571E"/>
    <w:rsid w:val="00026793"/>
    <w:rsid w:val="00034FDC"/>
    <w:rsid w:val="00036F07"/>
    <w:rsid w:val="00037080"/>
    <w:rsid w:val="0003736F"/>
    <w:rsid w:val="00037694"/>
    <w:rsid w:val="00040090"/>
    <w:rsid w:val="0004020B"/>
    <w:rsid w:val="00041D38"/>
    <w:rsid w:val="00043971"/>
    <w:rsid w:val="00055D24"/>
    <w:rsid w:val="000601D5"/>
    <w:rsid w:val="00062045"/>
    <w:rsid w:val="00062444"/>
    <w:rsid w:val="00070275"/>
    <w:rsid w:val="00070E1F"/>
    <w:rsid w:val="000711ED"/>
    <w:rsid w:val="00071483"/>
    <w:rsid w:val="000746C9"/>
    <w:rsid w:val="00077434"/>
    <w:rsid w:val="000779D3"/>
    <w:rsid w:val="00084793"/>
    <w:rsid w:val="00086806"/>
    <w:rsid w:val="000908D9"/>
    <w:rsid w:val="000930BF"/>
    <w:rsid w:val="00093A56"/>
    <w:rsid w:val="00096E8D"/>
    <w:rsid w:val="00097AC4"/>
    <w:rsid w:val="000A0F74"/>
    <w:rsid w:val="000A17F5"/>
    <w:rsid w:val="000A311B"/>
    <w:rsid w:val="000A5739"/>
    <w:rsid w:val="000A61EB"/>
    <w:rsid w:val="000A723E"/>
    <w:rsid w:val="000B55B4"/>
    <w:rsid w:val="000B5E74"/>
    <w:rsid w:val="000B5EB2"/>
    <w:rsid w:val="000B68C4"/>
    <w:rsid w:val="000B756F"/>
    <w:rsid w:val="000C003E"/>
    <w:rsid w:val="000C5A00"/>
    <w:rsid w:val="000D3147"/>
    <w:rsid w:val="000D3698"/>
    <w:rsid w:val="000D4D94"/>
    <w:rsid w:val="000D50F3"/>
    <w:rsid w:val="000D7C34"/>
    <w:rsid w:val="000E035D"/>
    <w:rsid w:val="000E1247"/>
    <w:rsid w:val="000E2661"/>
    <w:rsid w:val="000E36B6"/>
    <w:rsid w:val="000E4710"/>
    <w:rsid w:val="000E67B2"/>
    <w:rsid w:val="000E6B02"/>
    <w:rsid w:val="000F113E"/>
    <w:rsid w:val="000F1D57"/>
    <w:rsid w:val="000F6F52"/>
    <w:rsid w:val="00102F1F"/>
    <w:rsid w:val="00106553"/>
    <w:rsid w:val="001104CA"/>
    <w:rsid w:val="00117BD4"/>
    <w:rsid w:val="0012052F"/>
    <w:rsid w:val="00121046"/>
    <w:rsid w:val="001211D8"/>
    <w:rsid w:val="001220D5"/>
    <w:rsid w:val="00122D64"/>
    <w:rsid w:val="00127517"/>
    <w:rsid w:val="00132F8B"/>
    <w:rsid w:val="001331A0"/>
    <w:rsid w:val="00133E64"/>
    <w:rsid w:val="00135433"/>
    <w:rsid w:val="001445DC"/>
    <w:rsid w:val="0014585F"/>
    <w:rsid w:val="00146910"/>
    <w:rsid w:val="00146A65"/>
    <w:rsid w:val="00152DF3"/>
    <w:rsid w:val="001550E7"/>
    <w:rsid w:val="00156861"/>
    <w:rsid w:val="0016082D"/>
    <w:rsid w:val="00161EAC"/>
    <w:rsid w:val="0016227D"/>
    <w:rsid w:val="00165FC8"/>
    <w:rsid w:val="001662E4"/>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4917"/>
    <w:rsid w:val="001C5729"/>
    <w:rsid w:val="001D1D1B"/>
    <w:rsid w:val="001D2811"/>
    <w:rsid w:val="001D3B8D"/>
    <w:rsid w:val="001D457E"/>
    <w:rsid w:val="001D6B14"/>
    <w:rsid w:val="001D752F"/>
    <w:rsid w:val="001E2CB9"/>
    <w:rsid w:val="001F159B"/>
    <w:rsid w:val="001F43C2"/>
    <w:rsid w:val="001F7965"/>
    <w:rsid w:val="00201414"/>
    <w:rsid w:val="00201F7E"/>
    <w:rsid w:val="002026AC"/>
    <w:rsid w:val="0020430F"/>
    <w:rsid w:val="00205368"/>
    <w:rsid w:val="002061C6"/>
    <w:rsid w:val="00207157"/>
    <w:rsid w:val="002109CD"/>
    <w:rsid w:val="002148D1"/>
    <w:rsid w:val="00214CB0"/>
    <w:rsid w:val="00215106"/>
    <w:rsid w:val="00216DCC"/>
    <w:rsid w:val="00221338"/>
    <w:rsid w:val="00223B24"/>
    <w:rsid w:val="002272E3"/>
    <w:rsid w:val="002326A9"/>
    <w:rsid w:val="00232D5E"/>
    <w:rsid w:val="00234C78"/>
    <w:rsid w:val="00234D9C"/>
    <w:rsid w:val="00237C0D"/>
    <w:rsid w:val="0024026D"/>
    <w:rsid w:val="00240C7B"/>
    <w:rsid w:val="00244BB7"/>
    <w:rsid w:val="00250902"/>
    <w:rsid w:val="002510AE"/>
    <w:rsid w:val="00256EB0"/>
    <w:rsid w:val="002629BB"/>
    <w:rsid w:val="00262AEA"/>
    <w:rsid w:val="002657FB"/>
    <w:rsid w:val="00266102"/>
    <w:rsid w:val="00266410"/>
    <w:rsid w:val="00270929"/>
    <w:rsid w:val="00270D8E"/>
    <w:rsid w:val="00272605"/>
    <w:rsid w:val="00274A01"/>
    <w:rsid w:val="0027567B"/>
    <w:rsid w:val="00276FC4"/>
    <w:rsid w:val="00277CA1"/>
    <w:rsid w:val="00284285"/>
    <w:rsid w:val="002859D5"/>
    <w:rsid w:val="002907AD"/>
    <w:rsid w:val="00291195"/>
    <w:rsid w:val="0029409F"/>
    <w:rsid w:val="00296C6B"/>
    <w:rsid w:val="00297A5F"/>
    <w:rsid w:val="002A444A"/>
    <w:rsid w:val="002A534D"/>
    <w:rsid w:val="002B1A30"/>
    <w:rsid w:val="002B2623"/>
    <w:rsid w:val="002B27BF"/>
    <w:rsid w:val="002B3B48"/>
    <w:rsid w:val="002B7A1B"/>
    <w:rsid w:val="002B7EE9"/>
    <w:rsid w:val="002C3AC3"/>
    <w:rsid w:val="002C4BEC"/>
    <w:rsid w:val="002C7769"/>
    <w:rsid w:val="002D10DC"/>
    <w:rsid w:val="002D26ED"/>
    <w:rsid w:val="002D36FF"/>
    <w:rsid w:val="002D6B94"/>
    <w:rsid w:val="002E0058"/>
    <w:rsid w:val="002E038F"/>
    <w:rsid w:val="002E2732"/>
    <w:rsid w:val="002E42F6"/>
    <w:rsid w:val="002E70BC"/>
    <w:rsid w:val="002F35A5"/>
    <w:rsid w:val="002F5BCF"/>
    <w:rsid w:val="002F7B5C"/>
    <w:rsid w:val="00301118"/>
    <w:rsid w:val="00306003"/>
    <w:rsid w:val="00307317"/>
    <w:rsid w:val="0031031B"/>
    <w:rsid w:val="00320425"/>
    <w:rsid w:val="003217E8"/>
    <w:rsid w:val="0032392F"/>
    <w:rsid w:val="003246CC"/>
    <w:rsid w:val="00326075"/>
    <w:rsid w:val="00327915"/>
    <w:rsid w:val="0033057E"/>
    <w:rsid w:val="00331DE1"/>
    <w:rsid w:val="00333C23"/>
    <w:rsid w:val="0033402D"/>
    <w:rsid w:val="003400CB"/>
    <w:rsid w:val="003410F3"/>
    <w:rsid w:val="003429E3"/>
    <w:rsid w:val="00343086"/>
    <w:rsid w:val="00343DB0"/>
    <w:rsid w:val="0035074E"/>
    <w:rsid w:val="00351275"/>
    <w:rsid w:val="003524E0"/>
    <w:rsid w:val="00354897"/>
    <w:rsid w:val="00356053"/>
    <w:rsid w:val="0035780E"/>
    <w:rsid w:val="003600F4"/>
    <w:rsid w:val="003603CC"/>
    <w:rsid w:val="0036122E"/>
    <w:rsid w:val="00361441"/>
    <w:rsid w:val="00361780"/>
    <w:rsid w:val="003644DE"/>
    <w:rsid w:val="00367552"/>
    <w:rsid w:val="00367B8C"/>
    <w:rsid w:val="00380D59"/>
    <w:rsid w:val="00385C23"/>
    <w:rsid w:val="00386B8F"/>
    <w:rsid w:val="003948C1"/>
    <w:rsid w:val="0039679E"/>
    <w:rsid w:val="00396EB0"/>
    <w:rsid w:val="003A2338"/>
    <w:rsid w:val="003A3C27"/>
    <w:rsid w:val="003A3C35"/>
    <w:rsid w:val="003A3F37"/>
    <w:rsid w:val="003A61B2"/>
    <w:rsid w:val="003A7307"/>
    <w:rsid w:val="003B1579"/>
    <w:rsid w:val="003B2862"/>
    <w:rsid w:val="003B4C8D"/>
    <w:rsid w:val="003B6848"/>
    <w:rsid w:val="003B699F"/>
    <w:rsid w:val="003C03F8"/>
    <w:rsid w:val="003C12D7"/>
    <w:rsid w:val="003C44EF"/>
    <w:rsid w:val="003C4C2F"/>
    <w:rsid w:val="003C51F5"/>
    <w:rsid w:val="003D0E31"/>
    <w:rsid w:val="003D2D85"/>
    <w:rsid w:val="003D3B8D"/>
    <w:rsid w:val="003D3FBC"/>
    <w:rsid w:val="003D660B"/>
    <w:rsid w:val="003D691E"/>
    <w:rsid w:val="003D6A3E"/>
    <w:rsid w:val="003D7CF1"/>
    <w:rsid w:val="003E0A43"/>
    <w:rsid w:val="003E1C35"/>
    <w:rsid w:val="003E22E2"/>
    <w:rsid w:val="003E2B2A"/>
    <w:rsid w:val="003E4B8C"/>
    <w:rsid w:val="003E5DF4"/>
    <w:rsid w:val="003E664D"/>
    <w:rsid w:val="003E6CA4"/>
    <w:rsid w:val="003F25F5"/>
    <w:rsid w:val="003F3AC4"/>
    <w:rsid w:val="003F56B1"/>
    <w:rsid w:val="003F61B5"/>
    <w:rsid w:val="00403FD1"/>
    <w:rsid w:val="00404099"/>
    <w:rsid w:val="00404A1F"/>
    <w:rsid w:val="00406CBB"/>
    <w:rsid w:val="00413E57"/>
    <w:rsid w:val="004216D4"/>
    <w:rsid w:val="00422BF9"/>
    <w:rsid w:val="00425B35"/>
    <w:rsid w:val="00433414"/>
    <w:rsid w:val="00433CBE"/>
    <w:rsid w:val="00434E54"/>
    <w:rsid w:val="00436E6D"/>
    <w:rsid w:val="00441313"/>
    <w:rsid w:val="00442770"/>
    <w:rsid w:val="00442934"/>
    <w:rsid w:val="004432E1"/>
    <w:rsid w:val="00444BE9"/>
    <w:rsid w:val="00445BB4"/>
    <w:rsid w:val="00447571"/>
    <w:rsid w:val="00450E28"/>
    <w:rsid w:val="00451CF4"/>
    <w:rsid w:val="00452797"/>
    <w:rsid w:val="00453D56"/>
    <w:rsid w:val="00454070"/>
    <w:rsid w:val="00455525"/>
    <w:rsid w:val="00457703"/>
    <w:rsid w:val="0046023D"/>
    <w:rsid w:val="004602EB"/>
    <w:rsid w:val="004602F0"/>
    <w:rsid w:val="004617CF"/>
    <w:rsid w:val="00463004"/>
    <w:rsid w:val="0046336B"/>
    <w:rsid w:val="00463EAE"/>
    <w:rsid w:val="0046784D"/>
    <w:rsid w:val="00471C55"/>
    <w:rsid w:val="00472DE3"/>
    <w:rsid w:val="00474BE5"/>
    <w:rsid w:val="00477071"/>
    <w:rsid w:val="004819DE"/>
    <w:rsid w:val="00481C72"/>
    <w:rsid w:val="00481FAC"/>
    <w:rsid w:val="0048201A"/>
    <w:rsid w:val="00482A22"/>
    <w:rsid w:val="004834CA"/>
    <w:rsid w:val="00491452"/>
    <w:rsid w:val="004927E8"/>
    <w:rsid w:val="00492829"/>
    <w:rsid w:val="004929EB"/>
    <w:rsid w:val="0049478E"/>
    <w:rsid w:val="00496C16"/>
    <w:rsid w:val="00497FA0"/>
    <w:rsid w:val="004A1B08"/>
    <w:rsid w:val="004A4399"/>
    <w:rsid w:val="004A5B62"/>
    <w:rsid w:val="004A6550"/>
    <w:rsid w:val="004B6262"/>
    <w:rsid w:val="004B6368"/>
    <w:rsid w:val="004C3CF2"/>
    <w:rsid w:val="004C5179"/>
    <w:rsid w:val="004D0388"/>
    <w:rsid w:val="004D28FF"/>
    <w:rsid w:val="004E0AFD"/>
    <w:rsid w:val="004E302F"/>
    <w:rsid w:val="004F1561"/>
    <w:rsid w:val="004F1783"/>
    <w:rsid w:val="00500F4B"/>
    <w:rsid w:val="00502032"/>
    <w:rsid w:val="00504CA2"/>
    <w:rsid w:val="00524D11"/>
    <w:rsid w:val="00526EF7"/>
    <w:rsid w:val="0053481A"/>
    <w:rsid w:val="00543175"/>
    <w:rsid w:val="0054342C"/>
    <w:rsid w:val="00544302"/>
    <w:rsid w:val="005449F3"/>
    <w:rsid w:val="0054767D"/>
    <w:rsid w:val="0055016D"/>
    <w:rsid w:val="005519B5"/>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2CC2"/>
    <w:rsid w:val="005962B3"/>
    <w:rsid w:val="00596DC5"/>
    <w:rsid w:val="00597404"/>
    <w:rsid w:val="005A26DE"/>
    <w:rsid w:val="005A3070"/>
    <w:rsid w:val="005A367B"/>
    <w:rsid w:val="005A4ED2"/>
    <w:rsid w:val="005A7829"/>
    <w:rsid w:val="005B371F"/>
    <w:rsid w:val="005B4120"/>
    <w:rsid w:val="005B56CD"/>
    <w:rsid w:val="005C28E1"/>
    <w:rsid w:val="005C3BF0"/>
    <w:rsid w:val="005C4221"/>
    <w:rsid w:val="005C572F"/>
    <w:rsid w:val="005C6920"/>
    <w:rsid w:val="005D06E7"/>
    <w:rsid w:val="005D320F"/>
    <w:rsid w:val="005D5244"/>
    <w:rsid w:val="005D6A42"/>
    <w:rsid w:val="005D7D28"/>
    <w:rsid w:val="005E2509"/>
    <w:rsid w:val="005E58C9"/>
    <w:rsid w:val="005F1D55"/>
    <w:rsid w:val="005F5512"/>
    <w:rsid w:val="005F7245"/>
    <w:rsid w:val="006023DE"/>
    <w:rsid w:val="00604A69"/>
    <w:rsid w:val="006058F1"/>
    <w:rsid w:val="00607532"/>
    <w:rsid w:val="00612F50"/>
    <w:rsid w:val="0061693B"/>
    <w:rsid w:val="00620A78"/>
    <w:rsid w:val="00620E99"/>
    <w:rsid w:val="00623135"/>
    <w:rsid w:val="00630E98"/>
    <w:rsid w:val="00635B00"/>
    <w:rsid w:val="00636A4F"/>
    <w:rsid w:val="00637135"/>
    <w:rsid w:val="00637C01"/>
    <w:rsid w:val="00642190"/>
    <w:rsid w:val="006447FE"/>
    <w:rsid w:val="006504CC"/>
    <w:rsid w:val="00650C5A"/>
    <w:rsid w:val="00651218"/>
    <w:rsid w:val="0065634A"/>
    <w:rsid w:val="00656D92"/>
    <w:rsid w:val="00657958"/>
    <w:rsid w:val="00657988"/>
    <w:rsid w:val="00660EF5"/>
    <w:rsid w:val="0066225D"/>
    <w:rsid w:val="00664BC5"/>
    <w:rsid w:val="00666467"/>
    <w:rsid w:val="006664EC"/>
    <w:rsid w:val="00666BB9"/>
    <w:rsid w:val="00667B7C"/>
    <w:rsid w:val="00667C8E"/>
    <w:rsid w:val="00670285"/>
    <w:rsid w:val="00670777"/>
    <w:rsid w:val="0067093B"/>
    <w:rsid w:val="006736CE"/>
    <w:rsid w:val="00675A48"/>
    <w:rsid w:val="00676C68"/>
    <w:rsid w:val="006816FB"/>
    <w:rsid w:val="006821F7"/>
    <w:rsid w:val="00684415"/>
    <w:rsid w:val="00686134"/>
    <w:rsid w:val="00691E11"/>
    <w:rsid w:val="00692C62"/>
    <w:rsid w:val="00693A63"/>
    <w:rsid w:val="00693B1A"/>
    <w:rsid w:val="00695347"/>
    <w:rsid w:val="00696C82"/>
    <w:rsid w:val="00696CCE"/>
    <w:rsid w:val="00696D7E"/>
    <w:rsid w:val="00697A47"/>
    <w:rsid w:val="006A129D"/>
    <w:rsid w:val="006A7954"/>
    <w:rsid w:val="006B0D8F"/>
    <w:rsid w:val="006B1694"/>
    <w:rsid w:val="006B1A27"/>
    <w:rsid w:val="006B4514"/>
    <w:rsid w:val="006B5C32"/>
    <w:rsid w:val="006B652E"/>
    <w:rsid w:val="006C40ED"/>
    <w:rsid w:val="006C4541"/>
    <w:rsid w:val="006C4A35"/>
    <w:rsid w:val="006C72E8"/>
    <w:rsid w:val="006C7B25"/>
    <w:rsid w:val="006D0B72"/>
    <w:rsid w:val="006D0D17"/>
    <w:rsid w:val="006D1845"/>
    <w:rsid w:val="006D5314"/>
    <w:rsid w:val="006D615D"/>
    <w:rsid w:val="006D6E88"/>
    <w:rsid w:val="006E0F6D"/>
    <w:rsid w:val="006E0FE7"/>
    <w:rsid w:val="006E2573"/>
    <w:rsid w:val="006E295A"/>
    <w:rsid w:val="006E390C"/>
    <w:rsid w:val="006E679E"/>
    <w:rsid w:val="006E7A01"/>
    <w:rsid w:val="006F065D"/>
    <w:rsid w:val="006F29D0"/>
    <w:rsid w:val="006F49D1"/>
    <w:rsid w:val="006F513B"/>
    <w:rsid w:val="006F5CB7"/>
    <w:rsid w:val="00700C65"/>
    <w:rsid w:val="0071015A"/>
    <w:rsid w:val="00711A66"/>
    <w:rsid w:val="00720567"/>
    <w:rsid w:val="00720581"/>
    <w:rsid w:val="0072148B"/>
    <w:rsid w:val="007266C3"/>
    <w:rsid w:val="00730E91"/>
    <w:rsid w:val="00734D78"/>
    <w:rsid w:val="00734F2B"/>
    <w:rsid w:val="0073534C"/>
    <w:rsid w:val="00737C44"/>
    <w:rsid w:val="00737D7F"/>
    <w:rsid w:val="007406BD"/>
    <w:rsid w:val="00742100"/>
    <w:rsid w:val="007433EB"/>
    <w:rsid w:val="00746978"/>
    <w:rsid w:val="007469B8"/>
    <w:rsid w:val="00747BDB"/>
    <w:rsid w:val="00751BDC"/>
    <w:rsid w:val="007551AE"/>
    <w:rsid w:val="00761157"/>
    <w:rsid w:val="00762075"/>
    <w:rsid w:val="00763E8B"/>
    <w:rsid w:val="007646CB"/>
    <w:rsid w:val="00764743"/>
    <w:rsid w:val="00764C19"/>
    <w:rsid w:val="00764DF2"/>
    <w:rsid w:val="007653B2"/>
    <w:rsid w:val="00770DF7"/>
    <w:rsid w:val="007715D9"/>
    <w:rsid w:val="00774D62"/>
    <w:rsid w:val="00776874"/>
    <w:rsid w:val="0077698B"/>
    <w:rsid w:val="00776FD7"/>
    <w:rsid w:val="00777FC2"/>
    <w:rsid w:val="00785C9F"/>
    <w:rsid w:val="0078668E"/>
    <w:rsid w:val="00790CE8"/>
    <w:rsid w:val="00790F20"/>
    <w:rsid w:val="00792580"/>
    <w:rsid w:val="00793B05"/>
    <w:rsid w:val="00796D30"/>
    <w:rsid w:val="0079778B"/>
    <w:rsid w:val="0079789B"/>
    <w:rsid w:val="007A3783"/>
    <w:rsid w:val="007A5006"/>
    <w:rsid w:val="007A5102"/>
    <w:rsid w:val="007B0ABA"/>
    <w:rsid w:val="007B0C35"/>
    <w:rsid w:val="007B3AE5"/>
    <w:rsid w:val="007B4AEA"/>
    <w:rsid w:val="007B594B"/>
    <w:rsid w:val="007B5E42"/>
    <w:rsid w:val="007B6C06"/>
    <w:rsid w:val="007B7C68"/>
    <w:rsid w:val="007C05F0"/>
    <w:rsid w:val="007C2BD4"/>
    <w:rsid w:val="007C5CBD"/>
    <w:rsid w:val="007C6FDB"/>
    <w:rsid w:val="007C7DD8"/>
    <w:rsid w:val="007D083D"/>
    <w:rsid w:val="007D1E70"/>
    <w:rsid w:val="007D6FD5"/>
    <w:rsid w:val="007D7476"/>
    <w:rsid w:val="007E18CF"/>
    <w:rsid w:val="007E27AA"/>
    <w:rsid w:val="007E2E29"/>
    <w:rsid w:val="007E48A5"/>
    <w:rsid w:val="007E5AA2"/>
    <w:rsid w:val="007F1CC8"/>
    <w:rsid w:val="007F61D8"/>
    <w:rsid w:val="007F7250"/>
    <w:rsid w:val="00800E12"/>
    <w:rsid w:val="008016DD"/>
    <w:rsid w:val="00801DF9"/>
    <w:rsid w:val="00802549"/>
    <w:rsid w:val="00803BEE"/>
    <w:rsid w:val="00805D21"/>
    <w:rsid w:val="00811CF8"/>
    <w:rsid w:val="008160E8"/>
    <w:rsid w:val="00816B3B"/>
    <w:rsid w:val="00817B76"/>
    <w:rsid w:val="008238A5"/>
    <w:rsid w:val="0082506A"/>
    <w:rsid w:val="00825153"/>
    <w:rsid w:val="00826676"/>
    <w:rsid w:val="008306D7"/>
    <w:rsid w:val="00830AE7"/>
    <w:rsid w:val="008340A0"/>
    <w:rsid w:val="00835ACA"/>
    <w:rsid w:val="0084133A"/>
    <w:rsid w:val="008419F5"/>
    <w:rsid w:val="008445D6"/>
    <w:rsid w:val="008449B5"/>
    <w:rsid w:val="00846BB7"/>
    <w:rsid w:val="00847C3A"/>
    <w:rsid w:val="00851751"/>
    <w:rsid w:val="0085755E"/>
    <w:rsid w:val="00864CD0"/>
    <w:rsid w:val="00870C33"/>
    <w:rsid w:val="00874119"/>
    <w:rsid w:val="0088619A"/>
    <w:rsid w:val="00891202"/>
    <w:rsid w:val="00893AEB"/>
    <w:rsid w:val="00895953"/>
    <w:rsid w:val="0089646B"/>
    <w:rsid w:val="008A2D0D"/>
    <w:rsid w:val="008A3FBA"/>
    <w:rsid w:val="008A5652"/>
    <w:rsid w:val="008A643F"/>
    <w:rsid w:val="008B2146"/>
    <w:rsid w:val="008B7800"/>
    <w:rsid w:val="008C47B0"/>
    <w:rsid w:val="008C6196"/>
    <w:rsid w:val="008C6FAC"/>
    <w:rsid w:val="008C7F02"/>
    <w:rsid w:val="008D0A23"/>
    <w:rsid w:val="008D12E0"/>
    <w:rsid w:val="008D7A23"/>
    <w:rsid w:val="008E58F8"/>
    <w:rsid w:val="008E7B4E"/>
    <w:rsid w:val="008F1029"/>
    <w:rsid w:val="008F19B5"/>
    <w:rsid w:val="008F43B9"/>
    <w:rsid w:val="008F4572"/>
    <w:rsid w:val="008F4A76"/>
    <w:rsid w:val="00901C53"/>
    <w:rsid w:val="009037EC"/>
    <w:rsid w:val="009071BB"/>
    <w:rsid w:val="009100D1"/>
    <w:rsid w:val="00915922"/>
    <w:rsid w:val="00916B6C"/>
    <w:rsid w:val="009172CA"/>
    <w:rsid w:val="00920125"/>
    <w:rsid w:val="009207AA"/>
    <w:rsid w:val="00922187"/>
    <w:rsid w:val="00923ACC"/>
    <w:rsid w:val="00923D1F"/>
    <w:rsid w:val="00925608"/>
    <w:rsid w:val="009314EF"/>
    <w:rsid w:val="00931ADB"/>
    <w:rsid w:val="00932B26"/>
    <w:rsid w:val="00936111"/>
    <w:rsid w:val="00936FC3"/>
    <w:rsid w:val="00955B8A"/>
    <w:rsid w:val="009628A8"/>
    <w:rsid w:val="0096318D"/>
    <w:rsid w:val="009643B5"/>
    <w:rsid w:val="00964BCE"/>
    <w:rsid w:val="00975EDC"/>
    <w:rsid w:val="009845A2"/>
    <w:rsid w:val="009850E5"/>
    <w:rsid w:val="009858A5"/>
    <w:rsid w:val="00990A43"/>
    <w:rsid w:val="0099211B"/>
    <w:rsid w:val="00993617"/>
    <w:rsid w:val="00994EFD"/>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210F"/>
    <w:rsid w:val="009D30EF"/>
    <w:rsid w:val="009D4E9E"/>
    <w:rsid w:val="009D526F"/>
    <w:rsid w:val="009E2FBE"/>
    <w:rsid w:val="009E4A3F"/>
    <w:rsid w:val="009E6EE0"/>
    <w:rsid w:val="009E7A2A"/>
    <w:rsid w:val="009F0BEC"/>
    <w:rsid w:val="009F1F9E"/>
    <w:rsid w:val="009F2579"/>
    <w:rsid w:val="009F2820"/>
    <w:rsid w:val="009F67AB"/>
    <w:rsid w:val="009F7296"/>
    <w:rsid w:val="009F74E4"/>
    <w:rsid w:val="00A014FA"/>
    <w:rsid w:val="00A04EE0"/>
    <w:rsid w:val="00A0503F"/>
    <w:rsid w:val="00A05FF8"/>
    <w:rsid w:val="00A06C8F"/>
    <w:rsid w:val="00A077F4"/>
    <w:rsid w:val="00A07A67"/>
    <w:rsid w:val="00A10108"/>
    <w:rsid w:val="00A10ACB"/>
    <w:rsid w:val="00A122CB"/>
    <w:rsid w:val="00A14B95"/>
    <w:rsid w:val="00A151BF"/>
    <w:rsid w:val="00A1544D"/>
    <w:rsid w:val="00A15833"/>
    <w:rsid w:val="00A17725"/>
    <w:rsid w:val="00A20CDE"/>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524E"/>
    <w:rsid w:val="00A575C1"/>
    <w:rsid w:val="00A57814"/>
    <w:rsid w:val="00A60601"/>
    <w:rsid w:val="00A658D6"/>
    <w:rsid w:val="00A674EF"/>
    <w:rsid w:val="00A70E02"/>
    <w:rsid w:val="00A71DF1"/>
    <w:rsid w:val="00A73069"/>
    <w:rsid w:val="00A7465B"/>
    <w:rsid w:val="00A76E9C"/>
    <w:rsid w:val="00A80919"/>
    <w:rsid w:val="00A84063"/>
    <w:rsid w:val="00A86A13"/>
    <w:rsid w:val="00A90305"/>
    <w:rsid w:val="00A90A2C"/>
    <w:rsid w:val="00A95F47"/>
    <w:rsid w:val="00A964C2"/>
    <w:rsid w:val="00AA0D5C"/>
    <w:rsid w:val="00AA0D71"/>
    <w:rsid w:val="00AA194B"/>
    <w:rsid w:val="00AA473F"/>
    <w:rsid w:val="00AB1E49"/>
    <w:rsid w:val="00AB2BC0"/>
    <w:rsid w:val="00AB4BC1"/>
    <w:rsid w:val="00AB5259"/>
    <w:rsid w:val="00AB68A4"/>
    <w:rsid w:val="00AB71E5"/>
    <w:rsid w:val="00AC0B18"/>
    <w:rsid w:val="00AC260C"/>
    <w:rsid w:val="00AC39E5"/>
    <w:rsid w:val="00AD1F70"/>
    <w:rsid w:val="00AD29E4"/>
    <w:rsid w:val="00AD3503"/>
    <w:rsid w:val="00AD5770"/>
    <w:rsid w:val="00AD7078"/>
    <w:rsid w:val="00AE0719"/>
    <w:rsid w:val="00AE0F0F"/>
    <w:rsid w:val="00AE129A"/>
    <w:rsid w:val="00AE53B6"/>
    <w:rsid w:val="00AE5C5B"/>
    <w:rsid w:val="00AE5D44"/>
    <w:rsid w:val="00AE7684"/>
    <w:rsid w:val="00AE7DFA"/>
    <w:rsid w:val="00AF66AD"/>
    <w:rsid w:val="00AF6B09"/>
    <w:rsid w:val="00AF7688"/>
    <w:rsid w:val="00B00835"/>
    <w:rsid w:val="00B00D79"/>
    <w:rsid w:val="00B00DEF"/>
    <w:rsid w:val="00B01DBC"/>
    <w:rsid w:val="00B029E8"/>
    <w:rsid w:val="00B04D23"/>
    <w:rsid w:val="00B0554B"/>
    <w:rsid w:val="00B109AA"/>
    <w:rsid w:val="00B16395"/>
    <w:rsid w:val="00B17B2F"/>
    <w:rsid w:val="00B241B5"/>
    <w:rsid w:val="00B2489A"/>
    <w:rsid w:val="00B24FDD"/>
    <w:rsid w:val="00B2612A"/>
    <w:rsid w:val="00B2791E"/>
    <w:rsid w:val="00B313B7"/>
    <w:rsid w:val="00B344DA"/>
    <w:rsid w:val="00B357D6"/>
    <w:rsid w:val="00B470BA"/>
    <w:rsid w:val="00B5062D"/>
    <w:rsid w:val="00B55347"/>
    <w:rsid w:val="00B56CC3"/>
    <w:rsid w:val="00B57F9E"/>
    <w:rsid w:val="00B62228"/>
    <w:rsid w:val="00B626FF"/>
    <w:rsid w:val="00B6308B"/>
    <w:rsid w:val="00B642E1"/>
    <w:rsid w:val="00B65F2F"/>
    <w:rsid w:val="00B6629A"/>
    <w:rsid w:val="00B673C5"/>
    <w:rsid w:val="00B70D04"/>
    <w:rsid w:val="00B7150C"/>
    <w:rsid w:val="00B72A0E"/>
    <w:rsid w:val="00B77D39"/>
    <w:rsid w:val="00B83ADB"/>
    <w:rsid w:val="00B8552F"/>
    <w:rsid w:val="00B87828"/>
    <w:rsid w:val="00B90077"/>
    <w:rsid w:val="00B91B6C"/>
    <w:rsid w:val="00B93515"/>
    <w:rsid w:val="00B95873"/>
    <w:rsid w:val="00B9714D"/>
    <w:rsid w:val="00BA151E"/>
    <w:rsid w:val="00BA1F42"/>
    <w:rsid w:val="00BA3EF2"/>
    <w:rsid w:val="00BA5045"/>
    <w:rsid w:val="00BA6467"/>
    <w:rsid w:val="00BA7519"/>
    <w:rsid w:val="00BA7C15"/>
    <w:rsid w:val="00BB0B24"/>
    <w:rsid w:val="00BB6253"/>
    <w:rsid w:val="00BB781C"/>
    <w:rsid w:val="00BC0C17"/>
    <w:rsid w:val="00BC0CD7"/>
    <w:rsid w:val="00BC669B"/>
    <w:rsid w:val="00BC719C"/>
    <w:rsid w:val="00BC73EC"/>
    <w:rsid w:val="00BD021C"/>
    <w:rsid w:val="00BE02BC"/>
    <w:rsid w:val="00BE4972"/>
    <w:rsid w:val="00BE61BC"/>
    <w:rsid w:val="00BE7E39"/>
    <w:rsid w:val="00BF25F8"/>
    <w:rsid w:val="00BF61BD"/>
    <w:rsid w:val="00BF6B88"/>
    <w:rsid w:val="00C00510"/>
    <w:rsid w:val="00C0184D"/>
    <w:rsid w:val="00C03B72"/>
    <w:rsid w:val="00C1016B"/>
    <w:rsid w:val="00C17AAF"/>
    <w:rsid w:val="00C26DB4"/>
    <w:rsid w:val="00C338BE"/>
    <w:rsid w:val="00C341B3"/>
    <w:rsid w:val="00C35239"/>
    <w:rsid w:val="00C35584"/>
    <w:rsid w:val="00C40288"/>
    <w:rsid w:val="00C40725"/>
    <w:rsid w:val="00C41029"/>
    <w:rsid w:val="00C41343"/>
    <w:rsid w:val="00C41AD6"/>
    <w:rsid w:val="00C4426F"/>
    <w:rsid w:val="00C455B4"/>
    <w:rsid w:val="00C461B3"/>
    <w:rsid w:val="00C4747A"/>
    <w:rsid w:val="00C4759D"/>
    <w:rsid w:val="00C51275"/>
    <w:rsid w:val="00C516D8"/>
    <w:rsid w:val="00C5331D"/>
    <w:rsid w:val="00C54F37"/>
    <w:rsid w:val="00C56704"/>
    <w:rsid w:val="00C573AA"/>
    <w:rsid w:val="00C62160"/>
    <w:rsid w:val="00C6599B"/>
    <w:rsid w:val="00C65E7F"/>
    <w:rsid w:val="00C67C10"/>
    <w:rsid w:val="00C7010D"/>
    <w:rsid w:val="00C702D1"/>
    <w:rsid w:val="00C71E1E"/>
    <w:rsid w:val="00C72A87"/>
    <w:rsid w:val="00C734E1"/>
    <w:rsid w:val="00C75687"/>
    <w:rsid w:val="00C75731"/>
    <w:rsid w:val="00C84B99"/>
    <w:rsid w:val="00C84C75"/>
    <w:rsid w:val="00C8538E"/>
    <w:rsid w:val="00C86F28"/>
    <w:rsid w:val="00C90327"/>
    <w:rsid w:val="00C9308C"/>
    <w:rsid w:val="00C93740"/>
    <w:rsid w:val="00CA3E32"/>
    <w:rsid w:val="00CA449F"/>
    <w:rsid w:val="00CB3AA0"/>
    <w:rsid w:val="00CB4F68"/>
    <w:rsid w:val="00CC02DA"/>
    <w:rsid w:val="00CC21AB"/>
    <w:rsid w:val="00CC2F1F"/>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48"/>
    <w:rsid w:val="00D0667E"/>
    <w:rsid w:val="00D11C04"/>
    <w:rsid w:val="00D22E88"/>
    <w:rsid w:val="00D2445C"/>
    <w:rsid w:val="00D263BE"/>
    <w:rsid w:val="00D30A12"/>
    <w:rsid w:val="00D314EB"/>
    <w:rsid w:val="00D328D7"/>
    <w:rsid w:val="00D348DD"/>
    <w:rsid w:val="00D413F0"/>
    <w:rsid w:val="00D42289"/>
    <w:rsid w:val="00D445F8"/>
    <w:rsid w:val="00D4747B"/>
    <w:rsid w:val="00D47A7F"/>
    <w:rsid w:val="00D50CF8"/>
    <w:rsid w:val="00D51BED"/>
    <w:rsid w:val="00D533FA"/>
    <w:rsid w:val="00D54EE2"/>
    <w:rsid w:val="00D56406"/>
    <w:rsid w:val="00D57868"/>
    <w:rsid w:val="00D57F6E"/>
    <w:rsid w:val="00D61638"/>
    <w:rsid w:val="00D61F2E"/>
    <w:rsid w:val="00D61F51"/>
    <w:rsid w:val="00D650A9"/>
    <w:rsid w:val="00D6538C"/>
    <w:rsid w:val="00D677EA"/>
    <w:rsid w:val="00D71C28"/>
    <w:rsid w:val="00D72719"/>
    <w:rsid w:val="00D75DE1"/>
    <w:rsid w:val="00D8174F"/>
    <w:rsid w:val="00D820CC"/>
    <w:rsid w:val="00D85006"/>
    <w:rsid w:val="00D900FC"/>
    <w:rsid w:val="00D93600"/>
    <w:rsid w:val="00DA0EFB"/>
    <w:rsid w:val="00DA2545"/>
    <w:rsid w:val="00DA42B1"/>
    <w:rsid w:val="00DB09D6"/>
    <w:rsid w:val="00DB19E1"/>
    <w:rsid w:val="00DB4E57"/>
    <w:rsid w:val="00DB691B"/>
    <w:rsid w:val="00DB69D1"/>
    <w:rsid w:val="00DB78F7"/>
    <w:rsid w:val="00DC2361"/>
    <w:rsid w:val="00DC7996"/>
    <w:rsid w:val="00DD029E"/>
    <w:rsid w:val="00DD463E"/>
    <w:rsid w:val="00DD4ED2"/>
    <w:rsid w:val="00DD72FD"/>
    <w:rsid w:val="00DD7307"/>
    <w:rsid w:val="00DE25F8"/>
    <w:rsid w:val="00DF0D6F"/>
    <w:rsid w:val="00DF23B4"/>
    <w:rsid w:val="00DF3DCF"/>
    <w:rsid w:val="00DF3E1F"/>
    <w:rsid w:val="00E031A9"/>
    <w:rsid w:val="00E0521D"/>
    <w:rsid w:val="00E06511"/>
    <w:rsid w:val="00E0658C"/>
    <w:rsid w:val="00E07410"/>
    <w:rsid w:val="00E0784B"/>
    <w:rsid w:val="00E10CC5"/>
    <w:rsid w:val="00E20333"/>
    <w:rsid w:val="00E216B6"/>
    <w:rsid w:val="00E2183F"/>
    <w:rsid w:val="00E222E3"/>
    <w:rsid w:val="00E23A7F"/>
    <w:rsid w:val="00E24CA2"/>
    <w:rsid w:val="00E253EA"/>
    <w:rsid w:val="00E30A06"/>
    <w:rsid w:val="00E335B2"/>
    <w:rsid w:val="00E35C1A"/>
    <w:rsid w:val="00E36700"/>
    <w:rsid w:val="00E418CB"/>
    <w:rsid w:val="00E44A9E"/>
    <w:rsid w:val="00E464DC"/>
    <w:rsid w:val="00E475A7"/>
    <w:rsid w:val="00E50072"/>
    <w:rsid w:val="00E5636D"/>
    <w:rsid w:val="00E62CF4"/>
    <w:rsid w:val="00E65149"/>
    <w:rsid w:val="00E67AF7"/>
    <w:rsid w:val="00E7220B"/>
    <w:rsid w:val="00E76561"/>
    <w:rsid w:val="00E775D3"/>
    <w:rsid w:val="00E77884"/>
    <w:rsid w:val="00E81FBF"/>
    <w:rsid w:val="00E832FF"/>
    <w:rsid w:val="00E833B1"/>
    <w:rsid w:val="00E833EB"/>
    <w:rsid w:val="00E86D0A"/>
    <w:rsid w:val="00E871B6"/>
    <w:rsid w:val="00E875EF"/>
    <w:rsid w:val="00E87D3E"/>
    <w:rsid w:val="00E9130D"/>
    <w:rsid w:val="00E91B7B"/>
    <w:rsid w:val="00E91E8A"/>
    <w:rsid w:val="00E92ACE"/>
    <w:rsid w:val="00E933B9"/>
    <w:rsid w:val="00E95E9D"/>
    <w:rsid w:val="00E96318"/>
    <w:rsid w:val="00EA0A43"/>
    <w:rsid w:val="00EA53DB"/>
    <w:rsid w:val="00EA5953"/>
    <w:rsid w:val="00EA6599"/>
    <w:rsid w:val="00EB25C7"/>
    <w:rsid w:val="00EB753F"/>
    <w:rsid w:val="00EB7BD0"/>
    <w:rsid w:val="00EC415A"/>
    <w:rsid w:val="00EC5511"/>
    <w:rsid w:val="00EC5C49"/>
    <w:rsid w:val="00ED20B9"/>
    <w:rsid w:val="00ED26E4"/>
    <w:rsid w:val="00ED4A10"/>
    <w:rsid w:val="00ED4A2C"/>
    <w:rsid w:val="00ED51BB"/>
    <w:rsid w:val="00ED51D1"/>
    <w:rsid w:val="00ED728D"/>
    <w:rsid w:val="00EE1146"/>
    <w:rsid w:val="00EE4D80"/>
    <w:rsid w:val="00EE751F"/>
    <w:rsid w:val="00EE7567"/>
    <w:rsid w:val="00EE75AA"/>
    <w:rsid w:val="00EF110B"/>
    <w:rsid w:val="00EF430C"/>
    <w:rsid w:val="00EF4F35"/>
    <w:rsid w:val="00F01203"/>
    <w:rsid w:val="00F018DF"/>
    <w:rsid w:val="00F02408"/>
    <w:rsid w:val="00F05AD1"/>
    <w:rsid w:val="00F10CB4"/>
    <w:rsid w:val="00F11E00"/>
    <w:rsid w:val="00F124E2"/>
    <w:rsid w:val="00F174C6"/>
    <w:rsid w:val="00F23135"/>
    <w:rsid w:val="00F26455"/>
    <w:rsid w:val="00F26E84"/>
    <w:rsid w:val="00F26EB7"/>
    <w:rsid w:val="00F27EE0"/>
    <w:rsid w:val="00F35035"/>
    <w:rsid w:val="00F351F9"/>
    <w:rsid w:val="00F3669E"/>
    <w:rsid w:val="00F37DE2"/>
    <w:rsid w:val="00F4184B"/>
    <w:rsid w:val="00F43CFE"/>
    <w:rsid w:val="00F4500D"/>
    <w:rsid w:val="00F4507F"/>
    <w:rsid w:val="00F45764"/>
    <w:rsid w:val="00F4697B"/>
    <w:rsid w:val="00F510E6"/>
    <w:rsid w:val="00F560FB"/>
    <w:rsid w:val="00F60C53"/>
    <w:rsid w:val="00F63AAF"/>
    <w:rsid w:val="00F63D02"/>
    <w:rsid w:val="00F647E8"/>
    <w:rsid w:val="00F66203"/>
    <w:rsid w:val="00F7059B"/>
    <w:rsid w:val="00F75447"/>
    <w:rsid w:val="00F75A4C"/>
    <w:rsid w:val="00F84223"/>
    <w:rsid w:val="00F85306"/>
    <w:rsid w:val="00F91042"/>
    <w:rsid w:val="00F91AEC"/>
    <w:rsid w:val="00F92AD0"/>
    <w:rsid w:val="00F96E87"/>
    <w:rsid w:val="00F97DA7"/>
    <w:rsid w:val="00FA3B0F"/>
    <w:rsid w:val="00FA533D"/>
    <w:rsid w:val="00FA778F"/>
    <w:rsid w:val="00FB2C70"/>
    <w:rsid w:val="00FB4844"/>
    <w:rsid w:val="00FB4887"/>
    <w:rsid w:val="00FB50A1"/>
    <w:rsid w:val="00FB50C0"/>
    <w:rsid w:val="00FB564C"/>
    <w:rsid w:val="00FB778E"/>
    <w:rsid w:val="00FC0B1F"/>
    <w:rsid w:val="00FC0C33"/>
    <w:rsid w:val="00FC11C6"/>
    <w:rsid w:val="00FC17E4"/>
    <w:rsid w:val="00FC2A51"/>
    <w:rsid w:val="00FC679B"/>
    <w:rsid w:val="00FC70E7"/>
    <w:rsid w:val="00FD141C"/>
    <w:rsid w:val="00FD5730"/>
    <w:rsid w:val="00FD5BA7"/>
    <w:rsid w:val="00FD5DC8"/>
    <w:rsid w:val="00FE0439"/>
    <w:rsid w:val="00FE2012"/>
    <w:rsid w:val="00FE21A7"/>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eNormal2">
    <w:name w:val="TableNormal"/>
    <w:rsid w:val="004C3CF2"/>
    <w:tblPr>
      <w:tblCellMar>
        <w:top w:w="0" w:type="dxa"/>
        <w:left w:w="0" w:type="dxa"/>
        <w:bottom w:w="0" w:type="dxa"/>
        <w:right w:w="0" w:type="dxa"/>
      </w:tblCellMar>
    </w:tblPr>
  </w:style>
  <w:style w:type="paragraph" w:customStyle="1" w:styleId="Default">
    <w:name w:val="Default"/>
    <w:rsid w:val="00354897"/>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717">
      <w:bodyDiv w:val="1"/>
      <w:marLeft w:val="0"/>
      <w:marRight w:val="0"/>
      <w:marTop w:val="0"/>
      <w:marBottom w:val="0"/>
      <w:divBdr>
        <w:top w:val="none" w:sz="0" w:space="0" w:color="auto"/>
        <w:left w:val="none" w:sz="0" w:space="0" w:color="auto"/>
        <w:bottom w:val="none" w:sz="0" w:space="0" w:color="auto"/>
        <w:right w:val="none" w:sz="0" w:space="0" w:color="auto"/>
      </w:divBdr>
    </w:div>
    <w:div w:id="49618688">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60074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27611753">
      <w:bodyDiv w:val="1"/>
      <w:marLeft w:val="0"/>
      <w:marRight w:val="0"/>
      <w:marTop w:val="0"/>
      <w:marBottom w:val="0"/>
      <w:divBdr>
        <w:top w:val="none" w:sz="0" w:space="0" w:color="auto"/>
        <w:left w:val="none" w:sz="0" w:space="0" w:color="auto"/>
        <w:bottom w:val="none" w:sz="0" w:space="0" w:color="auto"/>
        <w:right w:val="none" w:sz="0" w:space="0" w:color="auto"/>
      </w:divBdr>
    </w:div>
    <w:div w:id="256794691">
      <w:bodyDiv w:val="1"/>
      <w:marLeft w:val="0"/>
      <w:marRight w:val="0"/>
      <w:marTop w:val="0"/>
      <w:marBottom w:val="0"/>
      <w:divBdr>
        <w:top w:val="none" w:sz="0" w:space="0" w:color="auto"/>
        <w:left w:val="none" w:sz="0" w:space="0" w:color="auto"/>
        <w:bottom w:val="none" w:sz="0" w:space="0" w:color="auto"/>
        <w:right w:val="none" w:sz="0" w:space="0" w:color="auto"/>
      </w:divBdr>
    </w:div>
    <w:div w:id="348719436">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5206709">
      <w:bodyDiv w:val="1"/>
      <w:marLeft w:val="0"/>
      <w:marRight w:val="0"/>
      <w:marTop w:val="0"/>
      <w:marBottom w:val="0"/>
      <w:divBdr>
        <w:top w:val="none" w:sz="0" w:space="0" w:color="auto"/>
        <w:left w:val="none" w:sz="0" w:space="0" w:color="auto"/>
        <w:bottom w:val="none" w:sz="0" w:space="0" w:color="auto"/>
        <w:right w:val="none" w:sz="0" w:space="0" w:color="auto"/>
      </w:divBdr>
    </w:div>
    <w:div w:id="747386017">
      <w:bodyDiv w:val="1"/>
      <w:marLeft w:val="0"/>
      <w:marRight w:val="0"/>
      <w:marTop w:val="0"/>
      <w:marBottom w:val="0"/>
      <w:divBdr>
        <w:top w:val="none" w:sz="0" w:space="0" w:color="auto"/>
        <w:left w:val="none" w:sz="0" w:space="0" w:color="auto"/>
        <w:bottom w:val="none" w:sz="0" w:space="0" w:color="auto"/>
        <w:right w:val="none" w:sz="0" w:space="0" w:color="auto"/>
      </w:divBdr>
    </w:div>
    <w:div w:id="779179496">
      <w:bodyDiv w:val="1"/>
      <w:marLeft w:val="0"/>
      <w:marRight w:val="0"/>
      <w:marTop w:val="0"/>
      <w:marBottom w:val="0"/>
      <w:divBdr>
        <w:top w:val="none" w:sz="0" w:space="0" w:color="auto"/>
        <w:left w:val="none" w:sz="0" w:space="0" w:color="auto"/>
        <w:bottom w:val="none" w:sz="0" w:space="0" w:color="auto"/>
        <w:right w:val="none" w:sz="0" w:space="0" w:color="auto"/>
      </w:divBdr>
    </w:div>
    <w:div w:id="811947202">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11356863">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3601668">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52012707">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1662339">
      <w:bodyDiv w:val="1"/>
      <w:marLeft w:val="0"/>
      <w:marRight w:val="0"/>
      <w:marTop w:val="0"/>
      <w:marBottom w:val="0"/>
      <w:divBdr>
        <w:top w:val="none" w:sz="0" w:space="0" w:color="auto"/>
        <w:left w:val="none" w:sz="0" w:space="0" w:color="auto"/>
        <w:bottom w:val="none" w:sz="0" w:space="0" w:color="auto"/>
        <w:right w:val="none" w:sz="0" w:space="0" w:color="auto"/>
      </w:divBdr>
      <w:divsChild>
        <w:div w:id="1442794745">
          <w:marLeft w:val="0"/>
          <w:marRight w:val="0"/>
          <w:marTop w:val="0"/>
          <w:marBottom w:val="0"/>
          <w:divBdr>
            <w:top w:val="none" w:sz="0" w:space="0" w:color="auto"/>
            <w:left w:val="none" w:sz="0" w:space="0" w:color="auto"/>
            <w:bottom w:val="none" w:sz="0" w:space="0" w:color="auto"/>
            <w:right w:val="none" w:sz="0" w:space="0" w:color="auto"/>
          </w:divBdr>
        </w:div>
      </w:divsChild>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55585615">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73494409">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83677269">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49</Pages>
  <Words>13310</Words>
  <Characters>73210</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28</cp:revision>
  <cp:lastPrinted>2026-04-17T17:26:00Z</cp:lastPrinted>
  <dcterms:created xsi:type="dcterms:W3CDTF">2026-04-07T23:54:00Z</dcterms:created>
  <dcterms:modified xsi:type="dcterms:W3CDTF">2026-04-23T19:34:00Z</dcterms:modified>
</cp:coreProperties>
</file>