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5CE" w:rsidRPr="00E47648" w:rsidRDefault="00354243">
      <w:pPr>
        <w:spacing w:line="360" w:lineRule="auto"/>
        <w:jc w:val="both"/>
        <w:rPr>
          <w:rFonts w:ascii="Palatino Linotype" w:eastAsia="Palatino Linotype" w:hAnsi="Palatino Linotype" w:cs="Palatino Linotype"/>
          <w:b/>
        </w:rPr>
      </w:pPr>
      <w:bookmarkStart w:id="0" w:name="_GoBack"/>
      <w:bookmarkEnd w:id="0"/>
      <w:r w:rsidRPr="00E4764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w:t>
      </w:r>
      <w:r w:rsidRPr="00E47648">
        <w:t>domicilio</w:t>
      </w:r>
      <w:r w:rsidRPr="00E47648">
        <w:rPr>
          <w:rFonts w:ascii="Palatino Linotype" w:eastAsia="Palatino Linotype" w:hAnsi="Palatino Linotype" w:cs="Palatino Linotype"/>
        </w:rPr>
        <w:t xml:space="preserve"> en Metepec, E</w:t>
      </w:r>
      <w:r w:rsidR="00E679F1" w:rsidRPr="00E47648">
        <w:rPr>
          <w:rFonts w:ascii="Palatino Linotype" w:eastAsia="Palatino Linotype" w:hAnsi="Palatino Linotype" w:cs="Palatino Linotype"/>
        </w:rPr>
        <w:t xml:space="preserve">stado de México; </w:t>
      </w:r>
      <w:r w:rsidR="00E679F1" w:rsidRPr="00E47648">
        <w:rPr>
          <w:rFonts w:ascii="Palatino Linotype" w:eastAsia="Palatino Linotype" w:hAnsi="Palatino Linotype" w:cs="Palatino Linotype"/>
          <w:b/>
        </w:rPr>
        <w:t>de fecha cinco</w:t>
      </w:r>
      <w:r w:rsidR="00E47648" w:rsidRPr="00E47648">
        <w:rPr>
          <w:rFonts w:ascii="Palatino Linotype" w:eastAsia="Palatino Linotype" w:hAnsi="Palatino Linotype" w:cs="Palatino Linotype"/>
          <w:b/>
        </w:rPr>
        <w:t xml:space="preserve"> (05)</w:t>
      </w:r>
      <w:r w:rsidRPr="00E47648">
        <w:rPr>
          <w:rFonts w:ascii="Palatino Linotype" w:eastAsia="Palatino Linotype" w:hAnsi="Palatino Linotype" w:cs="Palatino Linotype"/>
          <w:b/>
        </w:rPr>
        <w:t xml:space="preserve"> de febrero de dos mil veintiséis. </w:t>
      </w:r>
    </w:p>
    <w:p w:rsidR="000E65CE" w:rsidRPr="00E47648" w:rsidRDefault="000E65CE">
      <w:pPr>
        <w:spacing w:line="360" w:lineRule="auto"/>
        <w:jc w:val="both"/>
        <w:rPr>
          <w:rFonts w:ascii="Palatino Linotype" w:eastAsia="Palatino Linotype" w:hAnsi="Palatino Linotype" w:cs="Palatino Linotype"/>
        </w:rPr>
      </w:pPr>
    </w:p>
    <w:p w:rsidR="000E65CE" w:rsidRPr="00E47648" w:rsidRDefault="00354243">
      <w:pPr>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b/>
          <w:bCs/>
        </w:rPr>
        <w:t>VISTO</w:t>
      </w:r>
      <w:r w:rsidRPr="00E47648">
        <w:rPr>
          <w:rFonts w:ascii="Palatino Linotype" w:eastAsia="Palatino Linotype" w:hAnsi="Palatino Linotype" w:cs="Palatino Linotype"/>
        </w:rPr>
        <w:t xml:space="preserve"> el expediente electrónico formado con motivo del recurso de revisión </w:t>
      </w:r>
      <w:r w:rsidRPr="00E47648">
        <w:rPr>
          <w:rFonts w:ascii="Palatino Linotype" w:eastAsia="Palatino Linotype" w:hAnsi="Palatino Linotype" w:cs="Palatino Linotype"/>
          <w:b/>
          <w:bCs/>
        </w:rPr>
        <w:t xml:space="preserve">07638/INFOEM/IP/RR/2025, </w:t>
      </w:r>
      <w:r w:rsidRPr="00E47648">
        <w:rPr>
          <w:rFonts w:ascii="Palatino Linotype" w:eastAsia="Palatino Linotype" w:hAnsi="Palatino Linotype" w:cs="Palatino Linotype"/>
        </w:rPr>
        <w:t xml:space="preserve">promovido por </w:t>
      </w:r>
      <w:r w:rsidRPr="002525C7">
        <w:rPr>
          <w:rFonts w:ascii="Palatino Linotype" w:eastAsia="Palatino Linotype" w:hAnsi="Palatino Linotype" w:cs="Palatino Linotype"/>
          <w:b/>
        </w:rPr>
        <w:t xml:space="preserve">un usuario </w:t>
      </w:r>
      <w:r w:rsidR="00E679F1" w:rsidRPr="002525C7">
        <w:rPr>
          <w:rFonts w:ascii="Palatino Linotype" w:eastAsia="Palatino Linotype" w:hAnsi="Palatino Linotype" w:cs="Palatino Linotype"/>
          <w:b/>
        </w:rPr>
        <w:t>que no proporcionó datos de identificación</w:t>
      </w:r>
      <w:r w:rsidRPr="00E47648">
        <w:rPr>
          <w:rFonts w:ascii="Palatino Linotype" w:eastAsia="Palatino Linotype" w:hAnsi="Palatino Linotype" w:cs="Palatino Linotype"/>
          <w:b/>
          <w:bCs/>
        </w:rPr>
        <w:t>,</w:t>
      </w:r>
      <w:r w:rsidRPr="00E47648">
        <w:rPr>
          <w:rFonts w:ascii="Palatino Linotype" w:eastAsia="Palatino Linotype" w:hAnsi="Palatino Linotype" w:cs="Palatino Linotype"/>
        </w:rPr>
        <w:t xml:space="preserve"> </w:t>
      </w:r>
      <w:r w:rsidR="00E679F1" w:rsidRPr="00E47648">
        <w:rPr>
          <w:rFonts w:ascii="Palatino Linotype" w:eastAsia="Palatino Linotype" w:hAnsi="Palatino Linotype" w:cs="Palatino Linotype"/>
        </w:rPr>
        <w:t xml:space="preserve">a </w:t>
      </w:r>
      <w:r w:rsidRPr="00E47648">
        <w:rPr>
          <w:rFonts w:ascii="Palatino Linotype" w:eastAsia="Palatino Linotype" w:hAnsi="Palatino Linotype" w:cs="Palatino Linotype"/>
        </w:rPr>
        <w:t xml:space="preserve">quien en lo sucesivo se identificará como </w:t>
      </w:r>
      <w:r w:rsidRPr="00E47648">
        <w:rPr>
          <w:rFonts w:ascii="Palatino Linotype" w:eastAsia="Palatino Linotype" w:hAnsi="Palatino Linotype" w:cs="Palatino Linotype"/>
          <w:b/>
          <w:bCs/>
        </w:rPr>
        <w:t>EL RECURRENTE</w:t>
      </w:r>
      <w:r w:rsidRPr="00E47648">
        <w:rPr>
          <w:rFonts w:ascii="Palatino Linotype" w:eastAsia="Palatino Linotype" w:hAnsi="Palatino Linotype" w:cs="Palatino Linotype"/>
        </w:rPr>
        <w:t xml:space="preserve">, en contra de la respuesta de la </w:t>
      </w:r>
      <w:r w:rsidRPr="00E47648">
        <w:rPr>
          <w:rFonts w:ascii="Palatino Linotype" w:eastAsia="Palatino Linotype" w:hAnsi="Palatino Linotype" w:cs="Palatino Linotype"/>
          <w:b/>
          <w:bCs/>
        </w:rPr>
        <w:t xml:space="preserve">Ayuntamiento de Naucalpan de Juárez, </w:t>
      </w:r>
      <w:r w:rsidRPr="00E47648">
        <w:rPr>
          <w:rFonts w:ascii="Palatino Linotype" w:eastAsia="Palatino Linotype" w:hAnsi="Palatino Linotype" w:cs="Palatino Linotype"/>
        </w:rPr>
        <w:t>en adelante el</w:t>
      </w:r>
      <w:r w:rsidRPr="00E47648">
        <w:rPr>
          <w:rFonts w:ascii="Palatino Linotype" w:eastAsia="Palatino Linotype" w:hAnsi="Palatino Linotype" w:cs="Palatino Linotype"/>
          <w:b/>
          <w:bCs/>
        </w:rPr>
        <w:t xml:space="preserve"> SUJETO OBLIGADO</w:t>
      </w:r>
      <w:r w:rsidRPr="00E47648">
        <w:rPr>
          <w:rFonts w:ascii="Palatino Linotype" w:eastAsia="Palatino Linotype" w:hAnsi="Palatino Linotype" w:cs="Palatino Linotype"/>
        </w:rPr>
        <w:t>, por lo que se procede a dictar la presente resolución, con base en los siguientes:</w:t>
      </w:r>
    </w:p>
    <w:p w:rsidR="000E65CE" w:rsidRPr="00E47648" w:rsidRDefault="000E65CE">
      <w:pPr>
        <w:spacing w:line="360" w:lineRule="auto"/>
        <w:jc w:val="both"/>
        <w:rPr>
          <w:rFonts w:ascii="Palatino Linotype" w:eastAsia="Palatino Linotype" w:hAnsi="Palatino Linotype" w:cs="Palatino Linotype"/>
          <w:b/>
          <w:bCs/>
        </w:rPr>
      </w:pPr>
    </w:p>
    <w:p w:rsidR="000E65CE" w:rsidRPr="00E47648" w:rsidRDefault="00354243">
      <w:pPr>
        <w:keepNext/>
        <w:keepLines/>
        <w:spacing w:line="360" w:lineRule="auto"/>
        <w:jc w:val="center"/>
        <w:rPr>
          <w:rFonts w:ascii="Palatino Linotype" w:eastAsia="Palatino Linotype" w:hAnsi="Palatino Linotype" w:cs="Palatino Linotype"/>
          <w:b/>
          <w:bCs/>
        </w:rPr>
      </w:pPr>
      <w:bookmarkStart w:id="1" w:name="_heading=h.gjdgxs" w:colFirst="0" w:colLast="0"/>
      <w:bookmarkEnd w:id="1"/>
      <w:r w:rsidRPr="00E47648">
        <w:rPr>
          <w:rFonts w:ascii="Palatino Linotype" w:eastAsia="Palatino Linotype" w:hAnsi="Palatino Linotype" w:cs="Palatino Linotype"/>
          <w:b/>
          <w:bCs/>
        </w:rPr>
        <w:t>A N T E C E D E N T E S</w:t>
      </w:r>
    </w:p>
    <w:p w:rsidR="000E65CE" w:rsidRPr="00E47648" w:rsidRDefault="000E65CE">
      <w:pPr>
        <w:spacing w:line="360" w:lineRule="auto"/>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w:t>
      </w:r>
      <w:r w:rsidRPr="00E47648">
        <w:rPr>
          <w:rFonts w:ascii="Palatino Linotype" w:eastAsia="Palatino Linotype" w:hAnsi="Palatino Linotype" w:cs="Palatino Linotype"/>
          <w:b/>
          <w:bCs/>
        </w:rPr>
        <w:t>veintitrés de junio de dos mil veinticinco</w:t>
      </w:r>
      <w:r w:rsidRPr="00E47648">
        <w:rPr>
          <w:rFonts w:ascii="Palatino Linotype" w:eastAsia="Palatino Linotype" w:hAnsi="Palatino Linotype" w:cs="Palatino Linotype"/>
        </w:rPr>
        <w:t xml:space="preserve">, </w:t>
      </w:r>
      <w:r w:rsidRPr="00E47648">
        <w:rPr>
          <w:rFonts w:ascii="Palatino Linotype" w:eastAsia="Palatino Linotype" w:hAnsi="Palatino Linotype" w:cs="Palatino Linotype"/>
          <w:b/>
          <w:bCs/>
        </w:rPr>
        <w:t>EL RECURRENTE,</w:t>
      </w:r>
      <w:r w:rsidRPr="00E47648">
        <w:rPr>
          <w:rFonts w:ascii="Palatino Linotype" w:eastAsia="Palatino Linotype" w:hAnsi="Palatino Linotype" w:cs="Palatino Linotype"/>
        </w:rPr>
        <w:t xml:space="preserve"> ante el </w:t>
      </w:r>
      <w:r w:rsidRPr="00E47648">
        <w:rPr>
          <w:rFonts w:ascii="Palatino Linotype" w:eastAsia="Palatino Linotype" w:hAnsi="Palatino Linotype" w:cs="Palatino Linotype"/>
          <w:b/>
          <w:bCs/>
        </w:rPr>
        <w:t>SUJETO OBLIGADO</w:t>
      </w:r>
      <w:r w:rsidRPr="00E47648">
        <w:rPr>
          <w:rFonts w:ascii="Palatino Linotype" w:eastAsia="Palatino Linotype" w:hAnsi="Palatino Linotype" w:cs="Palatino Linotype"/>
        </w:rPr>
        <w:t xml:space="preserve"> a través del Sistema de Acceso a la Información Mexiquense (SAIMEX), presentó una solicitud de información registrada con el número </w:t>
      </w:r>
      <w:r w:rsidRPr="00E47648">
        <w:rPr>
          <w:rFonts w:ascii="Palatino Linotype" w:eastAsia="Palatino Linotype" w:hAnsi="Palatino Linotype" w:cs="Palatino Linotype"/>
          <w:b/>
          <w:bCs/>
        </w:rPr>
        <w:t xml:space="preserve">00502/NAUCALPA/IP/2025, </w:t>
      </w:r>
      <w:r w:rsidRPr="00E47648">
        <w:rPr>
          <w:rFonts w:ascii="Palatino Linotype" w:eastAsia="Palatino Linotype" w:hAnsi="Palatino Linotype" w:cs="Palatino Linotype"/>
        </w:rPr>
        <w:t>en la que se solicitó lo siguiente:</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354243">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“Cuantos suicidios se han registrado en los últimos 5 años y en que colonias han ocurrido” (Sic)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Se señaló como modalidad de entrega a través de SAIMEX.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w:t>
      </w:r>
      <w:r w:rsidRPr="00E47648">
        <w:rPr>
          <w:rFonts w:ascii="Palatino Linotype" w:eastAsia="Palatino Linotype" w:hAnsi="Palatino Linotype" w:cs="Palatino Linotype"/>
          <w:b/>
          <w:bCs/>
        </w:rPr>
        <w:t>veintitrés de junio de dos mil veinticinco</w:t>
      </w:r>
      <w:r w:rsidRPr="00E47648">
        <w:rPr>
          <w:rFonts w:ascii="Palatino Linotype" w:eastAsia="Palatino Linotype" w:hAnsi="Palatino Linotype" w:cs="Palatino Linotype"/>
        </w:rPr>
        <w:t>, el Sujeto Obligado dio respuesta a la solicitud de información en los siguientes términos:</w:t>
      </w:r>
    </w:p>
    <w:p w:rsidR="000E65CE" w:rsidRPr="00E47648" w:rsidRDefault="000E65CE">
      <w:pPr>
        <w:spacing w:line="360" w:lineRule="auto"/>
        <w:jc w:val="both"/>
        <w:rPr>
          <w:rFonts w:ascii="Palatino Linotype" w:eastAsia="Palatino Linotype" w:hAnsi="Palatino Linotype" w:cs="Palatino Linotype"/>
        </w:rPr>
      </w:pPr>
    </w:p>
    <w:tbl>
      <w:tblPr>
        <w:tblStyle w:val="a"/>
        <w:tblW w:w="7668" w:type="dxa"/>
        <w:tblInd w:w="993" w:type="dxa"/>
        <w:tblLayout w:type="fixed"/>
        <w:tblLook w:val="0400" w:firstRow="0" w:lastRow="0" w:firstColumn="0" w:lastColumn="0" w:noHBand="0" w:noVBand="1"/>
      </w:tblPr>
      <w:tblGrid>
        <w:gridCol w:w="7668"/>
      </w:tblGrid>
      <w:tr w:rsidR="000E65CE" w:rsidRPr="00E47648">
        <w:trPr>
          <w:trHeight w:val="289"/>
        </w:trPr>
        <w:tc>
          <w:tcPr>
            <w:tcW w:w="7668" w:type="dxa"/>
            <w:vAlign w:val="center"/>
          </w:tcPr>
          <w:p w:rsidR="000E65CE" w:rsidRPr="00E47648" w:rsidRDefault="00354243">
            <w:pPr>
              <w:jc w:val="right"/>
              <w:rPr>
                <w:rFonts w:ascii="Palatino Linotype" w:eastAsia="Palatino Linotype" w:hAnsi="Palatino Linotype" w:cs="Palatino Linotype"/>
                <w:i/>
                <w:iCs/>
              </w:rPr>
            </w:pPr>
            <w:r w:rsidRPr="00E47648">
              <w:rPr>
                <w:rFonts w:ascii="Palatino Linotype" w:eastAsia="Palatino Linotype" w:hAnsi="Palatino Linotype" w:cs="Palatino Linotype"/>
                <w:i/>
                <w:iCs/>
              </w:rPr>
              <w:lastRenderedPageBreak/>
              <w:t>Naucalpan de Juárez, México a 23 de Junio de 2025</w:t>
            </w:r>
          </w:p>
        </w:tc>
      </w:tr>
      <w:tr w:rsidR="000E65CE" w:rsidRPr="00E47648">
        <w:trPr>
          <w:trHeight w:val="289"/>
        </w:trPr>
        <w:tc>
          <w:tcPr>
            <w:tcW w:w="7668" w:type="dxa"/>
            <w:vAlign w:val="center"/>
          </w:tcPr>
          <w:p w:rsidR="000E65CE" w:rsidRPr="00E47648" w:rsidRDefault="00354243">
            <w:pPr>
              <w:jc w:val="right"/>
              <w:rPr>
                <w:rFonts w:ascii="Palatino Linotype" w:eastAsia="Palatino Linotype" w:hAnsi="Palatino Linotype" w:cs="Palatino Linotype"/>
                <w:i/>
                <w:iCs/>
              </w:rPr>
            </w:pPr>
            <w:r w:rsidRPr="00E47648">
              <w:rPr>
                <w:rFonts w:ascii="Palatino Linotype" w:eastAsia="Palatino Linotype" w:hAnsi="Palatino Linotype" w:cs="Palatino Linotype"/>
                <w:i/>
                <w:iCs/>
              </w:rPr>
              <w:t>Nombre del solicitante: C. Solicitante</w:t>
            </w:r>
          </w:p>
        </w:tc>
      </w:tr>
      <w:tr w:rsidR="000E65CE" w:rsidRPr="00E47648">
        <w:trPr>
          <w:trHeight w:val="289"/>
        </w:trPr>
        <w:tc>
          <w:tcPr>
            <w:tcW w:w="7668" w:type="dxa"/>
            <w:vAlign w:val="center"/>
          </w:tcPr>
          <w:p w:rsidR="000E65CE" w:rsidRPr="00E47648" w:rsidRDefault="00354243">
            <w:pPr>
              <w:jc w:val="right"/>
              <w:rPr>
                <w:rFonts w:ascii="Palatino Linotype" w:eastAsia="Palatino Linotype" w:hAnsi="Palatino Linotype" w:cs="Palatino Linotype"/>
                <w:i/>
                <w:iCs/>
              </w:rPr>
            </w:pPr>
            <w:r w:rsidRPr="00E47648">
              <w:rPr>
                <w:rFonts w:ascii="Palatino Linotype" w:eastAsia="Palatino Linotype" w:hAnsi="Palatino Linotype" w:cs="Palatino Linotype"/>
                <w:i/>
                <w:iCs/>
              </w:rPr>
              <w:t>Folio de la solicitud: 00502/NAUCALPA/IP/2025</w:t>
            </w:r>
          </w:p>
        </w:tc>
      </w:tr>
      <w:tr w:rsidR="000E65CE" w:rsidRPr="00E47648">
        <w:trPr>
          <w:trHeight w:val="434"/>
        </w:trPr>
        <w:tc>
          <w:tcPr>
            <w:tcW w:w="7668" w:type="dxa"/>
            <w:vAlign w:val="center"/>
          </w:tcPr>
          <w:p w:rsidR="000E65CE" w:rsidRPr="00E47648" w:rsidRDefault="000E65CE">
            <w:pPr>
              <w:jc w:val="right"/>
              <w:rPr>
                <w:rFonts w:ascii="Palatino Linotype" w:eastAsia="Palatino Linotype" w:hAnsi="Palatino Linotype" w:cs="Palatino Linotype"/>
                <w:i/>
                <w:iCs/>
              </w:rPr>
            </w:pPr>
          </w:p>
        </w:tc>
      </w:tr>
      <w:tr w:rsidR="000E65CE" w:rsidRPr="00E47648">
        <w:trPr>
          <w:trHeight w:val="144"/>
        </w:trPr>
        <w:tc>
          <w:tcPr>
            <w:tcW w:w="7668" w:type="dxa"/>
            <w:vAlign w:val="center"/>
          </w:tcPr>
          <w:p w:rsidR="000E65CE" w:rsidRPr="00E47648" w:rsidRDefault="000E65CE">
            <w:pPr>
              <w:jc w:val="center"/>
              <w:rPr>
                <w:rFonts w:ascii="Palatino Linotype" w:eastAsia="Palatino Linotype" w:hAnsi="Palatino Linotype" w:cs="Palatino Linotype"/>
                <w:i/>
                <w:iCs/>
              </w:rPr>
            </w:pPr>
          </w:p>
        </w:tc>
      </w:tr>
      <w:tr w:rsidR="000E65CE" w:rsidRPr="00E47648">
        <w:trPr>
          <w:trHeight w:val="361"/>
        </w:trPr>
        <w:tc>
          <w:tcPr>
            <w:tcW w:w="7668" w:type="dxa"/>
            <w:vAlign w:val="center"/>
          </w:tcPr>
          <w:p w:rsidR="000E65CE" w:rsidRPr="00E47648" w:rsidRDefault="000E65CE">
            <w:pPr>
              <w:rPr>
                <w:rFonts w:ascii="Palatino Linotype" w:eastAsia="Palatino Linotype" w:hAnsi="Palatino Linotype" w:cs="Palatino Linotype"/>
                <w:i/>
                <w:iCs/>
              </w:rPr>
            </w:pPr>
          </w:p>
        </w:tc>
      </w:tr>
      <w:tr w:rsidR="000E65CE" w:rsidRPr="00E47648">
        <w:trPr>
          <w:trHeight w:val="144"/>
        </w:trPr>
        <w:tc>
          <w:tcPr>
            <w:tcW w:w="7668" w:type="dxa"/>
            <w:vAlign w:val="center"/>
          </w:tcPr>
          <w:p w:rsidR="000E65CE" w:rsidRPr="00E47648" w:rsidRDefault="00354243">
            <w:pPr>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Naucalpan de Juárez, México, a 23 de junio del 2025. Oficio: No. PM/JOP/CUTAIP/ 535/2025 Asunto: Incompetencia ESTIMADA PERSONA SOLICITANTE PRESENTE. Hago referencia a la solicitud de información pública identificada con el número de folio 00502/NAUCALPA/IP/2025, recibida en fecha 23 de junio de 2025, a través del Sistema de Acceso a la Información Mexiquense (SAIMEX), donde solicita lo siguiente: “ . Cuantos suicidios se han registrado en los últimos 5 años y en que colonias han ocurrido....” Del análisis a lo solicitado, hago de su conocimiento que, conforme al Reglamento Orgánico de la Administración Pública Municipal de Naucalpan de Juárez, Estado de México, dentro de las facultades, atribuciones y competencias, no se encuentra las de generar la información a la que desea acceder, ya que la misma está relacionada con información que cuenta la Fiscalía General de Justicia del Estado de México. En ese sentido, le informo que, el Sujeto Obligado que pudiera tener la información a la que desea acceder, es la Fiscalía General de Justicia del Estado de México. En razón a lo anterior este Sujeto Obligado se declara incompetente para atender la solicitud de acceso a Datos Personales, en ese sentido, se sugiere dirija su solicitud, a la Unidad de Transparencia de la Fiscalía General de Justicia del Estado de México, por ser el sujeto obligado competente que pudiera contar con la información de su interés, para ello a continuación se ponen a su disposición los datos de contacto: Unidad de Transparencia de la Fiscalía General de Justicia del Estado de México: Hipervínculo al sitio oficial: https://fgjem.edomex.gob.mx/ No obvio cometerle que puede presentar su solicitud de Acceso a la Información Pública a través de la Plataforma Nacional de Transparencia (PNT) y del Sistema de acceso a la Información Mexiquense (SAIMEX); para lo cual se proporcionan las ligas siguientes: https://www.plataformadetransparencia.org.mx/web/guest/home https://www.saimex.org.mx/saimex/ciudadano/login.page Sin otro particular por el momento, reciba un cordial saludo. Naucalpan de Juárez, México, a 23 de junio del 2025. Oficio: No. PM/JOP/CUTAIP/ 535/2025 Asunto: Incompetencia ATENTAMENTE “AQUÍ GOBIERNA LA ESPERANZA” C. </w:t>
            </w:r>
            <w:r w:rsidRPr="00E47648">
              <w:rPr>
                <w:rFonts w:ascii="Palatino Linotype" w:eastAsia="Palatino Linotype" w:hAnsi="Palatino Linotype" w:cs="Palatino Linotype"/>
                <w:i/>
                <w:iCs/>
              </w:rPr>
              <w:lastRenderedPageBreak/>
              <w:t>DANIEL TABOADA ELIAS COORDINADOR DE LA UNIDAD DE TRANSPARENCIA Y ACCESO A LA INFORMACIÓN PÚBLICA</w:t>
            </w:r>
          </w:p>
        </w:tc>
      </w:tr>
      <w:tr w:rsidR="000E65CE" w:rsidRPr="00E47648">
        <w:trPr>
          <w:trHeight w:val="361"/>
        </w:trPr>
        <w:tc>
          <w:tcPr>
            <w:tcW w:w="7668" w:type="dxa"/>
            <w:vAlign w:val="center"/>
          </w:tcPr>
          <w:p w:rsidR="000E65CE" w:rsidRPr="00E47648" w:rsidRDefault="000E65CE">
            <w:pPr>
              <w:rPr>
                <w:rFonts w:ascii="Palatino Linotype" w:eastAsia="Palatino Linotype" w:hAnsi="Palatino Linotype" w:cs="Palatino Linotype"/>
                <w:i/>
                <w:iCs/>
              </w:rPr>
            </w:pPr>
          </w:p>
        </w:tc>
      </w:tr>
      <w:tr w:rsidR="000E65CE" w:rsidRPr="00E47648">
        <w:trPr>
          <w:trHeight w:val="144"/>
        </w:trPr>
        <w:tc>
          <w:tcPr>
            <w:tcW w:w="7668" w:type="dxa"/>
            <w:vAlign w:val="center"/>
          </w:tcPr>
          <w:p w:rsidR="000E65CE" w:rsidRPr="00E47648" w:rsidRDefault="000E65CE">
            <w:pPr>
              <w:jc w:val="center"/>
              <w:rPr>
                <w:rFonts w:ascii="Palatino Linotype" w:eastAsia="Palatino Linotype" w:hAnsi="Palatino Linotype" w:cs="Palatino Linotype"/>
                <w:i/>
                <w:iCs/>
              </w:rPr>
            </w:pPr>
          </w:p>
        </w:tc>
      </w:tr>
      <w:tr w:rsidR="000E65CE" w:rsidRPr="00E47648">
        <w:trPr>
          <w:trHeight w:val="144"/>
        </w:trPr>
        <w:tc>
          <w:tcPr>
            <w:tcW w:w="7668" w:type="dxa"/>
            <w:vAlign w:val="center"/>
          </w:tcPr>
          <w:p w:rsidR="000E65CE" w:rsidRPr="00E47648" w:rsidRDefault="000E65CE">
            <w:pPr>
              <w:rPr>
                <w:rFonts w:ascii="Palatino Linotype" w:eastAsia="Palatino Linotype" w:hAnsi="Palatino Linotype" w:cs="Palatino Linotype"/>
                <w:i/>
                <w:iCs/>
              </w:rPr>
            </w:pPr>
          </w:p>
        </w:tc>
      </w:tr>
      <w:tr w:rsidR="000E65CE" w:rsidRPr="00E47648">
        <w:trPr>
          <w:trHeight w:val="144"/>
        </w:trPr>
        <w:tc>
          <w:tcPr>
            <w:tcW w:w="7668" w:type="dxa"/>
            <w:vAlign w:val="center"/>
          </w:tcPr>
          <w:p w:rsidR="000E65CE" w:rsidRPr="00E47648" w:rsidRDefault="00354243">
            <w:pPr>
              <w:rPr>
                <w:rFonts w:ascii="Palatino Linotype" w:eastAsia="Palatino Linotype" w:hAnsi="Palatino Linotype" w:cs="Palatino Linotype"/>
                <w:i/>
                <w:iCs/>
              </w:rPr>
            </w:pPr>
            <w:r w:rsidRPr="00E47648">
              <w:rPr>
                <w:rFonts w:ascii="Palatino Linotype" w:eastAsia="Palatino Linotype" w:hAnsi="Palatino Linotype" w:cs="Palatino Linotype"/>
                <w:i/>
                <w:iCs/>
              </w:rPr>
              <w:t>ATENTAMENTE</w:t>
            </w:r>
          </w:p>
        </w:tc>
      </w:tr>
      <w:tr w:rsidR="000E65CE" w:rsidRPr="00E47648">
        <w:trPr>
          <w:trHeight w:val="217"/>
        </w:trPr>
        <w:tc>
          <w:tcPr>
            <w:tcW w:w="7668" w:type="dxa"/>
            <w:vAlign w:val="center"/>
          </w:tcPr>
          <w:p w:rsidR="000E65CE" w:rsidRPr="00E47648" w:rsidRDefault="000E65CE">
            <w:pPr>
              <w:rPr>
                <w:rFonts w:ascii="Palatino Linotype" w:eastAsia="Palatino Linotype" w:hAnsi="Palatino Linotype" w:cs="Palatino Linotype"/>
                <w:i/>
                <w:iCs/>
              </w:rPr>
            </w:pPr>
          </w:p>
        </w:tc>
      </w:tr>
      <w:tr w:rsidR="000E65CE" w:rsidRPr="00E47648">
        <w:trPr>
          <w:trHeight w:val="144"/>
        </w:trPr>
        <w:tc>
          <w:tcPr>
            <w:tcW w:w="7668" w:type="dxa"/>
            <w:vAlign w:val="center"/>
          </w:tcPr>
          <w:p w:rsidR="000E65CE" w:rsidRPr="00E47648" w:rsidRDefault="00354243">
            <w:pPr>
              <w:rPr>
                <w:rFonts w:ascii="Palatino Linotype" w:eastAsia="Palatino Linotype" w:hAnsi="Palatino Linotype" w:cs="Palatino Linotype"/>
                <w:i/>
                <w:iCs/>
              </w:rPr>
            </w:pPr>
            <w:r w:rsidRPr="00E47648">
              <w:rPr>
                <w:rFonts w:ascii="Palatino Linotype" w:eastAsia="Palatino Linotype" w:hAnsi="Palatino Linotype" w:cs="Palatino Linotype"/>
                <w:i/>
                <w:iCs/>
              </w:rPr>
              <w:t>Lic. Daniel Taboada Elías</w:t>
            </w:r>
          </w:p>
        </w:tc>
      </w:tr>
    </w:tbl>
    <w:p w:rsidR="000E65CE" w:rsidRPr="00E47648" w:rsidRDefault="000E65CE">
      <w:pPr>
        <w:spacing w:line="360" w:lineRule="auto"/>
        <w:jc w:val="both"/>
        <w:rPr>
          <w:rFonts w:ascii="Palatino Linotype" w:eastAsia="Palatino Linotype" w:hAnsi="Palatino Linotype" w:cs="Palatino Linotype"/>
        </w:rPr>
      </w:pPr>
    </w:p>
    <w:p w:rsidR="000E65CE" w:rsidRPr="00E47648" w:rsidRDefault="0035424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rPr>
        <w:t xml:space="preserve">A la respuesta se adjuntó el archivo denominado </w:t>
      </w:r>
      <w:hyperlink r:id="rId8">
        <w:r w:rsidRPr="00E47648">
          <w:rPr>
            <w:rFonts w:ascii="Palatino Linotype" w:eastAsia="Palatino Linotype" w:hAnsi="Palatino Linotype" w:cs="Palatino Linotype"/>
            <w:b/>
            <w:bCs/>
            <w:color w:val="0563C1"/>
            <w:u w:val="single"/>
          </w:rPr>
          <w:t>502-25.pdf</w:t>
        </w:r>
      </w:hyperlink>
      <w:r w:rsidRPr="00E47648">
        <w:rPr>
          <w:rFonts w:ascii="Palatino Linotype" w:eastAsia="Palatino Linotype" w:hAnsi="Palatino Linotype" w:cs="Palatino Linotype"/>
        </w:rPr>
        <w:t>, en el que se adjuntó el oficio número PM/JOP/CUTAIP/535/2025 de fecha veintitrés de junio de dos mil veinticinco, suscrito por el Coordinador de la Unidad de Transparencia y Acceso a la Información Pública, quien señaló su incompetencia para conocer de la información solicitada, aunado a ello, orientó al particular para presentar su solicitud de información ante la Fiscalía General de Justicia del Estado de México.</w:t>
      </w:r>
    </w:p>
    <w:p w:rsidR="000E65CE" w:rsidRPr="00E47648" w:rsidRDefault="000E65C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w:t>
      </w:r>
      <w:r w:rsidRPr="00E47648">
        <w:rPr>
          <w:rFonts w:ascii="Palatino Linotype" w:eastAsia="Palatino Linotype" w:hAnsi="Palatino Linotype" w:cs="Palatino Linotype"/>
          <w:b/>
          <w:bCs/>
        </w:rPr>
        <w:t>veintitrés de junio de dos mil veinticinco</w:t>
      </w:r>
      <w:r w:rsidRPr="00E47648">
        <w:rPr>
          <w:rFonts w:ascii="Palatino Linotype" w:eastAsia="Palatino Linotype" w:hAnsi="Palatino Linotype" w:cs="Palatino Linotype"/>
        </w:rPr>
        <w:t xml:space="preserve">, </w:t>
      </w:r>
      <w:r w:rsidRPr="00E47648">
        <w:rPr>
          <w:rFonts w:ascii="Palatino Linotype" w:eastAsia="Palatino Linotype" w:hAnsi="Palatino Linotype" w:cs="Palatino Linotype"/>
          <w:b/>
          <w:bCs/>
        </w:rPr>
        <w:t>El Recurrente</w:t>
      </w:r>
      <w:r w:rsidRPr="00E47648">
        <w:rPr>
          <w:rFonts w:ascii="Palatino Linotype" w:eastAsia="Palatino Linotype" w:hAnsi="Palatino Linotype" w:cs="Palatino Linotype"/>
        </w:rPr>
        <w:t xml:space="preserve"> interpuso el recurso de revisión, en contra de la respuesta, señalando como:</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E47648">
      <w:pPr>
        <w:numPr>
          <w:ilvl w:val="0"/>
          <w:numId w:val="1"/>
        </w:numPr>
        <w:spacing w:line="360" w:lineRule="auto"/>
        <w:ind w:left="851" w:right="822" w:firstLine="0"/>
        <w:jc w:val="both"/>
      </w:pPr>
      <w:r w:rsidRPr="00E47648">
        <w:rPr>
          <w:rFonts w:ascii="Palatino Linotype" w:eastAsia="Palatino Linotype" w:hAnsi="Palatino Linotype" w:cs="Palatino Linotype"/>
          <w:b/>
          <w:bCs/>
        </w:rPr>
        <w:t>ACTO IMPUGNADO</w:t>
      </w:r>
      <w:r w:rsidRPr="00E47648">
        <w:rPr>
          <w:rFonts w:ascii="Palatino Linotype" w:eastAsia="Palatino Linotype" w:hAnsi="Palatino Linotype" w:cs="Palatino Linotype"/>
          <w:b/>
          <w:bCs/>
          <w:i/>
          <w:iCs/>
        </w:rPr>
        <w:t>:</w:t>
      </w:r>
      <w:r w:rsidRPr="00E47648">
        <w:rPr>
          <w:rFonts w:ascii="Palatino Linotype" w:eastAsia="Palatino Linotype" w:hAnsi="Palatino Linotype" w:cs="Palatino Linotype"/>
          <w:i/>
          <w:iCs/>
        </w:rPr>
        <w:t xml:space="preserve"> </w:t>
      </w:r>
      <w:r w:rsidR="00354243" w:rsidRPr="00E47648">
        <w:rPr>
          <w:rFonts w:ascii="Palatino Linotype" w:eastAsia="Palatino Linotype" w:hAnsi="Palatino Linotype" w:cs="Palatino Linotype"/>
          <w:i/>
          <w:iCs/>
        </w:rPr>
        <w:t>"La incompetencia que dice tener el sujeto obligado para negar la información solicitada." (Sic)</w:t>
      </w:r>
    </w:p>
    <w:p w:rsidR="000E65CE" w:rsidRPr="00E47648" w:rsidRDefault="000E65CE">
      <w:pPr>
        <w:spacing w:line="360" w:lineRule="auto"/>
        <w:ind w:left="851" w:right="822"/>
        <w:jc w:val="both"/>
      </w:pPr>
    </w:p>
    <w:p w:rsidR="000E65CE" w:rsidRPr="00E47648" w:rsidRDefault="00E47648">
      <w:pPr>
        <w:numPr>
          <w:ilvl w:val="0"/>
          <w:numId w:val="1"/>
        </w:numPr>
        <w:spacing w:line="360" w:lineRule="auto"/>
        <w:ind w:left="851" w:right="822" w:firstLine="0"/>
        <w:jc w:val="both"/>
        <w:rPr>
          <w:rFonts w:ascii="Palatino Linotype" w:eastAsia="Palatino Linotype" w:hAnsi="Palatino Linotype" w:cs="Palatino Linotype"/>
          <w:i/>
          <w:iCs/>
        </w:rPr>
      </w:pPr>
      <w:r w:rsidRPr="00E47648">
        <w:rPr>
          <w:rFonts w:ascii="Palatino Linotype" w:eastAsia="Palatino Linotype" w:hAnsi="Palatino Linotype" w:cs="Palatino Linotype"/>
          <w:b/>
          <w:bCs/>
        </w:rPr>
        <w:t>RAZONES O MOTIVOS DE INCONFORMIDAD</w:t>
      </w:r>
      <w:r w:rsidR="00354243" w:rsidRPr="00E47648">
        <w:rPr>
          <w:rFonts w:ascii="Palatino Linotype" w:eastAsia="Palatino Linotype" w:hAnsi="Palatino Linotype" w:cs="Palatino Linotype"/>
          <w:b/>
          <w:bCs/>
        </w:rPr>
        <w:t xml:space="preserve">: </w:t>
      </w:r>
      <w:r w:rsidR="00354243" w:rsidRPr="00E47648">
        <w:rPr>
          <w:rFonts w:ascii="Palatino Linotype" w:eastAsia="Palatino Linotype" w:hAnsi="Palatino Linotype" w:cs="Palatino Linotype"/>
          <w:i/>
          <w:iCs/>
        </w:rPr>
        <w:t>"El primer respondiente al acontecer un suicidio deber ser siempre la policía municipal- hoy mal llamada guardia municipal en Naucalpan- por lo que al depender de este órgano administrativo es competente para tener la información solicitada" (Sic)</w:t>
      </w:r>
    </w:p>
    <w:p w:rsidR="000E65CE" w:rsidRPr="00E47648" w:rsidRDefault="000E65CE">
      <w:pPr>
        <w:spacing w:line="360" w:lineRule="auto"/>
        <w:jc w:val="both"/>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lastRenderedPageBreak/>
        <w:t xml:space="preserve">Se registró el recurso de revisión bajo el número de expediente al rubro indicado, asimismo con fundamento en lo dispuesto por el artículo 185 fracción I de la </w:t>
      </w:r>
      <w:r w:rsidRPr="00E47648">
        <w:rPr>
          <w:rFonts w:ascii="Palatino Linotype" w:eastAsia="Palatino Linotype" w:hAnsi="Palatino Linotype" w:cs="Palatino Linotype"/>
          <w:b/>
          <w:bCs/>
        </w:rPr>
        <w:t xml:space="preserve">Ley de Transparencia y Acceso a la Información Pública del Estado de México y Municipios </w:t>
      </w:r>
      <w:r w:rsidRPr="00E47648">
        <w:rPr>
          <w:rFonts w:ascii="Palatino Linotype" w:eastAsia="Palatino Linotype" w:hAnsi="Palatino Linotype" w:cs="Palatino Linotype"/>
        </w:rPr>
        <w:t xml:space="preserve">se turna a la </w:t>
      </w:r>
      <w:r w:rsidRPr="00E47648">
        <w:rPr>
          <w:rFonts w:ascii="Palatino Linotype" w:eastAsia="Palatino Linotype" w:hAnsi="Palatino Linotype" w:cs="Palatino Linotype"/>
          <w:b/>
          <w:bCs/>
        </w:rPr>
        <w:t xml:space="preserve">Comisionada María del Rosario Mejía Ayala, </w:t>
      </w:r>
      <w:r w:rsidRPr="00E47648">
        <w:rPr>
          <w:rFonts w:ascii="Palatino Linotype" w:eastAsia="Palatino Linotype" w:hAnsi="Palatino Linotype" w:cs="Palatino Linotype"/>
        </w:rPr>
        <w:t xml:space="preserve">para su análisis.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E47648">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La Comisionada p</w:t>
      </w:r>
      <w:r w:rsidR="00354243" w:rsidRPr="00E47648">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354243" w:rsidRPr="00E47648">
        <w:rPr>
          <w:rFonts w:ascii="Palatino Linotype" w:eastAsia="Palatino Linotype" w:hAnsi="Palatino Linotype" w:cs="Palatino Linotype"/>
          <w:b/>
          <w:bCs/>
        </w:rPr>
        <w:t>veinticuatro de junio de dos mil veinticinco</w:t>
      </w:r>
      <w:r w:rsidR="00354243" w:rsidRPr="00E47648">
        <w:rPr>
          <w:rFonts w:ascii="Palatino Linotype" w:eastAsia="Palatino Linotype" w:hAnsi="Palatino Linotype" w:cs="Palatino Linotype"/>
        </w:rPr>
        <w:t xml:space="preserve">, puso a disposición de las partes el expediente electrónico vía </w:t>
      </w:r>
      <w:r w:rsidR="00354243" w:rsidRPr="00E47648">
        <w:rPr>
          <w:rFonts w:ascii="Palatino Linotype" w:eastAsia="Palatino Linotype" w:hAnsi="Palatino Linotype" w:cs="Palatino Linotype"/>
          <w:b/>
          <w:bCs/>
        </w:rPr>
        <w:t xml:space="preserve">SAIMEX </w:t>
      </w:r>
      <w:r w:rsidR="00354243" w:rsidRPr="00E47648">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354243" w:rsidRPr="00E47648">
        <w:rPr>
          <w:rFonts w:ascii="Palatino Linotype" w:eastAsia="Palatino Linotype" w:hAnsi="Palatino Linotype" w:cs="Palatino Linotype"/>
          <w:b/>
          <w:bCs/>
        </w:rPr>
        <w:t>SUJETO OBLIGADO</w:t>
      </w:r>
      <w:r w:rsidR="00354243" w:rsidRPr="00E47648">
        <w:rPr>
          <w:rFonts w:ascii="Palatino Linotype" w:eastAsia="Palatino Linotype" w:hAnsi="Palatino Linotype" w:cs="Palatino Linotype"/>
        </w:rPr>
        <w:t xml:space="preserve"> presentará el informe justificado procedente. </w:t>
      </w:r>
    </w:p>
    <w:p w:rsidR="000E65CE" w:rsidRPr="00E47648" w:rsidRDefault="000E65CE">
      <w:pPr>
        <w:pBdr>
          <w:top w:val="nil"/>
          <w:left w:val="nil"/>
          <w:bottom w:val="nil"/>
          <w:right w:val="nil"/>
          <w:between w:val="nil"/>
        </w:pBdr>
        <w:ind w:left="720"/>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rPr>
      </w:pPr>
      <w:r w:rsidRPr="00E47648">
        <w:rPr>
          <w:rFonts w:ascii="Palatino Linotype" w:eastAsia="Palatino Linotype" w:hAnsi="Palatino Linotype" w:cs="Palatino Linotype"/>
        </w:rPr>
        <w:t xml:space="preserve">De las constancias del expediente electrónico SAIMEX se advierte que el Recurrente no realizó manifestaciones; por su parte, el Sujeto Obligado entregó informe justificado el </w:t>
      </w:r>
      <w:r w:rsidRPr="00E47648">
        <w:rPr>
          <w:rFonts w:ascii="Palatino Linotype" w:eastAsia="Palatino Linotype" w:hAnsi="Palatino Linotype" w:cs="Palatino Linotype"/>
          <w:b/>
          <w:bCs/>
        </w:rPr>
        <w:t>dos de julio de dos mil veinticinco</w:t>
      </w:r>
      <w:r w:rsidRPr="00E47648">
        <w:rPr>
          <w:rFonts w:ascii="Palatino Linotype" w:eastAsia="Palatino Linotype" w:hAnsi="Palatino Linotype" w:cs="Palatino Linotype"/>
        </w:rPr>
        <w:t xml:space="preserve">, el cual se puso a la vista del particular el </w:t>
      </w:r>
      <w:r w:rsidRPr="00E47648">
        <w:rPr>
          <w:rFonts w:ascii="Palatino Linotype" w:eastAsia="Palatino Linotype" w:hAnsi="Palatino Linotype" w:cs="Palatino Linotype"/>
          <w:b/>
          <w:bCs/>
        </w:rPr>
        <w:t>diecinueve de noviembre del mismo año,</w:t>
      </w:r>
      <w:r w:rsidRPr="00E47648">
        <w:rPr>
          <w:rFonts w:ascii="Palatino Linotype" w:eastAsia="Palatino Linotype" w:hAnsi="Palatino Linotype" w:cs="Palatino Linotype"/>
        </w:rPr>
        <w:t xml:space="preserve"> y que consta del archivo electrónico denominado </w:t>
      </w:r>
      <w:hyperlink r:id="rId9">
        <w:r w:rsidRPr="00E47648">
          <w:rPr>
            <w:rFonts w:ascii="Palatino Linotype" w:eastAsia="Palatino Linotype" w:hAnsi="Palatino Linotype" w:cs="Palatino Linotype"/>
            <w:b/>
            <w:bCs/>
            <w:color w:val="000000"/>
            <w:u w:val="single"/>
          </w:rPr>
          <w:t>7638-INFOEM-IP-RR-2025.pdf</w:t>
        </w:r>
      </w:hyperlink>
      <w:r w:rsidRPr="00E47648">
        <w:rPr>
          <w:rFonts w:ascii="Palatino Linotype" w:eastAsia="Palatino Linotype" w:hAnsi="Palatino Linotype" w:cs="Palatino Linotype"/>
        </w:rPr>
        <w:t xml:space="preserve">, en el que medularmente el Sujeto Obligado ratificó su respuesta.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w:t>
      </w:r>
      <w:r w:rsidRPr="00E47648">
        <w:rPr>
          <w:rFonts w:ascii="Palatino Linotype" w:eastAsia="Palatino Linotype" w:hAnsi="Palatino Linotype" w:cs="Palatino Linotype"/>
          <w:b/>
          <w:bCs/>
        </w:rPr>
        <w:t>diecinueve de noviembre de dos mil veinticinco</w:t>
      </w:r>
      <w:r w:rsidRPr="00E47648">
        <w:rPr>
          <w:rFonts w:ascii="Palatino Linotype" w:eastAsia="Palatino Linotype" w:hAnsi="Palatino Linotype" w:cs="Palatino Linotype"/>
        </w:rPr>
        <w:t>, se notificó el acuerdo mediante el cual se aprobó la ampliación de plazo para emitir resolución.</w:t>
      </w:r>
    </w:p>
    <w:p w:rsidR="000E65CE" w:rsidRPr="00E47648" w:rsidRDefault="000E65CE">
      <w:pPr>
        <w:pBdr>
          <w:top w:val="nil"/>
          <w:left w:val="nil"/>
          <w:bottom w:val="nil"/>
          <w:right w:val="nil"/>
          <w:between w:val="nil"/>
        </w:pBdr>
        <w:ind w:left="720"/>
        <w:rPr>
          <w:rFonts w:ascii="Palatino Linotype" w:eastAsia="Palatino Linotype" w:hAnsi="Palatino Linotype" w:cs="Palatino Linotype"/>
          <w:color w:val="000000"/>
        </w:rPr>
      </w:pPr>
    </w:p>
    <w:p w:rsidR="000E65CE"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w:t>
      </w:r>
      <w:r w:rsidRPr="00E47648">
        <w:rPr>
          <w:rFonts w:ascii="Palatino Linotype" w:eastAsia="Palatino Linotype" w:hAnsi="Palatino Linotype" w:cs="Palatino Linotype"/>
          <w:b/>
          <w:bCs/>
        </w:rPr>
        <w:t>diecinueve de enero de dos mil veintiséis</w:t>
      </w:r>
      <w:r w:rsidRPr="00E47648">
        <w:rPr>
          <w:rFonts w:ascii="Palatino Linotype" w:eastAsia="Palatino Linotype" w:hAnsi="Palatino Linotype" w:cs="Palatino Linotype"/>
        </w:rPr>
        <w:t xml:space="preserve">, se notificó el acuerdo mediante el cual se decretó el cierre de instrucción. </w:t>
      </w:r>
      <w:r w:rsidR="00E47648">
        <w:rPr>
          <w:rFonts w:ascii="Palatino Linotype" w:eastAsia="Palatino Linotype" w:hAnsi="Palatino Linotype" w:cs="Palatino Linotype"/>
        </w:rPr>
        <w:t xml:space="preserve"> ---------------------------------------------------------------------------------</w:t>
      </w:r>
    </w:p>
    <w:p w:rsidR="00E47648" w:rsidRDefault="00E47648" w:rsidP="00E47648">
      <w:pPr>
        <w:pStyle w:val="Prrafodelista"/>
        <w:rPr>
          <w:rFonts w:ascii="Palatino Linotype" w:eastAsia="Palatino Linotype" w:hAnsi="Palatino Linotype" w:cs="Palatino Linotype"/>
        </w:rPr>
      </w:pPr>
    </w:p>
    <w:p w:rsidR="00E47648" w:rsidRPr="00E47648" w:rsidRDefault="00E47648" w:rsidP="00E47648">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0E65CE">
      <w:pPr>
        <w:spacing w:line="360" w:lineRule="auto"/>
        <w:rPr>
          <w:rFonts w:ascii="Palatino Linotype" w:eastAsia="Palatino Linotype" w:hAnsi="Palatino Linotype" w:cs="Palatino Linotype"/>
        </w:rPr>
      </w:pPr>
    </w:p>
    <w:p w:rsidR="000E65CE" w:rsidRPr="00E47648" w:rsidRDefault="00354243">
      <w:pPr>
        <w:spacing w:line="360" w:lineRule="auto"/>
        <w:jc w:val="center"/>
        <w:rPr>
          <w:rFonts w:ascii="Palatino Linotype" w:eastAsia="Palatino Linotype" w:hAnsi="Palatino Linotype" w:cs="Palatino Linotype"/>
        </w:rPr>
      </w:pPr>
      <w:bookmarkStart w:id="2" w:name="_heading=h.1fob9te" w:colFirst="0" w:colLast="0"/>
      <w:bookmarkEnd w:id="2"/>
      <w:r w:rsidRPr="00E47648">
        <w:rPr>
          <w:rFonts w:ascii="Palatino Linotype" w:eastAsia="Palatino Linotype" w:hAnsi="Palatino Linotype" w:cs="Palatino Linotype"/>
          <w:b/>
          <w:bCs/>
        </w:rPr>
        <w:lastRenderedPageBreak/>
        <w:t>C O N S I D E R A N D O</w:t>
      </w:r>
    </w:p>
    <w:p w:rsidR="000E65CE" w:rsidRPr="00E47648" w:rsidRDefault="000E65CE">
      <w:pPr>
        <w:spacing w:line="360" w:lineRule="auto"/>
        <w:jc w:val="center"/>
        <w:rPr>
          <w:rFonts w:ascii="Palatino Linotype" w:eastAsia="Palatino Linotype" w:hAnsi="Palatino Linotype" w:cs="Palatino Linotype"/>
        </w:rPr>
      </w:pPr>
    </w:p>
    <w:p w:rsidR="000E65CE" w:rsidRPr="00E47648" w:rsidRDefault="00354243">
      <w:pPr>
        <w:spacing w:line="360" w:lineRule="auto"/>
        <w:jc w:val="both"/>
        <w:rPr>
          <w:rFonts w:ascii="Palatino Linotype" w:eastAsia="Palatino Linotype" w:hAnsi="Palatino Linotype" w:cs="Palatino Linotype"/>
          <w:b/>
          <w:bCs/>
        </w:rPr>
      </w:pPr>
      <w:bookmarkStart w:id="3" w:name="_heading=h.3znysh7" w:colFirst="0" w:colLast="0"/>
      <w:bookmarkEnd w:id="3"/>
      <w:r w:rsidRPr="00E47648">
        <w:rPr>
          <w:rFonts w:ascii="Palatino Linotype" w:eastAsia="Palatino Linotype" w:hAnsi="Palatino Linotype" w:cs="Palatino Linotype"/>
          <w:b/>
          <w:bCs/>
        </w:rPr>
        <w:t>PRIMERO. De la competencia</w:t>
      </w:r>
    </w:p>
    <w:p w:rsidR="000E65CE" w:rsidRPr="00E47648" w:rsidRDefault="00354243">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0E65CE" w:rsidRPr="00E47648" w:rsidRDefault="000E65CE">
      <w:pPr>
        <w:keepNext/>
        <w:keepLines/>
        <w:spacing w:line="360" w:lineRule="auto"/>
        <w:rPr>
          <w:rFonts w:ascii="Palatino Linotype" w:eastAsia="Palatino Linotype" w:hAnsi="Palatino Linotype" w:cs="Palatino Linotype"/>
        </w:rPr>
      </w:pPr>
      <w:bookmarkStart w:id="4" w:name="_heading=h.2et92p0" w:colFirst="0" w:colLast="0"/>
      <w:bookmarkEnd w:id="4"/>
    </w:p>
    <w:p w:rsidR="000E65CE" w:rsidRPr="00E47648" w:rsidRDefault="00354243">
      <w:pPr>
        <w:keepNext/>
        <w:keepLines/>
        <w:spacing w:line="360" w:lineRule="auto"/>
        <w:rPr>
          <w:rFonts w:ascii="Palatino Linotype" w:eastAsia="Palatino Linotype" w:hAnsi="Palatino Linotype" w:cs="Palatino Linotype"/>
          <w:b/>
          <w:bCs/>
        </w:rPr>
      </w:pPr>
      <w:r w:rsidRPr="00E47648">
        <w:rPr>
          <w:rFonts w:ascii="Palatino Linotype" w:eastAsia="Palatino Linotype" w:hAnsi="Palatino Linotype" w:cs="Palatino Linotype"/>
          <w:b/>
          <w:bCs/>
        </w:rPr>
        <w:t>SEGUNDO. De la oportunidad y procedencia.</w:t>
      </w: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medio de impugnación fue presentado a través del </w:t>
      </w:r>
      <w:r w:rsidRPr="00E47648">
        <w:rPr>
          <w:rFonts w:ascii="Palatino Linotype" w:eastAsia="Palatino Linotype" w:hAnsi="Palatino Linotype" w:cs="Palatino Linotype"/>
          <w:b/>
          <w:bCs/>
        </w:rPr>
        <w:t>SAIMEX,</w:t>
      </w:r>
      <w:r w:rsidRPr="00E47648">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E47648">
        <w:rPr>
          <w:rFonts w:ascii="Palatino Linotype" w:eastAsia="Palatino Linotype" w:hAnsi="Palatino Linotype" w:cs="Palatino Linotype"/>
          <w:b/>
          <w:bCs/>
        </w:rPr>
        <w:t>SUJETO OBLIGADO</w:t>
      </w:r>
      <w:r w:rsidRPr="00E47648">
        <w:rPr>
          <w:rFonts w:ascii="Palatino Linotype" w:eastAsia="Palatino Linotype" w:hAnsi="Palatino Linotype" w:cs="Palatino Linotype"/>
        </w:rPr>
        <w:t xml:space="preserve"> entregó respuesta a la solicitud el día </w:t>
      </w:r>
      <w:r w:rsidRPr="00E47648">
        <w:rPr>
          <w:rFonts w:ascii="Palatino Linotype" w:eastAsia="Palatino Linotype" w:hAnsi="Palatino Linotype" w:cs="Palatino Linotype"/>
          <w:b/>
          <w:bCs/>
        </w:rPr>
        <w:t>veintitrés de junio de dos mil veinticinco</w:t>
      </w:r>
      <w:r w:rsidRPr="00E47648">
        <w:rPr>
          <w:rFonts w:ascii="Palatino Linotype" w:eastAsia="Palatino Linotype" w:hAnsi="Palatino Linotype" w:cs="Palatino Linotype"/>
        </w:rPr>
        <w:t>, de tal forma que el plazo para interponer el recurso de revisión transcurrió del</w:t>
      </w:r>
      <w:r w:rsidRPr="00E47648">
        <w:rPr>
          <w:rFonts w:ascii="Palatino Linotype" w:eastAsia="Palatino Linotype" w:hAnsi="Palatino Linotype" w:cs="Palatino Linotype"/>
          <w:b/>
          <w:bCs/>
        </w:rPr>
        <w:t xml:space="preserve"> veinticuatro de junio al catorce de julio de dos mil veinticinco</w:t>
      </w:r>
      <w:r w:rsidRPr="00E47648">
        <w:rPr>
          <w:rFonts w:ascii="Palatino Linotype" w:eastAsia="Palatino Linotype" w:hAnsi="Palatino Linotype" w:cs="Palatino Linotype"/>
        </w:rPr>
        <w:t xml:space="preserve">; en consecuencia, presentó su inconformidad el día </w:t>
      </w:r>
      <w:r w:rsidRPr="00E47648">
        <w:rPr>
          <w:rFonts w:ascii="Palatino Linotype" w:eastAsia="Palatino Linotype" w:hAnsi="Palatino Linotype" w:cs="Palatino Linotype"/>
          <w:b/>
          <w:bCs/>
        </w:rPr>
        <w:t>veintitrés de junio de dos mil veinticinco</w:t>
      </w:r>
      <w:r w:rsidRPr="00E47648">
        <w:rPr>
          <w:rFonts w:ascii="Palatino Linotype" w:eastAsia="Palatino Linotype" w:hAnsi="Palatino Linotype" w:cs="Palatino Linotype"/>
        </w:rPr>
        <w:t xml:space="preserve">, por lo que se encuentra dentro de los márgenes temporales previstos en el artículo 178 de la </w:t>
      </w:r>
      <w:r w:rsidRPr="00E47648">
        <w:rPr>
          <w:rFonts w:ascii="Palatino Linotype" w:eastAsia="Palatino Linotype" w:hAnsi="Palatino Linotype" w:cs="Palatino Linotype"/>
          <w:b/>
          <w:bCs/>
        </w:rPr>
        <w:t xml:space="preserve">Ley de Transparencia y Acceso a la Información Pública del Estado de México y Municipios </w:t>
      </w:r>
      <w:r w:rsidRPr="00E47648">
        <w:rPr>
          <w:rFonts w:ascii="Palatino Linotype" w:eastAsia="Palatino Linotype" w:hAnsi="Palatino Linotype" w:cs="Palatino Linotype"/>
        </w:rPr>
        <w:t>vigente.</w:t>
      </w:r>
    </w:p>
    <w:p w:rsidR="000E65CE" w:rsidRPr="00E47648" w:rsidRDefault="00354243">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555555"/>
        </w:rPr>
      </w:pPr>
      <w:r w:rsidRPr="00E47648">
        <w:rPr>
          <w:rFonts w:ascii="Palatino Linotype" w:eastAsia="Palatino Linotype" w:hAnsi="Palatino Linotype" w:cs="Palatino Linotype"/>
          <w:color w:val="000000"/>
        </w:rPr>
        <w:lastRenderedPageBreak/>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0E65CE" w:rsidRPr="00E47648" w:rsidRDefault="000E65CE">
      <w:pPr>
        <w:pBdr>
          <w:top w:val="nil"/>
          <w:left w:val="nil"/>
          <w:bottom w:val="nil"/>
          <w:right w:val="nil"/>
          <w:between w:val="nil"/>
        </w:pBdr>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0E65CE" w:rsidRPr="00E47648" w:rsidRDefault="00354243">
      <w:pPr>
        <w:spacing w:before="240"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E65CE" w:rsidRPr="00E47648" w:rsidRDefault="00354243">
      <w:pPr>
        <w:spacing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 1a./J. 41/2015 (10a.) </w:t>
      </w:r>
    </w:p>
    <w:p w:rsidR="000E65CE" w:rsidRPr="00E47648" w:rsidRDefault="00354243">
      <w:pPr>
        <w:spacing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0E65CE" w:rsidRPr="00E47648" w:rsidRDefault="000E65CE">
      <w:pPr>
        <w:spacing w:line="276" w:lineRule="auto"/>
        <w:ind w:left="851" w:right="616"/>
        <w:jc w:val="both"/>
        <w:rPr>
          <w:rFonts w:ascii="Palatino Linotype" w:eastAsia="Palatino Linotype" w:hAnsi="Palatino Linotype" w:cs="Palatino Linotype"/>
          <w:i/>
          <w:iCs/>
        </w:rPr>
      </w:pPr>
    </w:p>
    <w:p w:rsidR="000E65CE" w:rsidRPr="00E47648" w:rsidRDefault="00354243">
      <w:pPr>
        <w:spacing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lastRenderedPageBreak/>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0E65CE" w:rsidRPr="00E47648" w:rsidRDefault="000E65CE">
      <w:pPr>
        <w:spacing w:line="276" w:lineRule="auto"/>
        <w:ind w:left="851" w:right="616"/>
        <w:jc w:val="both"/>
        <w:rPr>
          <w:rFonts w:ascii="Palatino Linotype" w:eastAsia="Palatino Linotype" w:hAnsi="Palatino Linotype" w:cs="Palatino Linotype"/>
          <w:i/>
          <w:iCs/>
        </w:rPr>
      </w:pPr>
    </w:p>
    <w:p w:rsidR="000E65CE" w:rsidRPr="00E47648" w:rsidRDefault="00354243">
      <w:pPr>
        <w:spacing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rsidR="000E65CE" w:rsidRPr="00E47648" w:rsidRDefault="000E65CE">
      <w:pPr>
        <w:spacing w:line="276" w:lineRule="auto"/>
        <w:ind w:left="851" w:right="616"/>
        <w:jc w:val="both"/>
        <w:rPr>
          <w:rFonts w:ascii="Palatino Linotype" w:eastAsia="Palatino Linotype" w:hAnsi="Palatino Linotype" w:cs="Palatino Linotype"/>
          <w:i/>
          <w:iCs/>
        </w:rPr>
      </w:pPr>
    </w:p>
    <w:p w:rsidR="000E65CE" w:rsidRPr="00E47648" w:rsidRDefault="00354243">
      <w:pPr>
        <w:spacing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0E65CE" w:rsidRPr="00E47648" w:rsidRDefault="000E65CE">
      <w:pPr>
        <w:spacing w:line="276" w:lineRule="auto"/>
        <w:ind w:left="851" w:right="616"/>
        <w:jc w:val="both"/>
        <w:rPr>
          <w:rFonts w:ascii="Palatino Linotype" w:eastAsia="Palatino Linotype" w:hAnsi="Palatino Linotype" w:cs="Palatino Linotype"/>
          <w:i/>
          <w:iCs/>
        </w:rPr>
      </w:pPr>
    </w:p>
    <w:p w:rsidR="000E65CE" w:rsidRPr="00E47648" w:rsidRDefault="00354243">
      <w:pPr>
        <w:spacing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0E65CE" w:rsidRPr="00E47648" w:rsidRDefault="000E65CE">
      <w:pPr>
        <w:spacing w:line="276" w:lineRule="auto"/>
        <w:ind w:left="851" w:right="616"/>
        <w:jc w:val="both"/>
        <w:rPr>
          <w:rFonts w:ascii="Palatino Linotype" w:eastAsia="Palatino Linotype" w:hAnsi="Palatino Linotype" w:cs="Palatino Linotype"/>
          <w:i/>
          <w:iCs/>
        </w:rPr>
      </w:pPr>
    </w:p>
    <w:p w:rsidR="000E65CE" w:rsidRPr="00E47648" w:rsidRDefault="00354243">
      <w:pPr>
        <w:spacing w:after="240" w:line="276" w:lineRule="auto"/>
        <w:ind w:left="851" w:right="616"/>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Tesis de jurisprudencia 41/2015 (10a.). Aprobada por la Primera Sala de este Alto Tribunal, en sesión privada de veintisiete de mayo de dos mil quince.</w:t>
      </w:r>
    </w:p>
    <w:p w:rsidR="000E65CE" w:rsidRPr="00E47648" w:rsidRDefault="00354243">
      <w:pPr>
        <w:numPr>
          <w:ilvl w:val="0"/>
          <w:numId w:val="2"/>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color w:val="000000"/>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0E65CE" w:rsidRPr="00E47648" w:rsidRDefault="000E65CE">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0E65CE" w:rsidRPr="00E47648" w:rsidRDefault="00354243">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color w:val="000000"/>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0E65CE" w:rsidRPr="00E47648" w:rsidRDefault="000E65CE">
      <w:pPr>
        <w:pBdr>
          <w:top w:val="nil"/>
          <w:left w:val="nil"/>
          <w:bottom w:val="nil"/>
          <w:right w:val="nil"/>
          <w:between w:val="nil"/>
        </w:pBdr>
        <w:rPr>
          <w:rFonts w:ascii="Palatino Linotype" w:eastAsia="Palatino Linotype" w:hAnsi="Palatino Linotype" w:cs="Palatino Linotype"/>
          <w:i/>
          <w:iCs/>
          <w:color w:val="000000"/>
        </w:rPr>
      </w:pPr>
    </w:p>
    <w:p w:rsidR="000E65CE" w:rsidRPr="00E47648" w:rsidRDefault="00354243">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color w:val="000000"/>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E47648">
        <w:rPr>
          <w:rFonts w:ascii="Palatino Linotype" w:eastAsia="Palatino Linotype" w:hAnsi="Palatino Linotype" w:cs="Palatino Linotype"/>
          <w:b/>
          <w:bCs/>
          <w:color w:val="000000"/>
        </w:rPr>
        <w:t>SUJETO OBLIGADO</w:t>
      </w:r>
      <w:r w:rsidRPr="00E47648">
        <w:rPr>
          <w:rFonts w:ascii="Palatino Linotype" w:eastAsia="Palatino Linotype" w:hAnsi="Palatino Linotype" w:cs="Palatino Linotype"/>
          <w:color w:val="000000"/>
        </w:rPr>
        <w:t>.</w:t>
      </w:r>
    </w:p>
    <w:p w:rsidR="000E65CE" w:rsidRPr="00E47648" w:rsidRDefault="000E65CE">
      <w:pPr>
        <w:pBdr>
          <w:top w:val="nil"/>
          <w:left w:val="nil"/>
          <w:bottom w:val="nil"/>
          <w:right w:val="nil"/>
          <w:between w:val="nil"/>
        </w:pBdr>
        <w:ind w:left="720"/>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E65CE" w:rsidRPr="00E47648" w:rsidRDefault="000E65CE">
      <w:pPr>
        <w:pBdr>
          <w:top w:val="nil"/>
          <w:left w:val="nil"/>
          <w:bottom w:val="nil"/>
          <w:right w:val="nil"/>
          <w:between w:val="nil"/>
        </w:pBdr>
        <w:ind w:left="720"/>
        <w:rPr>
          <w:rFonts w:ascii="Palatino Linotype" w:eastAsia="Palatino Linotype" w:hAnsi="Palatino Linotype" w:cs="Palatino Linotype"/>
        </w:rPr>
      </w:pPr>
    </w:p>
    <w:p w:rsidR="000E65CE" w:rsidRPr="00E47648" w:rsidRDefault="00354243">
      <w:pPr>
        <w:pStyle w:val="Ttulo1"/>
        <w:rPr>
          <w:rFonts w:ascii="Palatino Linotype" w:eastAsia="Palatino Linotype" w:hAnsi="Palatino Linotype" w:cs="Palatino Linotype"/>
          <w:b/>
          <w:bCs/>
          <w:color w:val="000000"/>
          <w:sz w:val="24"/>
          <w:szCs w:val="24"/>
        </w:rPr>
      </w:pPr>
      <w:r w:rsidRPr="00E47648">
        <w:rPr>
          <w:rFonts w:ascii="Palatino Linotype" w:eastAsia="Palatino Linotype" w:hAnsi="Palatino Linotype" w:cs="Palatino Linotype"/>
          <w:b/>
          <w:bCs/>
          <w:color w:val="000000"/>
          <w:sz w:val="24"/>
          <w:szCs w:val="24"/>
        </w:rPr>
        <w:t xml:space="preserve">TERCERO. Planteamiento de la Litis </w:t>
      </w:r>
    </w:p>
    <w:p w:rsidR="000E65CE" w:rsidRPr="00E47648" w:rsidRDefault="00354243">
      <w:pPr>
        <w:numPr>
          <w:ilvl w:val="0"/>
          <w:numId w:val="2"/>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color w:val="000000"/>
        </w:rPr>
        <w:t xml:space="preserve">El recurrente solicitó el número de suicidios que se han registrado en los últimos 5 años y en que colonias han ocurrido. </w:t>
      </w:r>
    </w:p>
    <w:p w:rsidR="000E65CE" w:rsidRPr="00E47648" w:rsidRDefault="000E65CE">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0E65CE" w:rsidRPr="00E47648" w:rsidRDefault="00354243">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color w:val="000000"/>
        </w:rPr>
        <w:t xml:space="preserve">En respuesta, el Sujeto Obligado señaló su incompetencia para conocer de la información solicitada. Posteriormente, el Recurrente se inconformó, de forma medular, por la declaración de incompetencia.  </w:t>
      </w:r>
    </w:p>
    <w:p w:rsidR="000E65CE" w:rsidRPr="00E47648" w:rsidRDefault="000E65CE">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0E65CE" w:rsidRPr="00E47648" w:rsidRDefault="00354243">
      <w:pPr>
        <w:numPr>
          <w:ilvl w:val="0"/>
          <w:numId w:val="2"/>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color w:val="000000"/>
        </w:rPr>
        <w:t>Por lo tanto, el presente recurso de revisión se circunscribe en determinar si se actualiza la causal de procedencia</w:t>
      </w:r>
      <w:r w:rsidRPr="00E47648">
        <w:rPr>
          <w:rFonts w:ascii="Palatino Linotype" w:eastAsia="Palatino Linotype" w:hAnsi="Palatino Linotype" w:cs="Palatino Linotype"/>
          <w:b/>
          <w:bCs/>
          <w:color w:val="000000"/>
        </w:rPr>
        <w:t xml:space="preserve"> </w:t>
      </w:r>
      <w:r w:rsidRPr="00E47648">
        <w:rPr>
          <w:rFonts w:ascii="Palatino Linotype" w:eastAsia="Palatino Linotype" w:hAnsi="Palatino Linotype" w:cs="Palatino Linotype"/>
          <w:color w:val="000000"/>
        </w:rPr>
        <w:t xml:space="preserve">contenida en el artículo 179 fracción IV, de la </w:t>
      </w:r>
      <w:r w:rsidRPr="00E47648">
        <w:rPr>
          <w:rFonts w:ascii="Palatino Linotype" w:eastAsia="Palatino Linotype" w:hAnsi="Palatino Linotype" w:cs="Palatino Linotype"/>
          <w:b/>
          <w:bCs/>
          <w:color w:val="000000"/>
        </w:rPr>
        <w:t xml:space="preserve">Ley de Transparencia </w:t>
      </w:r>
      <w:r w:rsidRPr="00E47648">
        <w:rPr>
          <w:rFonts w:ascii="Palatino Linotype" w:eastAsia="Palatino Linotype" w:hAnsi="Palatino Linotype" w:cs="Palatino Linotype"/>
          <w:b/>
          <w:bCs/>
          <w:color w:val="000000"/>
        </w:rPr>
        <w:lastRenderedPageBreak/>
        <w:t>y Acceso a la Información Pública del Estado de México y Municipios</w:t>
      </w:r>
      <w:r w:rsidRPr="00E47648">
        <w:rPr>
          <w:rFonts w:ascii="Palatino Linotype" w:eastAsia="Palatino Linotype" w:hAnsi="Palatino Linotype" w:cs="Palatino Linotype"/>
          <w:color w:val="000000"/>
        </w:rPr>
        <w:t xml:space="preserve">, relativo a la declaración de incompetencia por el Sujeto Obligado. </w:t>
      </w:r>
    </w:p>
    <w:p w:rsidR="000E65CE" w:rsidRPr="00E47648" w:rsidRDefault="00354243">
      <w:pPr>
        <w:pStyle w:val="Ttulo2"/>
        <w:tabs>
          <w:tab w:val="left" w:pos="426"/>
        </w:tabs>
        <w:rPr>
          <w:rFonts w:ascii="Palatino Linotype" w:eastAsia="Palatino Linotype" w:hAnsi="Palatino Linotype" w:cs="Palatino Linotype"/>
          <w:b/>
          <w:bCs/>
          <w:color w:val="000000"/>
          <w:sz w:val="24"/>
          <w:szCs w:val="24"/>
        </w:rPr>
      </w:pPr>
      <w:bookmarkStart w:id="5" w:name="_heading=h.6thrdykj1hw9" w:colFirst="0" w:colLast="0"/>
      <w:bookmarkEnd w:id="5"/>
      <w:r w:rsidRPr="00E47648">
        <w:rPr>
          <w:rFonts w:ascii="Palatino Linotype" w:eastAsia="Palatino Linotype" w:hAnsi="Palatino Linotype" w:cs="Palatino Linotype"/>
          <w:b/>
          <w:bCs/>
          <w:color w:val="000000"/>
          <w:sz w:val="24"/>
          <w:szCs w:val="24"/>
        </w:rPr>
        <w:t>CUARTO. Estudio y Resolución del asunto.</w:t>
      </w: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color w:val="000000"/>
        </w:rPr>
        <w:t xml:space="preserve">En el presente caso, el Recurrente solicitó el número de suicidios que se han registrado en los últimos 5 años y en </w:t>
      </w:r>
      <w:r w:rsidRPr="00E47648">
        <w:rPr>
          <w:rFonts w:ascii="Palatino Linotype" w:eastAsia="Palatino Linotype" w:hAnsi="Palatino Linotype" w:cs="Palatino Linotype"/>
        </w:rPr>
        <w:t>qué</w:t>
      </w:r>
      <w:r w:rsidRPr="00E47648">
        <w:rPr>
          <w:rFonts w:ascii="Palatino Linotype" w:eastAsia="Palatino Linotype" w:hAnsi="Palatino Linotype" w:cs="Palatino Linotype"/>
          <w:color w:val="000000"/>
        </w:rPr>
        <w:t xml:space="preserve"> colonias han ocurrido. Posteriormente, el Sujeto Obligado se declaró incompetente para conocer la información solicitada.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E47648">
        <w:rPr>
          <w:rFonts w:ascii="Palatino Linotype" w:eastAsia="Palatino Linotype" w:hAnsi="Palatino Linotype" w:cs="Palatino Linotype"/>
          <w:i/>
          <w:iCs/>
          <w:color w:val="000000"/>
        </w:rPr>
        <w:t xml:space="preserve">en el ámbito de sus atribuciones, de promover, respetar, proteger y </w:t>
      </w:r>
      <w:r w:rsidRPr="00E47648">
        <w:rPr>
          <w:rFonts w:ascii="Palatino Linotype" w:eastAsia="Palatino Linotype" w:hAnsi="Palatino Linotype" w:cs="Palatino Linotype"/>
          <w:b/>
          <w:bCs/>
          <w:i/>
          <w:iCs/>
          <w:color w:val="000000"/>
        </w:rPr>
        <w:t>garantizar</w:t>
      </w:r>
      <w:r w:rsidRPr="00E47648">
        <w:rPr>
          <w:rFonts w:ascii="Palatino Linotype" w:eastAsia="Palatino Linotype" w:hAnsi="Palatino Linotype" w:cs="Palatino Linotype"/>
          <w:i/>
          <w:iCs/>
          <w:color w:val="000000"/>
        </w:rPr>
        <w:t xml:space="preserve"> los derechos humanos. </w:t>
      </w:r>
      <w:r w:rsidRPr="00E47648">
        <w:rPr>
          <w:rFonts w:ascii="Palatino Linotype" w:eastAsia="Palatino Linotype" w:hAnsi="Palatino Linotype" w:cs="Palatino Linotype"/>
          <w:b/>
          <w:bCs/>
          <w:i/>
          <w:iCs/>
          <w:color w:val="000000"/>
        </w:rPr>
        <w:t>En cuanto al derecho de acceso a la información, la Ley de Transparencia y Acceso a la Información Pública del Estado de México y Municipios prevé establece que e</w:t>
      </w:r>
      <w:r w:rsidRPr="00E47648">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sidRPr="00E47648">
        <w:rPr>
          <w:rFonts w:ascii="Palatino Linotype" w:eastAsia="Palatino Linotype" w:hAnsi="Palatino Linotype" w:cs="Palatino Linotype"/>
          <w:i/>
          <w:iCs/>
          <w:color w:val="000000"/>
          <w:vertAlign w:val="superscript"/>
        </w:rPr>
        <w:footnoteReference w:id="1"/>
      </w:r>
      <w:r w:rsidRPr="00E47648">
        <w:rPr>
          <w:rFonts w:ascii="Palatino Linotype" w:eastAsia="Palatino Linotype" w:hAnsi="Palatino Linotype" w:cs="Palatino Linotype"/>
          <w:i/>
          <w:iCs/>
          <w:color w:val="000000"/>
        </w:rPr>
        <w:t xml:space="preserve">, </w:t>
      </w:r>
      <w:r w:rsidRPr="00E47648">
        <w:rPr>
          <w:rFonts w:ascii="Palatino Linotype" w:eastAsia="Palatino Linotype" w:hAnsi="Palatino Linotype" w:cs="Palatino Linotype"/>
          <w:color w:val="000000"/>
        </w:rPr>
        <w:t>asimismo establece</w:t>
      </w:r>
      <w:r w:rsidRPr="00E47648">
        <w:rPr>
          <w:rFonts w:ascii="Palatino Linotype" w:eastAsia="Palatino Linotype" w:hAnsi="Palatino Linotype" w:cs="Palatino Linotype"/>
          <w:i/>
          <w:iCs/>
          <w:color w:val="000000"/>
        </w:rPr>
        <w:t xml:space="preserve"> que las unidades de transparencia de los Sujetos Obligados deberán </w:t>
      </w:r>
      <w:r w:rsidRPr="00E47648">
        <w:rPr>
          <w:rFonts w:ascii="Palatino Linotype" w:eastAsia="Palatino Linotype" w:hAnsi="Palatino Linotype" w:cs="Palatino Linotype"/>
          <w:i/>
          <w:iCs/>
          <w:color w:val="000000"/>
        </w:rPr>
        <w:lastRenderedPageBreak/>
        <w:t>garantizar las medidas y condiciones de accesibilidad para que toda persona pueda ejercer el derecho de acceso a la información, mediante solicitudes de información y deberá apoyar al solicitante en la elaboración de las mismas.</w:t>
      </w:r>
    </w:p>
    <w:p w:rsidR="000E65CE" w:rsidRPr="00E47648" w:rsidRDefault="000E65CE">
      <w:pPr>
        <w:pBdr>
          <w:top w:val="nil"/>
          <w:left w:val="nil"/>
          <w:bottom w:val="nil"/>
          <w:right w:val="nil"/>
          <w:between w:val="nil"/>
        </w:pBdr>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0E65CE" w:rsidRPr="00E47648" w:rsidRDefault="000E65CE">
      <w:pPr>
        <w:pBdr>
          <w:top w:val="nil"/>
          <w:left w:val="nil"/>
          <w:bottom w:val="nil"/>
          <w:right w:val="nil"/>
          <w:between w:val="nil"/>
        </w:pBdr>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Es así que, su obligación es </w:t>
      </w:r>
      <w:r w:rsidRPr="00E47648">
        <w:rPr>
          <w:rFonts w:ascii="Palatino Linotype" w:eastAsia="Palatino Linotype" w:hAnsi="Palatino Linotype" w:cs="Palatino Linotype"/>
          <w:i/>
          <w:iCs/>
          <w:color w:val="000000"/>
        </w:rPr>
        <w:t>realizar, con efectividad, los trámites internos necesarios para la atención de las solicitudes de información</w:t>
      </w:r>
      <w:r w:rsidRPr="00E47648">
        <w:rPr>
          <w:rFonts w:ascii="Palatino Linotype" w:eastAsia="Palatino Linotype" w:hAnsi="Palatino Linotype" w:cs="Palatino Linotype"/>
          <w:color w:val="000000"/>
          <w:vertAlign w:val="superscript"/>
        </w:rPr>
        <w:footnoteReference w:id="2"/>
      </w:r>
      <w:r w:rsidRPr="00E47648">
        <w:rPr>
          <w:rFonts w:ascii="Palatino Linotype" w:eastAsia="Palatino Linotype" w:hAnsi="Palatino Linotype" w:cs="Palatino Linotype"/>
          <w:color w:val="000000"/>
        </w:rPr>
        <w:t>, es decir, deben otorgar respuestas concisas, contundentes y sobre todo que den la certeza de los actos que realizan.</w:t>
      </w:r>
    </w:p>
    <w:p w:rsidR="000E65CE" w:rsidRPr="00E47648" w:rsidRDefault="000E65CE">
      <w:pPr>
        <w:pBdr>
          <w:top w:val="nil"/>
          <w:left w:val="nil"/>
          <w:bottom w:val="nil"/>
          <w:right w:val="nil"/>
          <w:between w:val="nil"/>
        </w:pBdr>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 xml:space="preserve">Artículo 50. </w:t>
      </w:r>
      <w:r w:rsidRPr="00E47648">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rsidR="000E65CE" w:rsidRPr="00E47648" w:rsidRDefault="000E65CE">
      <w:pPr>
        <w:ind w:left="851" w:right="822"/>
        <w:jc w:val="both"/>
        <w:rPr>
          <w:rFonts w:ascii="Palatino Linotype" w:eastAsia="Palatino Linotype" w:hAnsi="Palatino Linotype" w:cs="Palatino Linotype"/>
          <w:i/>
          <w:iCs/>
        </w:rPr>
      </w:pP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 xml:space="preserve">Artículo 53. </w:t>
      </w:r>
      <w:r w:rsidRPr="00E47648">
        <w:rPr>
          <w:rFonts w:ascii="Palatino Linotype" w:eastAsia="Palatino Linotype" w:hAnsi="Palatino Linotype" w:cs="Palatino Linotype"/>
          <w:i/>
          <w:iCs/>
        </w:rPr>
        <w:t>Las Unidades de Transparencia tendrán las siguientes funciones:</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II.</w:t>
      </w:r>
      <w:r w:rsidRPr="00E47648">
        <w:rPr>
          <w:rFonts w:ascii="Palatino Linotype" w:eastAsia="Palatino Linotype" w:hAnsi="Palatino Linotype" w:cs="Palatino Linotype"/>
          <w:i/>
          <w:iCs/>
        </w:rPr>
        <w:t xml:space="preserve"> Recibir, tramitar y dar respuesta a las solicitudes de acceso a la información;</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lastRenderedPageBreak/>
        <w:t>(…)</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IV.</w:t>
      </w:r>
      <w:r w:rsidRPr="00E47648">
        <w:rPr>
          <w:rFonts w:ascii="Palatino Linotype" w:eastAsia="Palatino Linotype" w:hAnsi="Palatino Linotype" w:cs="Palatino Linotype"/>
          <w:i/>
          <w:iCs/>
        </w:rPr>
        <w:t xml:space="preserve"> Realizar, con efectividad, los trámites internos necesarios para la atención de las solicitudes de acceso a la información;</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V.</w:t>
      </w:r>
      <w:r w:rsidRPr="00E47648">
        <w:rPr>
          <w:rFonts w:ascii="Palatino Linotype" w:eastAsia="Palatino Linotype" w:hAnsi="Palatino Linotype" w:cs="Palatino Linotype"/>
          <w:i/>
          <w:iCs/>
        </w:rPr>
        <w:t xml:space="preserve"> Entregar, en su caso, a los particulares la información solicitada;</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w:t>
      </w:r>
    </w:p>
    <w:p w:rsidR="000E65CE" w:rsidRPr="00E47648" w:rsidRDefault="000E65CE">
      <w:pPr>
        <w:ind w:left="851" w:right="822"/>
        <w:jc w:val="both"/>
        <w:rPr>
          <w:rFonts w:ascii="Palatino Linotype" w:eastAsia="Palatino Linotype" w:hAnsi="Palatino Linotype" w:cs="Palatino Linotype"/>
          <w:i/>
          <w:iCs/>
        </w:rPr>
      </w:pP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 xml:space="preserve">Artículo 58. </w:t>
      </w:r>
      <w:r w:rsidRPr="00E47648">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rsidR="000E65CE" w:rsidRPr="00E47648" w:rsidRDefault="000E65CE">
      <w:pPr>
        <w:ind w:left="851" w:right="822"/>
        <w:jc w:val="both"/>
        <w:rPr>
          <w:rFonts w:ascii="Palatino Linotype" w:eastAsia="Palatino Linotype" w:hAnsi="Palatino Linotype" w:cs="Palatino Linotype"/>
          <w:i/>
          <w:iCs/>
        </w:rPr>
      </w:pP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 xml:space="preserve">Artículo 59. </w:t>
      </w:r>
      <w:r w:rsidRPr="00E47648">
        <w:rPr>
          <w:rFonts w:ascii="Palatino Linotype" w:eastAsia="Palatino Linotype" w:hAnsi="Palatino Linotype" w:cs="Palatino Linotype"/>
          <w:i/>
          <w:iCs/>
        </w:rPr>
        <w:t>Los servidores públicos habilitados tendrán las funciones siguientes:</w:t>
      </w:r>
    </w:p>
    <w:p w:rsidR="000E65CE" w:rsidRPr="00E47648" w:rsidRDefault="000E65CE">
      <w:pPr>
        <w:ind w:left="851" w:right="822"/>
        <w:jc w:val="both"/>
        <w:rPr>
          <w:rFonts w:ascii="Palatino Linotype" w:eastAsia="Palatino Linotype" w:hAnsi="Palatino Linotype" w:cs="Palatino Linotype"/>
          <w:i/>
          <w:iCs/>
        </w:rPr>
      </w:pP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I.</w:t>
      </w:r>
      <w:r w:rsidRPr="00E47648">
        <w:rPr>
          <w:rFonts w:ascii="Palatino Linotype" w:eastAsia="Palatino Linotype" w:hAnsi="Palatino Linotype" w:cs="Palatino Linotype"/>
          <w:i/>
          <w:iCs/>
        </w:rPr>
        <w:t xml:space="preserve"> Localizar la información que le solicite la Unidad de Transparencia;</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II.</w:t>
      </w:r>
      <w:r w:rsidRPr="00E47648">
        <w:rPr>
          <w:rFonts w:ascii="Palatino Linotype" w:eastAsia="Palatino Linotype" w:hAnsi="Palatino Linotype" w:cs="Palatino Linotype"/>
          <w:i/>
          <w:iCs/>
        </w:rPr>
        <w:t xml:space="preserve"> Proporcionar la información que obre en los archivos y que le sea solicitada por la Unidad de Transparencia;</w:t>
      </w: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w:t>
      </w:r>
    </w:p>
    <w:p w:rsidR="000E65CE" w:rsidRPr="00E47648" w:rsidRDefault="000E65CE">
      <w:pPr>
        <w:ind w:left="851" w:right="822"/>
        <w:jc w:val="both"/>
        <w:rPr>
          <w:rFonts w:ascii="Palatino Linotype" w:eastAsia="Palatino Linotype" w:hAnsi="Palatino Linotype" w:cs="Palatino Linotype"/>
          <w:i/>
          <w:iCs/>
        </w:rPr>
      </w:pPr>
    </w:p>
    <w:p w:rsidR="000E65CE" w:rsidRPr="00E47648" w:rsidRDefault="00354243">
      <w:pPr>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 xml:space="preserve">Artículo 162. </w:t>
      </w:r>
      <w:r w:rsidRPr="00E47648">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E65CE" w:rsidRPr="00E47648" w:rsidRDefault="000E65CE">
      <w:pPr>
        <w:spacing w:line="360" w:lineRule="auto"/>
        <w:jc w:val="both"/>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w:t>
      </w:r>
      <w:r w:rsidR="00E47648" w:rsidRPr="00E47648">
        <w:rPr>
          <w:rFonts w:ascii="Palatino Linotype" w:eastAsia="Palatino Linotype" w:hAnsi="Palatino Linotype" w:cs="Palatino Linotype"/>
          <w:color w:val="000000"/>
        </w:rPr>
        <w:t>las</w:t>
      </w:r>
      <w:r w:rsidRPr="00E47648">
        <w:rPr>
          <w:rFonts w:ascii="Palatino Linotype" w:eastAsia="Palatino Linotype" w:hAnsi="Palatino Linotype" w:cs="Palatino Linotype"/>
          <w:color w:val="000000"/>
        </w:rPr>
        <w:t xml:space="preserve"> Unidades de Transparencia turnar a todas las áreas que se consideren competentes para que realicen una búsqueda </w:t>
      </w:r>
      <w:r w:rsidRPr="00E47648">
        <w:rPr>
          <w:rFonts w:ascii="Palatino Linotype" w:eastAsia="Palatino Linotype" w:hAnsi="Palatino Linotype" w:cs="Palatino Linotype"/>
          <w:color w:val="000000"/>
        </w:rPr>
        <w:lastRenderedPageBreak/>
        <w:t>exhaustiva y razonable de la información solicitada a fin de que ésta sea entregada a los solicitantes.</w:t>
      </w: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0E65CE" w:rsidRPr="00E47648" w:rsidRDefault="000E65CE">
      <w:pPr>
        <w:pBdr>
          <w:top w:val="nil"/>
          <w:left w:val="nil"/>
          <w:bottom w:val="nil"/>
          <w:right w:val="nil"/>
          <w:between w:val="nil"/>
        </w:pBdr>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En el caso que se resuelve, la respuesta fue emitida por la Dirección  de Seguridad Ciudadana y Movilidad Segura de Naucalpan de Juárez, quien de acuerdo al artículo 87 del Bando Municipal tiene como fines salvaguardar la vida, las libertades, la integridad, el patrimonio de las personas, sus derechos y bienes de las personas, con estricto apego a los derechos humanos, contribuir a la generación y preservación del orden público y la paz social, y prevenir la comisión de delitos e infracciones previstas en los ordenamientos jurídicos correspondientes, debiendo para ello apegarse a un marco de legalidad. </w:t>
      </w:r>
    </w:p>
    <w:p w:rsidR="000E65CE" w:rsidRPr="00E47648" w:rsidRDefault="000E65CE">
      <w:pPr>
        <w:pBdr>
          <w:top w:val="nil"/>
          <w:left w:val="nil"/>
          <w:bottom w:val="nil"/>
          <w:right w:val="nil"/>
          <w:between w:val="nil"/>
        </w:pBdr>
        <w:ind w:left="720"/>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Por su parte, el Reglamento Interior de la Dirección General de Seguridad Ciudadana y Movilidad Segura del Municipio de Naucalpan de Juárez, establece en su artículo 7 que la Dirección General tiene entre sus facultades contar con un registro de las estadísticas delictivas debidamente documentadas, es decir, que la respuesta fue emitida por el servidor público que de acuerdo a sus facultades genera, posee o administra la información solicitada.</w:t>
      </w:r>
    </w:p>
    <w:p w:rsidR="000E65CE" w:rsidRPr="00E47648" w:rsidRDefault="000E65CE">
      <w:pPr>
        <w:pBdr>
          <w:top w:val="nil"/>
          <w:left w:val="nil"/>
          <w:bottom w:val="nil"/>
          <w:right w:val="nil"/>
          <w:between w:val="nil"/>
        </w:pBdr>
        <w:ind w:left="720"/>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Sin embargo, es importante señalar que la Dirección General de Seguridad Ciudadana y Movilidad Segura del Municipio de Naucalpan de Juárez, no es la única área del Sujeto Obligado que puede generar, poseer o administrar la información solicitada, pues de acuerdo a las diversas publicaciones en las páginas oficiales del Sujeto Obligado, se advierte que hay otras áreas como la Guardia Municipal y la Subdirección de Prevención del Delito que pueden </w:t>
      </w:r>
      <w:r w:rsidRPr="00E47648">
        <w:rPr>
          <w:rFonts w:ascii="Palatino Linotype" w:eastAsia="Palatino Linotype" w:hAnsi="Palatino Linotype" w:cs="Palatino Linotype"/>
          <w:color w:val="000000"/>
        </w:rPr>
        <w:lastRenderedPageBreak/>
        <w:t xml:space="preserve">conocer de la información solicitada, pues como se ve en las siguientes imágenes, las áreas referidas presentan resultados de las estadísticas de los suicidios de dos mil veinticinco: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E47648">
        <w:rPr>
          <w:rFonts w:ascii="Palatino Linotype" w:eastAsia="Palatino Linotype" w:hAnsi="Palatino Linotype" w:cs="Palatino Linotype"/>
          <w:noProof/>
          <w:color w:val="000000"/>
        </w:rPr>
        <w:drawing>
          <wp:inline distT="0" distB="0" distL="0" distR="0">
            <wp:extent cx="2928981" cy="24549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28981" cy="2454969"/>
                    </a:xfrm>
                    <a:prstGeom prst="rect">
                      <a:avLst/>
                    </a:prstGeom>
                    <a:ln/>
                  </pic:spPr>
                </pic:pic>
              </a:graphicData>
            </a:graphic>
          </wp:inline>
        </w:drawing>
      </w:r>
    </w:p>
    <w:p w:rsidR="000E65CE" w:rsidRPr="00E47648" w:rsidRDefault="00354243">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E47648">
        <w:rPr>
          <w:rFonts w:ascii="Palatino Linotype" w:eastAsia="Palatino Linotype" w:hAnsi="Palatino Linotype" w:cs="Palatino Linotype"/>
          <w:noProof/>
          <w:color w:val="000000"/>
        </w:rPr>
        <w:drawing>
          <wp:inline distT="0" distB="0" distL="0" distR="0">
            <wp:extent cx="4435068" cy="384870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35068" cy="3848705"/>
                    </a:xfrm>
                    <a:prstGeom prst="rect">
                      <a:avLst/>
                    </a:prstGeom>
                    <a:ln/>
                  </pic:spPr>
                </pic:pic>
              </a:graphicData>
            </a:graphic>
          </wp:inline>
        </w:drawing>
      </w:r>
    </w:p>
    <w:p w:rsidR="000E65CE" w:rsidRDefault="000E65CE">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E47648" w:rsidRPr="00E47648" w:rsidRDefault="00E47648">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Al respecto, el Reglamento Orgánico de la Administración Pública Municipal de Naucalpan, establece es su artículo 11.1 que la Guardia Municipal tiene a su cargo  la función de seguridad pública, movilidad y seguridad vial, respetando los derechos humanos reconocidos en las legislaciones federales, estatales, municipales, y tratados internacionales de los que el Estado mexicano forma parte, preservando la integridad física de las personas e instituciones y su patrimonio, a través de la prevención del delito, incrementando los niveles de seguridad y confianza en el orden público, conduciendo sus acciones para la eficiente prestación de la función de seguridad pública que el Ayuntamiento tiene a su cargo; asimismo, el artículo 11.4 del mismo ordenamiento, establece que la Guardia Municipal tienen entre sus funciones contar con un registro de la estadísticas delictivas debidamente documentadas.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Por su parte, el artículo 11.37 del Reglamento Orgánico de la Administración Pública Municipal, establece que la Subdirección de Prevención del Delito tiene entre sus atribuciones las siguientes:</w:t>
      </w:r>
    </w:p>
    <w:p w:rsidR="000E65CE" w:rsidRPr="00E47648" w:rsidRDefault="00354243">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“I. Coordinar, dirigir y supervisar el diseño, ejecución y evaluación de los planes, programas y proyectos de prevención social de la violencia y la delincuencia con participación ciudadana, aplicados en el Municipio, con el objetivo de aumentar los factores de protección y disminuir los factores de riesgo </w:t>
      </w:r>
    </w:p>
    <w:p w:rsidR="000E65CE" w:rsidRPr="00E47648" w:rsidRDefault="00354243">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II. Promover y participar en la suscripción de acuerdos y convenios de colaboración, en apego a la normatividad en la materia, con instancias Federales, Estatales y Municipales, para el diseño, ejecución y evaluación conjunta de planes, programas y proyectos de prevención social de la violencia y la delincuencia que se apliquen en beneficio de la comunidad del Municipio; </w:t>
      </w:r>
    </w:p>
    <w:p w:rsidR="000E65CE" w:rsidRPr="00E47648" w:rsidRDefault="00354243">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lastRenderedPageBreak/>
        <w:t xml:space="preserve">III. Promover y realizar, por si o conjuntamente con instancias Federales, Estatales y Municipales, eventos como congresos, conferencias, cursos, talleres, pláticas y jornadas para difundir en el Municipio la cultura de la prevención, de la no violencia, de la denuncia, de la legalidad y otras temáticas que contribuyan a fortalecer los factores de protección contra la violencia y la delincuencia en la comunidad y a disminuir los de riesgo que afecten a la población del Municipio; </w:t>
      </w:r>
    </w:p>
    <w:p w:rsidR="000E65CE" w:rsidRPr="00E47648" w:rsidRDefault="00354243">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IV. Implementar y dar seguimiento a los programas orientados a la atención de víctimas de violencia en el Municipio, apegados a las normas y los programas Federales, Estatales y Municipales correspondientes al tema. Estos programas comprenderán la atención primaria, el informar y orientar sobre los derechos de la víctima, acompañamiento, atención psicológica, asesoría jurídica, y seguimiento para su empoderamiento y en su caso canalización a las instancias correspondientes para su tratamiento; </w:t>
      </w:r>
    </w:p>
    <w:p w:rsidR="000E65CE" w:rsidRPr="00E47648" w:rsidRDefault="00354243">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V. Dar seguimiento a los programas de prevención establecidos para la atención de los diferentes sectores sociales;</w:t>
      </w:r>
    </w:p>
    <w:p w:rsidR="000E65CE" w:rsidRPr="00E47648" w:rsidRDefault="00354243">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w:t>
      </w:r>
    </w:p>
    <w:p w:rsidR="000E65CE" w:rsidRPr="00E47648" w:rsidRDefault="000E65C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Como se advierte, las áreas señaladas con anterioridad tiene atribuciones que les permite conocer de la información solicitada, ya que son áreas encargadas de la coordinación, supervisión y evaluación de los proyectos de prevención de la violencia y la seguridad social, por lo tanto, la solicitud se debió turnar, de manera enunciativa </w:t>
      </w:r>
      <w:r w:rsidRPr="00E47648">
        <w:rPr>
          <w:rFonts w:ascii="Palatino Linotype" w:eastAsia="Palatino Linotype" w:hAnsi="Palatino Linotype" w:cs="Palatino Linotype"/>
        </w:rPr>
        <w:t>más</w:t>
      </w:r>
      <w:r w:rsidRPr="00E47648">
        <w:rPr>
          <w:rFonts w:ascii="Palatino Linotype" w:eastAsia="Palatino Linotype" w:hAnsi="Palatino Linotype" w:cs="Palatino Linotype"/>
          <w:color w:val="000000"/>
        </w:rPr>
        <w:t xml:space="preserve"> no limitativa, a la Guardia Municipal y a la Subdirección de Prevención del Delito. </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pPr>
        <w:numPr>
          <w:ilvl w:val="0"/>
          <w:numId w:val="2"/>
        </w:numPr>
        <w:tabs>
          <w:tab w:val="left" w:pos="0"/>
        </w:tabs>
        <w:spacing w:after="240"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color w:val="000000"/>
        </w:rPr>
        <w:t xml:space="preserve">En ese sentido, resulta necesario referir que, el </w:t>
      </w:r>
      <w:r w:rsidRPr="00E47648">
        <w:rPr>
          <w:rFonts w:ascii="Palatino Linotype" w:eastAsia="Palatino Linotype" w:hAnsi="Palatino Linotype" w:cs="Palatino Linotype"/>
        </w:rPr>
        <w:t xml:space="preserve">artículo 6° apartado A fracción I, de la Constitución Política de los Estados Unidos Mexicanos, artículo 5 fracción I de la Constitución </w:t>
      </w:r>
      <w:r w:rsidRPr="00E47648">
        <w:rPr>
          <w:rFonts w:ascii="Palatino Linotype" w:eastAsia="Palatino Linotype" w:hAnsi="Palatino Linotype" w:cs="Palatino Linotype"/>
        </w:rPr>
        <w:lastRenderedPageBreak/>
        <w:t xml:space="preserve">Política del Estado Libre y Soberano de México y el artículo 18 de la Ley de Transparencia y Acceso a la Información Pública del Estado de México y Municipios, guardan una estrecha relación, puesto que los ordenamientos citados concurren refiriendo que </w:t>
      </w:r>
      <w:r w:rsidRPr="00E47648">
        <w:rPr>
          <w:rFonts w:ascii="Palatino Linotype" w:eastAsia="Palatino Linotype" w:hAnsi="Palatino Linotype" w:cs="Palatino Linotype"/>
          <w:b/>
          <w:bCs/>
        </w:rPr>
        <w:t>los Sujetos Obligados deberán documentar todo acto que se derive del ejercicio de sus facultades, competencias o funciones,</w:t>
      </w:r>
      <w:r w:rsidRPr="00E47648">
        <w:rPr>
          <w:rFonts w:ascii="Palatino Linotype" w:eastAsia="Palatino Linotype" w:hAnsi="Palatino Linotype" w:cs="Palatino Linotype"/>
        </w:rPr>
        <w:t xml:space="preserve"> considerando desde su origen la eventual publicidad y reutilización de la información que generen, posean o administren.</w:t>
      </w:r>
    </w:p>
    <w:p w:rsidR="000E65CE" w:rsidRPr="00E47648" w:rsidRDefault="00354243">
      <w:pPr>
        <w:numPr>
          <w:ilvl w:val="0"/>
          <w:numId w:val="2"/>
        </w:numPr>
        <w:tabs>
          <w:tab w:val="left" w:pos="0"/>
        </w:tabs>
        <w:spacing w:after="240" w:line="360" w:lineRule="auto"/>
        <w:ind w:left="0" w:firstLine="0"/>
        <w:jc w:val="both"/>
        <w:rPr>
          <w:rFonts w:ascii="Palatino Linotype" w:eastAsia="Palatino Linotype" w:hAnsi="Palatino Linotype" w:cs="Palatino Linotype"/>
        </w:rPr>
      </w:pPr>
      <w:r w:rsidRPr="00E47648">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rsidR="000E65CE" w:rsidRPr="00E47648" w:rsidRDefault="00354243">
      <w:pPr>
        <w:spacing w:line="276" w:lineRule="auto"/>
        <w:ind w:left="567" w:right="567"/>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 xml:space="preserve">Artículo 4. </w:t>
      </w:r>
      <w:r w:rsidRPr="00E47648">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rsidR="000E65CE" w:rsidRPr="00E47648" w:rsidRDefault="000E65CE">
      <w:pPr>
        <w:spacing w:line="276" w:lineRule="auto"/>
        <w:ind w:left="567" w:right="567"/>
        <w:jc w:val="both"/>
        <w:rPr>
          <w:rFonts w:ascii="Palatino Linotype" w:eastAsia="Palatino Linotype" w:hAnsi="Palatino Linotype" w:cs="Palatino Linotype"/>
          <w:i/>
          <w:iCs/>
        </w:rPr>
      </w:pPr>
    </w:p>
    <w:p w:rsidR="000E65CE" w:rsidRPr="00E47648" w:rsidRDefault="00354243">
      <w:pPr>
        <w:spacing w:line="276" w:lineRule="auto"/>
        <w:ind w:left="567" w:right="567"/>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E65CE" w:rsidRPr="00E47648" w:rsidRDefault="000E65CE">
      <w:pPr>
        <w:spacing w:line="276" w:lineRule="auto"/>
        <w:ind w:left="567" w:right="567"/>
        <w:jc w:val="both"/>
        <w:rPr>
          <w:rFonts w:ascii="Palatino Linotype" w:eastAsia="Palatino Linotype" w:hAnsi="Palatino Linotype" w:cs="Palatino Linotype"/>
          <w:i/>
          <w:iCs/>
        </w:rPr>
      </w:pPr>
    </w:p>
    <w:p w:rsidR="000E65CE" w:rsidRPr="00E47648" w:rsidRDefault="00354243">
      <w:pPr>
        <w:spacing w:line="276" w:lineRule="auto"/>
        <w:ind w:left="567" w:right="567"/>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rsidR="000E65CE" w:rsidRPr="00E47648" w:rsidRDefault="000E65CE">
      <w:pPr>
        <w:spacing w:line="276" w:lineRule="auto"/>
        <w:ind w:right="567"/>
        <w:jc w:val="both"/>
        <w:rPr>
          <w:rFonts w:ascii="Palatino Linotype" w:eastAsia="Palatino Linotype" w:hAnsi="Palatino Linotype" w:cs="Palatino Linotype"/>
          <w:i/>
          <w:iCs/>
          <w:color w:val="000000"/>
        </w:rPr>
      </w:pPr>
    </w:p>
    <w:p w:rsidR="000E65CE" w:rsidRPr="00E47648" w:rsidRDefault="00354243">
      <w:pPr>
        <w:spacing w:line="276" w:lineRule="auto"/>
        <w:ind w:left="567" w:right="567"/>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lastRenderedPageBreak/>
        <w:t xml:space="preserve">Artículo 12. </w:t>
      </w:r>
      <w:r w:rsidRPr="00E47648">
        <w:rPr>
          <w:rFonts w:ascii="Palatino Linotype" w:eastAsia="Palatino Linotype" w:hAnsi="Palatino Linotype" w:cs="Palatino Linotype"/>
          <w:i/>
          <w:iCs/>
        </w:rPr>
        <w:t xml:space="preserve">Quienes generen, recopilen, administren, manejen, procesen, archiven o conserven información pública serán responsables de la misma en los términos de las disposiciones jurídicas aplicables. </w:t>
      </w:r>
    </w:p>
    <w:p w:rsidR="000E65CE" w:rsidRPr="00E47648" w:rsidRDefault="000E65CE">
      <w:pPr>
        <w:spacing w:line="276" w:lineRule="auto"/>
        <w:ind w:left="567" w:right="567"/>
        <w:jc w:val="both"/>
        <w:rPr>
          <w:rFonts w:ascii="Palatino Linotype" w:eastAsia="Palatino Linotype" w:hAnsi="Palatino Linotype" w:cs="Palatino Linotype"/>
          <w:i/>
          <w:iCs/>
        </w:rPr>
      </w:pPr>
    </w:p>
    <w:p w:rsidR="000E65CE" w:rsidRPr="00E47648" w:rsidRDefault="00354243">
      <w:pPr>
        <w:spacing w:line="276" w:lineRule="auto"/>
        <w:ind w:left="567" w:right="567"/>
        <w:jc w:val="both"/>
        <w:rPr>
          <w:rFonts w:ascii="Palatino Linotype" w:eastAsia="Palatino Linotype" w:hAnsi="Palatino Linotype" w:cs="Palatino Linotype"/>
          <w:i/>
          <w:iCs/>
        </w:rPr>
      </w:pPr>
      <w:r w:rsidRPr="00E47648">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w:t>
      </w:r>
      <w:r w:rsidRPr="00E47648">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p>
    <w:p w:rsidR="000E65CE" w:rsidRPr="00E47648" w:rsidRDefault="000E65CE">
      <w:pPr>
        <w:spacing w:line="360" w:lineRule="auto"/>
        <w:ind w:left="567" w:right="567"/>
        <w:jc w:val="both"/>
        <w:rPr>
          <w:rFonts w:ascii="Palatino Linotype" w:eastAsia="Palatino Linotype" w:hAnsi="Palatino Linotype" w:cs="Palatino Linotype"/>
          <w:i/>
          <w:iCs/>
          <w:color w:val="000000"/>
        </w:rPr>
      </w:pPr>
    </w:p>
    <w:p w:rsidR="000E65CE" w:rsidRPr="00E47648" w:rsidRDefault="00354243">
      <w:pPr>
        <w:numPr>
          <w:ilvl w:val="0"/>
          <w:numId w:val="2"/>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47648">
        <w:rPr>
          <w:rFonts w:ascii="Palatino Linotype" w:eastAsia="Palatino Linotype" w:hAnsi="Palatino Linotype" w:cs="Palatino Linotype"/>
          <w:color w:val="000000"/>
          <w:vertAlign w:val="superscript"/>
        </w:rPr>
        <w:footnoteReference w:id="3"/>
      </w:r>
      <w:r w:rsidRPr="00E47648">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E65CE" w:rsidRPr="00E47648" w:rsidRDefault="000E65C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0E65CE" w:rsidRPr="00E47648" w:rsidRDefault="00354243">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b/>
          <w:bCs/>
          <w:i/>
          <w:iCs/>
          <w:color w:val="000000"/>
        </w:rPr>
        <w:t>ACCESO A LA INFORMACIÓN. IMPLICACIÓN DEL PRINCIPIO DE MÁXIMA PUBLICIDAD EN EL DERECHO FUNDAMENTAL RELATIVO.</w:t>
      </w:r>
      <w:r w:rsidRPr="00E47648">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w:t>
      </w:r>
      <w:r w:rsidRPr="00E47648">
        <w:rPr>
          <w:rFonts w:ascii="Palatino Linotype" w:eastAsia="Palatino Linotype" w:hAnsi="Palatino Linotype" w:cs="Palatino Linotype"/>
          <w:i/>
          <w:iCs/>
          <w:color w:val="000000"/>
        </w:rPr>
        <w:lastRenderedPageBreak/>
        <w:t xml:space="preserve">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E65CE" w:rsidRPr="00E47648" w:rsidRDefault="000E65CE">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p>
    <w:p w:rsidR="000E65CE" w:rsidRPr="00E47648" w:rsidRDefault="00354243">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i/>
          <w:iCs/>
          <w:color w:val="000000"/>
        </w:rPr>
        <w:t xml:space="preserve">CUARTO TRIBUNAL COLEGIADO EN MATERIA ADMINISTRATIVA DEL PRIMER CIRCUITO. </w:t>
      </w:r>
    </w:p>
    <w:p w:rsidR="000E65CE" w:rsidRPr="00E47648" w:rsidRDefault="000E65CE">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p>
    <w:p w:rsidR="000E65CE" w:rsidRPr="00E47648" w:rsidRDefault="00354243">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E47648">
        <w:rPr>
          <w:rFonts w:ascii="Palatino Linotype" w:eastAsia="Palatino Linotype" w:hAnsi="Palatino Linotype" w:cs="Palatino Linotype"/>
          <w:i/>
          <w:iCs/>
          <w:color w:val="000000"/>
        </w:rPr>
        <w:t>Amparo en revisión 257/2012. Ruth Corona Muñoz. 6 de diciembre de 2012. Unanimidad de votos. Ponente: Jean Claude Tron Petit. Secretaria: Mayra Susana Martínez López.</w:t>
      </w:r>
    </w:p>
    <w:p w:rsidR="000E65CE" w:rsidRPr="00E47648" w:rsidRDefault="000E65C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tabs>
          <w:tab w:val="left" w:pos="851"/>
        </w:tabs>
        <w:spacing w:after="240" w:line="360" w:lineRule="auto"/>
        <w:ind w:left="0" w:right="49"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0E65CE" w:rsidRPr="00E47648" w:rsidRDefault="00354243">
      <w:pPr>
        <w:spacing w:line="360" w:lineRule="auto"/>
        <w:ind w:left="567" w:right="567"/>
        <w:jc w:val="both"/>
        <w:rPr>
          <w:rFonts w:ascii="Palatino Linotype" w:eastAsia="Palatino Linotype" w:hAnsi="Palatino Linotype" w:cs="Palatino Linotype"/>
          <w:i/>
          <w:iCs/>
        </w:rPr>
      </w:pPr>
      <w:r w:rsidRPr="00E47648">
        <w:rPr>
          <w:rFonts w:ascii="Palatino Linotype" w:eastAsia="Palatino Linotype" w:hAnsi="Palatino Linotype" w:cs="Palatino Linotype"/>
          <w:b/>
          <w:bCs/>
          <w:i/>
          <w:iCs/>
        </w:rPr>
        <w:t xml:space="preserve">XI. Documento: </w:t>
      </w:r>
      <w:r w:rsidRPr="00E47648">
        <w:rPr>
          <w:rFonts w:ascii="Palatino Linotype" w:eastAsia="Palatino Linotype" w:hAnsi="Palatino Linotype" w:cs="Palatino Linotype"/>
          <w:i/>
          <w:iCs/>
        </w:rPr>
        <w:t xml:space="preserve">Los expedientes, reportes, estudios, actas, resoluciones, oficios, correspondencia, acuerdos, directivas, directrices, circulares, contratos, convenios, </w:t>
      </w:r>
      <w:r w:rsidRPr="00E47648">
        <w:rPr>
          <w:rFonts w:ascii="Palatino Linotype" w:eastAsia="Palatino Linotype" w:hAnsi="Palatino Linotype" w:cs="Palatino Linotype"/>
          <w:i/>
          <w:iCs/>
        </w:rPr>
        <w:lastRenderedPageBreak/>
        <w:t xml:space="preserve">instructivos, notas, memorandos, estadísticas o bien, </w:t>
      </w:r>
      <w:r w:rsidRPr="00E47648">
        <w:rPr>
          <w:rFonts w:ascii="Palatino Linotype" w:eastAsia="Palatino Linotype" w:hAnsi="Palatino Linotype" w:cs="Palatino Linotype"/>
          <w:b/>
          <w:bCs/>
          <w:i/>
          <w:iCs/>
        </w:rPr>
        <w:t>cualquier otro registro</w:t>
      </w:r>
      <w:r w:rsidRPr="00E47648">
        <w:rPr>
          <w:rFonts w:ascii="Palatino Linotype" w:eastAsia="Palatino Linotype" w:hAnsi="Palatino Linotype" w:cs="Palatino Linotype"/>
          <w:i/>
          <w:iC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E65CE" w:rsidRPr="00E47648" w:rsidRDefault="000E65C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E47648">
        <w:rPr>
          <w:rFonts w:ascii="Palatino Linotype" w:eastAsia="Palatino Linotype" w:hAnsi="Palatino Linotype" w:cs="Palatino Linotype"/>
          <w:color w:val="000000"/>
        </w:rPr>
        <w:t xml:space="preserve">Por lo tanto, con lo expuesto en líneas anteriores y con fundamento en el artículo 186, fracción III, de la Ley de Transparencia y Acceso a la Información Pública del Estado de México y Municipios, este Instituto considera procedente </w:t>
      </w:r>
      <w:r w:rsidRPr="00E47648">
        <w:rPr>
          <w:rFonts w:ascii="Palatino Linotype" w:eastAsia="Palatino Linotype" w:hAnsi="Palatino Linotype" w:cs="Palatino Linotype"/>
          <w:b/>
          <w:bCs/>
          <w:color w:val="000000"/>
        </w:rPr>
        <w:t xml:space="preserve">REVOCAR </w:t>
      </w:r>
      <w:r w:rsidRPr="00E47648">
        <w:rPr>
          <w:rFonts w:ascii="Palatino Linotype" w:eastAsia="Palatino Linotype" w:hAnsi="Palatino Linotype" w:cs="Palatino Linotype"/>
          <w:color w:val="000000"/>
        </w:rPr>
        <w:t xml:space="preserve">la respuesta otorgada por el Sujeto Obligado, y determina que es dable </w:t>
      </w:r>
      <w:r w:rsidRPr="00E47648">
        <w:rPr>
          <w:rFonts w:ascii="Palatino Linotype" w:eastAsia="Palatino Linotype" w:hAnsi="Palatino Linotype" w:cs="Palatino Linotype"/>
          <w:b/>
          <w:bCs/>
          <w:color w:val="000000"/>
        </w:rPr>
        <w:t>ORDENAR</w:t>
      </w:r>
      <w:r w:rsidRPr="00E47648">
        <w:rPr>
          <w:rFonts w:ascii="Palatino Linotype" w:eastAsia="Palatino Linotype" w:hAnsi="Palatino Linotype" w:cs="Palatino Linotype"/>
          <w:color w:val="000000"/>
        </w:rPr>
        <w:t>, de ser procedente en versión pública, la siguiente información:</w:t>
      </w:r>
      <w:r w:rsidRPr="00E47648">
        <w:rPr>
          <w:rFonts w:ascii="Palatino Linotype" w:eastAsia="Palatino Linotype" w:hAnsi="Palatino Linotype" w:cs="Palatino Linotype"/>
          <w:b/>
          <w:bCs/>
          <w:color w:val="000000"/>
        </w:rPr>
        <w:t xml:space="preserve"> </w:t>
      </w:r>
    </w:p>
    <w:p w:rsidR="000E65CE" w:rsidRPr="00E47648" w:rsidRDefault="00354243">
      <w:pPr>
        <w:numPr>
          <w:ilvl w:val="1"/>
          <w:numId w:val="4"/>
        </w:numPr>
        <w:pBdr>
          <w:top w:val="nil"/>
          <w:left w:val="nil"/>
          <w:bottom w:val="nil"/>
          <w:right w:val="nil"/>
          <w:between w:val="nil"/>
        </w:pBdr>
        <w:spacing w:line="360" w:lineRule="auto"/>
        <w:ind w:right="822"/>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b/>
          <w:bCs/>
          <w:color w:val="000000"/>
        </w:rPr>
        <w:t xml:space="preserve">El soporte documental en el que se advierta el número de suicidios y las colonias en las que han ocurrido, del periodo comprendido del veintitrés de junio de dos mil veinte al veintitrés de junio de dos mil veinticinco. </w:t>
      </w:r>
    </w:p>
    <w:p w:rsidR="000E65CE" w:rsidRDefault="00354243">
      <w:pPr>
        <w:pStyle w:val="Ttulo1"/>
        <w:rPr>
          <w:rFonts w:ascii="Palatino Linotype" w:eastAsia="Palatino Linotype" w:hAnsi="Palatino Linotype" w:cs="Palatino Linotype"/>
          <w:b/>
          <w:bCs/>
          <w:color w:val="000000"/>
          <w:sz w:val="24"/>
          <w:szCs w:val="24"/>
        </w:rPr>
      </w:pPr>
      <w:bookmarkStart w:id="6" w:name="_heading=h.v0xp1lg2rstm" w:colFirst="0" w:colLast="0"/>
      <w:bookmarkEnd w:id="6"/>
      <w:r w:rsidRPr="00E47648">
        <w:rPr>
          <w:rFonts w:ascii="Palatino Linotype" w:eastAsia="Palatino Linotype" w:hAnsi="Palatino Linotype" w:cs="Palatino Linotype"/>
          <w:b/>
          <w:bCs/>
          <w:color w:val="000000"/>
          <w:sz w:val="24"/>
          <w:szCs w:val="24"/>
        </w:rPr>
        <w:t>QUINTO. De la versión pública.</w:t>
      </w:r>
    </w:p>
    <w:p w:rsidR="00E47648" w:rsidRPr="00E47648" w:rsidRDefault="00E47648" w:rsidP="00E47648">
      <w:pPr>
        <w:rPr>
          <w:rFonts w:eastAsia="Palatino Linotype"/>
        </w:rPr>
      </w:pPr>
    </w:p>
    <w:p w:rsidR="000E65CE" w:rsidRPr="00E47648" w:rsidRDefault="00354243">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Debe destacarse que, debido a la naturaleza de la información solicitada</w:t>
      </w:r>
      <w:r w:rsidRPr="00E47648">
        <w:rPr>
          <w:rFonts w:ascii="Palatino Linotype" w:eastAsia="Palatino Linotype" w:hAnsi="Palatino Linotype" w:cs="Palatino Linotype"/>
          <w:b/>
          <w:bCs/>
          <w:color w:val="000000"/>
        </w:rPr>
        <w:t xml:space="preserve">, </w:t>
      </w:r>
      <w:r w:rsidRPr="00E47648">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E47648">
        <w:rPr>
          <w:rFonts w:ascii="Palatino Linotype" w:eastAsia="Palatino Linotype" w:hAnsi="Palatino Linotype" w:cs="Palatino Linotype"/>
          <w:b/>
          <w:bCs/>
          <w:color w:val="000000"/>
        </w:rPr>
        <w:t xml:space="preserve">Sujeto Obligado </w:t>
      </w:r>
      <w:r w:rsidRPr="00E47648">
        <w:rPr>
          <w:rFonts w:ascii="Palatino Linotype" w:eastAsia="Palatino Linotype" w:hAnsi="Palatino Linotype" w:cs="Palatino Linotype"/>
          <w:color w:val="000000"/>
        </w:rPr>
        <w:t xml:space="preserve">deberá de hacer </w:t>
      </w:r>
      <w:r w:rsidRPr="00E47648">
        <w:rPr>
          <w:rFonts w:ascii="Palatino Linotype" w:eastAsia="Palatino Linotype" w:hAnsi="Palatino Linotype" w:cs="Palatino Linotype"/>
          <w:color w:val="000000"/>
        </w:rPr>
        <w:lastRenderedPageBreak/>
        <w:t xml:space="preserve">la adecuada versión pública, protegiendo los datos que no son susceptibles de ser proporcionados. </w:t>
      </w:r>
    </w:p>
    <w:p w:rsidR="000E65CE" w:rsidRPr="00E47648" w:rsidRDefault="000E65CE">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0E65CE" w:rsidRPr="00E47648" w:rsidRDefault="00354243">
      <w:pPr>
        <w:numPr>
          <w:ilvl w:val="0"/>
          <w:numId w:val="2"/>
        </w:numPr>
        <w:tabs>
          <w:tab w:val="left" w:pos="284"/>
        </w:tabs>
        <w:spacing w:line="360" w:lineRule="auto"/>
        <w:ind w:left="0" w:right="49" w:firstLine="0"/>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No pasa desapercibido para este Órgano Garante que los </w:t>
      </w:r>
      <w:r w:rsidRPr="00E47648">
        <w:rPr>
          <w:rFonts w:ascii="Palatino Linotype" w:eastAsia="Palatino Linotype" w:hAnsi="Palatino Linotype" w:cs="Palatino Linotype"/>
          <w:b/>
          <w:bCs/>
        </w:rPr>
        <w:t xml:space="preserve">Sujetos Obligados </w:t>
      </w:r>
      <w:r w:rsidRPr="00E47648">
        <w:rPr>
          <w:rFonts w:ascii="Palatino Linotype" w:eastAsia="Palatino Linotype" w:hAnsi="Palatino Linotype" w:cs="Palatino Linotype"/>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E65CE" w:rsidRPr="00E47648" w:rsidRDefault="000E65CE">
      <w:pPr>
        <w:tabs>
          <w:tab w:val="left" w:pos="284"/>
        </w:tabs>
        <w:spacing w:line="360" w:lineRule="auto"/>
        <w:ind w:right="49"/>
        <w:jc w:val="both"/>
        <w:rPr>
          <w:rFonts w:ascii="Palatino Linotype" w:eastAsia="Palatino Linotype" w:hAnsi="Palatino Linotype" w:cs="Palatino Linotype"/>
        </w:rPr>
      </w:pPr>
    </w:p>
    <w:tbl>
      <w:tblPr>
        <w:tblStyle w:val="a0"/>
        <w:tblW w:w="9639"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3"/>
        <w:gridCol w:w="6946"/>
      </w:tblGrid>
      <w:tr w:rsidR="000E65CE" w:rsidRPr="00E47648" w:rsidTr="00E47648">
        <w:tc>
          <w:tcPr>
            <w:tcW w:w="2693" w:type="dxa"/>
          </w:tcPr>
          <w:p w:rsidR="000E65CE" w:rsidRPr="00E47648" w:rsidRDefault="00354243">
            <w:pPr>
              <w:tabs>
                <w:tab w:val="left" w:pos="284"/>
              </w:tabs>
              <w:spacing w:line="360" w:lineRule="auto"/>
              <w:rPr>
                <w:rFonts w:ascii="Palatino Linotype" w:eastAsia="Palatino Linotype" w:hAnsi="Palatino Linotype" w:cs="Palatino Linotype"/>
              </w:rPr>
            </w:pPr>
            <w:r w:rsidRPr="00E47648">
              <w:rPr>
                <w:rFonts w:ascii="Palatino Linotype" w:eastAsia="Palatino Linotype" w:hAnsi="Palatino Linotype" w:cs="Palatino Linotype"/>
              </w:rPr>
              <w:t>a) Requisitos previos.</w:t>
            </w:r>
          </w:p>
        </w:tc>
        <w:tc>
          <w:tcPr>
            <w:tcW w:w="6946" w:type="dxa"/>
          </w:tcPr>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Al hacerlo tienen que precisar de qué información se trata, señalando el supuesto de clasificación (confidencialidad o reserva).</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Además, se debe señalar el procedimiento, de los tres que establecen los artículos 132 y 106 de la Ley Estatal y General, respectivamente.</w:t>
            </w:r>
          </w:p>
          <w:p w:rsidR="000E65CE" w:rsidRPr="00E47648" w:rsidRDefault="00354243">
            <w:pPr>
              <w:tabs>
                <w:tab w:val="left" w:pos="284"/>
              </w:tabs>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E47648">
              <w:rPr>
                <w:rFonts w:ascii="Palatino Linotype" w:eastAsia="Palatino Linotype" w:hAnsi="Palatino Linotype" w:cs="Palatino Linotype"/>
                <w:u w:val="single"/>
              </w:rPr>
              <w:t>no se puede hacer un acuerdo para clasificar de manera general todos los documentos de un expediente o área, sin</w:t>
            </w:r>
            <w:r w:rsidRPr="00E47648">
              <w:rPr>
                <w:rFonts w:ascii="Palatino Linotype" w:eastAsia="Palatino Linotype" w:hAnsi="Palatino Linotype" w:cs="Palatino Linotype"/>
              </w:rPr>
              <w:t xml:space="preserve"> </w:t>
            </w:r>
            <w:r w:rsidRPr="00E47648">
              <w:rPr>
                <w:rFonts w:ascii="Palatino Linotype" w:eastAsia="Palatino Linotype" w:hAnsi="Palatino Linotype" w:cs="Palatino Linotype"/>
              </w:rPr>
              <w:lastRenderedPageBreak/>
              <w:t>individualizar su análisis y tampoco se puede hacer un acuerdo por cada dato que se vaya a clasificar dentro de un documento con diez datos, por ejemplo, susceptibles de ser clasificados.</w:t>
            </w:r>
          </w:p>
        </w:tc>
      </w:tr>
      <w:tr w:rsidR="000E65CE" w:rsidRPr="00E47648" w:rsidTr="00E47648">
        <w:tc>
          <w:tcPr>
            <w:tcW w:w="2693" w:type="dxa"/>
          </w:tcPr>
          <w:p w:rsidR="000E65CE" w:rsidRPr="00E47648" w:rsidRDefault="00354243">
            <w:pPr>
              <w:tabs>
                <w:tab w:val="left" w:pos="284"/>
              </w:tabs>
              <w:spacing w:line="360" w:lineRule="auto"/>
              <w:rPr>
                <w:rFonts w:ascii="Palatino Linotype" w:eastAsia="Palatino Linotype" w:hAnsi="Palatino Linotype" w:cs="Palatino Linotype"/>
              </w:rPr>
            </w:pPr>
            <w:r w:rsidRPr="00E47648">
              <w:rPr>
                <w:rFonts w:ascii="Palatino Linotype" w:eastAsia="Palatino Linotype" w:hAnsi="Palatino Linotype" w:cs="Palatino Linotype"/>
              </w:rPr>
              <w:lastRenderedPageBreak/>
              <w:t>b) Supuestos de clasificación.</w:t>
            </w:r>
          </w:p>
        </w:tc>
        <w:tc>
          <w:tcPr>
            <w:tcW w:w="6946" w:type="dxa"/>
          </w:tcPr>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E65CE" w:rsidRPr="00E47648" w:rsidRDefault="00354243">
            <w:pPr>
              <w:tabs>
                <w:tab w:val="left" w:pos="284"/>
              </w:tabs>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w:t>
            </w:r>
            <w:r w:rsidRPr="00E47648">
              <w:rPr>
                <w:rFonts w:ascii="Palatino Linotype" w:eastAsia="Palatino Linotype" w:hAnsi="Palatino Linotype" w:cs="Palatino Linotype"/>
                <w:b/>
                <w:bCs/>
              </w:rPr>
              <w:t>Sujeto Obligado</w:t>
            </w:r>
            <w:r w:rsidRPr="00E47648">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E65CE" w:rsidRPr="00E47648" w:rsidTr="00E47648">
        <w:tc>
          <w:tcPr>
            <w:tcW w:w="2693" w:type="dxa"/>
          </w:tcPr>
          <w:p w:rsidR="000E65CE" w:rsidRPr="00E47648" w:rsidRDefault="00354243">
            <w:pPr>
              <w:tabs>
                <w:tab w:val="left" w:pos="284"/>
              </w:tabs>
              <w:spacing w:line="360" w:lineRule="auto"/>
              <w:rPr>
                <w:rFonts w:ascii="Palatino Linotype" w:eastAsia="Palatino Linotype" w:hAnsi="Palatino Linotype" w:cs="Palatino Linotype"/>
              </w:rPr>
            </w:pPr>
            <w:r w:rsidRPr="00E47648">
              <w:rPr>
                <w:rFonts w:ascii="Palatino Linotype" w:eastAsia="Palatino Linotype" w:hAnsi="Palatino Linotype" w:cs="Palatino Linotype"/>
              </w:rPr>
              <w:t>c) Formalidades para emitir el acuerdo de clasificación.</w:t>
            </w:r>
          </w:p>
        </w:tc>
        <w:tc>
          <w:tcPr>
            <w:tcW w:w="6946" w:type="dxa"/>
          </w:tcPr>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lastRenderedPageBreak/>
              <w:t xml:space="preserve">Es necesario que </w:t>
            </w:r>
            <w:r w:rsidRPr="00E47648">
              <w:rPr>
                <w:rFonts w:ascii="Palatino Linotype" w:eastAsia="Palatino Linotype" w:hAnsi="Palatino Linotype" w:cs="Palatino Linotype"/>
                <w:b/>
                <w:bCs/>
                <w:u w:val="single"/>
              </w:rPr>
              <w:t>el acto reúna con los requisitos elementales</w:t>
            </w:r>
            <w:r w:rsidRPr="00E47648">
              <w:rPr>
                <w:rFonts w:ascii="Palatino Linotype" w:eastAsia="Palatino Linotype" w:hAnsi="Palatino Linotype" w:cs="Palatino Linotype"/>
              </w:rPr>
              <w:t>, entre ellos, que la autoridad que va a emitir el acto de autoridad sea la legalmente facultada para ello.</w:t>
            </w:r>
          </w:p>
          <w:p w:rsidR="000E65CE" w:rsidRPr="00E47648" w:rsidRDefault="00354243">
            <w:pPr>
              <w:tabs>
                <w:tab w:val="left" w:pos="284"/>
              </w:tabs>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E65CE" w:rsidRPr="00E47648" w:rsidTr="00E47648">
        <w:tc>
          <w:tcPr>
            <w:tcW w:w="2693" w:type="dxa"/>
          </w:tcPr>
          <w:p w:rsidR="000E65CE" w:rsidRPr="00E47648" w:rsidRDefault="000E65CE">
            <w:pPr>
              <w:tabs>
                <w:tab w:val="left" w:pos="284"/>
              </w:tabs>
              <w:spacing w:line="360" w:lineRule="auto"/>
              <w:rPr>
                <w:rFonts w:ascii="Palatino Linotype" w:eastAsia="Palatino Linotype" w:hAnsi="Palatino Linotype" w:cs="Palatino Linotype"/>
              </w:rPr>
            </w:pPr>
          </w:p>
          <w:p w:rsidR="000E65CE" w:rsidRPr="00E47648" w:rsidRDefault="00354243">
            <w:pPr>
              <w:tabs>
                <w:tab w:val="left" w:pos="284"/>
              </w:tabs>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d) Requisitos de fondo del acuerdo de clasificación. </w:t>
            </w:r>
          </w:p>
        </w:tc>
        <w:tc>
          <w:tcPr>
            <w:tcW w:w="6946" w:type="dxa"/>
          </w:tcPr>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47648">
              <w:rPr>
                <w:rFonts w:ascii="Palatino Linotype" w:eastAsia="Palatino Linotype" w:hAnsi="Palatino Linotype" w:cs="Palatino Linotype"/>
                <w:b/>
                <w:bCs/>
              </w:rPr>
              <w:t>Sujetos Obligados</w:t>
            </w:r>
            <w:r w:rsidRPr="00E47648">
              <w:rPr>
                <w:rFonts w:ascii="Palatino Linotype" w:eastAsia="Palatino Linotype" w:hAnsi="Palatino Linotype" w:cs="Palatino Linotype"/>
              </w:rPr>
              <w:t xml:space="preserve">, por lo que deberán fundar y motivar debidamente la clasificación. </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De lo anterior, se desprende que para una correcta </w:t>
            </w:r>
            <w:r w:rsidRPr="00E47648">
              <w:rPr>
                <w:rFonts w:ascii="Palatino Linotype" w:eastAsia="Palatino Linotype" w:hAnsi="Palatino Linotype" w:cs="Palatino Linotype"/>
                <w:b/>
                <w:bCs/>
              </w:rPr>
              <w:t>clasificación total o parcial</w:t>
            </w:r>
            <w:r w:rsidRPr="00E47648">
              <w:rPr>
                <w:rFonts w:ascii="Palatino Linotype" w:eastAsia="Palatino Linotype" w:hAnsi="Palatino Linotype" w:cs="Palatino Linotype"/>
              </w:rPr>
              <w:t xml:space="preserve">, esto es determinar los datos que se suprimen en las versiones públicas, es necesario fundar y motivar, de manera correcta, la clasificación; considerando que todo acto </w:t>
            </w:r>
            <w:r w:rsidRPr="00E47648">
              <w:rPr>
                <w:rFonts w:ascii="Palatino Linotype" w:eastAsia="Palatino Linotype" w:hAnsi="Palatino Linotype" w:cs="Palatino Linotype"/>
              </w:rPr>
              <w:lastRenderedPageBreak/>
              <w:t>que la autoridad pronuncie en el ejercicio de sus atribuciones, debe expresar los fundamentos legales que le dieron origen y las razones por las que se deben aplicar al caso concreto.</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Ahora bien, </w:t>
            </w:r>
            <w:r w:rsidRPr="00E47648">
              <w:rPr>
                <w:rFonts w:ascii="Palatino Linotype" w:eastAsia="Palatino Linotype" w:hAnsi="Palatino Linotype" w:cs="Palatino Linotype"/>
                <w:b/>
                <w:bCs/>
                <w:u w:val="single"/>
              </w:rPr>
              <w:t>para cada caso además de fundar y motivar</w:t>
            </w:r>
            <w:r w:rsidRPr="00E47648">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E65CE" w:rsidRPr="00E47648" w:rsidTr="00E47648">
        <w:tc>
          <w:tcPr>
            <w:tcW w:w="2693" w:type="dxa"/>
          </w:tcPr>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lastRenderedPageBreak/>
              <w:t xml:space="preserve">e) Condiciones especiales de la clasificación de la información como confidencial. </w:t>
            </w:r>
          </w:p>
        </w:tc>
        <w:tc>
          <w:tcPr>
            <w:tcW w:w="6946" w:type="dxa"/>
          </w:tcPr>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0E65CE" w:rsidRPr="00E47648" w:rsidRDefault="00354243">
            <w:pPr>
              <w:tabs>
                <w:tab w:val="left" w:pos="284"/>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E65CE" w:rsidRPr="00E47648" w:rsidRDefault="00354243">
            <w:pPr>
              <w:tabs>
                <w:tab w:val="left" w:pos="284"/>
              </w:tabs>
              <w:spacing w:line="360" w:lineRule="auto"/>
              <w:rPr>
                <w:rFonts w:ascii="Palatino Linotype" w:eastAsia="Palatino Linotype" w:hAnsi="Palatino Linotype" w:cs="Palatino Linotype"/>
              </w:rPr>
            </w:pPr>
            <w:r w:rsidRPr="00E47648">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E65CE" w:rsidRPr="00E47648" w:rsidRDefault="000E65CE">
      <w:pPr>
        <w:pBdr>
          <w:top w:val="nil"/>
          <w:left w:val="nil"/>
          <w:bottom w:val="nil"/>
          <w:right w:val="nil"/>
          <w:between w:val="nil"/>
        </w:pBdr>
        <w:tabs>
          <w:tab w:val="left" w:pos="284"/>
        </w:tabs>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rsidP="00E4764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b/>
          <w:bCs/>
          <w:color w:val="000000"/>
        </w:rPr>
        <w:t>Nombre de particulares</w:t>
      </w:r>
    </w:p>
    <w:p w:rsidR="000E65CE" w:rsidRPr="00E47648" w:rsidRDefault="0035424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ésta en términos del artículo 2.3 del Código Civil del </w:t>
      </w:r>
      <w:r w:rsidRPr="00E47648">
        <w:rPr>
          <w:rFonts w:ascii="Palatino Linotype" w:eastAsia="Palatino Linotype" w:hAnsi="Palatino Linotype" w:cs="Palatino Linotype"/>
          <w:color w:val="000000"/>
        </w:rPr>
        <w:lastRenderedPageBreak/>
        <w:t>Estado de México, de tal suerte, el nombre es un elemento que hace a una persona física identificada o identificable, por lo que, se considera un dato personal.</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rsidP="00E4764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E47648">
        <w:rPr>
          <w:rFonts w:ascii="Palatino Linotype" w:eastAsia="Palatino Linotype" w:hAnsi="Palatino Linotype" w:cs="Palatino Linotype"/>
          <w:b/>
          <w:bCs/>
          <w:color w:val="000000"/>
        </w:rPr>
        <w:t xml:space="preserve">Domicilio particular </w:t>
      </w:r>
    </w:p>
    <w:p w:rsidR="000E65CE" w:rsidRPr="00E47648" w:rsidRDefault="00354243">
      <w:pPr>
        <w:numPr>
          <w:ilvl w:val="0"/>
          <w:numId w:val="2"/>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E65CE" w:rsidRPr="00E47648" w:rsidRDefault="000E65CE">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De la misma manera, lo establece el artículo 29 del Código Civil Federal, al precisar que el domicilio de personas físicas</w:t>
      </w:r>
      <w:r w:rsidRPr="00E47648">
        <w:rPr>
          <w:rFonts w:ascii="Palatino Linotype" w:eastAsia="Palatino Linotype" w:hAnsi="Palatino Linotype" w:cs="Palatino Linotype"/>
          <w:b/>
          <w:bCs/>
          <w:color w:val="000000"/>
        </w:rPr>
        <w:t>, es el lugar donde residen habitualmente, el lugar del centro principal de sus negocios, donde residan o el lugar donde se encuentren.</w:t>
      </w:r>
    </w:p>
    <w:p w:rsidR="000E65CE" w:rsidRPr="00E47648" w:rsidRDefault="000E65CE">
      <w:pPr>
        <w:pBdr>
          <w:top w:val="nil"/>
          <w:left w:val="nil"/>
          <w:bottom w:val="nil"/>
          <w:right w:val="nil"/>
          <w:between w:val="nil"/>
        </w:pBdr>
        <w:ind w:left="720"/>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E65CE" w:rsidRPr="00E47648" w:rsidRDefault="000E65CE">
      <w:pPr>
        <w:rPr>
          <w:rFonts w:ascii="Palatino Linotype" w:eastAsia="Palatino Linotype" w:hAnsi="Palatino Linotype" w:cs="Palatino Linotype"/>
        </w:rPr>
      </w:pPr>
    </w:p>
    <w:p w:rsidR="000E65CE" w:rsidRPr="00E47648" w:rsidRDefault="00354243">
      <w:pPr>
        <w:numPr>
          <w:ilvl w:val="0"/>
          <w:numId w:val="2"/>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t>Por lo tanto, se actualiza la clasificación del domicilio, de conformidad con la fracción I, del artículo 143 de la Ley de Transparencia y Acceso a la Información Pública del Estado de México y Municipios.</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pPr>
        <w:numPr>
          <w:ilvl w:val="0"/>
          <w:numId w:val="2"/>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color w:val="000000"/>
        </w:rPr>
        <w:lastRenderedPageBreak/>
        <w:t xml:space="preserve">Por lo anteriormente expuesto y fundado, este </w:t>
      </w:r>
      <w:r w:rsidRPr="00E47648">
        <w:rPr>
          <w:rFonts w:ascii="Palatino Linotype" w:eastAsia="Palatino Linotype" w:hAnsi="Palatino Linotype" w:cs="Palatino Linotype"/>
          <w:b/>
          <w:bCs/>
          <w:color w:val="000000"/>
        </w:rPr>
        <w:t>ÓRGANO GARANTE</w:t>
      </w:r>
      <w:r w:rsidRPr="00E47648">
        <w:rPr>
          <w:rFonts w:ascii="Palatino Linotype" w:eastAsia="Palatino Linotype" w:hAnsi="Palatino Linotype" w:cs="Palatino Linotype"/>
          <w:color w:val="000000"/>
        </w:rPr>
        <w:t xml:space="preserve"> emite los siguientes:</w:t>
      </w:r>
      <w:r w:rsidR="00E47648">
        <w:rPr>
          <w:rFonts w:ascii="Palatino Linotype" w:eastAsia="Palatino Linotype" w:hAnsi="Palatino Linotype" w:cs="Palatino Linotype"/>
          <w:color w:val="000000"/>
        </w:rPr>
        <w:t xml:space="preserve"> ------------------------------------------------------------------------------------------------------------</w:t>
      </w:r>
    </w:p>
    <w:p w:rsidR="000E65CE" w:rsidRPr="00E47648" w:rsidRDefault="00354243">
      <w:pPr>
        <w:pStyle w:val="Ttulo1"/>
        <w:jc w:val="center"/>
        <w:rPr>
          <w:rFonts w:ascii="Palatino Linotype" w:eastAsia="Palatino Linotype" w:hAnsi="Palatino Linotype" w:cs="Palatino Linotype"/>
          <w:b/>
          <w:bCs/>
          <w:color w:val="000000"/>
          <w:sz w:val="24"/>
          <w:szCs w:val="24"/>
        </w:rPr>
      </w:pPr>
      <w:bookmarkStart w:id="7" w:name="_heading=h.uk9dq037t2vd" w:colFirst="0" w:colLast="0"/>
      <w:bookmarkEnd w:id="7"/>
      <w:r w:rsidRPr="00E47648">
        <w:rPr>
          <w:rFonts w:ascii="Palatino Linotype" w:eastAsia="Palatino Linotype" w:hAnsi="Palatino Linotype" w:cs="Palatino Linotype"/>
          <w:b/>
          <w:bCs/>
          <w:color w:val="000000"/>
          <w:sz w:val="24"/>
          <w:szCs w:val="24"/>
        </w:rPr>
        <w:t>R E S O L U T I V O S</w:t>
      </w:r>
    </w:p>
    <w:p w:rsidR="000E65CE" w:rsidRPr="00E47648" w:rsidRDefault="000E65CE">
      <w:pPr>
        <w:keepNext/>
        <w:keepLines/>
        <w:spacing w:line="360" w:lineRule="auto"/>
        <w:jc w:val="center"/>
        <w:rPr>
          <w:rFonts w:ascii="Palatino Linotype" w:eastAsia="Palatino Linotype" w:hAnsi="Palatino Linotype" w:cs="Palatino Linotype"/>
          <w:b/>
          <w:bCs/>
        </w:rPr>
      </w:pPr>
    </w:p>
    <w:p w:rsidR="000E65CE" w:rsidRPr="00E47648" w:rsidRDefault="00354243">
      <w:pPr>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b/>
          <w:bCs/>
        </w:rPr>
        <w:t xml:space="preserve">PRIMERO. </w:t>
      </w:r>
      <w:r w:rsidRPr="00E47648">
        <w:rPr>
          <w:rFonts w:ascii="Palatino Linotype" w:eastAsia="Palatino Linotype" w:hAnsi="Palatino Linotype" w:cs="Palatino Linotype"/>
        </w:rPr>
        <w:t>Resultan fundadas las</w:t>
      </w:r>
      <w:r w:rsidRPr="00E47648">
        <w:rPr>
          <w:rFonts w:ascii="Palatino Linotype" w:eastAsia="Palatino Linotype" w:hAnsi="Palatino Linotype" w:cs="Palatino Linotype"/>
          <w:b/>
          <w:bCs/>
        </w:rPr>
        <w:t xml:space="preserve"> </w:t>
      </w:r>
      <w:r w:rsidRPr="00E47648">
        <w:rPr>
          <w:rFonts w:ascii="Palatino Linotype" w:eastAsia="Palatino Linotype" w:hAnsi="Palatino Linotype" w:cs="Palatino Linotype"/>
        </w:rPr>
        <w:t xml:space="preserve">razones o motivos de inconformidad hechos valer en el recurso de revisión </w:t>
      </w:r>
      <w:r w:rsidRPr="00E47648">
        <w:rPr>
          <w:rFonts w:ascii="Palatino Linotype" w:eastAsia="Palatino Linotype" w:hAnsi="Palatino Linotype" w:cs="Palatino Linotype"/>
          <w:b/>
          <w:bCs/>
        </w:rPr>
        <w:t xml:space="preserve">07638/INFOEM/IP/RR/2025 </w:t>
      </w:r>
      <w:r w:rsidRPr="00E47648">
        <w:rPr>
          <w:rFonts w:ascii="Palatino Linotype" w:eastAsia="Palatino Linotype" w:hAnsi="Palatino Linotype" w:cs="Palatino Linotype"/>
        </w:rPr>
        <w:t>en términos de los</w:t>
      </w:r>
      <w:r w:rsidRPr="00E47648">
        <w:rPr>
          <w:rFonts w:ascii="Palatino Linotype" w:eastAsia="Palatino Linotype" w:hAnsi="Palatino Linotype" w:cs="Palatino Linotype"/>
          <w:b/>
          <w:bCs/>
        </w:rPr>
        <w:t xml:space="preserve"> Considerandos</w:t>
      </w:r>
      <w:r w:rsidRPr="00E47648">
        <w:rPr>
          <w:rFonts w:ascii="Palatino Linotype" w:eastAsia="Palatino Linotype" w:hAnsi="Palatino Linotype" w:cs="Palatino Linotype"/>
        </w:rPr>
        <w:t xml:space="preserve"> </w:t>
      </w:r>
      <w:r w:rsidRPr="00E47648">
        <w:rPr>
          <w:rFonts w:ascii="Palatino Linotype" w:eastAsia="Palatino Linotype" w:hAnsi="Palatino Linotype" w:cs="Palatino Linotype"/>
          <w:b/>
          <w:bCs/>
        </w:rPr>
        <w:t>CUARTO y QUINTO</w:t>
      </w:r>
      <w:r w:rsidRPr="00E47648">
        <w:rPr>
          <w:rFonts w:ascii="Palatino Linotype" w:eastAsia="Palatino Linotype" w:hAnsi="Palatino Linotype" w:cs="Palatino Linotype"/>
        </w:rPr>
        <w:t xml:space="preserve"> de la presente resolución.</w:t>
      </w:r>
    </w:p>
    <w:p w:rsidR="000E65CE" w:rsidRPr="00E47648" w:rsidRDefault="000E65CE">
      <w:pPr>
        <w:spacing w:line="360" w:lineRule="auto"/>
        <w:jc w:val="both"/>
        <w:rPr>
          <w:rFonts w:ascii="Palatino Linotype" w:eastAsia="Palatino Linotype" w:hAnsi="Palatino Linotype" w:cs="Palatino Linotype"/>
          <w:b/>
          <w:bCs/>
        </w:rPr>
      </w:pPr>
    </w:p>
    <w:p w:rsidR="000E65CE" w:rsidRPr="00E47648" w:rsidRDefault="00354243">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8" w:name="_heading=h.ptdlfzow6o3e" w:colFirst="0" w:colLast="0"/>
      <w:bookmarkEnd w:id="8"/>
      <w:r w:rsidRPr="00E47648">
        <w:rPr>
          <w:rFonts w:ascii="Palatino Linotype" w:eastAsia="Palatino Linotype" w:hAnsi="Palatino Linotype" w:cs="Palatino Linotype"/>
          <w:b/>
          <w:bCs/>
          <w:color w:val="000000"/>
        </w:rPr>
        <w:t xml:space="preserve">SEGUNDO. </w:t>
      </w:r>
      <w:r w:rsidRPr="00E47648">
        <w:rPr>
          <w:rFonts w:ascii="Palatino Linotype" w:eastAsia="Palatino Linotype" w:hAnsi="Palatino Linotype" w:cs="Palatino Linotype"/>
          <w:color w:val="000000"/>
        </w:rPr>
        <w:t xml:space="preserve">Se </w:t>
      </w:r>
      <w:r w:rsidRPr="00E47648">
        <w:rPr>
          <w:rFonts w:ascii="Palatino Linotype" w:eastAsia="Palatino Linotype" w:hAnsi="Palatino Linotype" w:cs="Palatino Linotype"/>
          <w:b/>
          <w:bCs/>
          <w:color w:val="000000"/>
        </w:rPr>
        <w:t>REVOCA</w:t>
      </w:r>
      <w:r w:rsidRPr="00E47648">
        <w:rPr>
          <w:rFonts w:ascii="Palatino Linotype" w:eastAsia="Palatino Linotype" w:hAnsi="Palatino Linotype" w:cs="Palatino Linotype"/>
          <w:color w:val="000000"/>
        </w:rPr>
        <w:t xml:space="preserve"> la respuesta y se </w:t>
      </w:r>
      <w:r w:rsidRPr="00E47648">
        <w:rPr>
          <w:rFonts w:ascii="Palatino Linotype" w:eastAsia="Palatino Linotype" w:hAnsi="Palatino Linotype" w:cs="Palatino Linotype"/>
          <w:b/>
          <w:bCs/>
          <w:color w:val="000000"/>
        </w:rPr>
        <w:t xml:space="preserve">ORDENA </w:t>
      </w:r>
      <w:r w:rsidRPr="00E47648">
        <w:rPr>
          <w:rFonts w:ascii="Palatino Linotype" w:eastAsia="Palatino Linotype" w:hAnsi="Palatino Linotype" w:cs="Palatino Linotype"/>
          <w:color w:val="000000"/>
        </w:rPr>
        <w:t xml:space="preserve">al </w:t>
      </w:r>
      <w:r w:rsidRPr="00E47648">
        <w:rPr>
          <w:rFonts w:ascii="Palatino Linotype" w:eastAsia="Palatino Linotype" w:hAnsi="Palatino Linotype" w:cs="Palatino Linotype"/>
          <w:b/>
          <w:bCs/>
          <w:color w:val="000000"/>
        </w:rPr>
        <w:t xml:space="preserve">Ayuntamiento de Naucalpan de Juárez, </w:t>
      </w:r>
      <w:r w:rsidRPr="00E47648">
        <w:rPr>
          <w:rFonts w:ascii="Palatino Linotype" w:eastAsia="Palatino Linotype" w:hAnsi="Palatino Linotype" w:cs="Palatino Linotype"/>
          <w:color w:val="000000"/>
        </w:rPr>
        <w:t>entregar vía Sistema de Acceso a la Información Mexiquense (SAIMEX), de ser el caso en versión pública</w:t>
      </w:r>
      <w:r w:rsidRPr="00E47648">
        <w:rPr>
          <w:rFonts w:ascii="Palatino Linotype" w:eastAsia="Palatino Linotype" w:hAnsi="Palatino Linotype" w:cs="Palatino Linotype"/>
          <w:b/>
          <w:bCs/>
          <w:color w:val="000000"/>
        </w:rPr>
        <w:t>,</w:t>
      </w:r>
      <w:r w:rsidRPr="00E47648">
        <w:rPr>
          <w:rFonts w:ascii="Palatino Linotype" w:eastAsia="Palatino Linotype" w:hAnsi="Palatino Linotype" w:cs="Palatino Linotype"/>
          <w:color w:val="000000"/>
        </w:rPr>
        <w:t xml:space="preserve"> la siguiente información:</w:t>
      </w: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E65CE" w:rsidRPr="00E47648" w:rsidRDefault="00354243">
      <w:pPr>
        <w:numPr>
          <w:ilvl w:val="1"/>
          <w:numId w:val="5"/>
        </w:numPr>
        <w:pBdr>
          <w:top w:val="nil"/>
          <w:left w:val="nil"/>
          <w:bottom w:val="nil"/>
          <w:right w:val="nil"/>
          <w:between w:val="nil"/>
        </w:pBdr>
        <w:spacing w:line="360" w:lineRule="auto"/>
        <w:ind w:right="822"/>
        <w:jc w:val="both"/>
        <w:rPr>
          <w:rFonts w:ascii="Palatino Linotype" w:eastAsia="Palatino Linotype" w:hAnsi="Palatino Linotype" w:cs="Palatino Linotype"/>
          <w:color w:val="000000"/>
        </w:rPr>
      </w:pPr>
      <w:r w:rsidRPr="00E47648">
        <w:rPr>
          <w:rFonts w:ascii="Palatino Linotype" w:eastAsia="Palatino Linotype" w:hAnsi="Palatino Linotype" w:cs="Palatino Linotype"/>
          <w:b/>
          <w:bCs/>
          <w:color w:val="000000"/>
        </w:rPr>
        <w:t>El soporte documental en el que se advierta el número de suicidios y las colonias en las que han ocurrido, del periodo comprendido del veint</w:t>
      </w:r>
      <w:r w:rsidR="003E0BAE" w:rsidRPr="00E47648">
        <w:rPr>
          <w:rFonts w:ascii="Palatino Linotype" w:eastAsia="Palatino Linotype" w:hAnsi="Palatino Linotype" w:cs="Palatino Linotype"/>
          <w:b/>
          <w:bCs/>
          <w:color w:val="000000"/>
        </w:rPr>
        <w:t>itrés de junio de dos mil veintiuno</w:t>
      </w:r>
      <w:r w:rsidRPr="00E47648">
        <w:rPr>
          <w:rFonts w:ascii="Palatino Linotype" w:eastAsia="Palatino Linotype" w:hAnsi="Palatino Linotype" w:cs="Palatino Linotype"/>
          <w:b/>
          <w:bCs/>
          <w:color w:val="000000"/>
        </w:rPr>
        <w:t xml:space="preserve"> al veintitrés de junio de dos mil veinticinco. </w:t>
      </w:r>
    </w:p>
    <w:p w:rsidR="000E65CE" w:rsidRPr="00E47648" w:rsidRDefault="000E65CE">
      <w:pPr>
        <w:pBdr>
          <w:top w:val="nil"/>
          <w:left w:val="nil"/>
          <w:bottom w:val="nil"/>
          <w:right w:val="nil"/>
          <w:between w:val="nil"/>
        </w:pBdr>
        <w:spacing w:line="360" w:lineRule="auto"/>
        <w:ind w:left="1440" w:right="822"/>
        <w:jc w:val="both"/>
        <w:rPr>
          <w:rFonts w:ascii="Palatino Linotype" w:eastAsia="Palatino Linotype" w:hAnsi="Palatino Linotype" w:cs="Palatino Linotype"/>
          <w:b/>
          <w:bCs/>
          <w:color w:val="000000"/>
        </w:rPr>
      </w:pPr>
    </w:p>
    <w:p w:rsidR="000E65CE" w:rsidRPr="00E47648" w:rsidRDefault="00354243">
      <w:pPr>
        <w:spacing w:after="160" w:line="360" w:lineRule="auto"/>
        <w:ind w:right="113"/>
        <w:jc w:val="both"/>
        <w:rPr>
          <w:rFonts w:ascii="Palatino Linotype" w:eastAsia="Palatino Linotype" w:hAnsi="Palatino Linotype" w:cs="Palatino Linotype"/>
        </w:rPr>
      </w:pPr>
      <w:bookmarkStart w:id="9" w:name="_heading=h.fp7o6i3etub2" w:colFirst="0" w:colLast="0"/>
      <w:bookmarkEnd w:id="9"/>
      <w:r w:rsidRPr="00E47648">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3E0BAE" w:rsidRPr="00E47648" w:rsidRDefault="003E0BAE" w:rsidP="003E0BAE">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rPr>
      </w:pPr>
      <w:r w:rsidRPr="00E47648">
        <w:rPr>
          <w:rFonts w:ascii="Palatino Linotype" w:eastAsia="Palatino Linotype" w:hAnsi="Palatino Linotype" w:cs="Palatino Linotype"/>
        </w:rPr>
        <w:lastRenderedPageBreak/>
        <w:t xml:space="preserve">Para el caso de que la información que se ordena entregar no sea generado al grado de desagregación que se ordena, bastará con que así se haga del conocimiento del Particular en términos del artículo 19, párrafo segundo, de la Ley de Transparencia y Acceso a la Información Pública del Estado de México y Municipios, para tenerse por colmado dicho requerimiento. </w:t>
      </w:r>
    </w:p>
    <w:p w:rsidR="003E0BAE" w:rsidRPr="00E47648" w:rsidRDefault="003E0BAE" w:rsidP="003E0BAE">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rPr>
      </w:pPr>
    </w:p>
    <w:p w:rsidR="000E65CE" w:rsidRPr="00E47648" w:rsidRDefault="00354243">
      <w:pPr>
        <w:tabs>
          <w:tab w:val="left" w:pos="284"/>
          <w:tab w:val="left" w:pos="8080"/>
        </w:tabs>
        <w:spacing w:line="360" w:lineRule="auto"/>
        <w:ind w:right="49"/>
        <w:jc w:val="both"/>
        <w:rPr>
          <w:rFonts w:ascii="Palatino Linotype" w:eastAsia="Palatino Linotype" w:hAnsi="Palatino Linotype" w:cs="Palatino Linotype"/>
        </w:rPr>
      </w:pPr>
      <w:r w:rsidRPr="00E47648">
        <w:rPr>
          <w:rFonts w:ascii="Palatino Linotype" w:eastAsia="Palatino Linotype" w:hAnsi="Palatino Linotype" w:cs="Palatino Linotype"/>
          <w:b/>
          <w:bCs/>
        </w:rPr>
        <w:t>TERCERO. NOTIFÍQUESE</w:t>
      </w:r>
      <w:r w:rsidRPr="00E47648">
        <w:rPr>
          <w:rFonts w:ascii="Palatino Linotype" w:eastAsia="Palatino Linotype" w:hAnsi="Palatino Linotype" w:cs="Palatino Linotype"/>
        </w:rPr>
        <w:t xml:space="preserve"> la presente resolución al Titular de la Unidad de Transparencia del Sujeto Obligado </w:t>
      </w:r>
      <w:r w:rsidRPr="00E47648">
        <w:rPr>
          <w:rFonts w:ascii="Palatino Linotype" w:eastAsia="Palatino Linotype" w:hAnsi="Palatino Linotype" w:cs="Palatino Linotype"/>
          <w:b/>
          <w:bCs/>
        </w:rPr>
        <w:t>vía SAIMEX</w:t>
      </w:r>
      <w:r w:rsidRPr="00E47648">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E47648">
        <w:rPr>
          <w:rFonts w:ascii="Palatino Linotype" w:eastAsia="Palatino Linotype" w:hAnsi="Palatino Linotype" w:cs="Palatino Linotype"/>
          <w:b/>
        </w:rPr>
        <w:t>dé cumplimiento a lo ordenado dentro del plazo de diez días hábiles</w:t>
      </w:r>
      <w:r w:rsidRPr="00E47648">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E65CE" w:rsidRPr="00E47648" w:rsidRDefault="000E65CE">
      <w:pPr>
        <w:tabs>
          <w:tab w:val="left" w:pos="284"/>
          <w:tab w:val="left" w:pos="8080"/>
        </w:tabs>
        <w:spacing w:line="360" w:lineRule="auto"/>
        <w:ind w:right="49"/>
        <w:jc w:val="both"/>
        <w:rPr>
          <w:rFonts w:ascii="Palatino Linotype" w:eastAsia="Palatino Linotype" w:hAnsi="Palatino Linotype" w:cs="Palatino Linotype"/>
        </w:rPr>
      </w:pPr>
    </w:p>
    <w:p w:rsidR="000E65CE" w:rsidRPr="00E47648" w:rsidRDefault="00354243">
      <w:pPr>
        <w:tabs>
          <w:tab w:val="left" w:pos="284"/>
        </w:tabs>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b/>
          <w:bCs/>
        </w:rPr>
        <w:t xml:space="preserve">CUARTO. Notifíquese </w:t>
      </w:r>
      <w:r w:rsidRPr="00E47648">
        <w:rPr>
          <w:rFonts w:ascii="Palatino Linotype" w:eastAsia="Palatino Linotype" w:hAnsi="Palatino Linotype" w:cs="Palatino Linotype"/>
        </w:rPr>
        <w:t xml:space="preserve">al </w:t>
      </w:r>
      <w:r w:rsidRPr="00E47648">
        <w:rPr>
          <w:rFonts w:ascii="Palatino Linotype" w:eastAsia="Palatino Linotype" w:hAnsi="Palatino Linotype" w:cs="Palatino Linotype"/>
          <w:b/>
          <w:bCs/>
        </w:rPr>
        <w:t xml:space="preserve">RECURRENTE </w:t>
      </w:r>
      <w:r w:rsidRPr="00E47648">
        <w:rPr>
          <w:rFonts w:ascii="Palatino Linotype" w:eastAsia="Palatino Linotype" w:hAnsi="Palatino Linotype" w:cs="Palatino Linotype"/>
        </w:rPr>
        <w:t>la presente resolución a través del Sistema de Acceso a la Información Mexiquense (SAIMEX).</w:t>
      </w:r>
    </w:p>
    <w:p w:rsidR="000E65CE" w:rsidRPr="00E47648" w:rsidRDefault="000E65CE">
      <w:pPr>
        <w:tabs>
          <w:tab w:val="left" w:pos="284"/>
        </w:tabs>
        <w:spacing w:line="360" w:lineRule="auto"/>
        <w:jc w:val="both"/>
        <w:rPr>
          <w:rFonts w:ascii="Palatino Linotype" w:eastAsia="Palatino Linotype" w:hAnsi="Palatino Linotype" w:cs="Palatino Linotype"/>
        </w:rPr>
      </w:pPr>
    </w:p>
    <w:p w:rsidR="000E65CE" w:rsidRPr="00E47648" w:rsidRDefault="00354243">
      <w:pPr>
        <w:spacing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b/>
          <w:bCs/>
        </w:rPr>
        <w:t xml:space="preserve">QUINTO. </w:t>
      </w:r>
      <w:r w:rsidRPr="00E4764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E65CE" w:rsidRPr="00E47648" w:rsidRDefault="00354243">
      <w:pPr>
        <w:spacing w:before="240" w:after="360" w:line="360" w:lineRule="auto"/>
        <w:jc w:val="both"/>
        <w:rPr>
          <w:rFonts w:ascii="Palatino Linotype" w:eastAsia="Palatino Linotype" w:hAnsi="Palatino Linotype" w:cs="Palatino Linotype"/>
        </w:rPr>
      </w:pPr>
      <w:r w:rsidRPr="00E47648">
        <w:rPr>
          <w:rFonts w:ascii="Palatino Linotype" w:eastAsia="Palatino Linotype" w:hAnsi="Palatino Linotype" w:cs="Palatino Linotype"/>
          <w:b/>
          <w:bCs/>
        </w:rPr>
        <w:lastRenderedPageBreak/>
        <w:t>SEXTO.</w:t>
      </w:r>
      <w:r w:rsidRPr="00E47648">
        <w:rPr>
          <w:rFonts w:ascii="Palatino Linotype" w:eastAsia="Palatino Linotype" w:hAnsi="Palatino Linotype" w:cs="Palatino Linotype"/>
        </w:rPr>
        <w:t xml:space="preserve"> Se hace del conocimiento del </w:t>
      </w:r>
      <w:r w:rsidRPr="00E47648">
        <w:rPr>
          <w:rFonts w:ascii="Palatino Linotype" w:eastAsia="Palatino Linotype" w:hAnsi="Palatino Linotype" w:cs="Palatino Linotype"/>
          <w:b/>
          <w:bCs/>
        </w:rPr>
        <w:t xml:space="preserve">Recurrente </w:t>
      </w:r>
      <w:r w:rsidRPr="00E47648">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679F1" w:rsidRPr="00E47648" w:rsidRDefault="00E679F1" w:rsidP="00E679F1">
      <w:pPr>
        <w:spacing w:before="240" w:after="240" w:line="360" w:lineRule="auto"/>
        <w:ind w:firstLine="1"/>
        <w:jc w:val="both"/>
        <w:rPr>
          <w:rFonts w:ascii="Palatino Linotype" w:hAnsi="Palatino Linotype"/>
        </w:rPr>
      </w:pPr>
      <w:bookmarkStart w:id="10" w:name="_Hlk99014733"/>
      <w:r w:rsidRPr="00E4764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E47648">
        <w:rPr>
          <w:rFonts w:ascii="Palatino Linotype" w:hAnsi="Palatino Linotype" w:cs="Palatino Linotype"/>
          <w:color w:val="000000" w:themeColor="text1"/>
        </w:rPr>
        <w:t>ALEXIS TAPIA RAMÍREZ.</w:t>
      </w:r>
    </w:p>
    <w:bookmarkEnd w:id="10"/>
    <w:p w:rsidR="000E65CE" w:rsidRPr="00E47648" w:rsidRDefault="000E65C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0E65CE">
      <w:pPr>
        <w:pBdr>
          <w:top w:val="nil"/>
          <w:left w:val="nil"/>
          <w:bottom w:val="nil"/>
          <w:right w:val="nil"/>
          <w:between w:val="nil"/>
        </w:pBdr>
        <w:ind w:left="720"/>
        <w:rPr>
          <w:rFonts w:ascii="Palatino Linotype" w:eastAsia="Palatino Linotype" w:hAnsi="Palatino Linotype" w:cs="Palatino Linotype"/>
        </w:rPr>
      </w:pPr>
    </w:p>
    <w:p w:rsidR="000E65CE" w:rsidRPr="00E47648" w:rsidRDefault="000E65CE">
      <w:pPr>
        <w:pBdr>
          <w:top w:val="nil"/>
          <w:left w:val="nil"/>
          <w:bottom w:val="nil"/>
          <w:right w:val="nil"/>
          <w:between w:val="nil"/>
        </w:pBdr>
        <w:spacing w:line="360" w:lineRule="auto"/>
        <w:jc w:val="both"/>
        <w:rPr>
          <w:rFonts w:ascii="Palatino Linotype" w:eastAsia="Palatino Linotype" w:hAnsi="Palatino Linotype" w:cs="Palatino Linotype"/>
        </w:rPr>
      </w:pPr>
    </w:p>
    <w:p w:rsidR="000E65CE" w:rsidRPr="00E47648" w:rsidRDefault="000E65CE"/>
    <w:p w:rsidR="000E65CE" w:rsidRDefault="000E65CE"/>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Default="00E47648"/>
    <w:p w:rsidR="00E47648" w:rsidRPr="00E47648" w:rsidRDefault="00E47648"/>
    <w:p w:rsidR="0080532A" w:rsidRPr="00E47648" w:rsidRDefault="0080532A"/>
    <w:p w:rsidR="0080532A" w:rsidRPr="00E47648" w:rsidRDefault="0080532A"/>
    <w:p w:rsidR="0080532A" w:rsidRPr="00E47648" w:rsidRDefault="0080532A"/>
    <w:p w:rsidR="0080532A" w:rsidRPr="00E47648" w:rsidRDefault="0080532A"/>
    <w:p w:rsidR="0080532A" w:rsidRPr="00E47648" w:rsidRDefault="0080532A"/>
    <w:p w:rsidR="000E65CE" w:rsidRPr="00E47648" w:rsidRDefault="000E65CE"/>
    <w:p w:rsidR="000E65CE" w:rsidRPr="00E47648" w:rsidRDefault="000E65CE"/>
    <w:p w:rsidR="000E65CE" w:rsidRPr="00E47648" w:rsidRDefault="000E65CE"/>
    <w:p w:rsidR="000E65CE" w:rsidRPr="00E47648" w:rsidRDefault="000E65CE"/>
    <w:sectPr w:rsidR="000E65CE" w:rsidRPr="00E47648" w:rsidSect="00E47648">
      <w:headerReference w:type="even" r:id="rId12"/>
      <w:headerReference w:type="default" r:id="rId13"/>
      <w:footerReference w:type="default" r:id="rId14"/>
      <w:headerReference w:type="first" r:id="rId15"/>
      <w:footerReference w:type="first" r:id="rId16"/>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360" w:rsidRDefault="00C41360">
      <w:r>
        <w:separator/>
      </w:r>
    </w:p>
  </w:endnote>
  <w:endnote w:type="continuationSeparator" w:id="0">
    <w:p w:rsidR="00C41360" w:rsidRDefault="00C4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AB33FD4-9170-4C66-B582-264974C2D2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94C5A2C-5FCC-4FA9-8AD8-7C5881B56AB4}"/>
    <w:embedBold r:id="rId3" w:fontKey="{9DD0A7A1-AFDF-4881-9929-9CD4780D529D}"/>
    <w:embedItalic r:id="rId4" w:fontKey="{5068B174-8644-462C-9198-45391A8BC6DE}"/>
    <w:embedBoldItalic r:id="rId5" w:fontKey="{E549B6CD-AD84-4BB2-A4FA-D67376E9BA90}"/>
  </w:font>
  <w:font w:name="Calibri">
    <w:panose1 w:val="020F0502020204030204"/>
    <w:charset w:val="00"/>
    <w:family w:val="swiss"/>
    <w:pitch w:val="variable"/>
    <w:sig w:usb0="E4002EFF" w:usb1="C200247B" w:usb2="00000009" w:usb3="00000000" w:csb0="000001FF" w:csb1="00000000"/>
    <w:embedRegular r:id="rId6" w:fontKey="{E20BD5D0-E8CF-4804-BFFF-3862E8AAC9B6}"/>
    <w:embedBold r:id="rId7" w:fontKey="{ADCAC3E2-8EDF-40E3-92EE-641CCC366009}"/>
  </w:font>
  <w:font w:name="Georgia">
    <w:panose1 w:val="02040502050405020303"/>
    <w:charset w:val="00"/>
    <w:family w:val="roman"/>
    <w:pitch w:val="variable"/>
    <w:sig w:usb0="00000287" w:usb1="00000000" w:usb2="00000000" w:usb3="00000000" w:csb0="0000009F" w:csb1="00000000"/>
    <w:embedItalic r:id="rId8" w:fontKey="{79546971-7D71-4780-A2AE-A29A5D1B99E3}"/>
  </w:font>
  <w:font w:name="Garamond">
    <w:panose1 w:val="02020404030301010803"/>
    <w:charset w:val="00"/>
    <w:family w:val="roman"/>
    <w:pitch w:val="variable"/>
    <w:sig w:usb0="00000287" w:usb1="00000000" w:usb2="00000000" w:usb3="00000000" w:csb0="0000009F" w:csb1="00000000"/>
    <w:embedRegular r:id="rId9" w:fontKey="{24128F63-8888-46A6-A80D-47716A52245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E802AFBC-6401-478F-930D-72C8717E0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CE" w:rsidRPr="00E47648" w:rsidRDefault="00354243">
    <w:pPr>
      <w:pBdr>
        <w:top w:val="nil"/>
        <w:left w:val="nil"/>
        <w:bottom w:val="nil"/>
        <w:right w:val="nil"/>
        <w:between w:val="nil"/>
      </w:pBdr>
      <w:tabs>
        <w:tab w:val="center" w:pos="4419"/>
        <w:tab w:val="right" w:pos="8838"/>
      </w:tabs>
      <w:jc w:val="right"/>
      <w:rPr>
        <w:rFonts w:ascii="Palatino Linotype" w:hAnsi="Palatino Linotype" w:cstheme="minorHAnsi"/>
        <w:b/>
        <w:color w:val="000000"/>
        <w:sz w:val="22"/>
      </w:rPr>
    </w:pPr>
    <w:r w:rsidRPr="00E47648">
      <w:rPr>
        <w:rFonts w:ascii="Palatino Linotype" w:hAnsi="Palatino Linotype" w:cstheme="minorHAnsi"/>
        <w:b/>
        <w:color w:val="000000"/>
        <w:sz w:val="22"/>
      </w:rPr>
      <w:t xml:space="preserve">Página </w:t>
    </w:r>
    <w:r w:rsidRPr="00E47648">
      <w:rPr>
        <w:rFonts w:ascii="Palatino Linotype" w:hAnsi="Palatino Linotype" w:cstheme="minorHAnsi"/>
        <w:b/>
        <w:bCs/>
        <w:color w:val="000000"/>
        <w:sz w:val="22"/>
      </w:rPr>
      <w:fldChar w:fldCharType="begin"/>
    </w:r>
    <w:r w:rsidRPr="00E47648">
      <w:rPr>
        <w:rFonts w:ascii="Palatino Linotype" w:hAnsi="Palatino Linotype" w:cstheme="minorHAnsi"/>
        <w:b/>
        <w:bCs/>
        <w:color w:val="000000"/>
        <w:sz w:val="22"/>
      </w:rPr>
      <w:instrText>PAGE</w:instrText>
    </w:r>
    <w:r w:rsidRPr="00E47648">
      <w:rPr>
        <w:rFonts w:ascii="Palatino Linotype" w:hAnsi="Palatino Linotype" w:cstheme="minorHAnsi"/>
        <w:b/>
        <w:bCs/>
        <w:color w:val="000000"/>
        <w:sz w:val="22"/>
      </w:rPr>
      <w:fldChar w:fldCharType="separate"/>
    </w:r>
    <w:r w:rsidR="002525C7">
      <w:rPr>
        <w:rFonts w:ascii="Palatino Linotype" w:hAnsi="Palatino Linotype" w:cstheme="minorHAnsi"/>
        <w:b/>
        <w:bCs/>
        <w:noProof/>
        <w:color w:val="000000"/>
        <w:sz w:val="22"/>
      </w:rPr>
      <w:t>21</w:t>
    </w:r>
    <w:r w:rsidRPr="00E47648">
      <w:rPr>
        <w:rFonts w:ascii="Palatino Linotype" w:hAnsi="Palatino Linotype" w:cstheme="minorHAnsi"/>
        <w:b/>
        <w:bCs/>
        <w:color w:val="000000"/>
        <w:sz w:val="22"/>
      </w:rPr>
      <w:fldChar w:fldCharType="end"/>
    </w:r>
    <w:r w:rsidRPr="00E47648">
      <w:rPr>
        <w:rFonts w:ascii="Palatino Linotype" w:hAnsi="Palatino Linotype" w:cstheme="minorHAnsi"/>
        <w:b/>
        <w:color w:val="000000"/>
        <w:sz w:val="22"/>
      </w:rPr>
      <w:t xml:space="preserve"> de </w:t>
    </w:r>
    <w:r w:rsidRPr="00E47648">
      <w:rPr>
        <w:rFonts w:ascii="Palatino Linotype" w:hAnsi="Palatino Linotype" w:cstheme="minorHAnsi"/>
        <w:b/>
        <w:bCs/>
        <w:color w:val="000000"/>
        <w:sz w:val="22"/>
      </w:rPr>
      <w:fldChar w:fldCharType="begin"/>
    </w:r>
    <w:r w:rsidRPr="00E47648">
      <w:rPr>
        <w:rFonts w:ascii="Palatino Linotype" w:hAnsi="Palatino Linotype" w:cstheme="minorHAnsi"/>
        <w:b/>
        <w:bCs/>
        <w:color w:val="000000"/>
        <w:sz w:val="22"/>
      </w:rPr>
      <w:instrText>NUMPAGES</w:instrText>
    </w:r>
    <w:r w:rsidRPr="00E47648">
      <w:rPr>
        <w:rFonts w:ascii="Palatino Linotype" w:hAnsi="Palatino Linotype" w:cstheme="minorHAnsi"/>
        <w:b/>
        <w:bCs/>
        <w:color w:val="000000"/>
        <w:sz w:val="22"/>
      </w:rPr>
      <w:fldChar w:fldCharType="separate"/>
    </w:r>
    <w:r w:rsidR="002525C7">
      <w:rPr>
        <w:rFonts w:ascii="Palatino Linotype" w:hAnsi="Palatino Linotype" w:cstheme="minorHAnsi"/>
        <w:b/>
        <w:bCs/>
        <w:noProof/>
        <w:color w:val="000000"/>
        <w:sz w:val="22"/>
      </w:rPr>
      <w:t>29</w:t>
    </w:r>
    <w:r w:rsidRPr="00E47648">
      <w:rPr>
        <w:rFonts w:ascii="Palatino Linotype" w:hAnsi="Palatino Linotype" w:cstheme="minorHAnsi"/>
        <w:b/>
        <w:bCs/>
        <w:color w:val="000000"/>
        <w:sz w:val="22"/>
      </w:rPr>
      <w:fldChar w:fldCharType="end"/>
    </w:r>
  </w:p>
  <w:p w:rsidR="000E65CE" w:rsidRDefault="000E65C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CE" w:rsidRPr="00E47648" w:rsidRDefault="00354243">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E47648">
      <w:rPr>
        <w:rFonts w:ascii="Palatino Linotype" w:hAnsi="Palatino Linotype"/>
        <w:b/>
        <w:color w:val="000000"/>
        <w:sz w:val="22"/>
      </w:rPr>
      <w:t xml:space="preserve">Página </w:t>
    </w:r>
    <w:r w:rsidRPr="00E47648">
      <w:rPr>
        <w:rFonts w:ascii="Palatino Linotype" w:hAnsi="Palatino Linotype"/>
        <w:b/>
        <w:bCs/>
        <w:color w:val="000000"/>
        <w:sz w:val="22"/>
      </w:rPr>
      <w:fldChar w:fldCharType="begin"/>
    </w:r>
    <w:r w:rsidRPr="00E47648">
      <w:rPr>
        <w:rFonts w:ascii="Palatino Linotype" w:hAnsi="Palatino Linotype"/>
        <w:b/>
        <w:bCs/>
        <w:color w:val="000000"/>
        <w:sz w:val="22"/>
      </w:rPr>
      <w:instrText>PAGE</w:instrText>
    </w:r>
    <w:r w:rsidRPr="00E47648">
      <w:rPr>
        <w:rFonts w:ascii="Palatino Linotype" w:hAnsi="Palatino Linotype"/>
        <w:b/>
        <w:bCs/>
        <w:color w:val="000000"/>
        <w:sz w:val="22"/>
      </w:rPr>
      <w:fldChar w:fldCharType="separate"/>
    </w:r>
    <w:r w:rsidR="002525C7">
      <w:rPr>
        <w:rFonts w:ascii="Palatino Linotype" w:hAnsi="Palatino Linotype"/>
        <w:b/>
        <w:bCs/>
        <w:noProof/>
        <w:color w:val="000000"/>
        <w:sz w:val="22"/>
      </w:rPr>
      <w:t>1</w:t>
    </w:r>
    <w:r w:rsidRPr="00E47648">
      <w:rPr>
        <w:rFonts w:ascii="Palatino Linotype" w:hAnsi="Palatino Linotype"/>
        <w:b/>
        <w:bCs/>
        <w:color w:val="000000"/>
        <w:sz w:val="22"/>
      </w:rPr>
      <w:fldChar w:fldCharType="end"/>
    </w:r>
    <w:r w:rsidRPr="00E47648">
      <w:rPr>
        <w:rFonts w:ascii="Palatino Linotype" w:hAnsi="Palatino Linotype"/>
        <w:b/>
        <w:color w:val="000000"/>
        <w:sz w:val="22"/>
      </w:rPr>
      <w:t xml:space="preserve"> de </w:t>
    </w:r>
    <w:r w:rsidRPr="00E47648">
      <w:rPr>
        <w:rFonts w:ascii="Palatino Linotype" w:hAnsi="Palatino Linotype"/>
        <w:b/>
        <w:bCs/>
        <w:color w:val="000000"/>
        <w:sz w:val="22"/>
      </w:rPr>
      <w:fldChar w:fldCharType="begin"/>
    </w:r>
    <w:r w:rsidRPr="00E47648">
      <w:rPr>
        <w:rFonts w:ascii="Palatino Linotype" w:hAnsi="Palatino Linotype"/>
        <w:b/>
        <w:bCs/>
        <w:color w:val="000000"/>
        <w:sz w:val="22"/>
      </w:rPr>
      <w:instrText>NUMPAGES</w:instrText>
    </w:r>
    <w:r w:rsidRPr="00E47648">
      <w:rPr>
        <w:rFonts w:ascii="Palatino Linotype" w:hAnsi="Palatino Linotype"/>
        <w:b/>
        <w:bCs/>
        <w:color w:val="000000"/>
        <w:sz w:val="22"/>
      </w:rPr>
      <w:fldChar w:fldCharType="separate"/>
    </w:r>
    <w:r w:rsidR="002525C7">
      <w:rPr>
        <w:rFonts w:ascii="Palatino Linotype" w:hAnsi="Palatino Linotype"/>
        <w:b/>
        <w:bCs/>
        <w:noProof/>
        <w:color w:val="000000"/>
        <w:sz w:val="22"/>
      </w:rPr>
      <w:t>29</w:t>
    </w:r>
    <w:r w:rsidRPr="00E47648">
      <w:rPr>
        <w:rFonts w:ascii="Palatino Linotype" w:hAnsi="Palatino Linotype"/>
        <w:b/>
        <w:bCs/>
        <w:color w:val="000000"/>
        <w:sz w:val="22"/>
      </w:rPr>
      <w:fldChar w:fldCharType="end"/>
    </w:r>
  </w:p>
  <w:p w:rsidR="000E65CE" w:rsidRDefault="000E65C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360" w:rsidRDefault="00C41360">
      <w:r>
        <w:separator/>
      </w:r>
    </w:p>
  </w:footnote>
  <w:footnote w:type="continuationSeparator" w:id="0">
    <w:p w:rsidR="00C41360" w:rsidRDefault="00C41360">
      <w:r>
        <w:continuationSeparator/>
      </w:r>
    </w:p>
  </w:footnote>
  <w:footnote w:id="1">
    <w:p w:rsidR="000E65CE" w:rsidRDefault="0035424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0E65CE" w:rsidRDefault="0035424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0E65CE" w:rsidRDefault="0035424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3">
    <w:p w:rsidR="000E65CE" w:rsidRDefault="0035424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0E65CE" w:rsidRDefault="0035424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0E65CE" w:rsidRDefault="0035424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CE" w:rsidRDefault="00C4136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206" w:type="dxa"/>
      <w:tblInd w:w="0" w:type="dxa"/>
      <w:tblLayout w:type="fixed"/>
      <w:tblLook w:val="0400" w:firstRow="0" w:lastRow="0" w:firstColumn="0" w:lastColumn="0" w:noHBand="0" w:noVBand="1"/>
    </w:tblPr>
    <w:tblGrid>
      <w:gridCol w:w="2268"/>
      <w:gridCol w:w="7938"/>
    </w:tblGrid>
    <w:tr w:rsidR="000E65CE" w:rsidTr="00E47648">
      <w:trPr>
        <w:trHeight w:val="1435"/>
      </w:trPr>
      <w:tc>
        <w:tcPr>
          <w:tcW w:w="2268" w:type="dxa"/>
          <w:shd w:val="clear" w:color="auto" w:fill="auto"/>
        </w:tcPr>
        <w:p w:rsidR="000E65CE" w:rsidRDefault="000E65CE">
          <w:pPr>
            <w:tabs>
              <w:tab w:val="right" w:pos="4273"/>
            </w:tabs>
            <w:rPr>
              <w:rFonts w:ascii="Garamond" w:eastAsia="Garamond" w:hAnsi="Garamond" w:cs="Garamond"/>
              <w:sz w:val="16"/>
              <w:szCs w:val="16"/>
            </w:rPr>
          </w:pPr>
        </w:p>
      </w:tc>
      <w:tc>
        <w:tcPr>
          <w:tcW w:w="7938" w:type="dxa"/>
          <w:shd w:val="clear" w:color="auto" w:fill="auto"/>
        </w:tcPr>
        <w:tbl>
          <w:tblPr>
            <w:tblStyle w:val="a2"/>
            <w:tblW w:w="7642" w:type="dxa"/>
            <w:tblInd w:w="311" w:type="dxa"/>
            <w:tblLayout w:type="fixed"/>
            <w:tblLook w:val="0400" w:firstRow="0" w:lastRow="0" w:firstColumn="0" w:lastColumn="0" w:noHBand="0" w:noVBand="1"/>
          </w:tblPr>
          <w:tblGrid>
            <w:gridCol w:w="2964"/>
            <w:gridCol w:w="4678"/>
          </w:tblGrid>
          <w:tr w:rsidR="000E65CE" w:rsidTr="00E47648">
            <w:trPr>
              <w:trHeight w:val="150"/>
            </w:trPr>
            <w:tc>
              <w:tcPr>
                <w:tcW w:w="2964" w:type="dxa"/>
                <w:shd w:val="clear" w:color="auto" w:fill="auto"/>
              </w:tcPr>
              <w:p w:rsidR="000E65CE" w:rsidRPr="00E47648" w:rsidRDefault="00354243">
                <w:pPr>
                  <w:tabs>
                    <w:tab w:val="right" w:pos="8838"/>
                  </w:tabs>
                  <w:ind w:right="-105"/>
                  <w:rPr>
                    <w:rFonts w:ascii="Palatino Linotype" w:eastAsia="Palatino Linotype" w:hAnsi="Palatino Linotype" w:cs="Palatino Linotype"/>
                    <w:b/>
                    <w:bCs/>
                    <w:szCs w:val="22"/>
                  </w:rPr>
                </w:pPr>
                <w:r w:rsidRPr="00E47648">
                  <w:rPr>
                    <w:rFonts w:ascii="Palatino Linotype" w:eastAsia="Palatino Linotype" w:hAnsi="Palatino Linotype" w:cs="Palatino Linotype"/>
                    <w:b/>
                    <w:bCs/>
                    <w:szCs w:val="22"/>
                  </w:rPr>
                  <w:t>Recurso de Revisión:</w:t>
                </w:r>
              </w:p>
            </w:tc>
            <w:tc>
              <w:tcPr>
                <w:tcW w:w="4678" w:type="dxa"/>
                <w:shd w:val="clear" w:color="auto" w:fill="auto"/>
              </w:tcPr>
              <w:p w:rsidR="000E65CE" w:rsidRPr="00E47648" w:rsidRDefault="00354243">
                <w:pPr>
                  <w:tabs>
                    <w:tab w:val="right" w:pos="8838"/>
                  </w:tabs>
                  <w:ind w:left="-108" w:right="-1090"/>
                  <w:jc w:val="both"/>
                  <w:rPr>
                    <w:rFonts w:ascii="Palatino Linotype" w:eastAsia="Palatino Linotype" w:hAnsi="Palatino Linotype" w:cs="Palatino Linotype"/>
                    <w:szCs w:val="22"/>
                  </w:rPr>
                </w:pPr>
                <w:r w:rsidRPr="00E47648">
                  <w:rPr>
                    <w:rFonts w:ascii="Palatino Linotype" w:eastAsia="Palatino Linotype" w:hAnsi="Palatino Linotype" w:cs="Palatino Linotype"/>
                    <w:szCs w:val="22"/>
                  </w:rPr>
                  <w:t>07638/INFOEM/IP/RR/2025</w:t>
                </w:r>
                <w:r w:rsidRPr="00E47648">
                  <w:rPr>
                    <w:rFonts w:ascii="Palatino Linotype" w:eastAsia="Palatino Linotype" w:hAnsi="Palatino Linotype" w:cs="Palatino Linotype"/>
                    <w:b/>
                    <w:bCs/>
                    <w:szCs w:val="22"/>
                  </w:rPr>
                  <w:t xml:space="preserve"> </w:t>
                </w:r>
              </w:p>
            </w:tc>
          </w:tr>
          <w:tr w:rsidR="000E65CE" w:rsidTr="00E47648">
            <w:trPr>
              <w:trHeight w:val="295"/>
            </w:trPr>
            <w:tc>
              <w:tcPr>
                <w:tcW w:w="2964" w:type="dxa"/>
                <w:shd w:val="clear" w:color="auto" w:fill="auto"/>
              </w:tcPr>
              <w:p w:rsidR="000E65CE" w:rsidRPr="00E47648" w:rsidRDefault="00354243">
                <w:pPr>
                  <w:tabs>
                    <w:tab w:val="right" w:pos="8838"/>
                  </w:tabs>
                  <w:ind w:right="-105"/>
                  <w:rPr>
                    <w:rFonts w:ascii="Palatino Linotype" w:eastAsia="Palatino Linotype" w:hAnsi="Palatino Linotype" w:cs="Palatino Linotype"/>
                    <w:b/>
                    <w:bCs/>
                    <w:szCs w:val="22"/>
                  </w:rPr>
                </w:pPr>
                <w:r w:rsidRPr="00E47648">
                  <w:rPr>
                    <w:rFonts w:ascii="Palatino Linotype" w:eastAsia="Palatino Linotype" w:hAnsi="Palatino Linotype" w:cs="Palatino Linotype"/>
                    <w:b/>
                    <w:bCs/>
                    <w:szCs w:val="22"/>
                  </w:rPr>
                  <w:t>Sujeto Obligado:</w:t>
                </w:r>
              </w:p>
            </w:tc>
            <w:tc>
              <w:tcPr>
                <w:tcW w:w="4678" w:type="dxa"/>
                <w:shd w:val="clear" w:color="auto" w:fill="auto"/>
              </w:tcPr>
              <w:p w:rsidR="000E65CE" w:rsidRPr="00E47648" w:rsidRDefault="00354243" w:rsidP="00E47648">
                <w:pPr>
                  <w:tabs>
                    <w:tab w:val="right" w:pos="8838"/>
                  </w:tabs>
                  <w:ind w:left="-108" w:right="-1090"/>
                  <w:jc w:val="both"/>
                  <w:rPr>
                    <w:rFonts w:ascii="Palatino Linotype" w:eastAsia="Palatino Linotype" w:hAnsi="Palatino Linotype" w:cs="Palatino Linotype"/>
                    <w:szCs w:val="22"/>
                  </w:rPr>
                </w:pPr>
                <w:r w:rsidRPr="00E47648">
                  <w:rPr>
                    <w:rFonts w:ascii="Palatino Linotype" w:eastAsia="Palatino Linotype" w:hAnsi="Palatino Linotype" w:cs="Palatino Linotype"/>
                    <w:szCs w:val="22"/>
                  </w:rPr>
                  <w:t>Ayuntamiento de Naucalpan de Juárez</w:t>
                </w:r>
              </w:p>
            </w:tc>
          </w:tr>
          <w:tr w:rsidR="000E65CE" w:rsidTr="00E47648">
            <w:trPr>
              <w:trHeight w:val="295"/>
            </w:trPr>
            <w:tc>
              <w:tcPr>
                <w:tcW w:w="2964" w:type="dxa"/>
                <w:shd w:val="clear" w:color="auto" w:fill="auto"/>
              </w:tcPr>
              <w:p w:rsidR="000E65CE" w:rsidRPr="00E47648" w:rsidRDefault="00354243">
                <w:pPr>
                  <w:tabs>
                    <w:tab w:val="right" w:pos="8838"/>
                  </w:tabs>
                  <w:ind w:right="-105"/>
                  <w:rPr>
                    <w:rFonts w:ascii="Palatino Linotype" w:eastAsia="Palatino Linotype" w:hAnsi="Palatino Linotype" w:cs="Palatino Linotype"/>
                    <w:b/>
                    <w:bCs/>
                    <w:szCs w:val="22"/>
                  </w:rPr>
                </w:pPr>
                <w:r w:rsidRPr="00E47648">
                  <w:rPr>
                    <w:rFonts w:ascii="Palatino Linotype" w:eastAsia="Palatino Linotype" w:hAnsi="Palatino Linotype" w:cs="Palatino Linotype"/>
                    <w:b/>
                    <w:bCs/>
                    <w:szCs w:val="22"/>
                  </w:rPr>
                  <w:t>Comisionado ponente:</w:t>
                </w:r>
              </w:p>
            </w:tc>
            <w:tc>
              <w:tcPr>
                <w:tcW w:w="4678" w:type="dxa"/>
                <w:shd w:val="clear" w:color="auto" w:fill="auto"/>
              </w:tcPr>
              <w:p w:rsidR="000E65CE" w:rsidRPr="00E47648" w:rsidRDefault="00354243">
                <w:pPr>
                  <w:tabs>
                    <w:tab w:val="right" w:pos="8838"/>
                  </w:tabs>
                  <w:ind w:left="-108" w:right="-1090"/>
                  <w:jc w:val="both"/>
                  <w:rPr>
                    <w:rFonts w:ascii="Palatino Linotype" w:eastAsia="Palatino Linotype" w:hAnsi="Palatino Linotype" w:cs="Palatino Linotype"/>
                    <w:szCs w:val="22"/>
                  </w:rPr>
                </w:pPr>
                <w:r w:rsidRPr="00E47648">
                  <w:rPr>
                    <w:rFonts w:ascii="Palatino Linotype" w:eastAsia="Palatino Linotype" w:hAnsi="Palatino Linotype" w:cs="Palatino Linotype"/>
                    <w:szCs w:val="22"/>
                  </w:rPr>
                  <w:t>María del Rosario Mejía Ayala</w:t>
                </w:r>
              </w:p>
              <w:p w:rsidR="000E65CE" w:rsidRPr="00E47648" w:rsidRDefault="000E65CE">
                <w:pPr>
                  <w:tabs>
                    <w:tab w:val="right" w:pos="8838"/>
                  </w:tabs>
                  <w:ind w:left="-108" w:right="-1090"/>
                  <w:jc w:val="both"/>
                  <w:rPr>
                    <w:rFonts w:ascii="Palatino Linotype" w:eastAsia="Palatino Linotype" w:hAnsi="Palatino Linotype" w:cs="Palatino Linotype"/>
                    <w:b/>
                    <w:bCs/>
                    <w:szCs w:val="22"/>
                  </w:rPr>
                </w:pPr>
              </w:p>
            </w:tc>
          </w:tr>
        </w:tbl>
        <w:p w:rsidR="000E65CE" w:rsidRDefault="000E65CE">
          <w:pPr>
            <w:tabs>
              <w:tab w:val="right" w:pos="8838"/>
            </w:tabs>
            <w:ind w:left="-28"/>
            <w:jc w:val="both"/>
            <w:rPr>
              <w:rFonts w:ascii="Arial" w:eastAsia="Arial" w:hAnsi="Arial" w:cs="Arial"/>
              <w:b/>
              <w:bCs/>
              <w:sz w:val="22"/>
              <w:szCs w:val="22"/>
            </w:rPr>
          </w:pPr>
        </w:p>
      </w:tc>
    </w:tr>
  </w:tbl>
  <w:p w:rsidR="000E65CE" w:rsidRDefault="00C41360">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020" w:type="dxa"/>
      <w:tblInd w:w="0" w:type="dxa"/>
      <w:tblLayout w:type="fixed"/>
      <w:tblLook w:val="0400" w:firstRow="0" w:lastRow="0" w:firstColumn="0" w:lastColumn="0" w:noHBand="0" w:noVBand="1"/>
    </w:tblPr>
    <w:tblGrid>
      <w:gridCol w:w="2265"/>
      <w:gridCol w:w="7755"/>
    </w:tblGrid>
    <w:tr w:rsidR="000E65CE">
      <w:trPr>
        <w:trHeight w:val="1435"/>
      </w:trPr>
      <w:tc>
        <w:tcPr>
          <w:tcW w:w="2265" w:type="dxa"/>
          <w:shd w:val="clear" w:color="auto" w:fill="auto"/>
        </w:tcPr>
        <w:p w:rsidR="000E65CE" w:rsidRDefault="000E65CE">
          <w:pPr>
            <w:tabs>
              <w:tab w:val="right" w:pos="4273"/>
            </w:tabs>
            <w:rPr>
              <w:rFonts w:ascii="Garamond" w:eastAsia="Garamond" w:hAnsi="Garamond" w:cs="Garamond"/>
              <w:sz w:val="22"/>
              <w:szCs w:val="22"/>
            </w:rPr>
          </w:pPr>
        </w:p>
      </w:tc>
      <w:tc>
        <w:tcPr>
          <w:tcW w:w="7755" w:type="dxa"/>
          <w:shd w:val="clear" w:color="auto" w:fill="auto"/>
        </w:tcPr>
        <w:tbl>
          <w:tblPr>
            <w:tblStyle w:val="a4"/>
            <w:tblW w:w="7790" w:type="dxa"/>
            <w:tblInd w:w="455" w:type="dxa"/>
            <w:tblLayout w:type="fixed"/>
            <w:tblLook w:val="0400" w:firstRow="0" w:lastRow="0" w:firstColumn="0" w:lastColumn="0" w:noHBand="0" w:noVBand="1"/>
          </w:tblPr>
          <w:tblGrid>
            <w:gridCol w:w="2825"/>
            <w:gridCol w:w="4965"/>
          </w:tblGrid>
          <w:tr w:rsidR="000E65CE" w:rsidTr="00E47648">
            <w:trPr>
              <w:trHeight w:val="144"/>
            </w:trPr>
            <w:tc>
              <w:tcPr>
                <w:tcW w:w="2825" w:type="dxa"/>
                <w:shd w:val="clear" w:color="auto" w:fill="auto"/>
              </w:tcPr>
              <w:p w:rsidR="000E65CE" w:rsidRPr="00E47648" w:rsidRDefault="00354243">
                <w:pPr>
                  <w:tabs>
                    <w:tab w:val="right" w:pos="8838"/>
                  </w:tabs>
                  <w:ind w:left="-264" w:right="-105" w:firstLine="195"/>
                  <w:rPr>
                    <w:rFonts w:ascii="Palatino Linotype" w:eastAsia="Palatino Linotype" w:hAnsi="Palatino Linotype" w:cs="Palatino Linotype"/>
                    <w:b/>
                    <w:bCs/>
                    <w:szCs w:val="22"/>
                  </w:rPr>
                </w:pPr>
                <w:r w:rsidRPr="00E47648">
                  <w:rPr>
                    <w:rFonts w:ascii="Palatino Linotype" w:eastAsia="Palatino Linotype" w:hAnsi="Palatino Linotype" w:cs="Palatino Linotype"/>
                    <w:b/>
                    <w:bCs/>
                    <w:szCs w:val="22"/>
                  </w:rPr>
                  <w:t>Recurso de Revisión:</w:t>
                </w:r>
              </w:p>
            </w:tc>
            <w:tc>
              <w:tcPr>
                <w:tcW w:w="4965" w:type="dxa"/>
                <w:shd w:val="clear" w:color="auto" w:fill="auto"/>
              </w:tcPr>
              <w:p w:rsidR="000E65CE" w:rsidRPr="00E47648" w:rsidRDefault="00354243">
                <w:pPr>
                  <w:tabs>
                    <w:tab w:val="right" w:pos="8838"/>
                  </w:tabs>
                  <w:ind w:left="-74" w:right="-1269"/>
                  <w:rPr>
                    <w:rFonts w:ascii="Palatino Linotype" w:eastAsia="Palatino Linotype" w:hAnsi="Palatino Linotype" w:cs="Palatino Linotype"/>
                    <w:szCs w:val="22"/>
                  </w:rPr>
                </w:pPr>
                <w:r w:rsidRPr="00E47648">
                  <w:rPr>
                    <w:rFonts w:ascii="Palatino Linotype" w:eastAsia="Palatino Linotype" w:hAnsi="Palatino Linotype" w:cs="Palatino Linotype"/>
                    <w:szCs w:val="22"/>
                  </w:rPr>
                  <w:t>07638/INFOEM/IP/RR/2025</w:t>
                </w:r>
              </w:p>
            </w:tc>
          </w:tr>
          <w:tr w:rsidR="000E65CE" w:rsidTr="00E47648">
            <w:trPr>
              <w:trHeight w:val="144"/>
            </w:trPr>
            <w:tc>
              <w:tcPr>
                <w:tcW w:w="2825" w:type="dxa"/>
                <w:shd w:val="clear" w:color="auto" w:fill="auto"/>
              </w:tcPr>
              <w:p w:rsidR="000E65CE" w:rsidRPr="00E47648" w:rsidRDefault="00354243">
                <w:pPr>
                  <w:tabs>
                    <w:tab w:val="right" w:pos="8838"/>
                  </w:tabs>
                  <w:ind w:left="-74" w:right="-105"/>
                  <w:rPr>
                    <w:rFonts w:ascii="Palatino Linotype" w:eastAsia="Palatino Linotype" w:hAnsi="Palatino Linotype" w:cs="Palatino Linotype"/>
                    <w:b/>
                    <w:bCs/>
                    <w:szCs w:val="22"/>
                  </w:rPr>
                </w:pPr>
                <w:r w:rsidRPr="00E47648">
                  <w:rPr>
                    <w:rFonts w:ascii="Palatino Linotype" w:eastAsia="Palatino Linotype" w:hAnsi="Palatino Linotype" w:cs="Palatino Linotype"/>
                    <w:b/>
                    <w:bCs/>
                    <w:szCs w:val="22"/>
                  </w:rPr>
                  <w:t>Recurrente:</w:t>
                </w:r>
              </w:p>
            </w:tc>
            <w:tc>
              <w:tcPr>
                <w:tcW w:w="4965" w:type="dxa"/>
                <w:shd w:val="clear" w:color="auto" w:fill="auto"/>
              </w:tcPr>
              <w:p w:rsidR="000E65CE" w:rsidRPr="00E47648" w:rsidRDefault="000E65CE">
                <w:pPr>
                  <w:tabs>
                    <w:tab w:val="left" w:pos="3122"/>
                    <w:tab w:val="right" w:pos="8838"/>
                  </w:tabs>
                  <w:ind w:left="-74" w:right="-1269"/>
                  <w:rPr>
                    <w:rFonts w:ascii="Palatino Linotype" w:eastAsia="Palatino Linotype" w:hAnsi="Palatino Linotype" w:cs="Palatino Linotype"/>
                    <w:szCs w:val="22"/>
                  </w:rPr>
                </w:pPr>
              </w:p>
            </w:tc>
          </w:tr>
          <w:tr w:rsidR="000E65CE" w:rsidTr="00E47648">
            <w:trPr>
              <w:trHeight w:val="283"/>
            </w:trPr>
            <w:tc>
              <w:tcPr>
                <w:tcW w:w="2825" w:type="dxa"/>
                <w:shd w:val="clear" w:color="auto" w:fill="auto"/>
              </w:tcPr>
              <w:p w:rsidR="000E65CE" w:rsidRPr="00E47648" w:rsidRDefault="00354243">
                <w:pPr>
                  <w:tabs>
                    <w:tab w:val="right" w:pos="8838"/>
                  </w:tabs>
                  <w:ind w:left="-74" w:right="-105"/>
                  <w:rPr>
                    <w:rFonts w:ascii="Palatino Linotype" w:eastAsia="Palatino Linotype" w:hAnsi="Palatino Linotype" w:cs="Palatino Linotype"/>
                    <w:b/>
                    <w:bCs/>
                    <w:szCs w:val="22"/>
                  </w:rPr>
                </w:pPr>
                <w:r w:rsidRPr="00E47648">
                  <w:rPr>
                    <w:rFonts w:ascii="Palatino Linotype" w:eastAsia="Palatino Linotype" w:hAnsi="Palatino Linotype" w:cs="Palatino Linotype"/>
                    <w:b/>
                    <w:bCs/>
                    <w:szCs w:val="22"/>
                  </w:rPr>
                  <w:t>Sujeto Obligado:</w:t>
                </w:r>
              </w:p>
            </w:tc>
            <w:tc>
              <w:tcPr>
                <w:tcW w:w="4965" w:type="dxa"/>
                <w:shd w:val="clear" w:color="auto" w:fill="auto"/>
              </w:tcPr>
              <w:p w:rsidR="000E65CE" w:rsidRPr="00E47648" w:rsidRDefault="00354243">
                <w:pPr>
                  <w:tabs>
                    <w:tab w:val="left" w:pos="2834"/>
                    <w:tab w:val="right" w:pos="8838"/>
                  </w:tabs>
                  <w:ind w:left="-74" w:right="-1269"/>
                  <w:rPr>
                    <w:rFonts w:ascii="Palatino Linotype" w:eastAsia="Palatino Linotype" w:hAnsi="Palatino Linotype" w:cs="Palatino Linotype"/>
                    <w:szCs w:val="22"/>
                  </w:rPr>
                </w:pPr>
                <w:r w:rsidRPr="00E47648">
                  <w:rPr>
                    <w:rFonts w:ascii="Palatino Linotype" w:eastAsia="Palatino Linotype" w:hAnsi="Palatino Linotype" w:cs="Palatino Linotype"/>
                    <w:szCs w:val="22"/>
                  </w:rPr>
                  <w:t>Ayuntamiento de Naucalpan de Juárez</w:t>
                </w:r>
              </w:p>
            </w:tc>
          </w:tr>
          <w:tr w:rsidR="000E65CE" w:rsidTr="00E47648">
            <w:trPr>
              <w:trHeight w:val="283"/>
            </w:trPr>
            <w:tc>
              <w:tcPr>
                <w:tcW w:w="2825" w:type="dxa"/>
                <w:shd w:val="clear" w:color="auto" w:fill="auto"/>
              </w:tcPr>
              <w:p w:rsidR="000E65CE" w:rsidRPr="00E47648" w:rsidRDefault="00354243">
                <w:pPr>
                  <w:tabs>
                    <w:tab w:val="right" w:pos="8838"/>
                  </w:tabs>
                  <w:ind w:left="-74" w:right="-105"/>
                  <w:rPr>
                    <w:rFonts w:ascii="Palatino Linotype" w:eastAsia="Palatino Linotype" w:hAnsi="Palatino Linotype" w:cs="Palatino Linotype"/>
                    <w:b/>
                    <w:bCs/>
                    <w:szCs w:val="22"/>
                  </w:rPr>
                </w:pPr>
                <w:r w:rsidRPr="00E47648">
                  <w:rPr>
                    <w:rFonts w:ascii="Palatino Linotype" w:eastAsia="Palatino Linotype" w:hAnsi="Palatino Linotype" w:cs="Palatino Linotype"/>
                    <w:b/>
                    <w:bCs/>
                    <w:szCs w:val="22"/>
                  </w:rPr>
                  <w:t>Comisionado ponente:</w:t>
                </w:r>
              </w:p>
            </w:tc>
            <w:tc>
              <w:tcPr>
                <w:tcW w:w="4965" w:type="dxa"/>
                <w:shd w:val="clear" w:color="auto" w:fill="auto"/>
              </w:tcPr>
              <w:p w:rsidR="000E65CE" w:rsidRPr="00E47648" w:rsidRDefault="00354243">
                <w:pPr>
                  <w:tabs>
                    <w:tab w:val="right" w:pos="8838"/>
                  </w:tabs>
                  <w:ind w:left="-74" w:right="-1269"/>
                  <w:rPr>
                    <w:rFonts w:ascii="Palatino Linotype" w:eastAsia="Palatino Linotype" w:hAnsi="Palatino Linotype" w:cs="Palatino Linotype"/>
                    <w:szCs w:val="22"/>
                  </w:rPr>
                </w:pPr>
                <w:r w:rsidRPr="00E47648">
                  <w:rPr>
                    <w:rFonts w:ascii="Palatino Linotype" w:eastAsia="Palatino Linotype" w:hAnsi="Palatino Linotype" w:cs="Palatino Linotype"/>
                    <w:szCs w:val="22"/>
                  </w:rPr>
                  <w:t>María del Rosario Mejía Ayala</w:t>
                </w:r>
              </w:p>
              <w:p w:rsidR="000E65CE" w:rsidRPr="00E47648" w:rsidRDefault="000E65CE">
                <w:pPr>
                  <w:tabs>
                    <w:tab w:val="right" w:pos="8838"/>
                  </w:tabs>
                  <w:ind w:left="-74" w:right="-1269"/>
                  <w:rPr>
                    <w:rFonts w:ascii="Palatino Linotype" w:eastAsia="Palatino Linotype" w:hAnsi="Palatino Linotype" w:cs="Palatino Linotype"/>
                    <w:b/>
                    <w:bCs/>
                    <w:szCs w:val="22"/>
                  </w:rPr>
                </w:pPr>
              </w:p>
            </w:tc>
          </w:tr>
        </w:tbl>
        <w:p w:rsidR="000E65CE" w:rsidRDefault="000E65CE">
          <w:pPr>
            <w:tabs>
              <w:tab w:val="right" w:pos="8838"/>
            </w:tabs>
            <w:ind w:left="-28"/>
            <w:jc w:val="both"/>
            <w:rPr>
              <w:rFonts w:ascii="Arial" w:eastAsia="Arial" w:hAnsi="Arial" w:cs="Arial"/>
              <w:b/>
              <w:bCs/>
              <w:sz w:val="22"/>
              <w:szCs w:val="22"/>
            </w:rPr>
          </w:pPr>
        </w:p>
      </w:tc>
    </w:tr>
  </w:tbl>
  <w:p w:rsidR="000E65CE" w:rsidRDefault="00C41360">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250DE4"/>
    <w:multiLevelType w:val="multilevel"/>
    <w:tmpl w:val="12081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611E25"/>
    <w:multiLevelType w:val="multilevel"/>
    <w:tmpl w:val="42B0A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1836F8"/>
    <w:multiLevelType w:val="multilevel"/>
    <w:tmpl w:val="FC18B470"/>
    <w:lvl w:ilvl="0">
      <w:start w:val="1"/>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2F2160"/>
    <w:multiLevelType w:val="multilevel"/>
    <w:tmpl w:val="44500E9A"/>
    <w:lvl w:ilvl="0">
      <w:start w:val="1"/>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F4754C"/>
    <w:multiLevelType w:val="multilevel"/>
    <w:tmpl w:val="4D729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31640B"/>
    <w:multiLevelType w:val="multilevel"/>
    <w:tmpl w:val="7B68C7CC"/>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5CE"/>
    <w:rsid w:val="000E65CE"/>
    <w:rsid w:val="0011374E"/>
    <w:rsid w:val="0012315F"/>
    <w:rsid w:val="002525C7"/>
    <w:rsid w:val="00354243"/>
    <w:rsid w:val="003E0BAE"/>
    <w:rsid w:val="004B1A14"/>
    <w:rsid w:val="0080532A"/>
    <w:rsid w:val="00C41360"/>
    <w:rsid w:val="00DE5D32"/>
    <w:rsid w:val="00E47648"/>
    <w:rsid w:val="00E57215"/>
    <w:rsid w:val="00E679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4D68E2A-D67E-4B91-9AD7-6F4B219E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rsid w:val="00413119"/>
    <w:rPr>
      <w:rFonts w:ascii="Calibri" w:eastAsia="Calibri" w:hAnsi="Calibri" w:cs="Calibri"/>
      <w:color w:val="2E75B5"/>
      <w:sz w:val="32"/>
      <w:szCs w:val="32"/>
      <w:lang w:eastAsia="es-MX"/>
    </w:rPr>
  </w:style>
  <w:style w:type="character" w:customStyle="1" w:styleId="Ttulo2Car">
    <w:name w:val="Título 2 Car"/>
    <w:basedOn w:val="Fuentedeprrafopredeter"/>
    <w:rsid w:val="00413119"/>
    <w:rPr>
      <w:rFonts w:ascii="Calibri" w:eastAsia="Calibri" w:hAnsi="Calibri" w:cs="Calibri"/>
      <w:color w:val="2E75B5"/>
      <w:sz w:val="26"/>
      <w:szCs w:val="26"/>
      <w:lang w:eastAsia="es-MX"/>
    </w:rPr>
  </w:style>
  <w:style w:type="paragraph" w:styleId="Piedepgina">
    <w:name w:val="footer"/>
    <w:basedOn w:val="Normal"/>
    <w:link w:val="PiedepginaCar"/>
    <w:uiPriority w:val="99"/>
    <w:unhideWhenUsed/>
    <w:rsid w:val="00EE0354"/>
    <w:pPr>
      <w:tabs>
        <w:tab w:val="center" w:pos="4419"/>
        <w:tab w:val="right" w:pos="8838"/>
      </w:tabs>
    </w:pPr>
  </w:style>
  <w:style w:type="character" w:customStyle="1" w:styleId="PiedepginaCar">
    <w:name w:val="Pie de página Car"/>
    <w:basedOn w:val="Fuentedeprrafopredeter"/>
    <w:link w:val="Piedepgina"/>
    <w:uiPriority w:val="99"/>
    <w:rsid w:val="00EE0354"/>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EE0354"/>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4A8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84A88"/>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A4A0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A4A03"/>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9A4A03"/>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84862.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494654.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MHLDFiSbNdc6xAuHTQnSLkZ/ew==">CgMxLjAyCGguZ2pkZ3hzMgloLjFmb2I5dGUyCWguM3pueXNoNzIJaC4yZXQ5MnAwMg5oLjZ0aHJkeWtqMWh3OTIOaC52MHhwMWxnMnJzdG0yDmgudWs5ZHEwMzd0MnZkMg5oLnB0ZGxmem93Nm8zZTIOaC5mcDdvNmkzZXR1YjI4AHIhMUVBNENCcWFmSmJHanF2NlY4UWtiNERJY004am5qZTJV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6831</Words>
  <Characters>37572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8</cp:revision>
  <cp:lastPrinted>2026-02-09T17:30:00Z</cp:lastPrinted>
  <dcterms:created xsi:type="dcterms:W3CDTF">2026-02-03T18:40:00Z</dcterms:created>
  <dcterms:modified xsi:type="dcterms:W3CDTF">2026-02-16T18:19:00Z</dcterms:modified>
</cp:coreProperties>
</file>