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6FE640" w14:textId="3D8D3F0D"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bookmarkStart w:id="0" w:name="_heading=h.3rdcrjn" w:colFirst="0" w:colLast="0"/>
      <w:bookmarkStart w:id="1" w:name="_GoBack"/>
      <w:bookmarkEnd w:id="0"/>
      <w:bookmarkEnd w:id="1"/>
      <w:r w:rsidRPr="00660766">
        <w:rPr>
          <w:rFonts w:ascii="Palatino Linotype" w:eastAsia="Palatino Linotype" w:hAnsi="Palatino Linotype" w:cs="Palatino Linotype"/>
          <w:sz w:val="22"/>
          <w:szCs w:val="22"/>
        </w:rPr>
        <w:t>Resolución del Pleno del Instituto de Transparencia, Acceso a la Información Pública y Protección de Datos Personales del Estado de México y Municipios, con domicilio en Me</w:t>
      </w:r>
      <w:r w:rsidR="00FB77D5" w:rsidRPr="00660766">
        <w:rPr>
          <w:rFonts w:ascii="Palatino Linotype" w:eastAsia="Palatino Linotype" w:hAnsi="Palatino Linotype" w:cs="Palatino Linotype"/>
          <w:sz w:val="22"/>
          <w:szCs w:val="22"/>
        </w:rPr>
        <w:t xml:space="preserve">tepec, Estado de México, a </w:t>
      </w:r>
      <w:r w:rsidR="002A4D11" w:rsidRPr="00660766">
        <w:rPr>
          <w:rFonts w:ascii="Palatino Linotype" w:eastAsia="Palatino Linotype" w:hAnsi="Palatino Linotype" w:cs="Palatino Linotype"/>
          <w:sz w:val="22"/>
          <w:szCs w:val="22"/>
        </w:rPr>
        <w:t xml:space="preserve">veintiséis de agosto </w:t>
      </w:r>
      <w:r w:rsidR="0001490F" w:rsidRPr="00660766">
        <w:rPr>
          <w:rFonts w:ascii="Palatino Linotype" w:eastAsia="Palatino Linotype" w:hAnsi="Palatino Linotype" w:cs="Palatino Linotype"/>
          <w:sz w:val="22"/>
          <w:szCs w:val="22"/>
        </w:rPr>
        <w:t>de dos mil veintiséis</w:t>
      </w:r>
      <w:r w:rsidRPr="00660766">
        <w:rPr>
          <w:rFonts w:ascii="Palatino Linotype" w:eastAsia="Palatino Linotype" w:hAnsi="Palatino Linotype" w:cs="Palatino Linotype"/>
          <w:sz w:val="22"/>
          <w:szCs w:val="22"/>
        </w:rPr>
        <w:t xml:space="preserve">. </w:t>
      </w:r>
    </w:p>
    <w:p w14:paraId="30E0E444" w14:textId="2EE05D6E" w:rsidR="005A75CA" w:rsidRPr="00660766" w:rsidRDefault="00E96B90" w:rsidP="009708D6">
      <w:pPr>
        <w:tabs>
          <w:tab w:val="left" w:pos="5812"/>
        </w:tabs>
        <w:spacing w:before="240" w:after="240" w:line="360" w:lineRule="auto"/>
        <w:jc w:val="both"/>
        <w:rPr>
          <w:rFonts w:ascii="Palatino Linotype" w:eastAsia="Palatino Linotype" w:hAnsi="Palatino Linotype" w:cs="Palatino Linotype"/>
          <w:sz w:val="22"/>
          <w:szCs w:val="22"/>
        </w:rPr>
      </w:pPr>
      <w:bookmarkStart w:id="2" w:name="_heading=h.daj3j2xo6q66" w:colFirst="0" w:colLast="0"/>
      <w:bookmarkEnd w:id="2"/>
      <w:r w:rsidRPr="00660766">
        <w:rPr>
          <w:rFonts w:ascii="Palatino Linotype" w:eastAsia="Palatino Linotype" w:hAnsi="Palatino Linotype" w:cs="Palatino Linotype"/>
          <w:b/>
          <w:sz w:val="22"/>
          <w:szCs w:val="22"/>
        </w:rPr>
        <w:t>VISTO</w:t>
      </w:r>
      <w:r w:rsidRPr="00660766">
        <w:rPr>
          <w:rFonts w:ascii="Palatino Linotype" w:eastAsia="Palatino Linotype" w:hAnsi="Palatino Linotype" w:cs="Palatino Linotype"/>
          <w:sz w:val="22"/>
          <w:szCs w:val="22"/>
        </w:rPr>
        <w:t xml:space="preserve"> el expediente formado con motivo del recurso de revisión </w:t>
      </w:r>
      <w:r w:rsidR="0001490F" w:rsidRPr="00660766">
        <w:rPr>
          <w:rFonts w:ascii="Palatino Linotype" w:eastAsia="Palatino Linotype" w:hAnsi="Palatino Linotype" w:cs="Palatino Linotype"/>
          <w:b/>
          <w:sz w:val="22"/>
          <w:szCs w:val="22"/>
        </w:rPr>
        <w:t>0</w:t>
      </w:r>
      <w:r w:rsidR="002A4D11" w:rsidRPr="00660766">
        <w:rPr>
          <w:rFonts w:ascii="Palatino Linotype" w:eastAsia="Palatino Linotype" w:hAnsi="Palatino Linotype" w:cs="Palatino Linotype"/>
          <w:b/>
          <w:sz w:val="22"/>
          <w:szCs w:val="22"/>
        </w:rPr>
        <w:t>6244</w:t>
      </w:r>
      <w:r w:rsidR="0001490F" w:rsidRPr="00660766">
        <w:rPr>
          <w:rFonts w:ascii="Palatino Linotype" w:eastAsia="Palatino Linotype" w:hAnsi="Palatino Linotype" w:cs="Palatino Linotype"/>
          <w:b/>
          <w:sz w:val="22"/>
          <w:szCs w:val="22"/>
        </w:rPr>
        <w:t>/INFOEM/IP/RR/2026</w:t>
      </w:r>
      <w:r w:rsidRPr="00660766">
        <w:rPr>
          <w:rFonts w:ascii="Palatino Linotype" w:eastAsia="Palatino Linotype" w:hAnsi="Palatino Linotype" w:cs="Palatino Linotype"/>
          <w:sz w:val="22"/>
          <w:szCs w:val="22"/>
        </w:rPr>
        <w:t>, interpuesto por</w:t>
      </w:r>
      <w:r w:rsidR="002A4D11" w:rsidRPr="00660766">
        <w:rPr>
          <w:rFonts w:ascii="Palatino Linotype" w:eastAsia="Palatino Linotype" w:hAnsi="Palatino Linotype" w:cs="Palatino Linotype"/>
          <w:b/>
          <w:sz w:val="22"/>
          <w:szCs w:val="22"/>
        </w:rPr>
        <w:t xml:space="preserve"> una persona que no proporcionó nombre o seudónimo</w:t>
      </w:r>
      <w:r w:rsidRPr="00660766">
        <w:rPr>
          <w:rFonts w:ascii="Palatino Linotype" w:eastAsia="Palatino Linotype" w:hAnsi="Palatino Linotype" w:cs="Palatino Linotype"/>
          <w:b/>
          <w:sz w:val="22"/>
          <w:szCs w:val="22"/>
        </w:rPr>
        <w:t>,</w:t>
      </w:r>
      <w:r w:rsidRPr="00660766">
        <w:rPr>
          <w:rFonts w:ascii="Palatino Linotype" w:eastAsia="Palatino Linotype" w:hAnsi="Palatino Linotype" w:cs="Palatino Linotype"/>
          <w:sz w:val="22"/>
          <w:szCs w:val="22"/>
        </w:rPr>
        <w:t xml:space="preserve"> en lo sucesivo</w:t>
      </w:r>
      <w:r w:rsidRPr="00660766">
        <w:rPr>
          <w:rFonts w:ascii="Palatino Linotype" w:eastAsia="Palatino Linotype" w:hAnsi="Palatino Linotype" w:cs="Palatino Linotype"/>
          <w:b/>
          <w:sz w:val="22"/>
          <w:szCs w:val="22"/>
        </w:rPr>
        <w:t xml:space="preserve"> </w:t>
      </w:r>
      <w:r w:rsidRPr="00660766">
        <w:rPr>
          <w:rFonts w:ascii="Palatino Linotype" w:eastAsia="Palatino Linotype" w:hAnsi="Palatino Linotype" w:cs="Palatino Linotype"/>
          <w:sz w:val="22"/>
          <w:szCs w:val="22"/>
        </w:rPr>
        <w:t xml:space="preserve">la parte </w:t>
      </w:r>
      <w:r w:rsidRPr="00660766">
        <w:rPr>
          <w:rFonts w:ascii="Palatino Linotype" w:eastAsia="Palatino Linotype" w:hAnsi="Palatino Linotype" w:cs="Palatino Linotype"/>
          <w:b/>
          <w:sz w:val="22"/>
          <w:szCs w:val="22"/>
        </w:rPr>
        <w:t>Recurrente,</w:t>
      </w:r>
      <w:r w:rsidRPr="00660766">
        <w:rPr>
          <w:rFonts w:ascii="Palatino Linotype" w:eastAsia="Palatino Linotype" w:hAnsi="Palatino Linotype" w:cs="Palatino Linotype"/>
          <w:sz w:val="22"/>
          <w:szCs w:val="22"/>
        </w:rPr>
        <w:t xml:space="preserve"> en contra de la respuesta a la solicitud de información con número de folio</w:t>
      </w:r>
      <w:r w:rsidRPr="00660766">
        <w:rPr>
          <w:rFonts w:ascii="Palatino Linotype" w:eastAsia="Palatino Linotype" w:hAnsi="Palatino Linotype" w:cs="Palatino Linotype"/>
          <w:b/>
          <w:sz w:val="22"/>
          <w:szCs w:val="22"/>
        </w:rPr>
        <w:t xml:space="preserve"> </w:t>
      </w:r>
      <w:r w:rsidR="002A4D11" w:rsidRPr="00660766">
        <w:rPr>
          <w:rFonts w:ascii="Palatino Linotype" w:eastAsia="Palatino Linotype" w:hAnsi="Palatino Linotype" w:cs="Palatino Linotype"/>
          <w:b/>
          <w:sz w:val="22"/>
          <w:szCs w:val="22"/>
        </w:rPr>
        <w:t>00184/MEXICAL/IP/2026</w:t>
      </w:r>
      <w:r w:rsidRPr="00660766">
        <w:rPr>
          <w:rFonts w:ascii="Palatino Linotype" w:eastAsia="Palatino Linotype" w:hAnsi="Palatino Linotype" w:cs="Palatino Linotype"/>
          <w:b/>
          <w:sz w:val="22"/>
          <w:szCs w:val="22"/>
        </w:rPr>
        <w:t xml:space="preserve">, </w:t>
      </w:r>
      <w:r w:rsidRPr="00660766">
        <w:rPr>
          <w:rFonts w:ascii="Palatino Linotype" w:eastAsia="Palatino Linotype" w:hAnsi="Palatino Linotype" w:cs="Palatino Linotype"/>
          <w:sz w:val="22"/>
          <w:szCs w:val="22"/>
        </w:rPr>
        <w:t xml:space="preserve">por parte del </w:t>
      </w:r>
      <w:r w:rsidR="002A4D11" w:rsidRPr="00660766">
        <w:rPr>
          <w:rFonts w:ascii="Palatino Linotype" w:eastAsia="Palatino Linotype" w:hAnsi="Palatino Linotype" w:cs="Palatino Linotype"/>
          <w:b/>
          <w:sz w:val="22"/>
          <w:szCs w:val="22"/>
        </w:rPr>
        <w:t>Ayuntamiento de Mexicaltzingo</w:t>
      </w:r>
      <w:r w:rsidRPr="00660766">
        <w:rPr>
          <w:rFonts w:ascii="Palatino Linotype" w:eastAsia="Palatino Linotype" w:hAnsi="Palatino Linotype" w:cs="Palatino Linotype"/>
          <w:b/>
          <w:sz w:val="22"/>
          <w:szCs w:val="22"/>
        </w:rPr>
        <w:t xml:space="preserve">, </w:t>
      </w:r>
      <w:r w:rsidRPr="00660766">
        <w:rPr>
          <w:rFonts w:ascii="Palatino Linotype" w:eastAsia="Palatino Linotype" w:hAnsi="Palatino Linotype" w:cs="Palatino Linotype"/>
          <w:sz w:val="22"/>
          <w:szCs w:val="22"/>
        </w:rPr>
        <w:t xml:space="preserve">en lo sucesivo el </w:t>
      </w:r>
      <w:r w:rsidRPr="00660766">
        <w:rPr>
          <w:rFonts w:ascii="Palatino Linotype" w:eastAsia="Palatino Linotype" w:hAnsi="Palatino Linotype" w:cs="Palatino Linotype"/>
          <w:b/>
          <w:sz w:val="22"/>
          <w:szCs w:val="22"/>
        </w:rPr>
        <w:t xml:space="preserve">Sujeto Obligado, </w:t>
      </w:r>
      <w:r w:rsidRPr="00660766">
        <w:rPr>
          <w:rFonts w:ascii="Palatino Linotype" w:eastAsia="Palatino Linotype" w:hAnsi="Palatino Linotype" w:cs="Palatino Linotype"/>
          <w:sz w:val="22"/>
          <w:szCs w:val="22"/>
        </w:rPr>
        <w:t xml:space="preserve">se procede a dictar la presente resolución con base en los siguientes: </w:t>
      </w:r>
    </w:p>
    <w:p w14:paraId="3EA1D554" w14:textId="77777777" w:rsidR="005A75CA" w:rsidRPr="00660766" w:rsidRDefault="00E96B90" w:rsidP="009708D6">
      <w:pPr>
        <w:spacing w:before="240" w:after="240" w:line="360" w:lineRule="auto"/>
        <w:jc w:val="center"/>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t>I. A N T E C E D E N T E S</w:t>
      </w:r>
    </w:p>
    <w:p w14:paraId="6181BC13" w14:textId="6DE74937"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bookmarkStart w:id="3" w:name="_heading=h.gjdgxs" w:colFirst="0" w:colLast="0"/>
      <w:bookmarkEnd w:id="3"/>
      <w:r w:rsidRPr="00660766">
        <w:rPr>
          <w:rFonts w:ascii="Palatino Linotype" w:eastAsia="Palatino Linotype" w:hAnsi="Palatino Linotype" w:cs="Palatino Linotype"/>
          <w:b/>
          <w:sz w:val="22"/>
          <w:szCs w:val="22"/>
        </w:rPr>
        <w:t>1. Solicitud de acceso a la información.</w:t>
      </w:r>
      <w:r w:rsidRPr="00660766">
        <w:rPr>
          <w:rFonts w:ascii="Palatino Linotype" w:eastAsia="Palatino Linotype" w:hAnsi="Palatino Linotype" w:cs="Palatino Linotype"/>
          <w:sz w:val="22"/>
          <w:szCs w:val="22"/>
        </w:rPr>
        <w:t xml:space="preserve"> El </w:t>
      </w:r>
      <w:r w:rsidR="002A4D11" w:rsidRPr="00660766">
        <w:rPr>
          <w:rFonts w:ascii="Palatino Linotype" w:eastAsia="Palatino Linotype" w:hAnsi="Palatino Linotype" w:cs="Palatino Linotype"/>
          <w:b/>
          <w:sz w:val="22"/>
          <w:szCs w:val="22"/>
        </w:rPr>
        <w:t xml:space="preserve">dieciocho </w:t>
      </w:r>
      <w:r w:rsidR="00F277DF" w:rsidRPr="00660766">
        <w:rPr>
          <w:rFonts w:ascii="Palatino Linotype" w:eastAsia="Palatino Linotype" w:hAnsi="Palatino Linotype" w:cs="Palatino Linotype"/>
          <w:b/>
          <w:sz w:val="22"/>
          <w:szCs w:val="22"/>
        </w:rPr>
        <w:t xml:space="preserve">de </w:t>
      </w:r>
      <w:r w:rsidR="002A4D11" w:rsidRPr="00660766">
        <w:rPr>
          <w:rFonts w:ascii="Palatino Linotype" w:eastAsia="Palatino Linotype" w:hAnsi="Palatino Linotype" w:cs="Palatino Linotype"/>
          <w:b/>
          <w:sz w:val="22"/>
          <w:szCs w:val="22"/>
        </w:rPr>
        <w:t xml:space="preserve">mayo </w:t>
      </w:r>
      <w:r w:rsidR="00AD7F25" w:rsidRPr="00660766">
        <w:rPr>
          <w:rFonts w:ascii="Palatino Linotype" w:eastAsia="Palatino Linotype" w:hAnsi="Palatino Linotype" w:cs="Palatino Linotype"/>
          <w:b/>
          <w:sz w:val="22"/>
          <w:szCs w:val="22"/>
        </w:rPr>
        <w:t xml:space="preserve">de </w:t>
      </w:r>
      <w:r w:rsidRPr="00660766">
        <w:rPr>
          <w:rFonts w:ascii="Palatino Linotype" w:eastAsia="Palatino Linotype" w:hAnsi="Palatino Linotype" w:cs="Palatino Linotype"/>
          <w:b/>
          <w:sz w:val="22"/>
          <w:szCs w:val="22"/>
        </w:rPr>
        <w:t>dos mil veinti</w:t>
      </w:r>
      <w:r w:rsidR="002A4D11" w:rsidRPr="00660766">
        <w:rPr>
          <w:rFonts w:ascii="Palatino Linotype" w:eastAsia="Palatino Linotype" w:hAnsi="Palatino Linotype" w:cs="Palatino Linotype"/>
          <w:b/>
          <w:sz w:val="22"/>
          <w:szCs w:val="22"/>
        </w:rPr>
        <w:t>séis</w:t>
      </w:r>
      <w:r w:rsidRPr="00660766">
        <w:rPr>
          <w:rFonts w:ascii="Palatino Linotype" w:eastAsia="Palatino Linotype" w:hAnsi="Palatino Linotype" w:cs="Palatino Linotype"/>
          <w:b/>
          <w:sz w:val="22"/>
          <w:szCs w:val="22"/>
        </w:rPr>
        <w:t>,</w:t>
      </w:r>
      <w:r w:rsidRPr="00660766">
        <w:rPr>
          <w:rFonts w:ascii="Palatino Linotype" w:eastAsia="Palatino Linotype" w:hAnsi="Palatino Linotype" w:cs="Palatino Linotype"/>
          <w:sz w:val="22"/>
          <w:szCs w:val="22"/>
        </w:rPr>
        <w:t xml:space="preserve"> la parte </w:t>
      </w:r>
      <w:r w:rsidRPr="00660766">
        <w:rPr>
          <w:rFonts w:ascii="Palatino Linotype" w:eastAsia="Palatino Linotype" w:hAnsi="Palatino Linotype" w:cs="Palatino Linotype"/>
          <w:b/>
          <w:sz w:val="22"/>
          <w:szCs w:val="22"/>
        </w:rPr>
        <w:t xml:space="preserve">Recurrente </w:t>
      </w:r>
      <w:r w:rsidRPr="00660766">
        <w:rPr>
          <w:rFonts w:ascii="Palatino Linotype" w:eastAsia="Palatino Linotype" w:hAnsi="Palatino Linotype" w:cs="Palatino Linotype"/>
          <w:sz w:val="22"/>
          <w:szCs w:val="22"/>
        </w:rPr>
        <w:t xml:space="preserve">presentó la solicitud de acceso a la información pública ante el </w:t>
      </w:r>
      <w:r w:rsidRPr="00660766">
        <w:rPr>
          <w:rFonts w:ascii="Palatino Linotype" w:eastAsia="Palatino Linotype" w:hAnsi="Palatino Linotype" w:cs="Palatino Linotype"/>
          <w:b/>
          <w:sz w:val="22"/>
          <w:szCs w:val="22"/>
        </w:rPr>
        <w:t>Sujeto Obligado</w:t>
      </w:r>
      <w:r w:rsidRPr="00660766">
        <w:rPr>
          <w:rFonts w:ascii="Palatino Linotype" w:eastAsia="Palatino Linotype" w:hAnsi="Palatino Linotype" w:cs="Palatino Linotype"/>
          <w:sz w:val="22"/>
          <w:szCs w:val="22"/>
        </w:rPr>
        <w:t xml:space="preserve">, a través del Sistema de Acceso a la Información Mexiquense, en lo subsecuente el </w:t>
      </w:r>
      <w:r w:rsidRPr="00660766">
        <w:rPr>
          <w:rFonts w:ascii="Palatino Linotype" w:eastAsia="Palatino Linotype" w:hAnsi="Palatino Linotype" w:cs="Palatino Linotype"/>
          <w:b/>
          <w:sz w:val="22"/>
          <w:szCs w:val="22"/>
        </w:rPr>
        <w:t>SAIMEX,</w:t>
      </w:r>
      <w:r w:rsidR="003B12AA" w:rsidRPr="00660766">
        <w:rPr>
          <w:rFonts w:ascii="Palatino Linotype" w:eastAsia="Palatino Linotype" w:hAnsi="Palatino Linotype" w:cs="Palatino Linotype"/>
          <w:b/>
          <w:sz w:val="22"/>
          <w:szCs w:val="22"/>
        </w:rPr>
        <w:t xml:space="preserve"> </w:t>
      </w:r>
      <w:r w:rsidRPr="00660766">
        <w:rPr>
          <w:rFonts w:ascii="Palatino Linotype" w:eastAsia="Palatino Linotype" w:hAnsi="Palatino Linotype" w:cs="Palatino Linotype"/>
          <w:sz w:val="22"/>
          <w:szCs w:val="22"/>
        </w:rPr>
        <w:t>mediante la cual requirió lo siguiente:</w:t>
      </w:r>
    </w:p>
    <w:p w14:paraId="49190675" w14:textId="2D62B4A3" w:rsidR="005A75CA" w:rsidRPr="00660766" w:rsidRDefault="009F548D" w:rsidP="009708D6">
      <w:pPr>
        <w:spacing w:before="120" w:after="120"/>
        <w:ind w:left="851" w:right="90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i/>
          <w:sz w:val="22"/>
          <w:szCs w:val="22"/>
        </w:rPr>
        <w:t xml:space="preserve"> “</w:t>
      </w:r>
      <w:r w:rsidR="002A4D11" w:rsidRPr="00660766">
        <w:rPr>
          <w:rFonts w:ascii="Palatino Linotype" w:eastAsia="Palatino Linotype" w:hAnsi="Palatino Linotype" w:cs="Palatino Linotype"/>
          <w:i/>
          <w:sz w:val="22"/>
          <w:szCs w:val="22"/>
        </w:rPr>
        <w:t>Se solicita copia de contratos, facturas y documentación comprobatoria relacionada con el gasto en eventos oficiales durante el periodo 2024</w:t>
      </w:r>
      <w:r w:rsidR="00E96B90" w:rsidRPr="00660766">
        <w:rPr>
          <w:rFonts w:ascii="Palatino Linotype" w:eastAsia="Palatino Linotype" w:hAnsi="Palatino Linotype" w:cs="Palatino Linotype"/>
          <w:b/>
          <w:i/>
          <w:sz w:val="22"/>
          <w:szCs w:val="22"/>
        </w:rPr>
        <w:t>”</w:t>
      </w:r>
      <w:r w:rsidR="00E96B90" w:rsidRPr="00660766">
        <w:rPr>
          <w:rFonts w:ascii="Palatino Linotype" w:eastAsia="Palatino Linotype" w:hAnsi="Palatino Linotype" w:cs="Palatino Linotype"/>
          <w:i/>
          <w:sz w:val="22"/>
          <w:szCs w:val="22"/>
        </w:rPr>
        <w:t xml:space="preserve"> (sic) </w:t>
      </w:r>
    </w:p>
    <w:p w14:paraId="6019A360" w14:textId="77777777"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bookmarkStart w:id="4" w:name="_heading=h.3dy6vkm" w:colFirst="0" w:colLast="0"/>
      <w:bookmarkEnd w:id="4"/>
      <w:r w:rsidRPr="00660766">
        <w:rPr>
          <w:rFonts w:ascii="Palatino Linotype" w:eastAsia="Palatino Linotype" w:hAnsi="Palatino Linotype" w:cs="Palatino Linotype"/>
          <w:b/>
          <w:sz w:val="22"/>
          <w:szCs w:val="22"/>
        </w:rPr>
        <w:t>Modalidad de Entrega:</w:t>
      </w:r>
      <w:r w:rsidRPr="00660766">
        <w:rPr>
          <w:rFonts w:ascii="Palatino Linotype" w:eastAsia="Palatino Linotype" w:hAnsi="Palatino Linotype" w:cs="Palatino Linotype"/>
          <w:sz w:val="22"/>
          <w:szCs w:val="22"/>
        </w:rPr>
        <w:t xml:space="preserve"> a través del</w:t>
      </w:r>
      <w:r w:rsidRPr="00660766">
        <w:rPr>
          <w:rFonts w:ascii="Palatino Linotype" w:eastAsia="Palatino Linotype" w:hAnsi="Palatino Linotype" w:cs="Palatino Linotype"/>
          <w:b/>
          <w:sz w:val="22"/>
          <w:szCs w:val="22"/>
        </w:rPr>
        <w:t xml:space="preserve"> SAIMEX.</w:t>
      </w:r>
    </w:p>
    <w:p w14:paraId="2625098D" w14:textId="15161CA7" w:rsidR="00690D64" w:rsidRPr="00660766" w:rsidRDefault="00E96B90" w:rsidP="002A4D11">
      <w:pPr>
        <w:pBdr>
          <w:top w:val="nil"/>
          <w:left w:val="nil"/>
          <w:bottom w:val="nil"/>
          <w:right w:val="nil"/>
          <w:between w:val="nil"/>
        </w:pBdr>
        <w:tabs>
          <w:tab w:val="left" w:pos="3119"/>
        </w:tabs>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sz w:val="22"/>
          <w:szCs w:val="22"/>
        </w:rPr>
        <w:t xml:space="preserve">2. </w:t>
      </w:r>
      <w:r w:rsidR="0001490F" w:rsidRPr="00660766">
        <w:rPr>
          <w:rFonts w:ascii="Palatino Linotype" w:eastAsia="Palatino Linotype" w:hAnsi="Palatino Linotype" w:cs="Palatino Linotype"/>
          <w:b/>
          <w:bCs/>
          <w:sz w:val="22"/>
          <w:szCs w:val="22"/>
        </w:rPr>
        <w:t>Respuesta.</w:t>
      </w:r>
      <w:r w:rsidR="00690D64" w:rsidRPr="00660766">
        <w:rPr>
          <w:rFonts w:ascii="Palatino Linotype" w:eastAsia="Palatino Linotype" w:hAnsi="Palatino Linotype" w:cs="Palatino Linotype"/>
          <w:b/>
          <w:bCs/>
          <w:sz w:val="22"/>
          <w:szCs w:val="22"/>
        </w:rPr>
        <w:t xml:space="preserve"> </w:t>
      </w:r>
      <w:r w:rsidR="00690D64" w:rsidRPr="00660766">
        <w:rPr>
          <w:rFonts w:ascii="Palatino Linotype" w:eastAsia="Palatino Linotype" w:hAnsi="Palatino Linotype" w:cs="Palatino Linotype"/>
          <w:sz w:val="22"/>
          <w:szCs w:val="22"/>
        </w:rPr>
        <w:t xml:space="preserve">El </w:t>
      </w:r>
      <w:r w:rsidR="002A4D11" w:rsidRPr="00660766">
        <w:rPr>
          <w:rFonts w:ascii="Palatino Linotype" w:eastAsia="Palatino Linotype" w:hAnsi="Palatino Linotype" w:cs="Palatino Linotype"/>
          <w:b/>
          <w:bCs/>
          <w:sz w:val="22"/>
          <w:szCs w:val="22"/>
        </w:rPr>
        <w:t>ocho de junio</w:t>
      </w:r>
      <w:r w:rsidR="00690D64" w:rsidRPr="00660766">
        <w:rPr>
          <w:rFonts w:ascii="Palatino Linotype" w:eastAsia="Palatino Linotype" w:hAnsi="Palatino Linotype" w:cs="Palatino Linotype"/>
          <w:b/>
          <w:bCs/>
          <w:sz w:val="22"/>
          <w:szCs w:val="22"/>
        </w:rPr>
        <w:t xml:space="preserve"> de dos mil veintiséis,</w:t>
      </w:r>
      <w:r w:rsidR="00690D64" w:rsidRPr="00660766">
        <w:rPr>
          <w:rFonts w:ascii="Palatino Linotype" w:eastAsia="Palatino Linotype" w:hAnsi="Palatino Linotype" w:cs="Palatino Linotype"/>
          <w:sz w:val="22"/>
          <w:szCs w:val="22"/>
        </w:rPr>
        <w:t xml:space="preserve"> el </w:t>
      </w:r>
      <w:r w:rsidR="00690D64" w:rsidRPr="00660766">
        <w:rPr>
          <w:rFonts w:ascii="Palatino Linotype" w:eastAsia="Palatino Linotype" w:hAnsi="Palatino Linotype" w:cs="Palatino Linotype"/>
          <w:b/>
          <w:bCs/>
          <w:sz w:val="22"/>
          <w:szCs w:val="22"/>
        </w:rPr>
        <w:t xml:space="preserve">Sujeto Obligado </w:t>
      </w:r>
      <w:r w:rsidR="00690D64" w:rsidRPr="00660766">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75EC29A8" w14:textId="5AE4A37C" w:rsidR="00690D64" w:rsidRPr="00660766" w:rsidRDefault="00690D64" w:rsidP="009708D6">
      <w:pPr>
        <w:spacing w:before="240" w:after="24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r w:rsidR="002A4D11" w:rsidRPr="00660766">
        <w:rPr>
          <w:rFonts w:ascii="Palatino Linotype" w:eastAsia="Palatino Linotype" w:hAnsi="Palatino Linotype" w:cs="Palatino Linotype"/>
          <w:i/>
          <w:iCs/>
          <w:sz w:val="22"/>
          <w:szCs w:val="22"/>
        </w:rPr>
        <w:t>Se adjunta documento para pronta consulta. RESPUESTA REALIZADA POR LA TESORERIA MUNICIPAL.</w:t>
      </w:r>
      <w:r w:rsidRPr="00660766">
        <w:rPr>
          <w:rFonts w:ascii="Palatino Linotype" w:eastAsia="Palatino Linotype" w:hAnsi="Palatino Linotype" w:cs="Palatino Linotype"/>
          <w:i/>
          <w:iCs/>
          <w:sz w:val="22"/>
          <w:szCs w:val="22"/>
        </w:rPr>
        <w:t>..” (sic)</w:t>
      </w:r>
    </w:p>
    <w:p w14:paraId="47BB008D" w14:textId="4359F0C7" w:rsidR="00F96B61" w:rsidRPr="00660766" w:rsidRDefault="00690D64"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lastRenderedPageBreak/>
        <w:t xml:space="preserve">El </w:t>
      </w:r>
      <w:r w:rsidRPr="00660766">
        <w:rPr>
          <w:rFonts w:ascii="Palatino Linotype" w:eastAsia="Palatino Linotype" w:hAnsi="Palatino Linotype" w:cs="Palatino Linotype"/>
          <w:b/>
          <w:bCs/>
          <w:sz w:val="22"/>
          <w:szCs w:val="22"/>
        </w:rPr>
        <w:t xml:space="preserve">Sujeto Obligado </w:t>
      </w:r>
      <w:r w:rsidRPr="00660766">
        <w:rPr>
          <w:rFonts w:ascii="Palatino Linotype" w:eastAsia="Palatino Linotype" w:hAnsi="Palatino Linotype" w:cs="Palatino Linotype"/>
          <w:sz w:val="22"/>
          <w:szCs w:val="22"/>
        </w:rPr>
        <w:t xml:space="preserve">adjuntó </w:t>
      </w:r>
      <w:r w:rsidR="00F96B61" w:rsidRPr="00660766">
        <w:rPr>
          <w:rFonts w:ascii="Palatino Linotype" w:eastAsia="Palatino Linotype" w:hAnsi="Palatino Linotype" w:cs="Palatino Linotype"/>
          <w:sz w:val="22"/>
          <w:szCs w:val="22"/>
        </w:rPr>
        <w:t>lo siguiente:</w:t>
      </w:r>
    </w:p>
    <w:p w14:paraId="2D3D0C66" w14:textId="4C90145E" w:rsidR="00374AC2" w:rsidRPr="00660766" w:rsidRDefault="00F96B61"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 </w:t>
      </w:r>
      <w:r w:rsidR="002A4D11" w:rsidRPr="00660766">
        <w:rPr>
          <w:rFonts w:ascii="Palatino Linotype" w:eastAsia="Palatino Linotype" w:hAnsi="Palatino Linotype" w:cs="Palatino Linotype"/>
          <w:sz w:val="22"/>
          <w:szCs w:val="22"/>
        </w:rPr>
        <w:t xml:space="preserve">Escrito mediante el cual el </w:t>
      </w:r>
      <w:r w:rsidR="002A4D11" w:rsidRPr="00660766">
        <w:rPr>
          <w:rFonts w:ascii="Palatino Linotype" w:eastAsia="Palatino Linotype" w:hAnsi="Palatino Linotype" w:cs="Palatino Linotype"/>
          <w:b/>
          <w:bCs/>
          <w:sz w:val="22"/>
          <w:szCs w:val="22"/>
        </w:rPr>
        <w:t xml:space="preserve">Sujeto Obligado </w:t>
      </w:r>
      <w:r w:rsidR="002A4D11" w:rsidRPr="00660766">
        <w:rPr>
          <w:rFonts w:ascii="Palatino Linotype" w:eastAsia="Palatino Linotype" w:hAnsi="Palatino Linotype" w:cs="Palatino Linotype"/>
          <w:sz w:val="22"/>
          <w:szCs w:val="22"/>
        </w:rPr>
        <w:t xml:space="preserve">propuso el cambio de modalidad en la entrega de la información requerida en las solicitudes </w:t>
      </w:r>
      <w:r w:rsidR="002A4D11" w:rsidRPr="00660766">
        <w:rPr>
          <w:rFonts w:ascii="Palatino Linotype" w:hAnsi="Palatino Linotype" w:cs="Arial"/>
          <w:sz w:val="22"/>
          <w:szCs w:val="22"/>
          <w:lang w:val="es-ES"/>
        </w:rPr>
        <w:t xml:space="preserve">00179/MEXICAL/IP/2026, 00180/MEXICAL/IP/2026, 00181/MEXICAL/IP/2026, 00182/MEXICAL/IP/2026, 00183/MEXICAL/IP/2026, 00184/MEXICAL/IP/2026, 00185/MEXICAL/IP/2026, 00186/MEXICAL/IP/2026, a  consulta directa </w:t>
      </w:r>
      <w:r w:rsidR="00DD27F4" w:rsidRPr="00660766">
        <w:rPr>
          <w:rFonts w:ascii="Palatino Linotype" w:hAnsi="Palatino Linotype" w:cs="Arial"/>
          <w:sz w:val="22"/>
          <w:szCs w:val="22"/>
          <w:lang w:val="es-ES"/>
        </w:rPr>
        <w:t>en la oficina de la Presidencia.</w:t>
      </w:r>
      <w:r w:rsidR="00F75767" w:rsidRPr="00660766">
        <w:rPr>
          <w:rFonts w:ascii="Palatino Linotype" w:eastAsia="Palatino Linotype" w:hAnsi="Palatino Linotype" w:cs="Palatino Linotype"/>
          <w:sz w:val="22"/>
          <w:szCs w:val="22"/>
        </w:rPr>
        <w:t xml:space="preserve"> </w:t>
      </w:r>
    </w:p>
    <w:p w14:paraId="7CFCEA31" w14:textId="4F2175EF" w:rsidR="005A75CA" w:rsidRPr="00660766" w:rsidRDefault="00DD27F4"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sz w:val="22"/>
          <w:szCs w:val="22"/>
        </w:rPr>
        <w:t>3</w:t>
      </w:r>
      <w:r w:rsidR="00E96B90" w:rsidRPr="00660766">
        <w:rPr>
          <w:rFonts w:ascii="Palatino Linotype" w:eastAsia="Palatino Linotype" w:hAnsi="Palatino Linotype" w:cs="Palatino Linotype"/>
          <w:b/>
          <w:sz w:val="22"/>
          <w:szCs w:val="22"/>
        </w:rPr>
        <w:t xml:space="preserve">. Interposición del recurso de revisión. </w:t>
      </w:r>
      <w:r w:rsidR="00E96B90" w:rsidRPr="00660766">
        <w:rPr>
          <w:rFonts w:ascii="Palatino Linotype" w:eastAsia="Palatino Linotype" w:hAnsi="Palatino Linotype" w:cs="Palatino Linotype"/>
          <w:sz w:val="22"/>
          <w:szCs w:val="22"/>
        </w:rPr>
        <w:t xml:space="preserve">Inconforme con los términos de la respuesta emitida por parte del </w:t>
      </w:r>
      <w:r w:rsidR="00E96B90" w:rsidRPr="00660766">
        <w:rPr>
          <w:rFonts w:ascii="Palatino Linotype" w:eastAsia="Palatino Linotype" w:hAnsi="Palatino Linotype" w:cs="Palatino Linotype"/>
          <w:b/>
          <w:sz w:val="22"/>
          <w:szCs w:val="22"/>
        </w:rPr>
        <w:t xml:space="preserve">Sujeto Obligado, </w:t>
      </w:r>
      <w:r w:rsidR="00E96B90" w:rsidRPr="00660766">
        <w:rPr>
          <w:rFonts w:ascii="Palatino Linotype" w:eastAsia="Palatino Linotype" w:hAnsi="Palatino Linotype" w:cs="Palatino Linotype"/>
          <w:bCs/>
          <w:sz w:val="22"/>
          <w:szCs w:val="22"/>
        </w:rPr>
        <w:t xml:space="preserve">el </w:t>
      </w:r>
      <w:r w:rsidRPr="00660766">
        <w:rPr>
          <w:rFonts w:ascii="Palatino Linotype" w:eastAsia="Palatino Linotype" w:hAnsi="Palatino Linotype" w:cs="Palatino Linotype"/>
          <w:b/>
          <w:sz w:val="22"/>
          <w:szCs w:val="22"/>
        </w:rPr>
        <w:t xml:space="preserve">diez de junio </w:t>
      </w:r>
      <w:r w:rsidR="00E96B90" w:rsidRPr="00660766">
        <w:rPr>
          <w:rFonts w:ascii="Palatino Linotype" w:eastAsia="Palatino Linotype" w:hAnsi="Palatino Linotype" w:cs="Palatino Linotype"/>
          <w:b/>
          <w:sz w:val="22"/>
          <w:szCs w:val="22"/>
        </w:rPr>
        <w:t>de dos mil veinti</w:t>
      </w:r>
      <w:r w:rsidR="003B12AA" w:rsidRPr="00660766">
        <w:rPr>
          <w:rFonts w:ascii="Palatino Linotype" w:eastAsia="Palatino Linotype" w:hAnsi="Palatino Linotype" w:cs="Palatino Linotype"/>
          <w:b/>
          <w:sz w:val="22"/>
          <w:szCs w:val="22"/>
        </w:rPr>
        <w:t>séis</w:t>
      </w:r>
      <w:r w:rsidR="00E96B90" w:rsidRPr="00660766">
        <w:rPr>
          <w:rFonts w:ascii="Palatino Linotype" w:eastAsia="Palatino Linotype" w:hAnsi="Palatino Linotype" w:cs="Palatino Linotype"/>
          <w:b/>
          <w:sz w:val="22"/>
          <w:szCs w:val="22"/>
        </w:rPr>
        <w:t>,</w:t>
      </w:r>
      <w:r w:rsidR="00E96B90" w:rsidRPr="00660766">
        <w:rPr>
          <w:rFonts w:ascii="Palatino Linotype" w:eastAsia="Palatino Linotype" w:hAnsi="Palatino Linotype" w:cs="Palatino Linotype"/>
          <w:sz w:val="22"/>
          <w:szCs w:val="22"/>
        </w:rPr>
        <w:t xml:space="preserve"> la parte </w:t>
      </w:r>
      <w:r w:rsidR="00E96B90" w:rsidRPr="00660766">
        <w:rPr>
          <w:rFonts w:ascii="Palatino Linotype" w:eastAsia="Palatino Linotype" w:hAnsi="Palatino Linotype" w:cs="Palatino Linotype"/>
          <w:b/>
          <w:sz w:val="22"/>
          <w:szCs w:val="22"/>
        </w:rPr>
        <w:t>Recurrente</w:t>
      </w:r>
      <w:r w:rsidR="00E96B90" w:rsidRPr="00660766">
        <w:rPr>
          <w:rFonts w:ascii="Palatino Linotype" w:eastAsia="Palatino Linotype" w:hAnsi="Palatino Linotype" w:cs="Palatino Linotype"/>
          <w:sz w:val="22"/>
          <w:szCs w:val="22"/>
        </w:rPr>
        <w:t xml:space="preserve"> interpuso el recurso de revisión a través de </w:t>
      </w:r>
      <w:r w:rsidR="00E96B90" w:rsidRPr="00660766">
        <w:rPr>
          <w:rFonts w:ascii="Palatino Linotype" w:eastAsia="Palatino Linotype" w:hAnsi="Palatino Linotype" w:cs="Palatino Linotype"/>
          <w:b/>
          <w:sz w:val="22"/>
          <w:szCs w:val="22"/>
        </w:rPr>
        <w:t xml:space="preserve">SAIMEX, </w:t>
      </w:r>
      <w:r w:rsidR="00E96B90" w:rsidRPr="00660766">
        <w:rPr>
          <w:rFonts w:ascii="Palatino Linotype" w:eastAsia="Palatino Linotype" w:hAnsi="Palatino Linotype" w:cs="Palatino Linotype"/>
          <w:sz w:val="22"/>
          <w:szCs w:val="22"/>
        </w:rPr>
        <w:t>en donde se manifestó de la siguiente manera:</w:t>
      </w:r>
    </w:p>
    <w:p w14:paraId="0DB160D3" w14:textId="77777777" w:rsidR="005A75CA" w:rsidRPr="00660766" w:rsidRDefault="00E96B90" w:rsidP="009708D6">
      <w:pPr>
        <w:spacing w:before="240" w:after="240" w:line="360" w:lineRule="auto"/>
        <w:ind w:right="49"/>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t xml:space="preserve">Acto impugnado: </w:t>
      </w:r>
    </w:p>
    <w:p w14:paraId="68DC3E6A" w14:textId="756827DB" w:rsidR="005A75CA" w:rsidRPr="00660766" w:rsidRDefault="00E96B90" w:rsidP="009708D6">
      <w:pPr>
        <w:tabs>
          <w:tab w:val="left" w:pos="2745"/>
        </w:tabs>
        <w:spacing w:before="240" w:after="240"/>
        <w:ind w:left="851" w:right="90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00DD27F4" w:rsidRPr="00660766">
        <w:rPr>
          <w:rFonts w:ascii="Palatino Linotype" w:eastAsia="Palatino Linotype" w:hAnsi="Palatino Linotype" w:cs="Palatino Linotype"/>
          <w:i/>
          <w:sz w:val="22"/>
          <w:szCs w:val="22"/>
        </w:rPr>
        <w:t>El ayuntamiento no atendió la información como se le solicito que entregue lo que se pide</w:t>
      </w:r>
      <w:r w:rsidRPr="00660766">
        <w:rPr>
          <w:rFonts w:ascii="Palatino Linotype" w:eastAsia="Palatino Linotype" w:hAnsi="Palatino Linotype" w:cs="Palatino Linotype"/>
          <w:i/>
          <w:sz w:val="22"/>
          <w:szCs w:val="22"/>
        </w:rPr>
        <w:t>” (sic)</w:t>
      </w:r>
    </w:p>
    <w:p w14:paraId="64535873" w14:textId="77777777" w:rsidR="005A75CA" w:rsidRPr="00660766" w:rsidRDefault="00E96B90" w:rsidP="009708D6">
      <w:pPr>
        <w:spacing w:line="360" w:lineRule="auto"/>
        <w:jc w:val="both"/>
        <w:rPr>
          <w:rFonts w:ascii="Palatino Linotype" w:eastAsia="Palatino Linotype" w:hAnsi="Palatino Linotype" w:cs="Palatino Linotype"/>
          <w:sz w:val="22"/>
          <w:szCs w:val="22"/>
        </w:rPr>
      </w:pPr>
      <w:bookmarkStart w:id="5" w:name="_heading=h.30j0zll" w:colFirst="0" w:colLast="0"/>
      <w:bookmarkEnd w:id="5"/>
      <w:r w:rsidRPr="00660766">
        <w:rPr>
          <w:rFonts w:ascii="Palatino Linotype" w:eastAsia="Palatino Linotype" w:hAnsi="Palatino Linotype" w:cs="Palatino Linotype"/>
          <w:b/>
          <w:sz w:val="22"/>
          <w:szCs w:val="22"/>
        </w:rPr>
        <w:t>Y, Razones o motivos de inconformidad</w:t>
      </w:r>
      <w:r w:rsidRPr="00660766">
        <w:rPr>
          <w:rFonts w:ascii="Palatino Linotype" w:eastAsia="Palatino Linotype" w:hAnsi="Palatino Linotype" w:cs="Palatino Linotype"/>
          <w:sz w:val="22"/>
          <w:szCs w:val="22"/>
        </w:rPr>
        <w:t>:</w:t>
      </w:r>
    </w:p>
    <w:p w14:paraId="6C751BDA" w14:textId="37DED046" w:rsidR="005A75CA" w:rsidRPr="00660766" w:rsidRDefault="00E96B90" w:rsidP="009708D6">
      <w:pPr>
        <w:tabs>
          <w:tab w:val="left" w:pos="2745"/>
        </w:tabs>
        <w:spacing w:before="240" w:after="240"/>
        <w:ind w:left="851" w:right="90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00DD27F4" w:rsidRPr="00660766">
        <w:rPr>
          <w:rFonts w:ascii="Palatino Linotype" w:eastAsia="Palatino Linotype" w:hAnsi="Palatino Linotype" w:cs="Palatino Linotype"/>
          <w:i/>
          <w:sz w:val="22"/>
          <w:szCs w:val="22"/>
        </w:rPr>
        <w:t>El ayuntamiento no atendió la información como se le solicito que entregue lo que se pide</w:t>
      </w:r>
      <w:r w:rsidRPr="00660766">
        <w:rPr>
          <w:rFonts w:ascii="Palatino Linotype" w:eastAsia="Palatino Linotype" w:hAnsi="Palatino Linotype" w:cs="Palatino Linotype"/>
          <w:i/>
          <w:sz w:val="22"/>
          <w:szCs w:val="22"/>
        </w:rPr>
        <w:t>” (sic)</w:t>
      </w:r>
    </w:p>
    <w:p w14:paraId="63BA5F7F" w14:textId="74B2AE1E" w:rsidR="005A75CA" w:rsidRPr="00660766" w:rsidRDefault="00DD27F4" w:rsidP="009708D6">
      <w:pPr>
        <w:spacing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sz w:val="22"/>
          <w:szCs w:val="22"/>
        </w:rPr>
        <w:t>4</w:t>
      </w:r>
      <w:r w:rsidR="00E96B90" w:rsidRPr="00660766">
        <w:rPr>
          <w:rFonts w:ascii="Palatino Linotype" w:eastAsia="Palatino Linotype" w:hAnsi="Palatino Linotype" w:cs="Palatino Linotype"/>
          <w:b/>
          <w:sz w:val="22"/>
          <w:szCs w:val="22"/>
        </w:rPr>
        <w:t xml:space="preserve">. Turno. </w:t>
      </w:r>
      <w:r w:rsidR="00E96B90" w:rsidRPr="00660766">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E96B90" w:rsidRPr="00660766">
        <w:rPr>
          <w:rFonts w:ascii="Palatino Linotype" w:eastAsia="Palatino Linotype" w:hAnsi="Palatino Linotype" w:cs="Palatino Linotype"/>
          <w:b/>
          <w:sz w:val="22"/>
          <w:szCs w:val="22"/>
        </w:rPr>
        <w:t xml:space="preserve">Guadalupe Ramírez Peña, </w:t>
      </w:r>
      <w:r w:rsidR="00E96B90" w:rsidRPr="00660766">
        <w:rPr>
          <w:rFonts w:ascii="Palatino Linotype" w:eastAsia="Palatino Linotype" w:hAnsi="Palatino Linotype" w:cs="Palatino Linotype"/>
          <w:sz w:val="22"/>
          <w:szCs w:val="22"/>
        </w:rPr>
        <w:t>a efecto de que analizara sobre su admisión o su desechamiento.</w:t>
      </w:r>
    </w:p>
    <w:p w14:paraId="7FEE7B27" w14:textId="22F1AEE5" w:rsidR="005A75CA" w:rsidRPr="00660766" w:rsidRDefault="00DD27F4"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lastRenderedPageBreak/>
        <w:t>5</w:t>
      </w:r>
      <w:r w:rsidR="0001490F" w:rsidRPr="00660766">
        <w:rPr>
          <w:rFonts w:ascii="Palatino Linotype" w:eastAsia="Palatino Linotype" w:hAnsi="Palatino Linotype" w:cs="Palatino Linotype"/>
          <w:b/>
          <w:sz w:val="22"/>
          <w:szCs w:val="22"/>
        </w:rPr>
        <w:t>.</w:t>
      </w:r>
      <w:r w:rsidR="00E96B90" w:rsidRPr="00660766">
        <w:rPr>
          <w:rFonts w:ascii="Palatino Linotype" w:eastAsia="Palatino Linotype" w:hAnsi="Palatino Linotype" w:cs="Palatino Linotype"/>
          <w:b/>
          <w:sz w:val="22"/>
          <w:szCs w:val="22"/>
        </w:rPr>
        <w:t xml:space="preserve"> Admisión del Recurso de revisión.</w:t>
      </w:r>
      <w:r w:rsidR="00E96B90" w:rsidRPr="00660766">
        <w:rPr>
          <w:rFonts w:ascii="Palatino Linotype" w:eastAsia="Palatino Linotype" w:hAnsi="Palatino Linotype" w:cs="Palatino Linotype"/>
          <w:sz w:val="22"/>
          <w:szCs w:val="22"/>
        </w:rPr>
        <w:t xml:space="preserve"> El</w:t>
      </w:r>
      <w:r w:rsidR="008C0431" w:rsidRPr="00660766">
        <w:rPr>
          <w:rFonts w:ascii="Palatino Linotype" w:eastAsia="Palatino Linotype" w:hAnsi="Palatino Linotype" w:cs="Palatino Linotype"/>
          <w:sz w:val="22"/>
          <w:szCs w:val="22"/>
        </w:rPr>
        <w:t xml:space="preserve"> </w:t>
      </w:r>
      <w:r w:rsidRPr="00660766">
        <w:rPr>
          <w:rFonts w:ascii="Palatino Linotype" w:eastAsia="Palatino Linotype" w:hAnsi="Palatino Linotype" w:cs="Palatino Linotype"/>
          <w:b/>
          <w:sz w:val="22"/>
          <w:szCs w:val="22"/>
        </w:rPr>
        <w:t xml:space="preserve">doce de junio </w:t>
      </w:r>
      <w:r w:rsidR="008C0431" w:rsidRPr="00660766">
        <w:rPr>
          <w:rFonts w:ascii="Palatino Linotype" w:eastAsia="Palatino Linotype" w:hAnsi="Palatino Linotype" w:cs="Palatino Linotype"/>
          <w:b/>
          <w:sz w:val="22"/>
          <w:szCs w:val="22"/>
        </w:rPr>
        <w:t xml:space="preserve">de dos mil veintiséis, </w:t>
      </w:r>
      <w:r w:rsidR="00E96B90" w:rsidRPr="00660766">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E96B90" w:rsidRPr="00660766">
        <w:rPr>
          <w:rFonts w:ascii="Palatino Linotype" w:eastAsia="Palatino Linotype" w:hAnsi="Palatino Linotype" w:cs="Palatino Linotype"/>
          <w:b/>
          <w:sz w:val="22"/>
          <w:szCs w:val="22"/>
        </w:rPr>
        <w:t xml:space="preserve">Sujeto Obligado </w:t>
      </w:r>
      <w:r w:rsidR="00E96B90" w:rsidRPr="00660766">
        <w:rPr>
          <w:rFonts w:ascii="Palatino Linotype" w:eastAsia="Palatino Linotype" w:hAnsi="Palatino Linotype" w:cs="Palatino Linotype"/>
          <w:sz w:val="22"/>
          <w:szCs w:val="22"/>
        </w:rPr>
        <w:t>presentara su informe justificado.</w:t>
      </w:r>
    </w:p>
    <w:p w14:paraId="110F92F0" w14:textId="4A4F53BC" w:rsidR="00A077CE" w:rsidRPr="00660766" w:rsidRDefault="00DD27F4" w:rsidP="009708D6">
      <w:pPr>
        <w:spacing w:before="240" w:after="240" w:line="360" w:lineRule="auto"/>
        <w:jc w:val="both"/>
        <w:rPr>
          <w:rFonts w:ascii="Palatino Linotype" w:eastAsia="Palatino Linotype" w:hAnsi="Palatino Linotype" w:cs="Palatino Linotype"/>
          <w:sz w:val="22"/>
          <w:szCs w:val="22"/>
        </w:rPr>
      </w:pPr>
      <w:bookmarkStart w:id="6" w:name="_heading=h.2s8eyo1" w:colFirst="0" w:colLast="0"/>
      <w:bookmarkEnd w:id="6"/>
      <w:r w:rsidRPr="00660766">
        <w:rPr>
          <w:rFonts w:ascii="Palatino Linotype" w:eastAsia="Palatino Linotype" w:hAnsi="Palatino Linotype" w:cs="Palatino Linotype"/>
          <w:b/>
          <w:sz w:val="22"/>
          <w:szCs w:val="22"/>
        </w:rPr>
        <w:t>6</w:t>
      </w:r>
      <w:r w:rsidR="00E96B90" w:rsidRPr="00660766">
        <w:rPr>
          <w:rFonts w:ascii="Palatino Linotype" w:eastAsia="Palatino Linotype" w:hAnsi="Palatino Linotype" w:cs="Palatino Linotype"/>
          <w:b/>
          <w:sz w:val="22"/>
          <w:szCs w:val="22"/>
        </w:rPr>
        <w:t>. Manifestaciones</w:t>
      </w:r>
      <w:r w:rsidR="00E96B90" w:rsidRPr="00660766">
        <w:rPr>
          <w:rFonts w:ascii="Palatino Linotype" w:eastAsia="Palatino Linotype" w:hAnsi="Palatino Linotype" w:cs="Palatino Linotype"/>
          <w:sz w:val="22"/>
          <w:szCs w:val="22"/>
        </w:rPr>
        <w:t xml:space="preserve">. </w:t>
      </w:r>
      <w:r w:rsidRPr="00660766">
        <w:rPr>
          <w:rFonts w:ascii="Palatino Linotype" w:eastAsia="Palatino Linotype" w:hAnsi="Palatino Linotype" w:cs="Palatino Linotype"/>
          <w:sz w:val="22"/>
          <w:szCs w:val="22"/>
        </w:rPr>
        <w:t xml:space="preserve">El </w:t>
      </w:r>
      <w:r w:rsidRPr="00660766">
        <w:rPr>
          <w:rFonts w:ascii="Palatino Linotype" w:eastAsia="Palatino Linotype" w:hAnsi="Palatino Linotype" w:cs="Palatino Linotype"/>
          <w:b/>
          <w:bCs/>
          <w:sz w:val="22"/>
          <w:szCs w:val="22"/>
        </w:rPr>
        <w:t xml:space="preserve">veintitrés de junio de dos mil veintiséis, </w:t>
      </w:r>
      <w:r w:rsidRPr="00660766">
        <w:rPr>
          <w:rFonts w:ascii="Palatino Linotype" w:eastAsia="Palatino Linotype" w:hAnsi="Palatino Linotype" w:cs="Palatino Linotype"/>
          <w:sz w:val="22"/>
          <w:szCs w:val="22"/>
        </w:rPr>
        <w:t xml:space="preserve">el </w:t>
      </w:r>
      <w:r w:rsidRPr="00660766">
        <w:rPr>
          <w:rFonts w:ascii="Palatino Linotype" w:eastAsia="Palatino Linotype" w:hAnsi="Palatino Linotype" w:cs="Palatino Linotype"/>
          <w:b/>
          <w:bCs/>
          <w:sz w:val="22"/>
          <w:szCs w:val="22"/>
        </w:rPr>
        <w:t xml:space="preserve">Sujeto Obligado </w:t>
      </w:r>
      <w:r w:rsidRPr="00660766">
        <w:rPr>
          <w:rFonts w:ascii="Palatino Linotype" w:eastAsia="Palatino Linotype" w:hAnsi="Palatino Linotype" w:cs="Palatino Linotype"/>
          <w:sz w:val="22"/>
          <w:szCs w:val="22"/>
        </w:rPr>
        <w:t xml:space="preserve">remitió, a través de </w:t>
      </w:r>
      <w:r w:rsidRPr="00660766">
        <w:rPr>
          <w:rFonts w:ascii="Palatino Linotype" w:eastAsia="Palatino Linotype" w:hAnsi="Palatino Linotype" w:cs="Palatino Linotype"/>
          <w:b/>
          <w:bCs/>
          <w:sz w:val="22"/>
          <w:szCs w:val="22"/>
        </w:rPr>
        <w:t xml:space="preserve">SAIMEX, </w:t>
      </w:r>
      <w:r w:rsidR="00CC7005" w:rsidRPr="00660766">
        <w:rPr>
          <w:rFonts w:ascii="Palatino Linotype" w:eastAsia="Palatino Linotype" w:hAnsi="Palatino Linotype" w:cs="Palatino Linotype"/>
          <w:sz w:val="22"/>
          <w:szCs w:val="22"/>
        </w:rPr>
        <w:t xml:space="preserve">el </w:t>
      </w:r>
      <w:r w:rsidR="00285FC2" w:rsidRPr="00660766">
        <w:rPr>
          <w:rFonts w:ascii="Palatino Linotype" w:eastAsia="Palatino Linotype" w:hAnsi="Palatino Linotype" w:cs="Palatino Linotype"/>
          <w:sz w:val="22"/>
          <w:szCs w:val="22"/>
        </w:rPr>
        <w:t>A</w:t>
      </w:r>
      <w:r w:rsidR="00CC7005" w:rsidRPr="00660766">
        <w:rPr>
          <w:rFonts w:ascii="Palatino Linotype" w:eastAsia="Palatino Linotype" w:hAnsi="Palatino Linotype" w:cs="Palatino Linotype"/>
          <w:sz w:val="22"/>
          <w:szCs w:val="22"/>
        </w:rPr>
        <w:t xml:space="preserve">cta de la Vigésima Segunda Sesión Ordinaria del Comité de Transparencia, </w:t>
      </w:r>
      <w:r w:rsidR="00A077CE" w:rsidRPr="00660766">
        <w:rPr>
          <w:rFonts w:ascii="Palatino Linotype" w:eastAsia="Palatino Linotype" w:hAnsi="Palatino Linotype" w:cs="Palatino Linotype"/>
          <w:sz w:val="22"/>
          <w:szCs w:val="22"/>
        </w:rPr>
        <w:t>en cuyo Décimo Quinto punto del orden del día se sometió a consideración de los integrantes la propuesta de cambio de modalidad en la entrega de la información, a consulta directa, confirmándose mediante el acuerdo MEX/CT/SO/JUN/022/180626/A13.</w:t>
      </w:r>
    </w:p>
    <w:p w14:paraId="2B6145B8" w14:textId="77777777" w:rsidR="005F7503" w:rsidRPr="00660766" w:rsidRDefault="005F7503" w:rsidP="005F7503">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Una vez analizada la información, se hizo del conocimiento de la parte </w:t>
      </w:r>
      <w:r w:rsidRPr="00660766">
        <w:rPr>
          <w:rFonts w:ascii="Palatino Linotype" w:eastAsia="Palatino Linotype" w:hAnsi="Palatino Linotype" w:cs="Palatino Linotype"/>
          <w:b/>
          <w:sz w:val="22"/>
          <w:szCs w:val="22"/>
        </w:rPr>
        <w:t xml:space="preserve">Recurrente </w:t>
      </w:r>
      <w:r w:rsidRPr="00660766">
        <w:rPr>
          <w:rFonts w:ascii="Palatino Linotype" w:eastAsia="Palatino Linotype" w:hAnsi="Palatino Linotype" w:cs="Palatino Linotype"/>
          <w:sz w:val="22"/>
          <w:szCs w:val="22"/>
        </w:rPr>
        <w:t>con la finalidad de que manifestara lo que a su derecho estimara conveniente, sin embargo, fue omisa en ejercer dicha prerrogativa.</w:t>
      </w:r>
    </w:p>
    <w:p w14:paraId="7B6D585C" w14:textId="6DEFEAA6" w:rsidR="00122A9E" w:rsidRPr="00660766" w:rsidRDefault="005F7503"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t>7</w:t>
      </w:r>
      <w:r w:rsidR="00CD4734" w:rsidRPr="00660766">
        <w:rPr>
          <w:rFonts w:ascii="Palatino Linotype" w:eastAsia="Palatino Linotype" w:hAnsi="Palatino Linotype" w:cs="Palatino Linotype"/>
          <w:b/>
          <w:sz w:val="22"/>
          <w:szCs w:val="22"/>
        </w:rPr>
        <w:t xml:space="preserve">. </w:t>
      </w:r>
      <w:r w:rsidR="00122A9E" w:rsidRPr="00660766">
        <w:rPr>
          <w:rFonts w:ascii="Palatino Linotype" w:eastAsia="Palatino Linotype" w:hAnsi="Palatino Linotype" w:cs="Palatino Linotype"/>
          <w:b/>
          <w:sz w:val="22"/>
          <w:szCs w:val="22"/>
        </w:rPr>
        <w:t xml:space="preserve">Cierre de instrucción. </w:t>
      </w:r>
      <w:r w:rsidR="00122A9E" w:rsidRPr="00660766">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003E111F" w:rsidRPr="00660766">
        <w:rPr>
          <w:rFonts w:ascii="Palatino Linotype" w:eastAsia="Palatino Linotype" w:hAnsi="Palatino Linotype" w:cs="Palatino Linotype"/>
          <w:b/>
          <w:bCs/>
          <w:sz w:val="22"/>
          <w:szCs w:val="22"/>
        </w:rPr>
        <w:t>d</w:t>
      </w:r>
      <w:r w:rsidRPr="00660766">
        <w:rPr>
          <w:rFonts w:ascii="Palatino Linotype" w:eastAsia="Palatino Linotype" w:hAnsi="Palatino Linotype" w:cs="Palatino Linotype"/>
          <w:b/>
          <w:bCs/>
          <w:sz w:val="22"/>
          <w:szCs w:val="22"/>
        </w:rPr>
        <w:t xml:space="preserve">oce de agosto </w:t>
      </w:r>
      <w:r w:rsidR="00122A9E" w:rsidRPr="00660766">
        <w:rPr>
          <w:rFonts w:ascii="Palatino Linotype" w:eastAsia="Palatino Linotype" w:hAnsi="Palatino Linotype" w:cs="Palatino Linotype"/>
          <w:b/>
          <w:sz w:val="22"/>
          <w:szCs w:val="22"/>
        </w:rPr>
        <w:t>de dos mil veintiséis</w:t>
      </w:r>
      <w:r w:rsidR="00122A9E" w:rsidRPr="00660766">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04508E1E" w14:textId="7661AF36" w:rsidR="00CD4734" w:rsidRPr="00660766" w:rsidRDefault="005F7503"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sz w:val="22"/>
          <w:szCs w:val="22"/>
        </w:rPr>
        <w:t>8</w:t>
      </w:r>
      <w:r w:rsidR="00122A9E" w:rsidRPr="00660766">
        <w:rPr>
          <w:rFonts w:ascii="Palatino Linotype" w:eastAsia="Palatino Linotype" w:hAnsi="Palatino Linotype" w:cs="Palatino Linotype"/>
          <w:b/>
          <w:sz w:val="22"/>
          <w:szCs w:val="22"/>
        </w:rPr>
        <w:t xml:space="preserve">. </w:t>
      </w:r>
      <w:r w:rsidR="00CD4734" w:rsidRPr="00660766">
        <w:rPr>
          <w:rFonts w:ascii="Palatino Linotype" w:eastAsia="Palatino Linotype" w:hAnsi="Palatino Linotype" w:cs="Palatino Linotype"/>
          <w:b/>
          <w:sz w:val="22"/>
          <w:szCs w:val="22"/>
        </w:rPr>
        <w:t>Ampliación del término para resolver</w:t>
      </w:r>
      <w:r w:rsidR="00CD4734" w:rsidRPr="00660766">
        <w:rPr>
          <w:rFonts w:ascii="Palatino Linotype" w:eastAsia="Palatino Linotype" w:hAnsi="Palatino Linotype" w:cs="Palatino Linotype"/>
          <w:sz w:val="22"/>
          <w:szCs w:val="22"/>
        </w:rPr>
        <w:t xml:space="preserve">. El </w:t>
      </w:r>
      <w:r w:rsidRPr="00660766">
        <w:rPr>
          <w:rFonts w:ascii="Palatino Linotype" w:eastAsia="Palatino Linotype" w:hAnsi="Palatino Linotype" w:cs="Palatino Linotype"/>
          <w:b/>
          <w:bCs/>
          <w:sz w:val="22"/>
          <w:szCs w:val="22"/>
        </w:rPr>
        <w:t>doce de agosto</w:t>
      </w:r>
      <w:r w:rsidR="00060351" w:rsidRPr="00660766">
        <w:rPr>
          <w:rFonts w:ascii="Palatino Linotype" w:eastAsia="Palatino Linotype" w:hAnsi="Palatino Linotype" w:cs="Palatino Linotype"/>
          <w:b/>
          <w:bCs/>
          <w:sz w:val="22"/>
          <w:szCs w:val="22"/>
        </w:rPr>
        <w:t xml:space="preserve"> </w:t>
      </w:r>
      <w:r w:rsidR="00CD4734" w:rsidRPr="00660766">
        <w:rPr>
          <w:rFonts w:ascii="Palatino Linotype" w:eastAsia="Palatino Linotype" w:hAnsi="Palatino Linotype" w:cs="Palatino Linotype"/>
          <w:b/>
          <w:bCs/>
          <w:sz w:val="22"/>
          <w:szCs w:val="22"/>
        </w:rPr>
        <w:t>de dos mil veintiséis</w:t>
      </w:r>
      <w:r w:rsidR="00CD4734" w:rsidRPr="00660766">
        <w:rPr>
          <w:rFonts w:ascii="Palatino Linotype" w:eastAsia="Palatino Linotype" w:hAnsi="Palatino Linotype" w:cs="Palatino Linotype"/>
          <w:sz w:val="22"/>
          <w:szCs w:val="22"/>
        </w:rPr>
        <w:t xml:space="preserve">, se amplió el término para resolver el recurso de revisión en términos del artículo 181 párrafo tercero de la Ley de Transparencia y Acceso a la Información Pública del Estado de México y Municipios. </w:t>
      </w:r>
    </w:p>
    <w:p w14:paraId="0A66F519" w14:textId="54F5B78C"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2AD56F5D" w14:textId="77777777" w:rsidR="005A75CA" w:rsidRPr="00660766" w:rsidRDefault="00E96B90" w:rsidP="009708D6">
      <w:pPr>
        <w:widowControl w:val="0"/>
        <w:spacing w:before="240" w:after="240" w:line="360" w:lineRule="auto"/>
        <w:jc w:val="center"/>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t>II. C O N S I D E R A N D O S</w:t>
      </w:r>
    </w:p>
    <w:p w14:paraId="591E0DDD" w14:textId="70ECD718"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sz w:val="22"/>
          <w:szCs w:val="22"/>
        </w:rPr>
        <w:t>Primero. Competencia.</w:t>
      </w:r>
      <w:r w:rsidRPr="00660766">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w:t>
      </w:r>
      <w:r w:rsidR="00170F4F" w:rsidRPr="00660766">
        <w:rPr>
          <w:rFonts w:ascii="Palatino Linotype" w:eastAsia="Palatino Linotype" w:hAnsi="Palatino Linotype" w:cs="Palatino Linotype"/>
          <w:sz w:val="22"/>
          <w:szCs w:val="22"/>
        </w:rPr>
        <w:t xml:space="preserve"> 5 párrafos cuadragésimo cuarto, cuadragésimo quinto y cuadragésimo sexto, fracciones IV y V de la Constitución Política del Estado Libre y Soberano de México; transitorio Cuarto del Decreto número 198 de la “LXII” Legislatura del Estado de México</w:t>
      </w:r>
      <w:r w:rsidRPr="00660766">
        <w:rPr>
          <w:rFonts w:ascii="Palatino Linotype" w:eastAsia="Palatino Linotype" w:hAnsi="Palatino Linotype" w:cs="Palatino Linotype"/>
          <w:sz w:val="22"/>
          <w:szCs w:val="22"/>
        </w:rPr>
        <w:t>;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0208CE6F" w14:textId="77777777" w:rsidR="00BC7DDC" w:rsidRPr="00660766" w:rsidRDefault="00BC7DDC" w:rsidP="009708D6">
      <w:pPr>
        <w:spacing w:before="240" w:after="240" w:line="360" w:lineRule="auto"/>
        <w:jc w:val="both"/>
        <w:rPr>
          <w:rFonts w:ascii="Palatino Linotype" w:eastAsia="Palatino Linotype" w:hAnsi="Palatino Linotype" w:cs="Palatino Linotype"/>
          <w:sz w:val="22"/>
          <w:szCs w:val="22"/>
        </w:rPr>
      </w:pPr>
      <w:bookmarkStart w:id="7" w:name="_heading=h.3znysh7" w:colFirst="0" w:colLast="0"/>
      <w:bookmarkEnd w:id="7"/>
      <w:r w:rsidRPr="00660766">
        <w:rPr>
          <w:rFonts w:ascii="Palatino Linotype" w:eastAsia="Palatino Linotype" w:hAnsi="Palatino Linotype" w:cs="Palatino Linotype"/>
          <w:b/>
          <w:bCs/>
          <w:sz w:val="22"/>
          <w:szCs w:val="22"/>
        </w:rPr>
        <w:t>Segundo. Oportunidad y Procedibilidad del Recurso de Revisión</w:t>
      </w:r>
      <w:r w:rsidRPr="00660766">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26E43ADD" w14:textId="70BC28EB" w:rsidR="00BC7DDC" w:rsidRPr="00660766" w:rsidRDefault="00BC7DDC"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660766">
        <w:rPr>
          <w:rFonts w:ascii="Palatino Linotype" w:eastAsia="Palatino Linotype" w:hAnsi="Palatino Linotype" w:cs="Palatino Linotype"/>
          <w:b/>
          <w:bCs/>
          <w:sz w:val="22"/>
          <w:szCs w:val="22"/>
        </w:rPr>
        <w:t xml:space="preserve">Sujeto Obligado </w:t>
      </w:r>
      <w:r w:rsidRPr="00660766">
        <w:rPr>
          <w:rFonts w:ascii="Palatino Linotype" w:eastAsia="Palatino Linotype" w:hAnsi="Palatino Linotype" w:cs="Palatino Linotype"/>
          <w:sz w:val="22"/>
          <w:szCs w:val="22"/>
        </w:rPr>
        <w:t xml:space="preserve">remitió la respuesta a la solicitud de información el día </w:t>
      </w:r>
      <w:r w:rsidR="005F7503" w:rsidRPr="00660766">
        <w:rPr>
          <w:rFonts w:ascii="Palatino Linotype" w:eastAsia="Palatino Linotype" w:hAnsi="Palatino Linotype" w:cs="Palatino Linotype"/>
          <w:b/>
          <w:bCs/>
          <w:sz w:val="22"/>
          <w:szCs w:val="22"/>
        </w:rPr>
        <w:t>ocho de junio</w:t>
      </w:r>
      <w:r w:rsidR="0024539A" w:rsidRPr="00660766">
        <w:rPr>
          <w:rFonts w:ascii="Palatino Linotype" w:eastAsia="Palatino Linotype" w:hAnsi="Palatino Linotype" w:cs="Palatino Linotype"/>
          <w:b/>
          <w:bCs/>
          <w:sz w:val="22"/>
          <w:szCs w:val="22"/>
        </w:rPr>
        <w:t xml:space="preserve"> de dos mil veintiséis</w:t>
      </w:r>
      <w:r w:rsidRPr="00660766">
        <w:rPr>
          <w:rFonts w:ascii="Palatino Linotype" w:eastAsia="Palatino Linotype" w:hAnsi="Palatino Linotype" w:cs="Palatino Linotype"/>
          <w:b/>
          <w:bCs/>
          <w:sz w:val="22"/>
          <w:szCs w:val="22"/>
        </w:rPr>
        <w:t xml:space="preserve">, </w:t>
      </w:r>
      <w:r w:rsidRPr="00660766">
        <w:rPr>
          <w:rFonts w:ascii="Palatino Linotype" w:eastAsia="Palatino Linotype" w:hAnsi="Palatino Linotype" w:cs="Palatino Linotype"/>
          <w:sz w:val="22"/>
          <w:szCs w:val="22"/>
        </w:rPr>
        <w:t xml:space="preserve">mientras que el recurso de revisión interpuesto por la parte </w:t>
      </w:r>
      <w:r w:rsidRPr="00660766">
        <w:rPr>
          <w:rFonts w:ascii="Palatino Linotype" w:eastAsia="Palatino Linotype" w:hAnsi="Palatino Linotype" w:cs="Palatino Linotype"/>
          <w:b/>
          <w:bCs/>
          <w:sz w:val="22"/>
          <w:szCs w:val="22"/>
        </w:rPr>
        <w:t xml:space="preserve">Recurrente, </w:t>
      </w:r>
      <w:r w:rsidRPr="00660766">
        <w:rPr>
          <w:rFonts w:ascii="Palatino Linotype" w:eastAsia="Palatino Linotype" w:hAnsi="Palatino Linotype" w:cs="Palatino Linotype"/>
          <w:sz w:val="22"/>
          <w:szCs w:val="22"/>
        </w:rPr>
        <w:t>se tuvo por presentado el día</w:t>
      </w:r>
      <w:r w:rsidRPr="00660766">
        <w:rPr>
          <w:rFonts w:ascii="Palatino Linotype" w:eastAsia="Palatino Linotype" w:hAnsi="Palatino Linotype" w:cs="Palatino Linotype"/>
          <w:b/>
          <w:bCs/>
          <w:sz w:val="22"/>
          <w:szCs w:val="22"/>
        </w:rPr>
        <w:t xml:space="preserve"> </w:t>
      </w:r>
      <w:r w:rsidR="005F7503" w:rsidRPr="00660766">
        <w:rPr>
          <w:rFonts w:ascii="Palatino Linotype" w:eastAsia="Palatino Linotype" w:hAnsi="Palatino Linotype" w:cs="Palatino Linotype"/>
          <w:b/>
          <w:sz w:val="22"/>
          <w:szCs w:val="22"/>
        </w:rPr>
        <w:t>diez de junio</w:t>
      </w:r>
      <w:r w:rsidR="0024539A" w:rsidRPr="00660766">
        <w:rPr>
          <w:rFonts w:ascii="Palatino Linotype" w:eastAsia="Palatino Linotype" w:hAnsi="Palatino Linotype" w:cs="Palatino Linotype"/>
          <w:b/>
          <w:sz w:val="22"/>
          <w:szCs w:val="22"/>
        </w:rPr>
        <w:t xml:space="preserve"> de dos mil veintiséis</w:t>
      </w:r>
      <w:r w:rsidRPr="00660766">
        <w:rPr>
          <w:rFonts w:ascii="Palatino Linotype" w:eastAsia="Palatino Linotype" w:hAnsi="Palatino Linotype" w:cs="Palatino Linotype"/>
          <w:b/>
          <w:bCs/>
          <w:sz w:val="22"/>
          <w:szCs w:val="22"/>
        </w:rPr>
        <w:t xml:space="preserve">, </w:t>
      </w:r>
      <w:r w:rsidRPr="00660766">
        <w:rPr>
          <w:rFonts w:ascii="Palatino Linotype" w:eastAsia="Palatino Linotype" w:hAnsi="Palatino Linotype" w:cs="Palatino Linotype"/>
          <w:sz w:val="22"/>
          <w:szCs w:val="22"/>
        </w:rPr>
        <w:t>esto es, al</w:t>
      </w:r>
      <w:r w:rsidR="005F7503" w:rsidRPr="00660766">
        <w:rPr>
          <w:rFonts w:ascii="Palatino Linotype" w:eastAsia="Palatino Linotype" w:hAnsi="Palatino Linotype" w:cs="Palatino Linotype"/>
          <w:sz w:val="22"/>
          <w:szCs w:val="22"/>
        </w:rPr>
        <w:t xml:space="preserve"> segundo </w:t>
      </w:r>
      <w:r w:rsidRPr="00660766">
        <w:rPr>
          <w:rFonts w:ascii="Palatino Linotype" w:eastAsia="Palatino Linotype" w:hAnsi="Palatino Linotype" w:cs="Palatino Linotype"/>
          <w:sz w:val="22"/>
          <w:szCs w:val="22"/>
        </w:rPr>
        <w:t>día hábil posterior a aquel en el que tuvo conocimiento de la respuesta impugnada. En este sentido, se concluye que el presente recurso de revisión se encuentra dentro de los márgenes temporales previstos en las disposiciones legales referidas.</w:t>
      </w:r>
    </w:p>
    <w:p w14:paraId="7D395EBD" w14:textId="48545E3D" w:rsidR="00691203" w:rsidRPr="00660766" w:rsidRDefault="00691203"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Además, por cuanto hace a la procedibilidad del recurso de revisión, es de suma importancia señalar que </w:t>
      </w:r>
      <w:r w:rsidRPr="00660766">
        <w:rPr>
          <w:rFonts w:ascii="Palatino Linotype" w:eastAsia="Palatino Linotype" w:hAnsi="Palatino Linotype" w:cs="Palatino Linotype"/>
          <w:bCs/>
          <w:sz w:val="22"/>
          <w:szCs w:val="22"/>
        </w:rPr>
        <w:t>la parte</w:t>
      </w:r>
      <w:r w:rsidRPr="00660766">
        <w:rPr>
          <w:rFonts w:ascii="Palatino Linotype" w:eastAsia="Palatino Linotype" w:hAnsi="Palatino Linotype" w:cs="Palatino Linotype"/>
          <w:b/>
          <w:sz w:val="22"/>
          <w:szCs w:val="22"/>
        </w:rPr>
        <w:t xml:space="preserve"> Recurrente</w:t>
      </w:r>
      <w:r w:rsidRPr="00660766">
        <w:rPr>
          <w:rFonts w:ascii="Palatino Linotype" w:eastAsia="Palatino Linotype" w:hAnsi="Palatino Linotype" w:cs="Palatino Linotype"/>
          <w:sz w:val="22"/>
          <w:szCs w:val="22"/>
        </w:rPr>
        <w:t xml:space="preserve">, no señaló </w:t>
      </w:r>
      <w:r w:rsidRPr="00660766">
        <w:rPr>
          <w:rFonts w:ascii="Palatino Linotype" w:eastAsia="Palatino Linotype" w:hAnsi="Palatino Linotype" w:cs="Palatino Linotype"/>
          <w:b/>
          <w:bCs/>
          <w:sz w:val="22"/>
          <w:szCs w:val="22"/>
        </w:rPr>
        <w:t>nombre</w:t>
      </w:r>
      <w:r w:rsidRPr="00660766">
        <w:rPr>
          <w:rFonts w:ascii="Palatino Linotype" w:eastAsia="Palatino Linotype" w:hAnsi="Palatino Linotype" w:cs="Palatino Linotype"/>
          <w:sz w:val="22"/>
          <w:szCs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1CF464DC" w14:textId="77777777" w:rsidR="00691203" w:rsidRPr="00660766" w:rsidRDefault="00691203" w:rsidP="009708D6">
      <w:pPr>
        <w:spacing w:before="240" w:after="240"/>
        <w:ind w:left="851" w:right="90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Las solicitudes anónimas</w:t>
      </w:r>
      <w:r w:rsidRPr="00660766">
        <w:rPr>
          <w:rFonts w:ascii="Palatino Linotype" w:eastAsia="Palatino Linotype" w:hAnsi="Palatino Linotype" w:cs="Palatino Linotype"/>
          <w:i/>
          <w:sz w:val="22"/>
          <w:szCs w:val="22"/>
        </w:rPr>
        <w:t xml:space="preserve">, con nombre incompleto o </w:t>
      </w:r>
      <w:r w:rsidRPr="00660766">
        <w:rPr>
          <w:rFonts w:ascii="Palatino Linotype" w:eastAsia="Palatino Linotype" w:hAnsi="Palatino Linotype" w:cs="Palatino Linotype"/>
          <w:b/>
          <w:i/>
          <w:sz w:val="22"/>
          <w:szCs w:val="22"/>
        </w:rPr>
        <w:t>seudónimo</w:t>
      </w:r>
      <w:r w:rsidRPr="00660766">
        <w:rPr>
          <w:rFonts w:ascii="Palatino Linotype" w:eastAsia="Palatino Linotype" w:hAnsi="Palatino Linotype" w:cs="Palatino Linotype"/>
          <w:i/>
          <w:sz w:val="22"/>
          <w:szCs w:val="22"/>
        </w:rPr>
        <w:t xml:space="preserve"> serán procedentes para su trámite por parte del sujeto obligado ante quien se presente. No podrá requerirse información adicional con motivo del nombre proporcionado por el solicitante."</w:t>
      </w:r>
    </w:p>
    <w:p w14:paraId="66CE0A7C" w14:textId="77777777" w:rsidR="00691203" w:rsidRPr="00660766" w:rsidRDefault="00691203"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sz w:val="22"/>
          <w:szCs w:val="22"/>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w:t>
      </w:r>
      <w:r w:rsidRPr="00660766">
        <w:rPr>
          <w:rFonts w:ascii="Palatino Linotype" w:eastAsia="Palatino Linotype" w:hAnsi="Palatino Linotype" w:cs="Palatino Linotype"/>
          <w:bCs/>
          <w:sz w:val="22"/>
          <w:szCs w:val="22"/>
        </w:rPr>
        <w:t>el</w:t>
      </w:r>
      <w:r w:rsidRPr="00660766">
        <w:rPr>
          <w:rFonts w:ascii="Palatino Linotype" w:eastAsia="Palatino Linotype" w:hAnsi="Palatino Linotype" w:cs="Palatino Linotype"/>
          <w:b/>
          <w:sz w:val="22"/>
          <w:szCs w:val="22"/>
        </w:rPr>
        <w:t xml:space="preserve"> SAIMEX.</w:t>
      </w:r>
    </w:p>
    <w:p w14:paraId="1B38E422" w14:textId="25633125"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Finalmente, antes de entrar al estudio de la presente resolución es preciso determinar si resulta procedente la interposición del recurso de revisión, toda vez que se actualiza la hipótesis prevista en el artículo 179, fracci</w:t>
      </w:r>
      <w:r w:rsidR="00B16CE8" w:rsidRPr="00660766">
        <w:rPr>
          <w:rFonts w:ascii="Palatino Linotype" w:eastAsia="Palatino Linotype" w:hAnsi="Palatino Linotype" w:cs="Palatino Linotype"/>
          <w:sz w:val="22"/>
          <w:szCs w:val="22"/>
        </w:rPr>
        <w:t>ones I y VIII</w:t>
      </w:r>
      <w:r w:rsidR="0024539A" w:rsidRPr="00660766">
        <w:rPr>
          <w:rFonts w:ascii="Palatino Linotype" w:eastAsia="Palatino Linotype" w:hAnsi="Palatino Linotype" w:cs="Palatino Linotype"/>
          <w:sz w:val="22"/>
          <w:szCs w:val="22"/>
        </w:rPr>
        <w:t xml:space="preserve"> </w:t>
      </w:r>
      <w:r w:rsidRPr="00660766">
        <w:rPr>
          <w:rFonts w:ascii="Palatino Linotype" w:eastAsia="Palatino Linotype" w:hAnsi="Palatino Linotype" w:cs="Palatino Linotype"/>
          <w:sz w:val="22"/>
          <w:szCs w:val="22"/>
        </w:rPr>
        <w:t>de la ley de la materia, que a la letra dice:</w:t>
      </w:r>
    </w:p>
    <w:p w14:paraId="6FB65DE7" w14:textId="77777777" w:rsidR="00C04D06" w:rsidRPr="00660766" w:rsidRDefault="00E96B90" w:rsidP="009708D6">
      <w:pPr>
        <w:spacing w:before="120" w:after="120"/>
        <w:ind w:left="851" w:right="851"/>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 xml:space="preserve">Artículo 179. </w:t>
      </w:r>
      <w:r w:rsidRPr="00660766">
        <w:rPr>
          <w:rFonts w:ascii="Palatino Linotype" w:eastAsia="Palatino Linotype" w:hAnsi="Palatino Linotype" w:cs="Palatino Linotype"/>
          <w:i/>
          <w:sz w:val="22"/>
          <w:szCs w:val="22"/>
        </w:rPr>
        <w:t>El recurso de revisión es un medio de protección que la Ley otorga a los particulares, para hacer valer su derecho de acceso a la información pública, y procederá en contra de las siguientes causas:</w:t>
      </w:r>
    </w:p>
    <w:p w14:paraId="38EBC66E" w14:textId="3873E223" w:rsidR="00B16CE8" w:rsidRPr="00660766" w:rsidRDefault="00B16CE8" w:rsidP="009708D6">
      <w:pPr>
        <w:spacing w:before="120" w:after="120"/>
        <w:ind w:left="851" w:right="851"/>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bCs/>
          <w:i/>
          <w:sz w:val="22"/>
          <w:szCs w:val="22"/>
        </w:rPr>
        <w:t>I.</w:t>
      </w:r>
      <w:r w:rsidRPr="00660766">
        <w:rPr>
          <w:rFonts w:ascii="Palatino Linotype" w:eastAsia="Palatino Linotype" w:hAnsi="Palatino Linotype" w:cs="Palatino Linotype"/>
          <w:i/>
          <w:sz w:val="22"/>
          <w:szCs w:val="22"/>
        </w:rPr>
        <w:t xml:space="preserve"> La negativa a la información solicitada;</w:t>
      </w:r>
    </w:p>
    <w:p w14:paraId="3D99131A" w14:textId="77777777" w:rsidR="00AD7321" w:rsidRPr="00660766" w:rsidRDefault="00AD7321" w:rsidP="009708D6">
      <w:pPr>
        <w:tabs>
          <w:tab w:val="left" w:pos="7938"/>
        </w:tabs>
        <w:spacing w:before="120" w:after="120"/>
        <w:ind w:left="851" w:right="90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p>
    <w:p w14:paraId="5CBDCD83" w14:textId="60B1092C" w:rsidR="00691203" w:rsidRPr="00660766" w:rsidRDefault="00B16CE8"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hAnsi="Palatino Linotype"/>
          <w:b/>
          <w:i/>
          <w:sz w:val="22"/>
          <w:szCs w:val="22"/>
        </w:rPr>
        <w:t xml:space="preserve">VIII. </w:t>
      </w:r>
      <w:r w:rsidRPr="00660766">
        <w:rPr>
          <w:rFonts w:ascii="Palatino Linotype" w:hAnsi="Palatino Linotype"/>
          <w:bCs/>
          <w:i/>
          <w:sz w:val="22"/>
          <w:szCs w:val="22"/>
        </w:rPr>
        <w:t>La notificación, entrega o puesta a disposición de información en una modalidad o formato distinto al solicitado</w:t>
      </w:r>
      <w:r w:rsidRPr="00660766">
        <w:rPr>
          <w:rFonts w:ascii="Palatino Linotype" w:hAnsi="Palatino Linotype"/>
          <w:b/>
          <w:i/>
          <w:sz w:val="22"/>
          <w:szCs w:val="22"/>
        </w:rPr>
        <w:t>;</w:t>
      </w:r>
      <w:r w:rsidR="00691203" w:rsidRPr="00660766">
        <w:rPr>
          <w:rFonts w:ascii="Palatino Linotype" w:hAnsi="Palatino Linotype"/>
          <w:i/>
          <w:sz w:val="22"/>
          <w:szCs w:val="22"/>
        </w:rPr>
        <w:t>;</w:t>
      </w:r>
      <w:r w:rsidR="00691203" w:rsidRPr="00660766">
        <w:rPr>
          <w:rFonts w:ascii="Palatino Linotype" w:eastAsia="Palatino Linotype" w:hAnsi="Palatino Linotype" w:cs="Palatino Linotype"/>
          <w:i/>
          <w:sz w:val="22"/>
          <w:szCs w:val="22"/>
        </w:rPr>
        <w:t>”</w:t>
      </w:r>
    </w:p>
    <w:p w14:paraId="108CFBAE" w14:textId="652B3521" w:rsidR="005A75CA" w:rsidRPr="00660766" w:rsidRDefault="003A53D5" w:rsidP="009708D6">
      <w:pPr>
        <w:tabs>
          <w:tab w:val="left" w:pos="7938"/>
        </w:tabs>
        <w:spacing w:before="120" w:after="120"/>
        <w:ind w:left="851" w:right="90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00E96B90" w:rsidRPr="00660766">
        <w:rPr>
          <w:rFonts w:ascii="Palatino Linotype" w:eastAsia="Palatino Linotype" w:hAnsi="Palatino Linotype" w:cs="Palatino Linotype"/>
          <w:i/>
          <w:sz w:val="22"/>
          <w:szCs w:val="22"/>
        </w:rPr>
        <w:t>;</w:t>
      </w:r>
    </w:p>
    <w:p w14:paraId="12A9D239" w14:textId="77777777" w:rsidR="005A75CA" w:rsidRPr="00660766" w:rsidRDefault="00E96B90"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t xml:space="preserve">Tercero. Materia de la revisión. </w:t>
      </w:r>
      <w:r w:rsidRPr="00660766">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660766">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660766">
        <w:rPr>
          <w:rFonts w:ascii="Palatino Linotype" w:eastAsia="Palatino Linotype" w:hAnsi="Palatino Linotype" w:cs="Palatino Linotype"/>
          <w:sz w:val="22"/>
          <w:szCs w:val="22"/>
        </w:rPr>
        <w:t xml:space="preserve">de la parte </w:t>
      </w:r>
      <w:r w:rsidRPr="00660766">
        <w:rPr>
          <w:rFonts w:ascii="Palatino Linotype" w:eastAsia="Palatino Linotype" w:hAnsi="Palatino Linotype" w:cs="Palatino Linotype"/>
          <w:b/>
          <w:sz w:val="22"/>
          <w:szCs w:val="22"/>
        </w:rPr>
        <w:t>Recurrente</w:t>
      </w:r>
      <w:r w:rsidRPr="00660766">
        <w:rPr>
          <w:rFonts w:ascii="Palatino Linotype" w:eastAsia="Palatino Linotype" w:hAnsi="Palatino Linotype" w:cs="Palatino Linotype"/>
          <w:sz w:val="22"/>
          <w:szCs w:val="22"/>
        </w:rPr>
        <w:t>, o en su defecto, en caso de ser procedente, ordenar la entrega de información.</w:t>
      </w:r>
    </w:p>
    <w:p w14:paraId="17F2A1BC" w14:textId="77777777"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bookmarkStart w:id="8" w:name="_heading=h.2et92p0" w:colFirst="0" w:colLast="0"/>
      <w:bookmarkEnd w:id="8"/>
      <w:r w:rsidRPr="00660766">
        <w:rPr>
          <w:rFonts w:ascii="Palatino Linotype" w:eastAsia="Palatino Linotype" w:hAnsi="Palatino Linotype" w:cs="Palatino Linotype"/>
          <w:b/>
          <w:sz w:val="22"/>
          <w:szCs w:val="22"/>
        </w:rPr>
        <w:t xml:space="preserve">Cuarto. Estudio del asunto. </w:t>
      </w:r>
      <w:r w:rsidRPr="00660766">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523378A5"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Artículo 4</w:t>
      </w:r>
      <w:r w:rsidRPr="00660766">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1BA8397F"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660766">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1FB271AA"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660766">
        <w:rPr>
          <w:rFonts w:ascii="Palatino Linotype" w:eastAsia="Palatino Linotype" w:hAnsi="Palatino Linotype" w:cs="Palatino Linotype"/>
          <w:i/>
          <w:sz w:val="22"/>
          <w:szCs w:val="22"/>
        </w:rPr>
        <w:t>.”</w:t>
      </w:r>
    </w:p>
    <w:p w14:paraId="1BBF46E6" w14:textId="77777777"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140FAB9E"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“Artículo 12.-</w:t>
      </w:r>
      <w:r w:rsidRPr="00660766">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38377982"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433D310A" w14:textId="77777777" w:rsidR="005A75CA" w:rsidRPr="00660766" w:rsidRDefault="00E96B90" w:rsidP="009708D6">
      <w:pPr>
        <w:spacing w:before="240" w:after="240" w:line="360" w:lineRule="auto"/>
        <w:ind w:right="-93"/>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1D8F2B0B" w14:textId="77777777" w:rsidR="005A75CA" w:rsidRPr="00660766" w:rsidRDefault="00E96B90"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660766">
        <w:rPr>
          <w:rFonts w:ascii="Palatino Linotype" w:eastAsia="Palatino Linotype" w:hAnsi="Palatino Linotype" w:cs="Palatino Linotype"/>
          <w:b/>
          <w:sz w:val="22"/>
          <w:szCs w:val="22"/>
        </w:rPr>
        <w:t xml:space="preserve"> </w:t>
      </w:r>
    </w:p>
    <w:p w14:paraId="187319BE"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b/>
          <w:i/>
          <w:sz w:val="22"/>
          <w:szCs w:val="22"/>
        </w:rPr>
        <w:t>No existe obligación de elaborar documentos ad hoc para atender las solicitudes de acceso a la información.</w:t>
      </w:r>
      <w:r w:rsidRPr="00660766">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12AF5236" w14:textId="77777777" w:rsidR="005A75CA" w:rsidRPr="00660766" w:rsidRDefault="00E96B90" w:rsidP="009708D6">
      <w:pPr>
        <w:spacing w:before="120" w:after="12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6AF1A054" w14:textId="77777777" w:rsidR="005A75CA" w:rsidRPr="00660766" w:rsidRDefault="00E96B90" w:rsidP="009708D6">
      <w:pPr>
        <w:spacing w:before="120" w:after="12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2A0B7FE"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 xml:space="preserve">Artículo 3. </w:t>
      </w:r>
      <w:r w:rsidRPr="00660766">
        <w:rPr>
          <w:rFonts w:ascii="Palatino Linotype" w:eastAsia="Palatino Linotype" w:hAnsi="Palatino Linotype" w:cs="Palatino Linotype"/>
          <w:i/>
          <w:sz w:val="22"/>
          <w:szCs w:val="22"/>
        </w:rPr>
        <w:t>Para los efectos de la presente Ley se entenderá por:</w:t>
      </w:r>
    </w:p>
    <w:p w14:paraId="7ABF6050"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p>
    <w:p w14:paraId="1ADEE37D"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XI. Documento:</w:t>
      </w:r>
      <w:r w:rsidRPr="00660766">
        <w:rPr>
          <w:rFonts w:ascii="Palatino Linotype" w:eastAsia="Palatino Linotype" w:hAnsi="Palatino Linotype" w:cs="Palatino Linotype"/>
          <w:i/>
          <w:sz w:val="22"/>
          <w:szCs w:val="22"/>
        </w:rPr>
        <w:t xml:space="preserve"> Los expedientes, reportes, estudios, actas</w:t>
      </w:r>
      <w:r w:rsidRPr="00660766">
        <w:rPr>
          <w:rFonts w:ascii="Palatino Linotype" w:eastAsia="Palatino Linotype" w:hAnsi="Palatino Linotype" w:cs="Palatino Linotype"/>
          <w:b/>
          <w:i/>
          <w:sz w:val="22"/>
          <w:szCs w:val="22"/>
        </w:rPr>
        <w:t>,</w:t>
      </w:r>
      <w:r w:rsidRPr="00660766">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73C9E0CA" w14:textId="77777777"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22C18FEF"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sz w:val="22"/>
          <w:szCs w:val="22"/>
        </w:rPr>
        <w:t>“</w:t>
      </w:r>
      <w:r w:rsidRPr="00660766">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660766">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6BB82B0"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129182FD"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735AF0DC"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02D716AC" w14:textId="77777777" w:rsidR="005A75CA" w:rsidRPr="00660766" w:rsidRDefault="00E96B9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108D6395" w14:textId="77777777" w:rsidR="005A75CA" w:rsidRPr="00660766" w:rsidRDefault="00E96B90"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1B320D38" w14:textId="77777777"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081431D0" w14:textId="77777777" w:rsidR="00C04D06" w:rsidRPr="00660766" w:rsidRDefault="00C04D06"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660766">
        <w:rPr>
          <w:rFonts w:ascii="Palatino Linotype" w:eastAsia="Palatino Linotype" w:hAnsi="Palatino Linotype" w:cs="Palatino Linotype"/>
          <w:b/>
          <w:bCs/>
          <w:sz w:val="22"/>
          <w:szCs w:val="22"/>
        </w:rPr>
        <w:t>Recurrente</w:t>
      </w:r>
      <w:r w:rsidRPr="00660766">
        <w:rPr>
          <w:rFonts w:ascii="Palatino Linotype" w:eastAsia="Palatino Linotype" w:hAnsi="Palatino Linotype" w:cs="Palatino Linotype"/>
          <w:sz w:val="22"/>
          <w:szCs w:val="22"/>
        </w:rPr>
        <w:t xml:space="preserve"> requirió al </w:t>
      </w:r>
      <w:r w:rsidRPr="00660766">
        <w:rPr>
          <w:rFonts w:ascii="Palatino Linotype" w:eastAsia="Palatino Linotype" w:hAnsi="Palatino Linotype" w:cs="Palatino Linotype"/>
          <w:b/>
          <w:bCs/>
          <w:sz w:val="22"/>
          <w:szCs w:val="22"/>
        </w:rPr>
        <w:t xml:space="preserve">Sujeto Obligado </w:t>
      </w:r>
      <w:r w:rsidRPr="00660766">
        <w:rPr>
          <w:rFonts w:ascii="Palatino Linotype" w:eastAsia="Palatino Linotype" w:hAnsi="Palatino Linotype" w:cs="Palatino Linotype"/>
          <w:sz w:val="22"/>
          <w:szCs w:val="22"/>
        </w:rPr>
        <w:t>le proporcione, información consistente en lo siguiente:</w:t>
      </w:r>
    </w:p>
    <w:p w14:paraId="2587A1FF" w14:textId="6A5F47EA" w:rsidR="001313C3" w:rsidRPr="00660766" w:rsidRDefault="008178BC" w:rsidP="001313C3">
      <w:pPr>
        <w:spacing w:before="120" w:after="120" w:line="360" w:lineRule="auto"/>
        <w:ind w:left="426"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1</w:t>
      </w:r>
      <w:r w:rsidR="00AD7321" w:rsidRPr="00660766">
        <w:rPr>
          <w:rFonts w:ascii="Palatino Linotype" w:eastAsia="Palatino Linotype" w:hAnsi="Palatino Linotype" w:cs="Palatino Linotype"/>
          <w:sz w:val="22"/>
          <w:szCs w:val="22"/>
        </w:rPr>
        <w:t xml:space="preserve">. </w:t>
      </w:r>
      <w:r w:rsidR="001313C3" w:rsidRPr="00660766">
        <w:rPr>
          <w:rFonts w:ascii="Palatino Linotype" w:eastAsia="Palatino Linotype" w:hAnsi="Palatino Linotype" w:cs="Palatino Linotype"/>
          <w:sz w:val="22"/>
          <w:szCs w:val="22"/>
        </w:rPr>
        <w:t>Los contratos, facturas y documentación comprobatoria relacionada con el gasto en eventos oficiales durante el periodo 2024</w:t>
      </w:r>
      <w:r w:rsidR="002C6957" w:rsidRPr="00660766">
        <w:rPr>
          <w:rFonts w:ascii="Palatino Linotype" w:eastAsia="Palatino Linotype" w:hAnsi="Palatino Linotype" w:cs="Palatino Linotype"/>
          <w:sz w:val="22"/>
          <w:szCs w:val="22"/>
        </w:rPr>
        <w:t>.</w:t>
      </w:r>
    </w:p>
    <w:p w14:paraId="44B0D5B8" w14:textId="2BF0F5DA" w:rsidR="00285FC2" w:rsidRPr="00660766" w:rsidRDefault="001E3C46" w:rsidP="009708D6">
      <w:pPr>
        <w:spacing w:before="240" w:after="240" w:line="360" w:lineRule="auto"/>
        <w:ind w:right="49"/>
        <w:jc w:val="both"/>
        <w:rPr>
          <w:rFonts w:ascii="Palatino Linotype" w:hAnsi="Palatino Linotype" w:cs="Arial"/>
          <w:sz w:val="22"/>
          <w:szCs w:val="22"/>
          <w:lang w:val="es-ES"/>
        </w:rPr>
      </w:pPr>
      <w:r w:rsidRPr="00660766">
        <w:rPr>
          <w:rFonts w:ascii="Palatino Linotype" w:eastAsia="Palatino Linotype" w:hAnsi="Palatino Linotype" w:cs="Palatino Linotype"/>
          <w:sz w:val="22"/>
          <w:szCs w:val="22"/>
        </w:rPr>
        <w:t>En respuesta a la solicitud,</w:t>
      </w:r>
      <w:r w:rsidR="00686B04" w:rsidRPr="00660766">
        <w:rPr>
          <w:rFonts w:ascii="Palatino Linotype" w:eastAsia="Palatino Linotype" w:hAnsi="Palatino Linotype" w:cs="Palatino Linotype"/>
          <w:sz w:val="22"/>
          <w:szCs w:val="22"/>
        </w:rPr>
        <w:t xml:space="preserve"> </w:t>
      </w:r>
      <w:r w:rsidR="00285FC2" w:rsidRPr="00660766">
        <w:rPr>
          <w:rFonts w:ascii="Palatino Linotype" w:eastAsia="Palatino Linotype" w:hAnsi="Palatino Linotype" w:cs="Palatino Linotype"/>
          <w:sz w:val="22"/>
          <w:szCs w:val="22"/>
        </w:rPr>
        <w:t xml:space="preserve">el </w:t>
      </w:r>
      <w:r w:rsidR="00285FC2" w:rsidRPr="00660766">
        <w:rPr>
          <w:rFonts w:ascii="Palatino Linotype" w:eastAsia="Palatino Linotype" w:hAnsi="Palatino Linotype" w:cs="Palatino Linotype"/>
          <w:b/>
          <w:bCs/>
          <w:sz w:val="22"/>
          <w:szCs w:val="22"/>
        </w:rPr>
        <w:t xml:space="preserve">Sujeto Obligado, </w:t>
      </w:r>
      <w:r w:rsidR="00285FC2" w:rsidRPr="00660766">
        <w:rPr>
          <w:rFonts w:ascii="Palatino Linotype" w:eastAsia="Palatino Linotype" w:hAnsi="Palatino Linotype" w:cs="Palatino Linotype"/>
          <w:sz w:val="22"/>
          <w:szCs w:val="22"/>
        </w:rPr>
        <w:t xml:space="preserve">por conducto de la </w:t>
      </w:r>
      <w:r w:rsidR="00BB6ECF" w:rsidRPr="00660766">
        <w:rPr>
          <w:rFonts w:ascii="Palatino Linotype" w:eastAsia="Palatino Linotype" w:hAnsi="Palatino Linotype" w:cs="Palatino Linotype"/>
          <w:sz w:val="22"/>
          <w:szCs w:val="22"/>
        </w:rPr>
        <w:t>Tesorería municipal</w:t>
      </w:r>
      <w:r w:rsidR="00285FC2" w:rsidRPr="00660766">
        <w:rPr>
          <w:rFonts w:ascii="Palatino Linotype" w:eastAsia="Palatino Linotype" w:hAnsi="Palatino Linotype" w:cs="Palatino Linotype"/>
          <w:sz w:val="22"/>
          <w:szCs w:val="22"/>
        </w:rPr>
        <w:t xml:space="preserve">, propuso el cambio de modalidad en la entrega de la información a consulta directa, argumentando que el </w:t>
      </w:r>
      <w:r w:rsidR="00285FC2" w:rsidRPr="00660766">
        <w:rPr>
          <w:rFonts w:ascii="Palatino Linotype" w:hAnsi="Palatino Linotype" w:cs="Arial"/>
          <w:sz w:val="22"/>
          <w:szCs w:val="22"/>
          <w:lang w:val="es-ES"/>
        </w:rPr>
        <w:t xml:space="preserve">procesamiento de la información solicitada, en diversas solicitudes presentadas el mismo día, hora, sin datos del recurrente y sobre el mismo tema,  implica digitalizar, recopilación de la información, selección y búsqueda, asimismo que </w:t>
      </w:r>
      <w:r w:rsidR="00E40308" w:rsidRPr="00660766">
        <w:rPr>
          <w:rFonts w:ascii="Palatino Linotype" w:hAnsi="Palatino Linotype" w:cs="Arial"/>
          <w:sz w:val="22"/>
          <w:szCs w:val="22"/>
          <w:lang w:val="es-ES"/>
        </w:rPr>
        <w:t xml:space="preserve">la cantidad de recursos humanos y </w:t>
      </w:r>
      <w:r w:rsidR="00285FC2" w:rsidRPr="00660766">
        <w:rPr>
          <w:rFonts w:ascii="Palatino Linotype" w:hAnsi="Palatino Linotype" w:cs="Arial"/>
          <w:sz w:val="22"/>
          <w:szCs w:val="22"/>
          <w:lang w:val="es-ES"/>
        </w:rPr>
        <w:t>materiales</w:t>
      </w:r>
      <w:r w:rsidR="00E40308" w:rsidRPr="00660766">
        <w:rPr>
          <w:rFonts w:ascii="Palatino Linotype" w:hAnsi="Palatino Linotype" w:cs="Arial"/>
          <w:sz w:val="22"/>
          <w:szCs w:val="22"/>
          <w:lang w:val="es-ES"/>
        </w:rPr>
        <w:t xml:space="preserve"> </w:t>
      </w:r>
      <w:r w:rsidR="00285FC2" w:rsidRPr="00660766">
        <w:rPr>
          <w:rFonts w:ascii="Palatino Linotype" w:hAnsi="Palatino Linotype" w:cs="Arial"/>
          <w:sz w:val="22"/>
          <w:szCs w:val="22"/>
          <w:lang w:val="es-ES"/>
        </w:rPr>
        <w:t xml:space="preserve">con los que cuenta el </w:t>
      </w:r>
      <w:r w:rsidR="00285FC2" w:rsidRPr="00660766">
        <w:rPr>
          <w:rFonts w:ascii="Palatino Linotype" w:hAnsi="Palatino Linotype" w:cs="Arial"/>
          <w:b/>
          <w:sz w:val="22"/>
          <w:szCs w:val="22"/>
          <w:lang w:val="es-ES"/>
        </w:rPr>
        <w:t>Sujeto Obligado</w:t>
      </w:r>
      <w:r w:rsidR="00E40308" w:rsidRPr="00660766">
        <w:rPr>
          <w:rFonts w:ascii="Palatino Linotype" w:hAnsi="Palatino Linotype" w:cs="Arial"/>
          <w:sz w:val="22"/>
          <w:szCs w:val="22"/>
          <w:lang w:val="es-ES"/>
        </w:rPr>
        <w:t xml:space="preserve">, así como y el tiempo para dar respuesta </w:t>
      </w:r>
      <w:r w:rsidR="00285FC2" w:rsidRPr="00660766">
        <w:rPr>
          <w:rFonts w:ascii="Palatino Linotype" w:hAnsi="Palatino Linotype" w:cs="Arial"/>
          <w:sz w:val="22"/>
          <w:szCs w:val="22"/>
          <w:lang w:val="es-ES"/>
        </w:rPr>
        <w:t>son insuficientes, para entrega</w:t>
      </w:r>
      <w:r w:rsidR="00E40308" w:rsidRPr="00660766">
        <w:rPr>
          <w:rFonts w:ascii="Palatino Linotype" w:hAnsi="Palatino Linotype" w:cs="Arial"/>
          <w:sz w:val="22"/>
          <w:szCs w:val="22"/>
          <w:lang w:val="es-ES"/>
        </w:rPr>
        <w:t>r</w:t>
      </w:r>
      <w:r w:rsidR="00285FC2" w:rsidRPr="00660766">
        <w:rPr>
          <w:rFonts w:ascii="Palatino Linotype" w:hAnsi="Palatino Linotype" w:cs="Arial"/>
          <w:sz w:val="22"/>
          <w:szCs w:val="22"/>
          <w:lang w:val="es-ES"/>
        </w:rPr>
        <w:t xml:space="preserve"> solicitado</w:t>
      </w:r>
      <w:r w:rsidR="00E40308" w:rsidRPr="00660766">
        <w:rPr>
          <w:rFonts w:ascii="Palatino Linotype" w:hAnsi="Palatino Linotype" w:cs="Arial"/>
          <w:sz w:val="22"/>
          <w:szCs w:val="22"/>
          <w:lang w:val="es-ES"/>
        </w:rPr>
        <w:t xml:space="preserve"> en las diversas solicitudes, en las cuales el total de hojas </w:t>
      </w:r>
      <w:r w:rsidR="00285FC2" w:rsidRPr="00660766">
        <w:rPr>
          <w:rFonts w:ascii="Palatino Linotype" w:hAnsi="Palatino Linotype" w:cs="Arial"/>
          <w:sz w:val="22"/>
          <w:szCs w:val="22"/>
          <w:lang w:val="es-ES"/>
        </w:rPr>
        <w:t>sobrepasa las 8,000 hojas.</w:t>
      </w:r>
    </w:p>
    <w:p w14:paraId="7595D19B" w14:textId="77777777" w:rsidR="00285FC2" w:rsidRPr="00660766" w:rsidRDefault="00285FC2"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w:t>
      </w:r>
      <w:r w:rsidR="001E3C46" w:rsidRPr="00660766">
        <w:rPr>
          <w:rFonts w:ascii="Palatino Linotype" w:eastAsia="Palatino Linotype" w:hAnsi="Palatino Linotype" w:cs="Palatino Linotype"/>
          <w:sz w:val="22"/>
          <w:szCs w:val="22"/>
        </w:rPr>
        <w:t xml:space="preserve">l no estar conforme con los términos de la respuesta proporcionada en primera instancia, la parte </w:t>
      </w:r>
      <w:r w:rsidR="001E3C46" w:rsidRPr="00660766">
        <w:rPr>
          <w:rFonts w:ascii="Palatino Linotype" w:eastAsia="Palatino Linotype" w:hAnsi="Palatino Linotype" w:cs="Palatino Linotype"/>
          <w:b/>
          <w:bCs/>
          <w:sz w:val="22"/>
          <w:szCs w:val="22"/>
        </w:rPr>
        <w:t xml:space="preserve">Recurrente </w:t>
      </w:r>
      <w:r w:rsidR="001E3C46" w:rsidRPr="00660766">
        <w:rPr>
          <w:rFonts w:ascii="Palatino Linotype" w:eastAsia="Palatino Linotype" w:hAnsi="Palatino Linotype" w:cs="Palatino Linotype"/>
          <w:sz w:val="22"/>
          <w:szCs w:val="22"/>
        </w:rPr>
        <w:t xml:space="preserve">interpuso el recurso de revisión que nos ocupa, en el que alegó que el </w:t>
      </w:r>
      <w:r w:rsidR="001E3C46" w:rsidRPr="00660766">
        <w:rPr>
          <w:rFonts w:ascii="Palatino Linotype" w:eastAsia="Palatino Linotype" w:hAnsi="Palatino Linotype" w:cs="Palatino Linotype"/>
          <w:b/>
          <w:bCs/>
          <w:sz w:val="22"/>
          <w:szCs w:val="22"/>
        </w:rPr>
        <w:t>Sujeto Obligado</w:t>
      </w:r>
      <w:r w:rsidR="001E3C46" w:rsidRPr="00660766">
        <w:rPr>
          <w:rFonts w:ascii="Palatino Linotype" w:eastAsia="Palatino Linotype" w:hAnsi="Palatino Linotype" w:cs="Palatino Linotype"/>
          <w:sz w:val="22"/>
          <w:szCs w:val="22"/>
        </w:rPr>
        <w:t xml:space="preserve"> </w:t>
      </w:r>
      <w:r w:rsidRPr="00660766">
        <w:rPr>
          <w:rFonts w:ascii="Palatino Linotype" w:eastAsia="Palatino Linotype" w:hAnsi="Palatino Linotype" w:cs="Palatino Linotype"/>
          <w:sz w:val="22"/>
          <w:szCs w:val="22"/>
        </w:rPr>
        <w:t>no atendió solicitud, por lo que reiteró la misma en sus términos.</w:t>
      </w:r>
    </w:p>
    <w:p w14:paraId="31E29726" w14:textId="52386701" w:rsidR="00285FC2" w:rsidRPr="00660766" w:rsidRDefault="00F525A1"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la etapa de manifestaciones el </w:t>
      </w:r>
      <w:r w:rsidRPr="00660766">
        <w:rPr>
          <w:rFonts w:ascii="Palatino Linotype" w:eastAsia="Palatino Linotype" w:hAnsi="Palatino Linotype" w:cs="Palatino Linotype"/>
          <w:b/>
          <w:bCs/>
          <w:sz w:val="22"/>
          <w:szCs w:val="22"/>
        </w:rPr>
        <w:t>Sujeto Obligado</w:t>
      </w:r>
      <w:r w:rsidR="00285FC2" w:rsidRPr="00660766">
        <w:rPr>
          <w:rFonts w:ascii="Palatino Linotype" w:eastAsia="Palatino Linotype" w:hAnsi="Palatino Linotype" w:cs="Palatino Linotype"/>
          <w:b/>
          <w:bCs/>
          <w:sz w:val="22"/>
          <w:szCs w:val="22"/>
        </w:rPr>
        <w:t xml:space="preserve"> </w:t>
      </w:r>
      <w:r w:rsidR="00285FC2" w:rsidRPr="00660766">
        <w:rPr>
          <w:rFonts w:ascii="Palatino Linotype" w:eastAsia="Palatino Linotype" w:hAnsi="Palatino Linotype" w:cs="Palatino Linotype"/>
          <w:sz w:val="22"/>
          <w:szCs w:val="22"/>
        </w:rPr>
        <w:t>hizo entrega del Acta de la Vigésima Segunda Sesión Ordinaria del Comité de Transparencia, en cuyo Décimo Quinto punto del orden del día se sometió a consideración de los integrantes la propuesta de cambio de modalidad en la entrega de la información, a consulta directa, confirmándose mediante el acuerdo MEX/CT/SO/JUN/022/180626/A13.</w:t>
      </w:r>
    </w:p>
    <w:p w14:paraId="58EE06D5" w14:textId="693BE648" w:rsidR="00081BEF" w:rsidRPr="00660766" w:rsidRDefault="00285FC2"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Lo anterior, bajo el argumento de que el día veintiocho de abril de dos mil veintiséis, ingresaron un estimado de 40 solicitudes de información por día, siendo en el 95% de ellas para el servidor público habilitado </w:t>
      </w:r>
      <w:r w:rsidR="00081BEF" w:rsidRPr="00660766">
        <w:rPr>
          <w:rFonts w:ascii="Palatino Linotype" w:eastAsia="Palatino Linotype" w:hAnsi="Palatino Linotype" w:cs="Palatino Linotype"/>
          <w:sz w:val="22"/>
          <w:szCs w:val="22"/>
        </w:rPr>
        <w:t>T</w:t>
      </w:r>
      <w:r w:rsidRPr="00660766">
        <w:rPr>
          <w:rFonts w:ascii="Palatino Linotype" w:eastAsia="Palatino Linotype" w:hAnsi="Palatino Linotype" w:cs="Palatino Linotype"/>
          <w:sz w:val="22"/>
          <w:szCs w:val="22"/>
        </w:rPr>
        <w:t>esorería, por lo que</w:t>
      </w:r>
      <w:r w:rsidR="00081BEF" w:rsidRPr="00660766">
        <w:rPr>
          <w:rFonts w:ascii="Palatino Linotype" w:eastAsia="Palatino Linotype" w:hAnsi="Palatino Linotype" w:cs="Palatino Linotype"/>
          <w:sz w:val="22"/>
          <w:szCs w:val="22"/>
        </w:rPr>
        <w:t xml:space="preserve"> dicha unidad administrativa tiene que atender doscientas treinta solicitudes de información, la gran mayoría en un mismo sentido solo teniendo como diferenciador el año del ejercicio fiscal; lo cual implica para la Tesorería una carga de trabajo desproporcionada a sus capacidades el atender cada una de las solicitudes de información, en atención a ello mediante el oficio TM/128/2026 del diecisiete de junio de dos mil veintiséis, solicitó a la Unidad de Transparencia, someter ante el Comité de Transparencia la autorización del cambio de modalidad de entrega de la información, al advertir que la información requerida se encuentra contenida en expedientes físicos integrados por un volumen considerable de documentación, manifestaciones que se robustecen y clarifican con evidencia fotográfica de parte del archivo de la Tesorería Municipal.</w:t>
      </w:r>
    </w:p>
    <w:p w14:paraId="7C85147C" w14:textId="6D25724A" w:rsidR="00081BEF" w:rsidRPr="00660766" w:rsidRDefault="00081BEF"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Asimismo, señaló que para atender modalidad inicialmente elegida</w:t>
      </w:r>
      <w:r w:rsidR="0010370F" w:rsidRPr="00660766">
        <w:rPr>
          <w:rFonts w:ascii="Palatino Linotype" w:eastAsia="Palatino Linotype" w:hAnsi="Palatino Linotype" w:cs="Palatino Linotype"/>
          <w:sz w:val="22"/>
          <w:szCs w:val="22"/>
        </w:rPr>
        <w:t xml:space="preserve"> en las diversas solicitudes presentadas</w:t>
      </w:r>
      <w:r w:rsidRPr="00660766">
        <w:rPr>
          <w:rFonts w:ascii="Palatino Linotype" w:eastAsia="Palatino Linotype" w:hAnsi="Palatino Linotype" w:cs="Palatino Linotype"/>
          <w:sz w:val="22"/>
          <w:szCs w:val="22"/>
        </w:rPr>
        <w:t>, resulta indispensable realizar el proceso de digitalización de un nú</w:t>
      </w:r>
      <w:r w:rsidR="0010370F" w:rsidRPr="00660766">
        <w:rPr>
          <w:rFonts w:ascii="Palatino Linotype" w:eastAsia="Palatino Linotype" w:hAnsi="Palatino Linotype" w:cs="Palatino Linotype"/>
          <w:sz w:val="22"/>
          <w:szCs w:val="22"/>
        </w:rPr>
        <w:t xml:space="preserve">mero tentativo de 8,000 </w:t>
      </w:r>
      <w:r w:rsidRPr="00660766">
        <w:rPr>
          <w:rFonts w:ascii="Palatino Linotype" w:eastAsia="Palatino Linotype" w:hAnsi="Palatino Linotype" w:cs="Palatino Linotype"/>
          <w:sz w:val="22"/>
          <w:szCs w:val="22"/>
        </w:rPr>
        <w:t>fojas, lo que representa una carga material y operativa extraordinaria para el área responsable de la información, ya que actualmente los recursos técnicos y humanos no son suficientes para efectuar el proceso, lo que nos llevaría a la generación de un costo extra poder atender la solicitud de información en los términos que el ciudadano solicita, lo cual implicaría suspender las actividades de varias áreas que afectaría el desarrollo normal de las actividades institucionales, sumando la carga operativa asociada a la digitalización de archivos que representa una inversión excesiva de horas de trabajo del personal lo que vulneraria sus derechos, siendo necesario contratar en modalidad de honorarios a una persona para que lleve a cabo la digitalización de la información, así como el arrendamiento de una maquina exclusiva para llevar a cabo la labor encomendada</w:t>
      </w:r>
      <w:r w:rsidR="004D0072" w:rsidRPr="00660766">
        <w:rPr>
          <w:rFonts w:ascii="Palatino Linotype" w:eastAsia="Palatino Linotype" w:hAnsi="Palatino Linotype" w:cs="Palatino Linotype"/>
          <w:sz w:val="22"/>
          <w:szCs w:val="22"/>
        </w:rPr>
        <w:t xml:space="preserve">, </w:t>
      </w:r>
      <w:r w:rsidRPr="00660766">
        <w:rPr>
          <w:rFonts w:ascii="Palatino Linotype" w:eastAsia="Palatino Linotype" w:hAnsi="Palatino Linotype" w:cs="Palatino Linotype"/>
          <w:sz w:val="22"/>
          <w:szCs w:val="22"/>
        </w:rPr>
        <w:t>lo que generaría un gasto para la hacienda p</w:t>
      </w:r>
      <w:r w:rsidR="004D0072" w:rsidRPr="00660766">
        <w:rPr>
          <w:rFonts w:ascii="Palatino Linotype" w:eastAsia="Palatino Linotype" w:hAnsi="Palatino Linotype" w:cs="Palatino Linotype"/>
          <w:sz w:val="22"/>
          <w:szCs w:val="22"/>
        </w:rPr>
        <w:t>ú</w:t>
      </w:r>
      <w:r w:rsidRPr="00660766">
        <w:rPr>
          <w:rFonts w:ascii="Palatino Linotype" w:eastAsia="Palatino Linotype" w:hAnsi="Palatino Linotype" w:cs="Palatino Linotype"/>
          <w:sz w:val="22"/>
          <w:szCs w:val="22"/>
        </w:rPr>
        <w:t>blica municipal</w:t>
      </w:r>
      <w:r w:rsidR="006518F5" w:rsidRPr="00660766">
        <w:rPr>
          <w:rFonts w:ascii="Palatino Linotype" w:eastAsia="Palatino Linotype" w:hAnsi="Palatino Linotype" w:cs="Palatino Linotype"/>
          <w:sz w:val="22"/>
          <w:szCs w:val="22"/>
        </w:rPr>
        <w:t>.</w:t>
      </w:r>
    </w:p>
    <w:p w14:paraId="4DE19C4C" w14:textId="6F63E2E2" w:rsidR="00F525A1" w:rsidRPr="00660766" w:rsidRDefault="006518F5"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Mientras que </w:t>
      </w:r>
      <w:r w:rsidR="00F525A1" w:rsidRPr="00660766">
        <w:rPr>
          <w:rFonts w:ascii="Palatino Linotype" w:eastAsia="Palatino Linotype" w:hAnsi="Palatino Linotype" w:cs="Palatino Linotype"/>
          <w:sz w:val="22"/>
          <w:szCs w:val="22"/>
        </w:rPr>
        <w:t xml:space="preserve">la parte </w:t>
      </w:r>
      <w:r w:rsidR="00F525A1" w:rsidRPr="00660766">
        <w:rPr>
          <w:rFonts w:ascii="Palatino Linotype" w:eastAsia="Palatino Linotype" w:hAnsi="Palatino Linotype" w:cs="Palatino Linotype"/>
          <w:b/>
          <w:bCs/>
          <w:sz w:val="22"/>
          <w:szCs w:val="22"/>
        </w:rPr>
        <w:t xml:space="preserve">Recurrente </w:t>
      </w:r>
      <w:r w:rsidR="00F525A1" w:rsidRPr="00660766">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14:paraId="52D2EE5A" w14:textId="77777777" w:rsidR="001E3C46" w:rsidRPr="00660766" w:rsidRDefault="001E3C46" w:rsidP="009708D6">
      <w:pPr>
        <w:spacing w:before="280" w:after="28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Una vez establecidas las posturas de las partes, se procede al análisis de los requerimientos de información, así como la información proporcionada por el </w:t>
      </w:r>
      <w:r w:rsidRPr="00660766">
        <w:rPr>
          <w:rFonts w:ascii="Palatino Linotype" w:eastAsia="Palatino Linotype" w:hAnsi="Palatino Linotype" w:cs="Palatino Linotype"/>
          <w:b/>
          <w:sz w:val="22"/>
          <w:szCs w:val="22"/>
        </w:rPr>
        <w:t xml:space="preserve">Sujeto Obligado, </w:t>
      </w:r>
      <w:r w:rsidRPr="00660766">
        <w:rPr>
          <w:rFonts w:ascii="Palatino Linotype" w:eastAsia="Palatino Linotype" w:hAnsi="Palatino Linotype" w:cs="Palatino Linotype"/>
          <w:sz w:val="22"/>
          <w:szCs w:val="22"/>
        </w:rPr>
        <w:t xml:space="preserve">en contraposición con el motivo de inconformidad alegado por la parte </w:t>
      </w:r>
      <w:r w:rsidRPr="00660766">
        <w:rPr>
          <w:rFonts w:ascii="Palatino Linotype" w:eastAsia="Palatino Linotype" w:hAnsi="Palatino Linotype" w:cs="Palatino Linotype"/>
          <w:b/>
          <w:sz w:val="22"/>
          <w:szCs w:val="22"/>
        </w:rPr>
        <w:t xml:space="preserve">Recurrente, </w:t>
      </w:r>
      <w:r w:rsidRPr="00660766">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010EDD2C" w14:textId="77777777" w:rsidR="001E3C46" w:rsidRPr="00660766" w:rsidRDefault="001E3C46"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esta tesitura, de las constancias que integran el expediente electrónico  relacionado con el recurso de revisión materia de estudio, se colige que </w:t>
      </w:r>
      <w:r w:rsidRPr="00660766">
        <w:rPr>
          <w:rFonts w:ascii="Palatino Linotype" w:eastAsia="Palatino Linotype" w:hAnsi="Palatino Linotype" w:cs="Palatino Linotype"/>
          <w:b/>
          <w:sz w:val="22"/>
          <w:szCs w:val="22"/>
        </w:rPr>
        <w:t>el Sujeto Obligado</w:t>
      </w:r>
      <w:r w:rsidRPr="00660766">
        <w:rPr>
          <w:rFonts w:ascii="Palatino Linotype" w:eastAsia="Palatino Linotype" w:hAnsi="Palatino Linotype" w:cs="Palatino Linotype"/>
          <w:sz w:val="22"/>
          <w:szCs w:val="22"/>
        </w:rPr>
        <w:t xml:space="preserve"> no niega la competencia para conocer de la información solicitada, sino por el contrario, con la respuesta pronunciada asevera que es competente para conocer de la solicitud de información</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sz w:val="22"/>
          <w:szCs w:val="22"/>
        </w:rPr>
        <w:t xml:space="preserve">lo anterior es así, ya que el estudio enunciado tiene por objeto determinar si </w:t>
      </w:r>
      <w:r w:rsidRPr="00660766">
        <w:rPr>
          <w:rFonts w:ascii="Palatino Linotype" w:hAnsi="Palatino Linotype"/>
          <w:sz w:val="22"/>
          <w:szCs w:val="22"/>
        </w:rPr>
        <w:t>los</w:t>
      </w:r>
      <w:r w:rsidRPr="00660766">
        <w:rPr>
          <w:rFonts w:ascii="Palatino Linotype" w:eastAsia="Palatino Linotype" w:hAnsi="Palatino Linotype" w:cs="Palatino Linotype"/>
          <w:sz w:val="22"/>
          <w:szCs w:val="22"/>
        </w:rPr>
        <w:t xml:space="preserve"> Sujeto</w:t>
      </w:r>
      <w:r w:rsidRPr="00660766">
        <w:rPr>
          <w:rFonts w:ascii="Palatino Linotype" w:hAnsi="Palatino Linotype"/>
          <w:sz w:val="22"/>
          <w:szCs w:val="22"/>
        </w:rPr>
        <w:t>s</w:t>
      </w:r>
      <w:r w:rsidRPr="00660766">
        <w:rPr>
          <w:rFonts w:ascii="Palatino Linotype" w:eastAsia="Palatino Linotype" w:hAnsi="Palatino Linotype" w:cs="Palatino Linotype"/>
          <w:sz w:val="22"/>
          <w:szCs w:val="22"/>
        </w:rPr>
        <w:t xml:space="preserve"> Obligado</w:t>
      </w:r>
      <w:r w:rsidRPr="00660766">
        <w:rPr>
          <w:rFonts w:ascii="Palatino Linotype" w:hAnsi="Palatino Linotype"/>
          <w:sz w:val="22"/>
          <w:szCs w:val="22"/>
        </w:rPr>
        <w:t>s</w:t>
      </w:r>
      <w:r w:rsidRPr="00660766">
        <w:rPr>
          <w:rFonts w:ascii="Palatino Linotype" w:eastAsia="Palatino Linotype" w:hAnsi="Palatino Linotype" w:cs="Palatino Linotype"/>
          <w:sz w:val="22"/>
          <w:szCs w:val="22"/>
        </w:rPr>
        <w:t xml:space="preserve"> generan, poseen o administran  la información solicitada, sin embargo, en aquellos casos en que </w:t>
      </w:r>
      <w:r w:rsidRPr="00660766">
        <w:rPr>
          <w:rFonts w:ascii="Palatino Linotype" w:hAnsi="Palatino Linotype"/>
          <w:sz w:val="22"/>
          <w:szCs w:val="22"/>
        </w:rPr>
        <w:t>e</w:t>
      </w:r>
      <w:r w:rsidRPr="00660766">
        <w:rPr>
          <w:rFonts w:ascii="Palatino Linotype" w:eastAsia="Palatino Linotype" w:hAnsi="Palatino Linotype" w:cs="Palatino Linotype"/>
          <w:sz w:val="22"/>
          <w:szCs w:val="22"/>
        </w:rPr>
        <w:t>st</w:t>
      </w:r>
      <w:r w:rsidRPr="00660766">
        <w:rPr>
          <w:rFonts w:ascii="Palatino Linotype" w:hAnsi="Palatino Linotype"/>
          <w:sz w:val="22"/>
          <w:szCs w:val="22"/>
        </w:rPr>
        <w:t xml:space="preserve">os </w:t>
      </w:r>
      <w:r w:rsidRPr="00660766">
        <w:rPr>
          <w:rFonts w:ascii="Palatino Linotype" w:eastAsia="Palatino Linotype" w:hAnsi="Palatino Linotype" w:cs="Palatino Linotype"/>
          <w:sz w:val="22"/>
          <w:szCs w:val="22"/>
        </w:rPr>
        <w:t>ha</w:t>
      </w:r>
      <w:r w:rsidRPr="00660766">
        <w:rPr>
          <w:rFonts w:ascii="Palatino Linotype" w:hAnsi="Palatino Linotype"/>
          <w:sz w:val="22"/>
          <w:szCs w:val="22"/>
        </w:rPr>
        <w:t>n</w:t>
      </w:r>
      <w:r w:rsidRPr="00660766">
        <w:rPr>
          <w:rFonts w:ascii="Palatino Linotype" w:eastAsia="Palatino Linotype" w:hAnsi="Palatino Linotype" w:cs="Palatino Linotype"/>
          <w:sz w:val="22"/>
          <w:szCs w:val="22"/>
        </w:rPr>
        <w:t xml:space="preserve"> asumido </w:t>
      </w:r>
      <w:r w:rsidRPr="00660766">
        <w:rPr>
          <w:rFonts w:ascii="Palatino Linotype" w:eastAsia="Palatino Linotype" w:hAnsi="Palatino Linotype" w:cs="Palatino Linotype"/>
          <w:b/>
          <w:sz w:val="22"/>
          <w:szCs w:val="22"/>
        </w:rPr>
        <w:t>la competencia</w:t>
      </w:r>
      <w:r w:rsidRPr="00660766">
        <w:rPr>
          <w:rFonts w:ascii="Palatino Linotype" w:eastAsia="Palatino Linotype" w:hAnsi="Palatino Linotype" w:cs="Palatino Linotype"/>
          <w:sz w:val="22"/>
          <w:szCs w:val="22"/>
        </w:rPr>
        <w:t xml:space="preserve">, sería ocioso y a nada práctico nos conduciría su estudio, ya que, se insiste, el ente obligado </w:t>
      </w:r>
      <w:r w:rsidRPr="00660766">
        <w:rPr>
          <w:rFonts w:ascii="Palatino Linotype" w:eastAsia="Palatino Linotype" w:hAnsi="Palatino Linotype" w:cs="Palatino Linotype"/>
          <w:b/>
          <w:sz w:val="22"/>
          <w:szCs w:val="22"/>
          <w:u w:val="single"/>
        </w:rPr>
        <w:t>asumió la competencia referida</w:t>
      </w:r>
      <w:r w:rsidRPr="00660766">
        <w:rPr>
          <w:rFonts w:ascii="Palatino Linotype" w:eastAsia="Palatino Linotype" w:hAnsi="Palatino Linotype" w:cs="Palatino Linotype"/>
          <w:sz w:val="22"/>
          <w:szCs w:val="22"/>
        </w:rPr>
        <w:t>, motivo por el cual se actualiza el supuesto previsto en el artículo 12 de la legislación aplicable en la materia, citado con antelación.</w:t>
      </w:r>
    </w:p>
    <w:p w14:paraId="3DAED5EC" w14:textId="0BC9F833" w:rsidR="00D619B9" w:rsidRPr="00660766" w:rsidRDefault="001E3C46" w:rsidP="009708D6">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Asimismo, es imprescindible mencionar que el </w:t>
      </w:r>
      <w:r w:rsidRPr="00660766">
        <w:rPr>
          <w:rFonts w:ascii="Palatino Linotype" w:eastAsia="Palatino Linotype" w:hAnsi="Palatino Linotype" w:cs="Palatino Linotype"/>
          <w:b/>
          <w:sz w:val="22"/>
          <w:szCs w:val="22"/>
        </w:rPr>
        <w:t xml:space="preserve">Sujeto Obligado, </w:t>
      </w:r>
      <w:r w:rsidRPr="00660766">
        <w:rPr>
          <w:rFonts w:ascii="Palatino Linotype" w:eastAsia="Palatino Linotype" w:hAnsi="Palatino Linotype" w:cs="Palatino Linotype"/>
          <w:sz w:val="22"/>
          <w:szCs w:val="22"/>
        </w:rPr>
        <w:t xml:space="preserve">por conducto de la </w:t>
      </w:r>
      <w:r w:rsidR="00DE075F" w:rsidRPr="00660766">
        <w:rPr>
          <w:rFonts w:ascii="Palatino Linotype" w:eastAsia="Palatino Linotype" w:hAnsi="Palatino Linotype" w:cs="Palatino Linotype"/>
          <w:sz w:val="22"/>
          <w:szCs w:val="22"/>
        </w:rPr>
        <w:t xml:space="preserve">Tesorería Municipal </w:t>
      </w:r>
      <w:r w:rsidRPr="00660766">
        <w:rPr>
          <w:rFonts w:ascii="Palatino Linotype" w:eastAsia="Palatino Linotype" w:hAnsi="Palatino Linotype" w:cs="Palatino Linotype"/>
          <w:sz w:val="22"/>
          <w:szCs w:val="22"/>
        </w:rPr>
        <w:t>asumió la existencia de la información peticionada, tan es así que</w:t>
      </w:r>
      <w:r w:rsidR="006518F5" w:rsidRPr="00660766">
        <w:rPr>
          <w:rFonts w:ascii="Palatino Linotype" w:eastAsia="Palatino Linotype" w:hAnsi="Palatino Linotype" w:cs="Palatino Linotype"/>
          <w:sz w:val="22"/>
          <w:szCs w:val="22"/>
        </w:rPr>
        <w:t xml:space="preserve"> </w:t>
      </w:r>
      <w:r w:rsidR="00410B23" w:rsidRPr="00660766">
        <w:rPr>
          <w:rFonts w:ascii="Palatino Linotype" w:eastAsia="Palatino Linotype" w:hAnsi="Palatino Linotype" w:cs="Palatino Linotype"/>
          <w:sz w:val="22"/>
          <w:szCs w:val="22"/>
        </w:rPr>
        <w:t>propuso el cambio de modalidad</w:t>
      </w:r>
      <w:r w:rsidR="00B71341" w:rsidRPr="00660766">
        <w:rPr>
          <w:rFonts w:ascii="Palatino Linotype" w:eastAsia="Palatino Linotype" w:hAnsi="Palatino Linotype" w:cs="Palatino Linotype"/>
          <w:sz w:val="22"/>
          <w:szCs w:val="22"/>
        </w:rPr>
        <w:t xml:space="preserve"> en la entrega de la información</w:t>
      </w:r>
      <w:r w:rsidR="00410B23" w:rsidRPr="00660766">
        <w:rPr>
          <w:rFonts w:ascii="Palatino Linotype" w:eastAsia="Palatino Linotype" w:hAnsi="Palatino Linotype" w:cs="Palatino Linotype"/>
          <w:sz w:val="22"/>
          <w:szCs w:val="22"/>
        </w:rPr>
        <w:t xml:space="preserve"> </w:t>
      </w:r>
      <w:r w:rsidR="00CE736E" w:rsidRPr="00660766">
        <w:rPr>
          <w:rFonts w:ascii="Palatino Linotype" w:eastAsia="Palatino Linotype" w:hAnsi="Palatino Linotype" w:cs="Palatino Linotype"/>
          <w:sz w:val="22"/>
          <w:szCs w:val="22"/>
        </w:rPr>
        <w:t>a consulta directa</w:t>
      </w:r>
      <w:r w:rsidR="00D619B9" w:rsidRPr="00660766">
        <w:rPr>
          <w:rFonts w:ascii="Palatino Linotype" w:eastAsia="Palatino Linotype" w:hAnsi="Palatino Linotype" w:cs="Palatino Linotype"/>
          <w:sz w:val="22"/>
          <w:szCs w:val="22"/>
        </w:rPr>
        <w:t xml:space="preserve"> en las oficinas de la Presidencia Municipal </w:t>
      </w:r>
    </w:p>
    <w:p w14:paraId="7FBB1D2A" w14:textId="0BDD67D6" w:rsidR="001E3C46" w:rsidRPr="00660766" w:rsidRDefault="00D619B9" w:rsidP="009708D6">
      <w:pPr>
        <w:pBdr>
          <w:top w:val="nil"/>
          <w:left w:val="nil"/>
          <w:bottom w:val="nil"/>
          <w:right w:val="nil"/>
          <w:between w:val="nil"/>
        </w:pBdr>
        <w:spacing w:before="280" w:after="28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este sentido, por </w:t>
      </w:r>
      <w:r w:rsidR="00B71341" w:rsidRPr="00660766">
        <w:rPr>
          <w:rFonts w:ascii="Palatino Linotype" w:eastAsia="Palatino Linotype" w:hAnsi="Palatino Linotype" w:cs="Palatino Linotype"/>
          <w:sz w:val="22"/>
          <w:szCs w:val="22"/>
        </w:rPr>
        <w:t xml:space="preserve">lo que se refiere al cambio de modalidad en la entrega de la información a consulta directa, </w:t>
      </w:r>
      <w:r w:rsidR="001E3C46" w:rsidRPr="00660766">
        <w:rPr>
          <w:rFonts w:ascii="Palatino Linotype" w:eastAsia="Palatino Linotype" w:hAnsi="Palatino Linotype" w:cs="Palatino Linotype"/>
          <w:sz w:val="22"/>
          <w:szCs w:val="22"/>
        </w:rPr>
        <w:t xml:space="preserve">resulta indispensable </w:t>
      </w:r>
      <w:r w:rsidR="00B71341" w:rsidRPr="00660766">
        <w:rPr>
          <w:rFonts w:ascii="Palatino Linotype" w:eastAsia="Palatino Linotype" w:hAnsi="Palatino Linotype" w:cs="Palatino Linotype"/>
          <w:sz w:val="22"/>
          <w:szCs w:val="22"/>
        </w:rPr>
        <w:t>analizar</w:t>
      </w:r>
      <w:r w:rsidR="001E3C46" w:rsidRPr="00660766">
        <w:rPr>
          <w:rFonts w:ascii="Palatino Linotype" w:eastAsia="Palatino Linotype" w:hAnsi="Palatino Linotype" w:cs="Palatino Linotype"/>
          <w:sz w:val="22"/>
          <w:szCs w:val="22"/>
        </w:rPr>
        <w:t xml:space="preserve"> el formato de solicitud de acceso a la información pública para determinar la modalidad a través de la cual se eligió la entrega de la información por parte de la persona solicitante, por lo que en el expediente electrónico se halló lo siguiente:</w:t>
      </w:r>
    </w:p>
    <w:p w14:paraId="5E8D0988" w14:textId="7BBD9CA4" w:rsidR="00F11672" w:rsidRPr="00660766" w:rsidRDefault="00D619B9" w:rsidP="009708D6">
      <w:pPr>
        <w:spacing w:before="240" w:after="240" w:line="360" w:lineRule="auto"/>
        <w:jc w:val="center"/>
        <w:rPr>
          <w:rFonts w:ascii="Palatino Linotype" w:eastAsia="Palatino Linotype" w:hAnsi="Palatino Linotype" w:cs="Palatino Linotype"/>
          <w:sz w:val="22"/>
          <w:szCs w:val="22"/>
        </w:rPr>
      </w:pPr>
      <w:r w:rsidRPr="00660766">
        <w:rPr>
          <w:noProof/>
        </w:rPr>
        <w:drawing>
          <wp:inline distT="0" distB="0" distL="0" distR="0" wp14:anchorId="342F4B05" wp14:editId="1EF4FCE0">
            <wp:extent cx="5612130" cy="1786255"/>
            <wp:effectExtent l="0" t="0" r="7620" b="4445"/>
            <wp:docPr id="9254208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420894" name=""/>
                    <pic:cNvPicPr/>
                  </pic:nvPicPr>
                  <pic:blipFill>
                    <a:blip r:embed="rId8"/>
                    <a:stretch>
                      <a:fillRect/>
                    </a:stretch>
                  </pic:blipFill>
                  <pic:spPr>
                    <a:xfrm>
                      <a:off x="0" y="0"/>
                      <a:ext cx="5612130" cy="1786255"/>
                    </a:xfrm>
                    <a:prstGeom prst="rect">
                      <a:avLst/>
                    </a:prstGeom>
                  </pic:spPr>
                </pic:pic>
              </a:graphicData>
            </a:graphic>
          </wp:inline>
        </w:drawing>
      </w:r>
    </w:p>
    <w:p w14:paraId="2C8ABE90" w14:textId="77777777" w:rsidR="00E63F02" w:rsidRPr="00660766" w:rsidRDefault="00E63F02" w:rsidP="009708D6">
      <w:pPr>
        <w:spacing w:before="240" w:after="240" w:line="360" w:lineRule="auto"/>
        <w:ind w:right="49"/>
        <w:jc w:val="both"/>
        <w:rPr>
          <w:rFonts w:ascii="Palatino Linotype" w:hAnsi="Palatino Linotype"/>
          <w:sz w:val="22"/>
          <w:szCs w:val="22"/>
        </w:rPr>
      </w:pPr>
      <w:r w:rsidRPr="00660766">
        <w:rPr>
          <w:rFonts w:ascii="Palatino Linotype" w:eastAsia="Palatino Linotype" w:hAnsi="Palatino Linotype" w:cs="Palatino Linotype"/>
          <w:sz w:val="22"/>
          <w:szCs w:val="22"/>
        </w:rPr>
        <w:t>Como se puede observar de la imagen inserta, la persona solicitante requirió la entrega de la i</w:t>
      </w:r>
      <w:r w:rsidRPr="00660766">
        <w:rPr>
          <w:rFonts w:ascii="Palatino Linotype" w:hAnsi="Palatino Linotype"/>
          <w:sz w:val="22"/>
          <w:szCs w:val="22"/>
        </w:rPr>
        <w:t>nformación a través del sistema SAIMEX.</w:t>
      </w:r>
    </w:p>
    <w:p w14:paraId="61BD6444" w14:textId="77777777" w:rsidR="00E63F02" w:rsidRPr="00660766" w:rsidRDefault="00E63F02" w:rsidP="009708D6">
      <w:pPr>
        <w:spacing w:before="240" w:after="240" w:line="360" w:lineRule="auto"/>
        <w:jc w:val="both"/>
        <w:rPr>
          <w:rFonts w:ascii="Palatino Linotype" w:hAnsi="Palatino Linotype"/>
          <w:sz w:val="22"/>
          <w:szCs w:val="22"/>
        </w:rPr>
      </w:pPr>
      <w:r w:rsidRPr="00660766">
        <w:rPr>
          <w:rFonts w:ascii="Palatino Linotype" w:eastAsia="Palatino Linotype" w:hAnsi="Palatino Linotype" w:cs="Palatino Linotype"/>
          <w:sz w:val="22"/>
          <w:szCs w:val="22"/>
        </w:rPr>
        <w:t xml:space="preserve">Por lo tanto, es evidente que </w:t>
      </w:r>
      <w:r w:rsidRPr="00660766">
        <w:rPr>
          <w:rFonts w:ascii="Palatino Linotype" w:hAnsi="Palatino Linotype"/>
          <w:sz w:val="22"/>
          <w:szCs w:val="22"/>
        </w:rPr>
        <w:t xml:space="preserve">las razones o motivos de inconformidad alegados devienen fundados en razón de que no le fue proporcionada la información que requirió, a pesar de haber reconocido el </w:t>
      </w:r>
      <w:r w:rsidRPr="00660766">
        <w:rPr>
          <w:rFonts w:ascii="Palatino Linotype" w:eastAsia="Palatino Linotype" w:hAnsi="Palatino Linotype" w:cs="Palatino Linotype"/>
          <w:b/>
          <w:sz w:val="22"/>
          <w:szCs w:val="22"/>
        </w:rPr>
        <w:t>Sujeto Obligado</w:t>
      </w:r>
      <w:r w:rsidRPr="00660766">
        <w:rPr>
          <w:rFonts w:ascii="Palatino Linotype" w:hAnsi="Palatino Linotype"/>
          <w:sz w:val="22"/>
          <w:szCs w:val="22"/>
        </w:rPr>
        <w:t>, de manera expresa, que cuenta con ella, por tal motivo el Derecho de acceso no pude tenerse por colmado.</w:t>
      </w:r>
    </w:p>
    <w:p w14:paraId="39BC6942"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Atento a lo anterior, es oportuno referir que la Ley de Transparencia y Acceso a la Información Pública del Estado de México y Municipios, en el artículo 155 fracción V, dispone que para presentar solicitud de acceso a la información se deberá atender lo dispuesto en el mismo, resaltando que deberá indicarse la modalidad en la que prefiere se otorgue la información, la cual podrá ser verbal, siempre y cuando sea para fines de orientación, mediante consulta directa, mediante la expedición de copias simples o certificadas o la reproducción en cualquier otro medio, incluidos los electrónicos, que en el caso, en la entidad, el Órgano Garante determinó en el formato de solicitud, que podría ser SAIMEX, CD-Rom (con costo), copias simples (con costo), copias certificadas (con costo), consulta directa (sin costo), o bien, cualquier otro que determine el particular.</w:t>
      </w:r>
    </w:p>
    <w:p w14:paraId="0C1ED9AE" w14:textId="77777777" w:rsidR="00E63F02" w:rsidRPr="00660766" w:rsidRDefault="00E63F02"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sz w:val="22"/>
          <w:szCs w:val="22"/>
        </w:rPr>
        <w:t xml:space="preserve">Por su parte, el artículo 158, dispone que, de manera excepcional, cuando de manera fundada y motivada lo determine el Sujeto Obligado, </w:t>
      </w:r>
      <w:r w:rsidRPr="00660766">
        <w:rPr>
          <w:rFonts w:ascii="Palatino Linotype" w:eastAsia="Palatino Linotype" w:hAnsi="Palatino Linotype" w:cs="Palatino Linotype"/>
          <w:b/>
          <w:sz w:val="22"/>
          <w:szCs w:val="22"/>
        </w:rPr>
        <w:t>en los casos en que la entrega de la información que se encuentre a su disposición sobrepase las capacidades técnicas, administrativas y humanas del Sujeto Obligado para cumplir con la solicitud, se podrá poner a disposición del solicitante la información en consulta directa.</w:t>
      </w:r>
    </w:p>
    <w:p w14:paraId="16918D61"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De modo que el acceso a la información debe darse en la modalidad de entrega elegida por la persona solicitante, y sólo para los casos en que se encuentren impedidos los sujetos obligados podrán ofrecer otra u otras modalidades, sin embargo, se debe fundar y motivar adecuadamente el cambio de modalidad en la entrega de la información, en términos de lo dispuesto en el artículo 16 de la Constitución Política de los Estados Unidos Mexicanos, el cual exige que todo acto de autoridad debe de estar debidamente fundado y motivado, en el que se exprese el precepto legal aplicable al caso, además de señalarse las circunstancias, razones particulares o causas inmediatas que se hayan tenido en cuenta para la emisión del acto, según se puede leer en la jurisprudencia del texto y rubro que inserta enseguida para mayor referencia:</w:t>
      </w:r>
    </w:p>
    <w:p w14:paraId="68E9794F" w14:textId="77777777" w:rsidR="00E63F02" w:rsidRPr="00660766" w:rsidRDefault="00E63F02" w:rsidP="009708D6">
      <w:pPr>
        <w:spacing w:before="120" w:after="120"/>
        <w:ind w:left="851" w:right="90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“FUNDAMENTACIÓN Y MOTIVACIÓN DE LOS ACTOS ADMINISTRATIVOS</w:t>
      </w:r>
      <w:r w:rsidRPr="00660766">
        <w:rPr>
          <w:rFonts w:ascii="Palatino Linotype" w:eastAsia="Palatino Linotype" w:hAnsi="Palatino Linotype" w:cs="Palatino Linotype"/>
          <w:i/>
          <w:sz w:val="22"/>
          <w:szCs w:val="22"/>
        </w:rPr>
        <w:t>. De acuerdo con  el artículo 16 constitucional, todo acto de autoridad debe estar suficientemente fundado y motivado, entendiéndose por lo primero que han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 y b).- Los cuerpos legales y preceptos que otorgan competencia o facultades a las autoridades para emitir el acto en agravio del gobernado.”</w:t>
      </w:r>
    </w:p>
    <w:p w14:paraId="5FDFB8F1"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En ese entendido, según lo dispuesto en los artículos 160 y 164 de la Ley en cita, los Sujetos Obligados deben otorgar acceso a los documentos que se encuentren en sus archivos o que estén obligados a documentar de acuerdo con sus facultades, competencias o funciones en el formato que el solicitante manifieste, debiendo dar el acceso a la información en la modalidad de entrega solicitada, empero en caso de ofrecer otra u otras modalidades de entrega deberá fundar y motivar su respuesta, a saber:</w:t>
      </w:r>
    </w:p>
    <w:p w14:paraId="24C6EF50" w14:textId="77777777" w:rsidR="00E63F02" w:rsidRPr="00660766" w:rsidRDefault="00E63F02" w:rsidP="009708D6">
      <w:pPr>
        <w:spacing w:before="120" w:after="120"/>
        <w:ind w:left="851" w:right="851"/>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sz w:val="22"/>
          <w:szCs w:val="22"/>
        </w:rPr>
        <w:t>“</w:t>
      </w:r>
      <w:r w:rsidRPr="00660766">
        <w:rPr>
          <w:rFonts w:ascii="Palatino Linotype" w:eastAsia="Palatino Linotype" w:hAnsi="Palatino Linotype" w:cs="Palatino Linotype"/>
          <w:b/>
          <w:i/>
          <w:sz w:val="22"/>
          <w:szCs w:val="22"/>
        </w:rPr>
        <w:t>Artículo 160.</w:t>
      </w:r>
      <w:r w:rsidRPr="00660766">
        <w:rPr>
          <w:rFonts w:ascii="Palatino Linotype" w:eastAsia="Palatino Linotype" w:hAnsi="Palatino Linotype" w:cs="Palatino Linotype"/>
          <w:i/>
          <w:sz w:val="22"/>
          <w:szCs w:val="22"/>
        </w:rPr>
        <w:t xml:space="preserve"> Los sujetos obligados deberán otorgar acceso a los documentos que se encuentren en sus archivos o que estén obligados a documentar de acuerdo con sus facultades, competencias o funciones en el formato que el solicitante manifieste, de entre aquellos formatos existentes, conforme a las características físicas de la información o del lugar donde se encuentre así lo permita.</w:t>
      </w:r>
    </w:p>
    <w:p w14:paraId="7ED789E7" w14:textId="77777777" w:rsidR="00E63F02" w:rsidRPr="00660766" w:rsidRDefault="00E63F02" w:rsidP="009708D6">
      <w:pPr>
        <w:spacing w:before="120" w:after="120"/>
        <w:ind w:left="851" w:right="851"/>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Artículo 164.</w:t>
      </w:r>
      <w:r w:rsidRPr="00660766">
        <w:rPr>
          <w:rFonts w:ascii="Palatino Linotype" w:eastAsia="Palatino Linotype" w:hAnsi="Palatino Linotype" w:cs="Palatino Linotype"/>
          <w:i/>
          <w:sz w:val="22"/>
          <w:szCs w:val="22"/>
        </w:rPr>
        <w:t xml:space="preserve"> El acceso se dará en la modalidad de entrega y, en su caso, de envío elegidos por el solicitante. Cuando la información no pueda entregarse o enviarse en la modalidad solicitada, </w:t>
      </w:r>
      <w:r w:rsidRPr="00660766">
        <w:rPr>
          <w:rFonts w:ascii="Palatino Linotype" w:eastAsia="Palatino Linotype" w:hAnsi="Palatino Linotype" w:cs="Palatino Linotype"/>
          <w:b/>
          <w:i/>
          <w:sz w:val="22"/>
          <w:szCs w:val="22"/>
          <w:u w:val="single"/>
        </w:rPr>
        <w:t>el sujeto obligado deberá ofrecer otra u otras modalidades de entrega.</w:t>
      </w:r>
      <w:r w:rsidRPr="00660766">
        <w:rPr>
          <w:rFonts w:ascii="Palatino Linotype" w:eastAsia="Palatino Linotype" w:hAnsi="Palatino Linotype" w:cs="Palatino Linotype"/>
          <w:i/>
          <w:sz w:val="22"/>
          <w:szCs w:val="22"/>
        </w:rPr>
        <w:t xml:space="preserve"> En cualquier caso, se deberá fundar y motivar la necesidad de ofrecer otras modalidades.”</w:t>
      </w:r>
    </w:p>
    <w:p w14:paraId="2DD26BD0"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Por lo cual, los Sujetos Obligados podrán poner a disposición, los documentos solicitados, en todo caso, por cualquier medio disponible en sus instalaciones, cuando de forma fundada y motivada se determine que implica un análisis, estudio o procesamiento, cuya entrega o reproducción sobrepase las capacidades técnicas administrativas y humanas.</w:t>
      </w:r>
    </w:p>
    <w:p w14:paraId="7C7EDF01"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Por otro lado, el artículo 174 de la ley de la materia, indica que los costos de reproducción y, en su caso, de envío para la obtención de la información deberán ser cubiertos por la persona solicitante de manera previa a la entrega por parte del Sujeto Obligado. </w:t>
      </w:r>
    </w:p>
    <w:p w14:paraId="2A3E1E67"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tales consideraciones, la entrega deberá hacerse, </w:t>
      </w:r>
      <w:r w:rsidRPr="00660766">
        <w:rPr>
          <w:rFonts w:ascii="Palatino Linotype" w:eastAsia="Palatino Linotype" w:hAnsi="Palatino Linotype" w:cs="Palatino Linotype"/>
          <w:b/>
          <w:sz w:val="22"/>
          <w:szCs w:val="22"/>
        </w:rPr>
        <w:t>en la medida de lo posible, en la forma solicitada por el interesado, salvo que exista un impedimento justificado para atenderla</w:t>
      </w:r>
      <w:r w:rsidRPr="00660766">
        <w:rPr>
          <w:rFonts w:ascii="Palatino Linotype" w:eastAsia="Palatino Linotype" w:hAnsi="Palatino Linotype" w:cs="Palatino Linotype"/>
          <w:sz w:val="22"/>
          <w:szCs w:val="22"/>
        </w:rPr>
        <w:t xml:space="preserve">, en cuyo caso, deberán exponerse las razones por las cuales no es posible utilizar el medio de reproducción solicitado; en este sentido, la entrega de la información en una modalidad distinta a la elegida por la particular </w:t>
      </w:r>
      <w:r w:rsidRPr="00660766">
        <w:rPr>
          <w:rFonts w:ascii="Palatino Linotype" w:eastAsia="Palatino Linotype" w:hAnsi="Palatino Linotype" w:cs="Palatino Linotype"/>
          <w:b/>
          <w:sz w:val="22"/>
          <w:szCs w:val="22"/>
        </w:rPr>
        <w:t>sólo procede, en caso de que se acredite la imposibilidad de atenderla.</w:t>
      </w:r>
      <w:r w:rsidRPr="00660766">
        <w:rPr>
          <w:rFonts w:ascii="Palatino Linotype" w:eastAsia="Palatino Linotype" w:hAnsi="Palatino Linotype" w:cs="Palatino Linotype"/>
          <w:sz w:val="22"/>
          <w:szCs w:val="22"/>
        </w:rPr>
        <w:t xml:space="preserve"> </w:t>
      </w:r>
    </w:p>
    <w:p w14:paraId="2C2124C5"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Así, cuando se justifique el impedimento, </w:t>
      </w:r>
      <w:r w:rsidRPr="00660766">
        <w:rPr>
          <w:rFonts w:ascii="Palatino Linotype" w:eastAsia="Palatino Linotype" w:hAnsi="Palatino Linotype" w:cs="Palatino Linotype"/>
          <w:b/>
          <w:sz w:val="22"/>
          <w:szCs w:val="22"/>
        </w:rPr>
        <w:t>los Sujetos Obligados deberán ofrecer al particular otras modalidades de entrega que permita la información</w:t>
      </w:r>
      <w:r w:rsidRPr="00660766">
        <w:rPr>
          <w:rFonts w:ascii="Palatino Linotype" w:eastAsia="Palatino Linotype" w:hAnsi="Palatino Linotype" w:cs="Palatino Linotype"/>
          <w:sz w:val="22"/>
          <w:szCs w:val="22"/>
        </w:rPr>
        <w:t>, como consulta directa en las oficinas de la Unidad de Transparencia, la expedición de copias simples o certificadas, o la reproducción en cualquier otro medio, incluidos los electrónicos, lo que se robustece con el criterio 08/17, emitido por el Pleno del Instituto Nacional de Transparencia, Acceso a la Información y Protección de Datos Personales, el cual establece lo siguiente:</w:t>
      </w:r>
    </w:p>
    <w:p w14:paraId="0E8C5AC2" w14:textId="77777777" w:rsidR="00E63F02" w:rsidRPr="00660766" w:rsidRDefault="00E63F02" w:rsidP="009708D6">
      <w:pPr>
        <w:spacing w:before="120" w:after="120"/>
        <w:ind w:left="851" w:right="851"/>
        <w:jc w:val="both"/>
        <w:rPr>
          <w:rFonts w:ascii="Palatino Linotype" w:eastAsia="Palatino Linotype" w:hAnsi="Palatino Linotype" w:cs="Palatino Linotype"/>
          <w:b/>
          <w:i/>
          <w:sz w:val="22"/>
          <w:szCs w:val="22"/>
          <w:u w:val="single"/>
        </w:rPr>
      </w:pPr>
      <w:r w:rsidRPr="00660766">
        <w:rPr>
          <w:rFonts w:ascii="Palatino Linotype" w:eastAsia="Palatino Linotype" w:hAnsi="Palatino Linotype" w:cs="Palatino Linotype"/>
          <w:b/>
          <w:i/>
          <w:sz w:val="22"/>
          <w:szCs w:val="22"/>
        </w:rPr>
        <w:t>“Modalidad de entrega. Procedencia de proporcionar la información solicitada en una diversa a la elegida por el solicitante.</w:t>
      </w:r>
      <w:r w:rsidRPr="00660766">
        <w:rPr>
          <w:rFonts w:ascii="Palatino Linotype" w:eastAsia="Palatino Linotype" w:hAnsi="Palatino Linotype" w:cs="Palatino Linotype"/>
          <w:i/>
          <w:sz w:val="22"/>
          <w:szCs w:val="22"/>
        </w:rPr>
        <w:t xml:space="preserve"> De una interpretación a los artículos 133 de la Ley General de Transparencia y Acceso a la Información Pública y 136 de la Ley Federal de Transparencia y Acceso a la Información Pública, cuando no sea posible atender la modalidad elegida, la obligación de acceso a la información se tendrá por cumplida cuando el sujeto obligado: a) justifique el impedimento para atender la misma y b) se notifique al particular la disposición de la información </w:t>
      </w:r>
      <w:r w:rsidRPr="00660766">
        <w:rPr>
          <w:rFonts w:ascii="Palatino Linotype" w:eastAsia="Palatino Linotype" w:hAnsi="Palatino Linotype" w:cs="Palatino Linotype"/>
          <w:b/>
          <w:i/>
          <w:sz w:val="22"/>
          <w:szCs w:val="22"/>
          <w:u w:val="single"/>
        </w:rPr>
        <w:t>en todas las modalidades que permita el documento de que se trate, procurando reducir, en todo momento, los costos de entrega</w:t>
      </w:r>
      <w:r w:rsidRPr="00660766">
        <w:rPr>
          <w:rFonts w:ascii="Palatino Linotype" w:eastAsia="Palatino Linotype" w:hAnsi="Palatino Linotype" w:cs="Palatino Linotype"/>
          <w:b/>
          <w:i/>
          <w:sz w:val="22"/>
          <w:szCs w:val="22"/>
        </w:rPr>
        <w:t>.”</w:t>
      </w:r>
    </w:p>
    <w:p w14:paraId="39827901" w14:textId="77777777" w:rsidR="00E63F02" w:rsidRPr="00660766" w:rsidRDefault="00E63F02" w:rsidP="009708D6">
      <w:pPr>
        <w:spacing w:before="240" w:after="240" w:line="360" w:lineRule="auto"/>
        <w:jc w:val="both"/>
        <w:rPr>
          <w:rFonts w:ascii="Palatino Linotype" w:eastAsia="Palatino Linotype" w:hAnsi="Palatino Linotype" w:cs="Palatino Linotype"/>
          <w:b/>
          <w:sz w:val="22"/>
          <w:szCs w:val="22"/>
        </w:rPr>
      </w:pPr>
      <w:r w:rsidRPr="00660766">
        <w:rPr>
          <w:rFonts w:ascii="Palatino Linotype" w:eastAsia="Palatino Linotype" w:hAnsi="Palatino Linotype" w:cs="Palatino Linotype"/>
          <w:sz w:val="22"/>
          <w:szCs w:val="22"/>
        </w:rPr>
        <w:t>Del citado criterio, se desprende que cuando</w:t>
      </w:r>
      <w:r w:rsidRPr="00660766">
        <w:rPr>
          <w:rFonts w:ascii="Palatino Linotype" w:eastAsia="Palatino Linotype" w:hAnsi="Palatino Linotype" w:cs="Palatino Linotype"/>
          <w:b/>
          <w:sz w:val="22"/>
          <w:szCs w:val="22"/>
        </w:rPr>
        <w:t xml:space="preserve"> la información no pueda entregarse o enviarse en la modalidad elegida, </w:t>
      </w:r>
      <w:r w:rsidRPr="00660766">
        <w:rPr>
          <w:rFonts w:ascii="Palatino Linotype" w:eastAsia="Palatino Linotype" w:hAnsi="Palatino Linotype" w:cs="Palatino Linotype"/>
          <w:sz w:val="22"/>
          <w:szCs w:val="22"/>
        </w:rPr>
        <w:t xml:space="preserve">para que la obligación de acceso a la información se tenga por cumplida, </w:t>
      </w:r>
      <w:r w:rsidRPr="00660766">
        <w:rPr>
          <w:rFonts w:ascii="Palatino Linotype" w:eastAsia="Palatino Linotype" w:hAnsi="Palatino Linotype" w:cs="Palatino Linotype"/>
          <w:b/>
          <w:sz w:val="22"/>
          <w:szCs w:val="22"/>
        </w:rPr>
        <w:t>el Sujeto Obligado deberá ofrecer otra u otras modalidades de entrega.</w:t>
      </w:r>
      <w:r w:rsidRPr="00660766">
        <w:rPr>
          <w:rFonts w:ascii="Palatino Linotype" w:eastAsia="Palatino Linotype" w:hAnsi="Palatino Linotype" w:cs="Palatino Linotype"/>
          <w:sz w:val="22"/>
          <w:szCs w:val="22"/>
        </w:rPr>
        <w:t xml:space="preserve"> En cualquier caso, </w:t>
      </w:r>
      <w:r w:rsidRPr="00660766">
        <w:rPr>
          <w:rFonts w:ascii="Palatino Linotype" w:eastAsia="Palatino Linotype" w:hAnsi="Palatino Linotype" w:cs="Palatino Linotype"/>
          <w:b/>
          <w:sz w:val="22"/>
          <w:szCs w:val="22"/>
        </w:rPr>
        <w:t>se deberá fundar y motivar la necesidad de ofrecer otras modalidades</w:t>
      </w:r>
      <w:r w:rsidRPr="00660766">
        <w:rPr>
          <w:rFonts w:ascii="Palatino Linotype" w:eastAsia="Palatino Linotype" w:hAnsi="Palatino Linotype" w:cs="Palatino Linotype"/>
          <w:sz w:val="22"/>
          <w:szCs w:val="22"/>
        </w:rPr>
        <w:t xml:space="preserve"> que lo permitan, </w:t>
      </w:r>
      <w:r w:rsidRPr="00660766">
        <w:rPr>
          <w:rFonts w:ascii="Palatino Linotype" w:eastAsia="Palatino Linotype" w:hAnsi="Palatino Linotype" w:cs="Palatino Linotype"/>
          <w:b/>
          <w:sz w:val="22"/>
          <w:szCs w:val="22"/>
        </w:rPr>
        <w:t>procurando reducir los costos de entrega.</w:t>
      </w:r>
    </w:p>
    <w:p w14:paraId="5D68DB80" w14:textId="77777777" w:rsidR="00E63F02" w:rsidRPr="00660766" w:rsidRDefault="00E63F02" w:rsidP="009708D6">
      <w:pPr>
        <w:spacing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Además, según Calero, Natalia (2016), en la “Ley General de Transparencia y Acceso a la Información Pública Comentada”, cuando los sujetos obligados ofrezcan como modalidad de entrega de la información, consulta directa, estos deberán fundar y motivar las razones por las cuales no es posible otorgar el acceso a los documentos de otra forma; además que se deberá explicar de manera detallada lo siguiente:</w:t>
      </w:r>
    </w:p>
    <w:p w14:paraId="1AB9A9ED" w14:textId="77777777" w:rsidR="00E63F02" w:rsidRPr="00660766" w:rsidRDefault="00E63F02" w:rsidP="009708D6">
      <w:pPr>
        <w:numPr>
          <w:ilvl w:val="0"/>
          <w:numId w:val="10"/>
        </w:numPr>
        <w:pBdr>
          <w:top w:val="nil"/>
          <w:left w:val="nil"/>
          <w:bottom w:val="nil"/>
          <w:right w:val="nil"/>
          <w:between w:val="nil"/>
        </w:pBdr>
        <w:tabs>
          <w:tab w:val="left" w:pos="567"/>
        </w:tabs>
        <w:spacing w:before="240" w:after="240" w:line="360" w:lineRule="auto"/>
        <w:ind w:left="284" w:firstLine="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Las razones por las cuales la información implicaba un análisis, estudio o procesamiento de datos;</w:t>
      </w:r>
    </w:p>
    <w:p w14:paraId="5FB89634" w14:textId="77777777" w:rsidR="00E63F02" w:rsidRPr="00660766" w:rsidRDefault="00E63F02" w:rsidP="009708D6">
      <w:pPr>
        <w:numPr>
          <w:ilvl w:val="0"/>
          <w:numId w:val="10"/>
        </w:numPr>
        <w:pBdr>
          <w:top w:val="nil"/>
          <w:left w:val="nil"/>
          <w:bottom w:val="nil"/>
          <w:right w:val="nil"/>
          <w:between w:val="nil"/>
        </w:pBdr>
        <w:tabs>
          <w:tab w:val="left" w:pos="567"/>
        </w:tabs>
        <w:spacing w:before="240" w:after="240" w:line="360" w:lineRule="auto"/>
        <w:ind w:left="284" w:firstLine="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El tiempo no es suficiente para atender la solicitud en la modalidad elegida, y</w:t>
      </w:r>
    </w:p>
    <w:p w14:paraId="47673011" w14:textId="77777777" w:rsidR="00E63F02" w:rsidRPr="00660766" w:rsidRDefault="00E63F02" w:rsidP="009708D6">
      <w:pPr>
        <w:numPr>
          <w:ilvl w:val="0"/>
          <w:numId w:val="10"/>
        </w:numPr>
        <w:pBdr>
          <w:top w:val="nil"/>
          <w:left w:val="nil"/>
          <w:bottom w:val="nil"/>
          <w:right w:val="nil"/>
          <w:between w:val="nil"/>
        </w:pBdr>
        <w:tabs>
          <w:tab w:val="left" w:pos="567"/>
        </w:tabs>
        <w:spacing w:before="240" w:after="240" w:line="360" w:lineRule="auto"/>
        <w:ind w:left="284" w:firstLine="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La cantidad de recursos humanos y materiales con los que cuenta el Sujeto Obligado son insuficientes.</w:t>
      </w:r>
    </w:p>
    <w:p w14:paraId="5CABDA96"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Aunado a lo descrito, es de señalar que el Organismo Garante Nacional, ha considerado que no resulta suficiente justificar una imposibilidad técnica y humana para acreditar un cambio de modalidad, sino que es necesario demostrar otros impedimentos como la cantidad y formato de la documentación, que fuera de imposible reproducción en el medio elegido por los solicitantes, que la información ameritara el cruce de información en los sistemas de datos, entre otros; con el fin de privilegiar el Principio de Gratuidad y Máxima Publicidad; argumentos que encuentran sustento dentro diversas de sus resoluciones de Recursos de Inconformidad como el RIA 136/20, RIA 140/20, RIA 153/20 RIA 237/20, RIA 257/20, RIA 258/20, entre otros.</w:t>
      </w:r>
    </w:p>
    <w:p w14:paraId="47ED813C" w14:textId="77777777" w:rsidR="00E63F02" w:rsidRPr="00660766" w:rsidRDefault="00E63F02"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Caber recordar que el artículo 158 de la Ley de la materia, dispone que cuando la información implique un análisis, estudio o procesamiento de documentos, cuya entrega o reproducción sobrepase las capacidades técnicas, administrativas y humanas del Sujeto Obligado, deberá poner la información a disposición de la persona solicitante en consulta directa, </w:t>
      </w:r>
      <w:r w:rsidRPr="00660766">
        <w:rPr>
          <w:rFonts w:ascii="Palatino Linotype" w:eastAsia="Palatino Linotype" w:hAnsi="Palatino Linotype" w:cs="Palatino Linotype"/>
          <w:b/>
          <w:sz w:val="22"/>
          <w:szCs w:val="22"/>
          <w:u w:val="single"/>
        </w:rPr>
        <w:t>facilitando copias simples o certificadas, así como su reproducción por cualquier medio disponible en las instalaciones del Sujeto Obligado o que, en su caso, aporte el solicitante</w:t>
      </w:r>
      <w:r w:rsidRPr="00660766">
        <w:rPr>
          <w:rFonts w:ascii="Palatino Linotype" w:eastAsia="Palatino Linotype" w:hAnsi="Palatino Linotype" w:cs="Palatino Linotype"/>
          <w:sz w:val="22"/>
          <w:szCs w:val="22"/>
        </w:rPr>
        <w:t>.</w:t>
      </w:r>
    </w:p>
    <w:p w14:paraId="7B81E300" w14:textId="6313116C" w:rsidR="00C612B8" w:rsidRPr="00660766" w:rsidRDefault="00E63F02" w:rsidP="009708D6">
      <w:pPr>
        <w:spacing w:before="240" w:after="240" w:line="360" w:lineRule="auto"/>
        <w:jc w:val="both"/>
        <w:rPr>
          <w:rFonts w:ascii="Palatino Linotype" w:hAnsi="Palatino Linotype"/>
          <w:sz w:val="22"/>
          <w:szCs w:val="22"/>
        </w:rPr>
      </w:pPr>
      <w:r w:rsidRPr="00660766">
        <w:rPr>
          <w:rFonts w:ascii="Palatino Linotype" w:eastAsia="Palatino Linotype" w:hAnsi="Palatino Linotype" w:cs="Palatino Linotype"/>
          <w:sz w:val="22"/>
          <w:szCs w:val="22"/>
        </w:rPr>
        <w:t>En el presente asunto, el Comité de Transparencia determinó procedente</w:t>
      </w:r>
      <w:r w:rsidR="00C612B8" w:rsidRPr="00660766">
        <w:rPr>
          <w:rFonts w:ascii="Palatino Linotype" w:eastAsia="Palatino Linotype" w:hAnsi="Palatino Linotype" w:cs="Palatino Linotype"/>
          <w:sz w:val="22"/>
          <w:szCs w:val="22"/>
        </w:rPr>
        <w:t xml:space="preserve"> el cambio de modalidad</w:t>
      </w:r>
      <w:r w:rsidRPr="00660766">
        <w:rPr>
          <w:rFonts w:ascii="Palatino Linotype" w:eastAsia="Palatino Linotype" w:hAnsi="Palatino Linotype" w:cs="Palatino Linotype"/>
          <w:sz w:val="22"/>
          <w:szCs w:val="22"/>
        </w:rPr>
        <w:t xml:space="preserve"> mediante el acuerdo</w:t>
      </w:r>
      <w:r w:rsidR="00C612B8" w:rsidRPr="00660766">
        <w:rPr>
          <w:rFonts w:ascii="Palatino Linotype" w:eastAsia="Palatino Linotype" w:hAnsi="Palatino Linotype" w:cs="Palatino Linotype"/>
          <w:sz w:val="22"/>
          <w:szCs w:val="22"/>
        </w:rPr>
        <w:t xml:space="preserve"> </w:t>
      </w:r>
      <w:r w:rsidR="00C612B8" w:rsidRPr="00660766">
        <w:rPr>
          <w:rFonts w:ascii="Palatino Linotype" w:eastAsia="Palatino Linotype" w:hAnsi="Palatino Linotype" w:cs="Palatino Linotype"/>
          <w:b/>
          <w:sz w:val="22"/>
          <w:szCs w:val="22"/>
        </w:rPr>
        <w:t>MEX/CT/SO/JUN/022/180626/A13</w:t>
      </w:r>
      <w:r w:rsidRPr="00660766">
        <w:rPr>
          <w:sz w:val="22"/>
          <w:szCs w:val="22"/>
        </w:rPr>
        <w:t xml:space="preserve">, </w:t>
      </w:r>
      <w:r w:rsidRPr="00660766">
        <w:rPr>
          <w:rFonts w:ascii="Palatino Linotype" w:hAnsi="Palatino Linotype"/>
          <w:sz w:val="22"/>
          <w:szCs w:val="22"/>
        </w:rPr>
        <w:t xml:space="preserve">tomando en consideración </w:t>
      </w:r>
      <w:r w:rsidRPr="00660766">
        <w:rPr>
          <w:rFonts w:ascii="Palatino Linotype" w:hAnsi="Palatino Linotype"/>
          <w:b/>
          <w:sz w:val="22"/>
          <w:szCs w:val="22"/>
        </w:rPr>
        <w:t>el</w:t>
      </w:r>
      <w:r w:rsidR="00C612B8" w:rsidRPr="00660766">
        <w:rPr>
          <w:rFonts w:ascii="Palatino Linotype" w:hAnsi="Palatino Linotype"/>
          <w:b/>
          <w:sz w:val="22"/>
          <w:szCs w:val="22"/>
        </w:rPr>
        <w:t xml:space="preserve"> número de solicitudes ingresadas, el</w:t>
      </w:r>
      <w:r w:rsidRPr="00660766">
        <w:rPr>
          <w:rFonts w:ascii="Palatino Linotype" w:hAnsi="Palatino Linotype"/>
          <w:b/>
          <w:sz w:val="22"/>
          <w:szCs w:val="22"/>
        </w:rPr>
        <w:t xml:space="preserve"> cúmulo de información que se pretende entregar</w:t>
      </w:r>
      <w:r w:rsidR="00C612B8" w:rsidRPr="00660766">
        <w:rPr>
          <w:rFonts w:ascii="Palatino Linotype" w:hAnsi="Palatino Linotype"/>
          <w:b/>
          <w:sz w:val="22"/>
          <w:szCs w:val="22"/>
        </w:rPr>
        <w:t xml:space="preserve"> </w:t>
      </w:r>
      <w:r w:rsidR="0010370F" w:rsidRPr="00660766">
        <w:rPr>
          <w:rFonts w:ascii="Palatino Linotype" w:hAnsi="Palatino Linotype"/>
          <w:b/>
          <w:sz w:val="22"/>
          <w:szCs w:val="22"/>
        </w:rPr>
        <w:t xml:space="preserve">para atender dichas solicitudes </w:t>
      </w:r>
      <w:r w:rsidR="00C612B8" w:rsidRPr="00660766">
        <w:rPr>
          <w:rFonts w:ascii="Palatino Linotype" w:hAnsi="Palatino Linotype"/>
          <w:b/>
          <w:sz w:val="22"/>
          <w:szCs w:val="22"/>
        </w:rPr>
        <w:t>equivalente a 8,000 hojas aproximadamente</w:t>
      </w:r>
      <w:r w:rsidR="00C612B8" w:rsidRPr="00660766">
        <w:rPr>
          <w:rFonts w:ascii="Palatino Linotype" w:hAnsi="Palatino Linotype"/>
          <w:sz w:val="22"/>
          <w:szCs w:val="22"/>
        </w:rPr>
        <w:t>, así como el proceso de digitalización que representa una carga material y operativa extraordinaria para el área responsable de la información, cuyos recursos técnicos y humanos no son suficientes para efectuar el proceso en el plazo que la normativa establece para dar respuesta.</w:t>
      </w:r>
    </w:p>
    <w:p w14:paraId="60328795" w14:textId="53D5B19A" w:rsidR="00967ACD" w:rsidRPr="00660766" w:rsidRDefault="004F4544" w:rsidP="009708D6">
      <w:pPr>
        <w:spacing w:before="240" w:after="240" w:line="360" w:lineRule="auto"/>
        <w:jc w:val="both"/>
        <w:rPr>
          <w:rFonts w:ascii="Palatino Linotype" w:hAnsi="Palatino Linotype"/>
          <w:sz w:val="22"/>
          <w:szCs w:val="22"/>
        </w:rPr>
      </w:pPr>
      <w:r w:rsidRPr="00660766">
        <w:rPr>
          <w:rFonts w:ascii="Palatino Linotype" w:hAnsi="Palatino Linotype"/>
          <w:sz w:val="22"/>
          <w:szCs w:val="22"/>
        </w:rPr>
        <w:t xml:space="preserve">Sobre dicha circunstancia, el Vigésimo Cuarto de los Lineamientos para la operación del Sistema de Acceso a la Información Mexiquense (SAIMEX) y del Sistema de Acceso, Rectificación, Cancelación y Oposición de Datos Personales del Estado de México (SARCOEM), establece que los sistemas electrónicos (plataformas digitales SAIMEX y SARCOEM) cuentan con una capacidad máxima de carga dentro del servidor con un peso total de </w:t>
      </w:r>
      <w:r w:rsidRPr="00660766">
        <w:rPr>
          <w:rFonts w:ascii="Palatino Linotype" w:hAnsi="Palatino Linotype"/>
          <w:b/>
          <w:sz w:val="22"/>
          <w:szCs w:val="22"/>
          <w:u w:val="single"/>
        </w:rPr>
        <w:t>quinientos megabytes (500 Mb</w:t>
      </w:r>
      <w:r w:rsidRPr="00660766">
        <w:rPr>
          <w:rFonts w:ascii="Palatino Linotype" w:hAnsi="Palatino Linotype"/>
          <w:sz w:val="22"/>
          <w:szCs w:val="22"/>
          <w:u w:val="single"/>
        </w:rPr>
        <w:t>)</w:t>
      </w:r>
      <w:r w:rsidRPr="00660766">
        <w:rPr>
          <w:rFonts w:ascii="Palatino Linotype" w:hAnsi="Palatino Linotype"/>
          <w:sz w:val="22"/>
          <w:szCs w:val="22"/>
        </w:rPr>
        <w:t xml:space="preserve"> o su equivalente a</w:t>
      </w:r>
      <w:r w:rsidR="00967ACD" w:rsidRPr="00660766">
        <w:rPr>
          <w:rFonts w:ascii="Palatino Linotype" w:hAnsi="Palatino Linotype"/>
          <w:sz w:val="22"/>
          <w:szCs w:val="22"/>
        </w:rPr>
        <w:t xml:space="preserve"> ocho mil fojas aproximadamente, </w:t>
      </w:r>
      <w:r w:rsidR="00967ACD" w:rsidRPr="00660766">
        <w:rPr>
          <w:rFonts w:ascii="Palatino Linotype" w:hAnsi="Palatino Linotype"/>
          <w:b/>
          <w:sz w:val="22"/>
          <w:szCs w:val="22"/>
        </w:rPr>
        <w:t>en cada expediente generado en el respectivo sistema.</w:t>
      </w:r>
    </w:p>
    <w:p w14:paraId="6762A746" w14:textId="01B0BE24" w:rsidR="00B84B64" w:rsidRPr="00660766" w:rsidRDefault="00967ACD" w:rsidP="009708D6">
      <w:pPr>
        <w:spacing w:before="240" w:after="240" w:line="360" w:lineRule="auto"/>
        <w:jc w:val="both"/>
        <w:rPr>
          <w:rFonts w:ascii="Palatino Linotype" w:hAnsi="Palatino Linotype"/>
          <w:sz w:val="22"/>
          <w:szCs w:val="22"/>
        </w:rPr>
      </w:pPr>
      <w:r w:rsidRPr="00660766">
        <w:rPr>
          <w:rFonts w:ascii="Palatino Linotype" w:hAnsi="Palatino Linotype"/>
          <w:sz w:val="22"/>
          <w:szCs w:val="22"/>
        </w:rPr>
        <w:t xml:space="preserve">En el caso particular, el </w:t>
      </w:r>
      <w:r w:rsidRPr="00660766">
        <w:rPr>
          <w:rFonts w:ascii="Palatino Linotype" w:hAnsi="Palatino Linotype"/>
          <w:b/>
          <w:sz w:val="22"/>
          <w:szCs w:val="22"/>
        </w:rPr>
        <w:t xml:space="preserve">Sujeto Obligado </w:t>
      </w:r>
      <w:r w:rsidRPr="00660766">
        <w:rPr>
          <w:rFonts w:ascii="Palatino Linotype" w:hAnsi="Palatino Linotype"/>
          <w:sz w:val="22"/>
          <w:szCs w:val="22"/>
        </w:rPr>
        <w:t xml:space="preserve">no precisó con exactitud el cúmulo de información con la cual se daría atención a cada solicitud, toda vez que de manera general se pronunció respecto de 62 solicitudes de información, entre las cuales se encuentra la que dio origen al recurso de revisión que nos ocupa, e indicó que para atender dichas solicitudes, en la modalidad de entrega inicialmente elegida, se debía realizar el proceso de digitalización de un número tentativo de 8,000 hojas, es decir, </w:t>
      </w:r>
      <w:r w:rsidRPr="00660766">
        <w:rPr>
          <w:rFonts w:ascii="Palatino Linotype" w:hAnsi="Palatino Linotype"/>
          <w:b/>
          <w:sz w:val="22"/>
          <w:szCs w:val="22"/>
        </w:rPr>
        <w:t xml:space="preserve">no precisó de manera clara el número de hojas y el peso de la información </w:t>
      </w:r>
      <w:r w:rsidRPr="00660766">
        <w:rPr>
          <w:rFonts w:ascii="Palatino Linotype" w:hAnsi="Palatino Linotype"/>
          <w:b/>
          <w:sz w:val="22"/>
          <w:szCs w:val="22"/>
          <w:u w:val="single"/>
        </w:rPr>
        <w:t>por cada solicitud</w:t>
      </w:r>
      <w:r w:rsidRPr="00660766">
        <w:rPr>
          <w:rFonts w:ascii="Palatino Linotype" w:hAnsi="Palatino Linotype"/>
          <w:b/>
          <w:sz w:val="22"/>
          <w:szCs w:val="22"/>
        </w:rPr>
        <w:t>, o cuando menos un aproximado</w:t>
      </w:r>
      <w:r w:rsidR="00B84B64" w:rsidRPr="00660766">
        <w:rPr>
          <w:rFonts w:ascii="Palatino Linotype" w:hAnsi="Palatino Linotype"/>
          <w:sz w:val="22"/>
          <w:szCs w:val="22"/>
        </w:rPr>
        <w:t>, que acreditara la imposibilidad técnica para proporcionar la información requerida en la solicitud 00184/MEXICAL/IP/2026 a través del SAIMEX.</w:t>
      </w:r>
    </w:p>
    <w:p w14:paraId="21135F24" w14:textId="09B70083" w:rsidR="00B84B64" w:rsidRPr="00660766" w:rsidRDefault="00B84B64" w:rsidP="00B84B64">
      <w:pPr>
        <w:spacing w:before="240" w:after="240" w:line="360" w:lineRule="auto"/>
        <w:jc w:val="both"/>
        <w:rPr>
          <w:rFonts w:ascii="Palatino Linotype" w:eastAsia="Palatino Linotype" w:hAnsi="Palatino Linotype" w:cs="Palatino Linotype"/>
          <w:sz w:val="22"/>
          <w:szCs w:val="22"/>
        </w:rPr>
      </w:pPr>
      <w:r w:rsidRPr="00660766">
        <w:rPr>
          <w:rFonts w:ascii="Palatino Linotype" w:hAnsi="Palatino Linotype"/>
          <w:sz w:val="22"/>
          <w:szCs w:val="22"/>
        </w:rPr>
        <w:t xml:space="preserve">Asimismo, para mejor proveer, se </w:t>
      </w:r>
      <w:r w:rsidRPr="00660766">
        <w:rPr>
          <w:rFonts w:ascii="Palatino Linotype" w:eastAsia="Palatino Linotype" w:hAnsi="Palatino Linotype" w:cs="Palatino Linotype"/>
          <w:sz w:val="22"/>
          <w:szCs w:val="22"/>
        </w:rPr>
        <w:t>solicitó al</w:t>
      </w:r>
      <w:r w:rsidR="004F4544" w:rsidRPr="00660766">
        <w:rPr>
          <w:rFonts w:ascii="Palatino Linotype" w:eastAsia="Palatino Linotype" w:hAnsi="Palatino Linotype" w:cs="Palatino Linotype"/>
          <w:sz w:val="22"/>
          <w:szCs w:val="22"/>
        </w:rPr>
        <w:t xml:space="preserve"> Director General de Informática de este Instituto el registro de incidencia en la bitácora correspondiente, </w:t>
      </w:r>
      <w:r w:rsidRPr="00660766">
        <w:rPr>
          <w:rFonts w:ascii="Palatino Linotype" w:eastAsia="Palatino Linotype" w:hAnsi="Palatino Linotype" w:cs="Palatino Linotype"/>
          <w:sz w:val="22"/>
          <w:szCs w:val="22"/>
        </w:rPr>
        <w:t>sin embargo, en cuya respuesta manifestó que no se tenía registro de incidencia referente al recurso de revisión y/o solicitud, como se lee en seguida:</w:t>
      </w:r>
    </w:p>
    <w:p w14:paraId="4C9B52F8" w14:textId="5ED549A7" w:rsidR="00B84B64" w:rsidRPr="00660766" w:rsidRDefault="00B84B64" w:rsidP="00B84B64">
      <w:pPr>
        <w:spacing w:before="240" w:after="240" w:line="360" w:lineRule="auto"/>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538B7346" wp14:editId="4EE9502E">
            <wp:extent cx="4500000" cy="333606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0000" cy="3336066"/>
                    </a:xfrm>
                    <a:prstGeom prst="rect">
                      <a:avLst/>
                    </a:prstGeom>
                    <a:noFill/>
                    <a:ln>
                      <a:noFill/>
                    </a:ln>
                  </pic:spPr>
                </pic:pic>
              </a:graphicData>
            </a:graphic>
          </wp:inline>
        </w:drawing>
      </w:r>
    </w:p>
    <w:p w14:paraId="2E1C02ED" w14:textId="10EE2E02" w:rsidR="00B84B64" w:rsidRPr="00660766" w:rsidRDefault="00B84B64" w:rsidP="00B84B64">
      <w:pPr>
        <w:spacing w:before="240" w:after="240" w:line="360" w:lineRule="auto"/>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0F66DE60" wp14:editId="3559AF68">
            <wp:extent cx="4500000" cy="4037004"/>
            <wp:effectExtent l="0" t="0" r="0" b="190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00000" cy="4037004"/>
                    </a:xfrm>
                    <a:prstGeom prst="rect">
                      <a:avLst/>
                    </a:prstGeom>
                    <a:noFill/>
                    <a:ln>
                      <a:noFill/>
                    </a:ln>
                  </pic:spPr>
                </pic:pic>
              </a:graphicData>
            </a:graphic>
          </wp:inline>
        </w:drawing>
      </w:r>
    </w:p>
    <w:p w14:paraId="7850D9E3" w14:textId="4D6EAA63" w:rsidR="00B545F4" w:rsidRPr="00660766" w:rsidRDefault="00846734"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De manera que en el presente asunto, el </w:t>
      </w:r>
      <w:r w:rsidRPr="00660766">
        <w:rPr>
          <w:rFonts w:ascii="Palatino Linotype" w:eastAsia="Palatino Linotype" w:hAnsi="Palatino Linotype" w:cs="Palatino Linotype"/>
          <w:b/>
          <w:sz w:val="22"/>
          <w:szCs w:val="22"/>
        </w:rPr>
        <w:t>Sujeto Obligado</w:t>
      </w:r>
      <w:r w:rsidR="007B4993" w:rsidRPr="00660766">
        <w:rPr>
          <w:rFonts w:ascii="Palatino Linotype" w:eastAsia="Palatino Linotype" w:hAnsi="Palatino Linotype" w:cs="Palatino Linotype"/>
          <w:b/>
          <w:sz w:val="22"/>
          <w:szCs w:val="22"/>
        </w:rPr>
        <w:t xml:space="preserve"> NO</w:t>
      </w:r>
      <w:r w:rsidRPr="00660766">
        <w:rPr>
          <w:rFonts w:ascii="Palatino Linotype" w:eastAsia="Palatino Linotype" w:hAnsi="Palatino Linotype" w:cs="Palatino Linotype"/>
          <w:b/>
          <w:sz w:val="22"/>
          <w:szCs w:val="22"/>
        </w:rPr>
        <w:t xml:space="preserve"> </w:t>
      </w:r>
      <w:r w:rsidRPr="00660766">
        <w:rPr>
          <w:rFonts w:ascii="Palatino Linotype" w:eastAsia="Palatino Linotype" w:hAnsi="Palatino Linotype" w:cs="Palatino Linotype"/>
          <w:sz w:val="22"/>
          <w:szCs w:val="22"/>
        </w:rPr>
        <w:t>justifico de manera clara, la necesidad de</w:t>
      </w:r>
      <w:r w:rsidR="00DC0283" w:rsidRPr="00660766">
        <w:rPr>
          <w:rFonts w:ascii="Palatino Linotype" w:eastAsia="Palatino Linotype" w:hAnsi="Palatino Linotype" w:cs="Palatino Linotype"/>
          <w:sz w:val="22"/>
          <w:szCs w:val="22"/>
        </w:rPr>
        <w:t xml:space="preserve"> realizar e</w:t>
      </w:r>
      <w:r w:rsidRPr="00660766">
        <w:rPr>
          <w:rFonts w:ascii="Palatino Linotype" w:eastAsia="Palatino Linotype" w:hAnsi="Palatino Linotype" w:cs="Palatino Linotype"/>
          <w:sz w:val="22"/>
          <w:szCs w:val="22"/>
        </w:rPr>
        <w:t xml:space="preserve">l cambio de </w:t>
      </w:r>
      <w:r w:rsidR="0064323E" w:rsidRPr="00660766">
        <w:rPr>
          <w:rFonts w:ascii="Palatino Linotype" w:eastAsia="Palatino Linotype" w:hAnsi="Palatino Linotype" w:cs="Palatino Linotype"/>
          <w:sz w:val="22"/>
          <w:szCs w:val="22"/>
        </w:rPr>
        <w:t>modalidad en la entrega de la información</w:t>
      </w:r>
      <w:r w:rsidR="0064323E" w:rsidRPr="00660766">
        <w:rPr>
          <w:rFonts w:ascii="Palatino Linotype" w:eastAsia="Palatino Linotype" w:hAnsi="Palatino Linotype" w:cs="Palatino Linotype"/>
          <w:i/>
          <w:sz w:val="22"/>
          <w:szCs w:val="22"/>
        </w:rPr>
        <w:t xml:space="preserve">, </w:t>
      </w:r>
      <w:r w:rsidR="0003529E" w:rsidRPr="00660766">
        <w:rPr>
          <w:rFonts w:ascii="Palatino Linotype" w:eastAsia="Palatino Linotype" w:hAnsi="Palatino Linotype" w:cs="Palatino Linotype"/>
          <w:sz w:val="22"/>
          <w:szCs w:val="22"/>
        </w:rPr>
        <w:t xml:space="preserve">ya que no </w:t>
      </w:r>
      <w:r w:rsidR="00DC0283" w:rsidRPr="00660766">
        <w:rPr>
          <w:rFonts w:ascii="Palatino Linotype" w:eastAsia="Palatino Linotype" w:hAnsi="Palatino Linotype" w:cs="Palatino Linotype"/>
          <w:sz w:val="22"/>
          <w:szCs w:val="22"/>
        </w:rPr>
        <w:t xml:space="preserve">señaló de manera exacta </w:t>
      </w:r>
      <w:r w:rsidR="007C5709" w:rsidRPr="00660766">
        <w:rPr>
          <w:rFonts w:ascii="Palatino Linotype" w:eastAsia="Palatino Linotype" w:hAnsi="Palatino Linotype" w:cs="Palatino Linotype"/>
          <w:sz w:val="22"/>
          <w:szCs w:val="22"/>
        </w:rPr>
        <w:t>el número de</w:t>
      </w:r>
      <w:r w:rsidR="004C05CC" w:rsidRPr="00660766">
        <w:rPr>
          <w:rFonts w:ascii="Palatino Linotype" w:eastAsia="Palatino Linotype" w:hAnsi="Palatino Linotype" w:cs="Palatino Linotype"/>
          <w:sz w:val="22"/>
          <w:szCs w:val="22"/>
        </w:rPr>
        <w:t xml:space="preserve"> hojas</w:t>
      </w:r>
      <w:r w:rsidR="00B545F4" w:rsidRPr="00660766">
        <w:rPr>
          <w:rFonts w:ascii="Palatino Linotype" w:eastAsia="Palatino Linotype" w:hAnsi="Palatino Linotype" w:cs="Palatino Linotype"/>
          <w:sz w:val="22"/>
          <w:szCs w:val="22"/>
        </w:rPr>
        <w:t xml:space="preserve"> y el peso</w:t>
      </w:r>
      <w:r w:rsidR="004C05CC" w:rsidRPr="00660766">
        <w:rPr>
          <w:rFonts w:ascii="Palatino Linotype" w:eastAsia="Palatino Linotype" w:hAnsi="Palatino Linotype" w:cs="Palatino Linotype"/>
          <w:sz w:val="22"/>
          <w:szCs w:val="22"/>
        </w:rPr>
        <w:t xml:space="preserve"> </w:t>
      </w:r>
      <w:r w:rsidR="00BD0A7C" w:rsidRPr="00660766">
        <w:rPr>
          <w:rFonts w:ascii="Palatino Linotype" w:eastAsia="Palatino Linotype" w:hAnsi="Palatino Linotype" w:cs="Palatino Linotype"/>
          <w:sz w:val="22"/>
          <w:szCs w:val="22"/>
        </w:rPr>
        <w:t>o cuando menos un aproximado por cada documento</w:t>
      </w:r>
      <w:r w:rsidR="00B545F4" w:rsidRPr="00660766">
        <w:rPr>
          <w:rFonts w:ascii="Palatino Linotype" w:eastAsia="Palatino Linotype" w:hAnsi="Palatino Linotype" w:cs="Palatino Linotype"/>
          <w:sz w:val="22"/>
          <w:szCs w:val="22"/>
        </w:rPr>
        <w:t xml:space="preserve"> generado </w:t>
      </w:r>
      <w:r w:rsidR="00A221DA" w:rsidRPr="00660766">
        <w:rPr>
          <w:rFonts w:ascii="Palatino Linotype" w:eastAsia="Palatino Linotype" w:hAnsi="Palatino Linotype" w:cs="Palatino Linotype"/>
          <w:sz w:val="22"/>
          <w:szCs w:val="22"/>
        </w:rPr>
        <w:t>que será entregado para dar respuesta a la solicitud.</w:t>
      </w:r>
    </w:p>
    <w:p w14:paraId="7076CCA8" w14:textId="4C48F4CA" w:rsidR="001F5092" w:rsidRPr="00660766" w:rsidRDefault="001D2394"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w:t>
      </w:r>
      <w:r w:rsidR="00A221DA" w:rsidRPr="00660766">
        <w:rPr>
          <w:rFonts w:ascii="Palatino Linotype" w:eastAsia="Palatino Linotype" w:hAnsi="Palatino Linotype" w:cs="Palatino Linotype"/>
          <w:sz w:val="22"/>
          <w:szCs w:val="22"/>
        </w:rPr>
        <w:t xml:space="preserve">demás de lo anterior, </w:t>
      </w:r>
      <w:r w:rsidRPr="00660766">
        <w:rPr>
          <w:rFonts w:ascii="Palatino Linotype" w:eastAsia="Palatino Linotype" w:hAnsi="Palatino Linotype" w:cs="Palatino Linotype"/>
          <w:sz w:val="22"/>
          <w:szCs w:val="22"/>
        </w:rPr>
        <w:t xml:space="preserve">es de señalar que en el presente asunto </w:t>
      </w:r>
      <w:r w:rsidR="003F485B" w:rsidRPr="00660766">
        <w:rPr>
          <w:rFonts w:ascii="Palatino Linotype" w:eastAsia="Palatino Linotype" w:hAnsi="Palatino Linotype" w:cs="Palatino Linotype"/>
          <w:sz w:val="22"/>
          <w:szCs w:val="22"/>
        </w:rPr>
        <w:t>el cambio de modalidad en la entrega de la información a consulta directa no es justificable, ya que atendiendo a la materia de la solicitud</w:t>
      </w:r>
      <w:r w:rsidR="0032762F" w:rsidRPr="00660766">
        <w:rPr>
          <w:rFonts w:ascii="Palatino Linotype" w:eastAsia="Palatino Linotype" w:hAnsi="Palatino Linotype" w:cs="Palatino Linotype"/>
          <w:sz w:val="22"/>
          <w:szCs w:val="22"/>
        </w:rPr>
        <w:t>,</w:t>
      </w:r>
      <w:r w:rsidR="0032762F" w:rsidRPr="00660766">
        <w:rPr>
          <w:rFonts w:ascii="Palatino Linotype" w:eastAsia="Palatino Linotype" w:hAnsi="Palatino Linotype" w:cs="Palatino Linotype"/>
          <w:b/>
          <w:sz w:val="22"/>
          <w:szCs w:val="22"/>
        </w:rPr>
        <w:t xml:space="preserve"> </w:t>
      </w:r>
      <w:r w:rsidR="0032762F" w:rsidRPr="00660766">
        <w:rPr>
          <w:rFonts w:ascii="Palatino Linotype" w:eastAsia="Palatino Linotype" w:hAnsi="Palatino Linotype" w:cs="Palatino Linotype"/>
          <w:b/>
          <w:sz w:val="22"/>
          <w:szCs w:val="22"/>
          <w:u w:val="single"/>
        </w:rPr>
        <w:t>se trata de una obligación de transparencia</w:t>
      </w:r>
      <w:r w:rsidR="0032762F" w:rsidRPr="00660766">
        <w:rPr>
          <w:rFonts w:ascii="Palatino Linotype" w:eastAsia="Palatino Linotype" w:hAnsi="Palatino Linotype" w:cs="Palatino Linotype"/>
          <w:sz w:val="22"/>
          <w:szCs w:val="22"/>
        </w:rPr>
        <w:t xml:space="preserve">, </w:t>
      </w:r>
      <w:r w:rsidR="001F5092" w:rsidRPr="00660766">
        <w:rPr>
          <w:rFonts w:ascii="Palatino Linotype" w:eastAsia="Palatino Linotype" w:hAnsi="Palatino Linotype" w:cs="Palatino Linotype"/>
          <w:sz w:val="22"/>
          <w:szCs w:val="22"/>
        </w:rPr>
        <w:t>ya que el ente público</w:t>
      </w:r>
      <w:r w:rsidR="001F5092" w:rsidRPr="00660766">
        <w:rPr>
          <w:rFonts w:ascii="Palatino Linotype" w:eastAsia="Palatino Linotype" w:hAnsi="Palatino Linotype" w:cs="Palatino Linotype"/>
          <w:b/>
          <w:sz w:val="22"/>
          <w:szCs w:val="22"/>
        </w:rPr>
        <w:t xml:space="preserve"> </w:t>
      </w:r>
      <w:r w:rsidR="001F5092" w:rsidRPr="00660766">
        <w:rPr>
          <w:rFonts w:ascii="Palatino Linotype" w:eastAsia="Palatino Linotype" w:hAnsi="Palatino Linotype" w:cs="Palatino Linotype"/>
          <w:sz w:val="22"/>
          <w:szCs w:val="22"/>
        </w:rPr>
        <w:t xml:space="preserve">se encuentra obligado a aponer a disposición del público, de manera permanente y actualizada en los respectivos medios electrónicos, información sobre los procesos y resultados sobre procedimientos de adjudicación directa, invitación restringida y licitación de cualquier naturaleza, incluyendo la versión pública </w:t>
      </w:r>
      <w:r w:rsidR="001F5092" w:rsidRPr="00660766">
        <w:rPr>
          <w:rFonts w:ascii="Palatino Linotype" w:eastAsia="Palatino Linotype" w:hAnsi="Palatino Linotype" w:cs="Palatino Linotype"/>
          <w:bCs/>
          <w:sz w:val="22"/>
          <w:szCs w:val="22"/>
        </w:rPr>
        <w:t xml:space="preserve">del expediente respectivo y </w:t>
      </w:r>
      <w:r w:rsidR="001F5092" w:rsidRPr="00660766">
        <w:rPr>
          <w:rFonts w:ascii="Palatino Linotype" w:eastAsia="Palatino Linotype" w:hAnsi="Palatino Linotype" w:cs="Palatino Linotype"/>
          <w:sz w:val="22"/>
          <w:szCs w:val="22"/>
        </w:rPr>
        <w:t xml:space="preserve">de los </w:t>
      </w:r>
      <w:r w:rsidR="001F5092" w:rsidRPr="00660766">
        <w:rPr>
          <w:rFonts w:ascii="Palatino Linotype" w:eastAsia="Palatino Linotype" w:hAnsi="Palatino Linotype" w:cs="Palatino Linotype"/>
          <w:b/>
          <w:sz w:val="22"/>
          <w:szCs w:val="22"/>
        </w:rPr>
        <w:t>contratos celebrados</w:t>
      </w:r>
      <w:r w:rsidR="001F5092" w:rsidRPr="00660766">
        <w:rPr>
          <w:rFonts w:ascii="Palatino Linotype" w:eastAsia="Palatino Linotype" w:hAnsi="Palatino Linotype" w:cs="Palatino Linotype"/>
          <w:sz w:val="22"/>
          <w:szCs w:val="22"/>
        </w:rPr>
        <w:t>; como se desprende del artículo 92, fracción XXIX de la Ley de Transparencia y Acceso a la Información Pública del Estado de México y Municipios:</w:t>
      </w:r>
    </w:p>
    <w:p w14:paraId="6F6C59E9" w14:textId="77777777" w:rsidR="004A16D6" w:rsidRPr="00660766" w:rsidRDefault="004A16D6" w:rsidP="009708D6">
      <w:pPr>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Artículo 92</w:t>
      </w:r>
      <w:r w:rsidRPr="00660766">
        <w:rPr>
          <w:rFonts w:ascii="Palatino Linotype" w:eastAsia="Palatino Linotype" w:hAnsi="Palatino Linotype" w:cs="Palatino Linotype"/>
          <w:i/>
          <w:sz w:val="22"/>
          <w:szCs w:val="22"/>
        </w:rPr>
        <w:t>.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2AC2276C" w14:textId="77777777" w:rsidR="004A16D6" w:rsidRPr="00660766" w:rsidRDefault="004A16D6" w:rsidP="009708D6">
      <w:pPr>
        <w:tabs>
          <w:tab w:val="left" w:pos="426"/>
          <w:tab w:val="left" w:pos="2145"/>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i/>
          <w:sz w:val="22"/>
          <w:szCs w:val="22"/>
        </w:rPr>
        <w:tab/>
      </w:r>
    </w:p>
    <w:p w14:paraId="756F23BC"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XXIX.</w:t>
      </w:r>
      <w:r w:rsidRPr="00660766">
        <w:rPr>
          <w:rFonts w:ascii="Palatino Linotype" w:eastAsia="Palatino Linotype" w:hAnsi="Palatino Linotype" w:cs="Palatino Linotype"/>
          <w:i/>
          <w:sz w:val="22"/>
          <w:szCs w:val="22"/>
        </w:rPr>
        <w:t xml:space="preserve"> La </w:t>
      </w:r>
      <w:r w:rsidRPr="00660766">
        <w:rPr>
          <w:rFonts w:ascii="Palatino Linotype" w:eastAsia="Palatino Linotype" w:hAnsi="Palatino Linotype" w:cs="Palatino Linotype"/>
          <w:b/>
          <w:i/>
          <w:sz w:val="22"/>
          <w:szCs w:val="22"/>
        </w:rPr>
        <w:t xml:space="preserve">información sobre los procesos y resultados </w:t>
      </w:r>
      <w:r w:rsidRPr="00660766">
        <w:rPr>
          <w:rFonts w:ascii="Palatino Linotype" w:eastAsia="Palatino Linotype" w:hAnsi="Palatino Linotype" w:cs="Palatino Linotype"/>
          <w:b/>
          <w:i/>
          <w:sz w:val="22"/>
          <w:szCs w:val="22"/>
          <w:u w:val="single"/>
        </w:rPr>
        <w:t>sobre procedimientos de adjudicación directa, invitación restringida y licitación de cualquier naturaleza</w:t>
      </w:r>
      <w:r w:rsidRPr="00660766">
        <w:rPr>
          <w:rFonts w:ascii="Palatino Linotype" w:eastAsia="Palatino Linotype" w:hAnsi="Palatino Linotype" w:cs="Palatino Linotype"/>
          <w:i/>
          <w:sz w:val="22"/>
          <w:szCs w:val="22"/>
          <w:u w:val="single"/>
        </w:rPr>
        <w:t xml:space="preserve">, </w:t>
      </w:r>
      <w:r w:rsidRPr="00660766">
        <w:rPr>
          <w:rFonts w:ascii="Palatino Linotype" w:eastAsia="Palatino Linotype" w:hAnsi="Palatino Linotype" w:cs="Palatino Linotype"/>
          <w:b/>
          <w:i/>
          <w:sz w:val="22"/>
          <w:szCs w:val="22"/>
        </w:rPr>
        <w:t>incluyendo la versión pública</w:t>
      </w:r>
      <w:r w:rsidRPr="00660766">
        <w:rPr>
          <w:rFonts w:ascii="Palatino Linotype" w:eastAsia="Palatino Linotype" w:hAnsi="Palatino Linotype" w:cs="Palatino Linotype"/>
          <w:i/>
          <w:sz w:val="22"/>
          <w:szCs w:val="22"/>
        </w:rPr>
        <w:t xml:space="preserve"> del expediente respectivo y </w:t>
      </w:r>
      <w:r w:rsidRPr="00660766">
        <w:rPr>
          <w:rFonts w:ascii="Palatino Linotype" w:eastAsia="Palatino Linotype" w:hAnsi="Palatino Linotype" w:cs="Palatino Linotype"/>
          <w:b/>
          <w:i/>
          <w:sz w:val="22"/>
          <w:szCs w:val="22"/>
        </w:rPr>
        <w:t>de los contratos celebrados</w:t>
      </w:r>
      <w:r w:rsidRPr="00660766">
        <w:rPr>
          <w:rFonts w:ascii="Palatino Linotype" w:eastAsia="Palatino Linotype" w:hAnsi="Palatino Linotype" w:cs="Palatino Linotype"/>
          <w:i/>
          <w:sz w:val="22"/>
          <w:szCs w:val="22"/>
        </w:rPr>
        <w:t>, que deberán contener, por los menos, lo siguiente:</w:t>
      </w:r>
    </w:p>
    <w:p w14:paraId="43BAEAC4"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a) De licitaciones públicas o procedimientos de invitación restringida:</w:t>
      </w:r>
    </w:p>
    <w:p w14:paraId="74CD4AA0"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w:t>
      </w:r>
      <w:r w:rsidRPr="00660766">
        <w:rPr>
          <w:rFonts w:ascii="Palatino Linotype" w:eastAsia="Palatino Linotype" w:hAnsi="Palatino Linotype" w:cs="Palatino Linotype"/>
          <w:i/>
          <w:sz w:val="22"/>
          <w:szCs w:val="22"/>
        </w:rPr>
        <w:t xml:space="preserve"> La convocatoria o invitación emitida, así como los fundamentos legales aplicados para llevarla a cabo;</w:t>
      </w:r>
    </w:p>
    <w:p w14:paraId="02B4CBC6"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2)</w:t>
      </w:r>
      <w:r w:rsidRPr="00660766">
        <w:rPr>
          <w:rFonts w:ascii="Palatino Linotype" w:eastAsia="Palatino Linotype" w:hAnsi="Palatino Linotype" w:cs="Palatino Linotype"/>
          <w:i/>
          <w:sz w:val="22"/>
          <w:szCs w:val="22"/>
        </w:rPr>
        <w:t xml:space="preserve"> Los nombres de los participantes o invitados;</w:t>
      </w:r>
    </w:p>
    <w:p w14:paraId="6CFA10EA"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3)</w:t>
      </w:r>
      <w:r w:rsidRPr="00660766">
        <w:rPr>
          <w:rFonts w:ascii="Palatino Linotype" w:eastAsia="Palatino Linotype" w:hAnsi="Palatino Linotype" w:cs="Palatino Linotype"/>
          <w:i/>
          <w:sz w:val="22"/>
          <w:szCs w:val="22"/>
        </w:rPr>
        <w:t xml:space="preserve"> El nombre del ganador y las razones que lo justifican;</w:t>
      </w:r>
    </w:p>
    <w:p w14:paraId="5067E4BC"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4)</w:t>
      </w:r>
      <w:r w:rsidRPr="00660766">
        <w:rPr>
          <w:rFonts w:ascii="Palatino Linotype" w:eastAsia="Palatino Linotype" w:hAnsi="Palatino Linotype" w:cs="Palatino Linotype"/>
          <w:i/>
          <w:sz w:val="22"/>
          <w:szCs w:val="22"/>
        </w:rPr>
        <w:t xml:space="preserve"> El área solicitante y la responsable de su ejecución;</w:t>
      </w:r>
    </w:p>
    <w:p w14:paraId="3CBED74A"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5)</w:t>
      </w:r>
      <w:r w:rsidRPr="00660766">
        <w:rPr>
          <w:rFonts w:ascii="Palatino Linotype" w:eastAsia="Palatino Linotype" w:hAnsi="Palatino Linotype" w:cs="Palatino Linotype"/>
          <w:i/>
          <w:sz w:val="22"/>
          <w:szCs w:val="22"/>
        </w:rPr>
        <w:t xml:space="preserve"> Las convocatorias e invitaciones emitidas; </w:t>
      </w:r>
    </w:p>
    <w:p w14:paraId="0056074E"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6)</w:t>
      </w:r>
      <w:r w:rsidRPr="00660766">
        <w:rPr>
          <w:rFonts w:ascii="Palatino Linotype" w:eastAsia="Palatino Linotype" w:hAnsi="Palatino Linotype" w:cs="Palatino Linotype"/>
          <w:i/>
          <w:sz w:val="22"/>
          <w:szCs w:val="22"/>
        </w:rPr>
        <w:t xml:space="preserve"> Los dictámenes y fallo de adjudicación;</w:t>
      </w:r>
    </w:p>
    <w:p w14:paraId="7F62F181"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7) El contrato y, en su caso, sus anexos</w:t>
      </w:r>
      <w:r w:rsidRPr="00660766">
        <w:rPr>
          <w:rFonts w:ascii="Palatino Linotype" w:eastAsia="Palatino Linotype" w:hAnsi="Palatino Linotype" w:cs="Palatino Linotype"/>
          <w:i/>
          <w:sz w:val="22"/>
          <w:szCs w:val="22"/>
        </w:rPr>
        <w:t xml:space="preserve">; </w:t>
      </w:r>
    </w:p>
    <w:p w14:paraId="11D7EE95"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8)</w:t>
      </w:r>
      <w:r w:rsidRPr="00660766">
        <w:rPr>
          <w:rFonts w:ascii="Palatino Linotype" w:eastAsia="Palatino Linotype" w:hAnsi="Palatino Linotype" w:cs="Palatino Linotype"/>
          <w:i/>
          <w:sz w:val="22"/>
          <w:szCs w:val="22"/>
        </w:rPr>
        <w:t xml:space="preserve"> Los mecanismos de vigilancia y supervisión, incluyendo en su caso, los estudios de impacto urbano y ambiental, según corresponda;</w:t>
      </w:r>
    </w:p>
    <w:p w14:paraId="23E890A3"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9)</w:t>
      </w:r>
      <w:r w:rsidRPr="00660766">
        <w:rPr>
          <w:rFonts w:ascii="Palatino Linotype" w:eastAsia="Palatino Linotype" w:hAnsi="Palatino Linotype" w:cs="Palatino Linotype"/>
          <w:i/>
          <w:sz w:val="22"/>
          <w:szCs w:val="22"/>
        </w:rPr>
        <w:t xml:space="preserve"> La partida presupuestal, de conformidad con el clasificador por objeto del gasto, en el caso de ser aplicable; </w:t>
      </w:r>
    </w:p>
    <w:p w14:paraId="2C019422"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10)</w:t>
      </w:r>
      <w:r w:rsidRPr="00660766">
        <w:rPr>
          <w:rFonts w:ascii="Palatino Linotype" w:eastAsia="Palatino Linotype" w:hAnsi="Palatino Linotype" w:cs="Palatino Linotype"/>
          <w:i/>
          <w:sz w:val="22"/>
          <w:szCs w:val="22"/>
        </w:rPr>
        <w:t xml:space="preserve"> Origen de los recursos especificando si son federales, estatales o municipales, así como el tipo de fondo de participación o aportación respectiva;</w:t>
      </w:r>
    </w:p>
    <w:p w14:paraId="539CAACD"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11)</w:t>
      </w:r>
      <w:r w:rsidRPr="00660766">
        <w:rPr>
          <w:rFonts w:ascii="Palatino Linotype" w:eastAsia="Palatino Linotype" w:hAnsi="Palatino Linotype" w:cs="Palatino Linotype"/>
          <w:i/>
          <w:sz w:val="22"/>
          <w:szCs w:val="22"/>
        </w:rPr>
        <w:t xml:space="preserve"> Los convenios modificatorios que, en su caso, sean firmados, precisando el objeto y la fecha de celebración;</w:t>
      </w:r>
    </w:p>
    <w:p w14:paraId="3C515B21"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12)</w:t>
      </w:r>
      <w:r w:rsidRPr="00660766">
        <w:rPr>
          <w:rFonts w:ascii="Palatino Linotype" w:eastAsia="Palatino Linotype" w:hAnsi="Palatino Linotype" w:cs="Palatino Linotype"/>
          <w:i/>
          <w:sz w:val="22"/>
          <w:szCs w:val="22"/>
        </w:rPr>
        <w:t xml:space="preserve"> Los informes de avance físico y financiero sobre las obras o servicios contratados; </w:t>
      </w:r>
    </w:p>
    <w:p w14:paraId="1821E6F8"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13)</w:t>
      </w:r>
      <w:r w:rsidRPr="00660766">
        <w:rPr>
          <w:rFonts w:ascii="Palatino Linotype" w:eastAsia="Palatino Linotype" w:hAnsi="Palatino Linotype" w:cs="Palatino Linotype"/>
          <w:i/>
          <w:sz w:val="22"/>
          <w:szCs w:val="22"/>
        </w:rPr>
        <w:t xml:space="preserve"> El convenio de terminación; </w:t>
      </w:r>
    </w:p>
    <w:p w14:paraId="67A673BC"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14)</w:t>
      </w:r>
      <w:r w:rsidRPr="00660766">
        <w:rPr>
          <w:rFonts w:ascii="Palatino Linotype" w:eastAsia="Palatino Linotype" w:hAnsi="Palatino Linotype" w:cs="Palatino Linotype"/>
          <w:i/>
          <w:sz w:val="22"/>
          <w:szCs w:val="22"/>
        </w:rPr>
        <w:t xml:space="preserve"> El finiquito.</w:t>
      </w:r>
    </w:p>
    <w:p w14:paraId="77B2E39C"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 xml:space="preserve">b) De las adjudicaciones directas: </w:t>
      </w:r>
    </w:p>
    <w:p w14:paraId="24D2E297"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w:t>
      </w:r>
      <w:r w:rsidRPr="00660766">
        <w:rPr>
          <w:rFonts w:ascii="Palatino Linotype" w:eastAsia="Palatino Linotype" w:hAnsi="Palatino Linotype" w:cs="Palatino Linotype"/>
          <w:i/>
          <w:sz w:val="22"/>
          <w:szCs w:val="22"/>
        </w:rPr>
        <w:t xml:space="preserve"> La propuesta enviada por el participante; </w:t>
      </w:r>
    </w:p>
    <w:p w14:paraId="494B8BB4"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2)</w:t>
      </w:r>
      <w:r w:rsidRPr="00660766">
        <w:rPr>
          <w:rFonts w:ascii="Palatino Linotype" w:eastAsia="Palatino Linotype" w:hAnsi="Palatino Linotype" w:cs="Palatino Linotype"/>
          <w:i/>
          <w:sz w:val="22"/>
          <w:szCs w:val="22"/>
        </w:rPr>
        <w:t xml:space="preserve"> Los motivos y fundamentos legales aplicados para llevarla a cabo;</w:t>
      </w:r>
    </w:p>
    <w:p w14:paraId="723B51DA"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3)</w:t>
      </w:r>
      <w:r w:rsidRPr="00660766">
        <w:rPr>
          <w:rFonts w:ascii="Palatino Linotype" w:eastAsia="Palatino Linotype" w:hAnsi="Palatino Linotype" w:cs="Palatino Linotype"/>
          <w:i/>
          <w:sz w:val="22"/>
          <w:szCs w:val="22"/>
        </w:rPr>
        <w:t xml:space="preserve"> La autorización del ejercicio de la opción; </w:t>
      </w:r>
    </w:p>
    <w:p w14:paraId="68C013C0"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 xml:space="preserve">4) </w:t>
      </w:r>
      <w:r w:rsidRPr="00660766">
        <w:rPr>
          <w:rFonts w:ascii="Palatino Linotype" w:eastAsia="Palatino Linotype" w:hAnsi="Palatino Linotype" w:cs="Palatino Linotype"/>
          <w:i/>
          <w:sz w:val="22"/>
          <w:szCs w:val="22"/>
        </w:rPr>
        <w:t>En su caso, las cotizaciones consideradas, especificando los nombres de los proveedores y sus montos;</w:t>
      </w:r>
      <w:r w:rsidRPr="00660766">
        <w:rPr>
          <w:rFonts w:ascii="Palatino Linotype" w:eastAsia="Palatino Linotype" w:hAnsi="Palatino Linotype" w:cs="Palatino Linotype"/>
          <w:b/>
          <w:i/>
          <w:sz w:val="22"/>
          <w:szCs w:val="22"/>
        </w:rPr>
        <w:t xml:space="preserve"> </w:t>
      </w:r>
    </w:p>
    <w:p w14:paraId="2BC29AD2"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5)</w:t>
      </w:r>
      <w:r w:rsidRPr="00660766">
        <w:rPr>
          <w:rFonts w:ascii="Palatino Linotype" w:eastAsia="Palatino Linotype" w:hAnsi="Palatino Linotype" w:cs="Palatino Linotype"/>
          <w:i/>
          <w:sz w:val="22"/>
          <w:szCs w:val="22"/>
        </w:rPr>
        <w:t xml:space="preserve"> El nombre de la persona física o jurídica colectiva adjudicada; </w:t>
      </w:r>
    </w:p>
    <w:p w14:paraId="63BA3D9C"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6)</w:t>
      </w:r>
      <w:r w:rsidRPr="00660766">
        <w:rPr>
          <w:rFonts w:ascii="Palatino Linotype" w:eastAsia="Palatino Linotype" w:hAnsi="Palatino Linotype" w:cs="Palatino Linotype"/>
          <w:i/>
          <w:sz w:val="22"/>
          <w:szCs w:val="22"/>
        </w:rPr>
        <w:t xml:space="preserve"> La unidad administrativa solicitante y la responsable de su ejecución; </w:t>
      </w:r>
    </w:p>
    <w:p w14:paraId="7ADA62E9"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 xml:space="preserve">7) </w:t>
      </w:r>
      <w:r w:rsidRPr="00660766">
        <w:rPr>
          <w:rFonts w:ascii="Palatino Linotype" w:eastAsia="Palatino Linotype" w:hAnsi="Palatino Linotype" w:cs="Palatino Linotype"/>
          <w:i/>
          <w:sz w:val="22"/>
          <w:szCs w:val="22"/>
        </w:rPr>
        <w:t xml:space="preserve">El número, fecha, </w:t>
      </w:r>
      <w:r w:rsidRPr="00660766">
        <w:rPr>
          <w:rFonts w:ascii="Palatino Linotype" w:eastAsia="Palatino Linotype" w:hAnsi="Palatino Linotype" w:cs="Palatino Linotype"/>
          <w:b/>
          <w:i/>
          <w:sz w:val="22"/>
          <w:szCs w:val="22"/>
        </w:rPr>
        <w:t>el monto del contrato</w:t>
      </w:r>
      <w:r w:rsidRPr="00660766">
        <w:rPr>
          <w:rFonts w:ascii="Palatino Linotype" w:eastAsia="Palatino Linotype" w:hAnsi="Palatino Linotype" w:cs="Palatino Linotype"/>
          <w:i/>
          <w:sz w:val="22"/>
          <w:szCs w:val="22"/>
        </w:rPr>
        <w:t xml:space="preserve"> y el plazo de entrega o de ejecución de los servicios u obra; </w:t>
      </w:r>
    </w:p>
    <w:p w14:paraId="27116B4C"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8)</w:t>
      </w:r>
      <w:r w:rsidRPr="00660766">
        <w:rPr>
          <w:rFonts w:ascii="Palatino Linotype" w:eastAsia="Palatino Linotype" w:hAnsi="Palatino Linotype" w:cs="Palatino Linotype"/>
          <w:i/>
          <w:sz w:val="22"/>
          <w:szCs w:val="22"/>
        </w:rPr>
        <w:t xml:space="preserve"> Los mecanismos de vigilancia y supervisión, incluyendo, en su caso, los estudios de impacto urbano y ambiental, según corresponda; </w:t>
      </w:r>
    </w:p>
    <w:p w14:paraId="624E16C1"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9)</w:t>
      </w:r>
      <w:r w:rsidRPr="00660766">
        <w:rPr>
          <w:rFonts w:ascii="Palatino Linotype" w:eastAsia="Palatino Linotype" w:hAnsi="Palatino Linotype" w:cs="Palatino Linotype"/>
          <w:i/>
          <w:sz w:val="22"/>
          <w:szCs w:val="22"/>
        </w:rPr>
        <w:t xml:space="preserve"> Los informes de avance sobre las obras o servicios contratados; </w:t>
      </w:r>
    </w:p>
    <w:p w14:paraId="68CBC347"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10)</w:t>
      </w:r>
      <w:r w:rsidRPr="00660766">
        <w:rPr>
          <w:rFonts w:ascii="Palatino Linotype" w:eastAsia="Palatino Linotype" w:hAnsi="Palatino Linotype" w:cs="Palatino Linotype"/>
          <w:i/>
          <w:sz w:val="22"/>
          <w:szCs w:val="22"/>
        </w:rPr>
        <w:t xml:space="preserve"> El convenio de terminación; y </w:t>
      </w:r>
    </w:p>
    <w:p w14:paraId="6C0F5A79" w14:textId="77777777" w:rsidR="004A16D6" w:rsidRPr="00660766" w:rsidRDefault="004A16D6" w:rsidP="009708D6">
      <w:pPr>
        <w:tabs>
          <w:tab w:val="left" w:pos="426"/>
        </w:tabs>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11)</w:t>
      </w:r>
      <w:r w:rsidRPr="00660766">
        <w:rPr>
          <w:rFonts w:ascii="Palatino Linotype" w:eastAsia="Palatino Linotype" w:hAnsi="Palatino Linotype" w:cs="Palatino Linotype"/>
          <w:i/>
          <w:sz w:val="22"/>
          <w:szCs w:val="22"/>
        </w:rPr>
        <w:t xml:space="preserve"> El finiquito;”</w:t>
      </w:r>
    </w:p>
    <w:p w14:paraId="5FA13CDC" w14:textId="313C0134" w:rsidR="00E63F02" w:rsidRPr="00660766" w:rsidRDefault="004A16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De esto, se advierte que, los Sujetos Obligados deberán poner a disposición del público la información relativa a procesos y resultados sobre procedimientos de adjudicación directa, invitación restringida y licitación de cualquier naturaleza, donde se incluya, en versión pública, el expediente respectivo y los </w:t>
      </w:r>
      <w:r w:rsidR="00FF7403" w:rsidRPr="00660766">
        <w:rPr>
          <w:rFonts w:ascii="Palatino Linotype" w:eastAsia="Palatino Linotype" w:hAnsi="Palatino Linotype" w:cs="Palatino Linotype"/>
          <w:b/>
          <w:sz w:val="22"/>
          <w:szCs w:val="22"/>
          <w:u w:val="single"/>
        </w:rPr>
        <w:t>contratos celebrados</w:t>
      </w:r>
      <w:r w:rsidR="00FF7403" w:rsidRPr="00660766">
        <w:rPr>
          <w:rFonts w:ascii="Palatino Linotype" w:eastAsia="Palatino Linotype" w:hAnsi="Palatino Linotype" w:cs="Palatino Linotype"/>
          <w:sz w:val="22"/>
          <w:szCs w:val="22"/>
        </w:rPr>
        <w:t>, al tratarse de una obligación de transparencia.</w:t>
      </w:r>
    </w:p>
    <w:p w14:paraId="475EE294" w14:textId="65A2EBDB" w:rsidR="004A16D6" w:rsidRPr="00660766" w:rsidRDefault="004A16D6" w:rsidP="009708D6">
      <w:pPr>
        <w:spacing w:before="240" w:after="240" w:line="360" w:lineRule="auto"/>
        <w:jc w:val="both"/>
        <w:rPr>
          <w:rFonts w:ascii="Palatino Linotype" w:eastAsia="Palatino Linotype" w:hAnsi="Palatino Linotype" w:cs="Palatino Linotype"/>
          <w:bCs/>
          <w:sz w:val="22"/>
          <w:szCs w:val="22"/>
          <w:u w:val="single"/>
        </w:rPr>
      </w:pPr>
      <w:r w:rsidRPr="00660766">
        <w:rPr>
          <w:rFonts w:ascii="Palatino Linotype" w:eastAsia="Palatino Linotype" w:hAnsi="Palatino Linotype" w:cs="Palatino Linotype"/>
          <w:sz w:val="22"/>
          <w:szCs w:val="22"/>
        </w:rPr>
        <w:t xml:space="preserve">En el caso particular, la persona solicitante no pretende acceder a </w:t>
      </w:r>
      <w:r w:rsidR="00593206" w:rsidRPr="00660766">
        <w:rPr>
          <w:rFonts w:ascii="Palatino Linotype" w:eastAsia="Palatino Linotype" w:hAnsi="Palatino Linotype" w:cs="Palatino Linotype"/>
          <w:sz w:val="22"/>
          <w:szCs w:val="22"/>
        </w:rPr>
        <w:t xml:space="preserve">la </w:t>
      </w:r>
      <w:r w:rsidR="00975778" w:rsidRPr="00660766">
        <w:rPr>
          <w:rFonts w:ascii="Palatino Linotype" w:eastAsia="Palatino Linotype" w:hAnsi="Palatino Linotype" w:cs="Palatino Linotype"/>
          <w:sz w:val="22"/>
          <w:szCs w:val="22"/>
        </w:rPr>
        <w:t>totalidad de los documentos que integran el o los expedientes relacionados con</w:t>
      </w:r>
      <w:r w:rsidR="00BB559E" w:rsidRPr="00660766">
        <w:rPr>
          <w:rFonts w:ascii="Palatino Linotype" w:eastAsia="Palatino Linotype" w:hAnsi="Palatino Linotype" w:cs="Palatino Linotype"/>
          <w:sz w:val="22"/>
          <w:szCs w:val="22"/>
        </w:rPr>
        <w:t xml:space="preserve"> la</w:t>
      </w:r>
      <w:r w:rsidR="00C612B8" w:rsidRPr="00660766">
        <w:rPr>
          <w:rFonts w:ascii="Palatino Linotype" w:eastAsia="Palatino Linotype" w:hAnsi="Palatino Linotype" w:cs="Palatino Linotype"/>
          <w:sz w:val="22"/>
          <w:szCs w:val="22"/>
        </w:rPr>
        <w:t xml:space="preserve">s adjudicaciones realizadas durante el ejercicio 2024, </w:t>
      </w:r>
      <w:r w:rsidR="00E55C18" w:rsidRPr="00660766">
        <w:rPr>
          <w:rFonts w:ascii="Palatino Linotype" w:eastAsia="Palatino Linotype" w:hAnsi="Palatino Linotype" w:cs="Palatino Linotype"/>
          <w:sz w:val="22"/>
          <w:szCs w:val="22"/>
        </w:rPr>
        <w:t>sino</w:t>
      </w:r>
      <w:r w:rsidR="00E55C18" w:rsidRPr="00660766">
        <w:rPr>
          <w:rFonts w:ascii="Palatino Linotype" w:eastAsia="Palatino Linotype" w:hAnsi="Palatino Linotype" w:cs="Palatino Linotype"/>
          <w:b/>
          <w:sz w:val="22"/>
          <w:szCs w:val="22"/>
        </w:rPr>
        <w:t xml:space="preserve"> </w:t>
      </w:r>
      <w:r w:rsidR="00E55C18" w:rsidRPr="00660766">
        <w:rPr>
          <w:rFonts w:ascii="Palatino Linotype" w:eastAsia="Palatino Linotype" w:hAnsi="Palatino Linotype" w:cs="Palatino Linotype"/>
          <w:b/>
          <w:sz w:val="22"/>
          <w:szCs w:val="22"/>
          <w:u w:val="single"/>
        </w:rPr>
        <w:t>específicam</w:t>
      </w:r>
      <w:r w:rsidR="009708D6" w:rsidRPr="00660766">
        <w:rPr>
          <w:rFonts w:ascii="Palatino Linotype" w:eastAsia="Palatino Linotype" w:hAnsi="Palatino Linotype" w:cs="Palatino Linotype"/>
          <w:b/>
          <w:sz w:val="22"/>
          <w:szCs w:val="22"/>
          <w:u w:val="single"/>
        </w:rPr>
        <w:t>ente a los contratos celebrados</w:t>
      </w:r>
      <w:r w:rsidR="00D5788D" w:rsidRPr="00660766">
        <w:rPr>
          <w:rFonts w:ascii="Palatino Linotype" w:eastAsia="Palatino Linotype" w:hAnsi="Palatino Linotype" w:cs="Palatino Linotype"/>
          <w:b/>
          <w:sz w:val="22"/>
          <w:szCs w:val="22"/>
          <w:u w:val="single"/>
        </w:rPr>
        <w:t xml:space="preserve">, así como </w:t>
      </w:r>
      <w:r w:rsidR="00725AEC" w:rsidRPr="00660766">
        <w:rPr>
          <w:rFonts w:ascii="Palatino Linotype" w:eastAsia="Palatino Linotype" w:hAnsi="Palatino Linotype" w:cs="Palatino Linotype"/>
          <w:b/>
          <w:sz w:val="22"/>
          <w:szCs w:val="22"/>
          <w:u w:val="single"/>
        </w:rPr>
        <w:t>facturas</w:t>
      </w:r>
      <w:r w:rsidR="00D5788D" w:rsidRPr="00660766">
        <w:rPr>
          <w:rFonts w:ascii="Palatino Linotype" w:eastAsia="Palatino Linotype" w:hAnsi="Palatino Linotype" w:cs="Palatino Linotype"/>
          <w:b/>
          <w:sz w:val="22"/>
          <w:szCs w:val="22"/>
          <w:u w:val="single"/>
        </w:rPr>
        <w:t xml:space="preserve"> relacionadas con el gasto erogado</w:t>
      </w:r>
      <w:r w:rsidR="00C612B8" w:rsidRPr="00660766">
        <w:rPr>
          <w:rFonts w:ascii="Palatino Linotype" w:eastAsia="Palatino Linotype" w:hAnsi="Palatino Linotype" w:cs="Palatino Linotype"/>
          <w:b/>
          <w:sz w:val="22"/>
          <w:szCs w:val="22"/>
          <w:u w:val="single"/>
        </w:rPr>
        <w:t xml:space="preserve"> para eventos oficiales </w:t>
      </w:r>
      <w:r w:rsidR="00A221DA" w:rsidRPr="00660766">
        <w:rPr>
          <w:rFonts w:ascii="Palatino Linotype" w:eastAsia="Palatino Linotype" w:hAnsi="Palatino Linotype" w:cs="Palatino Linotype"/>
          <w:b/>
          <w:sz w:val="22"/>
          <w:szCs w:val="22"/>
          <w:u w:val="single"/>
        </w:rPr>
        <w:t xml:space="preserve">realizados </w:t>
      </w:r>
      <w:r w:rsidR="00D5788D" w:rsidRPr="00660766">
        <w:rPr>
          <w:rFonts w:ascii="Palatino Linotype" w:eastAsia="Palatino Linotype" w:hAnsi="Palatino Linotype" w:cs="Palatino Linotype"/>
          <w:b/>
          <w:sz w:val="22"/>
          <w:szCs w:val="22"/>
          <w:u w:val="single"/>
        </w:rPr>
        <w:t>durante el ejercicio 2024</w:t>
      </w:r>
      <w:r w:rsidR="00725AEC" w:rsidRPr="00660766">
        <w:rPr>
          <w:rFonts w:ascii="Palatino Linotype" w:eastAsia="Palatino Linotype" w:hAnsi="Palatino Linotype" w:cs="Palatino Linotype"/>
          <w:b/>
          <w:sz w:val="22"/>
          <w:szCs w:val="22"/>
          <w:u w:val="single"/>
        </w:rPr>
        <w:t>.</w:t>
      </w:r>
    </w:p>
    <w:p w14:paraId="67B4596C" w14:textId="0EB61D5D" w:rsidR="009708D6" w:rsidRPr="00660766" w:rsidRDefault="00C612B8"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Asimismo, </w:t>
      </w:r>
      <w:r w:rsidRPr="00660766">
        <w:rPr>
          <w:rFonts w:ascii="Palatino Linotype" w:eastAsia="Palatino Linotype" w:hAnsi="Palatino Linotype" w:cs="Palatino Linotype"/>
          <w:b/>
          <w:sz w:val="22"/>
          <w:szCs w:val="22"/>
          <w:u w:val="single"/>
        </w:rPr>
        <w:t>p</w:t>
      </w:r>
      <w:r w:rsidR="009708D6" w:rsidRPr="00660766">
        <w:rPr>
          <w:rFonts w:ascii="Palatino Linotype" w:eastAsia="Palatino Linotype" w:hAnsi="Palatino Linotype" w:cs="Palatino Linotype"/>
          <w:b/>
          <w:sz w:val="22"/>
          <w:szCs w:val="22"/>
          <w:u w:val="single"/>
        </w:rPr>
        <w:t xml:space="preserve">or lo que se refiere a los gastos </w:t>
      </w:r>
      <w:r w:rsidRPr="00660766">
        <w:rPr>
          <w:rFonts w:ascii="Palatino Linotype" w:eastAsia="Palatino Linotype" w:hAnsi="Palatino Linotype" w:cs="Palatino Linotype"/>
          <w:b/>
          <w:sz w:val="22"/>
          <w:szCs w:val="22"/>
          <w:u w:val="single"/>
        </w:rPr>
        <w:t>efectuados por dicho concepto</w:t>
      </w:r>
      <w:r w:rsidR="009708D6" w:rsidRPr="00660766">
        <w:rPr>
          <w:rFonts w:ascii="Palatino Linotype" w:eastAsia="Palatino Linotype" w:hAnsi="Palatino Linotype" w:cs="Palatino Linotype"/>
          <w:b/>
          <w:sz w:val="22"/>
          <w:szCs w:val="22"/>
          <w:u w:val="single"/>
        </w:rPr>
        <w:t xml:space="preserve">, </w:t>
      </w:r>
      <w:r w:rsidR="009708D6" w:rsidRPr="00660766">
        <w:rPr>
          <w:rFonts w:ascii="Palatino Linotype" w:eastAsia="Palatino Linotype" w:hAnsi="Palatino Linotype" w:cs="Palatino Linotype"/>
          <w:sz w:val="22"/>
          <w:szCs w:val="22"/>
        </w:rPr>
        <w:t>se debe partir de lo dispuesto en los artículos 342, 343, 344 y 345 del Código Financiero del Estado de México y Municipios, los cuales disponen el sistema y las políticas que deben seguirse para llevar el registro contable y presupuestal de las operaciones financieras, en los siguientes términos:</w:t>
      </w:r>
    </w:p>
    <w:p w14:paraId="0CD7614C"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Artículo 342.-</w:t>
      </w:r>
      <w:r w:rsidRPr="00660766">
        <w:rPr>
          <w:rFonts w:ascii="Palatino Linotype" w:eastAsia="Palatino Linotype" w:hAnsi="Palatino Linotype" w:cs="Palatino Linotype"/>
          <w:i/>
          <w:sz w:val="22"/>
          <w:szCs w:val="22"/>
        </w:rPr>
        <w:t xml:space="preserv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3DBC6B03"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En el caso de los municipios,</w:t>
      </w:r>
      <w:r w:rsidRPr="00660766">
        <w:rPr>
          <w:rFonts w:ascii="Palatino Linotype" w:eastAsia="Palatino Linotype" w:hAnsi="Palatino Linotype" w:cs="Palatino Linotype"/>
          <w:i/>
          <w:sz w:val="22"/>
          <w:szCs w:val="22"/>
        </w:rPr>
        <w:t xml:space="preserve"> el registro a que se refiere el párrafo anterior, se realizará conforme al sistema y a las disposiciones en materia de </w:t>
      </w:r>
      <w:r w:rsidRPr="00660766">
        <w:rPr>
          <w:rFonts w:ascii="Palatino Linotype" w:eastAsia="Palatino Linotype" w:hAnsi="Palatino Linotype" w:cs="Palatino Linotype"/>
          <w:b/>
          <w:i/>
          <w:sz w:val="22"/>
          <w:szCs w:val="22"/>
        </w:rPr>
        <w:t>planeación, programación, presupuestación, evaluación y contabilidad gubernamental</w:t>
      </w:r>
      <w:r w:rsidRPr="00660766">
        <w:rPr>
          <w:rFonts w:ascii="Palatino Linotype" w:eastAsia="Palatino Linotype" w:hAnsi="Palatino Linotype" w:cs="Palatino Linotype"/>
          <w:i/>
          <w:sz w:val="22"/>
          <w:szCs w:val="22"/>
        </w:rPr>
        <w:t>, que se aprueben en el marco del Sistema de Coordinación Hacendaria del Estado de México.</w:t>
      </w:r>
    </w:p>
    <w:p w14:paraId="00623A18"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Artículo 343.-</w:t>
      </w:r>
      <w:r w:rsidRPr="00660766">
        <w:rPr>
          <w:rFonts w:ascii="Palatino Linotype" w:eastAsia="Palatino Linotype" w:hAnsi="Palatino Linotype" w:cs="Palatino Linotype"/>
          <w:i/>
          <w:sz w:val="22"/>
          <w:szCs w:val="22"/>
        </w:rPr>
        <w:t xml:space="preserve"> El sistema de contabilidad debe diseñarse sobre base acumulativa total y operarse en forma que facilite la fiscalización de los activos, pasivos, ingresos, egresos y, en general, que posibilite medir la eficacia del gasto público, y contener las medidas de control interno que permitan verificar el registro de la totalidad de las operaciones financieras.</w:t>
      </w:r>
    </w:p>
    <w:p w14:paraId="535B62B0"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El sistema de contabilidad sobre base acumulativa total, se sustentará en las normas emitidas por el Consejo Nacional de Armonización Contable.</w:t>
      </w:r>
    </w:p>
    <w:p w14:paraId="73E5EE13" w14:textId="77777777" w:rsidR="009708D6" w:rsidRPr="00660766" w:rsidRDefault="009708D6" w:rsidP="009708D6">
      <w:pPr>
        <w:spacing w:before="120" w:after="120"/>
        <w:ind w:left="862" w:right="86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 xml:space="preserve">Artículo 344.- Los Entes Públicos, a través de cualquiera de sus unidades administrativas, de acuerdo con su naturaleza jurídica y según corresponda, </w:t>
      </w:r>
      <w:r w:rsidRPr="00660766">
        <w:rPr>
          <w:rFonts w:ascii="Palatino Linotype" w:eastAsia="Palatino Linotype" w:hAnsi="Palatino Linotype" w:cs="Palatino Linotype"/>
          <w:b/>
          <w:i/>
          <w:sz w:val="22"/>
          <w:szCs w:val="22"/>
          <w:u w:val="single"/>
        </w:rPr>
        <w:t>registrarán contablemente el efecto patrimonial y presupuestal de las operaciones financieras que realicen, en el momento en que ocurran, con base en el sistema y políticas de registro establecidas, en el caso de los Municipios, se hará por la Tesorería</w:t>
      </w:r>
      <w:r w:rsidRPr="00660766">
        <w:rPr>
          <w:rFonts w:ascii="Palatino Linotype" w:eastAsia="Palatino Linotype" w:hAnsi="Palatino Linotype" w:cs="Palatino Linotype"/>
          <w:b/>
          <w:i/>
          <w:sz w:val="22"/>
          <w:szCs w:val="22"/>
        </w:rPr>
        <w:t>.</w:t>
      </w:r>
    </w:p>
    <w:p w14:paraId="56EB4BF5"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 xml:space="preserve">Todo registro contable y presupuestal </w:t>
      </w:r>
      <w:r w:rsidRPr="00660766">
        <w:rPr>
          <w:rFonts w:ascii="Palatino Linotype" w:eastAsia="Palatino Linotype" w:hAnsi="Palatino Linotype" w:cs="Palatino Linotype"/>
          <w:b/>
          <w:i/>
          <w:sz w:val="22"/>
          <w:szCs w:val="22"/>
          <w:u w:val="single"/>
        </w:rPr>
        <w:t>deberá estar soportado con los documentos de registro, justificativos y comprobatorios originales, en copias certificadas o en medios electrónicos, según corresponda</w:t>
      </w:r>
      <w:r w:rsidRPr="00660766">
        <w:rPr>
          <w:rFonts w:ascii="Palatino Linotype" w:eastAsia="Palatino Linotype" w:hAnsi="Palatino Linotype" w:cs="Palatino Linotype"/>
          <w:b/>
          <w:i/>
          <w:sz w:val="22"/>
          <w:szCs w:val="22"/>
        </w:rPr>
        <w:t xml:space="preserve">, los que deberán </w:t>
      </w:r>
      <w:r w:rsidRPr="00660766">
        <w:rPr>
          <w:rFonts w:ascii="Palatino Linotype" w:eastAsia="Palatino Linotype" w:hAnsi="Palatino Linotype" w:cs="Palatino Linotype"/>
          <w:b/>
          <w:i/>
          <w:sz w:val="22"/>
          <w:szCs w:val="22"/>
          <w:u w:val="single"/>
        </w:rPr>
        <w:t>permanecer en custodia y conservación</w:t>
      </w:r>
      <w:r w:rsidRPr="00660766">
        <w:rPr>
          <w:rFonts w:ascii="Palatino Linotype" w:eastAsia="Palatino Linotype" w:hAnsi="Palatino Linotype" w:cs="Palatino Linotype"/>
          <w:b/>
          <w:i/>
          <w:sz w:val="22"/>
          <w:szCs w:val="22"/>
        </w:rPr>
        <w:t xml:space="preserve"> de los Entes Públicos ejecutores del gasto a </w:t>
      </w:r>
      <w:r w:rsidRPr="00660766">
        <w:rPr>
          <w:rFonts w:ascii="Palatino Linotype" w:eastAsia="Palatino Linotype" w:hAnsi="Palatino Linotype" w:cs="Palatino Linotype"/>
          <w:b/>
          <w:i/>
          <w:sz w:val="22"/>
          <w:szCs w:val="22"/>
          <w:u w:val="single"/>
        </w:rPr>
        <w:t>través de las unidades administrativas correspondientes de conformidad con las disposiciones aplicables y a disposición de los Órganos de Fiscalización locales y federales</w:t>
      </w:r>
      <w:r w:rsidRPr="00660766">
        <w:rPr>
          <w:rFonts w:ascii="Palatino Linotype" w:eastAsia="Palatino Linotype" w:hAnsi="Palatino Linotype" w:cs="Palatino Linotype"/>
          <w:b/>
          <w:i/>
          <w:sz w:val="22"/>
          <w:szCs w:val="22"/>
        </w:rPr>
        <w:t xml:space="preserve">, de acuerdo a su naturaleza, </w:t>
      </w:r>
      <w:r w:rsidRPr="00660766">
        <w:rPr>
          <w:rFonts w:ascii="Palatino Linotype" w:eastAsia="Palatino Linotype" w:hAnsi="Palatino Linotype" w:cs="Palatino Linotype"/>
          <w:b/>
          <w:i/>
          <w:sz w:val="22"/>
          <w:szCs w:val="22"/>
          <w:u w:val="single"/>
        </w:rPr>
        <w:t>así como de los órganos internos de control</w:t>
      </w:r>
      <w:r w:rsidRPr="00660766">
        <w:rPr>
          <w:rFonts w:ascii="Palatino Linotype" w:eastAsia="Palatino Linotype" w:hAnsi="Palatino Linotype" w:cs="Palatino Linotype"/>
          <w:b/>
          <w:i/>
          <w:sz w:val="22"/>
          <w:szCs w:val="22"/>
        </w:rPr>
        <w:t>;</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b/>
          <w:i/>
          <w:sz w:val="22"/>
          <w:szCs w:val="22"/>
          <w:u w:val="single"/>
        </w:rPr>
        <w:t>por un término de 6 años</w:t>
      </w:r>
      <w:r w:rsidRPr="00660766">
        <w:rPr>
          <w:rFonts w:ascii="Palatino Linotype" w:eastAsia="Palatino Linotype" w:hAnsi="Palatino Linotype" w:cs="Palatino Linotype"/>
          <w:b/>
          <w:i/>
          <w:sz w:val="22"/>
          <w:szCs w:val="22"/>
        </w:rPr>
        <w:t>,</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b/>
          <w:i/>
          <w:sz w:val="22"/>
          <w:szCs w:val="22"/>
          <w:u w:val="single"/>
        </w:rPr>
        <w:t>contados a partir del ejercicio presupuestal siguiente al que corresponda</w:t>
      </w: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 xml:space="preserve"> </w:t>
      </w:r>
      <w:r w:rsidRPr="00660766">
        <w:rPr>
          <w:rFonts w:ascii="Palatino Linotype" w:eastAsia="Palatino Linotype" w:hAnsi="Palatino Linotype" w:cs="Palatino Linotype"/>
          <w:i/>
          <w:sz w:val="22"/>
          <w:szCs w:val="22"/>
        </w:rPr>
        <w:t>en el caso de los Municipios, dicha obligación corresponderá a la Tesorería.</w:t>
      </w:r>
    </w:p>
    <w:p w14:paraId="1BCDD5FD"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Tratándose de documentos de carácter histórico, se estará a lo dispuesto por la legislación de la materia.</w:t>
      </w:r>
    </w:p>
    <w:p w14:paraId="42971889"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p>
    <w:p w14:paraId="39952081" w14:textId="77777777" w:rsidR="009708D6" w:rsidRPr="00660766" w:rsidRDefault="009708D6" w:rsidP="009708D6">
      <w:pPr>
        <w:spacing w:before="120" w:after="120"/>
        <w:ind w:left="862" w:right="86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Artículo 345.-</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b/>
          <w:i/>
          <w:sz w:val="22"/>
          <w:szCs w:val="22"/>
        </w:rPr>
        <w:t>Las Dependencias y sus unidades administrativas; deberán conservar la documentación contable del año en curso y la de ejercicios anteriores, cuyas cuentas públicas hayan sido revisadas y fiscalizadas y la remitirán al Archivo Contable Gubernamental en un plazo que no excederá de seis meses. Tratándose de los comprobantes fiscales digitales, estos deberán estar agregados en forma electrónica a cada póliza de registro contable.</w:t>
      </w:r>
    </w:p>
    <w:p w14:paraId="290CBB73" w14:textId="77777777" w:rsidR="009708D6" w:rsidRPr="00660766" w:rsidRDefault="009708D6" w:rsidP="009708D6">
      <w:pPr>
        <w:spacing w:before="120" w:after="120"/>
        <w:ind w:left="862" w:right="86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 xml:space="preserve">Los poderes Legislativo y Judicial, los Organismos Autónomos y las Entidades Públicas, de acuerdo con su naturaleza jurídica y según corresponda, deberán conservar la documentación contable del año en curso y la de ejercicios anteriores, cuyas cuentas públicas hayan sido revisadas y fiscalizadas, en sus propios Archivos Contables. Tratándose de los comprobantes fiscales digitales, estos </w:t>
      </w:r>
      <w:r w:rsidRPr="00660766">
        <w:rPr>
          <w:rFonts w:ascii="Palatino Linotype" w:eastAsia="Palatino Linotype" w:hAnsi="Palatino Linotype" w:cs="Palatino Linotype"/>
          <w:b/>
          <w:i/>
          <w:sz w:val="22"/>
          <w:szCs w:val="22"/>
        </w:rPr>
        <w:t>deberán estar agregados en forma electrónica a cada póliza de registro contable</w:t>
      </w:r>
      <w:r w:rsidRPr="00660766">
        <w:rPr>
          <w:rFonts w:ascii="Palatino Linotype" w:eastAsia="Palatino Linotype" w:hAnsi="Palatino Linotype" w:cs="Palatino Linotype"/>
          <w:i/>
          <w:sz w:val="22"/>
          <w:szCs w:val="22"/>
        </w:rPr>
        <w:t>.</w:t>
      </w:r>
    </w:p>
    <w:p w14:paraId="687FE24C" w14:textId="77777777" w:rsidR="009708D6" w:rsidRPr="00660766" w:rsidRDefault="009708D6" w:rsidP="009708D6">
      <w:pPr>
        <w:spacing w:before="120" w:after="120"/>
        <w:ind w:left="862" w:right="86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i/>
          <w:sz w:val="22"/>
          <w:szCs w:val="22"/>
        </w:rPr>
        <w:t>El plazo señalado en este artículo empezará a contar a partir de la publicación en el Periódico Oficial, del decreto correspondiente.</w:t>
      </w:r>
      <w:r w:rsidRPr="00660766">
        <w:rPr>
          <w:rFonts w:ascii="Palatino Linotype" w:eastAsia="Palatino Linotype" w:hAnsi="Palatino Linotype" w:cs="Palatino Linotype"/>
          <w:b/>
          <w:i/>
          <w:sz w:val="22"/>
          <w:szCs w:val="22"/>
        </w:rPr>
        <w:t>”</w:t>
      </w:r>
    </w:p>
    <w:p w14:paraId="0D196E4E"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De una interpretación sistemática de los artículos transcritos, se desprende, primeramente, que el registro contable del efecto patrimonial y presupuestal de las operaciones financieras se realizará conforme al sistema y a las disposiciones que se aprueben en materia de planeación, programación, presupuestación, evaluación y contabilidad gubernamental.</w:t>
      </w:r>
    </w:p>
    <w:p w14:paraId="23A96102"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Asimismo, que los entes públicos tiene la obligación de registrarán contablemente el efecto patrimonial y presupuestal de las operaciones financieras que realicen, en el momento en que ocurran, por lo que </w:t>
      </w:r>
      <w:r w:rsidRPr="00660766">
        <w:rPr>
          <w:rFonts w:ascii="Palatino Linotype" w:eastAsia="Palatino Linotype" w:hAnsi="Palatino Linotype" w:cs="Palatino Linotype"/>
          <w:b/>
          <w:sz w:val="22"/>
          <w:szCs w:val="22"/>
        </w:rPr>
        <w:t>todo registro contable y presupuestal deberá estar soportado con los documentos comprobatorios originales o en medios electrónicos</w:t>
      </w:r>
      <w:r w:rsidRPr="00660766">
        <w:rPr>
          <w:rFonts w:ascii="Palatino Linotype" w:eastAsia="Palatino Linotype" w:hAnsi="Palatino Linotype" w:cs="Palatino Linotype"/>
          <w:sz w:val="22"/>
          <w:szCs w:val="22"/>
        </w:rPr>
        <w:t xml:space="preserve">, los que </w:t>
      </w:r>
      <w:r w:rsidRPr="00660766">
        <w:rPr>
          <w:rFonts w:ascii="Palatino Linotype" w:eastAsia="Palatino Linotype" w:hAnsi="Palatino Linotype" w:cs="Palatino Linotype"/>
          <w:b/>
          <w:sz w:val="22"/>
          <w:szCs w:val="22"/>
          <w:u w:val="single"/>
        </w:rPr>
        <w:t>deberán permanecer en custodia y conservación</w:t>
      </w:r>
      <w:r w:rsidRPr="00660766">
        <w:rPr>
          <w:rFonts w:ascii="Palatino Linotype" w:eastAsia="Palatino Linotype" w:hAnsi="Palatino Linotype" w:cs="Palatino Linotype"/>
          <w:sz w:val="22"/>
          <w:szCs w:val="22"/>
        </w:rPr>
        <w:t xml:space="preserve"> de los Entes Públicos a través de las unidades administrativas que ejercieron el gasto y a disposición de los Órganos de Fiscalización y de los órganos internos de control </w:t>
      </w:r>
      <w:r w:rsidRPr="00660766">
        <w:rPr>
          <w:rFonts w:ascii="Palatino Linotype" w:eastAsia="Palatino Linotype" w:hAnsi="Palatino Linotype" w:cs="Palatino Linotype"/>
          <w:b/>
          <w:sz w:val="22"/>
          <w:szCs w:val="22"/>
          <w:u w:val="single"/>
        </w:rPr>
        <w:t>por un término de seis años</w:t>
      </w:r>
      <w:r w:rsidRPr="00660766">
        <w:rPr>
          <w:rFonts w:ascii="Palatino Linotype" w:eastAsia="Palatino Linotype" w:hAnsi="Palatino Linotype" w:cs="Palatino Linotype"/>
          <w:sz w:val="22"/>
          <w:szCs w:val="22"/>
        </w:rPr>
        <w:t>, los cuales se cuentan a partir del ejercicio presupuestal siguiente al que corresponda. Dicha obligación corresponde a las tesorerías o a las áreas equivalentes.</w:t>
      </w:r>
    </w:p>
    <w:p w14:paraId="33FB45D2" w14:textId="77777777" w:rsidR="009708D6" w:rsidRPr="00660766" w:rsidRDefault="009708D6" w:rsidP="009708D6">
      <w:pPr>
        <w:spacing w:before="240" w:after="240" w:line="360" w:lineRule="auto"/>
        <w:ind w:right="-232"/>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Debe decirse que las facturas emitidas en favor de los proveedores, contratistas o prestadores de servicios, la cual se encuentra definida en el Glosario de Términos Hacendarios que emite el Instituto Hacendario del Estado de México, como:</w:t>
      </w:r>
    </w:p>
    <w:p w14:paraId="49B256B1" w14:textId="77777777" w:rsidR="009708D6" w:rsidRPr="00660766" w:rsidRDefault="009708D6" w:rsidP="009708D6">
      <w:pPr>
        <w:spacing w:before="120" w:after="120"/>
        <w:ind w:left="851" w:right="90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FACTURA</w:t>
      </w:r>
    </w:p>
    <w:p w14:paraId="59B49021" w14:textId="77777777" w:rsidR="009708D6" w:rsidRPr="00660766" w:rsidRDefault="009708D6"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Es el documento fiscal que emite la persona física o moral para comprobar la venta o adquisición de un bien y/o servicio.” (Sic)</w:t>
      </w:r>
    </w:p>
    <w:p w14:paraId="7F0A14EE"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Luego entonces las facturas son comprobantes que amparan las erogaciones que se realizan con erario público tienen naturaleza pública pues, constituyen los medios idóneos de evidencia del gasto realizado con recursos públicos, de ahí que convenga precisar que la Constitución Política del Estado Libre y Soberano de México en su artículo 129 señala que los recursos económicos del Estado, de los Municipios, así como de los Organismos Autónomos, se administrarán con eficiencia, eficacia y honradez, para cumplir con los objetivos y programas a los que estén destinados. </w:t>
      </w:r>
    </w:p>
    <w:p w14:paraId="40D1F196"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Al respecto, si bien es cierto que el Código Financiero del Estado de México y Municipios establece la obligación de los Municipios para llevar los registros contables y presupuestales; también lo es que, dicho ordenamiento jurídico no establece que debemos entender por registro contable y presupuestal; sin embargo, el “Glosario de Términos para el Proceso de Planeación, Programación, Presupuestación y Evaluación en la Administración Pública”</w:t>
      </w:r>
      <w:r w:rsidRPr="00660766">
        <w:rPr>
          <w:rFonts w:ascii="Palatino Linotype" w:eastAsia="Palatino Linotype" w:hAnsi="Palatino Linotype" w:cs="Palatino Linotype"/>
          <w:sz w:val="22"/>
          <w:szCs w:val="22"/>
          <w:vertAlign w:val="superscript"/>
        </w:rPr>
        <w:footnoteReference w:id="1"/>
      </w:r>
      <w:r w:rsidRPr="00660766">
        <w:rPr>
          <w:rFonts w:ascii="Palatino Linotype" w:eastAsia="Palatino Linotype" w:hAnsi="Palatino Linotype" w:cs="Palatino Linotype"/>
          <w:sz w:val="22"/>
          <w:szCs w:val="22"/>
        </w:rPr>
        <w:t>, elaborado por el Grupo de Trabajo de Sistemas de Información Financiera, Contable y Presupuestal de la Comisión Permanente de Funcionarios Fiscales del Instituto para el Desarrollo Técnico de las Haciendas Públicas, INDETEC, señalan las siguientes definiciones de las palabras registro contable y registro presupuestario:</w:t>
      </w:r>
    </w:p>
    <w:p w14:paraId="512DDC89" w14:textId="77777777" w:rsidR="009708D6" w:rsidRPr="00660766" w:rsidRDefault="009708D6" w:rsidP="009708D6">
      <w:pPr>
        <w:spacing w:before="120" w:after="120"/>
        <w:ind w:left="850" w:right="902" w:hanging="10"/>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“REGISTRO CONTABLE</w:t>
      </w:r>
    </w:p>
    <w:p w14:paraId="677253D3" w14:textId="77777777" w:rsidR="009708D6" w:rsidRPr="00660766" w:rsidRDefault="009708D6" w:rsidP="009708D6">
      <w:pPr>
        <w:spacing w:before="120" w:after="120"/>
        <w:ind w:left="850" w:right="902" w:hanging="1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Asiento que se realiza en los libros de contabilidad de las actividades relacionadas con el ingreso y egresos de un ente económico.”</w:t>
      </w:r>
    </w:p>
    <w:p w14:paraId="2806C09D" w14:textId="77777777" w:rsidR="009708D6" w:rsidRPr="00660766" w:rsidRDefault="009708D6" w:rsidP="009708D6">
      <w:pPr>
        <w:spacing w:before="120" w:after="120"/>
        <w:ind w:left="850" w:right="902" w:hanging="10"/>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b/>
          <w:i/>
          <w:sz w:val="22"/>
          <w:szCs w:val="22"/>
        </w:rPr>
        <w:t>“REGISTRO PRESUPUESTARIO</w:t>
      </w:r>
    </w:p>
    <w:p w14:paraId="2617FD49" w14:textId="77777777" w:rsidR="009708D6" w:rsidRPr="00660766" w:rsidRDefault="009708D6" w:rsidP="009708D6">
      <w:pPr>
        <w:spacing w:before="120" w:after="120"/>
        <w:ind w:left="850" w:right="902" w:hanging="10"/>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Asiento contable de las erogaciones realizadas por las dependencias y entidades con relación a la asignación, modificación y ejercicio de los recursos presupuestarios que se les hayan autorizado.”</w:t>
      </w:r>
    </w:p>
    <w:p w14:paraId="015CA07B" w14:textId="77777777" w:rsidR="009708D6" w:rsidRPr="00660766" w:rsidRDefault="009708D6"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Como bien se desprende de las definiciones, los registros contables y presupuestarios son asientos o anotaciones contables que se realizan tanto de los ingresos como de los egresos, a decir se trata de un control financiero en el que se reconoce la obligación del Tesorero de llevar dicho registro.</w:t>
      </w:r>
    </w:p>
    <w:p w14:paraId="598542AF"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Por otra parte, se establece que el sistema de contabilidad sobre base acumulativa total se sustentará en los principios de contabilidad gubernamental.</w:t>
      </w:r>
    </w:p>
    <w:p w14:paraId="685C0FA9"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Igualmente, los preceptos legales citados señalan que los Sujetos Obligados deben contar con una unidad administrativa que registra contablemente el efecto patrimonial y presupuestal de las operaciones financieras que realizan, en el momento en que ocurran, con base en el sistema y políticas de registro establecidas.</w:t>
      </w:r>
    </w:p>
    <w:p w14:paraId="2ED1B4C4"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Correlativo a lo anterior, es preciso referir una definición de </w:t>
      </w:r>
      <w:r w:rsidRPr="00660766">
        <w:rPr>
          <w:rFonts w:ascii="Palatino Linotype" w:eastAsia="Palatino Linotype" w:hAnsi="Palatino Linotype" w:cs="Palatino Linotype"/>
          <w:i/>
          <w:sz w:val="22"/>
          <w:szCs w:val="22"/>
        </w:rPr>
        <w:t>póliza contable</w:t>
      </w:r>
      <w:r w:rsidRPr="00660766">
        <w:rPr>
          <w:rFonts w:ascii="Palatino Linotype" w:eastAsia="Palatino Linotype" w:hAnsi="Palatino Linotype" w:cs="Palatino Linotype"/>
          <w:sz w:val="22"/>
          <w:szCs w:val="22"/>
        </w:rPr>
        <w:t>, la cual, primeramente, no está definida en el Código Financiero del Estado de México y Municipios; no obstante, el ya mencionado Glosario la define como:</w:t>
      </w:r>
    </w:p>
    <w:p w14:paraId="3E108C09" w14:textId="77777777" w:rsidR="009708D6" w:rsidRPr="00660766" w:rsidRDefault="009708D6" w:rsidP="009708D6">
      <w:pPr>
        <w:spacing w:before="120" w:after="120"/>
        <w:ind w:left="862" w:right="902"/>
        <w:jc w:val="both"/>
        <w:rPr>
          <w:rFonts w:ascii="Palatino Linotype" w:eastAsia="Palatino Linotype" w:hAnsi="Palatino Linotype" w:cs="Palatino Linotype"/>
          <w:b/>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PÓLIZA CONTABLE</w:t>
      </w:r>
    </w:p>
    <w:p w14:paraId="1BD8FE07" w14:textId="77777777" w:rsidR="009708D6" w:rsidRPr="00660766" w:rsidRDefault="009708D6" w:rsidP="009708D6">
      <w:pPr>
        <w:spacing w:before="120" w:after="120"/>
        <w:ind w:left="862"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 xml:space="preserve">Documento en el cual se asientan en forma individual todas y cada una de las operaciones desarrolladas por una institución, así como la información necesaria para la identificación de dichas operaciones.” </w:t>
      </w:r>
    </w:p>
    <w:p w14:paraId="6E961454" w14:textId="77777777" w:rsidR="009708D6" w:rsidRPr="00660766" w:rsidRDefault="009708D6" w:rsidP="009708D6">
      <w:pPr>
        <w:spacing w:before="240" w:after="240" w:line="360" w:lineRule="auto"/>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sz w:val="22"/>
          <w:szCs w:val="22"/>
        </w:rPr>
        <w:t xml:space="preserve">Así, se advierte que la </w:t>
      </w:r>
      <w:r w:rsidRPr="00660766">
        <w:rPr>
          <w:rFonts w:ascii="Palatino Linotype" w:eastAsia="Palatino Linotype" w:hAnsi="Palatino Linotype" w:cs="Palatino Linotype"/>
          <w:i/>
          <w:sz w:val="22"/>
          <w:szCs w:val="22"/>
        </w:rPr>
        <w:t>póliza contable</w:t>
      </w:r>
      <w:r w:rsidRPr="00660766">
        <w:rPr>
          <w:rFonts w:ascii="Palatino Linotype" w:eastAsia="Palatino Linotype" w:hAnsi="Palatino Linotype" w:cs="Palatino Linotype"/>
          <w:sz w:val="22"/>
          <w:szCs w:val="22"/>
        </w:rPr>
        <w:t xml:space="preserve"> constituye un registro contable y presupuestal con el que cuentan los Municipios para el registro de operaciones relacionadas con </w:t>
      </w:r>
      <w:r w:rsidRPr="00660766">
        <w:rPr>
          <w:rFonts w:ascii="Palatino Linotype" w:eastAsia="Palatino Linotype" w:hAnsi="Palatino Linotype" w:cs="Palatino Linotype"/>
          <w:sz w:val="22"/>
          <w:szCs w:val="22"/>
          <w:u w:val="single"/>
        </w:rPr>
        <w:t>ingresos y egresos</w:t>
      </w:r>
      <w:r w:rsidRPr="00660766">
        <w:rPr>
          <w:rFonts w:ascii="Palatino Linotype" w:eastAsia="Palatino Linotype" w:hAnsi="Palatino Linotype" w:cs="Palatino Linotype"/>
          <w:sz w:val="22"/>
          <w:szCs w:val="22"/>
        </w:rPr>
        <w:t xml:space="preserve"> y se anexan los documentos o comprobantes que justifiquen las anotaciones y cantidades en ellas registradas, lo que permite la identificación plena de dichas operaciones.</w:t>
      </w:r>
    </w:p>
    <w:p w14:paraId="0E96C6CA" w14:textId="77777777" w:rsidR="009708D6" w:rsidRPr="00660766" w:rsidRDefault="009708D6"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este sentido, existen diversos tipos de pólizas contables de acuerdo a las operaciones realizadas, dentro de las cuales, encontramos las </w:t>
      </w:r>
      <w:r w:rsidRPr="00660766">
        <w:rPr>
          <w:rFonts w:ascii="Palatino Linotype" w:eastAsia="Palatino Linotype" w:hAnsi="Palatino Linotype" w:cs="Palatino Linotype"/>
          <w:i/>
          <w:sz w:val="22"/>
          <w:szCs w:val="22"/>
        </w:rPr>
        <w:t xml:space="preserve">pólizas de ingresos y egresos. </w:t>
      </w:r>
      <w:r w:rsidRPr="00660766">
        <w:rPr>
          <w:rFonts w:ascii="Palatino Linotype" w:eastAsia="Palatino Linotype" w:hAnsi="Palatino Linotype" w:cs="Palatino Linotype"/>
          <w:b/>
          <w:sz w:val="22"/>
          <w:szCs w:val="22"/>
          <w:u w:val="single"/>
        </w:rPr>
        <w:t>Las primeras</w:t>
      </w:r>
      <w:r w:rsidRPr="00660766">
        <w:rPr>
          <w:rFonts w:ascii="Palatino Linotype" w:eastAsia="Palatino Linotype" w:hAnsi="Palatino Linotype" w:cs="Palatino Linotype"/>
          <w:b/>
          <w:sz w:val="22"/>
          <w:szCs w:val="22"/>
        </w:rPr>
        <w:t xml:space="preserve"> registran todas las entradas de dinero, </w:t>
      </w:r>
      <w:r w:rsidRPr="00660766">
        <w:rPr>
          <w:rFonts w:ascii="Palatino Linotype" w:eastAsia="Palatino Linotype" w:hAnsi="Palatino Linotype" w:cs="Palatino Linotype"/>
          <w:sz w:val="22"/>
          <w:szCs w:val="22"/>
        </w:rPr>
        <w:t xml:space="preserve">mientras que </w:t>
      </w:r>
      <w:r w:rsidRPr="00660766">
        <w:rPr>
          <w:rFonts w:ascii="Palatino Linotype" w:eastAsia="Palatino Linotype" w:hAnsi="Palatino Linotype" w:cs="Palatino Linotype"/>
          <w:b/>
          <w:sz w:val="22"/>
          <w:szCs w:val="22"/>
          <w:u w:val="single"/>
        </w:rPr>
        <w:t>las segundas</w:t>
      </w:r>
      <w:r w:rsidRPr="00660766">
        <w:rPr>
          <w:rFonts w:ascii="Palatino Linotype" w:eastAsia="Palatino Linotype" w:hAnsi="Palatino Linotype" w:cs="Palatino Linotype"/>
          <w:sz w:val="22"/>
          <w:szCs w:val="22"/>
        </w:rPr>
        <w:t xml:space="preserve"> </w:t>
      </w:r>
      <w:r w:rsidRPr="00660766">
        <w:rPr>
          <w:rFonts w:ascii="Palatino Linotype" w:eastAsia="Palatino Linotype" w:hAnsi="Palatino Linotype" w:cs="Palatino Linotype"/>
          <w:b/>
          <w:sz w:val="22"/>
          <w:szCs w:val="22"/>
        </w:rPr>
        <w:t>son aquellas en las cuales se anotan diariamente las operaciones que representan gastos, es decir, salidas de dinero</w:t>
      </w:r>
      <w:r w:rsidRPr="00660766">
        <w:rPr>
          <w:rFonts w:ascii="Palatino Linotype" w:eastAsia="Palatino Linotype" w:hAnsi="Palatino Linotype" w:cs="Palatino Linotype"/>
          <w:sz w:val="22"/>
          <w:szCs w:val="22"/>
        </w:rPr>
        <w:t xml:space="preserve"> las que, además, </w:t>
      </w:r>
      <w:r w:rsidRPr="00660766">
        <w:rPr>
          <w:rFonts w:ascii="Palatino Linotype" w:eastAsia="Palatino Linotype" w:hAnsi="Palatino Linotype" w:cs="Palatino Linotype"/>
          <w:b/>
          <w:sz w:val="22"/>
          <w:szCs w:val="22"/>
        </w:rPr>
        <w:t xml:space="preserve">deben encontrarse acompañadas de las documentales que sirven de soporte de dicho movimiento; </w:t>
      </w:r>
      <w:r w:rsidRPr="00660766">
        <w:rPr>
          <w:rFonts w:ascii="Palatino Linotype" w:eastAsia="Palatino Linotype" w:hAnsi="Palatino Linotype" w:cs="Palatino Linotype"/>
          <w:sz w:val="22"/>
          <w:szCs w:val="22"/>
        </w:rPr>
        <w:t xml:space="preserve">lo anterior </w:t>
      </w:r>
      <w:r w:rsidRPr="00660766">
        <w:rPr>
          <w:rFonts w:ascii="Palatino Linotype" w:eastAsia="Palatino Linotype" w:hAnsi="Palatino Linotype" w:cs="Palatino Linotype"/>
          <w:b/>
          <w:sz w:val="22"/>
          <w:szCs w:val="22"/>
        </w:rPr>
        <w:t>independientemente de la modalidad</w:t>
      </w:r>
      <w:r w:rsidRPr="00660766">
        <w:rPr>
          <w:rFonts w:ascii="Palatino Linotype" w:eastAsia="Palatino Linotype" w:hAnsi="Palatino Linotype" w:cs="Palatino Linotype"/>
          <w:sz w:val="22"/>
          <w:szCs w:val="22"/>
        </w:rPr>
        <w:t xml:space="preserve"> ya sea en efectivo, transferencia, cheque o pagaré, mediante la expedición de facturas.</w:t>
      </w:r>
    </w:p>
    <w:p w14:paraId="4954F8FE" w14:textId="77777777" w:rsidR="009708D6" w:rsidRPr="00660766" w:rsidRDefault="009708D6"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Atento a lo anterior, como ya ha sido mencionado en la normatividad antes citada, todo registro contable y presupuestal deberá estar soportado con los documentos comprobatorios originales, como lo son las facturas o pagos fiscales digitales por internet, mismos que deberán permanecer en custodia y conservación de la Unidad Administrativa correspondiente y a disposición del Órgano Superior de Fiscalización del Estado de México; por un término de seis años contados a partir del ejercicio presupuestal siguiente al que corresponda, tal y como se establece en el Código Financiero del Estado de México. </w:t>
      </w:r>
    </w:p>
    <w:p w14:paraId="5BE0F84C" w14:textId="03FDC074" w:rsidR="009708D6" w:rsidRPr="00660766" w:rsidRDefault="009708D6" w:rsidP="009708D6">
      <w:pPr>
        <w:spacing w:before="240" w:after="240" w:line="360" w:lineRule="auto"/>
        <w:ind w:right="-232"/>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Aunado a lo anterior, conviene referir que de conformidad con los Lineamientos para la integración y presentación de los Informes Trimestrales Estatales y Municipales, emitidos por el Órgano Superior de Fiscalización del Estado de México, OSFEM, el </w:t>
      </w:r>
      <w:r w:rsidRPr="00660766">
        <w:rPr>
          <w:rFonts w:ascii="Palatino Linotype" w:eastAsia="Palatino Linotype" w:hAnsi="Palatino Linotype" w:cs="Palatino Linotype"/>
          <w:b/>
          <w:sz w:val="22"/>
          <w:szCs w:val="22"/>
        </w:rPr>
        <w:t xml:space="preserve">Sujeto Obligado, </w:t>
      </w:r>
      <w:r w:rsidRPr="00660766">
        <w:rPr>
          <w:rFonts w:ascii="Palatino Linotype" w:eastAsia="Palatino Linotype" w:hAnsi="Palatino Linotype" w:cs="Palatino Linotype"/>
          <w:sz w:val="22"/>
          <w:szCs w:val="22"/>
        </w:rPr>
        <w:t xml:space="preserve">como ente fiscalizable cuenta con la obligación de remitir a dicho Órgano, para su revisión la </w:t>
      </w:r>
      <w:r w:rsidRPr="00660766">
        <w:rPr>
          <w:rFonts w:ascii="Palatino Linotype" w:eastAsia="Palatino Linotype" w:hAnsi="Palatino Linotype" w:cs="Palatino Linotype"/>
          <w:b/>
          <w:sz w:val="22"/>
          <w:szCs w:val="22"/>
        </w:rPr>
        <w:t>pólizas con documentos comprobatorios</w:t>
      </w:r>
      <w:r w:rsidRPr="00660766">
        <w:rPr>
          <w:rFonts w:ascii="Palatino Linotype" w:eastAsia="Palatino Linotype" w:hAnsi="Palatino Linotype" w:cs="Palatino Linotype"/>
          <w:sz w:val="22"/>
          <w:szCs w:val="22"/>
        </w:rPr>
        <w:t>, como parte de los informes trimestrales, específicamente, en el Módulo 1 Información Contable y Financiera:</w:t>
      </w:r>
    </w:p>
    <w:p w14:paraId="4EA96EF7" w14:textId="77777777" w:rsidR="009708D6" w:rsidRPr="00660766"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6ACF1C21" wp14:editId="26770072">
            <wp:extent cx="5612130" cy="359410"/>
            <wp:effectExtent l="0" t="0" r="762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359410"/>
                    </a:xfrm>
                    <a:prstGeom prst="rect">
                      <a:avLst/>
                    </a:prstGeom>
                  </pic:spPr>
                </pic:pic>
              </a:graphicData>
            </a:graphic>
          </wp:inline>
        </w:drawing>
      </w:r>
      <w:r w:rsidRPr="00660766">
        <w:rPr>
          <w:rFonts w:ascii="Palatino Linotype" w:hAnsi="Palatino Linotype"/>
          <w:noProof/>
          <w:sz w:val="22"/>
          <w:szCs w:val="22"/>
        </w:rPr>
        <w:drawing>
          <wp:inline distT="0" distB="0" distL="0" distR="0" wp14:anchorId="3E58E2F7" wp14:editId="7307F77E">
            <wp:extent cx="4140000" cy="1084414"/>
            <wp:effectExtent l="0" t="0" r="0"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40000" cy="1084414"/>
                    </a:xfrm>
                    <a:prstGeom prst="rect">
                      <a:avLst/>
                    </a:prstGeom>
                  </pic:spPr>
                </pic:pic>
              </a:graphicData>
            </a:graphic>
          </wp:inline>
        </w:drawing>
      </w:r>
    </w:p>
    <w:p w14:paraId="5512E39A" w14:textId="77777777" w:rsidR="009708D6" w:rsidRPr="00660766" w:rsidRDefault="009708D6" w:rsidP="009708D6">
      <w:pPr>
        <w:spacing w:before="240" w:after="240" w:line="360" w:lineRule="auto"/>
        <w:ind w:right="-232"/>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Para el cumplimiento de dicha obligación la información debe ser entregada a través de los siguientes formatos:</w:t>
      </w:r>
    </w:p>
    <w:p w14:paraId="50B27E09" w14:textId="77777777" w:rsidR="009708D6" w:rsidRPr="00660766"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13AE8DD8" wp14:editId="4299DBF4">
            <wp:extent cx="4859501" cy="21812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1" b="59857"/>
                    <a:stretch/>
                  </pic:blipFill>
                  <pic:spPr bwMode="auto">
                    <a:xfrm>
                      <a:off x="0" y="0"/>
                      <a:ext cx="4860000" cy="2181449"/>
                    </a:xfrm>
                    <a:prstGeom prst="rect">
                      <a:avLst/>
                    </a:prstGeom>
                    <a:ln>
                      <a:noFill/>
                    </a:ln>
                    <a:extLst>
                      <a:ext uri="{53640926-AAD7-44D8-BBD7-CCE9431645EC}">
                        <a14:shadowObscured xmlns:a14="http://schemas.microsoft.com/office/drawing/2010/main"/>
                      </a:ext>
                    </a:extLst>
                  </pic:spPr>
                </pic:pic>
              </a:graphicData>
            </a:graphic>
          </wp:inline>
        </w:drawing>
      </w:r>
    </w:p>
    <w:p w14:paraId="6A99F91B" w14:textId="13E4FE6D" w:rsidR="009708D6" w:rsidRPr="00660766" w:rsidRDefault="007B4993" w:rsidP="009708D6">
      <w:pPr>
        <w:spacing w:before="240" w:after="240" w:line="360" w:lineRule="auto"/>
        <w:ind w:right="-232"/>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73055004" wp14:editId="2729798A">
            <wp:extent cx="4859501" cy="334200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9792" b="-1300"/>
                    <a:stretch/>
                  </pic:blipFill>
                  <pic:spPr bwMode="auto">
                    <a:xfrm>
                      <a:off x="0" y="0"/>
                      <a:ext cx="4860000" cy="3342348"/>
                    </a:xfrm>
                    <a:prstGeom prst="rect">
                      <a:avLst/>
                    </a:prstGeom>
                    <a:ln>
                      <a:noFill/>
                    </a:ln>
                    <a:extLst>
                      <a:ext uri="{53640926-AAD7-44D8-BBD7-CCE9431645EC}">
                        <a14:shadowObscured xmlns:a14="http://schemas.microsoft.com/office/drawing/2010/main"/>
                      </a:ext>
                    </a:extLst>
                  </pic:spPr>
                </pic:pic>
              </a:graphicData>
            </a:graphic>
          </wp:inline>
        </w:drawing>
      </w:r>
      <w:r w:rsidR="009708D6" w:rsidRPr="00660766">
        <w:rPr>
          <w:rFonts w:ascii="Palatino Linotype" w:eastAsia="Palatino Linotype" w:hAnsi="Palatino Linotype" w:cs="Palatino Linotype"/>
          <w:noProof/>
          <w:sz w:val="22"/>
          <w:szCs w:val="22"/>
        </w:rPr>
        <w:drawing>
          <wp:inline distT="0" distB="0" distL="0" distR="0" wp14:anchorId="47AD6C77" wp14:editId="5963C5D7">
            <wp:extent cx="4860000" cy="322240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60000" cy="3222403"/>
                    </a:xfrm>
                    <a:prstGeom prst="rect">
                      <a:avLst/>
                    </a:prstGeom>
                  </pic:spPr>
                </pic:pic>
              </a:graphicData>
            </a:graphic>
          </wp:inline>
        </w:drawing>
      </w:r>
    </w:p>
    <w:p w14:paraId="2FF678D8" w14:textId="77777777" w:rsidR="009708D6" w:rsidRPr="00660766"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6754205D" wp14:editId="216A819A">
            <wp:extent cx="4860000" cy="202175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62720"/>
                    <a:stretch/>
                  </pic:blipFill>
                  <pic:spPr bwMode="auto">
                    <a:xfrm>
                      <a:off x="0" y="0"/>
                      <a:ext cx="4860000" cy="2021753"/>
                    </a:xfrm>
                    <a:prstGeom prst="rect">
                      <a:avLst/>
                    </a:prstGeom>
                    <a:ln>
                      <a:noFill/>
                    </a:ln>
                    <a:extLst>
                      <a:ext uri="{53640926-AAD7-44D8-BBD7-CCE9431645EC}">
                        <a14:shadowObscured xmlns:a14="http://schemas.microsoft.com/office/drawing/2010/main"/>
                      </a:ext>
                    </a:extLst>
                  </pic:spPr>
                </pic:pic>
              </a:graphicData>
            </a:graphic>
          </wp:inline>
        </w:drawing>
      </w:r>
    </w:p>
    <w:p w14:paraId="1D86CFDC" w14:textId="77777777" w:rsidR="009708D6" w:rsidRPr="00660766"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0DFAC76A" wp14:editId="68C0F882">
            <wp:extent cx="4860000" cy="3350799"/>
            <wp:effectExtent l="0" t="0" r="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38212"/>
                    <a:stretch/>
                  </pic:blipFill>
                  <pic:spPr bwMode="auto">
                    <a:xfrm>
                      <a:off x="0" y="0"/>
                      <a:ext cx="4860000" cy="3350799"/>
                    </a:xfrm>
                    <a:prstGeom prst="rect">
                      <a:avLst/>
                    </a:prstGeom>
                    <a:ln>
                      <a:noFill/>
                    </a:ln>
                    <a:extLst>
                      <a:ext uri="{53640926-AAD7-44D8-BBD7-CCE9431645EC}">
                        <a14:shadowObscured xmlns:a14="http://schemas.microsoft.com/office/drawing/2010/main"/>
                      </a:ext>
                    </a:extLst>
                  </pic:spPr>
                </pic:pic>
              </a:graphicData>
            </a:graphic>
          </wp:inline>
        </w:drawing>
      </w:r>
    </w:p>
    <w:p w14:paraId="57E0F925" w14:textId="77777777" w:rsidR="009708D6" w:rsidRPr="00660766" w:rsidRDefault="009708D6" w:rsidP="009708D6">
      <w:pPr>
        <w:spacing w:before="240" w:after="240" w:line="360" w:lineRule="auto"/>
        <w:ind w:right="-232"/>
        <w:jc w:val="center"/>
        <w:rPr>
          <w:rFonts w:ascii="Palatino Linotype" w:eastAsia="Palatino Linotype" w:hAnsi="Palatino Linotype" w:cs="Palatino Linotype"/>
          <w:sz w:val="22"/>
          <w:szCs w:val="22"/>
        </w:rPr>
      </w:pPr>
      <w:r w:rsidRPr="00660766">
        <w:rPr>
          <w:rFonts w:ascii="Palatino Linotype" w:eastAsia="Palatino Linotype" w:hAnsi="Palatino Linotype" w:cs="Palatino Linotype"/>
          <w:noProof/>
          <w:sz w:val="22"/>
          <w:szCs w:val="22"/>
        </w:rPr>
        <w:drawing>
          <wp:inline distT="0" distB="0" distL="0" distR="0" wp14:anchorId="4E0A8C9C" wp14:editId="05C12068">
            <wp:extent cx="4860000" cy="2426496"/>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23921"/>
                    <a:stretch/>
                  </pic:blipFill>
                  <pic:spPr bwMode="auto">
                    <a:xfrm>
                      <a:off x="0" y="0"/>
                      <a:ext cx="4860000" cy="2426496"/>
                    </a:xfrm>
                    <a:prstGeom prst="rect">
                      <a:avLst/>
                    </a:prstGeom>
                    <a:ln>
                      <a:noFill/>
                    </a:ln>
                    <a:extLst>
                      <a:ext uri="{53640926-AAD7-44D8-BBD7-CCE9431645EC}">
                        <a14:shadowObscured xmlns:a14="http://schemas.microsoft.com/office/drawing/2010/main"/>
                      </a:ext>
                    </a:extLst>
                  </pic:spPr>
                </pic:pic>
              </a:graphicData>
            </a:graphic>
          </wp:inline>
        </w:drawing>
      </w:r>
      <w:r w:rsidRPr="00660766">
        <w:rPr>
          <w:rFonts w:ascii="Palatino Linotype" w:eastAsia="Palatino Linotype" w:hAnsi="Palatino Linotype" w:cs="Palatino Linotype"/>
          <w:noProof/>
          <w:sz w:val="22"/>
          <w:szCs w:val="22"/>
        </w:rPr>
        <w:drawing>
          <wp:inline distT="0" distB="0" distL="0" distR="0" wp14:anchorId="5D04E030" wp14:editId="1F198A4D">
            <wp:extent cx="4860000" cy="771730"/>
            <wp:effectExtent l="0" t="0" r="0"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75803"/>
                    <a:stretch/>
                  </pic:blipFill>
                  <pic:spPr bwMode="auto">
                    <a:xfrm>
                      <a:off x="0" y="0"/>
                      <a:ext cx="4860000" cy="771730"/>
                    </a:xfrm>
                    <a:prstGeom prst="rect">
                      <a:avLst/>
                    </a:prstGeom>
                    <a:ln>
                      <a:noFill/>
                    </a:ln>
                    <a:extLst>
                      <a:ext uri="{53640926-AAD7-44D8-BBD7-CCE9431645EC}">
                        <a14:shadowObscured xmlns:a14="http://schemas.microsoft.com/office/drawing/2010/main"/>
                      </a:ext>
                    </a:extLst>
                  </pic:spPr>
                </pic:pic>
              </a:graphicData>
            </a:graphic>
          </wp:inline>
        </w:drawing>
      </w:r>
    </w:p>
    <w:p w14:paraId="399275EE" w14:textId="2BFE8E10" w:rsidR="006D3AD0" w:rsidRPr="00660766" w:rsidRDefault="00332155"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Bajo esta premisa, es evidente que </w:t>
      </w:r>
      <w:r w:rsidRPr="00660766">
        <w:rPr>
          <w:rFonts w:ascii="Palatino Linotype" w:eastAsia="Palatino Linotype" w:hAnsi="Palatino Linotype" w:cs="Palatino Linotype"/>
          <w:b/>
          <w:sz w:val="22"/>
          <w:szCs w:val="22"/>
          <w:u w:val="single"/>
        </w:rPr>
        <w:t>en el presente asunto no es procedente el cambio de modalidad pretendido,</w:t>
      </w:r>
      <w:r w:rsidRPr="00660766">
        <w:rPr>
          <w:rFonts w:ascii="Palatino Linotype" w:eastAsia="Palatino Linotype" w:hAnsi="Palatino Linotype" w:cs="Palatino Linotype"/>
          <w:sz w:val="22"/>
          <w:szCs w:val="22"/>
        </w:rPr>
        <w:t xml:space="preserve"> dado que </w:t>
      </w:r>
      <w:r w:rsidR="003028EF" w:rsidRPr="00660766">
        <w:rPr>
          <w:rFonts w:ascii="Palatino Linotype" w:eastAsia="Palatino Linotype" w:hAnsi="Palatino Linotype" w:cs="Palatino Linotype"/>
          <w:sz w:val="22"/>
          <w:szCs w:val="22"/>
        </w:rPr>
        <w:t>la información que es tema de interés de la persona solicitante</w:t>
      </w:r>
      <w:r w:rsidR="009708D6" w:rsidRPr="00660766">
        <w:rPr>
          <w:rFonts w:ascii="Palatino Linotype" w:eastAsia="Palatino Linotype" w:hAnsi="Palatino Linotype" w:cs="Palatino Linotype"/>
          <w:sz w:val="22"/>
          <w:szCs w:val="22"/>
        </w:rPr>
        <w:t xml:space="preserve"> -contratos y comprobantes de erogaciones-</w:t>
      </w:r>
      <w:r w:rsidR="003028EF" w:rsidRPr="00660766">
        <w:rPr>
          <w:rFonts w:ascii="Palatino Linotype" w:eastAsia="Palatino Linotype" w:hAnsi="Palatino Linotype" w:cs="Palatino Linotype"/>
          <w:sz w:val="22"/>
          <w:szCs w:val="22"/>
        </w:rPr>
        <w:t xml:space="preserve"> </w:t>
      </w:r>
      <w:r w:rsidR="00FF5539" w:rsidRPr="00660766">
        <w:rPr>
          <w:rFonts w:ascii="Palatino Linotype" w:eastAsia="Palatino Linotype" w:hAnsi="Palatino Linotype" w:cs="Palatino Linotype"/>
          <w:sz w:val="22"/>
          <w:szCs w:val="22"/>
        </w:rPr>
        <w:t xml:space="preserve">debe encontrarse digitalizada y a disposición </w:t>
      </w:r>
      <w:r w:rsidR="005E2CFF" w:rsidRPr="00660766">
        <w:rPr>
          <w:rFonts w:ascii="Palatino Linotype" w:eastAsia="Palatino Linotype" w:hAnsi="Palatino Linotype" w:cs="Palatino Linotype"/>
          <w:sz w:val="22"/>
          <w:szCs w:val="22"/>
        </w:rPr>
        <w:t xml:space="preserve">del público por lo tanto, </w:t>
      </w:r>
      <w:r w:rsidR="00A04DD9" w:rsidRPr="00660766">
        <w:rPr>
          <w:rFonts w:ascii="Palatino Linotype" w:eastAsia="Palatino Linotype" w:hAnsi="Palatino Linotype" w:cs="Palatino Linotype"/>
          <w:sz w:val="22"/>
          <w:szCs w:val="22"/>
        </w:rPr>
        <w:t xml:space="preserve">lo procedente es ordenar la entrega de la información </w:t>
      </w:r>
      <w:r w:rsidR="006D3AD0" w:rsidRPr="00660766">
        <w:rPr>
          <w:rFonts w:ascii="Palatino Linotype" w:eastAsia="Palatino Linotype" w:hAnsi="Palatino Linotype" w:cs="Palatino Linotype"/>
          <w:sz w:val="22"/>
          <w:szCs w:val="22"/>
        </w:rPr>
        <w:t>solicitada a través de SAIMEX, en versión pública de ser procedente de conformidad con el considerando siguiente.</w:t>
      </w:r>
    </w:p>
    <w:p w14:paraId="603B2FEB" w14:textId="77777777" w:rsidR="006D3AD0" w:rsidRPr="00660766" w:rsidRDefault="006D3AD0" w:rsidP="009708D6">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De lo hasta aquí expuesto, se concluye que los motivos de inconformidad de la parte </w:t>
      </w:r>
      <w:r w:rsidRPr="00660766">
        <w:rPr>
          <w:rFonts w:ascii="Palatino Linotype" w:eastAsia="Palatino Linotype" w:hAnsi="Palatino Linotype" w:cs="Palatino Linotype"/>
          <w:b/>
          <w:sz w:val="22"/>
          <w:szCs w:val="22"/>
        </w:rPr>
        <w:t xml:space="preserve">Recurrente </w:t>
      </w:r>
      <w:r w:rsidRPr="00660766">
        <w:rPr>
          <w:rFonts w:ascii="Palatino Linotype" w:eastAsia="Palatino Linotype" w:hAnsi="Palatino Linotype" w:cs="Palatino Linotype"/>
          <w:sz w:val="22"/>
          <w:szCs w:val="22"/>
        </w:rPr>
        <w:t xml:space="preserve">devienen fundados, siendo procedente </w:t>
      </w:r>
      <w:r w:rsidRPr="00660766">
        <w:rPr>
          <w:rFonts w:ascii="Palatino Linotype" w:eastAsia="Palatino Linotype" w:hAnsi="Palatino Linotype" w:cs="Palatino Linotype"/>
          <w:i/>
          <w:sz w:val="22"/>
          <w:szCs w:val="22"/>
        </w:rPr>
        <w:t xml:space="preserve">Revocar </w:t>
      </w:r>
      <w:r w:rsidRPr="00660766">
        <w:rPr>
          <w:rFonts w:ascii="Palatino Linotype" w:eastAsia="Palatino Linotype" w:hAnsi="Palatino Linotype" w:cs="Palatino Linotype"/>
          <w:sz w:val="22"/>
          <w:szCs w:val="22"/>
        </w:rPr>
        <w:t xml:space="preserve">la respuesta proporcionada por el </w:t>
      </w:r>
      <w:r w:rsidRPr="00660766">
        <w:rPr>
          <w:rFonts w:ascii="Palatino Linotype" w:eastAsia="Palatino Linotype" w:hAnsi="Palatino Linotype" w:cs="Palatino Linotype"/>
          <w:b/>
          <w:sz w:val="22"/>
          <w:szCs w:val="22"/>
        </w:rPr>
        <w:t xml:space="preserve">Sujeto Obligado </w:t>
      </w:r>
      <w:r w:rsidRPr="00660766">
        <w:rPr>
          <w:rFonts w:ascii="Palatino Linotype" w:eastAsia="Palatino Linotype" w:hAnsi="Palatino Linotype" w:cs="Palatino Linotype"/>
          <w:sz w:val="22"/>
          <w:szCs w:val="22"/>
        </w:rPr>
        <w:t>en términos del artículo 186 fracción III de la Ley de Transparencia y Acceso a la Información Pública del Estado de México y Municipios.</w:t>
      </w:r>
    </w:p>
    <w:p w14:paraId="6AB79B8E" w14:textId="77777777" w:rsidR="006D3AD0" w:rsidRPr="00660766" w:rsidRDefault="006D3AD0"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bCs/>
          <w:sz w:val="22"/>
          <w:szCs w:val="22"/>
        </w:rPr>
        <w:t xml:space="preserve">Quinto. Versión Pública. </w:t>
      </w:r>
      <w:r w:rsidRPr="00660766">
        <w:rPr>
          <w:rFonts w:ascii="Palatino Linotype" w:eastAsia="Palatino Linotype" w:hAnsi="Palatino Linotype" w:cs="Palatino Linotype"/>
          <w:sz w:val="22"/>
          <w:szCs w:val="22"/>
        </w:rPr>
        <w:t>Como fue debidamente apuntado, el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20D78C86" w14:textId="77777777" w:rsidR="006D3AD0" w:rsidRPr="00660766" w:rsidRDefault="006D3AD0"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0836C6C7" w14:textId="77777777" w:rsidR="006D3AD0" w:rsidRPr="00660766" w:rsidRDefault="006D3AD0"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38746875" w14:textId="77777777" w:rsidR="006D3AD0" w:rsidRPr="00660766" w:rsidRDefault="006D3AD0" w:rsidP="009708D6">
      <w:pPr>
        <w:spacing w:before="240" w:after="240" w:line="360" w:lineRule="auto"/>
        <w:ind w:right="49"/>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vigente establecen:</w:t>
      </w:r>
    </w:p>
    <w:p w14:paraId="64D811C4"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sz w:val="22"/>
          <w:szCs w:val="22"/>
        </w:rPr>
        <w:t> </w:t>
      </w:r>
      <w:r w:rsidRPr="00660766">
        <w:rPr>
          <w:rFonts w:ascii="Palatino Linotype" w:eastAsia="Palatino Linotype" w:hAnsi="Palatino Linotype" w:cs="Palatino Linotype"/>
          <w:i/>
          <w:iCs/>
          <w:sz w:val="22"/>
          <w:szCs w:val="22"/>
        </w:rPr>
        <w:t>“</w:t>
      </w:r>
      <w:r w:rsidRPr="00660766">
        <w:rPr>
          <w:rFonts w:ascii="Palatino Linotype" w:eastAsia="Palatino Linotype" w:hAnsi="Palatino Linotype" w:cs="Palatino Linotype"/>
          <w:b/>
          <w:bCs/>
          <w:i/>
          <w:iCs/>
          <w:sz w:val="22"/>
          <w:szCs w:val="22"/>
        </w:rPr>
        <w:t>Artículo 3.</w:t>
      </w:r>
      <w:r w:rsidRPr="00660766">
        <w:rPr>
          <w:rFonts w:ascii="Palatino Linotype" w:eastAsia="Palatino Linotype" w:hAnsi="Palatino Linotype" w:cs="Palatino Linotype"/>
          <w:i/>
          <w:iCs/>
          <w:sz w:val="22"/>
          <w:szCs w:val="22"/>
        </w:rPr>
        <w:t xml:space="preserve"> Para los efectos de la presente Ley se entenderá por:</w:t>
      </w:r>
    </w:p>
    <w:p w14:paraId="502E6E0F"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p>
    <w:p w14:paraId="204117D5"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IX. Datos personales</w:t>
      </w:r>
      <w:r w:rsidRPr="00660766">
        <w:rPr>
          <w:rFonts w:ascii="Palatino Linotype" w:eastAsia="Palatino Linotype" w:hAnsi="Palatino Linotype" w:cs="Palatino Linotype"/>
          <w:i/>
          <w:iCs/>
          <w:sz w:val="22"/>
          <w:szCs w:val="22"/>
        </w:rPr>
        <w:t>: La información concerniente a una persona, identificada o identificable según lo dispuesto por la Ley de Protección de Datos Personales del Estado de México;</w:t>
      </w:r>
    </w:p>
    <w:p w14:paraId="7C3C0CCF"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p>
    <w:p w14:paraId="26C45783"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XX. Información clasificada</w:t>
      </w:r>
      <w:r w:rsidRPr="00660766">
        <w:rPr>
          <w:rFonts w:ascii="Palatino Linotype" w:eastAsia="Palatino Linotype" w:hAnsi="Palatino Linotype" w:cs="Palatino Linotype"/>
          <w:i/>
          <w:iCs/>
          <w:sz w:val="22"/>
          <w:szCs w:val="22"/>
        </w:rPr>
        <w:t>: Aquella considerada por la presente Ley como reservada o confidencial;</w:t>
      </w:r>
    </w:p>
    <w:p w14:paraId="555E0F3C"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XXI. Información confidencial</w:t>
      </w:r>
      <w:r w:rsidRPr="00660766">
        <w:rPr>
          <w:rFonts w:ascii="Palatino Linotype" w:eastAsia="Palatino Linotype" w:hAnsi="Palatino Linotype" w:cs="Palatino Linotype"/>
          <w:i/>
          <w:iCs/>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147B580D"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p>
    <w:p w14:paraId="5AEDA9BC"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XXXII. Protección de Datos Personales</w:t>
      </w:r>
      <w:r w:rsidRPr="00660766">
        <w:rPr>
          <w:rFonts w:ascii="Palatino Linotype" w:eastAsia="Palatino Linotype" w:hAnsi="Palatino Linotype" w:cs="Palatino Linotype"/>
          <w:i/>
          <w:iCs/>
          <w:sz w:val="22"/>
          <w:szCs w:val="22"/>
        </w:rPr>
        <w:t>: Derecho humano que tutela la privacidad de datos personales en poder de los sujetos obligados y sujetos particulares;</w:t>
      </w:r>
    </w:p>
    <w:p w14:paraId="6A958848"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p>
    <w:p w14:paraId="059A1D15" w14:textId="77777777" w:rsidR="006D3AD0" w:rsidRPr="00660766" w:rsidRDefault="006D3AD0" w:rsidP="009708D6">
      <w:pPr>
        <w:tabs>
          <w:tab w:val="left" w:pos="1276"/>
        </w:tabs>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XLV. Versión pública</w:t>
      </w:r>
      <w:r w:rsidRPr="00660766">
        <w:rPr>
          <w:rFonts w:ascii="Palatino Linotype" w:eastAsia="Palatino Linotype" w:hAnsi="Palatino Linotype" w:cs="Palatino Linotype"/>
          <w:i/>
          <w:iCs/>
          <w:sz w:val="22"/>
          <w:szCs w:val="22"/>
        </w:rPr>
        <w:t>: Documento en el que se elimine, suprime o borra la información clasificada como reservada o confidencial para permitir su acceso.</w:t>
      </w:r>
    </w:p>
    <w:p w14:paraId="045A69D4"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 Artículo 6</w:t>
      </w:r>
      <w:r w:rsidRPr="00660766">
        <w:rPr>
          <w:rFonts w:ascii="Palatino Linotype" w:eastAsia="Palatino Linotype" w:hAnsi="Palatino Linotype" w:cs="Palatino Linotype"/>
          <w:i/>
          <w:iCs/>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1B9A8A2A"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p>
    <w:p w14:paraId="12B31DD0"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Artículo 91.</w:t>
      </w:r>
      <w:r w:rsidRPr="00660766">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r w:rsidRPr="00660766">
        <w:rPr>
          <w:rFonts w:ascii="Palatino Linotype" w:eastAsia="Palatino Linotype" w:hAnsi="Palatino Linotype" w:cs="Palatino Linotype"/>
          <w:i/>
          <w:iCs/>
          <w:sz w:val="22"/>
          <w:szCs w:val="22"/>
        </w:rPr>
        <w:br/>
        <w:t>…</w:t>
      </w:r>
    </w:p>
    <w:p w14:paraId="7C8B8302"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Artículo 132.</w:t>
      </w:r>
      <w:r w:rsidRPr="00660766">
        <w:rPr>
          <w:rFonts w:ascii="Palatino Linotype" w:eastAsia="Palatino Linotype" w:hAnsi="Palatino Linotype" w:cs="Palatino Linotype"/>
          <w:i/>
          <w:iCs/>
          <w:sz w:val="22"/>
          <w:szCs w:val="22"/>
        </w:rPr>
        <w:t xml:space="preserve"> La clasificación de la información se llevará a cabo en el momento en que:</w:t>
      </w:r>
    </w:p>
    <w:p w14:paraId="0F2DEAC0"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w:t>
      </w:r>
      <w:r w:rsidRPr="00660766">
        <w:rPr>
          <w:rFonts w:ascii="Palatino Linotype" w:eastAsia="Palatino Linotype" w:hAnsi="Palatino Linotype" w:cs="Palatino Linotype"/>
          <w:i/>
          <w:iCs/>
          <w:sz w:val="22"/>
          <w:szCs w:val="22"/>
        </w:rPr>
        <w:t>. Se reciba una solicitud de acceso a la información;</w:t>
      </w:r>
    </w:p>
    <w:p w14:paraId="6F938783"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w:t>
      </w:r>
      <w:r w:rsidRPr="00660766">
        <w:rPr>
          <w:rFonts w:ascii="Palatino Linotype" w:eastAsia="Palatino Linotype" w:hAnsi="Palatino Linotype" w:cs="Palatino Linotype"/>
          <w:i/>
          <w:iCs/>
          <w:sz w:val="22"/>
          <w:szCs w:val="22"/>
        </w:rPr>
        <w:t xml:space="preserve"> Se determine mediante resolución de autoridad competente; o</w:t>
      </w:r>
    </w:p>
    <w:p w14:paraId="09C29C89"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III.</w:t>
      </w:r>
      <w:r w:rsidRPr="00660766">
        <w:rPr>
          <w:rFonts w:ascii="Palatino Linotype" w:eastAsia="Palatino Linotype" w:hAnsi="Palatino Linotype" w:cs="Palatino Linotype"/>
          <w:i/>
          <w:iCs/>
          <w:sz w:val="22"/>
          <w:szCs w:val="22"/>
        </w:rPr>
        <w:t xml:space="preserve"> Se generen versiones públicas para dar cumplimiento a las obligaciones de transparencia previstas en esta Ley.</w:t>
      </w:r>
    </w:p>
    <w:p w14:paraId="09FBF5A3"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w:t>
      </w:r>
    </w:p>
    <w:p w14:paraId="220B14BB"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Artículo 137.</w:t>
      </w:r>
      <w:r w:rsidRPr="00660766">
        <w:rPr>
          <w:rFonts w:ascii="Palatino Linotype" w:eastAsia="Palatino Linotype" w:hAnsi="Palatino Linotype" w:cs="Palatino Linotype"/>
          <w:i/>
          <w:iCs/>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1E270B59"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 Artículo 143.</w:t>
      </w:r>
      <w:r w:rsidRPr="00660766">
        <w:rPr>
          <w:rFonts w:ascii="Palatino Linotype" w:eastAsia="Palatino Linotype" w:hAnsi="Palatino Linotype" w:cs="Palatino Linotype"/>
          <w:i/>
          <w:iCs/>
          <w:sz w:val="22"/>
          <w:szCs w:val="22"/>
        </w:rPr>
        <w:t xml:space="preserve"> Para los efectos de esta Ley se considera información confidencial, la clasificada como tal, de manera permanente, por su naturaleza, cuando:</w:t>
      </w:r>
    </w:p>
    <w:p w14:paraId="5AEB1EC3"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w:t>
      </w:r>
      <w:r w:rsidRPr="00660766">
        <w:rPr>
          <w:rFonts w:ascii="Palatino Linotype" w:eastAsia="Palatino Linotype" w:hAnsi="Palatino Linotype" w:cs="Palatino Linotype"/>
          <w:i/>
          <w:iCs/>
          <w:sz w:val="22"/>
          <w:szCs w:val="22"/>
        </w:rPr>
        <w:t xml:space="preserve"> Se refiera a la información privada y los datos personales concernientes a una persona física o jurídico colectiva identificada o identificable...”</w:t>
      </w:r>
    </w:p>
    <w:p w14:paraId="0907F8FB"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11E77C5E"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789AEB0D"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En el caso específico, la información solicitada puede contener datos susceptibles de clasificarse, que de hacerse públicos afectarían la intimidad y vida privada de particulares; que se ha reiterado en las resoluciones de este Pleno que además de los datos especificados en la Ley de Transparencia y Acceso a la Información Pública del Estado de México y Municipios, se consideran confidenciales cuyo acceso debe ser restringido, los cuales deben testarse al momento de la elaboración de versiones públicas, como pudieran ser de manera enunciativa más no limitativa, clave de elector, numero de OCR, CURP, el número de cuenta bancaria, que sean exclusivamente de particulares, entre otros.</w:t>
      </w:r>
    </w:p>
    <w:p w14:paraId="6A3847CF"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La </w:t>
      </w:r>
      <w:r w:rsidRPr="00660766">
        <w:rPr>
          <w:rFonts w:ascii="Palatino Linotype" w:eastAsia="Palatino Linotype" w:hAnsi="Palatino Linotype" w:cs="Palatino Linotype"/>
          <w:b/>
          <w:sz w:val="22"/>
          <w:szCs w:val="22"/>
        </w:rPr>
        <w:t>clave de elector</w:t>
      </w:r>
      <w:r w:rsidRPr="00660766">
        <w:rPr>
          <w:rFonts w:ascii="Palatino Linotype" w:eastAsia="Palatino Linotype" w:hAnsi="Palatino Linotype" w:cs="Palatino Linotype"/>
          <w:sz w:val="22"/>
          <w:szCs w:val="22"/>
        </w:rPr>
        <w:t>, es la composición alfanumérica compuesta de 18 caracteres, mismos que hacen identificable a una persona física, que se conforma por las primeras letras de los apellidos, año, mes, día, sexo, clave del estado en donde nació su titular, así como una homoclave que distingue a su titular de cualquier otro homónimo, por lo tanto, se trata de un dato personal que debe ser protegido.</w:t>
      </w:r>
    </w:p>
    <w:p w14:paraId="0C27B43B"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El </w:t>
      </w:r>
      <w:r w:rsidRPr="00660766">
        <w:rPr>
          <w:rFonts w:ascii="Palatino Linotype" w:eastAsia="Palatino Linotype" w:hAnsi="Palatino Linotype" w:cs="Palatino Linotype"/>
          <w:b/>
          <w:sz w:val="22"/>
          <w:szCs w:val="22"/>
        </w:rPr>
        <w:t>número de OCR,</w:t>
      </w:r>
      <w:r w:rsidRPr="00660766">
        <w:rPr>
          <w:rFonts w:ascii="Palatino Linotype" w:eastAsia="Palatino Linotype" w:hAnsi="Palatino Linotype" w:cs="Palatino Linotype"/>
          <w:sz w:val="22"/>
          <w:szCs w:val="22"/>
        </w:rPr>
        <w:t xml:space="preserve"> denominado Reconocimiento Óptico de Caracteres (OCR), contiene el número de la sección electoral en donde vota el ciudadano titular de dicho documento, por lo que constituye un dato personal en razón de que revela información concerniente a una persona física identificada o identificable en función de la información geoelectoral ahí contenida, por lo que es susceptible de resguardarse.</w:t>
      </w:r>
    </w:p>
    <w:p w14:paraId="6A3A01B7"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La </w:t>
      </w:r>
      <w:r w:rsidRPr="00660766">
        <w:rPr>
          <w:rFonts w:ascii="Palatino Linotype" w:eastAsia="Palatino Linotype" w:hAnsi="Palatino Linotype" w:cs="Palatino Linotype"/>
          <w:b/>
          <w:sz w:val="22"/>
          <w:szCs w:val="22"/>
        </w:rPr>
        <w:t>clave única del registro de población,</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sz w:val="22"/>
          <w:szCs w:val="22"/>
        </w:rPr>
        <w:t>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está considerada como información confidencial.</w:t>
      </w:r>
    </w:p>
    <w:p w14:paraId="4E60B1DB"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Igualmente, resulta importante destacar que el </w:t>
      </w:r>
      <w:r w:rsidRPr="00660766">
        <w:rPr>
          <w:rFonts w:ascii="Palatino Linotype" w:eastAsia="Palatino Linotype" w:hAnsi="Palatino Linotype" w:cs="Palatino Linotype"/>
          <w:i/>
          <w:sz w:val="22"/>
          <w:szCs w:val="22"/>
        </w:rPr>
        <w:t>número de cuenta bancaria</w:t>
      </w:r>
      <w:r w:rsidRPr="00660766">
        <w:rPr>
          <w:rFonts w:ascii="Palatino Linotype" w:eastAsia="Palatino Linotype" w:hAnsi="Palatino Linotype" w:cs="Palatino Linotype"/>
          <w:sz w:val="22"/>
          <w:szCs w:val="22"/>
        </w:rPr>
        <w:t xml:space="preserve">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6E93F95F"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14:paraId="3DD2910C"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público, toda vez que se podría dar un uso inadecuado a la misma o cometer algún ilícito o fraude en contra del patrimonio de los particulares. </w:t>
      </w:r>
    </w:p>
    <w:p w14:paraId="5213439D"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En esa virtud, este Pleno determina que dicha información no puede ser del dominio público, toda vez que se podría dar un uso inadecuado a la misma o cometer algún ilícito o fraude como ya ha sido expuesto. </w:t>
      </w:r>
    </w:p>
    <w:p w14:paraId="4815B819"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Es por esta razón que se debe omitir el o los números de cuentas bancarias de particulares en las versiones públicas que de las facturas se hagan, para ser entregadas.</w:t>
      </w:r>
    </w:p>
    <w:p w14:paraId="04447DAA"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Lo anterior, no es así tratándose de las cuentas bancarias o claves interbancarias de los Sujetos Obligados ya que su publicidad cede a la rendición de cuentas al transparentar la forma en que son administrados los recursos públicos.</w:t>
      </w:r>
    </w:p>
    <w:p w14:paraId="5295896C"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Lo argumentado encuentra sustento en los criterios orientadores 10/17 y 11/17 emitidos por el entonces Instituto Nacional de Transparencia, Acceso a la Información y Protección de Datos Personales, INAI, que llevan por rubro y texto los siguientes:</w:t>
      </w:r>
    </w:p>
    <w:p w14:paraId="4DC5C395" w14:textId="77777777" w:rsidR="006D3AD0" w:rsidRPr="00660766" w:rsidRDefault="006D3AD0" w:rsidP="009708D6">
      <w:pPr>
        <w:spacing w:before="240" w:after="24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“Cuentas bancarias y/o CLABE interbancaria de personas físicas y morales privadas.</w:t>
      </w:r>
      <w:r w:rsidRPr="00660766">
        <w:rPr>
          <w:rFonts w:ascii="Palatino Linotype" w:eastAsia="Palatino Linotype" w:hAnsi="Palatino Linotype" w:cs="Palatino Linotype"/>
          <w:i/>
          <w:sz w:val="22"/>
          <w:szCs w:val="22"/>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36ED12AE" w14:textId="77777777" w:rsidR="006D3AD0" w:rsidRPr="00660766" w:rsidRDefault="006D3AD0" w:rsidP="009708D6">
      <w:pPr>
        <w:spacing w:before="240" w:after="24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Cuentas bancarias y/o CLABE interbancaria de sujetos obligados que reciben y/o transfieren recursos públicos, son información pública</w:t>
      </w:r>
      <w:r w:rsidRPr="00660766">
        <w:rPr>
          <w:rFonts w:ascii="Palatino Linotype" w:eastAsia="Palatino Linotype" w:hAnsi="Palatino Linotype" w:cs="Palatino Linotype"/>
          <w:i/>
          <w:sz w:val="22"/>
          <w:szCs w:val="22"/>
        </w:rPr>
        <w:t>.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3FF27819"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Por cuanto hace al </w:t>
      </w:r>
      <w:r w:rsidRPr="00660766">
        <w:rPr>
          <w:rFonts w:ascii="Palatino Linotype" w:eastAsia="Palatino Linotype" w:hAnsi="Palatino Linotype" w:cs="Palatino Linotype"/>
          <w:b/>
          <w:sz w:val="22"/>
          <w:szCs w:val="22"/>
        </w:rPr>
        <w:t xml:space="preserve">Registro Federal de Contribuyentes (RFC) </w:t>
      </w:r>
      <w:r w:rsidRPr="00660766">
        <w:rPr>
          <w:rFonts w:ascii="Palatino Linotype" w:eastAsia="Palatino Linotype" w:hAnsi="Palatino Linotype" w:cs="Palatino Linotype"/>
          <w:sz w:val="22"/>
          <w:szCs w:val="22"/>
        </w:rPr>
        <w:t>y</w:t>
      </w:r>
      <w:r w:rsidRPr="00660766">
        <w:rPr>
          <w:rFonts w:ascii="Palatino Linotype" w:eastAsia="Palatino Linotype" w:hAnsi="Palatino Linotype" w:cs="Palatino Linotype"/>
          <w:b/>
          <w:sz w:val="22"/>
          <w:szCs w:val="22"/>
        </w:rPr>
        <w:t xml:space="preserve"> el domicilio fiscal </w:t>
      </w:r>
      <w:r w:rsidRPr="00660766">
        <w:rPr>
          <w:rFonts w:ascii="Palatino Linotype" w:eastAsia="Palatino Linotype" w:hAnsi="Palatino Linotype" w:cs="Palatino Linotype"/>
          <w:sz w:val="22"/>
          <w:szCs w:val="22"/>
        </w:rPr>
        <w:t>si bien este Instituto ha sostenido que el RFC y domicilio de las personas físicas debe ser testado por los Sujetos Obligados, en las versiones públicas de los documentos que elaboren para atender las solicitudes de información pública, lo cierto es que, tratándose de proveedores, prestadores de servicios o contratistas, dichos datos no deben ser suprimidos de las facturas y contratos que vayan a ser entregados.</w:t>
      </w:r>
    </w:p>
    <w:p w14:paraId="53F63D95"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Ello se debe a que, del ejercicio de ponderación entre el derecho a la protección de datos personales con el derecho de acceso a la información pública, es de mayor trascendencia el que cualquier persona pueda conocer en qué se gastan los recursos públicos, puesto que se trata de erogaciones que realiza un órgano del Estado con base en los recursos que encuentran su origen en mayor medida en las contribuciones aportados por los gobernados, por lo que debe transparentarse su ejercicio.</w:t>
      </w:r>
    </w:p>
    <w:p w14:paraId="28A5698D"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Además, las personas físicas que realicen las actividades contratadas por las instituciones, renuncian implícitamente a una parte de su derecho a la intimidad al obtener beneficios y lucros de los recursos públicos por dicha contratación, por lo que </w:t>
      </w:r>
      <w:r w:rsidRPr="00660766">
        <w:rPr>
          <w:rFonts w:ascii="Palatino Linotype" w:eastAsia="Palatino Linotype" w:hAnsi="Palatino Linotype" w:cs="Palatino Linotype"/>
          <w:b/>
          <w:sz w:val="22"/>
          <w:szCs w:val="22"/>
        </w:rPr>
        <w:t>no puede considerarse como información clasificada lo relativo a su nombre, registro federal de contribuyentes y domicilio fiscal</w:t>
      </w:r>
      <w:r w:rsidRPr="00660766">
        <w:rPr>
          <w:rFonts w:ascii="Palatino Linotype" w:eastAsia="Palatino Linotype" w:hAnsi="Palatino Linotype" w:cs="Palatino Linotype"/>
          <w:sz w:val="22"/>
          <w:szCs w:val="22"/>
        </w:rPr>
        <w:t>, atento a que dicha información es la que puede generar certeza en los gobernados en que se está ejerciendo debidamente el presupuesto.</w:t>
      </w:r>
    </w:p>
    <w:p w14:paraId="6CCF19B1"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Robustece lo anterior el criterio orientador 04/21 emitido por el Instituto Nacional de Transparencia, Acceso a la Información y Protección de Datos Personales, INAI, el cual refiere:</w:t>
      </w:r>
    </w:p>
    <w:p w14:paraId="6019827A" w14:textId="77777777" w:rsidR="006D3AD0" w:rsidRPr="00660766" w:rsidRDefault="006D3AD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 xml:space="preserve">“Registro Federal de Contribuyentes (RFC) de personas físicas proveedoras o contratistas. </w:t>
      </w:r>
      <w:r w:rsidRPr="00660766">
        <w:rPr>
          <w:rFonts w:ascii="Palatino Linotype" w:eastAsia="Palatino Linotype" w:hAnsi="Palatino Linotype" w:cs="Palatino Linotype"/>
          <w:i/>
          <w:sz w:val="22"/>
          <w:szCs w:val="22"/>
        </w:rPr>
        <w:t>El RFC de contratistas o proveedores de los sujetos obligados debe ser público, ya que al tratarse de personas con contrataciones públicas, su difusión favorece la transparencia con la que deben administrarse los recursos públicos, en términos del artículo 134 de la Constitución Política de los Estados Unidos Mexicanos.”</w:t>
      </w:r>
    </w:p>
    <w:p w14:paraId="4DAF60CE"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Relacionado con lo anterior, el </w:t>
      </w:r>
      <w:r w:rsidRPr="00660766">
        <w:rPr>
          <w:rFonts w:ascii="Palatino Linotype" w:eastAsia="Palatino Linotype" w:hAnsi="Palatino Linotype" w:cs="Palatino Linotype"/>
          <w:b/>
          <w:sz w:val="22"/>
          <w:szCs w:val="22"/>
        </w:rPr>
        <w:t>nombre de las personas físicas</w:t>
      </w:r>
      <w:r w:rsidRPr="00660766">
        <w:rPr>
          <w:rFonts w:ascii="Palatino Linotype" w:eastAsia="Palatino Linotype" w:hAnsi="Palatino Linotype" w:cs="Palatino Linotype"/>
          <w:sz w:val="22"/>
          <w:szCs w:val="22"/>
        </w:rPr>
        <w:t xml:space="preserve"> o los </w:t>
      </w:r>
      <w:r w:rsidRPr="00660766">
        <w:rPr>
          <w:rFonts w:ascii="Palatino Linotype" w:eastAsia="Palatino Linotype" w:hAnsi="Palatino Linotype" w:cs="Palatino Linotype"/>
          <w:b/>
          <w:sz w:val="22"/>
          <w:szCs w:val="22"/>
        </w:rPr>
        <w:t>representantes legales de las personas morales</w:t>
      </w:r>
      <w:r w:rsidRPr="00660766">
        <w:rPr>
          <w:rFonts w:ascii="Palatino Linotype" w:eastAsia="Palatino Linotype" w:hAnsi="Palatino Linotype" w:cs="Palatino Linotype"/>
          <w:sz w:val="22"/>
          <w:szCs w:val="22"/>
        </w:rPr>
        <w:t>, en su calidad de proveedores, contratistas o prestadores de servicios, y la firma y rúbrica de estos, que participen en algún  proceso de adjudicación en cualquiera de sus modalidades, debe mencionarse que con base en el artículo 23 párrafo segundo y 24 fracción XVIII  de la Ley de Transparencia y Acceso a la Información Pública del Estado de México y Municipios, los entes públicos tienen la obligación de difundir toda aquella información relativa a los montos y las personas a quienes entreguen, por cualquier motivo, recursos públicos, así como los informes que dichas personas entreguen sobre el uso y destino de dichos recursos, motivo por el cual los datos del representante legal de la persona moral que resultó favorecida con el procedimiento de licitación no conservan el carácter de confidencial y por tanto no deben ser testados.</w:t>
      </w:r>
    </w:p>
    <w:p w14:paraId="5C219A8C"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Argumentación que guarda sustento en lo estipulado por el artículo 23 de la Ley de Transparencia y Acceso a la Información Pública del Estado de México y Municipios en su penúltimo párrafo, mismo que es del tenor literal siguiente:</w:t>
      </w:r>
    </w:p>
    <w:p w14:paraId="1032D34A" w14:textId="77777777" w:rsidR="006D3AD0" w:rsidRPr="00660766" w:rsidRDefault="006D3AD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w:t>
      </w:r>
      <w:r w:rsidRPr="00660766">
        <w:rPr>
          <w:rFonts w:ascii="Palatino Linotype" w:eastAsia="Palatino Linotype" w:hAnsi="Palatino Linotype" w:cs="Palatino Linotype"/>
          <w:b/>
          <w:i/>
          <w:sz w:val="22"/>
          <w:szCs w:val="22"/>
        </w:rPr>
        <w:t>Artículo 23.</w:t>
      </w:r>
      <w:r w:rsidRPr="00660766">
        <w:rPr>
          <w:rFonts w:ascii="Palatino Linotype" w:eastAsia="Palatino Linotype" w:hAnsi="Palatino Linotype" w:cs="Palatino Linotype"/>
          <w:i/>
          <w:sz w:val="22"/>
          <w:szCs w:val="22"/>
        </w:rPr>
        <w:t xml:space="preserve"> (…)</w:t>
      </w:r>
    </w:p>
    <w:p w14:paraId="08E07CFA" w14:textId="77777777" w:rsidR="006D3AD0" w:rsidRPr="00660766" w:rsidRDefault="006D3AD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2727340D" w14:textId="77777777" w:rsidR="006D3AD0" w:rsidRPr="00660766" w:rsidRDefault="006D3AD0" w:rsidP="009708D6">
      <w:pPr>
        <w:spacing w:before="280" w:after="28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Asimismo, resulta aplicable el contenido del criterio de interpretación 01/19 emitido por el entonces Instituto Nacional de Transparencia, Acceso a la Información, y Protección de Datos Personales, INAI, que lleva por rubro y texto los siguientes;</w:t>
      </w:r>
    </w:p>
    <w:p w14:paraId="2604972A" w14:textId="77777777" w:rsidR="006D3AD0" w:rsidRPr="00660766" w:rsidRDefault="006D3AD0" w:rsidP="009708D6">
      <w:pPr>
        <w:spacing w:before="120" w:after="120"/>
        <w:ind w:left="851" w:right="902"/>
        <w:jc w:val="both"/>
        <w:rPr>
          <w:rFonts w:ascii="Palatino Linotype" w:eastAsia="Palatino Linotype" w:hAnsi="Palatino Linotype" w:cs="Palatino Linotype"/>
          <w:i/>
          <w:sz w:val="22"/>
          <w:szCs w:val="22"/>
        </w:rPr>
      </w:pPr>
      <w:r w:rsidRPr="00660766">
        <w:rPr>
          <w:rFonts w:ascii="Palatino Linotype" w:eastAsia="Palatino Linotype" w:hAnsi="Palatino Linotype" w:cs="Palatino Linotype"/>
          <w:b/>
          <w:i/>
          <w:sz w:val="22"/>
          <w:szCs w:val="22"/>
        </w:rPr>
        <w:t>“Datos de identificación del representante o apoderado legal.</w:t>
      </w:r>
      <w:r w:rsidRPr="00660766">
        <w:rPr>
          <w:rFonts w:ascii="Palatino Linotype" w:eastAsia="Palatino Linotype" w:hAnsi="Palatino Linotype" w:cs="Palatino Linotype"/>
          <w:i/>
          <w:sz w:val="22"/>
          <w:szCs w:val="22"/>
        </w:rPr>
        <w:t xml:space="preserve"> </w:t>
      </w:r>
      <w:r w:rsidRPr="00660766">
        <w:rPr>
          <w:rFonts w:ascii="Palatino Linotype" w:eastAsia="Palatino Linotype" w:hAnsi="Palatino Linotype" w:cs="Palatino Linotype"/>
          <w:b/>
          <w:i/>
          <w:sz w:val="22"/>
          <w:szCs w:val="22"/>
        </w:rPr>
        <w:t xml:space="preserve">Naturaleza jurídica. </w:t>
      </w:r>
      <w:r w:rsidRPr="00660766">
        <w:rPr>
          <w:rFonts w:ascii="Palatino Linotype" w:eastAsia="Palatino Linotype" w:hAnsi="Palatino Linotype" w:cs="Palatino Linotype"/>
          <w:i/>
          <w:sz w:val="22"/>
          <w:szCs w:val="22"/>
        </w:rPr>
        <w:t xml:space="preserve">El nombre, la firma y la rúbrica de una persona física, que actúe como representante o apoderado legal de un tercero que haya celebrado un acto jurídico, con algún sujeto obligado, </w:t>
      </w:r>
      <w:r w:rsidRPr="00660766">
        <w:rPr>
          <w:rFonts w:ascii="Palatino Linotype" w:eastAsia="Palatino Linotype" w:hAnsi="Palatino Linotype" w:cs="Palatino Linotype"/>
          <w:b/>
          <w:i/>
          <w:sz w:val="22"/>
          <w:szCs w:val="22"/>
        </w:rPr>
        <w:t>es información pública, en razón de que tales datos fueron proporcionados con el objeto de expresar el consentimiento obligacional del tercero y otorgar validez a dicho instrumento jurídico</w:t>
      </w:r>
      <w:r w:rsidRPr="00660766">
        <w:rPr>
          <w:rFonts w:ascii="Palatino Linotype" w:eastAsia="Palatino Linotype" w:hAnsi="Palatino Linotype" w:cs="Palatino Linotype"/>
          <w:i/>
          <w:sz w:val="22"/>
          <w:szCs w:val="22"/>
        </w:rPr>
        <w:t>.”</w:t>
      </w:r>
    </w:p>
    <w:p w14:paraId="1927E1D4" w14:textId="77777777" w:rsidR="006D3AD0" w:rsidRPr="00660766" w:rsidRDefault="006D3AD0" w:rsidP="009708D6">
      <w:pPr>
        <w:spacing w:before="240" w:after="240" w:line="360" w:lineRule="auto"/>
        <w:ind w:right="50"/>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2A0F4501"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“Artículo 49.</w:t>
      </w:r>
      <w:r w:rsidRPr="00660766">
        <w:rPr>
          <w:rFonts w:ascii="Palatino Linotype" w:eastAsia="Palatino Linotype" w:hAnsi="Palatino Linotype" w:cs="Palatino Linotype"/>
          <w:i/>
          <w:iCs/>
          <w:sz w:val="22"/>
          <w:szCs w:val="22"/>
        </w:rPr>
        <w:t xml:space="preserve"> </w:t>
      </w:r>
      <w:r w:rsidRPr="00660766">
        <w:rPr>
          <w:rFonts w:ascii="Palatino Linotype" w:eastAsia="Palatino Linotype" w:hAnsi="Palatino Linotype" w:cs="Palatino Linotype"/>
          <w:b/>
          <w:bCs/>
          <w:i/>
          <w:iCs/>
          <w:sz w:val="22"/>
          <w:szCs w:val="22"/>
        </w:rPr>
        <w:t>Los Comités de Transparencia</w:t>
      </w:r>
      <w:r w:rsidRPr="00660766">
        <w:rPr>
          <w:rFonts w:ascii="Palatino Linotype" w:eastAsia="Palatino Linotype" w:hAnsi="Palatino Linotype" w:cs="Palatino Linotype"/>
          <w:i/>
          <w:iCs/>
          <w:sz w:val="22"/>
          <w:szCs w:val="22"/>
        </w:rPr>
        <w:t xml:space="preserve"> tendrán las siguientes atribuciones:</w:t>
      </w:r>
    </w:p>
    <w:p w14:paraId="26D6F9AD"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VIII. Aprobar, modificar o revocar la clasificación de la información</w:t>
      </w:r>
      <w:r w:rsidRPr="00660766">
        <w:rPr>
          <w:rFonts w:ascii="Palatino Linotype" w:eastAsia="Palatino Linotype" w:hAnsi="Palatino Linotype" w:cs="Palatino Linotype"/>
          <w:i/>
          <w:iCs/>
          <w:sz w:val="22"/>
          <w:szCs w:val="22"/>
        </w:rPr>
        <w:t>…”</w:t>
      </w:r>
    </w:p>
    <w:p w14:paraId="2035322C"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r w:rsidRPr="00660766">
        <w:rPr>
          <w:rFonts w:ascii="Palatino Linotype" w:eastAsia="Palatino Linotype" w:hAnsi="Palatino Linotype" w:cs="Palatino Linotype"/>
          <w:b/>
          <w:bCs/>
          <w:i/>
          <w:iCs/>
          <w:sz w:val="22"/>
          <w:szCs w:val="22"/>
        </w:rPr>
        <w:t>Artículo 53.</w:t>
      </w:r>
      <w:r w:rsidRPr="00660766">
        <w:rPr>
          <w:rFonts w:ascii="Palatino Linotype" w:eastAsia="Palatino Linotype" w:hAnsi="Palatino Linotype" w:cs="Palatino Linotype"/>
          <w:i/>
          <w:iCs/>
          <w:sz w:val="22"/>
          <w:szCs w:val="22"/>
        </w:rPr>
        <w:t xml:space="preserve"> Las </w:t>
      </w:r>
      <w:r w:rsidRPr="00660766">
        <w:rPr>
          <w:rFonts w:ascii="Palatino Linotype" w:eastAsia="Palatino Linotype" w:hAnsi="Palatino Linotype" w:cs="Palatino Linotype"/>
          <w:b/>
          <w:bCs/>
          <w:i/>
          <w:iCs/>
          <w:sz w:val="22"/>
          <w:szCs w:val="22"/>
        </w:rPr>
        <w:t>Unidades de Transparencia</w:t>
      </w:r>
      <w:r w:rsidRPr="00660766">
        <w:rPr>
          <w:rFonts w:ascii="Palatino Linotype" w:eastAsia="Palatino Linotype" w:hAnsi="Palatino Linotype" w:cs="Palatino Linotype"/>
          <w:i/>
          <w:iCs/>
          <w:sz w:val="22"/>
          <w:szCs w:val="22"/>
        </w:rPr>
        <w:t xml:space="preserve"> tendrán las siguientes </w:t>
      </w:r>
      <w:r w:rsidRPr="00660766">
        <w:rPr>
          <w:rFonts w:ascii="Palatino Linotype" w:eastAsia="Palatino Linotype" w:hAnsi="Palatino Linotype" w:cs="Palatino Linotype"/>
          <w:b/>
          <w:bCs/>
          <w:i/>
          <w:iCs/>
          <w:sz w:val="22"/>
          <w:szCs w:val="22"/>
        </w:rPr>
        <w:t>funciones</w:t>
      </w:r>
      <w:r w:rsidRPr="00660766">
        <w:rPr>
          <w:rFonts w:ascii="Palatino Linotype" w:eastAsia="Palatino Linotype" w:hAnsi="Palatino Linotype" w:cs="Palatino Linotype"/>
          <w:i/>
          <w:iCs/>
          <w:sz w:val="22"/>
          <w:szCs w:val="22"/>
        </w:rPr>
        <w:t>:</w:t>
      </w:r>
    </w:p>
    <w:p w14:paraId="33D29109"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X. Presentar ante el Comité, el proyecto de clasificación de información</w:t>
      </w:r>
      <w:r w:rsidRPr="00660766">
        <w:rPr>
          <w:rFonts w:ascii="Palatino Linotype" w:eastAsia="Palatino Linotype" w:hAnsi="Palatino Linotype" w:cs="Palatino Linotype"/>
          <w:i/>
          <w:iCs/>
          <w:sz w:val="22"/>
          <w:szCs w:val="22"/>
        </w:rPr>
        <w:t xml:space="preserve">…” </w:t>
      </w:r>
    </w:p>
    <w:p w14:paraId="3012D1F3"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“Artículo 59.</w:t>
      </w:r>
      <w:r w:rsidRPr="00660766">
        <w:rPr>
          <w:rFonts w:ascii="Palatino Linotype" w:eastAsia="Palatino Linotype" w:hAnsi="Palatino Linotype" w:cs="Palatino Linotype"/>
          <w:i/>
          <w:iCs/>
          <w:sz w:val="22"/>
          <w:szCs w:val="22"/>
        </w:rPr>
        <w:t xml:space="preserve"> Los </w:t>
      </w:r>
      <w:r w:rsidRPr="00660766">
        <w:rPr>
          <w:rFonts w:ascii="Palatino Linotype" w:eastAsia="Palatino Linotype" w:hAnsi="Palatino Linotype" w:cs="Palatino Linotype"/>
          <w:b/>
          <w:bCs/>
          <w:i/>
          <w:iCs/>
          <w:sz w:val="22"/>
          <w:szCs w:val="22"/>
        </w:rPr>
        <w:t>servidores públicos habilitados</w:t>
      </w:r>
      <w:r w:rsidRPr="00660766">
        <w:rPr>
          <w:rFonts w:ascii="Palatino Linotype" w:eastAsia="Palatino Linotype" w:hAnsi="Palatino Linotype" w:cs="Palatino Linotype"/>
          <w:i/>
          <w:iCs/>
          <w:sz w:val="22"/>
          <w:szCs w:val="22"/>
        </w:rPr>
        <w:t xml:space="preserve"> tendrán las </w:t>
      </w:r>
      <w:r w:rsidRPr="00660766">
        <w:rPr>
          <w:rFonts w:ascii="Palatino Linotype" w:eastAsia="Palatino Linotype" w:hAnsi="Palatino Linotype" w:cs="Palatino Linotype"/>
          <w:b/>
          <w:bCs/>
          <w:i/>
          <w:iCs/>
          <w:sz w:val="22"/>
          <w:szCs w:val="22"/>
        </w:rPr>
        <w:t>funciones</w:t>
      </w:r>
      <w:r w:rsidRPr="00660766">
        <w:rPr>
          <w:rFonts w:ascii="Palatino Linotype" w:eastAsia="Palatino Linotype" w:hAnsi="Palatino Linotype" w:cs="Palatino Linotype"/>
          <w:i/>
          <w:iCs/>
          <w:sz w:val="22"/>
          <w:szCs w:val="22"/>
        </w:rPr>
        <w:t xml:space="preserve"> siguientes:</w:t>
      </w:r>
    </w:p>
    <w:p w14:paraId="5D0D1C49"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V. Integrar y presentar al responsable de la Unidad de Transparencia la propuesta de clasificación de información</w:t>
      </w:r>
      <w:r w:rsidRPr="00660766">
        <w:rPr>
          <w:rFonts w:ascii="Palatino Linotype" w:eastAsia="Palatino Linotype" w:hAnsi="Palatino Linotype" w:cs="Palatino Linotype"/>
          <w:i/>
          <w:iCs/>
          <w:sz w:val="22"/>
          <w:szCs w:val="22"/>
        </w:rPr>
        <w:t>, la cual tendrá los fundamentos y argumentos en que se basa dicha propuesta…”</w:t>
      </w:r>
    </w:p>
    <w:p w14:paraId="5B030186"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1D5E45D4"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44A988D1"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r w:rsidRPr="00660766">
        <w:rPr>
          <w:rFonts w:ascii="Palatino Linotype" w:eastAsia="Palatino Linotype" w:hAnsi="Palatino Linotype" w:cs="Palatino Linotype"/>
          <w:b/>
          <w:bCs/>
          <w:i/>
          <w:iCs/>
          <w:sz w:val="22"/>
          <w:szCs w:val="22"/>
        </w:rPr>
        <w:t>Artículo 149.</w:t>
      </w:r>
      <w:r w:rsidRPr="00660766">
        <w:rPr>
          <w:rFonts w:ascii="Palatino Linotype" w:eastAsia="Palatino Linotype" w:hAnsi="Palatino Linotype" w:cs="Palatino Linotype"/>
          <w:i/>
          <w:iCs/>
          <w:sz w:val="22"/>
          <w:szCs w:val="22"/>
        </w:rPr>
        <w:t xml:space="preserve"> El </w:t>
      </w:r>
      <w:r w:rsidRPr="00660766">
        <w:rPr>
          <w:rFonts w:ascii="Palatino Linotype" w:eastAsia="Palatino Linotype" w:hAnsi="Palatino Linotype" w:cs="Palatino Linotype"/>
          <w:b/>
          <w:bCs/>
          <w:i/>
          <w:iCs/>
          <w:sz w:val="22"/>
          <w:szCs w:val="22"/>
        </w:rPr>
        <w:t>acuerdo que clasifique la información como confidencial</w:t>
      </w:r>
      <w:r w:rsidRPr="00660766">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36F2999C" w14:textId="77777777" w:rsidR="006D3AD0" w:rsidRPr="00660766" w:rsidRDefault="006D3AD0" w:rsidP="009708D6">
      <w:pP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Es decir, el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13FBCDCA" w14:textId="77777777" w:rsidR="006D3AD0" w:rsidRPr="00660766" w:rsidRDefault="006D3AD0" w:rsidP="009708D6">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3E12893D"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 xml:space="preserve"> “Quincuagésimo. </w:t>
      </w:r>
      <w:r w:rsidRPr="00660766">
        <w:rPr>
          <w:rFonts w:ascii="Palatino Linotype" w:eastAsia="Palatino Linotype" w:hAnsi="Palatino Linotype" w:cs="Palatino Linotype"/>
          <w:i/>
          <w:iCs/>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6827AE3E"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 xml:space="preserve">Quincuagésimo primero. </w:t>
      </w:r>
      <w:r w:rsidRPr="00660766">
        <w:rPr>
          <w:rFonts w:ascii="Palatino Linotype" w:eastAsia="Palatino Linotype" w:hAnsi="Palatino Linotype" w:cs="Palatino Linotype"/>
          <w:i/>
          <w:iCs/>
          <w:sz w:val="22"/>
          <w:szCs w:val="22"/>
        </w:rPr>
        <w:t xml:space="preserve">Toda acta del Comité de Transparencia deberá contener: </w:t>
      </w:r>
    </w:p>
    <w:p w14:paraId="55546C7E"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w:t>
      </w:r>
      <w:r w:rsidRPr="00660766">
        <w:rPr>
          <w:rFonts w:ascii="Palatino Linotype" w:eastAsia="Palatino Linotype" w:hAnsi="Palatino Linotype" w:cs="Palatino Linotype"/>
          <w:i/>
          <w:iCs/>
          <w:sz w:val="22"/>
          <w:szCs w:val="22"/>
        </w:rPr>
        <w:t xml:space="preserve"> El número de sesión y fecha; </w:t>
      </w:r>
    </w:p>
    <w:p w14:paraId="22D3142A"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w:t>
      </w:r>
      <w:r w:rsidRPr="00660766">
        <w:rPr>
          <w:rFonts w:ascii="Palatino Linotype" w:eastAsia="Palatino Linotype" w:hAnsi="Palatino Linotype" w:cs="Palatino Linotype"/>
          <w:i/>
          <w:iCs/>
          <w:sz w:val="22"/>
          <w:szCs w:val="22"/>
        </w:rPr>
        <w:t xml:space="preserve">. El nombre del área que solicitó la clasificación de información; </w:t>
      </w:r>
    </w:p>
    <w:p w14:paraId="16B94270"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III</w:t>
      </w:r>
      <w:r w:rsidRPr="00660766">
        <w:rPr>
          <w:rFonts w:ascii="Palatino Linotype" w:eastAsia="Palatino Linotype" w:hAnsi="Palatino Linotype" w:cs="Palatino Linotype"/>
          <w:i/>
          <w:iCs/>
          <w:sz w:val="22"/>
          <w:szCs w:val="22"/>
        </w:rPr>
        <w:t xml:space="preserve">. La fundamentación legal y motivación correspondiente; </w:t>
      </w:r>
    </w:p>
    <w:p w14:paraId="5C36787C"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IV</w:t>
      </w:r>
      <w:r w:rsidRPr="00660766">
        <w:rPr>
          <w:rFonts w:ascii="Palatino Linotype" w:eastAsia="Palatino Linotype" w:hAnsi="Palatino Linotype" w:cs="Palatino Linotype"/>
          <w:i/>
          <w:iCs/>
          <w:sz w:val="22"/>
          <w:szCs w:val="22"/>
        </w:rPr>
        <w:t xml:space="preserve">. La resolución o resoluciones aprobadas; y </w:t>
      </w:r>
    </w:p>
    <w:p w14:paraId="30B916EC"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V</w:t>
      </w:r>
      <w:r w:rsidRPr="00660766">
        <w:rPr>
          <w:rFonts w:ascii="Palatino Linotype" w:eastAsia="Palatino Linotype" w:hAnsi="Palatino Linotype" w:cs="Palatino Linotype"/>
          <w:i/>
          <w:iCs/>
          <w:sz w:val="22"/>
          <w:szCs w:val="22"/>
        </w:rPr>
        <w:t xml:space="preserve">. La rúbrica o firma digital de cada integrante del Comité de Transparencia. </w:t>
      </w:r>
    </w:p>
    <w:p w14:paraId="47B12876"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 xml:space="preserve">Las resoluciones del Comité en las que se haya determinado confirmar o modificar la clasificación de información pública como reservada, deberán incluir, cuando menos: </w:t>
      </w:r>
    </w:p>
    <w:p w14:paraId="726A10B4"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w:t>
      </w:r>
      <w:r w:rsidRPr="00660766">
        <w:rPr>
          <w:rFonts w:ascii="Palatino Linotype" w:eastAsia="Palatino Linotype" w:hAnsi="Palatino Linotype" w:cs="Palatino Linotype"/>
          <w:i/>
          <w:iCs/>
          <w:sz w:val="22"/>
          <w:szCs w:val="22"/>
        </w:rPr>
        <w:t xml:space="preserve"> Los motivos y razonamientos que sustenten la confirmación o modificación de la prueba de daño;</w:t>
      </w:r>
    </w:p>
    <w:p w14:paraId="6A0FC16C"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b/>
          <w:bCs/>
          <w:i/>
          <w:iCs/>
          <w:sz w:val="22"/>
          <w:szCs w:val="22"/>
        </w:rPr>
      </w:pPr>
      <w:r w:rsidRPr="00660766">
        <w:rPr>
          <w:rFonts w:ascii="Palatino Linotype" w:eastAsia="Palatino Linotype" w:hAnsi="Palatino Linotype" w:cs="Palatino Linotype"/>
          <w:b/>
          <w:bCs/>
          <w:i/>
          <w:iCs/>
          <w:sz w:val="22"/>
          <w:szCs w:val="22"/>
        </w:rPr>
        <w:t>II</w:t>
      </w:r>
      <w:r w:rsidRPr="00660766">
        <w:rPr>
          <w:rFonts w:ascii="Palatino Linotype" w:eastAsia="Palatino Linotype" w:hAnsi="Palatino Linotype" w:cs="Palatino Linotype"/>
          <w:i/>
          <w:iCs/>
          <w:sz w:val="22"/>
          <w:szCs w:val="22"/>
        </w:rPr>
        <w:t>. Descripción de las partes o secciones reservadas, en caso de clasificación parcial</w:t>
      </w:r>
      <w:r w:rsidRPr="00660766">
        <w:rPr>
          <w:rFonts w:ascii="Palatino Linotype" w:eastAsia="Palatino Linotype" w:hAnsi="Palatino Linotype" w:cs="Palatino Linotype"/>
          <w:b/>
          <w:bCs/>
          <w:i/>
          <w:iCs/>
          <w:sz w:val="22"/>
          <w:szCs w:val="22"/>
        </w:rPr>
        <w:t xml:space="preserve">; </w:t>
      </w:r>
    </w:p>
    <w:p w14:paraId="797C4C22"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III.</w:t>
      </w:r>
      <w:r w:rsidRPr="00660766">
        <w:rPr>
          <w:rFonts w:ascii="Palatino Linotype" w:eastAsia="Palatino Linotype" w:hAnsi="Palatino Linotype" w:cs="Palatino Linotype"/>
          <w:i/>
          <w:iCs/>
          <w:sz w:val="22"/>
          <w:szCs w:val="22"/>
        </w:rPr>
        <w:t xml:space="preserve"> El periodo por el que mantendrá su clasificación y fecha de expiración; y </w:t>
      </w:r>
    </w:p>
    <w:p w14:paraId="3081B6E1"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IV.</w:t>
      </w:r>
      <w:r w:rsidRPr="00660766">
        <w:rPr>
          <w:rFonts w:ascii="Palatino Linotype" w:eastAsia="Palatino Linotype" w:hAnsi="Palatino Linotype" w:cs="Palatino Linotype"/>
          <w:i/>
          <w:iCs/>
          <w:sz w:val="22"/>
          <w:szCs w:val="22"/>
        </w:rPr>
        <w:t xml:space="preserve"> El nombre del titular y área encargada de realizar la versión pública del documento, en su caso. </w:t>
      </w:r>
    </w:p>
    <w:p w14:paraId="7B519965"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 xml:space="preserve">En los casos en que se clasifique la información como reservada siempre se entregará o anexará la prueba de daño con la respuesta al solicitante. </w:t>
      </w:r>
    </w:p>
    <w:p w14:paraId="0476B8B9" w14:textId="77777777" w:rsidR="006D3AD0" w:rsidRPr="00660766" w:rsidRDefault="006D3AD0" w:rsidP="009708D6">
      <w:pPr>
        <w:pBdr>
          <w:top w:val="nil"/>
          <w:left w:val="nil"/>
          <w:bottom w:val="nil"/>
          <w:right w:val="nil"/>
          <w:between w:val="nil"/>
        </w:pBd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59993C97" w14:textId="77777777" w:rsidR="006D3AD0" w:rsidRPr="00660766" w:rsidRDefault="006D3AD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66B64D36"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r w:rsidRPr="00660766">
        <w:rPr>
          <w:rFonts w:ascii="Palatino Linotype" w:eastAsia="Palatino Linotype" w:hAnsi="Palatino Linotype" w:cs="Palatino Linotype"/>
          <w:b/>
          <w:bCs/>
          <w:i/>
          <w:iCs/>
          <w:sz w:val="22"/>
          <w:szCs w:val="22"/>
        </w:rPr>
        <w:t>Quincuagésimo segundo</w:t>
      </w:r>
      <w:r w:rsidRPr="00660766">
        <w:rPr>
          <w:rFonts w:ascii="Palatino Linotype" w:eastAsia="Palatino Linotype" w:hAnsi="Palatino Linotype" w:cs="Palatino Linotype"/>
          <w:i/>
          <w:iCs/>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7ABD0115"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 xml:space="preserve">En el caso específico de la clasificación y elaboración de versiones públicas de documentos que contengan información confidencial, las áreas de los sujetos obligados deberán: </w:t>
      </w:r>
    </w:p>
    <w:p w14:paraId="3FDF751F"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w:t>
      </w:r>
      <w:r w:rsidRPr="00660766">
        <w:rPr>
          <w:rFonts w:ascii="Palatino Linotype" w:eastAsia="Palatino Linotype" w:hAnsi="Palatino Linotype" w:cs="Palatino Linotype"/>
          <w:i/>
          <w:iCs/>
          <w:sz w:val="22"/>
          <w:szCs w:val="22"/>
        </w:rPr>
        <w:t xml:space="preserve"> Fijar la fecha en que se elaboró la versión pública y la fecha en la cual el Comité de Transparencia confirmó dicha versión;</w:t>
      </w:r>
    </w:p>
    <w:p w14:paraId="7A9CEEB7"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w:t>
      </w:r>
      <w:r w:rsidRPr="00660766">
        <w:rPr>
          <w:rFonts w:ascii="Palatino Linotype" w:eastAsia="Palatino Linotype" w:hAnsi="Palatino Linotype" w:cs="Palatino Linotype"/>
          <w:i/>
          <w:iCs/>
          <w:sz w:val="22"/>
          <w:szCs w:val="22"/>
        </w:rPr>
        <w:t xml:space="preserve"> Señalar dentro del documento el tipo de información confidencial que fue testada en cada caso específico, de conformidad con el lineamiento trigésimo octavo; y</w:t>
      </w:r>
    </w:p>
    <w:p w14:paraId="717ED51E"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III.</w:t>
      </w:r>
      <w:r w:rsidRPr="00660766">
        <w:rPr>
          <w:rFonts w:ascii="Palatino Linotype" w:eastAsia="Palatino Linotype" w:hAnsi="Palatino Linotype" w:cs="Palatino Linotype"/>
          <w:i/>
          <w:iCs/>
          <w:sz w:val="22"/>
          <w:szCs w:val="22"/>
        </w:rPr>
        <w:t xml:space="preserve"> Señalar las personas o instancias autorizadas a acceder a la información clasificada.</w:t>
      </w:r>
    </w:p>
    <w:p w14:paraId="29C2DCCE" w14:textId="77777777" w:rsidR="006D3AD0" w:rsidRPr="00660766" w:rsidRDefault="006D3AD0" w:rsidP="009708D6">
      <w:pP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339D9CE2" w14:textId="77777777" w:rsidR="006D3AD0" w:rsidRPr="00660766" w:rsidRDefault="006D3AD0" w:rsidP="009708D6">
      <w:pPr>
        <w:pBdr>
          <w:top w:val="nil"/>
          <w:left w:val="nil"/>
          <w:bottom w:val="nil"/>
          <w:right w:val="nil"/>
          <w:between w:val="nil"/>
        </w:pBdr>
        <w:spacing w:before="120" w:after="120"/>
        <w:ind w:left="851" w:right="900"/>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w:t>
      </w:r>
    </w:p>
    <w:p w14:paraId="40985FF8" w14:textId="77777777" w:rsidR="006D3AD0" w:rsidRPr="00660766" w:rsidRDefault="006D3AD0" w:rsidP="009708D6">
      <w:pPr>
        <w:pBdr>
          <w:top w:val="nil"/>
          <w:left w:val="nil"/>
          <w:bottom w:val="nil"/>
          <w:right w:val="nil"/>
          <w:between w:val="nil"/>
        </w:pBdr>
        <w:spacing w:before="120" w:after="120"/>
        <w:ind w:left="851" w:right="900"/>
        <w:jc w:val="both"/>
        <w:rPr>
          <w:rFonts w:ascii="Palatino Linotype" w:eastAsia="Palatino Linotype" w:hAnsi="Palatino Linotype" w:cs="Palatino Linotype"/>
          <w:b/>
          <w:bCs/>
          <w:i/>
          <w:iCs/>
          <w:sz w:val="22"/>
          <w:szCs w:val="22"/>
        </w:rPr>
      </w:pPr>
      <w:r w:rsidRPr="00660766">
        <w:rPr>
          <w:rFonts w:ascii="Palatino Linotype" w:eastAsia="Palatino Linotype" w:hAnsi="Palatino Linotype" w:cs="Palatino Linotype"/>
          <w:b/>
          <w:bCs/>
          <w:i/>
          <w:iCs/>
          <w:sz w:val="22"/>
          <w:szCs w:val="22"/>
        </w:rPr>
        <w:t xml:space="preserve">Quincuagésimo cuarto. </w:t>
      </w:r>
      <w:r w:rsidRPr="00660766">
        <w:rPr>
          <w:rFonts w:ascii="Palatino Linotype" w:eastAsia="Palatino Linotype" w:hAnsi="Palatino Linotype" w:cs="Palatino Linotype"/>
          <w:i/>
          <w:iCs/>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660766">
        <w:rPr>
          <w:rFonts w:ascii="Palatino Linotype" w:eastAsia="Palatino Linotype" w:hAnsi="Palatino Linotype" w:cs="Palatino Linotype"/>
          <w:b/>
          <w:bCs/>
          <w:i/>
          <w:iCs/>
          <w:sz w:val="22"/>
          <w:szCs w:val="22"/>
        </w:rPr>
        <w:t xml:space="preserve"> </w:t>
      </w:r>
    </w:p>
    <w:p w14:paraId="30A68D14"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 xml:space="preserve">Quincuagésimo quinto. </w:t>
      </w:r>
      <w:r w:rsidRPr="00660766">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007F05E5" w14:textId="77777777" w:rsidR="006D3AD0" w:rsidRPr="00660766" w:rsidRDefault="006D3AD0" w:rsidP="009708D6">
      <w:pPr>
        <w:spacing w:before="120" w:after="120"/>
        <w:ind w:left="851" w:right="902"/>
        <w:jc w:val="both"/>
        <w:rPr>
          <w:rFonts w:ascii="Palatino Linotype" w:eastAsia="Palatino Linotype" w:hAnsi="Palatino Linotype" w:cs="Palatino Linotype"/>
          <w:b/>
          <w:bCs/>
          <w:i/>
          <w:iCs/>
          <w:sz w:val="22"/>
          <w:szCs w:val="22"/>
        </w:rPr>
      </w:pPr>
      <w:r w:rsidRPr="00660766">
        <w:rPr>
          <w:rFonts w:ascii="Palatino Linotype" w:eastAsia="Palatino Linotype" w:hAnsi="Palatino Linotype" w:cs="Palatino Linotype"/>
          <w:b/>
          <w:bCs/>
          <w:i/>
          <w:iCs/>
          <w:sz w:val="22"/>
          <w:szCs w:val="22"/>
        </w:rPr>
        <w:t>...</w:t>
      </w:r>
    </w:p>
    <w:p w14:paraId="2411DC90"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Quincuagésimo séptimo</w:t>
      </w:r>
      <w:r w:rsidRPr="00660766">
        <w:rPr>
          <w:rFonts w:ascii="Palatino Linotype" w:eastAsia="Palatino Linotype" w:hAnsi="Palatino Linotype" w:cs="Palatino Linotype"/>
          <w:i/>
          <w:iCs/>
          <w:sz w:val="22"/>
          <w:szCs w:val="22"/>
        </w:rPr>
        <w:t xml:space="preserve">. Se considera, en principio, como información pública y no podrá omitirse de las versiones públicas la siguiente: </w:t>
      </w:r>
    </w:p>
    <w:p w14:paraId="5C4746E5"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w:t>
      </w:r>
      <w:r w:rsidRPr="00660766">
        <w:rPr>
          <w:rFonts w:ascii="Palatino Linotype" w:eastAsia="Palatino Linotype" w:hAnsi="Palatino Linotype" w:cs="Palatino Linotype"/>
          <w:i/>
          <w:iCs/>
          <w:sz w:val="22"/>
          <w:szCs w:val="22"/>
        </w:rPr>
        <w:t xml:space="preserve">. La relativa a las Obligaciones de Transparencia que contempla el Título V de la Ley General y las demás disposiciones legales aplicables; </w:t>
      </w:r>
    </w:p>
    <w:p w14:paraId="3577A894"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w:t>
      </w:r>
      <w:r w:rsidRPr="00660766">
        <w:rPr>
          <w:rFonts w:ascii="Palatino Linotype" w:eastAsia="Palatino Linotype" w:hAnsi="Palatino Linotype" w:cs="Palatino Linotype"/>
          <w:i/>
          <w:iCs/>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4A8B0EC8"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III</w:t>
      </w:r>
      <w:r w:rsidRPr="00660766">
        <w:rPr>
          <w:rFonts w:ascii="Palatino Linotype" w:eastAsia="Palatino Linotype" w:hAnsi="Palatino Linotype" w:cs="Palatino Linotype"/>
          <w:i/>
          <w:iCs/>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53C2E067"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i/>
          <w:iCs/>
          <w:sz w:val="22"/>
          <w:szCs w:val="22"/>
        </w:rPr>
        <w:t xml:space="preserve">Lo anterior, siempre y cuando no se acredite alguna causal de clasificación, prevista en las leyes o en los tratados internacionales suscritas por el Estado mexicano.  </w:t>
      </w:r>
    </w:p>
    <w:p w14:paraId="7627AFC6" w14:textId="77777777" w:rsidR="006D3AD0" w:rsidRPr="00660766" w:rsidRDefault="006D3AD0" w:rsidP="009708D6">
      <w:pPr>
        <w:spacing w:before="120" w:after="120"/>
        <w:ind w:left="851" w:right="902"/>
        <w:jc w:val="both"/>
        <w:rPr>
          <w:rFonts w:ascii="Palatino Linotype" w:eastAsia="Palatino Linotype" w:hAnsi="Palatino Linotype" w:cs="Palatino Linotype"/>
          <w:i/>
          <w:iCs/>
          <w:sz w:val="22"/>
          <w:szCs w:val="22"/>
        </w:rPr>
      </w:pPr>
      <w:r w:rsidRPr="00660766">
        <w:rPr>
          <w:rFonts w:ascii="Palatino Linotype" w:eastAsia="Palatino Linotype" w:hAnsi="Palatino Linotype" w:cs="Palatino Linotype"/>
          <w:b/>
          <w:bCs/>
          <w:i/>
          <w:iCs/>
          <w:sz w:val="22"/>
          <w:szCs w:val="22"/>
        </w:rPr>
        <w:t>Quincuagésimo octavo</w:t>
      </w:r>
      <w:r w:rsidRPr="00660766">
        <w:rPr>
          <w:rFonts w:ascii="Palatino Linotype" w:eastAsia="Palatino Linotype" w:hAnsi="Palatino Linotype" w:cs="Palatino Linotype"/>
          <w:i/>
          <w:iCs/>
          <w:sz w:val="22"/>
          <w:szCs w:val="22"/>
        </w:rPr>
        <w:t>. Los sujetos obligados garantizarán que los sistemas o medios empleados para eliminar la información en las versiones públicas sean irreversibles, de tal forma que no permitan su recuperación o la visualización de la misma.”</w:t>
      </w:r>
    </w:p>
    <w:p w14:paraId="2D424BB3" w14:textId="3265312A" w:rsidR="005A75CA" w:rsidRPr="00660766" w:rsidRDefault="00E96B9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Así, con fundamento en lo prescrito en los artículos 5</w:t>
      </w:r>
      <w:r w:rsidR="00FD0FF9" w:rsidRPr="00660766">
        <w:rPr>
          <w:rFonts w:ascii="Palatino Linotype" w:eastAsia="Palatino Linotype" w:hAnsi="Palatino Linotype" w:cs="Palatino Linotype"/>
          <w:sz w:val="22"/>
          <w:szCs w:val="22"/>
        </w:rPr>
        <w:t xml:space="preserve">, </w:t>
      </w:r>
      <w:r w:rsidR="00170F4F" w:rsidRPr="00660766">
        <w:rPr>
          <w:rFonts w:ascii="Palatino Linotype" w:eastAsia="Palatino Linotype" w:hAnsi="Palatino Linotype" w:cs="Palatino Linotype"/>
          <w:sz w:val="22"/>
          <w:szCs w:val="22"/>
        </w:rPr>
        <w:t>párrafos cuadragésimo cuarto, cuadragésimo quinto y cuadragésimo sexto, fracciones IV y V de la Constitución Política del Estado Libre y Soberano de México; transitorio Cuarto del Decreto número 198 de la “LXII” Legislatura del Estado de México</w:t>
      </w:r>
      <w:r w:rsidRPr="00660766">
        <w:rPr>
          <w:rFonts w:ascii="Palatino Linotype" w:eastAsia="Palatino Linotype" w:hAnsi="Palatino Linotype" w:cs="Palatino Linotype"/>
          <w:sz w:val="22"/>
          <w:szCs w:val="22"/>
        </w:rPr>
        <w:t>; 2, fracción II; 29, 36 fracciones I y II; 176, 178, 181, 185 y 186 fracción II de la Ley de Transparencia y Acceso a la Información Pública del Estado de México y Municipios, este Pleno:</w:t>
      </w:r>
    </w:p>
    <w:p w14:paraId="635EEE69" w14:textId="77777777" w:rsidR="005A75CA" w:rsidRPr="00660766" w:rsidRDefault="00E96B90" w:rsidP="009708D6">
      <w:pPr>
        <w:pBdr>
          <w:top w:val="nil"/>
          <w:left w:val="nil"/>
          <w:bottom w:val="nil"/>
          <w:right w:val="nil"/>
          <w:between w:val="nil"/>
        </w:pBdr>
        <w:spacing w:before="240" w:after="240" w:line="360" w:lineRule="auto"/>
        <w:jc w:val="center"/>
        <w:rPr>
          <w:rFonts w:ascii="Palatino Linotype" w:eastAsia="Palatino Linotype" w:hAnsi="Palatino Linotype" w:cs="Palatino Linotype"/>
          <w:b/>
          <w:sz w:val="22"/>
          <w:szCs w:val="22"/>
        </w:rPr>
      </w:pPr>
      <w:r w:rsidRPr="00660766">
        <w:rPr>
          <w:rFonts w:ascii="Palatino Linotype" w:eastAsia="Palatino Linotype" w:hAnsi="Palatino Linotype" w:cs="Palatino Linotype"/>
          <w:b/>
          <w:sz w:val="22"/>
          <w:szCs w:val="22"/>
        </w:rPr>
        <w:t>III. R E S U E L V E</w:t>
      </w:r>
    </w:p>
    <w:p w14:paraId="4BED30EC" w14:textId="59AFAE72" w:rsidR="005A75CA" w:rsidRPr="00660766" w:rsidRDefault="00E96B90" w:rsidP="009708D6">
      <w:pPr>
        <w:spacing w:before="240" w:after="240" w:line="360" w:lineRule="auto"/>
        <w:ind w:right="49"/>
        <w:jc w:val="both"/>
        <w:rPr>
          <w:rFonts w:ascii="Palatino Linotype" w:eastAsia="Palatino Linotype" w:hAnsi="Palatino Linotype" w:cs="Palatino Linotype"/>
          <w:b/>
          <w:bCs/>
          <w:sz w:val="22"/>
          <w:szCs w:val="22"/>
        </w:rPr>
      </w:pPr>
      <w:bookmarkStart w:id="9" w:name="_heading=h.1t3h5sf" w:colFirst="0" w:colLast="0"/>
      <w:bookmarkEnd w:id="9"/>
      <w:r w:rsidRPr="00660766">
        <w:rPr>
          <w:rFonts w:ascii="Palatino Linotype" w:eastAsia="Palatino Linotype" w:hAnsi="Palatino Linotype" w:cs="Palatino Linotype"/>
          <w:b/>
          <w:sz w:val="22"/>
          <w:szCs w:val="22"/>
        </w:rPr>
        <w:t xml:space="preserve">Primero. </w:t>
      </w:r>
      <w:r w:rsidRPr="00660766">
        <w:rPr>
          <w:rFonts w:ascii="Palatino Linotype" w:eastAsia="Palatino Linotype" w:hAnsi="Palatino Linotype" w:cs="Palatino Linotype"/>
          <w:sz w:val="22"/>
          <w:szCs w:val="22"/>
        </w:rPr>
        <w:t xml:space="preserve">Resultan </w:t>
      </w:r>
      <w:r w:rsidRPr="00660766">
        <w:rPr>
          <w:rFonts w:ascii="Palatino Linotype" w:eastAsia="Palatino Linotype" w:hAnsi="Palatino Linotype" w:cs="Palatino Linotype"/>
          <w:b/>
          <w:sz w:val="22"/>
          <w:szCs w:val="22"/>
        </w:rPr>
        <w:t>fundados</w:t>
      </w:r>
      <w:r w:rsidRPr="00660766">
        <w:rPr>
          <w:rFonts w:ascii="Palatino Linotype" w:eastAsia="Palatino Linotype" w:hAnsi="Palatino Linotype" w:cs="Palatino Linotype"/>
          <w:sz w:val="22"/>
          <w:szCs w:val="22"/>
        </w:rPr>
        <w:t xml:space="preserve"> los motivos de inconformidad de la parte </w:t>
      </w:r>
      <w:r w:rsidRPr="00660766">
        <w:rPr>
          <w:rFonts w:ascii="Palatino Linotype" w:eastAsia="Palatino Linotype" w:hAnsi="Palatino Linotype" w:cs="Palatino Linotype"/>
          <w:b/>
          <w:sz w:val="22"/>
          <w:szCs w:val="22"/>
        </w:rPr>
        <w:t>Recurrente</w:t>
      </w:r>
      <w:r w:rsidR="00E94C00" w:rsidRPr="00660766">
        <w:rPr>
          <w:rFonts w:ascii="Palatino Linotype" w:eastAsia="Palatino Linotype" w:hAnsi="Palatino Linotype" w:cs="Palatino Linotype"/>
          <w:b/>
          <w:sz w:val="22"/>
          <w:szCs w:val="22"/>
        </w:rPr>
        <w:t xml:space="preserve"> </w:t>
      </w:r>
      <w:r w:rsidR="00E94C00" w:rsidRPr="00660766">
        <w:rPr>
          <w:rFonts w:ascii="Palatino Linotype" w:eastAsia="Palatino Linotype" w:hAnsi="Palatino Linotype" w:cs="Palatino Linotype"/>
          <w:sz w:val="22"/>
          <w:szCs w:val="22"/>
        </w:rPr>
        <w:t xml:space="preserve">en el recurso de revisión </w:t>
      </w:r>
      <w:r w:rsidR="00E94C00" w:rsidRPr="00660766">
        <w:rPr>
          <w:rFonts w:ascii="Palatino Linotype" w:eastAsia="Palatino Linotype" w:hAnsi="Palatino Linotype" w:cs="Palatino Linotype"/>
          <w:b/>
          <w:bCs/>
          <w:sz w:val="22"/>
          <w:szCs w:val="22"/>
        </w:rPr>
        <w:t>0</w:t>
      </w:r>
      <w:r w:rsidR="004E66F0" w:rsidRPr="00660766">
        <w:rPr>
          <w:rFonts w:ascii="Palatino Linotype" w:eastAsia="Palatino Linotype" w:hAnsi="Palatino Linotype" w:cs="Palatino Linotype"/>
          <w:b/>
          <w:bCs/>
          <w:sz w:val="22"/>
          <w:szCs w:val="22"/>
        </w:rPr>
        <w:t>6244</w:t>
      </w:r>
      <w:r w:rsidR="00E94C00" w:rsidRPr="00660766">
        <w:rPr>
          <w:rFonts w:ascii="Palatino Linotype" w:eastAsia="Palatino Linotype" w:hAnsi="Palatino Linotype" w:cs="Palatino Linotype"/>
          <w:b/>
          <w:bCs/>
          <w:sz w:val="22"/>
          <w:szCs w:val="22"/>
        </w:rPr>
        <w:t>/INFOEM/IP/RR/2026</w:t>
      </w:r>
      <w:r w:rsidR="00E94C00" w:rsidRPr="00660766">
        <w:rPr>
          <w:rFonts w:ascii="Palatino Linotype" w:eastAsia="Palatino Linotype" w:hAnsi="Palatino Linotype" w:cs="Palatino Linotype"/>
          <w:sz w:val="22"/>
          <w:szCs w:val="22"/>
        </w:rPr>
        <w:t xml:space="preserve">; por lo que, en términos del Considerando </w:t>
      </w:r>
      <w:r w:rsidR="00E94C00" w:rsidRPr="00660766">
        <w:rPr>
          <w:rFonts w:ascii="Palatino Linotype" w:eastAsia="Palatino Linotype" w:hAnsi="Palatino Linotype" w:cs="Palatino Linotype"/>
          <w:b/>
          <w:bCs/>
          <w:sz w:val="22"/>
          <w:szCs w:val="22"/>
        </w:rPr>
        <w:t xml:space="preserve">Cuarto </w:t>
      </w:r>
      <w:r w:rsidR="00E94C00" w:rsidRPr="00660766">
        <w:rPr>
          <w:rFonts w:ascii="Palatino Linotype" w:eastAsia="Palatino Linotype" w:hAnsi="Palatino Linotype" w:cs="Palatino Linotype"/>
          <w:sz w:val="22"/>
          <w:szCs w:val="22"/>
        </w:rPr>
        <w:t xml:space="preserve">de esta resolución, se </w:t>
      </w:r>
      <w:r w:rsidR="00E94C00" w:rsidRPr="00660766">
        <w:rPr>
          <w:rFonts w:ascii="Palatino Linotype" w:eastAsia="Palatino Linotype" w:hAnsi="Palatino Linotype" w:cs="Palatino Linotype"/>
          <w:b/>
          <w:bCs/>
          <w:sz w:val="22"/>
          <w:szCs w:val="22"/>
        </w:rPr>
        <w:t xml:space="preserve">Revoca </w:t>
      </w:r>
      <w:r w:rsidR="00E94C00" w:rsidRPr="00660766">
        <w:rPr>
          <w:rFonts w:ascii="Palatino Linotype" w:eastAsia="Palatino Linotype" w:hAnsi="Palatino Linotype" w:cs="Palatino Linotype"/>
          <w:sz w:val="22"/>
          <w:szCs w:val="22"/>
        </w:rPr>
        <w:t xml:space="preserve">la respuesta emitida por el </w:t>
      </w:r>
      <w:r w:rsidR="00E94C00" w:rsidRPr="00660766">
        <w:rPr>
          <w:rFonts w:ascii="Palatino Linotype" w:eastAsia="Palatino Linotype" w:hAnsi="Palatino Linotype" w:cs="Palatino Linotype"/>
          <w:b/>
          <w:bCs/>
          <w:sz w:val="22"/>
          <w:szCs w:val="22"/>
        </w:rPr>
        <w:t xml:space="preserve">Sujeto Obligado. </w:t>
      </w:r>
    </w:p>
    <w:p w14:paraId="57D840DA" w14:textId="77777777" w:rsidR="00E94C00" w:rsidRPr="00660766" w:rsidRDefault="00E94C0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b/>
          <w:bCs/>
          <w:sz w:val="22"/>
          <w:szCs w:val="22"/>
        </w:rPr>
        <w:t xml:space="preserve">Segundo. </w:t>
      </w:r>
      <w:r w:rsidRPr="00660766">
        <w:rPr>
          <w:rFonts w:ascii="Palatino Linotype" w:eastAsia="Palatino Linotype" w:hAnsi="Palatino Linotype" w:cs="Palatino Linotype"/>
          <w:sz w:val="22"/>
          <w:szCs w:val="22"/>
        </w:rPr>
        <w:t xml:space="preserve">Se </w:t>
      </w:r>
      <w:r w:rsidRPr="00660766">
        <w:rPr>
          <w:rFonts w:ascii="Palatino Linotype" w:eastAsia="Palatino Linotype" w:hAnsi="Palatino Linotype" w:cs="Palatino Linotype"/>
          <w:b/>
          <w:bCs/>
          <w:sz w:val="22"/>
          <w:szCs w:val="22"/>
        </w:rPr>
        <w:t>Ordena</w:t>
      </w:r>
      <w:r w:rsidRPr="00660766">
        <w:rPr>
          <w:rFonts w:ascii="Palatino Linotype" w:eastAsia="Palatino Linotype" w:hAnsi="Palatino Linotype" w:cs="Palatino Linotype"/>
          <w:sz w:val="22"/>
          <w:szCs w:val="22"/>
        </w:rPr>
        <w:t xml:space="preserve"> al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xml:space="preserve">, en términos de los Considerandos </w:t>
      </w:r>
      <w:r w:rsidRPr="00660766">
        <w:rPr>
          <w:rFonts w:ascii="Palatino Linotype" w:eastAsia="Palatino Linotype" w:hAnsi="Palatino Linotype" w:cs="Palatino Linotype"/>
          <w:b/>
          <w:bCs/>
          <w:sz w:val="22"/>
          <w:szCs w:val="22"/>
        </w:rPr>
        <w:t xml:space="preserve">Cuarto </w:t>
      </w:r>
      <w:r w:rsidRPr="00660766">
        <w:rPr>
          <w:rFonts w:ascii="Palatino Linotype" w:eastAsia="Palatino Linotype" w:hAnsi="Palatino Linotype" w:cs="Palatino Linotype"/>
          <w:sz w:val="22"/>
          <w:szCs w:val="22"/>
        </w:rPr>
        <w:t xml:space="preserve">y </w:t>
      </w:r>
      <w:r w:rsidRPr="00660766">
        <w:rPr>
          <w:rFonts w:ascii="Palatino Linotype" w:eastAsia="Palatino Linotype" w:hAnsi="Palatino Linotype" w:cs="Palatino Linotype"/>
          <w:b/>
          <w:bCs/>
          <w:sz w:val="22"/>
          <w:szCs w:val="22"/>
        </w:rPr>
        <w:t xml:space="preserve">Quinto </w:t>
      </w:r>
      <w:r w:rsidRPr="00660766">
        <w:rPr>
          <w:rFonts w:ascii="Palatino Linotype" w:eastAsia="Palatino Linotype" w:hAnsi="Palatino Linotype" w:cs="Palatino Linotype"/>
          <w:sz w:val="22"/>
          <w:szCs w:val="22"/>
        </w:rPr>
        <w:t xml:space="preserve">de esta resolución, haga entrega, vía </w:t>
      </w:r>
      <w:r w:rsidRPr="00660766">
        <w:rPr>
          <w:rFonts w:ascii="Palatino Linotype" w:eastAsia="Palatino Linotype" w:hAnsi="Palatino Linotype" w:cs="Palatino Linotype"/>
          <w:b/>
          <w:bCs/>
          <w:sz w:val="22"/>
          <w:szCs w:val="22"/>
        </w:rPr>
        <w:t>SAIMEX</w:t>
      </w:r>
      <w:r w:rsidRPr="00660766">
        <w:rPr>
          <w:rFonts w:ascii="Palatino Linotype" w:eastAsia="Palatino Linotype" w:hAnsi="Palatino Linotype" w:cs="Palatino Linotype"/>
          <w:sz w:val="22"/>
          <w:szCs w:val="22"/>
        </w:rPr>
        <w:t>, en versión pública de ser procedente, de lo siguiente:</w:t>
      </w:r>
    </w:p>
    <w:p w14:paraId="5CEB220C" w14:textId="663CAC4D" w:rsidR="00A44EED" w:rsidRPr="00660766" w:rsidRDefault="000113B0" w:rsidP="009708D6">
      <w:pPr>
        <w:pStyle w:val="Prrafodelista"/>
        <w:numPr>
          <w:ilvl w:val="0"/>
          <w:numId w:val="5"/>
        </w:numPr>
        <w:tabs>
          <w:tab w:val="left" w:pos="567"/>
        </w:tabs>
        <w:spacing w:line="360" w:lineRule="auto"/>
        <w:ind w:left="284" w:firstLine="0"/>
        <w:jc w:val="both"/>
        <w:rPr>
          <w:rFonts w:ascii="Palatino Linotype" w:hAnsi="Palatino Linotype"/>
          <w:sz w:val="22"/>
          <w:szCs w:val="22"/>
        </w:rPr>
      </w:pPr>
      <w:r w:rsidRPr="00660766">
        <w:rPr>
          <w:rFonts w:ascii="Palatino Linotype" w:hAnsi="Palatino Linotype"/>
          <w:sz w:val="22"/>
          <w:szCs w:val="22"/>
        </w:rPr>
        <w:t>Contratos</w:t>
      </w:r>
      <w:r w:rsidR="004E66F0" w:rsidRPr="00660766">
        <w:rPr>
          <w:rFonts w:ascii="Palatino Linotype" w:hAnsi="Palatino Linotype"/>
          <w:sz w:val="22"/>
          <w:szCs w:val="22"/>
        </w:rPr>
        <w:t xml:space="preserve"> celebrados para la realización de eventos oficiales durante el ejercicio 2024.</w:t>
      </w:r>
    </w:p>
    <w:p w14:paraId="56CA368D" w14:textId="6EF6071E" w:rsidR="00E018A8" w:rsidRPr="00660766" w:rsidRDefault="004E66F0" w:rsidP="009708D6">
      <w:pPr>
        <w:pStyle w:val="Prrafodelista"/>
        <w:numPr>
          <w:ilvl w:val="0"/>
          <w:numId w:val="5"/>
        </w:numPr>
        <w:tabs>
          <w:tab w:val="left" w:pos="567"/>
        </w:tabs>
        <w:spacing w:line="360" w:lineRule="auto"/>
        <w:ind w:left="284" w:firstLine="0"/>
        <w:jc w:val="both"/>
        <w:rPr>
          <w:rFonts w:ascii="Palatino Linotype" w:hAnsi="Palatino Linotype"/>
          <w:sz w:val="22"/>
          <w:szCs w:val="22"/>
        </w:rPr>
      </w:pPr>
      <w:r w:rsidRPr="00660766">
        <w:rPr>
          <w:rFonts w:ascii="Palatino Linotype" w:eastAsia="Palatino Linotype" w:hAnsi="Palatino Linotype" w:cs="Palatino Linotype"/>
          <w:sz w:val="22"/>
          <w:szCs w:val="22"/>
        </w:rPr>
        <w:t>Las facturas y e</w:t>
      </w:r>
      <w:r w:rsidR="0012324F" w:rsidRPr="00660766">
        <w:rPr>
          <w:rFonts w:ascii="Palatino Linotype" w:eastAsia="Palatino Linotype" w:hAnsi="Palatino Linotype" w:cs="Palatino Linotype"/>
          <w:sz w:val="22"/>
          <w:szCs w:val="22"/>
        </w:rPr>
        <w:t xml:space="preserve">l o los documentos </w:t>
      </w:r>
      <w:r w:rsidR="00FA703E" w:rsidRPr="00660766">
        <w:rPr>
          <w:rFonts w:ascii="Palatino Linotype" w:eastAsia="Palatino Linotype" w:hAnsi="Palatino Linotype" w:cs="Palatino Linotype"/>
          <w:sz w:val="22"/>
          <w:szCs w:val="22"/>
        </w:rPr>
        <w:t>comprobatorios</w:t>
      </w:r>
      <w:r w:rsidR="0012324F" w:rsidRPr="00660766">
        <w:rPr>
          <w:rFonts w:ascii="Palatino Linotype" w:eastAsia="Palatino Linotype" w:hAnsi="Palatino Linotype" w:cs="Palatino Linotype"/>
          <w:sz w:val="22"/>
          <w:szCs w:val="22"/>
        </w:rPr>
        <w:t xml:space="preserve"> de los gastos erogados</w:t>
      </w:r>
      <w:r w:rsidRPr="00660766">
        <w:rPr>
          <w:rFonts w:ascii="Palatino Linotype" w:eastAsia="Palatino Linotype" w:hAnsi="Palatino Linotype" w:cs="Palatino Linotype"/>
          <w:sz w:val="22"/>
          <w:szCs w:val="22"/>
        </w:rPr>
        <w:t xml:space="preserve"> </w:t>
      </w:r>
      <w:r w:rsidRPr="00660766">
        <w:rPr>
          <w:rFonts w:ascii="Palatino Linotype" w:hAnsi="Palatino Linotype"/>
          <w:sz w:val="22"/>
          <w:szCs w:val="22"/>
        </w:rPr>
        <w:t>para la realización de eventos oficiales durante el ejercicio 2024.</w:t>
      </w:r>
      <w:r w:rsidR="0012324F" w:rsidRPr="00660766">
        <w:rPr>
          <w:rFonts w:ascii="Palatino Linotype" w:eastAsia="Palatino Linotype" w:hAnsi="Palatino Linotype" w:cs="Palatino Linotype"/>
          <w:sz w:val="22"/>
          <w:szCs w:val="22"/>
        </w:rPr>
        <w:t xml:space="preserve"> </w:t>
      </w:r>
    </w:p>
    <w:p w14:paraId="4869E363" w14:textId="383617E4" w:rsidR="00A44EED" w:rsidRPr="00660766" w:rsidRDefault="00A44EED" w:rsidP="009708D6">
      <w:pPr>
        <w:spacing w:before="120" w:after="120"/>
        <w:ind w:left="284"/>
        <w:jc w:val="both"/>
        <w:rPr>
          <w:rFonts w:ascii="Palatino Linotype" w:eastAsia="Palatino Linotype" w:hAnsi="Palatino Linotype" w:cs="Palatino Linotype"/>
          <w:i/>
          <w:iCs/>
          <w:sz w:val="20"/>
          <w:szCs w:val="22"/>
        </w:rPr>
      </w:pPr>
      <w:r w:rsidRPr="00660766">
        <w:rPr>
          <w:rFonts w:ascii="Palatino Linotype" w:eastAsia="Palatino Linotype" w:hAnsi="Palatino Linotype" w:cs="Palatino Linotype"/>
          <w:i/>
          <w:iCs/>
          <w:sz w:val="20"/>
          <w:szCs w:val="22"/>
        </w:rPr>
        <w:t>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w:t>
      </w:r>
      <w:r w:rsidR="00304ABF" w:rsidRPr="00660766">
        <w:rPr>
          <w:rFonts w:ascii="Palatino Linotype" w:eastAsia="Palatino Linotype" w:hAnsi="Palatino Linotype" w:cs="Palatino Linotype"/>
          <w:i/>
          <w:iCs/>
          <w:sz w:val="20"/>
          <w:szCs w:val="22"/>
        </w:rPr>
        <w:t xml:space="preserve"> </w:t>
      </w:r>
      <w:r w:rsidR="00304ABF" w:rsidRPr="00660766">
        <w:rPr>
          <w:rFonts w:ascii="Palatino Linotype" w:eastAsia="Palatino Linotype" w:hAnsi="Palatino Linotype" w:cs="Palatino Linotype"/>
          <w:i/>
          <w:sz w:val="20"/>
          <w:szCs w:val="22"/>
        </w:rPr>
        <w:t>o eliminen en el soporte documental que se ordena,</w:t>
      </w:r>
      <w:r w:rsidRPr="00660766">
        <w:rPr>
          <w:rFonts w:ascii="Palatino Linotype" w:eastAsia="Palatino Linotype" w:hAnsi="Palatino Linotype" w:cs="Palatino Linotype"/>
          <w:i/>
          <w:iCs/>
          <w:sz w:val="20"/>
          <w:szCs w:val="22"/>
        </w:rPr>
        <w:t xml:space="preserve"> mismo que también har</w:t>
      </w:r>
      <w:r w:rsidR="00525B05" w:rsidRPr="00660766">
        <w:rPr>
          <w:rFonts w:ascii="Palatino Linotype" w:eastAsia="Palatino Linotype" w:hAnsi="Palatino Linotype" w:cs="Palatino Linotype"/>
          <w:i/>
          <w:iCs/>
          <w:sz w:val="20"/>
          <w:szCs w:val="22"/>
        </w:rPr>
        <w:t xml:space="preserve">á de conocimiento de la parte </w:t>
      </w:r>
      <w:r w:rsidR="00525B05" w:rsidRPr="00660766">
        <w:rPr>
          <w:rFonts w:ascii="Palatino Linotype" w:eastAsia="Palatino Linotype" w:hAnsi="Palatino Linotype" w:cs="Palatino Linotype"/>
          <w:b/>
          <w:i/>
          <w:iCs/>
          <w:sz w:val="20"/>
          <w:szCs w:val="22"/>
        </w:rPr>
        <w:t>Recurrente</w:t>
      </w:r>
      <w:r w:rsidRPr="00660766">
        <w:rPr>
          <w:rFonts w:ascii="Palatino Linotype" w:eastAsia="Palatino Linotype" w:hAnsi="Palatino Linotype" w:cs="Palatino Linotype"/>
          <w:i/>
          <w:iCs/>
          <w:sz w:val="20"/>
          <w:szCs w:val="22"/>
        </w:rPr>
        <w:t>.</w:t>
      </w:r>
    </w:p>
    <w:p w14:paraId="761CEF73" w14:textId="77777777" w:rsidR="00E94C00" w:rsidRPr="00660766" w:rsidRDefault="00E94C00" w:rsidP="009708D6">
      <w:pPr>
        <w:spacing w:before="240" w:after="240" w:line="360" w:lineRule="auto"/>
        <w:jc w:val="both"/>
        <w:rPr>
          <w:rFonts w:ascii="Palatino Linotype" w:eastAsia="Palatino Linotype" w:hAnsi="Palatino Linotype" w:cs="Palatino Linotype"/>
          <w:sz w:val="22"/>
          <w:szCs w:val="22"/>
        </w:rPr>
      </w:pPr>
      <w:bookmarkStart w:id="10" w:name="_heading=h.lnxbz9" w:colFirst="0" w:colLast="0"/>
      <w:bookmarkEnd w:id="10"/>
      <w:r w:rsidRPr="00660766">
        <w:rPr>
          <w:rFonts w:ascii="Palatino Linotype" w:eastAsia="Palatino Linotype" w:hAnsi="Palatino Linotype" w:cs="Palatino Linotype"/>
          <w:b/>
          <w:bCs/>
          <w:sz w:val="22"/>
          <w:szCs w:val="22"/>
        </w:rPr>
        <w:t xml:space="preserve">Tercero. Notifíquese, </w:t>
      </w:r>
      <w:r w:rsidRPr="00660766">
        <w:rPr>
          <w:rFonts w:ascii="Palatino Linotype" w:eastAsia="Palatino Linotype" w:hAnsi="Palatino Linotype" w:cs="Palatino Linotype"/>
          <w:sz w:val="22"/>
          <w:szCs w:val="22"/>
        </w:rPr>
        <w:t xml:space="preserve">vía </w:t>
      </w:r>
      <w:r w:rsidRPr="00660766">
        <w:rPr>
          <w:rFonts w:ascii="Palatino Linotype" w:eastAsia="Palatino Linotype" w:hAnsi="Palatino Linotype" w:cs="Palatino Linotype"/>
          <w:b/>
          <w:bCs/>
          <w:sz w:val="22"/>
          <w:szCs w:val="22"/>
        </w:rPr>
        <w:t>SAIMEX</w:t>
      </w:r>
      <w:r w:rsidRPr="00660766">
        <w:rPr>
          <w:rFonts w:ascii="Palatino Linotype" w:eastAsia="Palatino Linotype" w:hAnsi="Palatino Linotype" w:cs="Palatino Linotype"/>
          <w:sz w:val="22"/>
          <w:szCs w:val="22"/>
        </w:rPr>
        <w:t xml:space="preserve">, al Titular de la Unidad de Transparencia del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4F1B0251" w14:textId="77777777" w:rsidR="00E94C00" w:rsidRPr="00660766" w:rsidRDefault="00E94C00" w:rsidP="009708D6">
      <w:pPr>
        <w:spacing w:before="240" w:after="240" w:line="360" w:lineRule="auto"/>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660766">
        <w:rPr>
          <w:rFonts w:ascii="Palatino Linotype" w:eastAsia="Palatino Linotype" w:hAnsi="Palatino Linotype" w:cs="Palatino Linotype"/>
          <w:b/>
          <w:bCs/>
          <w:sz w:val="22"/>
          <w:szCs w:val="22"/>
        </w:rPr>
        <w:t>Sujeto Obligado</w:t>
      </w:r>
      <w:r w:rsidRPr="00660766">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14:paraId="5A34BADC" w14:textId="77777777" w:rsidR="00E94C00" w:rsidRPr="00660766" w:rsidRDefault="00E94C00" w:rsidP="009708D6">
      <w:pPr>
        <w:spacing w:before="240" w:after="240" w:line="360" w:lineRule="auto"/>
        <w:jc w:val="both"/>
        <w:rPr>
          <w:rFonts w:ascii="Palatino Linotype" w:eastAsia="Palatino Linotype" w:hAnsi="Palatino Linotype" w:cs="Palatino Linotype"/>
          <w:sz w:val="22"/>
          <w:szCs w:val="22"/>
        </w:rPr>
      </w:pPr>
      <w:bookmarkStart w:id="11" w:name="_heading=h.17dp8vu" w:colFirst="0" w:colLast="0"/>
      <w:bookmarkEnd w:id="11"/>
      <w:r w:rsidRPr="00660766">
        <w:rPr>
          <w:rFonts w:ascii="Palatino Linotype" w:eastAsia="Palatino Linotype" w:hAnsi="Palatino Linotype" w:cs="Palatino Linotype"/>
          <w:b/>
          <w:bCs/>
          <w:sz w:val="22"/>
          <w:szCs w:val="22"/>
        </w:rPr>
        <w:t xml:space="preserve">Cuarto.  Notifíquese, </w:t>
      </w:r>
      <w:r w:rsidRPr="00660766">
        <w:rPr>
          <w:rFonts w:ascii="Palatino Linotype" w:eastAsia="Palatino Linotype" w:hAnsi="Palatino Linotype" w:cs="Palatino Linotype"/>
          <w:sz w:val="22"/>
          <w:szCs w:val="22"/>
        </w:rPr>
        <w:t xml:space="preserve">vía </w:t>
      </w:r>
      <w:r w:rsidRPr="00660766">
        <w:rPr>
          <w:rFonts w:ascii="Palatino Linotype" w:eastAsia="Palatino Linotype" w:hAnsi="Palatino Linotype" w:cs="Palatino Linotype"/>
          <w:b/>
          <w:bCs/>
          <w:sz w:val="22"/>
          <w:szCs w:val="22"/>
        </w:rPr>
        <w:t>SAIMEX</w:t>
      </w:r>
      <w:r w:rsidRPr="00660766">
        <w:rPr>
          <w:rFonts w:ascii="Palatino Linotype" w:eastAsia="Palatino Linotype" w:hAnsi="Palatino Linotype" w:cs="Palatino Linotype"/>
          <w:sz w:val="22"/>
          <w:szCs w:val="22"/>
        </w:rPr>
        <w:t xml:space="preserve">, a la parte </w:t>
      </w:r>
      <w:r w:rsidRPr="00660766">
        <w:rPr>
          <w:rFonts w:ascii="Palatino Linotype" w:eastAsia="Palatino Linotype" w:hAnsi="Palatino Linotype" w:cs="Palatino Linotype"/>
          <w:b/>
          <w:bCs/>
          <w:sz w:val="22"/>
          <w:szCs w:val="22"/>
        </w:rPr>
        <w:t>Recurrente</w:t>
      </w:r>
      <w:r w:rsidRPr="00660766">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49BE783D" w14:textId="488031CF" w:rsidR="005A75CA" w:rsidRPr="00A66E95" w:rsidRDefault="00E96B90" w:rsidP="009708D6">
      <w:pPr>
        <w:tabs>
          <w:tab w:val="left" w:pos="8647"/>
        </w:tabs>
        <w:spacing w:before="240" w:after="240" w:line="360" w:lineRule="auto"/>
        <w:ind w:right="51"/>
        <w:jc w:val="both"/>
        <w:rPr>
          <w:rFonts w:ascii="Palatino Linotype" w:eastAsia="Palatino Linotype" w:hAnsi="Palatino Linotype" w:cs="Palatino Linotype"/>
          <w:sz w:val="22"/>
          <w:szCs w:val="22"/>
        </w:rPr>
      </w:pPr>
      <w:r w:rsidRPr="00660766">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w:t>
      </w:r>
      <w:r w:rsidR="00F277DF" w:rsidRPr="00660766">
        <w:rPr>
          <w:rFonts w:ascii="Palatino Linotype" w:eastAsia="Palatino Linotype" w:hAnsi="Palatino Linotype" w:cs="Palatino Linotype"/>
          <w:sz w:val="22"/>
          <w:szCs w:val="22"/>
        </w:rPr>
        <w:t>TR</w:t>
      </w:r>
      <w:r w:rsidR="002A4D11" w:rsidRPr="00660766">
        <w:rPr>
          <w:rFonts w:ascii="Palatino Linotype" w:eastAsia="Palatino Linotype" w:hAnsi="Palatino Linotype" w:cs="Palatino Linotype"/>
          <w:sz w:val="22"/>
          <w:szCs w:val="22"/>
        </w:rPr>
        <w:t xml:space="preserve">IGÉSIMA </w:t>
      </w:r>
      <w:r w:rsidRPr="00660766">
        <w:rPr>
          <w:rFonts w:ascii="Palatino Linotype" w:eastAsia="Palatino Linotype" w:hAnsi="Palatino Linotype" w:cs="Palatino Linotype"/>
          <w:sz w:val="22"/>
          <w:szCs w:val="22"/>
        </w:rPr>
        <w:t>SESIÓN ORDINARIA CELEBRADA EL</w:t>
      </w:r>
      <w:r w:rsidR="00AD7F25" w:rsidRPr="00660766">
        <w:rPr>
          <w:rFonts w:ascii="Palatino Linotype" w:eastAsia="Palatino Linotype" w:hAnsi="Palatino Linotype" w:cs="Palatino Linotype"/>
          <w:sz w:val="22"/>
          <w:szCs w:val="22"/>
        </w:rPr>
        <w:t xml:space="preserve"> </w:t>
      </w:r>
      <w:r w:rsidR="00F277DF" w:rsidRPr="00660766">
        <w:rPr>
          <w:rFonts w:ascii="Palatino Linotype" w:eastAsia="Palatino Linotype" w:hAnsi="Palatino Linotype" w:cs="Palatino Linotype"/>
          <w:sz w:val="22"/>
          <w:szCs w:val="22"/>
        </w:rPr>
        <w:t>VEINTI</w:t>
      </w:r>
      <w:r w:rsidR="002A4D11" w:rsidRPr="00660766">
        <w:rPr>
          <w:rFonts w:ascii="Palatino Linotype" w:eastAsia="Palatino Linotype" w:hAnsi="Palatino Linotype" w:cs="Palatino Linotype"/>
          <w:sz w:val="22"/>
          <w:szCs w:val="22"/>
        </w:rPr>
        <w:t xml:space="preserve">SÉIS DE AGOSTO </w:t>
      </w:r>
      <w:r w:rsidRPr="00660766">
        <w:rPr>
          <w:rFonts w:ascii="Palatino Linotype" w:eastAsia="Palatino Linotype" w:hAnsi="Palatino Linotype" w:cs="Palatino Linotype"/>
          <w:sz w:val="22"/>
          <w:szCs w:val="22"/>
        </w:rPr>
        <w:t>DE DOS MIL VEINTI</w:t>
      </w:r>
      <w:r w:rsidR="0001490F" w:rsidRPr="00660766">
        <w:rPr>
          <w:rFonts w:ascii="Palatino Linotype" w:eastAsia="Palatino Linotype" w:hAnsi="Palatino Linotype" w:cs="Palatino Linotype"/>
          <w:sz w:val="22"/>
          <w:szCs w:val="22"/>
        </w:rPr>
        <w:t>SÉIS</w:t>
      </w:r>
      <w:r w:rsidRPr="00660766">
        <w:rPr>
          <w:rFonts w:ascii="Palatino Linotype" w:eastAsia="Palatino Linotype" w:hAnsi="Palatino Linotype" w:cs="Palatino Linotype"/>
          <w:sz w:val="22"/>
          <w:szCs w:val="22"/>
        </w:rPr>
        <w:t>, ANTE EL SECRETARIO TÉCNICO DEL PLENO ALEXIS TAPIA RAMÍREZ.</w:t>
      </w:r>
    </w:p>
    <w:p w14:paraId="2B17951A"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42BFD139"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53CA5C2F"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153F672B"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3C65AC45"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238EB021"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3407AC65"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256D6055"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701554D9"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7D64FCF8"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2649A4EA"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7248715B"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1CDC395F"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4791ACC8"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3A9E4222"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645BE525"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3472B1A1"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2F154AA0"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5EDCAD7F"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52F8C504"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2CAB092A" w14:textId="77777777" w:rsidR="00033F56" w:rsidRPr="00A66E95" w:rsidRDefault="00033F56" w:rsidP="009708D6">
      <w:pPr>
        <w:spacing w:line="360" w:lineRule="auto"/>
        <w:jc w:val="both"/>
        <w:rPr>
          <w:rFonts w:ascii="Palatino Linotype" w:eastAsia="Palatino Linotype" w:hAnsi="Palatino Linotype" w:cs="Palatino Linotype"/>
          <w:sz w:val="22"/>
          <w:szCs w:val="22"/>
        </w:rPr>
      </w:pPr>
    </w:p>
    <w:p w14:paraId="6031B3C8"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6DCAE615"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1BE99916"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6BA2925E" w14:textId="77777777" w:rsidR="005A75CA" w:rsidRPr="00A66E95" w:rsidRDefault="005A75CA" w:rsidP="009708D6">
      <w:pPr>
        <w:spacing w:line="360" w:lineRule="auto"/>
        <w:jc w:val="both"/>
        <w:rPr>
          <w:rFonts w:ascii="Palatino Linotype" w:eastAsia="Palatino Linotype" w:hAnsi="Palatino Linotype" w:cs="Palatino Linotype"/>
          <w:sz w:val="22"/>
          <w:szCs w:val="22"/>
        </w:rPr>
      </w:pPr>
    </w:p>
    <w:p w14:paraId="17C11245" w14:textId="3D7A6E0A" w:rsidR="005A75CA" w:rsidRPr="00A66E95" w:rsidRDefault="005A75CA" w:rsidP="009708D6">
      <w:pPr>
        <w:spacing w:line="360" w:lineRule="auto"/>
        <w:jc w:val="both"/>
        <w:rPr>
          <w:rFonts w:ascii="Palatino Linotype" w:eastAsia="Palatino Linotype" w:hAnsi="Palatino Linotype" w:cs="Palatino Linotype"/>
          <w:sz w:val="22"/>
          <w:szCs w:val="22"/>
        </w:rPr>
      </w:pPr>
    </w:p>
    <w:p w14:paraId="56C32FE7" w14:textId="77777777" w:rsidR="002456A1" w:rsidRPr="00A66E95" w:rsidRDefault="002456A1" w:rsidP="009708D6">
      <w:pPr>
        <w:spacing w:line="360" w:lineRule="auto"/>
        <w:jc w:val="both"/>
        <w:rPr>
          <w:rFonts w:ascii="Palatino Linotype" w:eastAsia="Palatino Linotype" w:hAnsi="Palatino Linotype" w:cs="Palatino Linotype"/>
          <w:sz w:val="22"/>
          <w:szCs w:val="22"/>
        </w:rPr>
      </w:pPr>
    </w:p>
    <w:p w14:paraId="116A91A3" w14:textId="77777777" w:rsidR="00A0077E" w:rsidRPr="00A66E95" w:rsidRDefault="00A0077E" w:rsidP="009708D6">
      <w:pPr>
        <w:spacing w:line="360" w:lineRule="auto"/>
        <w:jc w:val="both"/>
        <w:rPr>
          <w:rFonts w:ascii="Palatino Linotype" w:eastAsia="Palatino Linotype" w:hAnsi="Palatino Linotype" w:cs="Palatino Linotype"/>
          <w:sz w:val="22"/>
          <w:szCs w:val="22"/>
        </w:rPr>
      </w:pPr>
    </w:p>
    <w:sectPr w:rsidR="00A0077E" w:rsidRPr="00A66E95">
      <w:headerReference w:type="default" r:id="rId17"/>
      <w:footerReference w:type="default" r:id="rId18"/>
      <w:headerReference w:type="first" r:id="rId19"/>
      <w:footerReference w:type="first" r:id="rId20"/>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8CC13" w14:textId="77777777" w:rsidR="003B65D7" w:rsidRDefault="003B65D7">
      <w:r>
        <w:separator/>
      </w:r>
    </w:p>
  </w:endnote>
  <w:endnote w:type="continuationSeparator" w:id="0">
    <w:p w14:paraId="543D1478" w14:textId="77777777" w:rsidR="003B65D7" w:rsidRDefault="003B6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22F03" w14:textId="2C6C8D15" w:rsidR="00B84B64" w:rsidRDefault="00B84B64">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5522C4">
      <w:rPr>
        <w:rFonts w:ascii="Palatino Linotype" w:eastAsia="Palatino Linotype" w:hAnsi="Palatino Linotype" w:cs="Palatino Linotype"/>
        <w:b/>
        <w:noProof/>
        <w:color w:val="000000"/>
        <w:sz w:val="20"/>
        <w:szCs w:val="20"/>
      </w:rPr>
      <w:t>20</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5522C4">
      <w:rPr>
        <w:rFonts w:ascii="Palatino Linotype" w:eastAsia="Palatino Linotype" w:hAnsi="Palatino Linotype" w:cs="Palatino Linotype"/>
        <w:b/>
        <w:noProof/>
        <w:color w:val="000000"/>
        <w:sz w:val="20"/>
        <w:szCs w:val="20"/>
      </w:rPr>
      <w:t>47</w:t>
    </w:r>
    <w:r>
      <w:rPr>
        <w:rFonts w:ascii="Palatino Linotype" w:eastAsia="Palatino Linotype" w:hAnsi="Palatino Linotype" w:cs="Palatino Linotype"/>
        <w:b/>
        <w:color w:val="000000"/>
        <w:sz w:val="20"/>
        <w:szCs w:val="20"/>
      </w:rPr>
      <w:fldChar w:fldCharType="end"/>
    </w:r>
  </w:p>
  <w:p w14:paraId="0C3274EA" w14:textId="77777777" w:rsidR="00B84B64" w:rsidRDefault="00B84B64">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83AB2" w14:textId="230ACFC8" w:rsidR="00B84B64" w:rsidRDefault="00B84B64">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5522C4">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5522C4">
      <w:rPr>
        <w:rFonts w:ascii="Palatino Linotype" w:eastAsia="Palatino Linotype" w:hAnsi="Palatino Linotype" w:cs="Palatino Linotype"/>
        <w:b/>
        <w:noProof/>
        <w:color w:val="000000"/>
        <w:sz w:val="20"/>
        <w:szCs w:val="20"/>
      </w:rPr>
      <w:t>47</w:t>
    </w:r>
    <w:r>
      <w:rPr>
        <w:rFonts w:ascii="Palatino Linotype" w:eastAsia="Palatino Linotype" w:hAnsi="Palatino Linotype" w:cs="Palatino Linotype"/>
        <w:b/>
        <w:color w:val="000000"/>
        <w:sz w:val="20"/>
        <w:szCs w:val="20"/>
      </w:rPr>
      <w:fldChar w:fldCharType="end"/>
    </w:r>
  </w:p>
  <w:p w14:paraId="75507642" w14:textId="77777777" w:rsidR="00B84B64" w:rsidRDefault="00B84B64">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AFE4C5" w14:textId="77777777" w:rsidR="003B65D7" w:rsidRDefault="003B65D7">
      <w:r>
        <w:separator/>
      </w:r>
    </w:p>
  </w:footnote>
  <w:footnote w:type="continuationSeparator" w:id="0">
    <w:p w14:paraId="3DA99031" w14:textId="77777777" w:rsidR="003B65D7" w:rsidRDefault="003B65D7">
      <w:r>
        <w:continuationSeparator/>
      </w:r>
    </w:p>
  </w:footnote>
  <w:footnote w:id="1">
    <w:p w14:paraId="31DB5EED" w14:textId="77777777" w:rsidR="00B84B64" w:rsidRDefault="00B84B64" w:rsidP="009708D6">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Consultable en: </w:t>
      </w:r>
    </w:p>
    <w:p w14:paraId="47D5715B" w14:textId="77777777" w:rsidR="00B84B64" w:rsidRDefault="005522C4" w:rsidP="009708D6">
      <w:pPr>
        <w:pBdr>
          <w:top w:val="nil"/>
          <w:left w:val="nil"/>
          <w:bottom w:val="nil"/>
          <w:right w:val="nil"/>
          <w:between w:val="nil"/>
        </w:pBdr>
        <w:jc w:val="both"/>
        <w:rPr>
          <w:rFonts w:ascii="Palatino Linotype" w:eastAsia="Palatino Linotype" w:hAnsi="Palatino Linotype" w:cs="Palatino Linotype"/>
          <w:color w:val="000000"/>
          <w:sz w:val="16"/>
          <w:szCs w:val="16"/>
        </w:rPr>
      </w:pPr>
      <w:hyperlink r:id="rId1">
        <w:r w:rsidR="00B84B64">
          <w:rPr>
            <w:rFonts w:ascii="Palatino Linotype" w:eastAsia="Palatino Linotype" w:hAnsi="Palatino Linotype" w:cs="Palatino Linotype"/>
            <w:color w:val="0000FF"/>
            <w:sz w:val="16"/>
            <w:szCs w:val="16"/>
            <w:u w:val="single"/>
          </w:rPr>
          <w:t>https://www.indetec.gob.mx/delivery?srv=0&amp;sl=3&amp;path=/biblioteca/Especiales/386_Glosario_Terminos_Proceso_Planeacion.pdf</w:t>
        </w:r>
      </w:hyperlink>
      <w:r w:rsidR="00B84B64">
        <w:rPr>
          <w:rFonts w:ascii="Palatino Linotype" w:eastAsia="Palatino Linotype" w:hAnsi="Palatino Linotype" w:cs="Palatino Linotype"/>
          <w:color w:val="000000"/>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CA3C9" w14:textId="7FCA4C38" w:rsidR="00B84B64" w:rsidRDefault="00B84B64">
    <w:pPr>
      <w:rPr>
        <w:rFonts w:ascii="Cambria" w:eastAsia="Cambria" w:hAnsi="Cambria" w:cs="Cambria"/>
        <w:color w:val="000000"/>
      </w:rPr>
    </w:pPr>
    <w:r>
      <w:rPr>
        <w:noProof/>
      </w:rPr>
      <w:drawing>
        <wp:anchor distT="0" distB="0" distL="0" distR="0" simplePos="0" relativeHeight="251658240" behindDoc="1" locked="0" layoutInCell="1" hidden="0" allowOverlap="1" wp14:anchorId="72FFB153" wp14:editId="7FA2C78E">
          <wp:simplePos x="0" y="0"/>
          <wp:positionH relativeFrom="page">
            <wp:align>left</wp:align>
          </wp:positionH>
          <wp:positionV relativeFrom="paragraph">
            <wp:posOffset>-512188</wp:posOffset>
          </wp:positionV>
          <wp:extent cx="7809865" cy="10165715"/>
          <wp:effectExtent l="0" t="0" r="635" b="6985"/>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p>
  <w:tbl>
    <w:tblPr>
      <w:tblStyle w:val="affa"/>
      <w:tblW w:w="5953" w:type="dxa"/>
      <w:tblInd w:w="3261" w:type="dxa"/>
      <w:tblLayout w:type="fixed"/>
      <w:tblLook w:val="0400" w:firstRow="0" w:lastRow="0" w:firstColumn="0" w:lastColumn="0" w:noHBand="0" w:noVBand="1"/>
    </w:tblPr>
    <w:tblGrid>
      <w:gridCol w:w="2489"/>
      <w:gridCol w:w="3464"/>
    </w:tblGrid>
    <w:tr w:rsidR="00B84B64" w14:paraId="7D7A7303" w14:textId="77777777">
      <w:tc>
        <w:tcPr>
          <w:tcW w:w="2489" w:type="dxa"/>
        </w:tcPr>
        <w:p w14:paraId="0E742E37"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1A1D9F71" w14:textId="7D6705A6" w:rsidR="00B84B64" w:rsidRDefault="00B84B64" w:rsidP="00CA2B4C">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06244/INFOEM/IP/RR/2026</w:t>
          </w:r>
        </w:p>
      </w:tc>
    </w:tr>
    <w:tr w:rsidR="00B84B64" w14:paraId="3CD5D37A" w14:textId="77777777">
      <w:trPr>
        <w:trHeight w:val="228"/>
      </w:trPr>
      <w:tc>
        <w:tcPr>
          <w:tcW w:w="2489" w:type="dxa"/>
          <w:vAlign w:val="center"/>
        </w:tcPr>
        <w:p w14:paraId="5D9B266F"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241E6357" w14:textId="73DF62DE" w:rsidR="00B84B64" w:rsidRDefault="00B84B64">
          <w:pPr>
            <w:ind w:left="-45" w:right="176"/>
            <w:jc w:val="both"/>
            <w:rPr>
              <w:rFonts w:ascii="Palatino Linotype" w:eastAsia="Palatino Linotype" w:hAnsi="Palatino Linotype" w:cs="Palatino Linotype"/>
              <w:b/>
              <w:sz w:val="22"/>
              <w:szCs w:val="22"/>
            </w:rPr>
          </w:pPr>
          <w:r w:rsidRPr="002A4D11">
            <w:rPr>
              <w:rFonts w:ascii="Palatino Linotype" w:eastAsia="Palatino Linotype" w:hAnsi="Palatino Linotype" w:cs="Palatino Linotype"/>
              <w:b/>
              <w:sz w:val="22"/>
              <w:szCs w:val="22"/>
            </w:rPr>
            <w:t>Ayuntamiento de Mexicaltzingo</w:t>
          </w:r>
        </w:p>
      </w:tc>
    </w:tr>
    <w:tr w:rsidR="00B84B64" w14:paraId="4A406CF8" w14:textId="77777777">
      <w:tc>
        <w:tcPr>
          <w:tcW w:w="2489" w:type="dxa"/>
          <w:vAlign w:val="center"/>
        </w:tcPr>
        <w:p w14:paraId="721EC51C" w14:textId="77777777" w:rsidR="00B84B64" w:rsidRDefault="00B84B64">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217CC28D" w14:textId="77777777" w:rsidR="00B84B64" w:rsidRDefault="00B84B64">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24A14674" w14:textId="77777777" w:rsidR="00B84B64" w:rsidRDefault="00B84B64">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45FF" w14:textId="77777777" w:rsidR="00B84B64" w:rsidRDefault="00B84B64">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5664C077" wp14:editId="72386D7E">
          <wp:simplePos x="0" y="0"/>
          <wp:positionH relativeFrom="column">
            <wp:posOffset>-1080134</wp:posOffset>
          </wp:positionH>
          <wp:positionV relativeFrom="paragraph">
            <wp:posOffset>-369892</wp:posOffset>
          </wp:positionV>
          <wp:extent cx="7809865" cy="10165715"/>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fb"/>
      <w:tblW w:w="5953" w:type="dxa"/>
      <w:tblInd w:w="3261" w:type="dxa"/>
      <w:tblLayout w:type="fixed"/>
      <w:tblLook w:val="0400" w:firstRow="0" w:lastRow="0" w:firstColumn="0" w:lastColumn="0" w:noHBand="0" w:noVBand="1"/>
    </w:tblPr>
    <w:tblGrid>
      <w:gridCol w:w="2489"/>
      <w:gridCol w:w="3464"/>
    </w:tblGrid>
    <w:tr w:rsidR="00B84B64" w14:paraId="7EB27161" w14:textId="77777777">
      <w:tc>
        <w:tcPr>
          <w:tcW w:w="2489" w:type="dxa"/>
        </w:tcPr>
        <w:p w14:paraId="31032DEA"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62054199" w14:textId="3B7CA7FE" w:rsidR="00B84B64" w:rsidRDefault="00B84B64" w:rsidP="00CA2B4C">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06244/INFOEM/IP/RR/2026</w:t>
          </w:r>
        </w:p>
      </w:tc>
    </w:tr>
    <w:tr w:rsidR="00B84B64" w14:paraId="3DB6A4A9" w14:textId="77777777">
      <w:tc>
        <w:tcPr>
          <w:tcW w:w="2489" w:type="dxa"/>
        </w:tcPr>
        <w:p w14:paraId="1EB49E89"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1232B0D5" w14:textId="3F6D2C9B" w:rsidR="00B84B64" w:rsidRDefault="00B84B64" w:rsidP="0001490F">
          <w:pPr>
            <w:ind w:right="175"/>
            <w:jc w:val="both"/>
            <w:rPr>
              <w:rFonts w:ascii="Palatino Linotype" w:eastAsia="Palatino Linotype" w:hAnsi="Palatino Linotype" w:cs="Palatino Linotype"/>
              <w:b/>
              <w:sz w:val="22"/>
              <w:szCs w:val="22"/>
              <w:highlight w:val="yellow"/>
            </w:rPr>
          </w:pPr>
        </w:p>
      </w:tc>
    </w:tr>
    <w:tr w:rsidR="00B84B64" w14:paraId="6C9948E1" w14:textId="77777777">
      <w:trPr>
        <w:trHeight w:val="228"/>
      </w:trPr>
      <w:tc>
        <w:tcPr>
          <w:tcW w:w="2489" w:type="dxa"/>
          <w:vAlign w:val="center"/>
        </w:tcPr>
        <w:p w14:paraId="22D7B399" w14:textId="77777777" w:rsidR="00B84B64" w:rsidRDefault="00B84B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4811C401" w14:textId="111B5885" w:rsidR="00B84B64" w:rsidRDefault="00B84B64">
          <w:pPr>
            <w:ind w:left="-45" w:right="176"/>
            <w:jc w:val="both"/>
            <w:rPr>
              <w:rFonts w:ascii="Palatino Linotype" w:eastAsia="Palatino Linotype" w:hAnsi="Palatino Linotype" w:cs="Palatino Linotype"/>
              <w:b/>
              <w:sz w:val="22"/>
              <w:szCs w:val="22"/>
            </w:rPr>
          </w:pPr>
          <w:r w:rsidRPr="002A4D11">
            <w:rPr>
              <w:rFonts w:ascii="Palatino Linotype" w:eastAsia="Palatino Linotype" w:hAnsi="Palatino Linotype" w:cs="Palatino Linotype"/>
              <w:b/>
              <w:sz w:val="22"/>
              <w:szCs w:val="22"/>
            </w:rPr>
            <w:t>Ayuntamiento de Mexicaltzingo</w:t>
          </w:r>
        </w:p>
      </w:tc>
    </w:tr>
    <w:tr w:rsidR="00B84B64" w14:paraId="2B1C1852" w14:textId="77777777">
      <w:tc>
        <w:tcPr>
          <w:tcW w:w="2489" w:type="dxa"/>
          <w:vAlign w:val="center"/>
        </w:tcPr>
        <w:p w14:paraId="4F8DDCDE" w14:textId="77777777" w:rsidR="00B84B64" w:rsidRDefault="00B84B64">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105F17AE" w14:textId="77777777" w:rsidR="00B84B64" w:rsidRDefault="00B84B64">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6FDDDEC6" w14:textId="77777777" w:rsidR="00B84B64" w:rsidRDefault="00B84B6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971"/>
    <w:multiLevelType w:val="multilevel"/>
    <w:tmpl w:val="4DD0B734"/>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 w15:restartNumberingAfterBreak="0">
    <w:nsid w:val="05565543"/>
    <w:multiLevelType w:val="multilevel"/>
    <w:tmpl w:val="41889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9406AE"/>
    <w:multiLevelType w:val="multilevel"/>
    <w:tmpl w:val="FF948C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C2740C"/>
    <w:multiLevelType w:val="multilevel"/>
    <w:tmpl w:val="A16C3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FF6193"/>
    <w:multiLevelType w:val="multilevel"/>
    <w:tmpl w:val="42AADD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CB65594"/>
    <w:multiLevelType w:val="multilevel"/>
    <w:tmpl w:val="C12080EC"/>
    <w:lvl w:ilvl="0">
      <w:start w:val="1"/>
      <w:numFmt w:val="lowerRoman"/>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5045E1"/>
    <w:multiLevelType w:val="multilevel"/>
    <w:tmpl w:val="0DFE2D7E"/>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5329F5"/>
    <w:multiLevelType w:val="multilevel"/>
    <w:tmpl w:val="A6488A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8C372C3"/>
    <w:multiLevelType w:val="hybridMultilevel"/>
    <w:tmpl w:val="DC5C4A3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2AD561E3"/>
    <w:multiLevelType w:val="multilevel"/>
    <w:tmpl w:val="0F1047C2"/>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325938D9"/>
    <w:multiLevelType w:val="multilevel"/>
    <w:tmpl w:val="4E102662"/>
    <w:lvl w:ilvl="0">
      <w:start w:val="1"/>
      <w:numFmt w:val="lowerLetter"/>
      <w:pStyle w:val="Listaconvietas3"/>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72F31AE"/>
    <w:multiLevelType w:val="hybridMultilevel"/>
    <w:tmpl w:val="27C0729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0">
    <w:nsid w:val="40912925"/>
    <w:multiLevelType w:val="multilevel"/>
    <w:tmpl w:val="6EAE7F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30B1C1E"/>
    <w:multiLevelType w:val="multilevel"/>
    <w:tmpl w:val="D6C286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7FB0EAA"/>
    <w:multiLevelType w:val="hybridMultilevel"/>
    <w:tmpl w:val="B03ED44C"/>
    <w:lvl w:ilvl="0" w:tplc="4F086008">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5" w15:restartNumberingAfterBreak="0">
    <w:nsid w:val="5F8D6E0B"/>
    <w:multiLevelType w:val="multilevel"/>
    <w:tmpl w:val="C31A3E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20930DE"/>
    <w:multiLevelType w:val="multilevel"/>
    <w:tmpl w:val="07B63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914618D"/>
    <w:multiLevelType w:val="multilevel"/>
    <w:tmpl w:val="59D84C9E"/>
    <w:lvl w:ilvl="0">
      <w:start w:val="1"/>
      <w:numFmt w:val="decimal"/>
      <w:lvlText w:val="%1)"/>
      <w:lvlJc w:val="left"/>
      <w:pPr>
        <w:ind w:left="720" w:hanging="360"/>
      </w:pPr>
      <w:rPr>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CB34B05"/>
    <w:multiLevelType w:val="multilevel"/>
    <w:tmpl w:val="9AC28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BD4592D"/>
    <w:multiLevelType w:val="multilevel"/>
    <w:tmpl w:val="BB5AF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4"/>
  </w:num>
  <w:num w:numId="3">
    <w:abstractNumId w:val="12"/>
  </w:num>
  <w:num w:numId="4">
    <w:abstractNumId w:val="9"/>
  </w:num>
  <w:num w:numId="5">
    <w:abstractNumId w:val="1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
  </w:num>
  <w:num w:numId="9">
    <w:abstractNumId w:val="8"/>
  </w:num>
  <w:num w:numId="10">
    <w:abstractNumId w:val="16"/>
  </w:num>
  <w:num w:numId="11">
    <w:abstractNumId w:val="0"/>
  </w:num>
  <w:num w:numId="12">
    <w:abstractNumId w:val="18"/>
  </w:num>
  <w:num w:numId="13">
    <w:abstractNumId w:val="2"/>
  </w:num>
  <w:num w:numId="14">
    <w:abstractNumId w:val="15"/>
  </w:num>
  <w:num w:numId="15">
    <w:abstractNumId w:val="3"/>
  </w:num>
  <w:num w:numId="16">
    <w:abstractNumId w:val="11"/>
  </w:num>
  <w:num w:numId="17">
    <w:abstractNumId w:val="17"/>
    <w:lvlOverride w:ilvl="0">
      <w:startOverride w:val="1"/>
    </w:lvlOverride>
    <w:lvlOverride w:ilvl="1"/>
    <w:lvlOverride w:ilvl="2"/>
    <w:lvlOverride w:ilvl="3"/>
    <w:lvlOverride w:ilvl="4"/>
    <w:lvlOverride w:ilvl="5"/>
    <w:lvlOverride w:ilvl="6"/>
    <w:lvlOverride w:ilvl="7"/>
    <w:lvlOverride w:ilv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CA"/>
    <w:rsid w:val="000001DD"/>
    <w:rsid w:val="00004CBD"/>
    <w:rsid w:val="00010CDA"/>
    <w:rsid w:val="000113B0"/>
    <w:rsid w:val="0001191B"/>
    <w:rsid w:val="0001490F"/>
    <w:rsid w:val="00021F96"/>
    <w:rsid w:val="0002597E"/>
    <w:rsid w:val="00030138"/>
    <w:rsid w:val="0003239B"/>
    <w:rsid w:val="00033F56"/>
    <w:rsid w:val="0003529E"/>
    <w:rsid w:val="00040930"/>
    <w:rsid w:val="000434F4"/>
    <w:rsid w:val="000450A5"/>
    <w:rsid w:val="00045196"/>
    <w:rsid w:val="00051075"/>
    <w:rsid w:val="00055422"/>
    <w:rsid w:val="00056155"/>
    <w:rsid w:val="00060351"/>
    <w:rsid w:val="00062182"/>
    <w:rsid w:val="0006362F"/>
    <w:rsid w:val="000711EA"/>
    <w:rsid w:val="00075ABA"/>
    <w:rsid w:val="00081B2B"/>
    <w:rsid w:val="00081BEF"/>
    <w:rsid w:val="000911CE"/>
    <w:rsid w:val="00091354"/>
    <w:rsid w:val="00092537"/>
    <w:rsid w:val="000935A0"/>
    <w:rsid w:val="000A5A93"/>
    <w:rsid w:val="000A6509"/>
    <w:rsid w:val="000B08E2"/>
    <w:rsid w:val="000B10EC"/>
    <w:rsid w:val="000B1F1E"/>
    <w:rsid w:val="000B4735"/>
    <w:rsid w:val="000B6897"/>
    <w:rsid w:val="000B7422"/>
    <w:rsid w:val="000E1AC0"/>
    <w:rsid w:val="000E5B26"/>
    <w:rsid w:val="000F23D9"/>
    <w:rsid w:val="000F4C63"/>
    <w:rsid w:val="000F7432"/>
    <w:rsid w:val="0010370F"/>
    <w:rsid w:val="00114A40"/>
    <w:rsid w:val="00115D0B"/>
    <w:rsid w:val="00115E84"/>
    <w:rsid w:val="00117765"/>
    <w:rsid w:val="001205A1"/>
    <w:rsid w:val="00122A9E"/>
    <w:rsid w:val="0012324F"/>
    <w:rsid w:val="001233DE"/>
    <w:rsid w:val="001267DD"/>
    <w:rsid w:val="00127F65"/>
    <w:rsid w:val="001313C3"/>
    <w:rsid w:val="001314F8"/>
    <w:rsid w:val="001331C0"/>
    <w:rsid w:val="001331C9"/>
    <w:rsid w:val="00133F88"/>
    <w:rsid w:val="001422C0"/>
    <w:rsid w:val="001459E4"/>
    <w:rsid w:val="001478A2"/>
    <w:rsid w:val="00150A37"/>
    <w:rsid w:val="001570F7"/>
    <w:rsid w:val="00157B6A"/>
    <w:rsid w:val="00165B01"/>
    <w:rsid w:val="00170F4F"/>
    <w:rsid w:val="001749F1"/>
    <w:rsid w:val="0017599F"/>
    <w:rsid w:val="00177D9B"/>
    <w:rsid w:val="00184296"/>
    <w:rsid w:val="00190F9B"/>
    <w:rsid w:val="001917E2"/>
    <w:rsid w:val="00192692"/>
    <w:rsid w:val="001952E1"/>
    <w:rsid w:val="00195FC9"/>
    <w:rsid w:val="001A1378"/>
    <w:rsid w:val="001B1226"/>
    <w:rsid w:val="001B38DE"/>
    <w:rsid w:val="001D078B"/>
    <w:rsid w:val="001D2394"/>
    <w:rsid w:val="001D5ED1"/>
    <w:rsid w:val="001D66E3"/>
    <w:rsid w:val="001E3C46"/>
    <w:rsid w:val="001E5062"/>
    <w:rsid w:val="001E6B05"/>
    <w:rsid w:val="001F4E3C"/>
    <w:rsid w:val="001F5092"/>
    <w:rsid w:val="001F5EE5"/>
    <w:rsid w:val="001F7FD6"/>
    <w:rsid w:val="0020229D"/>
    <w:rsid w:val="002035EE"/>
    <w:rsid w:val="00203F01"/>
    <w:rsid w:val="002045B4"/>
    <w:rsid w:val="00205B67"/>
    <w:rsid w:val="00213DB1"/>
    <w:rsid w:val="00213E19"/>
    <w:rsid w:val="0022185E"/>
    <w:rsid w:val="00222A1F"/>
    <w:rsid w:val="002257A3"/>
    <w:rsid w:val="0023548E"/>
    <w:rsid w:val="0023698F"/>
    <w:rsid w:val="0024539A"/>
    <w:rsid w:val="002456A1"/>
    <w:rsid w:val="00252329"/>
    <w:rsid w:val="00257C3E"/>
    <w:rsid w:val="002616BA"/>
    <w:rsid w:val="002716E6"/>
    <w:rsid w:val="002747F8"/>
    <w:rsid w:val="00276590"/>
    <w:rsid w:val="00285E06"/>
    <w:rsid w:val="00285FC2"/>
    <w:rsid w:val="002A1BF8"/>
    <w:rsid w:val="002A4D11"/>
    <w:rsid w:val="002A5C21"/>
    <w:rsid w:val="002A698A"/>
    <w:rsid w:val="002A7CEA"/>
    <w:rsid w:val="002B655B"/>
    <w:rsid w:val="002C6957"/>
    <w:rsid w:val="002D3FC3"/>
    <w:rsid w:val="002D4CDF"/>
    <w:rsid w:val="002D5D34"/>
    <w:rsid w:val="002D6110"/>
    <w:rsid w:val="002D7C95"/>
    <w:rsid w:val="002E39F9"/>
    <w:rsid w:val="002F34CD"/>
    <w:rsid w:val="002F4E98"/>
    <w:rsid w:val="00302612"/>
    <w:rsid w:val="003028EF"/>
    <w:rsid w:val="00304ABF"/>
    <w:rsid w:val="003050B9"/>
    <w:rsid w:val="003125FC"/>
    <w:rsid w:val="0032187A"/>
    <w:rsid w:val="0032762F"/>
    <w:rsid w:val="00330F84"/>
    <w:rsid w:val="00332155"/>
    <w:rsid w:val="00334509"/>
    <w:rsid w:val="00347B44"/>
    <w:rsid w:val="003506FB"/>
    <w:rsid w:val="00353434"/>
    <w:rsid w:val="00355FF0"/>
    <w:rsid w:val="00357089"/>
    <w:rsid w:val="00361DB3"/>
    <w:rsid w:val="0036602B"/>
    <w:rsid w:val="00367334"/>
    <w:rsid w:val="00372145"/>
    <w:rsid w:val="00374AC2"/>
    <w:rsid w:val="00391314"/>
    <w:rsid w:val="00392126"/>
    <w:rsid w:val="00394119"/>
    <w:rsid w:val="003945CF"/>
    <w:rsid w:val="003A53D5"/>
    <w:rsid w:val="003B12AA"/>
    <w:rsid w:val="003B4D06"/>
    <w:rsid w:val="003B65D7"/>
    <w:rsid w:val="003C3C01"/>
    <w:rsid w:val="003C7CB0"/>
    <w:rsid w:val="003D009C"/>
    <w:rsid w:val="003D0956"/>
    <w:rsid w:val="003D1488"/>
    <w:rsid w:val="003D3C3A"/>
    <w:rsid w:val="003D4046"/>
    <w:rsid w:val="003E111F"/>
    <w:rsid w:val="003E1390"/>
    <w:rsid w:val="003E2AB0"/>
    <w:rsid w:val="003E5305"/>
    <w:rsid w:val="003F11AC"/>
    <w:rsid w:val="003F30A3"/>
    <w:rsid w:val="003F485B"/>
    <w:rsid w:val="00402C7A"/>
    <w:rsid w:val="00403FFC"/>
    <w:rsid w:val="00404DBE"/>
    <w:rsid w:val="0040684A"/>
    <w:rsid w:val="0040759E"/>
    <w:rsid w:val="00410B23"/>
    <w:rsid w:val="004116D0"/>
    <w:rsid w:val="00413EAB"/>
    <w:rsid w:val="004205DC"/>
    <w:rsid w:val="00420C84"/>
    <w:rsid w:val="00421F6D"/>
    <w:rsid w:val="004306A8"/>
    <w:rsid w:val="004333E3"/>
    <w:rsid w:val="00434EB5"/>
    <w:rsid w:val="00440948"/>
    <w:rsid w:val="00444CAE"/>
    <w:rsid w:val="004621D9"/>
    <w:rsid w:val="00462240"/>
    <w:rsid w:val="0046426F"/>
    <w:rsid w:val="004646CD"/>
    <w:rsid w:val="00483F8B"/>
    <w:rsid w:val="004860EA"/>
    <w:rsid w:val="0049521E"/>
    <w:rsid w:val="00495A3F"/>
    <w:rsid w:val="00495CE9"/>
    <w:rsid w:val="00497588"/>
    <w:rsid w:val="004A16D6"/>
    <w:rsid w:val="004A4FEF"/>
    <w:rsid w:val="004A50BF"/>
    <w:rsid w:val="004A56FC"/>
    <w:rsid w:val="004B5C66"/>
    <w:rsid w:val="004B6C62"/>
    <w:rsid w:val="004C05CC"/>
    <w:rsid w:val="004C3BB2"/>
    <w:rsid w:val="004D0072"/>
    <w:rsid w:val="004D54A2"/>
    <w:rsid w:val="004D606F"/>
    <w:rsid w:val="004E20A7"/>
    <w:rsid w:val="004E5FD7"/>
    <w:rsid w:val="004E66F0"/>
    <w:rsid w:val="004F3DC7"/>
    <w:rsid w:val="004F41CB"/>
    <w:rsid w:val="004F4544"/>
    <w:rsid w:val="004F7E09"/>
    <w:rsid w:val="00506273"/>
    <w:rsid w:val="005226A1"/>
    <w:rsid w:val="00525B05"/>
    <w:rsid w:val="00530833"/>
    <w:rsid w:val="00543594"/>
    <w:rsid w:val="005522C4"/>
    <w:rsid w:val="00553E3E"/>
    <w:rsid w:val="00560785"/>
    <w:rsid w:val="00565B39"/>
    <w:rsid w:val="0057455B"/>
    <w:rsid w:val="0058265C"/>
    <w:rsid w:val="0058690B"/>
    <w:rsid w:val="00587371"/>
    <w:rsid w:val="0059083F"/>
    <w:rsid w:val="00590FB1"/>
    <w:rsid w:val="00593206"/>
    <w:rsid w:val="005A75CA"/>
    <w:rsid w:val="005B6BEF"/>
    <w:rsid w:val="005C23D5"/>
    <w:rsid w:val="005D073B"/>
    <w:rsid w:val="005D0ED9"/>
    <w:rsid w:val="005D5DE1"/>
    <w:rsid w:val="005E179A"/>
    <w:rsid w:val="005E2CFF"/>
    <w:rsid w:val="005E3413"/>
    <w:rsid w:val="005E7B89"/>
    <w:rsid w:val="005F01E3"/>
    <w:rsid w:val="005F0263"/>
    <w:rsid w:val="005F3716"/>
    <w:rsid w:val="005F7503"/>
    <w:rsid w:val="00605FD6"/>
    <w:rsid w:val="00611C81"/>
    <w:rsid w:val="0061364A"/>
    <w:rsid w:val="006141D0"/>
    <w:rsid w:val="00614AF9"/>
    <w:rsid w:val="00616184"/>
    <w:rsid w:val="00621E51"/>
    <w:rsid w:val="00622925"/>
    <w:rsid w:val="00626BB5"/>
    <w:rsid w:val="006270EE"/>
    <w:rsid w:val="00631944"/>
    <w:rsid w:val="00631FC1"/>
    <w:rsid w:val="00632C2A"/>
    <w:rsid w:val="0063443F"/>
    <w:rsid w:val="006344E4"/>
    <w:rsid w:val="00635B4A"/>
    <w:rsid w:val="00636524"/>
    <w:rsid w:val="006367B1"/>
    <w:rsid w:val="00637AFF"/>
    <w:rsid w:val="0064122E"/>
    <w:rsid w:val="0064323E"/>
    <w:rsid w:val="00644029"/>
    <w:rsid w:val="006518F5"/>
    <w:rsid w:val="006572E1"/>
    <w:rsid w:val="0066033C"/>
    <w:rsid w:val="006604EC"/>
    <w:rsid w:val="00660766"/>
    <w:rsid w:val="00665D57"/>
    <w:rsid w:val="006702C2"/>
    <w:rsid w:val="006822B4"/>
    <w:rsid w:val="00686B04"/>
    <w:rsid w:val="00690D64"/>
    <w:rsid w:val="00691203"/>
    <w:rsid w:val="00693C18"/>
    <w:rsid w:val="00697A8E"/>
    <w:rsid w:val="006A4E1C"/>
    <w:rsid w:val="006B42FD"/>
    <w:rsid w:val="006B5BE3"/>
    <w:rsid w:val="006C3C73"/>
    <w:rsid w:val="006C5AD6"/>
    <w:rsid w:val="006C72C4"/>
    <w:rsid w:val="006D3AD0"/>
    <w:rsid w:val="006D4370"/>
    <w:rsid w:val="006D6CC9"/>
    <w:rsid w:val="006D748F"/>
    <w:rsid w:val="006E0E72"/>
    <w:rsid w:val="006E4B7A"/>
    <w:rsid w:val="006E709B"/>
    <w:rsid w:val="006F059B"/>
    <w:rsid w:val="006F75DE"/>
    <w:rsid w:val="006F7F8D"/>
    <w:rsid w:val="00704575"/>
    <w:rsid w:val="00706E58"/>
    <w:rsid w:val="007136F9"/>
    <w:rsid w:val="00713CC0"/>
    <w:rsid w:val="007144C5"/>
    <w:rsid w:val="00725AD8"/>
    <w:rsid w:val="00725AEC"/>
    <w:rsid w:val="00725C3E"/>
    <w:rsid w:val="00726D03"/>
    <w:rsid w:val="00730FDC"/>
    <w:rsid w:val="00733A73"/>
    <w:rsid w:val="007360BF"/>
    <w:rsid w:val="007360C5"/>
    <w:rsid w:val="00745FCC"/>
    <w:rsid w:val="00750797"/>
    <w:rsid w:val="0075611B"/>
    <w:rsid w:val="00756ED3"/>
    <w:rsid w:val="007655BF"/>
    <w:rsid w:val="00770040"/>
    <w:rsid w:val="00772F68"/>
    <w:rsid w:val="00773982"/>
    <w:rsid w:val="00786F36"/>
    <w:rsid w:val="00794DE9"/>
    <w:rsid w:val="007A148C"/>
    <w:rsid w:val="007A1633"/>
    <w:rsid w:val="007A26C2"/>
    <w:rsid w:val="007B4542"/>
    <w:rsid w:val="007B4993"/>
    <w:rsid w:val="007B7073"/>
    <w:rsid w:val="007C30FF"/>
    <w:rsid w:val="007C5709"/>
    <w:rsid w:val="007D142D"/>
    <w:rsid w:val="007E1455"/>
    <w:rsid w:val="007E3F38"/>
    <w:rsid w:val="007E6096"/>
    <w:rsid w:val="007E62E7"/>
    <w:rsid w:val="00811223"/>
    <w:rsid w:val="008115A6"/>
    <w:rsid w:val="008178BC"/>
    <w:rsid w:val="00817C00"/>
    <w:rsid w:val="0082106C"/>
    <w:rsid w:val="00837327"/>
    <w:rsid w:val="008416B3"/>
    <w:rsid w:val="00846734"/>
    <w:rsid w:val="00853F61"/>
    <w:rsid w:val="00861FA6"/>
    <w:rsid w:val="00871511"/>
    <w:rsid w:val="00871C8E"/>
    <w:rsid w:val="008765F7"/>
    <w:rsid w:val="00877C5D"/>
    <w:rsid w:val="00893EF4"/>
    <w:rsid w:val="00894CC7"/>
    <w:rsid w:val="008A5299"/>
    <w:rsid w:val="008B119B"/>
    <w:rsid w:val="008C0431"/>
    <w:rsid w:val="008C1BA6"/>
    <w:rsid w:val="008C3A86"/>
    <w:rsid w:val="008C583A"/>
    <w:rsid w:val="008D3781"/>
    <w:rsid w:val="008E0084"/>
    <w:rsid w:val="008E10E3"/>
    <w:rsid w:val="008F513A"/>
    <w:rsid w:val="0090088A"/>
    <w:rsid w:val="00901A4F"/>
    <w:rsid w:val="0090428C"/>
    <w:rsid w:val="00906BE1"/>
    <w:rsid w:val="00906D09"/>
    <w:rsid w:val="009101FE"/>
    <w:rsid w:val="009105D0"/>
    <w:rsid w:val="00913064"/>
    <w:rsid w:val="0092171A"/>
    <w:rsid w:val="00936CF1"/>
    <w:rsid w:val="00944957"/>
    <w:rsid w:val="009474F2"/>
    <w:rsid w:val="00950232"/>
    <w:rsid w:val="00955A17"/>
    <w:rsid w:val="0095701F"/>
    <w:rsid w:val="00961B58"/>
    <w:rsid w:val="00963CBD"/>
    <w:rsid w:val="00967195"/>
    <w:rsid w:val="00967ACD"/>
    <w:rsid w:val="0097089F"/>
    <w:rsid w:val="009708D6"/>
    <w:rsid w:val="00970AC4"/>
    <w:rsid w:val="00975778"/>
    <w:rsid w:val="009761CD"/>
    <w:rsid w:val="009947B5"/>
    <w:rsid w:val="00997932"/>
    <w:rsid w:val="009A64CC"/>
    <w:rsid w:val="009A715D"/>
    <w:rsid w:val="009B2FB9"/>
    <w:rsid w:val="009B5196"/>
    <w:rsid w:val="009B5EA0"/>
    <w:rsid w:val="009C2784"/>
    <w:rsid w:val="009C67A9"/>
    <w:rsid w:val="009D254A"/>
    <w:rsid w:val="009E1D30"/>
    <w:rsid w:val="009E7E7A"/>
    <w:rsid w:val="009F548D"/>
    <w:rsid w:val="009F570B"/>
    <w:rsid w:val="009F5A26"/>
    <w:rsid w:val="00A0077E"/>
    <w:rsid w:val="00A011FF"/>
    <w:rsid w:val="00A01A4F"/>
    <w:rsid w:val="00A038BB"/>
    <w:rsid w:val="00A039DF"/>
    <w:rsid w:val="00A04DD9"/>
    <w:rsid w:val="00A0758F"/>
    <w:rsid w:val="00A077CE"/>
    <w:rsid w:val="00A1535E"/>
    <w:rsid w:val="00A16DBC"/>
    <w:rsid w:val="00A17E93"/>
    <w:rsid w:val="00A2197E"/>
    <w:rsid w:val="00A221DA"/>
    <w:rsid w:val="00A261A0"/>
    <w:rsid w:val="00A31597"/>
    <w:rsid w:val="00A3292F"/>
    <w:rsid w:val="00A424AD"/>
    <w:rsid w:val="00A44EED"/>
    <w:rsid w:val="00A54596"/>
    <w:rsid w:val="00A63EAB"/>
    <w:rsid w:val="00A66E95"/>
    <w:rsid w:val="00A754BF"/>
    <w:rsid w:val="00A77106"/>
    <w:rsid w:val="00A82127"/>
    <w:rsid w:val="00AA167F"/>
    <w:rsid w:val="00AA28D8"/>
    <w:rsid w:val="00AA4F89"/>
    <w:rsid w:val="00AC0437"/>
    <w:rsid w:val="00AC79F3"/>
    <w:rsid w:val="00AD7321"/>
    <w:rsid w:val="00AD7F25"/>
    <w:rsid w:val="00AE1BCD"/>
    <w:rsid w:val="00B01291"/>
    <w:rsid w:val="00B03297"/>
    <w:rsid w:val="00B036A9"/>
    <w:rsid w:val="00B116E9"/>
    <w:rsid w:val="00B11F9E"/>
    <w:rsid w:val="00B165AE"/>
    <w:rsid w:val="00B16CE8"/>
    <w:rsid w:val="00B223A3"/>
    <w:rsid w:val="00B24416"/>
    <w:rsid w:val="00B27559"/>
    <w:rsid w:val="00B278DC"/>
    <w:rsid w:val="00B323CF"/>
    <w:rsid w:val="00B35306"/>
    <w:rsid w:val="00B40B8A"/>
    <w:rsid w:val="00B41106"/>
    <w:rsid w:val="00B41661"/>
    <w:rsid w:val="00B42DDB"/>
    <w:rsid w:val="00B47F6C"/>
    <w:rsid w:val="00B50A90"/>
    <w:rsid w:val="00B545F4"/>
    <w:rsid w:val="00B63576"/>
    <w:rsid w:val="00B678B8"/>
    <w:rsid w:val="00B71341"/>
    <w:rsid w:val="00B76B3B"/>
    <w:rsid w:val="00B8367A"/>
    <w:rsid w:val="00B84B64"/>
    <w:rsid w:val="00B95B0A"/>
    <w:rsid w:val="00BA01F0"/>
    <w:rsid w:val="00BA3CC9"/>
    <w:rsid w:val="00BA5BA4"/>
    <w:rsid w:val="00BA762F"/>
    <w:rsid w:val="00BB1D53"/>
    <w:rsid w:val="00BB34F7"/>
    <w:rsid w:val="00BB559E"/>
    <w:rsid w:val="00BB5BAE"/>
    <w:rsid w:val="00BB6ECF"/>
    <w:rsid w:val="00BC2E4B"/>
    <w:rsid w:val="00BC7DDC"/>
    <w:rsid w:val="00BD023A"/>
    <w:rsid w:val="00BD0A7C"/>
    <w:rsid w:val="00BD4336"/>
    <w:rsid w:val="00BE13BF"/>
    <w:rsid w:val="00BE4CD0"/>
    <w:rsid w:val="00BE57AC"/>
    <w:rsid w:val="00BE6FDF"/>
    <w:rsid w:val="00BF1453"/>
    <w:rsid w:val="00BF27F2"/>
    <w:rsid w:val="00BF3A98"/>
    <w:rsid w:val="00BF3FF9"/>
    <w:rsid w:val="00BF4BA8"/>
    <w:rsid w:val="00C01325"/>
    <w:rsid w:val="00C04B9C"/>
    <w:rsid w:val="00C04D06"/>
    <w:rsid w:val="00C07670"/>
    <w:rsid w:val="00C14B18"/>
    <w:rsid w:val="00C15A66"/>
    <w:rsid w:val="00C15E24"/>
    <w:rsid w:val="00C2035D"/>
    <w:rsid w:val="00C410B3"/>
    <w:rsid w:val="00C41109"/>
    <w:rsid w:val="00C460B7"/>
    <w:rsid w:val="00C50DF1"/>
    <w:rsid w:val="00C550EC"/>
    <w:rsid w:val="00C612B8"/>
    <w:rsid w:val="00C61E25"/>
    <w:rsid w:val="00C62D06"/>
    <w:rsid w:val="00C6372B"/>
    <w:rsid w:val="00C65C45"/>
    <w:rsid w:val="00C66282"/>
    <w:rsid w:val="00C710B0"/>
    <w:rsid w:val="00C81703"/>
    <w:rsid w:val="00C84A28"/>
    <w:rsid w:val="00C851CB"/>
    <w:rsid w:val="00C86E4D"/>
    <w:rsid w:val="00C87908"/>
    <w:rsid w:val="00C923CE"/>
    <w:rsid w:val="00C971B2"/>
    <w:rsid w:val="00CA0DD5"/>
    <w:rsid w:val="00CA2B4C"/>
    <w:rsid w:val="00CA3847"/>
    <w:rsid w:val="00CA515A"/>
    <w:rsid w:val="00CA7851"/>
    <w:rsid w:val="00CB315F"/>
    <w:rsid w:val="00CC2442"/>
    <w:rsid w:val="00CC7005"/>
    <w:rsid w:val="00CC7C4F"/>
    <w:rsid w:val="00CD1803"/>
    <w:rsid w:val="00CD4734"/>
    <w:rsid w:val="00CE736E"/>
    <w:rsid w:val="00CF0989"/>
    <w:rsid w:val="00CF3072"/>
    <w:rsid w:val="00CF6D00"/>
    <w:rsid w:val="00CF7113"/>
    <w:rsid w:val="00D02AA9"/>
    <w:rsid w:val="00D132EC"/>
    <w:rsid w:val="00D15F61"/>
    <w:rsid w:val="00D1660F"/>
    <w:rsid w:val="00D26C1D"/>
    <w:rsid w:val="00D3676B"/>
    <w:rsid w:val="00D4788B"/>
    <w:rsid w:val="00D51404"/>
    <w:rsid w:val="00D535F2"/>
    <w:rsid w:val="00D5688F"/>
    <w:rsid w:val="00D5788D"/>
    <w:rsid w:val="00D619B9"/>
    <w:rsid w:val="00D669CD"/>
    <w:rsid w:val="00D708EC"/>
    <w:rsid w:val="00D70B41"/>
    <w:rsid w:val="00D7204E"/>
    <w:rsid w:val="00D74B5B"/>
    <w:rsid w:val="00D84DA8"/>
    <w:rsid w:val="00DA3E2B"/>
    <w:rsid w:val="00DB289B"/>
    <w:rsid w:val="00DB445B"/>
    <w:rsid w:val="00DB5B6C"/>
    <w:rsid w:val="00DC0283"/>
    <w:rsid w:val="00DC0C58"/>
    <w:rsid w:val="00DC4A5A"/>
    <w:rsid w:val="00DD27F4"/>
    <w:rsid w:val="00DD2AD4"/>
    <w:rsid w:val="00DE0050"/>
    <w:rsid w:val="00DE075F"/>
    <w:rsid w:val="00DE24ED"/>
    <w:rsid w:val="00DE4429"/>
    <w:rsid w:val="00DF1996"/>
    <w:rsid w:val="00E018A8"/>
    <w:rsid w:val="00E0615F"/>
    <w:rsid w:val="00E120D6"/>
    <w:rsid w:val="00E135F5"/>
    <w:rsid w:val="00E2315B"/>
    <w:rsid w:val="00E3233B"/>
    <w:rsid w:val="00E34928"/>
    <w:rsid w:val="00E3627B"/>
    <w:rsid w:val="00E3658C"/>
    <w:rsid w:val="00E40308"/>
    <w:rsid w:val="00E46B78"/>
    <w:rsid w:val="00E55C18"/>
    <w:rsid w:val="00E57A87"/>
    <w:rsid w:val="00E60442"/>
    <w:rsid w:val="00E63F02"/>
    <w:rsid w:val="00E67226"/>
    <w:rsid w:val="00E7249D"/>
    <w:rsid w:val="00E83DE2"/>
    <w:rsid w:val="00E84081"/>
    <w:rsid w:val="00E8604C"/>
    <w:rsid w:val="00E928BD"/>
    <w:rsid w:val="00E94C00"/>
    <w:rsid w:val="00E96B90"/>
    <w:rsid w:val="00EA1620"/>
    <w:rsid w:val="00EA2325"/>
    <w:rsid w:val="00EB5561"/>
    <w:rsid w:val="00EB58C5"/>
    <w:rsid w:val="00EC41AA"/>
    <w:rsid w:val="00EC4642"/>
    <w:rsid w:val="00EC48FD"/>
    <w:rsid w:val="00ED3BAD"/>
    <w:rsid w:val="00ED6BA6"/>
    <w:rsid w:val="00ED7360"/>
    <w:rsid w:val="00EE05EA"/>
    <w:rsid w:val="00EE1FD9"/>
    <w:rsid w:val="00EE2187"/>
    <w:rsid w:val="00EE30A5"/>
    <w:rsid w:val="00EE6C05"/>
    <w:rsid w:val="00EF3EED"/>
    <w:rsid w:val="00EF6173"/>
    <w:rsid w:val="00F017AA"/>
    <w:rsid w:val="00F07A8B"/>
    <w:rsid w:val="00F115B4"/>
    <w:rsid w:val="00F11672"/>
    <w:rsid w:val="00F1296D"/>
    <w:rsid w:val="00F13887"/>
    <w:rsid w:val="00F17B75"/>
    <w:rsid w:val="00F219A5"/>
    <w:rsid w:val="00F22C86"/>
    <w:rsid w:val="00F277DF"/>
    <w:rsid w:val="00F327C3"/>
    <w:rsid w:val="00F339E1"/>
    <w:rsid w:val="00F356CA"/>
    <w:rsid w:val="00F362AE"/>
    <w:rsid w:val="00F40026"/>
    <w:rsid w:val="00F4152A"/>
    <w:rsid w:val="00F423BB"/>
    <w:rsid w:val="00F44777"/>
    <w:rsid w:val="00F52395"/>
    <w:rsid w:val="00F525A1"/>
    <w:rsid w:val="00F53788"/>
    <w:rsid w:val="00F5550B"/>
    <w:rsid w:val="00F61164"/>
    <w:rsid w:val="00F64912"/>
    <w:rsid w:val="00F652BD"/>
    <w:rsid w:val="00F67B5E"/>
    <w:rsid w:val="00F73AA9"/>
    <w:rsid w:val="00F75767"/>
    <w:rsid w:val="00F75F39"/>
    <w:rsid w:val="00F76AB4"/>
    <w:rsid w:val="00F779BB"/>
    <w:rsid w:val="00F82B96"/>
    <w:rsid w:val="00F913B0"/>
    <w:rsid w:val="00F93D65"/>
    <w:rsid w:val="00F95655"/>
    <w:rsid w:val="00F96B61"/>
    <w:rsid w:val="00FA1156"/>
    <w:rsid w:val="00FA377A"/>
    <w:rsid w:val="00FA62E2"/>
    <w:rsid w:val="00FA703E"/>
    <w:rsid w:val="00FB513B"/>
    <w:rsid w:val="00FB7638"/>
    <w:rsid w:val="00FB77D5"/>
    <w:rsid w:val="00FC4F4F"/>
    <w:rsid w:val="00FC649F"/>
    <w:rsid w:val="00FD0FF9"/>
    <w:rsid w:val="00FD591E"/>
    <w:rsid w:val="00FE6677"/>
    <w:rsid w:val="00FF09CB"/>
    <w:rsid w:val="00FF1B23"/>
    <w:rsid w:val="00FF4216"/>
    <w:rsid w:val="00FF43B7"/>
    <w:rsid w:val="00FF5539"/>
    <w:rsid w:val="00FF6D8D"/>
    <w:rsid w:val="00FF74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CB5C60"/>
  <w15:docId w15:val="{1A4982B5-CB8A-451E-A332-C2694A25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a">
    <w:basedOn w:val="TableNormalf1"/>
    <w:tblPr>
      <w:tblStyleRowBandSize w:val="1"/>
      <w:tblStyleColBandSize w:val="1"/>
      <w:tblCellMar>
        <w:left w:w="115" w:type="dxa"/>
        <w:right w:w="115" w:type="dxa"/>
      </w:tblCellMar>
    </w:tblPr>
  </w:style>
  <w:style w:type="table" w:customStyle="1" w:styleId="a0">
    <w:basedOn w:val="TableNormalf1"/>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qFormat/>
    <w:rsid w:val="00806B5C"/>
    <w:rPr>
      <w:vertAlign w:val="superscript"/>
    </w:rPr>
  </w:style>
  <w:style w:type="table" w:customStyle="1" w:styleId="a1">
    <w:basedOn w:val="TableNormalf1"/>
    <w:tblPr>
      <w:tblStyleRowBandSize w:val="1"/>
      <w:tblStyleColBandSize w:val="1"/>
      <w:tblCellMar>
        <w:left w:w="115" w:type="dxa"/>
        <w:right w:w="115" w:type="dxa"/>
      </w:tblCellMar>
    </w:tblPr>
  </w:style>
  <w:style w:type="table" w:customStyle="1" w:styleId="a2">
    <w:basedOn w:val="TableNormalf1"/>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3">
    <w:basedOn w:val="TableNormalf0"/>
    <w:tblPr>
      <w:tblStyleRowBandSize w:val="1"/>
      <w:tblStyleColBandSize w:val="1"/>
      <w:tblCellMar>
        <w:left w:w="115" w:type="dxa"/>
        <w:right w:w="115" w:type="dxa"/>
      </w:tblCellMar>
    </w:tblPr>
  </w:style>
  <w:style w:type="table" w:customStyle="1" w:styleId="a4">
    <w:basedOn w:val="TableNormalf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a5">
    <w:basedOn w:val="TableNormalf"/>
    <w:tblPr>
      <w:tblStyleRowBandSize w:val="1"/>
      <w:tblStyleColBandSize w:val="1"/>
      <w:tblCellMar>
        <w:left w:w="108" w:type="dxa"/>
        <w:right w:w="108" w:type="dxa"/>
      </w:tblCellMar>
    </w:tblPr>
  </w:style>
  <w:style w:type="table" w:customStyle="1" w:styleId="a6">
    <w:basedOn w:val="TableNormalf"/>
    <w:tblPr>
      <w:tblStyleRowBandSize w:val="1"/>
      <w:tblStyleColBandSize w:val="1"/>
      <w:tblCellMar>
        <w:left w:w="108" w:type="dxa"/>
        <w:right w:w="108" w:type="dxa"/>
      </w:tblCellMar>
    </w:tblPr>
  </w:style>
  <w:style w:type="table" w:customStyle="1" w:styleId="a7">
    <w:basedOn w:val="TableNormalf"/>
    <w:tblPr>
      <w:tblStyleRowBandSize w:val="1"/>
      <w:tblStyleColBandSize w:val="1"/>
      <w:tblCellMar>
        <w:left w:w="108" w:type="dxa"/>
        <w:right w:w="108" w:type="dxa"/>
      </w:tblCellMar>
    </w:tblPr>
  </w:style>
  <w:style w:type="table" w:customStyle="1" w:styleId="a8">
    <w:basedOn w:val="TableNormalf"/>
    <w:tblPr>
      <w:tblStyleRowBandSize w:val="1"/>
      <w:tblStyleColBandSize w:val="1"/>
      <w:tblCellMar>
        <w:left w:w="108" w:type="dxa"/>
        <w:right w:w="108" w:type="dxa"/>
      </w:tblCellMar>
    </w:tblPr>
  </w:style>
  <w:style w:type="table" w:customStyle="1" w:styleId="a9">
    <w:basedOn w:val="TableNormalf"/>
    <w:tblPr>
      <w:tblStyleRowBandSize w:val="1"/>
      <w:tblStyleColBandSize w:val="1"/>
      <w:tblCellMar>
        <w:left w:w="108" w:type="dxa"/>
        <w:right w:w="108" w:type="dxa"/>
      </w:tblCellMar>
    </w:tblPr>
  </w:style>
  <w:style w:type="table" w:customStyle="1" w:styleId="aa">
    <w:basedOn w:val="TableNormalf"/>
    <w:tblPr>
      <w:tblStyleRowBandSize w:val="1"/>
      <w:tblStyleColBandSize w:val="1"/>
      <w:tblCellMar>
        <w:left w:w="115" w:type="dxa"/>
        <w:right w:w="115" w:type="dxa"/>
      </w:tblCellMar>
    </w:tblPr>
  </w:style>
  <w:style w:type="table" w:customStyle="1" w:styleId="ab">
    <w:basedOn w:val="TableNormalf"/>
    <w:tblPr>
      <w:tblStyleRowBandSize w:val="1"/>
      <w:tblStyleColBandSize w:val="1"/>
      <w:tblCellMar>
        <w:left w:w="115" w:type="dxa"/>
        <w:right w:w="115" w:type="dxa"/>
      </w:tblCellMar>
    </w:tblPr>
  </w:style>
  <w:style w:type="table" w:customStyle="1" w:styleId="ac">
    <w:basedOn w:val="TableNormale"/>
    <w:tblPr>
      <w:tblStyleRowBandSize w:val="1"/>
      <w:tblStyleColBandSize w:val="1"/>
      <w:tblCellMar>
        <w:left w:w="108" w:type="dxa"/>
        <w:right w:w="108" w:type="dxa"/>
      </w:tblCellMar>
    </w:tblPr>
  </w:style>
  <w:style w:type="table" w:customStyle="1" w:styleId="ad">
    <w:basedOn w:val="TableNormale"/>
    <w:tblPr>
      <w:tblStyleRowBandSize w:val="1"/>
      <w:tblStyleColBandSize w:val="1"/>
      <w:tblCellMar>
        <w:left w:w="115" w:type="dxa"/>
        <w:right w:w="115" w:type="dxa"/>
      </w:tblCellMar>
    </w:tblPr>
  </w:style>
  <w:style w:type="table" w:customStyle="1" w:styleId="ae">
    <w:basedOn w:val="TableNormale"/>
    <w:tblPr>
      <w:tblStyleRowBandSize w:val="1"/>
      <w:tblStyleColBandSize w:val="1"/>
      <w:tblCellMar>
        <w:left w:w="115" w:type="dxa"/>
        <w:right w:w="115" w:type="dxa"/>
      </w:tblCellMar>
    </w:tblPr>
  </w:style>
  <w:style w:type="table" w:customStyle="1" w:styleId="af">
    <w:basedOn w:val="TableNormald"/>
    <w:tblPr>
      <w:tblStyleRowBandSize w:val="1"/>
      <w:tblStyleColBandSize w:val="1"/>
      <w:tblCellMar>
        <w:left w:w="115" w:type="dxa"/>
        <w:right w:w="115" w:type="dxa"/>
      </w:tblCellMar>
    </w:tblPr>
  </w:style>
  <w:style w:type="table" w:customStyle="1" w:styleId="af0">
    <w:basedOn w:val="TableNormald"/>
    <w:tblPr>
      <w:tblStyleRowBandSize w:val="1"/>
      <w:tblStyleColBandSize w:val="1"/>
      <w:tblCellMar>
        <w:left w:w="115" w:type="dxa"/>
        <w:right w:w="115" w:type="dxa"/>
      </w:tblCellMar>
    </w:tblPr>
  </w:style>
  <w:style w:type="table" w:customStyle="1" w:styleId="af1">
    <w:basedOn w:val="TableNormald"/>
    <w:tblPr>
      <w:tblStyleRowBandSize w:val="1"/>
      <w:tblStyleColBandSize w:val="1"/>
      <w:tblCellMar>
        <w:left w:w="115" w:type="dxa"/>
        <w:right w:w="115" w:type="dxa"/>
      </w:tblCellMar>
    </w:tblPr>
  </w:style>
  <w:style w:type="table" w:customStyle="1" w:styleId="af2">
    <w:basedOn w:val="TableNormalc"/>
    <w:tblPr>
      <w:tblStyleRowBandSize w:val="1"/>
      <w:tblStyleColBandSize w:val="1"/>
      <w:tblCellMar>
        <w:left w:w="115" w:type="dxa"/>
        <w:right w:w="115" w:type="dxa"/>
      </w:tblCellMar>
    </w:tblPr>
  </w:style>
  <w:style w:type="table" w:customStyle="1" w:styleId="af3">
    <w:basedOn w:val="TableNormalc"/>
    <w:tblPr>
      <w:tblStyleRowBandSize w:val="1"/>
      <w:tblStyleColBandSize w:val="1"/>
      <w:tblCellMar>
        <w:left w:w="115" w:type="dxa"/>
        <w:right w:w="115" w:type="dxa"/>
      </w:tblCellMar>
    </w:tblPr>
  </w:style>
  <w:style w:type="table" w:customStyle="1" w:styleId="af4">
    <w:basedOn w:val="TableNormalb"/>
    <w:tblPr>
      <w:tblStyleRowBandSize w:val="1"/>
      <w:tblStyleColBandSize w:val="1"/>
      <w:tblCellMar>
        <w:left w:w="115" w:type="dxa"/>
        <w:right w:w="115" w:type="dxa"/>
      </w:tblCellMar>
    </w:tblPr>
  </w:style>
  <w:style w:type="table" w:customStyle="1" w:styleId="af5">
    <w:basedOn w:val="TableNormalb"/>
    <w:tblPr>
      <w:tblStyleRowBandSize w:val="1"/>
      <w:tblStyleColBandSize w:val="1"/>
      <w:tblCellMar>
        <w:left w:w="115" w:type="dxa"/>
        <w:right w:w="115" w:type="dxa"/>
      </w:tblCellMar>
    </w:tblPr>
  </w:style>
  <w:style w:type="table" w:customStyle="1" w:styleId="af6">
    <w:basedOn w:val="TableNormala"/>
    <w:tblPr>
      <w:tblStyleRowBandSize w:val="1"/>
      <w:tblStyleColBandSize w:val="1"/>
      <w:tblCellMar>
        <w:left w:w="115" w:type="dxa"/>
        <w:right w:w="115" w:type="dxa"/>
      </w:tblCellMar>
    </w:tblPr>
  </w:style>
  <w:style w:type="table" w:customStyle="1" w:styleId="af7">
    <w:basedOn w:val="TableNormala"/>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af8">
    <w:basedOn w:val="TableNormal9"/>
    <w:tblPr>
      <w:tblStyleRowBandSize w:val="1"/>
      <w:tblStyleColBandSize w:val="1"/>
      <w:tblCellMar>
        <w:left w:w="115" w:type="dxa"/>
        <w:right w:w="115" w:type="dxa"/>
      </w:tblCellMar>
    </w:tblPr>
  </w:style>
  <w:style w:type="table" w:customStyle="1" w:styleId="af9">
    <w:basedOn w:val="TableNormal9"/>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tblPr>
      <w:tblStyleRowBandSize w:val="1"/>
      <w:tblStyleColBandSize w:val="1"/>
      <w:tblCellMar>
        <w:left w:w="115" w:type="dxa"/>
        <w:right w:w="115" w:type="dxa"/>
      </w:tblCellMar>
    </w:tblPr>
  </w:style>
  <w:style w:type="table" w:customStyle="1" w:styleId="afc">
    <w:basedOn w:val="TableNormal7"/>
    <w:tblPr>
      <w:tblStyleRowBandSize w:val="1"/>
      <w:tblStyleColBandSize w:val="1"/>
      <w:tblCellMar>
        <w:left w:w="115" w:type="dxa"/>
        <w:right w:w="115" w:type="dxa"/>
      </w:tblCellMar>
    </w:tblPr>
  </w:style>
  <w:style w:type="table" w:customStyle="1" w:styleId="afd">
    <w:basedOn w:val="TableNormal7"/>
    <w:tblPr>
      <w:tblStyleRowBandSize w:val="1"/>
      <w:tblStyleColBandSize w:val="1"/>
      <w:tblCellMar>
        <w:left w:w="115" w:type="dxa"/>
        <w:right w:w="115" w:type="dxa"/>
      </w:tblCellMar>
    </w:tblPr>
  </w:style>
  <w:style w:type="table" w:customStyle="1" w:styleId="afe">
    <w:basedOn w:val="TableNormal6"/>
    <w:tblPr>
      <w:tblStyleRowBandSize w:val="1"/>
      <w:tblStyleColBandSize w:val="1"/>
      <w:tblCellMar>
        <w:left w:w="115" w:type="dxa"/>
        <w:right w:w="115" w:type="dxa"/>
      </w:tblCellMar>
    </w:tblPr>
  </w:style>
  <w:style w:type="table" w:customStyle="1" w:styleId="aff">
    <w:basedOn w:val="TableNormal6"/>
    <w:tblPr>
      <w:tblStyleRowBandSize w:val="1"/>
      <w:tblStyleColBandSize w:val="1"/>
      <w:tblCellMar>
        <w:left w:w="115" w:type="dxa"/>
        <w:right w:w="115" w:type="dxa"/>
      </w:tblCellMar>
    </w:tblPr>
  </w:style>
  <w:style w:type="table" w:customStyle="1" w:styleId="aff0">
    <w:basedOn w:val="TableNormal5"/>
    <w:tblPr>
      <w:tblStyleRowBandSize w:val="1"/>
      <w:tblStyleColBandSize w:val="1"/>
      <w:tblCellMar>
        <w:left w:w="115" w:type="dxa"/>
        <w:right w:w="115" w:type="dxa"/>
      </w:tblCellMar>
    </w:tblPr>
  </w:style>
  <w:style w:type="table" w:customStyle="1" w:styleId="aff1">
    <w:basedOn w:val="TableNormal5"/>
    <w:tblPr>
      <w:tblStyleRowBandSize w:val="1"/>
      <w:tblStyleColBandSize w:val="1"/>
      <w:tblCellMar>
        <w:left w:w="115" w:type="dxa"/>
        <w:right w:w="115" w:type="dxa"/>
      </w:tblCellMar>
    </w:tblPr>
  </w:style>
  <w:style w:type="table" w:customStyle="1" w:styleId="aff2">
    <w:basedOn w:val="TableNormal4"/>
    <w:tblPr>
      <w:tblStyleRowBandSize w:val="1"/>
      <w:tblStyleColBandSize w:val="1"/>
      <w:tblCellMar>
        <w:left w:w="115" w:type="dxa"/>
        <w:right w:w="115" w:type="dxa"/>
      </w:tblCellMar>
    </w:tblPr>
  </w:style>
  <w:style w:type="table" w:customStyle="1" w:styleId="aff3">
    <w:basedOn w:val="TableNormal4"/>
    <w:tblPr>
      <w:tblStyleRowBandSize w:val="1"/>
      <w:tblStyleColBandSize w:val="1"/>
      <w:tblCellMar>
        <w:left w:w="115" w:type="dxa"/>
        <w:right w:w="115" w:type="dxa"/>
      </w:tblCellMar>
    </w:tblPr>
  </w:style>
  <w:style w:type="table" w:customStyle="1" w:styleId="aff4">
    <w:basedOn w:val="TableNormal3"/>
    <w:tblPr>
      <w:tblStyleRowBandSize w:val="1"/>
      <w:tblStyleColBandSize w:val="1"/>
      <w:tblCellMar>
        <w:left w:w="115" w:type="dxa"/>
        <w:right w:w="115" w:type="dxa"/>
      </w:tblCellMar>
    </w:tblPr>
  </w:style>
  <w:style w:type="table" w:customStyle="1" w:styleId="aff5">
    <w:basedOn w:val="TableNormal3"/>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character" w:customStyle="1" w:styleId="Mencinsinresolver3">
    <w:name w:val="Mención sin resolver3"/>
    <w:basedOn w:val="Fuentedeprrafopredeter"/>
    <w:uiPriority w:val="99"/>
    <w:semiHidden/>
    <w:unhideWhenUsed/>
    <w:rsid w:val="009E7E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78397">
      <w:bodyDiv w:val="1"/>
      <w:marLeft w:val="0"/>
      <w:marRight w:val="0"/>
      <w:marTop w:val="0"/>
      <w:marBottom w:val="0"/>
      <w:divBdr>
        <w:top w:val="none" w:sz="0" w:space="0" w:color="auto"/>
        <w:left w:val="none" w:sz="0" w:space="0" w:color="auto"/>
        <w:bottom w:val="none" w:sz="0" w:space="0" w:color="auto"/>
        <w:right w:val="none" w:sz="0" w:space="0" w:color="auto"/>
      </w:divBdr>
    </w:div>
    <w:div w:id="15445622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ndetec.gob.mx/delivery?srv=0&amp;sl=3&amp;path=/biblioteca/Especiales/386_Glosario_Terminos_Proceso_Planeac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GQr8oyXmASkkdxUHD/BHbVPS6g==">CgMxLjAyCWguM3JkY3JqbjIOaC5kYWozajJ4bzZxNjYyCGguZ2pkZ3hzMgloLjNkeTZ2a20yCWguMzBqMHpsbDIJaC4yczhleW8xMgloLjN6bnlzaDcyCWguMmV0OTJwMDIJaC4xdDNoNXNmMg5oLmhuenhzY2g1Z3lzejIOaC5vdDNxcTZ2eGEwOGYyCGgubG54Yno5OAByITEycGNwNjJrZDZCbW00M09JLWdXbTBFLTItNFhnWVJKag==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12251</Words>
  <Characters>67383</Characters>
  <Application>Microsoft Office Word</Application>
  <DocSecurity>0</DocSecurity>
  <Lines>561</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Maricela Villagómez Martínez</cp:lastModifiedBy>
  <cp:revision>2</cp:revision>
  <cp:lastPrinted>2026-08-28T18:05:00Z</cp:lastPrinted>
  <dcterms:created xsi:type="dcterms:W3CDTF">2026-09-04T18:23:00Z</dcterms:created>
  <dcterms:modified xsi:type="dcterms:W3CDTF">2026-09-04T18:23:00Z</dcterms:modified>
</cp:coreProperties>
</file>