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AD50C9" w14:textId="77777777" w:rsidR="00117FC4" w:rsidRDefault="00117FC4">
      <w:pPr>
        <w:widowControl w:val="0"/>
        <w:pBdr>
          <w:top w:val="nil"/>
          <w:left w:val="nil"/>
          <w:bottom w:val="nil"/>
          <w:right w:val="nil"/>
          <w:between w:val="nil"/>
        </w:pBdr>
        <w:spacing w:after="0" w:line="276" w:lineRule="auto"/>
        <w:jc w:val="left"/>
      </w:pPr>
    </w:p>
    <w:p w14:paraId="21011992" w14:textId="77777777" w:rsidR="00117FC4" w:rsidRDefault="00117FC4">
      <w:pPr>
        <w:tabs>
          <w:tab w:val="left" w:pos="8931"/>
        </w:tabs>
        <w:spacing w:after="0" w:line="360" w:lineRule="auto"/>
        <w:rPr>
          <w:b/>
          <w:bCs/>
        </w:rPr>
      </w:pPr>
    </w:p>
    <w:p w14:paraId="423EB4E7" w14:textId="77777777" w:rsidR="00117FC4" w:rsidRDefault="00117FC4">
      <w:pPr>
        <w:keepNext/>
        <w:keepLines/>
        <w:pBdr>
          <w:top w:val="nil"/>
          <w:left w:val="nil"/>
          <w:bottom w:val="nil"/>
          <w:right w:val="nil"/>
          <w:between w:val="nil"/>
        </w:pBdr>
        <w:spacing w:after="0" w:line="360" w:lineRule="auto"/>
        <w:jc w:val="center"/>
        <w:rPr>
          <w:color w:val="000000"/>
        </w:rPr>
      </w:pPr>
    </w:p>
    <w:p w14:paraId="7AAEEAF7" w14:textId="77777777" w:rsidR="00117FC4" w:rsidRDefault="00115752">
      <w:pPr>
        <w:keepNext/>
        <w:keepLines/>
        <w:pBdr>
          <w:top w:val="nil"/>
          <w:left w:val="nil"/>
          <w:bottom w:val="nil"/>
          <w:right w:val="nil"/>
          <w:between w:val="nil"/>
        </w:pBdr>
        <w:spacing w:after="0" w:line="360" w:lineRule="auto"/>
        <w:jc w:val="center"/>
        <w:rPr>
          <w:color w:val="000000"/>
        </w:rPr>
      </w:pPr>
      <w:r>
        <w:rPr>
          <w:color w:val="000000"/>
        </w:rPr>
        <w:t>RESOLUCIÓN DEL RECURSO DE REVISIÓN 12731/INFOEM/IP/RR/2025</w:t>
      </w:r>
    </w:p>
    <w:p w14:paraId="2378F8E6" w14:textId="77777777" w:rsidR="00117FC4" w:rsidRDefault="00117FC4">
      <w:pPr>
        <w:spacing w:after="0" w:line="360" w:lineRule="auto"/>
      </w:pPr>
    </w:p>
    <w:sdt>
      <w:sdtPr>
        <w:rPr>
          <w:lang w:val="es-ES"/>
        </w:rPr>
        <w:id w:val="-1867287200"/>
        <w:docPartObj>
          <w:docPartGallery w:val="Table of Contents"/>
          <w:docPartUnique/>
        </w:docPartObj>
      </w:sdtPr>
      <w:sdtEndPr>
        <w:rPr>
          <w:b/>
          <w:bCs/>
        </w:rPr>
      </w:sdtEndPr>
      <w:sdtContent>
        <w:p w14:paraId="44DC958A" w14:textId="07E616CE" w:rsidR="00B553C4" w:rsidRPr="00B21459" w:rsidRDefault="00B553C4">
          <w:pPr>
            <w:pStyle w:val="TtulodeTDC"/>
          </w:pPr>
        </w:p>
        <w:p w14:paraId="676AFE6F" w14:textId="77777777" w:rsidR="00B21459" w:rsidRPr="00B21459" w:rsidRDefault="00B553C4">
          <w:pPr>
            <w:pStyle w:val="TDC1"/>
            <w:tabs>
              <w:tab w:val="right" w:leader="dot" w:pos="8921"/>
            </w:tabs>
            <w:rPr>
              <w:rFonts w:asciiTheme="minorHAnsi" w:eastAsiaTheme="minorEastAsia" w:hAnsiTheme="minorHAnsi" w:cstheme="minorBidi"/>
              <w:noProof/>
            </w:rPr>
          </w:pPr>
          <w:r w:rsidRPr="00B21459">
            <w:rPr>
              <w:bCs/>
              <w:lang w:val="es-ES"/>
            </w:rPr>
            <w:fldChar w:fldCharType="begin"/>
          </w:r>
          <w:r w:rsidRPr="00B21459">
            <w:rPr>
              <w:bCs/>
              <w:lang w:val="es-ES"/>
            </w:rPr>
            <w:instrText xml:space="preserve"> TOC \o "1-3" \h \z \u </w:instrText>
          </w:r>
          <w:r w:rsidRPr="00B21459">
            <w:rPr>
              <w:bCs/>
              <w:lang w:val="es-ES"/>
            </w:rPr>
            <w:fldChar w:fldCharType="separate"/>
          </w:r>
          <w:hyperlink w:anchor="_Toc222409642" w:history="1">
            <w:r w:rsidR="00B21459" w:rsidRPr="00B21459">
              <w:rPr>
                <w:rStyle w:val="Hipervnculo"/>
                <w:bCs/>
                <w:noProof/>
              </w:rPr>
              <w:t>A N T E C E D E N T E S</w:t>
            </w:r>
            <w:r w:rsidR="00B21459" w:rsidRPr="00B21459">
              <w:rPr>
                <w:noProof/>
                <w:webHidden/>
              </w:rPr>
              <w:tab/>
            </w:r>
            <w:r w:rsidR="00B21459" w:rsidRPr="00B21459">
              <w:rPr>
                <w:noProof/>
                <w:webHidden/>
              </w:rPr>
              <w:fldChar w:fldCharType="begin"/>
            </w:r>
            <w:r w:rsidR="00B21459" w:rsidRPr="00B21459">
              <w:rPr>
                <w:noProof/>
                <w:webHidden/>
              </w:rPr>
              <w:instrText xml:space="preserve"> PAGEREF _Toc222409642 \h </w:instrText>
            </w:r>
            <w:r w:rsidR="00B21459" w:rsidRPr="00B21459">
              <w:rPr>
                <w:noProof/>
                <w:webHidden/>
              </w:rPr>
            </w:r>
            <w:r w:rsidR="00B21459" w:rsidRPr="00B21459">
              <w:rPr>
                <w:noProof/>
                <w:webHidden/>
              </w:rPr>
              <w:fldChar w:fldCharType="separate"/>
            </w:r>
            <w:r w:rsidR="007F2B37">
              <w:rPr>
                <w:noProof/>
                <w:webHidden/>
              </w:rPr>
              <w:t>2</w:t>
            </w:r>
            <w:r w:rsidR="00B21459" w:rsidRPr="00B21459">
              <w:rPr>
                <w:noProof/>
                <w:webHidden/>
              </w:rPr>
              <w:fldChar w:fldCharType="end"/>
            </w:r>
          </w:hyperlink>
        </w:p>
        <w:p w14:paraId="0EAFDECA" w14:textId="77777777" w:rsidR="00B21459" w:rsidRPr="00B21459" w:rsidRDefault="00D17914">
          <w:pPr>
            <w:pStyle w:val="TDC2"/>
            <w:tabs>
              <w:tab w:val="right" w:leader="dot" w:pos="8921"/>
            </w:tabs>
            <w:rPr>
              <w:rFonts w:asciiTheme="minorHAnsi" w:eastAsiaTheme="minorEastAsia" w:hAnsiTheme="minorHAnsi" w:cstheme="minorBidi"/>
              <w:noProof/>
            </w:rPr>
          </w:pPr>
          <w:hyperlink w:anchor="_Toc222409643" w:history="1">
            <w:r w:rsidR="00B21459" w:rsidRPr="00B21459">
              <w:rPr>
                <w:rStyle w:val="Hipervnculo"/>
                <w:bCs/>
                <w:noProof/>
              </w:rPr>
              <w:t>I. Presentación de la solicitud de información</w:t>
            </w:r>
            <w:r w:rsidR="00B21459" w:rsidRPr="00B21459">
              <w:rPr>
                <w:noProof/>
                <w:webHidden/>
              </w:rPr>
              <w:tab/>
            </w:r>
            <w:r w:rsidR="00B21459" w:rsidRPr="00B21459">
              <w:rPr>
                <w:noProof/>
                <w:webHidden/>
              </w:rPr>
              <w:fldChar w:fldCharType="begin"/>
            </w:r>
            <w:r w:rsidR="00B21459" w:rsidRPr="00B21459">
              <w:rPr>
                <w:noProof/>
                <w:webHidden/>
              </w:rPr>
              <w:instrText xml:space="preserve"> PAGEREF _Toc222409643 \h </w:instrText>
            </w:r>
            <w:r w:rsidR="00B21459" w:rsidRPr="00B21459">
              <w:rPr>
                <w:noProof/>
                <w:webHidden/>
              </w:rPr>
            </w:r>
            <w:r w:rsidR="00B21459" w:rsidRPr="00B21459">
              <w:rPr>
                <w:noProof/>
                <w:webHidden/>
              </w:rPr>
              <w:fldChar w:fldCharType="separate"/>
            </w:r>
            <w:r w:rsidR="007F2B37">
              <w:rPr>
                <w:noProof/>
                <w:webHidden/>
              </w:rPr>
              <w:t>2</w:t>
            </w:r>
            <w:r w:rsidR="00B21459" w:rsidRPr="00B21459">
              <w:rPr>
                <w:noProof/>
                <w:webHidden/>
              </w:rPr>
              <w:fldChar w:fldCharType="end"/>
            </w:r>
          </w:hyperlink>
        </w:p>
        <w:p w14:paraId="0C02A588" w14:textId="77777777" w:rsidR="00B21459" w:rsidRPr="00B21459" w:rsidRDefault="00D17914">
          <w:pPr>
            <w:pStyle w:val="TDC2"/>
            <w:tabs>
              <w:tab w:val="right" w:leader="dot" w:pos="8921"/>
            </w:tabs>
            <w:rPr>
              <w:rFonts w:asciiTheme="minorHAnsi" w:eastAsiaTheme="minorEastAsia" w:hAnsiTheme="minorHAnsi" w:cstheme="minorBidi"/>
              <w:noProof/>
            </w:rPr>
          </w:pPr>
          <w:hyperlink w:anchor="_Toc222409644" w:history="1">
            <w:r w:rsidR="00B21459" w:rsidRPr="00B21459">
              <w:rPr>
                <w:rStyle w:val="Hipervnculo"/>
                <w:bCs/>
                <w:noProof/>
              </w:rPr>
              <w:t>II. Respuesta del Sujeto Obligado</w:t>
            </w:r>
            <w:r w:rsidR="00B21459" w:rsidRPr="00B21459">
              <w:rPr>
                <w:noProof/>
                <w:webHidden/>
              </w:rPr>
              <w:tab/>
            </w:r>
            <w:r w:rsidR="00B21459" w:rsidRPr="00B21459">
              <w:rPr>
                <w:noProof/>
                <w:webHidden/>
              </w:rPr>
              <w:fldChar w:fldCharType="begin"/>
            </w:r>
            <w:r w:rsidR="00B21459" w:rsidRPr="00B21459">
              <w:rPr>
                <w:noProof/>
                <w:webHidden/>
              </w:rPr>
              <w:instrText xml:space="preserve"> PAGEREF _Toc222409644 \h </w:instrText>
            </w:r>
            <w:r w:rsidR="00B21459" w:rsidRPr="00B21459">
              <w:rPr>
                <w:noProof/>
                <w:webHidden/>
              </w:rPr>
            </w:r>
            <w:r w:rsidR="00B21459" w:rsidRPr="00B21459">
              <w:rPr>
                <w:noProof/>
                <w:webHidden/>
              </w:rPr>
              <w:fldChar w:fldCharType="separate"/>
            </w:r>
            <w:r w:rsidR="007F2B37">
              <w:rPr>
                <w:noProof/>
                <w:webHidden/>
              </w:rPr>
              <w:t>3</w:t>
            </w:r>
            <w:r w:rsidR="00B21459" w:rsidRPr="00B21459">
              <w:rPr>
                <w:noProof/>
                <w:webHidden/>
              </w:rPr>
              <w:fldChar w:fldCharType="end"/>
            </w:r>
          </w:hyperlink>
        </w:p>
        <w:p w14:paraId="5C950415" w14:textId="77777777" w:rsidR="00B21459" w:rsidRPr="00B21459" w:rsidRDefault="00D17914">
          <w:pPr>
            <w:pStyle w:val="TDC2"/>
            <w:tabs>
              <w:tab w:val="right" w:leader="dot" w:pos="8921"/>
            </w:tabs>
            <w:rPr>
              <w:rFonts w:asciiTheme="minorHAnsi" w:eastAsiaTheme="minorEastAsia" w:hAnsiTheme="minorHAnsi" w:cstheme="minorBidi"/>
              <w:noProof/>
            </w:rPr>
          </w:pPr>
          <w:hyperlink w:anchor="_Toc222409645" w:history="1">
            <w:r w:rsidR="00B21459" w:rsidRPr="00B21459">
              <w:rPr>
                <w:rStyle w:val="Hipervnculo"/>
                <w:bCs/>
                <w:noProof/>
              </w:rPr>
              <w:t>III. Interposición del Recurso de Revisión</w:t>
            </w:r>
            <w:r w:rsidR="00B21459" w:rsidRPr="00B21459">
              <w:rPr>
                <w:noProof/>
                <w:webHidden/>
              </w:rPr>
              <w:tab/>
            </w:r>
            <w:r w:rsidR="00B21459" w:rsidRPr="00B21459">
              <w:rPr>
                <w:noProof/>
                <w:webHidden/>
              </w:rPr>
              <w:fldChar w:fldCharType="begin"/>
            </w:r>
            <w:r w:rsidR="00B21459" w:rsidRPr="00B21459">
              <w:rPr>
                <w:noProof/>
                <w:webHidden/>
              </w:rPr>
              <w:instrText xml:space="preserve"> PAGEREF _Toc222409645 \h </w:instrText>
            </w:r>
            <w:r w:rsidR="00B21459" w:rsidRPr="00B21459">
              <w:rPr>
                <w:noProof/>
                <w:webHidden/>
              </w:rPr>
            </w:r>
            <w:r w:rsidR="00B21459" w:rsidRPr="00B21459">
              <w:rPr>
                <w:noProof/>
                <w:webHidden/>
              </w:rPr>
              <w:fldChar w:fldCharType="separate"/>
            </w:r>
            <w:r w:rsidR="007F2B37">
              <w:rPr>
                <w:noProof/>
                <w:webHidden/>
              </w:rPr>
              <w:t>4</w:t>
            </w:r>
            <w:r w:rsidR="00B21459" w:rsidRPr="00B21459">
              <w:rPr>
                <w:noProof/>
                <w:webHidden/>
              </w:rPr>
              <w:fldChar w:fldCharType="end"/>
            </w:r>
          </w:hyperlink>
        </w:p>
        <w:p w14:paraId="5BCA83E0" w14:textId="77777777" w:rsidR="00B21459" w:rsidRPr="00B21459" w:rsidRDefault="00D17914">
          <w:pPr>
            <w:pStyle w:val="TDC2"/>
            <w:tabs>
              <w:tab w:val="right" w:leader="dot" w:pos="8921"/>
            </w:tabs>
            <w:rPr>
              <w:rFonts w:asciiTheme="minorHAnsi" w:eastAsiaTheme="minorEastAsia" w:hAnsiTheme="minorHAnsi" w:cstheme="minorBidi"/>
              <w:noProof/>
            </w:rPr>
          </w:pPr>
          <w:hyperlink w:anchor="_Toc222409646" w:history="1">
            <w:r w:rsidR="00B21459" w:rsidRPr="00B21459">
              <w:rPr>
                <w:rStyle w:val="Hipervnculo"/>
                <w:bCs/>
                <w:noProof/>
              </w:rPr>
              <w:t>IV. Trámite del Recurso de Revisión ante este Instituto</w:t>
            </w:r>
            <w:r w:rsidR="00B21459" w:rsidRPr="00B21459">
              <w:rPr>
                <w:noProof/>
                <w:webHidden/>
              </w:rPr>
              <w:tab/>
            </w:r>
            <w:r w:rsidR="00B21459" w:rsidRPr="00B21459">
              <w:rPr>
                <w:noProof/>
                <w:webHidden/>
              </w:rPr>
              <w:fldChar w:fldCharType="begin"/>
            </w:r>
            <w:r w:rsidR="00B21459" w:rsidRPr="00B21459">
              <w:rPr>
                <w:noProof/>
                <w:webHidden/>
              </w:rPr>
              <w:instrText xml:space="preserve"> PAGEREF _Toc222409646 \h </w:instrText>
            </w:r>
            <w:r w:rsidR="00B21459" w:rsidRPr="00B21459">
              <w:rPr>
                <w:noProof/>
                <w:webHidden/>
              </w:rPr>
            </w:r>
            <w:r w:rsidR="00B21459" w:rsidRPr="00B21459">
              <w:rPr>
                <w:noProof/>
                <w:webHidden/>
              </w:rPr>
              <w:fldChar w:fldCharType="separate"/>
            </w:r>
            <w:r w:rsidR="007F2B37">
              <w:rPr>
                <w:noProof/>
                <w:webHidden/>
              </w:rPr>
              <w:t>4</w:t>
            </w:r>
            <w:r w:rsidR="00B21459" w:rsidRPr="00B21459">
              <w:rPr>
                <w:noProof/>
                <w:webHidden/>
              </w:rPr>
              <w:fldChar w:fldCharType="end"/>
            </w:r>
          </w:hyperlink>
        </w:p>
        <w:p w14:paraId="033217F2" w14:textId="77777777" w:rsidR="00B21459" w:rsidRPr="00B21459" w:rsidRDefault="00D17914">
          <w:pPr>
            <w:pStyle w:val="TDC1"/>
            <w:tabs>
              <w:tab w:val="right" w:leader="dot" w:pos="8921"/>
            </w:tabs>
            <w:rPr>
              <w:rFonts w:asciiTheme="minorHAnsi" w:eastAsiaTheme="minorEastAsia" w:hAnsiTheme="minorHAnsi" w:cstheme="minorBidi"/>
              <w:noProof/>
            </w:rPr>
          </w:pPr>
          <w:hyperlink w:anchor="_Toc222409647" w:history="1">
            <w:r w:rsidR="00B21459" w:rsidRPr="00B21459">
              <w:rPr>
                <w:rStyle w:val="Hipervnculo"/>
                <w:bCs/>
                <w:noProof/>
              </w:rPr>
              <w:t>C O N S I D E R A N D O S</w:t>
            </w:r>
            <w:r w:rsidR="00B21459" w:rsidRPr="00B21459">
              <w:rPr>
                <w:noProof/>
                <w:webHidden/>
              </w:rPr>
              <w:tab/>
            </w:r>
            <w:r w:rsidR="00B21459" w:rsidRPr="00B21459">
              <w:rPr>
                <w:noProof/>
                <w:webHidden/>
              </w:rPr>
              <w:fldChar w:fldCharType="begin"/>
            </w:r>
            <w:r w:rsidR="00B21459" w:rsidRPr="00B21459">
              <w:rPr>
                <w:noProof/>
                <w:webHidden/>
              </w:rPr>
              <w:instrText xml:space="preserve"> PAGEREF _Toc222409647 \h </w:instrText>
            </w:r>
            <w:r w:rsidR="00B21459" w:rsidRPr="00B21459">
              <w:rPr>
                <w:noProof/>
                <w:webHidden/>
              </w:rPr>
            </w:r>
            <w:r w:rsidR="00B21459" w:rsidRPr="00B21459">
              <w:rPr>
                <w:noProof/>
                <w:webHidden/>
              </w:rPr>
              <w:fldChar w:fldCharType="separate"/>
            </w:r>
            <w:r w:rsidR="007F2B37">
              <w:rPr>
                <w:noProof/>
                <w:webHidden/>
              </w:rPr>
              <w:t>6</w:t>
            </w:r>
            <w:r w:rsidR="00B21459" w:rsidRPr="00B21459">
              <w:rPr>
                <w:noProof/>
                <w:webHidden/>
              </w:rPr>
              <w:fldChar w:fldCharType="end"/>
            </w:r>
          </w:hyperlink>
        </w:p>
        <w:p w14:paraId="33CD6426" w14:textId="77777777" w:rsidR="00B21459" w:rsidRPr="00B21459" w:rsidRDefault="00D17914">
          <w:pPr>
            <w:pStyle w:val="TDC2"/>
            <w:tabs>
              <w:tab w:val="right" w:leader="dot" w:pos="8921"/>
            </w:tabs>
            <w:rPr>
              <w:rFonts w:asciiTheme="minorHAnsi" w:eastAsiaTheme="minorEastAsia" w:hAnsiTheme="minorHAnsi" w:cstheme="minorBidi"/>
              <w:noProof/>
            </w:rPr>
          </w:pPr>
          <w:hyperlink w:anchor="_Toc222409648" w:history="1">
            <w:r w:rsidR="00B21459" w:rsidRPr="00B21459">
              <w:rPr>
                <w:rStyle w:val="Hipervnculo"/>
                <w:bCs/>
                <w:noProof/>
              </w:rPr>
              <w:t>PRIMERO. Competencia</w:t>
            </w:r>
            <w:r w:rsidR="00B21459" w:rsidRPr="00B21459">
              <w:rPr>
                <w:noProof/>
                <w:webHidden/>
              </w:rPr>
              <w:tab/>
            </w:r>
            <w:r w:rsidR="00B21459" w:rsidRPr="00B21459">
              <w:rPr>
                <w:noProof/>
                <w:webHidden/>
              </w:rPr>
              <w:fldChar w:fldCharType="begin"/>
            </w:r>
            <w:r w:rsidR="00B21459" w:rsidRPr="00B21459">
              <w:rPr>
                <w:noProof/>
                <w:webHidden/>
              </w:rPr>
              <w:instrText xml:space="preserve"> PAGEREF _Toc222409648 \h </w:instrText>
            </w:r>
            <w:r w:rsidR="00B21459" w:rsidRPr="00B21459">
              <w:rPr>
                <w:noProof/>
                <w:webHidden/>
              </w:rPr>
            </w:r>
            <w:r w:rsidR="00B21459" w:rsidRPr="00B21459">
              <w:rPr>
                <w:noProof/>
                <w:webHidden/>
              </w:rPr>
              <w:fldChar w:fldCharType="separate"/>
            </w:r>
            <w:r w:rsidR="007F2B37">
              <w:rPr>
                <w:noProof/>
                <w:webHidden/>
              </w:rPr>
              <w:t>6</w:t>
            </w:r>
            <w:r w:rsidR="00B21459" w:rsidRPr="00B21459">
              <w:rPr>
                <w:noProof/>
                <w:webHidden/>
              </w:rPr>
              <w:fldChar w:fldCharType="end"/>
            </w:r>
          </w:hyperlink>
        </w:p>
        <w:p w14:paraId="6987D95A" w14:textId="77777777" w:rsidR="00B21459" w:rsidRPr="00B21459" w:rsidRDefault="00D17914">
          <w:pPr>
            <w:pStyle w:val="TDC2"/>
            <w:tabs>
              <w:tab w:val="right" w:leader="dot" w:pos="8921"/>
            </w:tabs>
            <w:rPr>
              <w:rFonts w:asciiTheme="minorHAnsi" w:eastAsiaTheme="minorEastAsia" w:hAnsiTheme="minorHAnsi" w:cstheme="minorBidi"/>
              <w:noProof/>
            </w:rPr>
          </w:pPr>
          <w:hyperlink w:anchor="_Toc222409649" w:history="1">
            <w:r w:rsidR="00B21459" w:rsidRPr="00B21459">
              <w:rPr>
                <w:rStyle w:val="Hipervnculo"/>
                <w:bCs/>
                <w:noProof/>
              </w:rPr>
              <w:t>SEGUNDO. Causales de improcedencia y sobreseimiento</w:t>
            </w:r>
            <w:r w:rsidR="00B21459" w:rsidRPr="00B21459">
              <w:rPr>
                <w:noProof/>
                <w:webHidden/>
              </w:rPr>
              <w:tab/>
            </w:r>
            <w:r w:rsidR="00B21459" w:rsidRPr="00B21459">
              <w:rPr>
                <w:noProof/>
                <w:webHidden/>
              </w:rPr>
              <w:fldChar w:fldCharType="begin"/>
            </w:r>
            <w:r w:rsidR="00B21459" w:rsidRPr="00B21459">
              <w:rPr>
                <w:noProof/>
                <w:webHidden/>
              </w:rPr>
              <w:instrText xml:space="preserve"> PAGEREF _Toc222409649 \h </w:instrText>
            </w:r>
            <w:r w:rsidR="00B21459" w:rsidRPr="00B21459">
              <w:rPr>
                <w:noProof/>
                <w:webHidden/>
              </w:rPr>
            </w:r>
            <w:r w:rsidR="00B21459" w:rsidRPr="00B21459">
              <w:rPr>
                <w:noProof/>
                <w:webHidden/>
              </w:rPr>
              <w:fldChar w:fldCharType="separate"/>
            </w:r>
            <w:r w:rsidR="007F2B37">
              <w:rPr>
                <w:noProof/>
                <w:webHidden/>
              </w:rPr>
              <w:t>7</w:t>
            </w:r>
            <w:r w:rsidR="00B21459" w:rsidRPr="00B21459">
              <w:rPr>
                <w:noProof/>
                <w:webHidden/>
              </w:rPr>
              <w:fldChar w:fldCharType="end"/>
            </w:r>
          </w:hyperlink>
        </w:p>
        <w:p w14:paraId="1BAA307B" w14:textId="77777777" w:rsidR="00B21459" w:rsidRPr="00B21459" w:rsidRDefault="00D17914">
          <w:pPr>
            <w:pStyle w:val="TDC2"/>
            <w:tabs>
              <w:tab w:val="right" w:leader="dot" w:pos="8921"/>
            </w:tabs>
            <w:rPr>
              <w:rFonts w:asciiTheme="minorHAnsi" w:eastAsiaTheme="minorEastAsia" w:hAnsiTheme="minorHAnsi" w:cstheme="minorBidi"/>
              <w:noProof/>
            </w:rPr>
          </w:pPr>
          <w:hyperlink w:anchor="_Toc222409650" w:history="1">
            <w:r w:rsidR="00B21459" w:rsidRPr="00B21459">
              <w:rPr>
                <w:rStyle w:val="Hipervnculo"/>
                <w:bCs/>
                <w:noProof/>
              </w:rPr>
              <w:t>TERCERO. Determinación de la Controversia</w:t>
            </w:r>
            <w:r w:rsidR="00B21459" w:rsidRPr="00B21459">
              <w:rPr>
                <w:noProof/>
                <w:webHidden/>
              </w:rPr>
              <w:tab/>
            </w:r>
            <w:r w:rsidR="00B21459" w:rsidRPr="00B21459">
              <w:rPr>
                <w:noProof/>
                <w:webHidden/>
              </w:rPr>
              <w:fldChar w:fldCharType="begin"/>
            </w:r>
            <w:r w:rsidR="00B21459" w:rsidRPr="00B21459">
              <w:rPr>
                <w:noProof/>
                <w:webHidden/>
              </w:rPr>
              <w:instrText xml:space="preserve"> PAGEREF _Toc222409650 \h </w:instrText>
            </w:r>
            <w:r w:rsidR="00B21459" w:rsidRPr="00B21459">
              <w:rPr>
                <w:noProof/>
                <w:webHidden/>
              </w:rPr>
            </w:r>
            <w:r w:rsidR="00B21459" w:rsidRPr="00B21459">
              <w:rPr>
                <w:noProof/>
                <w:webHidden/>
              </w:rPr>
              <w:fldChar w:fldCharType="separate"/>
            </w:r>
            <w:r w:rsidR="007F2B37">
              <w:rPr>
                <w:noProof/>
                <w:webHidden/>
              </w:rPr>
              <w:t>8</w:t>
            </w:r>
            <w:r w:rsidR="00B21459" w:rsidRPr="00B21459">
              <w:rPr>
                <w:noProof/>
                <w:webHidden/>
              </w:rPr>
              <w:fldChar w:fldCharType="end"/>
            </w:r>
          </w:hyperlink>
        </w:p>
        <w:p w14:paraId="6B12AFE7" w14:textId="77777777" w:rsidR="00B21459" w:rsidRPr="00B21459" w:rsidRDefault="00D17914">
          <w:pPr>
            <w:pStyle w:val="TDC2"/>
            <w:tabs>
              <w:tab w:val="right" w:leader="dot" w:pos="8921"/>
            </w:tabs>
            <w:rPr>
              <w:rFonts w:asciiTheme="minorHAnsi" w:eastAsiaTheme="minorEastAsia" w:hAnsiTheme="minorHAnsi" w:cstheme="minorBidi"/>
              <w:noProof/>
            </w:rPr>
          </w:pPr>
          <w:hyperlink w:anchor="_Toc222409651" w:history="1">
            <w:r w:rsidR="00B21459" w:rsidRPr="00B21459">
              <w:rPr>
                <w:rStyle w:val="Hipervnculo"/>
                <w:bCs/>
                <w:noProof/>
              </w:rPr>
              <w:t>CUARTO. Marco normativo aplicable en materia de transparencia y acceso a la información pública</w:t>
            </w:r>
            <w:r w:rsidR="00B21459" w:rsidRPr="00B21459">
              <w:rPr>
                <w:noProof/>
                <w:webHidden/>
              </w:rPr>
              <w:tab/>
            </w:r>
            <w:r w:rsidR="00B21459" w:rsidRPr="00B21459">
              <w:rPr>
                <w:noProof/>
                <w:webHidden/>
              </w:rPr>
              <w:fldChar w:fldCharType="begin"/>
            </w:r>
            <w:r w:rsidR="00B21459" w:rsidRPr="00B21459">
              <w:rPr>
                <w:noProof/>
                <w:webHidden/>
              </w:rPr>
              <w:instrText xml:space="preserve"> PAGEREF _Toc222409651 \h </w:instrText>
            </w:r>
            <w:r w:rsidR="00B21459" w:rsidRPr="00B21459">
              <w:rPr>
                <w:noProof/>
                <w:webHidden/>
              </w:rPr>
            </w:r>
            <w:r w:rsidR="00B21459" w:rsidRPr="00B21459">
              <w:rPr>
                <w:noProof/>
                <w:webHidden/>
              </w:rPr>
              <w:fldChar w:fldCharType="separate"/>
            </w:r>
            <w:r w:rsidR="007F2B37">
              <w:rPr>
                <w:noProof/>
                <w:webHidden/>
              </w:rPr>
              <w:t>9</w:t>
            </w:r>
            <w:r w:rsidR="00B21459" w:rsidRPr="00B21459">
              <w:rPr>
                <w:noProof/>
                <w:webHidden/>
              </w:rPr>
              <w:fldChar w:fldCharType="end"/>
            </w:r>
          </w:hyperlink>
        </w:p>
        <w:p w14:paraId="46F32D39" w14:textId="77777777" w:rsidR="00B21459" w:rsidRPr="00B21459" w:rsidRDefault="00D17914">
          <w:pPr>
            <w:pStyle w:val="TDC2"/>
            <w:tabs>
              <w:tab w:val="right" w:leader="dot" w:pos="8921"/>
            </w:tabs>
            <w:rPr>
              <w:rFonts w:asciiTheme="minorHAnsi" w:eastAsiaTheme="minorEastAsia" w:hAnsiTheme="minorHAnsi" w:cstheme="minorBidi"/>
              <w:noProof/>
            </w:rPr>
          </w:pPr>
          <w:hyperlink w:anchor="_Toc222409652" w:history="1">
            <w:r w:rsidR="00B21459" w:rsidRPr="00B21459">
              <w:rPr>
                <w:rStyle w:val="Hipervnculo"/>
                <w:bCs/>
                <w:noProof/>
              </w:rPr>
              <w:t>QUINTO. Estudio de Fondo</w:t>
            </w:r>
            <w:r w:rsidR="00B21459" w:rsidRPr="00B21459">
              <w:rPr>
                <w:noProof/>
                <w:webHidden/>
              </w:rPr>
              <w:tab/>
            </w:r>
            <w:r w:rsidR="00B21459" w:rsidRPr="00B21459">
              <w:rPr>
                <w:noProof/>
                <w:webHidden/>
              </w:rPr>
              <w:fldChar w:fldCharType="begin"/>
            </w:r>
            <w:r w:rsidR="00B21459" w:rsidRPr="00B21459">
              <w:rPr>
                <w:noProof/>
                <w:webHidden/>
              </w:rPr>
              <w:instrText xml:space="preserve"> PAGEREF _Toc222409652 \h </w:instrText>
            </w:r>
            <w:r w:rsidR="00B21459" w:rsidRPr="00B21459">
              <w:rPr>
                <w:noProof/>
                <w:webHidden/>
              </w:rPr>
            </w:r>
            <w:r w:rsidR="00B21459" w:rsidRPr="00B21459">
              <w:rPr>
                <w:noProof/>
                <w:webHidden/>
              </w:rPr>
              <w:fldChar w:fldCharType="separate"/>
            </w:r>
            <w:r w:rsidR="007F2B37">
              <w:rPr>
                <w:noProof/>
                <w:webHidden/>
              </w:rPr>
              <w:t>10</w:t>
            </w:r>
            <w:r w:rsidR="00B21459" w:rsidRPr="00B21459">
              <w:rPr>
                <w:noProof/>
                <w:webHidden/>
              </w:rPr>
              <w:fldChar w:fldCharType="end"/>
            </w:r>
          </w:hyperlink>
        </w:p>
        <w:p w14:paraId="7A1ACABB" w14:textId="77777777" w:rsidR="00B21459" w:rsidRPr="00B21459" w:rsidRDefault="00D17914">
          <w:pPr>
            <w:pStyle w:val="TDC2"/>
            <w:tabs>
              <w:tab w:val="right" w:leader="dot" w:pos="8921"/>
            </w:tabs>
            <w:rPr>
              <w:rFonts w:asciiTheme="minorHAnsi" w:eastAsiaTheme="minorEastAsia" w:hAnsiTheme="minorHAnsi" w:cstheme="minorBidi"/>
              <w:noProof/>
            </w:rPr>
          </w:pPr>
          <w:hyperlink w:anchor="_Toc222409653" w:history="1">
            <w:r w:rsidR="00B21459" w:rsidRPr="00B21459">
              <w:rPr>
                <w:rStyle w:val="Hipervnculo"/>
                <w:noProof/>
              </w:rPr>
              <w:t>SEXTO. Decisión</w:t>
            </w:r>
            <w:r w:rsidR="00B21459" w:rsidRPr="00B21459">
              <w:rPr>
                <w:noProof/>
                <w:webHidden/>
              </w:rPr>
              <w:tab/>
            </w:r>
            <w:r w:rsidR="00B21459" w:rsidRPr="00B21459">
              <w:rPr>
                <w:noProof/>
                <w:webHidden/>
              </w:rPr>
              <w:fldChar w:fldCharType="begin"/>
            </w:r>
            <w:r w:rsidR="00B21459" w:rsidRPr="00B21459">
              <w:rPr>
                <w:noProof/>
                <w:webHidden/>
              </w:rPr>
              <w:instrText xml:space="preserve"> PAGEREF _Toc222409653 \h </w:instrText>
            </w:r>
            <w:r w:rsidR="00B21459" w:rsidRPr="00B21459">
              <w:rPr>
                <w:noProof/>
                <w:webHidden/>
              </w:rPr>
            </w:r>
            <w:r w:rsidR="00B21459" w:rsidRPr="00B21459">
              <w:rPr>
                <w:noProof/>
                <w:webHidden/>
              </w:rPr>
              <w:fldChar w:fldCharType="separate"/>
            </w:r>
            <w:r w:rsidR="007F2B37">
              <w:rPr>
                <w:noProof/>
                <w:webHidden/>
              </w:rPr>
              <w:t>16</w:t>
            </w:r>
            <w:r w:rsidR="00B21459" w:rsidRPr="00B21459">
              <w:rPr>
                <w:noProof/>
                <w:webHidden/>
              </w:rPr>
              <w:fldChar w:fldCharType="end"/>
            </w:r>
          </w:hyperlink>
        </w:p>
        <w:p w14:paraId="70E05EC4" w14:textId="77777777" w:rsidR="00B21459" w:rsidRPr="00B21459" w:rsidRDefault="00D17914">
          <w:pPr>
            <w:pStyle w:val="TDC1"/>
            <w:tabs>
              <w:tab w:val="right" w:leader="dot" w:pos="8921"/>
            </w:tabs>
            <w:rPr>
              <w:rFonts w:asciiTheme="minorHAnsi" w:eastAsiaTheme="minorEastAsia" w:hAnsiTheme="minorHAnsi" w:cstheme="minorBidi"/>
              <w:noProof/>
            </w:rPr>
          </w:pPr>
          <w:hyperlink w:anchor="_Toc222409654" w:history="1">
            <w:r w:rsidR="00B21459" w:rsidRPr="00B21459">
              <w:rPr>
                <w:rStyle w:val="Hipervnculo"/>
                <w:bCs/>
                <w:noProof/>
              </w:rPr>
              <w:t>R E S U E L V E</w:t>
            </w:r>
            <w:r w:rsidR="00B21459" w:rsidRPr="00B21459">
              <w:rPr>
                <w:noProof/>
                <w:webHidden/>
              </w:rPr>
              <w:tab/>
            </w:r>
            <w:r w:rsidR="00B21459" w:rsidRPr="00B21459">
              <w:rPr>
                <w:noProof/>
                <w:webHidden/>
              </w:rPr>
              <w:fldChar w:fldCharType="begin"/>
            </w:r>
            <w:r w:rsidR="00B21459" w:rsidRPr="00B21459">
              <w:rPr>
                <w:noProof/>
                <w:webHidden/>
              </w:rPr>
              <w:instrText xml:space="preserve"> PAGEREF _Toc222409654 \h </w:instrText>
            </w:r>
            <w:r w:rsidR="00B21459" w:rsidRPr="00B21459">
              <w:rPr>
                <w:noProof/>
                <w:webHidden/>
              </w:rPr>
            </w:r>
            <w:r w:rsidR="00B21459" w:rsidRPr="00B21459">
              <w:rPr>
                <w:noProof/>
                <w:webHidden/>
              </w:rPr>
              <w:fldChar w:fldCharType="separate"/>
            </w:r>
            <w:r w:rsidR="007F2B37">
              <w:rPr>
                <w:noProof/>
                <w:webHidden/>
              </w:rPr>
              <w:t>17</w:t>
            </w:r>
            <w:r w:rsidR="00B21459" w:rsidRPr="00B21459">
              <w:rPr>
                <w:noProof/>
                <w:webHidden/>
              </w:rPr>
              <w:fldChar w:fldCharType="end"/>
            </w:r>
          </w:hyperlink>
        </w:p>
        <w:p w14:paraId="5D61AF6A" w14:textId="1FC16668" w:rsidR="00B553C4" w:rsidRDefault="00B553C4">
          <w:r w:rsidRPr="00B21459">
            <w:rPr>
              <w:bCs/>
              <w:lang w:val="es-ES"/>
            </w:rPr>
            <w:fldChar w:fldCharType="end"/>
          </w:r>
        </w:p>
      </w:sdtContent>
    </w:sdt>
    <w:p w14:paraId="11D6C7F4" w14:textId="77777777" w:rsidR="00117FC4" w:rsidRDefault="00117FC4">
      <w:pPr>
        <w:tabs>
          <w:tab w:val="left" w:pos="8931"/>
        </w:tabs>
        <w:spacing w:after="0" w:line="360" w:lineRule="auto"/>
      </w:pPr>
    </w:p>
    <w:p w14:paraId="7164C5E2" w14:textId="77777777" w:rsidR="00B553C4" w:rsidRDefault="00B553C4">
      <w:pPr>
        <w:tabs>
          <w:tab w:val="left" w:pos="8931"/>
        </w:tabs>
        <w:spacing w:after="0" w:line="360" w:lineRule="auto"/>
      </w:pPr>
    </w:p>
    <w:p w14:paraId="42085B86" w14:textId="77777777" w:rsidR="00B553C4" w:rsidRDefault="00B553C4">
      <w:pPr>
        <w:tabs>
          <w:tab w:val="left" w:pos="8931"/>
        </w:tabs>
        <w:spacing w:after="0" w:line="360" w:lineRule="auto"/>
      </w:pPr>
    </w:p>
    <w:p w14:paraId="55ABF739" w14:textId="77777777" w:rsidR="00B553C4" w:rsidRDefault="00B553C4">
      <w:pPr>
        <w:tabs>
          <w:tab w:val="left" w:pos="8931"/>
        </w:tabs>
        <w:spacing w:after="0" w:line="360" w:lineRule="auto"/>
      </w:pPr>
    </w:p>
    <w:p w14:paraId="413833DA" w14:textId="77777777" w:rsidR="00B553C4" w:rsidRDefault="00B553C4">
      <w:pPr>
        <w:tabs>
          <w:tab w:val="left" w:pos="8931"/>
        </w:tabs>
        <w:spacing w:after="0" w:line="360" w:lineRule="auto"/>
      </w:pPr>
    </w:p>
    <w:p w14:paraId="1ABE9B57" w14:textId="77777777" w:rsidR="00117FC4" w:rsidRDefault="00117FC4">
      <w:pPr>
        <w:tabs>
          <w:tab w:val="left" w:pos="8931"/>
        </w:tabs>
        <w:spacing w:after="0" w:line="360" w:lineRule="auto"/>
        <w:rPr>
          <w:b/>
          <w:bCs/>
        </w:rPr>
      </w:pPr>
    </w:p>
    <w:p w14:paraId="0DFEE1A2" w14:textId="77777777" w:rsidR="00117FC4" w:rsidRDefault="00115752">
      <w:pPr>
        <w:tabs>
          <w:tab w:val="left" w:pos="8931"/>
        </w:tabs>
        <w:spacing w:after="0" w:line="360" w:lineRule="auto"/>
      </w:pPr>
      <w:r>
        <w:t xml:space="preserve">Resolución del Pleno del Instituto de Transparencia, Acceso a la Información Pública y Protección de Datos Personales del Estado de México y Municipios, con domicilio en Metepec, Estado de México, de fecha dieciocho de febrero de dos mil veinticinco. </w:t>
      </w:r>
    </w:p>
    <w:p w14:paraId="0622B515" w14:textId="77777777" w:rsidR="00117FC4" w:rsidRDefault="00117FC4">
      <w:pPr>
        <w:spacing w:after="0" w:line="360" w:lineRule="auto"/>
        <w:rPr>
          <w:b/>
          <w:bCs/>
        </w:rPr>
      </w:pPr>
    </w:p>
    <w:p w14:paraId="7C89A710" w14:textId="77777777" w:rsidR="00117FC4" w:rsidRDefault="00115752">
      <w:pPr>
        <w:spacing w:after="0" w:line="360" w:lineRule="auto"/>
        <w:rPr>
          <w:color w:val="0D0D0D"/>
        </w:rPr>
      </w:pPr>
      <w:r>
        <w:rPr>
          <w:b/>
          <w:bCs/>
        </w:rPr>
        <w:t xml:space="preserve">VISTO </w:t>
      </w:r>
      <w:r>
        <w:t xml:space="preserve">el expediente conformado con motivo del Recurso de Revisión </w:t>
      </w:r>
      <w:r w:rsidRPr="004A6591">
        <w:rPr>
          <w:b/>
        </w:rPr>
        <w:t>12731/INFOEM/IP/RR/2025</w:t>
      </w:r>
      <w:r>
        <w:t>, interpuesto por la persona</w:t>
      </w:r>
      <w:r>
        <w:rPr>
          <w:color w:val="0D0D0D"/>
        </w:rPr>
        <w:t xml:space="preserve"> Recurrente o Particular, en contra de la respuesta del Sujeto Obligado, </w:t>
      </w:r>
      <w:r w:rsidRPr="004A6591">
        <w:rPr>
          <w:b/>
        </w:rPr>
        <w:t>Sistema Municipal para el Desarrollo Integral de la Familia Municipio de Atenco</w:t>
      </w:r>
      <w:r w:rsidRPr="004A6591">
        <w:rPr>
          <w:b/>
          <w:color w:val="0D0D0D"/>
        </w:rPr>
        <w:t>,</w:t>
      </w:r>
      <w:r>
        <w:rPr>
          <w:color w:val="0D0D0D"/>
        </w:rPr>
        <w:t xml:space="preserve"> a la solicitud de acceso a la información pública</w:t>
      </w:r>
      <w:r>
        <w:rPr>
          <w:color w:val="FF0000"/>
        </w:rPr>
        <w:t> </w:t>
      </w:r>
      <w:r>
        <w:t>00072/DIFATENCO/IP/2025</w:t>
      </w:r>
      <w:r>
        <w:rPr>
          <w:color w:val="0D0D0D"/>
        </w:rPr>
        <w:t>, se emite la presente Resolución, con base en los Antecedentes y Considerandos que se exponen a continuación:</w:t>
      </w:r>
    </w:p>
    <w:p w14:paraId="47DB191B" w14:textId="77777777" w:rsidR="00117FC4" w:rsidRDefault="00117FC4">
      <w:pPr>
        <w:spacing w:after="0" w:line="360" w:lineRule="auto"/>
        <w:rPr>
          <w:b/>
          <w:bCs/>
        </w:rPr>
      </w:pPr>
    </w:p>
    <w:p w14:paraId="3B5F0A3C" w14:textId="77777777" w:rsidR="00117FC4" w:rsidRDefault="00115752">
      <w:pPr>
        <w:pStyle w:val="Ttulo1"/>
        <w:spacing w:before="0" w:line="360" w:lineRule="auto"/>
        <w:jc w:val="center"/>
        <w:rPr>
          <w:rFonts w:ascii="Palatino Linotype" w:eastAsia="Palatino Linotype" w:hAnsi="Palatino Linotype" w:cs="Palatino Linotype"/>
          <w:b/>
          <w:bCs/>
          <w:color w:val="000000"/>
          <w:sz w:val="22"/>
          <w:szCs w:val="22"/>
        </w:rPr>
      </w:pPr>
      <w:bookmarkStart w:id="0" w:name="_heading=h.qrq183ujcwt0" w:colFirst="0" w:colLast="0"/>
      <w:bookmarkStart w:id="1" w:name="_Toc222409642"/>
      <w:bookmarkEnd w:id="0"/>
      <w:r>
        <w:rPr>
          <w:rFonts w:ascii="Palatino Linotype" w:eastAsia="Palatino Linotype" w:hAnsi="Palatino Linotype" w:cs="Palatino Linotype"/>
          <w:b/>
          <w:bCs/>
          <w:color w:val="000000"/>
          <w:sz w:val="22"/>
          <w:szCs w:val="22"/>
        </w:rPr>
        <w:t>A N T E C E D E N T E S</w:t>
      </w:r>
      <w:bookmarkEnd w:id="1"/>
    </w:p>
    <w:p w14:paraId="48186914" w14:textId="77777777" w:rsidR="00117FC4" w:rsidRDefault="00117FC4">
      <w:pPr>
        <w:spacing w:after="0" w:line="360" w:lineRule="auto"/>
      </w:pPr>
    </w:p>
    <w:p w14:paraId="6B83F077" w14:textId="77777777" w:rsidR="00117FC4" w:rsidRDefault="00115752">
      <w:pPr>
        <w:pStyle w:val="Ttulo2"/>
        <w:spacing w:before="0" w:line="360" w:lineRule="auto"/>
        <w:rPr>
          <w:rFonts w:ascii="Palatino Linotype" w:eastAsia="Palatino Linotype" w:hAnsi="Palatino Linotype" w:cs="Palatino Linotype"/>
          <w:b/>
          <w:bCs/>
          <w:color w:val="000000"/>
          <w:sz w:val="22"/>
          <w:szCs w:val="22"/>
        </w:rPr>
      </w:pPr>
      <w:bookmarkStart w:id="2" w:name="_heading=h.k805ny1hy0nm" w:colFirst="0" w:colLast="0"/>
      <w:bookmarkStart w:id="3" w:name="_Toc222409643"/>
      <w:bookmarkEnd w:id="2"/>
      <w:r>
        <w:rPr>
          <w:rFonts w:ascii="Palatino Linotype" w:eastAsia="Palatino Linotype" w:hAnsi="Palatino Linotype" w:cs="Palatino Linotype"/>
          <w:b/>
          <w:bCs/>
          <w:color w:val="000000"/>
          <w:sz w:val="22"/>
          <w:szCs w:val="22"/>
        </w:rPr>
        <w:t>I. Presentación de la solicitud de información</w:t>
      </w:r>
      <w:bookmarkEnd w:id="3"/>
    </w:p>
    <w:p w14:paraId="3FACFB05" w14:textId="77777777" w:rsidR="00117FC4" w:rsidRDefault="00117FC4">
      <w:pPr>
        <w:spacing w:after="0" w:line="360" w:lineRule="auto"/>
      </w:pPr>
    </w:p>
    <w:p w14:paraId="6A26B6F8" w14:textId="77777777" w:rsidR="00117FC4" w:rsidRDefault="00115752">
      <w:pPr>
        <w:spacing w:after="0" w:line="360" w:lineRule="auto"/>
      </w:pPr>
      <w:r>
        <w:t>El veintinueve de septiembre de dos mil veinticinco, se presentó una solicitud de información por la persona Recurrente, a través del Sistema de Acceso a la Información Mexiquense (SAIMEX),</w:t>
      </w:r>
      <w:r>
        <w:rPr>
          <w:b/>
          <w:bCs/>
        </w:rPr>
        <w:t xml:space="preserve"> </w:t>
      </w:r>
      <w:r>
        <w:t>ante el Sistema Municipal para el Desarrollo Integral de la Familia Municipio de Atenco, en los términos siguientes:</w:t>
      </w:r>
    </w:p>
    <w:p w14:paraId="6A464539" w14:textId="77777777" w:rsidR="00117FC4" w:rsidRDefault="00117FC4">
      <w:pPr>
        <w:spacing w:after="0" w:line="360" w:lineRule="auto"/>
      </w:pPr>
    </w:p>
    <w:p w14:paraId="24DA8296" w14:textId="77777777" w:rsidR="00117FC4" w:rsidRDefault="00115752">
      <w:pPr>
        <w:tabs>
          <w:tab w:val="left" w:pos="4667"/>
        </w:tabs>
        <w:spacing w:after="0" w:line="360" w:lineRule="auto"/>
        <w:ind w:left="567" w:right="567"/>
        <w:rPr>
          <w:b/>
          <w:bCs/>
          <w:i/>
          <w:iCs/>
          <w:sz w:val="20"/>
          <w:szCs w:val="20"/>
        </w:rPr>
      </w:pPr>
      <w:r>
        <w:rPr>
          <w:b/>
          <w:bCs/>
          <w:i/>
          <w:iCs/>
          <w:sz w:val="20"/>
          <w:szCs w:val="20"/>
        </w:rPr>
        <w:t>DESCRIPCIÓN CLARA Y PRECISA DE LA INFORMACIÓN SOLICITADA</w:t>
      </w:r>
    </w:p>
    <w:p w14:paraId="6DD07707" w14:textId="77777777" w:rsidR="00117FC4" w:rsidRDefault="00115752">
      <w:pPr>
        <w:spacing w:after="0" w:line="360" w:lineRule="auto"/>
        <w:ind w:left="567" w:right="567"/>
        <w:rPr>
          <w:i/>
          <w:iCs/>
          <w:sz w:val="20"/>
          <w:szCs w:val="20"/>
        </w:rPr>
      </w:pPr>
      <w:proofErr w:type="gramStart"/>
      <w:r>
        <w:rPr>
          <w:i/>
          <w:iCs/>
          <w:sz w:val="20"/>
          <w:szCs w:val="20"/>
        </w:rPr>
        <w:t>solicito</w:t>
      </w:r>
      <w:proofErr w:type="gramEnd"/>
      <w:r>
        <w:rPr>
          <w:i/>
          <w:iCs/>
          <w:sz w:val="20"/>
          <w:szCs w:val="20"/>
        </w:rPr>
        <w:t xml:space="preserve"> el </w:t>
      </w:r>
      <w:proofErr w:type="spellStart"/>
      <w:r>
        <w:rPr>
          <w:i/>
          <w:iCs/>
          <w:sz w:val="20"/>
          <w:szCs w:val="20"/>
        </w:rPr>
        <w:t>catalogo</w:t>
      </w:r>
      <w:proofErr w:type="spellEnd"/>
      <w:r>
        <w:rPr>
          <w:i/>
          <w:iCs/>
          <w:sz w:val="20"/>
          <w:szCs w:val="20"/>
        </w:rPr>
        <w:t xml:space="preserve"> de cuenta del ejercicio fiscal 2025.” (Sic.)</w:t>
      </w:r>
    </w:p>
    <w:p w14:paraId="71732CC5" w14:textId="77777777" w:rsidR="00117FC4" w:rsidRDefault="00117FC4">
      <w:pPr>
        <w:spacing w:after="0" w:line="360" w:lineRule="auto"/>
        <w:ind w:left="567" w:right="567"/>
        <w:rPr>
          <w:i/>
          <w:iCs/>
          <w:color w:val="000000"/>
          <w:sz w:val="20"/>
          <w:szCs w:val="20"/>
        </w:rPr>
      </w:pPr>
    </w:p>
    <w:p w14:paraId="6A896AB0" w14:textId="77777777" w:rsidR="00117FC4" w:rsidRDefault="00115752">
      <w:pPr>
        <w:tabs>
          <w:tab w:val="left" w:pos="4667"/>
        </w:tabs>
        <w:spacing w:after="0" w:line="360" w:lineRule="auto"/>
        <w:ind w:left="567" w:right="567"/>
        <w:rPr>
          <w:b/>
          <w:bCs/>
          <w:i/>
          <w:iCs/>
          <w:color w:val="000000"/>
          <w:sz w:val="20"/>
          <w:szCs w:val="20"/>
        </w:rPr>
      </w:pPr>
      <w:bookmarkStart w:id="4" w:name="_heading=h.12ktdqxp23sc" w:colFirst="0" w:colLast="0"/>
      <w:bookmarkEnd w:id="4"/>
      <w:r>
        <w:rPr>
          <w:b/>
          <w:bCs/>
          <w:i/>
          <w:iCs/>
          <w:color w:val="000000"/>
          <w:sz w:val="20"/>
          <w:szCs w:val="20"/>
        </w:rPr>
        <w:t>MODALIDAD DE ENTREGA</w:t>
      </w:r>
    </w:p>
    <w:p w14:paraId="34CEDC26" w14:textId="77777777" w:rsidR="00117FC4" w:rsidRDefault="00115752">
      <w:pPr>
        <w:tabs>
          <w:tab w:val="left" w:pos="4667"/>
        </w:tabs>
        <w:spacing w:after="0" w:line="360" w:lineRule="auto"/>
        <w:ind w:left="567" w:right="567"/>
        <w:rPr>
          <w:i/>
          <w:iCs/>
          <w:color w:val="000000"/>
          <w:sz w:val="20"/>
          <w:szCs w:val="20"/>
        </w:rPr>
      </w:pPr>
      <w:r>
        <w:rPr>
          <w:i/>
          <w:iCs/>
          <w:color w:val="000000"/>
          <w:sz w:val="20"/>
          <w:szCs w:val="20"/>
        </w:rPr>
        <w:lastRenderedPageBreak/>
        <w:t>A través del SAIMEX”</w:t>
      </w:r>
    </w:p>
    <w:p w14:paraId="7EE05B18" w14:textId="77777777" w:rsidR="00117FC4" w:rsidRDefault="00117FC4">
      <w:pPr>
        <w:tabs>
          <w:tab w:val="left" w:pos="4667"/>
        </w:tabs>
        <w:spacing w:after="0" w:line="360" w:lineRule="auto"/>
        <w:ind w:right="567"/>
        <w:rPr>
          <w:b/>
          <w:bCs/>
          <w:color w:val="000000"/>
        </w:rPr>
      </w:pPr>
    </w:p>
    <w:p w14:paraId="001397E4" w14:textId="77777777" w:rsidR="00117FC4" w:rsidRPr="00B553C4" w:rsidRDefault="00115752" w:rsidP="00B553C4">
      <w:pPr>
        <w:pStyle w:val="Ttulo2"/>
        <w:spacing w:before="0" w:line="360" w:lineRule="auto"/>
        <w:rPr>
          <w:rFonts w:ascii="Palatino Linotype" w:eastAsia="Palatino Linotype" w:hAnsi="Palatino Linotype" w:cs="Palatino Linotype"/>
          <w:b/>
          <w:bCs/>
          <w:color w:val="auto"/>
          <w:sz w:val="22"/>
          <w:szCs w:val="22"/>
        </w:rPr>
      </w:pPr>
      <w:bookmarkStart w:id="5" w:name="_heading=h.2pmhyv1zwm9" w:colFirst="0" w:colLast="0"/>
      <w:bookmarkStart w:id="6" w:name="_Toc222409644"/>
      <w:bookmarkEnd w:id="5"/>
      <w:r w:rsidRPr="00B553C4">
        <w:rPr>
          <w:rFonts w:ascii="Palatino Linotype" w:eastAsia="Palatino Linotype" w:hAnsi="Palatino Linotype" w:cs="Palatino Linotype"/>
          <w:b/>
          <w:bCs/>
          <w:color w:val="auto"/>
          <w:sz w:val="22"/>
          <w:szCs w:val="22"/>
        </w:rPr>
        <w:t>II. Respuesta del Sujeto Obligado</w:t>
      </w:r>
      <w:bookmarkEnd w:id="6"/>
    </w:p>
    <w:p w14:paraId="0AB6B629" w14:textId="77777777" w:rsidR="00117FC4" w:rsidRDefault="00117FC4">
      <w:pPr>
        <w:tabs>
          <w:tab w:val="left" w:pos="4667"/>
        </w:tabs>
        <w:spacing w:after="0" w:line="360" w:lineRule="auto"/>
        <w:ind w:right="567"/>
        <w:rPr>
          <w:b/>
          <w:bCs/>
          <w:color w:val="000000"/>
        </w:rPr>
      </w:pPr>
    </w:p>
    <w:p w14:paraId="1E76FC71" w14:textId="77777777" w:rsidR="00117FC4" w:rsidRDefault="00115752">
      <w:pPr>
        <w:spacing w:after="0" w:line="360" w:lineRule="auto"/>
        <w:rPr>
          <w:color w:val="000000"/>
        </w:rPr>
      </w:pPr>
      <w:bookmarkStart w:id="7" w:name="_heading=h.gixjtjy63si9" w:colFirst="0" w:colLast="0"/>
      <w:bookmarkEnd w:id="7"/>
      <w:r>
        <w:rPr>
          <w:color w:val="000000"/>
        </w:rPr>
        <w:t>El dieciséis de octubre de dos mil veinticinco, el Sujeto Obligado notificó al Particular, mediante el Sistema de Acceso a la Información Mexiquense (SAIMEX), la respuesta a la solicitud de acceso a la información, a través de la digitalización de los documentos siguientes:</w:t>
      </w:r>
    </w:p>
    <w:p w14:paraId="55BF4F5D" w14:textId="77777777" w:rsidR="00117FC4" w:rsidRDefault="00117FC4">
      <w:pPr>
        <w:spacing w:after="0" w:line="360" w:lineRule="auto"/>
        <w:rPr>
          <w:color w:val="000000"/>
        </w:rPr>
      </w:pPr>
    </w:p>
    <w:p w14:paraId="27548205" w14:textId="77777777" w:rsidR="00117FC4" w:rsidRDefault="00115752">
      <w:pPr>
        <w:spacing w:after="0" w:line="360" w:lineRule="auto"/>
        <w:rPr>
          <w:color w:val="000000"/>
        </w:rPr>
      </w:pPr>
      <w:r>
        <w:rPr>
          <w:color w:val="000000"/>
        </w:rPr>
        <w:t>i. Oficio número SMDIF/ATE/UT/0110/2025, del seis de octubre de dos mil veinticinco, suscrito por la Titular de la Unidad de Transparencia y dirigido al Tesorero, por medio del cual solicita la respuesta a la solicitud de información.</w:t>
      </w:r>
    </w:p>
    <w:p w14:paraId="700CCE7C" w14:textId="77777777" w:rsidR="00117FC4" w:rsidRDefault="00117FC4">
      <w:pPr>
        <w:spacing w:after="0" w:line="360" w:lineRule="auto"/>
        <w:rPr>
          <w:color w:val="000000"/>
        </w:rPr>
      </w:pPr>
    </w:p>
    <w:p w14:paraId="365A4EA1" w14:textId="77777777" w:rsidR="00117FC4" w:rsidRDefault="00115752">
      <w:pPr>
        <w:spacing w:after="0" w:line="360" w:lineRule="auto"/>
        <w:rPr>
          <w:color w:val="000000"/>
        </w:rPr>
      </w:pPr>
      <w:r>
        <w:rPr>
          <w:color w:val="000000"/>
        </w:rPr>
        <w:t>ii. Oficio sin número, del dieciséis de octubre de dos mil veinticinco, suscrito por la Titular de la Unidad de Transparencia y dirigido a la persona Solicitante, por medio del cual precisa que remite la respuesta otorgada por el Tesorero del Organismo Público Descentralizado.</w:t>
      </w:r>
    </w:p>
    <w:p w14:paraId="41873966" w14:textId="77777777" w:rsidR="00117FC4" w:rsidRDefault="00117FC4">
      <w:pPr>
        <w:spacing w:after="0" w:line="360" w:lineRule="auto"/>
        <w:rPr>
          <w:color w:val="000000"/>
        </w:rPr>
      </w:pPr>
    </w:p>
    <w:p w14:paraId="7BB1DFC2" w14:textId="77777777" w:rsidR="00117FC4" w:rsidRDefault="00115752">
      <w:pPr>
        <w:spacing w:after="0" w:line="360" w:lineRule="auto"/>
        <w:rPr>
          <w:color w:val="000000"/>
        </w:rPr>
      </w:pPr>
      <w:r>
        <w:rPr>
          <w:color w:val="000000"/>
        </w:rPr>
        <w:t>iii. Oficio número SMDIFA/TES/070/2025, del diez de octubre de dos mil veinticinco, suscrito por el Tesorero y dirigido a la Titular de la Unidad de Transparencia, por medio del cual señala lo siguiente:</w:t>
      </w:r>
    </w:p>
    <w:p w14:paraId="71E21048" w14:textId="77777777" w:rsidR="00117FC4" w:rsidRDefault="00117FC4">
      <w:pPr>
        <w:spacing w:after="0" w:line="360" w:lineRule="auto"/>
        <w:rPr>
          <w:color w:val="000000"/>
        </w:rPr>
      </w:pPr>
    </w:p>
    <w:p w14:paraId="08978F46" w14:textId="77777777" w:rsidR="00117FC4" w:rsidRDefault="00115752">
      <w:pPr>
        <w:spacing w:after="0" w:line="360" w:lineRule="auto"/>
        <w:ind w:left="567" w:right="567"/>
        <w:rPr>
          <w:i/>
          <w:iCs/>
          <w:color w:val="000000"/>
          <w:sz w:val="20"/>
          <w:szCs w:val="20"/>
        </w:rPr>
      </w:pPr>
      <w:r>
        <w:rPr>
          <w:i/>
          <w:iCs/>
          <w:color w:val="000000"/>
          <w:sz w:val="20"/>
          <w:szCs w:val="20"/>
        </w:rPr>
        <w:t>“… Por lo anterior y la información solicitada expongo el listado de cuentas específicas, se encuentra publicadas en el Manual Único de Contabilidad Gubernamental para los entes públicos del gobierno y municipios del Estado de México 2025 …”</w:t>
      </w:r>
    </w:p>
    <w:p w14:paraId="3960204F" w14:textId="77777777" w:rsidR="00117FC4" w:rsidRDefault="00117FC4">
      <w:pPr>
        <w:spacing w:after="0" w:line="360" w:lineRule="auto"/>
        <w:ind w:left="567" w:right="567"/>
        <w:rPr>
          <w:i/>
          <w:iCs/>
          <w:color w:val="000000"/>
          <w:sz w:val="20"/>
          <w:szCs w:val="20"/>
        </w:rPr>
      </w:pPr>
    </w:p>
    <w:p w14:paraId="37C45329" w14:textId="77777777" w:rsidR="00117FC4" w:rsidRDefault="00117FC4">
      <w:pPr>
        <w:spacing w:after="0" w:line="360" w:lineRule="auto"/>
        <w:ind w:left="567" w:right="567"/>
        <w:rPr>
          <w:i/>
          <w:iCs/>
          <w:color w:val="000000"/>
          <w:sz w:val="20"/>
          <w:szCs w:val="20"/>
        </w:rPr>
      </w:pPr>
    </w:p>
    <w:p w14:paraId="01B72B48" w14:textId="77777777" w:rsidR="00117FC4" w:rsidRDefault="00115752">
      <w:pPr>
        <w:pStyle w:val="Ttulo2"/>
        <w:spacing w:before="0" w:line="360" w:lineRule="auto"/>
        <w:rPr>
          <w:rFonts w:ascii="Palatino Linotype" w:eastAsia="Palatino Linotype" w:hAnsi="Palatino Linotype" w:cs="Palatino Linotype"/>
          <w:b/>
          <w:bCs/>
          <w:color w:val="000000"/>
          <w:sz w:val="22"/>
          <w:szCs w:val="22"/>
        </w:rPr>
      </w:pPr>
      <w:bookmarkStart w:id="8" w:name="_heading=h.1u6avjksk6f2" w:colFirst="0" w:colLast="0"/>
      <w:bookmarkStart w:id="9" w:name="_Toc222409645"/>
      <w:bookmarkEnd w:id="8"/>
      <w:r>
        <w:rPr>
          <w:rFonts w:ascii="Palatino Linotype" w:eastAsia="Palatino Linotype" w:hAnsi="Palatino Linotype" w:cs="Palatino Linotype"/>
          <w:b/>
          <w:bCs/>
          <w:color w:val="000000"/>
          <w:sz w:val="22"/>
          <w:szCs w:val="22"/>
        </w:rPr>
        <w:t>III. Interposición del Recurso de Revisión</w:t>
      </w:r>
      <w:bookmarkEnd w:id="9"/>
    </w:p>
    <w:p w14:paraId="6B042565" w14:textId="77777777" w:rsidR="00117FC4" w:rsidRDefault="00117FC4">
      <w:pPr>
        <w:spacing w:after="0" w:line="360" w:lineRule="auto"/>
        <w:rPr>
          <w:color w:val="000000"/>
        </w:rPr>
      </w:pPr>
    </w:p>
    <w:p w14:paraId="191B9566" w14:textId="77777777" w:rsidR="00117FC4" w:rsidRDefault="00115752">
      <w:pPr>
        <w:spacing w:after="0" w:line="360" w:lineRule="auto"/>
        <w:rPr>
          <w:color w:val="000000"/>
        </w:rPr>
      </w:pPr>
      <w:r>
        <w:rPr>
          <w:color w:val="000000"/>
        </w:rPr>
        <w:t>El cuatro de noviembre de dos mil veinticinco, se recibió en este Instituto, a través del Sistema de Acceso a la Información Mexiquense (SAIMEX), el Recurso de Revisión interpuesto por la persona Recurrente, en contra de la respuesta del Sujeto Obligado,</w:t>
      </w:r>
      <w:r>
        <w:rPr>
          <w:b/>
          <w:bCs/>
        </w:rPr>
        <w:t xml:space="preserve"> </w:t>
      </w:r>
      <w:r>
        <w:rPr>
          <w:color w:val="000000"/>
        </w:rPr>
        <w:t>en los siguientes términos:</w:t>
      </w:r>
    </w:p>
    <w:p w14:paraId="523F1E47" w14:textId="77777777" w:rsidR="00117FC4" w:rsidRDefault="00117FC4">
      <w:pPr>
        <w:spacing w:after="0" w:line="360" w:lineRule="auto"/>
        <w:rPr>
          <w:color w:val="000000"/>
        </w:rPr>
      </w:pPr>
    </w:p>
    <w:p w14:paraId="5A797AC9" w14:textId="77777777" w:rsidR="00117FC4" w:rsidRDefault="00115752">
      <w:pPr>
        <w:spacing w:after="0" w:line="360" w:lineRule="auto"/>
        <w:ind w:left="567" w:right="567"/>
        <w:rPr>
          <w:b/>
          <w:bCs/>
          <w:i/>
          <w:iCs/>
          <w:color w:val="000000"/>
          <w:sz w:val="20"/>
          <w:szCs w:val="20"/>
        </w:rPr>
      </w:pPr>
      <w:r>
        <w:rPr>
          <w:b/>
          <w:bCs/>
          <w:i/>
          <w:iCs/>
          <w:color w:val="000000"/>
          <w:sz w:val="20"/>
          <w:szCs w:val="20"/>
        </w:rPr>
        <w:t>ACTO IMPUGNADO</w:t>
      </w:r>
    </w:p>
    <w:p w14:paraId="01684791" w14:textId="77777777" w:rsidR="00117FC4" w:rsidRDefault="00115752">
      <w:pPr>
        <w:spacing w:after="0" w:line="360" w:lineRule="auto"/>
        <w:ind w:left="567" w:right="567"/>
        <w:rPr>
          <w:i/>
          <w:iCs/>
          <w:color w:val="000000"/>
          <w:sz w:val="20"/>
          <w:szCs w:val="20"/>
        </w:rPr>
      </w:pPr>
      <w:r>
        <w:rPr>
          <w:i/>
          <w:iCs/>
          <w:color w:val="000000"/>
          <w:sz w:val="20"/>
          <w:szCs w:val="20"/>
        </w:rPr>
        <w:t>LA INFORMACION NO CORRESPONDE CON LO SOLICITADO” (Sic.)</w:t>
      </w:r>
    </w:p>
    <w:p w14:paraId="188E3149" w14:textId="77777777" w:rsidR="00117FC4" w:rsidRDefault="00117FC4">
      <w:pPr>
        <w:spacing w:after="0" w:line="360" w:lineRule="auto"/>
        <w:ind w:left="567" w:right="567"/>
        <w:rPr>
          <w:i/>
          <w:iCs/>
          <w:color w:val="000000"/>
          <w:sz w:val="20"/>
          <w:szCs w:val="20"/>
        </w:rPr>
      </w:pPr>
    </w:p>
    <w:p w14:paraId="22058C6C" w14:textId="77777777" w:rsidR="00117FC4" w:rsidRDefault="00115752">
      <w:pPr>
        <w:spacing w:after="0" w:line="360" w:lineRule="auto"/>
        <w:ind w:left="567" w:right="567"/>
        <w:rPr>
          <w:b/>
          <w:bCs/>
          <w:i/>
          <w:iCs/>
          <w:color w:val="000000"/>
          <w:sz w:val="20"/>
          <w:szCs w:val="20"/>
        </w:rPr>
      </w:pPr>
      <w:r>
        <w:rPr>
          <w:b/>
          <w:bCs/>
          <w:i/>
          <w:iCs/>
          <w:color w:val="000000"/>
          <w:sz w:val="20"/>
          <w:szCs w:val="20"/>
        </w:rPr>
        <w:t>RAZONES O MOTIVOS DE LA INCONFORMIDAD</w:t>
      </w:r>
    </w:p>
    <w:p w14:paraId="49E8D47A" w14:textId="77777777" w:rsidR="00117FC4" w:rsidRDefault="00115752">
      <w:pPr>
        <w:spacing w:after="0" w:line="360" w:lineRule="auto"/>
        <w:ind w:left="567" w:right="567"/>
        <w:rPr>
          <w:i/>
          <w:iCs/>
          <w:color w:val="000000"/>
          <w:sz w:val="20"/>
          <w:szCs w:val="20"/>
        </w:rPr>
      </w:pPr>
      <w:r>
        <w:rPr>
          <w:i/>
          <w:iCs/>
          <w:color w:val="000000"/>
          <w:sz w:val="20"/>
          <w:szCs w:val="20"/>
        </w:rPr>
        <w:t>EL CATALOGO DE CUENTAS SE ENTREGA AL OSFEM COMO UNA OBLIGATORIEDAD Y SE ENCUENTRA EN LOS ARCHIVOS GENERADOS POR EL SUJETO OBLIGADO. MISMO QUE DEBE SER INTEGRADO POR CADA INSTITUCION GUBERNAMENTAL DEACUERDO A SU NATURALEZA DE CADA INSTITUCION.”</w:t>
      </w:r>
    </w:p>
    <w:p w14:paraId="042C2839" w14:textId="77777777" w:rsidR="00117FC4" w:rsidRDefault="00117FC4">
      <w:pPr>
        <w:spacing w:after="0" w:line="360" w:lineRule="auto"/>
        <w:ind w:left="567" w:right="567"/>
        <w:rPr>
          <w:i/>
          <w:iCs/>
          <w:color w:val="000000"/>
          <w:sz w:val="20"/>
          <w:szCs w:val="20"/>
        </w:rPr>
      </w:pPr>
    </w:p>
    <w:p w14:paraId="2D0FD10D" w14:textId="77777777" w:rsidR="00117FC4" w:rsidRDefault="00115752">
      <w:pPr>
        <w:spacing w:after="0" w:line="360" w:lineRule="auto"/>
        <w:ind w:right="567"/>
        <w:rPr>
          <w:i/>
          <w:iCs/>
          <w:color w:val="000000"/>
          <w:sz w:val="20"/>
          <w:szCs w:val="20"/>
        </w:rPr>
      </w:pPr>
      <w:r>
        <w:rPr>
          <w:color w:val="000000"/>
        </w:rPr>
        <w:t>-El Recurrente digitalizo un PDF denominado “Catalogo de Cuentas”, el cual consta de 2 fojas correspondientes a los documentos de apoyo emitido por el OSFEM, en el cual se logra vislumbrar el catálogo de cuentas.</w:t>
      </w:r>
      <w:r>
        <w:rPr>
          <w:i/>
          <w:iCs/>
          <w:color w:val="000000"/>
          <w:sz w:val="20"/>
          <w:szCs w:val="20"/>
        </w:rPr>
        <w:t xml:space="preserve"> </w:t>
      </w:r>
    </w:p>
    <w:p w14:paraId="52D397FE" w14:textId="77777777" w:rsidR="00117FC4" w:rsidRDefault="00117FC4">
      <w:pPr>
        <w:spacing w:after="0" w:line="360" w:lineRule="auto"/>
        <w:rPr>
          <w:b/>
          <w:bCs/>
          <w:color w:val="000000"/>
        </w:rPr>
      </w:pPr>
    </w:p>
    <w:p w14:paraId="1A7AD4ED" w14:textId="77777777" w:rsidR="00117FC4" w:rsidRDefault="00115752">
      <w:pPr>
        <w:pStyle w:val="Ttulo2"/>
        <w:spacing w:before="0" w:line="360" w:lineRule="auto"/>
        <w:rPr>
          <w:rFonts w:ascii="Palatino Linotype" w:eastAsia="Palatino Linotype" w:hAnsi="Palatino Linotype" w:cs="Palatino Linotype"/>
          <w:b/>
          <w:bCs/>
          <w:color w:val="000000"/>
          <w:sz w:val="22"/>
          <w:szCs w:val="22"/>
        </w:rPr>
      </w:pPr>
      <w:bookmarkStart w:id="10" w:name="_heading=h.s9nm8js07xau" w:colFirst="0" w:colLast="0"/>
      <w:bookmarkStart w:id="11" w:name="_Toc222409646"/>
      <w:bookmarkEnd w:id="10"/>
      <w:r>
        <w:rPr>
          <w:rFonts w:ascii="Palatino Linotype" w:eastAsia="Palatino Linotype" w:hAnsi="Palatino Linotype" w:cs="Palatino Linotype"/>
          <w:b/>
          <w:bCs/>
          <w:color w:val="000000"/>
          <w:sz w:val="22"/>
          <w:szCs w:val="22"/>
        </w:rPr>
        <w:t>IV. Trámite del Recurso de Revisión ante este Instituto</w:t>
      </w:r>
      <w:bookmarkEnd w:id="11"/>
    </w:p>
    <w:p w14:paraId="75473FEB" w14:textId="77777777" w:rsidR="00117FC4" w:rsidRDefault="00117FC4">
      <w:pPr>
        <w:spacing w:after="0" w:line="360" w:lineRule="auto"/>
        <w:rPr>
          <w:color w:val="000000"/>
        </w:rPr>
      </w:pPr>
    </w:p>
    <w:p w14:paraId="496C0093" w14:textId="77777777" w:rsidR="00117FC4" w:rsidRDefault="00115752">
      <w:pPr>
        <w:spacing w:after="0" w:line="360" w:lineRule="auto"/>
        <w:rPr>
          <w:b/>
          <w:bCs/>
          <w:color w:val="000000"/>
        </w:rPr>
      </w:pPr>
      <w:r>
        <w:rPr>
          <w:b/>
          <w:bCs/>
          <w:color w:val="000000"/>
        </w:rPr>
        <w:t xml:space="preserve">a) Turno del Medio de Impugnación. </w:t>
      </w:r>
      <w:r>
        <w:rPr>
          <w:color w:val="000000"/>
        </w:rPr>
        <w:t>El cuatro de noviembre de dos mil veinticinco, el Sistema de Acceso a la Información Mexiquense (SAIMEX), asignó el número de expediente</w:t>
      </w:r>
      <w:r>
        <w:t xml:space="preserve"> </w:t>
      </w:r>
      <w:r>
        <w:rPr>
          <w:b/>
          <w:bCs/>
        </w:rPr>
        <w:t>12731/INFOEM/IP/RR/2025</w:t>
      </w:r>
      <w:r>
        <w:rPr>
          <w:color w:val="000000"/>
        </w:rPr>
        <w:t xml:space="preserve">, al Medio de Impugnación que nos ocupa, con base en el sistema </w:t>
      </w:r>
      <w:r>
        <w:rPr>
          <w:color w:val="000000"/>
        </w:rPr>
        <w:lastRenderedPageBreak/>
        <w:t>aprobado por el Pleno de este Organismo Garante y lo turnó al Comisionado Ponente Luis Gustavo Parra Noriega, para los efectos del artículo 185, fracción I de la Ley de Transparencia y Acceso a la Información Pública del Estado de México y Municipios.</w:t>
      </w:r>
    </w:p>
    <w:p w14:paraId="4F5ED7F3" w14:textId="77777777" w:rsidR="00117FC4" w:rsidRDefault="00117FC4">
      <w:pPr>
        <w:spacing w:after="0" w:line="360" w:lineRule="auto"/>
        <w:rPr>
          <w:color w:val="000000"/>
        </w:rPr>
      </w:pPr>
    </w:p>
    <w:p w14:paraId="048F693C" w14:textId="77777777" w:rsidR="00117FC4" w:rsidRDefault="00115752">
      <w:pPr>
        <w:spacing w:after="0" w:line="360" w:lineRule="auto"/>
        <w:rPr>
          <w:color w:val="000000"/>
        </w:rPr>
      </w:pPr>
      <w:r>
        <w:rPr>
          <w:b/>
          <w:bCs/>
          <w:color w:val="000000"/>
        </w:rPr>
        <w:t xml:space="preserve">b) Admisión del Recurso de Revisión. </w:t>
      </w:r>
      <w:r>
        <w:rPr>
          <w:color w:val="000000"/>
        </w:rPr>
        <w:t xml:space="preserve">El siete de noviembre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 </w:t>
      </w:r>
    </w:p>
    <w:p w14:paraId="0CC4E21D" w14:textId="77777777" w:rsidR="00117FC4" w:rsidRDefault="00117FC4">
      <w:pPr>
        <w:spacing w:after="0" w:line="360" w:lineRule="auto"/>
        <w:rPr>
          <w:color w:val="000000"/>
        </w:rPr>
      </w:pPr>
    </w:p>
    <w:p w14:paraId="782338AA" w14:textId="77777777" w:rsidR="00117FC4" w:rsidRDefault="00115752">
      <w:pPr>
        <w:spacing w:after="0" w:line="360" w:lineRule="auto"/>
      </w:pPr>
      <w:r>
        <w:rPr>
          <w:b/>
          <w:bCs/>
          <w:color w:val="000000"/>
        </w:rPr>
        <w:t xml:space="preserve">c) </w:t>
      </w:r>
      <w:r>
        <w:rPr>
          <w:b/>
          <w:bCs/>
        </w:rPr>
        <w:t xml:space="preserve">Informe Justificado o manifestaciones. </w:t>
      </w:r>
      <w:r>
        <w:t>Las partes fueron omisas en emitir manifestaciones o alegatos.</w:t>
      </w:r>
    </w:p>
    <w:p w14:paraId="7A41D28E" w14:textId="77777777" w:rsidR="00117FC4" w:rsidRDefault="00117FC4">
      <w:pPr>
        <w:spacing w:after="0" w:line="360" w:lineRule="auto"/>
      </w:pPr>
    </w:p>
    <w:p w14:paraId="4A379B14" w14:textId="77777777" w:rsidR="00117FC4" w:rsidRDefault="00115752">
      <w:pPr>
        <w:spacing w:after="0" w:line="360" w:lineRule="auto"/>
        <w:rPr>
          <w:b/>
          <w:bCs/>
          <w:color w:val="000000"/>
        </w:rPr>
      </w:pPr>
      <w:bookmarkStart w:id="12" w:name="_heading=h.hw45mv89qis7" w:colFirst="0" w:colLast="0"/>
      <w:bookmarkEnd w:id="12"/>
      <w:r>
        <w:rPr>
          <w:b/>
          <w:bCs/>
        </w:rPr>
        <w:t xml:space="preserve">d) Ampliación de plazo para resolver. </w:t>
      </w:r>
      <w:r>
        <w:t>El doce de febrero de dos mil veintiséis, el Comisionado Ponente, con fundamento en lo dispuesto por el artículo 181, párrafo tercero, de la Ley de Transparencia y Acceso a la Información Pública del Estado de México y Municipios, acordó ampliar por un plazo razonable, el plazo para resolver el Recurso de Revisión que nos ocupa; acto que fue notificado a las partes, mediante el Sistema de Acceso a la Información Mexiquense (SAIMEX).</w:t>
      </w:r>
    </w:p>
    <w:p w14:paraId="52453418" w14:textId="77777777" w:rsidR="00117FC4" w:rsidRDefault="00117FC4">
      <w:pPr>
        <w:widowControl w:val="0"/>
        <w:spacing w:after="0" w:line="360" w:lineRule="auto"/>
        <w:rPr>
          <w:b/>
          <w:bCs/>
          <w:color w:val="000000"/>
        </w:rPr>
      </w:pPr>
    </w:p>
    <w:p w14:paraId="43EC50CA" w14:textId="77777777" w:rsidR="00117FC4" w:rsidRDefault="00115752">
      <w:pPr>
        <w:widowControl w:val="0"/>
        <w:spacing w:after="0" w:line="360" w:lineRule="auto"/>
        <w:rPr>
          <w:color w:val="000000"/>
        </w:rPr>
      </w:pPr>
      <w:r>
        <w:rPr>
          <w:b/>
          <w:bCs/>
          <w:color w:val="000000"/>
        </w:rPr>
        <w:t>e) Cierre de instrucción.</w:t>
      </w:r>
      <w:r>
        <w:rPr>
          <w:color w:val="000000"/>
        </w:rPr>
        <w:t xml:space="preserve"> El doce de febrero de dos mil veintiséis, al no existir diligencias pendientes por desahogar, se emitió el acuerdo por medio del cual se declaró cerrada la instrucción y se determinó pasar los expedientes a resolución, en términos de lo dispuesto </w:t>
      </w:r>
      <w:r>
        <w:rPr>
          <w:color w:val="000000"/>
        </w:rPr>
        <w:lastRenderedPageBreak/>
        <w:t xml:space="preserve">en los artículos 185, fracciones VI y VIII, de la Ley de Transparencia y Acceso a la Información Pública del Estado de México y Municipios, mismo que fue notificado a las partes el  diez del mismo mes y año, a través del Sistema de Acceso a la Información Mexiquense (SAIMEX). </w:t>
      </w:r>
    </w:p>
    <w:p w14:paraId="5BE42794" w14:textId="77777777" w:rsidR="00117FC4" w:rsidRDefault="00117FC4">
      <w:pPr>
        <w:spacing w:after="0" w:line="360" w:lineRule="auto"/>
        <w:rPr>
          <w:color w:val="000000"/>
        </w:rPr>
      </w:pPr>
    </w:p>
    <w:p w14:paraId="5ACF3C92" w14:textId="77777777" w:rsidR="00117FC4" w:rsidRDefault="00115752">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14:paraId="5B5384C7" w14:textId="77777777" w:rsidR="00117FC4" w:rsidRDefault="00117FC4">
      <w:pPr>
        <w:spacing w:after="0" w:line="360" w:lineRule="auto"/>
        <w:rPr>
          <w:color w:val="000000"/>
        </w:rPr>
      </w:pPr>
    </w:p>
    <w:p w14:paraId="2E19BB08" w14:textId="77777777" w:rsidR="00117FC4" w:rsidRDefault="00115752">
      <w:pPr>
        <w:pStyle w:val="Ttulo1"/>
        <w:spacing w:before="0" w:line="360" w:lineRule="auto"/>
        <w:jc w:val="center"/>
        <w:rPr>
          <w:rFonts w:ascii="Palatino Linotype" w:eastAsia="Palatino Linotype" w:hAnsi="Palatino Linotype" w:cs="Palatino Linotype"/>
          <w:b/>
          <w:bCs/>
          <w:color w:val="000000"/>
          <w:sz w:val="22"/>
          <w:szCs w:val="22"/>
        </w:rPr>
      </w:pPr>
      <w:bookmarkStart w:id="13" w:name="_heading=h.pv6opevs8g9t" w:colFirst="0" w:colLast="0"/>
      <w:bookmarkStart w:id="14" w:name="_Toc222409647"/>
      <w:bookmarkEnd w:id="13"/>
      <w:r>
        <w:rPr>
          <w:rFonts w:ascii="Palatino Linotype" w:eastAsia="Palatino Linotype" w:hAnsi="Palatino Linotype" w:cs="Palatino Linotype"/>
          <w:b/>
          <w:bCs/>
          <w:color w:val="000000"/>
          <w:sz w:val="22"/>
          <w:szCs w:val="22"/>
        </w:rPr>
        <w:t>C O N S I D E R A N D O S</w:t>
      </w:r>
      <w:bookmarkEnd w:id="14"/>
    </w:p>
    <w:p w14:paraId="2C28FB99" w14:textId="77777777" w:rsidR="00117FC4" w:rsidRDefault="00117FC4">
      <w:pPr>
        <w:spacing w:after="0" w:line="360" w:lineRule="auto"/>
        <w:jc w:val="center"/>
        <w:rPr>
          <w:b/>
          <w:bCs/>
          <w:color w:val="000000"/>
        </w:rPr>
      </w:pPr>
    </w:p>
    <w:p w14:paraId="3B48E051" w14:textId="77777777" w:rsidR="00117FC4" w:rsidRDefault="00115752">
      <w:pPr>
        <w:pStyle w:val="Ttulo2"/>
        <w:spacing w:before="0" w:line="360" w:lineRule="auto"/>
        <w:rPr>
          <w:rFonts w:ascii="Palatino Linotype" w:eastAsia="Palatino Linotype" w:hAnsi="Palatino Linotype" w:cs="Palatino Linotype"/>
          <w:b/>
          <w:bCs/>
          <w:color w:val="000000"/>
          <w:sz w:val="22"/>
          <w:szCs w:val="22"/>
        </w:rPr>
      </w:pPr>
      <w:bookmarkStart w:id="15" w:name="_heading=h.r6oojwrvuqds" w:colFirst="0" w:colLast="0"/>
      <w:bookmarkStart w:id="16" w:name="_Toc222409648"/>
      <w:bookmarkEnd w:id="15"/>
      <w:r>
        <w:rPr>
          <w:rFonts w:ascii="Palatino Linotype" w:eastAsia="Palatino Linotype" w:hAnsi="Palatino Linotype" w:cs="Palatino Linotype"/>
          <w:b/>
          <w:bCs/>
          <w:color w:val="000000"/>
          <w:sz w:val="22"/>
          <w:szCs w:val="22"/>
        </w:rPr>
        <w:t>PRIMERO. Competencia</w:t>
      </w:r>
      <w:bookmarkEnd w:id="16"/>
    </w:p>
    <w:p w14:paraId="75D2650E" w14:textId="77777777" w:rsidR="00117FC4" w:rsidRDefault="00117FC4">
      <w:pPr>
        <w:spacing w:after="0" w:line="360" w:lineRule="auto"/>
        <w:rPr>
          <w:b/>
          <w:bCs/>
          <w:color w:val="000000"/>
        </w:rPr>
      </w:pPr>
    </w:p>
    <w:p w14:paraId="237BBDED" w14:textId="77777777" w:rsidR="00117FC4" w:rsidRDefault="00115752">
      <w:pPr>
        <w:spacing w:after="0" w:line="360" w:lineRule="auto"/>
        <w:rPr>
          <w:color w:val="000000"/>
        </w:rPr>
      </w:pPr>
      <w:r>
        <w:rPr>
          <w:color w:val="000000"/>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5D32000B" w14:textId="77777777" w:rsidR="00117FC4" w:rsidRDefault="00117FC4">
      <w:pPr>
        <w:spacing w:after="0" w:line="360" w:lineRule="auto"/>
        <w:rPr>
          <w:color w:val="000000"/>
        </w:rPr>
      </w:pPr>
    </w:p>
    <w:p w14:paraId="623882C1" w14:textId="77777777" w:rsidR="00117FC4" w:rsidRDefault="00115752">
      <w:pPr>
        <w:pStyle w:val="Ttulo2"/>
        <w:spacing w:before="0" w:line="360" w:lineRule="auto"/>
        <w:rPr>
          <w:rFonts w:ascii="Palatino Linotype" w:eastAsia="Palatino Linotype" w:hAnsi="Palatino Linotype" w:cs="Palatino Linotype"/>
          <w:b/>
          <w:bCs/>
          <w:color w:val="000000"/>
          <w:sz w:val="22"/>
          <w:szCs w:val="22"/>
        </w:rPr>
      </w:pPr>
      <w:bookmarkStart w:id="17" w:name="_heading=h.1vbhvz909m9j" w:colFirst="0" w:colLast="0"/>
      <w:bookmarkStart w:id="18" w:name="_Toc222409649"/>
      <w:bookmarkEnd w:id="17"/>
      <w:r>
        <w:rPr>
          <w:rFonts w:ascii="Palatino Linotype" w:eastAsia="Palatino Linotype" w:hAnsi="Palatino Linotype" w:cs="Palatino Linotype"/>
          <w:b/>
          <w:bCs/>
          <w:color w:val="000000"/>
          <w:sz w:val="22"/>
          <w:szCs w:val="22"/>
        </w:rPr>
        <w:lastRenderedPageBreak/>
        <w:t>SEGUNDO. Causales de improcedencia y sobreseimiento</w:t>
      </w:r>
      <w:bookmarkEnd w:id="18"/>
    </w:p>
    <w:p w14:paraId="2CFD215F" w14:textId="77777777" w:rsidR="00117FC4" w:rsidRDefault="00117FC4">
      <w:pPr>
        <w:spacing w:after="0" w:line="360" w:lineRule="auto"/>
        <w:rPr>
          <w:color w:val="000000"/>
        </w:rPr>
      </w:pPr>
    </w:p>
    <w:p w14:paraId="05F60BA3" w14:textId="77777777" w:rsidR="00117FC4" w:rsidRDefault="00115752">
      <w:pPr>
        <w:spacing w:after="0" w:line="360" w:lineRule="auto"/>
        <w:rPr>
          <w:color w:val="000000"/>
        </w:rPr>
      </w:pPr>
      <w:r>
        <w:rPr>
          <w:color w:val="000000"/>
        </w:rPr>
        <w:t xml:space="preserve">De las constancias que forma parte del Recurso de Revisión que se analiza, se advierte que previo al estudio del fondo de la </w:t>
      </w:r>
      <w:proofErr w:type="spellStart"/>
      <w:r>
        <w:rPr>
          <w:i/>
          <w:iCs/>
          <w:color w:val="000000"/>
        </w:rPr>
        <w:t>litis</w:t>
      </w:r>
      <w:proofErr w:type="spellEnd"/>
      <w:r>
        <w:rPr>
          <w:color w:val="000000"/>
        </w:rPr>
        <w:t>, es necesario estudiar las causales de improcedencia y sobreseimiento que se adviertan, para determinar lo que en Derecho proceda.</w:t>
      </w:r>
    </w:p>
    <w:p w14:paraId="4B2922B0" w14:textId="77777777" w:rsidR="00117FC4" w:rsidRDefault="00115752">
      <w:pPr>
        <w:spacing w:after="0" w:line="360" w:lineRule="auto"/>
        <w:rPr>
          <w:b/>
          <w:bCs/>
          <w:color w:val="000000"/>
        </w:rPr>
      </w:pPr>
      <w:r>
        <w:rPr>
          <w:b/>
          <w:bCs/>
        </w:rPr>
        <w:t>Causales de improcedencia</w:t>
      </w:r>
    </w:p>
    <w:p w14:paraId="042495CE" w14:textId="77777777" w:rsidR="00117FC4" w:rsidRDefault="00117FC4">
      <w:pPr>
        <w:spacing w:after="0" w:line="360" w:lineRule="auto"/>
      </w:pPr>
    </w:p>
    <w:p w14:paraId="0A93A77A" w14:textId="77777777" w:rsidR="00117FC4" w:rsidRDefault="00115752">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D8CAA2B" w14:textId="77777777" w:rsidR="00117FC4" w:rsidRDefault="00117FC4">
      <w:pPr>
        <w:spacing w:after="0" w:line="360" w:lineRule="auto"/>
        <w:rPr>
          <w:color w:val="000000"/>
        </w:rPr>
      </w:pPr>
    </w:p>
    <w:p w14:paraId="78690BF5" w14:textId="77777777" w:rsidR="00117FC4" w:rsidRDefault="00115752">
      <w:pPr>
        <w:spacing w:after="0" w:line="360" w:lineRule="auto"/>
        <w:rPr>
          <w:color w:val="000000"/>
        </w:rPr>
      </w:pPr>
      <w:r>
        <w:rPr>
          <w:color w:val="000000"/>
        </w:rPr>
        <w:t>En el presente caso, </w:t>
      </w:r>
      <w:r>
        <w:rPr>
          <w:b/>
          <w:bCs/>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70FCBC1F" w14:textId="77777777" w:rsidR="00117FC4" w:rsidRDefault="00117FC4">
      <w:pPr>
        <w:spacing w:after="0" w:line="360" w:lineRule="auto"/>
        <w:rPr>
          <w:color w:val="000000"/>
        </w:rPr>
      </w:pPr>
    </w:p>
    <w:p w14:paraId="2AC9F6DC" w14:textId="77777777" w:rsidR="00117FC4" w:rsidRDefault="00115752">
      <w:pPr>
        <w:spacing w:after="0" w:line="360" w:lineRule="auto"/>
        <w:rPr>
          <w:color w:val="000000"/>
        </w:rPr>
      </w:pPr>
      <w:r>
        <w:rPr>
          <w:color w:val="000000"/>
        </w:rPr>
        <w:lastRenderedPageBreak/>
        <w:t>Por lo cual, se actualiza la causal de procedencia de los Recursos de Revisión señaladas en el artículo 179, fracción VI, de la Ley en cita, pues la persona Recurrente se inconformó de la entrega de información que no corresponde con lo solicitado.</w:t>
      </w:r>
    </w:p>
    <w:p w14:paraId="21102AAB" w14:textId="77777777" w:rsidR="00117FC4" w:rsidRDefault="00117FC4">
      <w:pPr>
        <w:spacing w:after="0" w:line="360" w:lineRule="auto"/>
      </w:pPr>
    </w:p>
    <w:p w14:paraId="0441A64F" w14:textId="77777777" w:rsidR="00117FC4" w:rsidRDefault="00115752">
      <w:pPr>
        <w:spacing w:after="0" w:line="360" w:lineRule="auto"/>
        <w:rPr>
          <w:color w:val="000000"/>
        </w:rPr>
      </w:pPr>
      <w:r>
        <w:rPr>
          <w:b/>
          <w:bCs/>
          <w:color w:val="000000"/>
        </w:rPr>
        <w:t>Causales de sobreseimiento</w:t>
      </w:r>
    </w:p>
    <w:p w14:paraId="6595E36A" w14:textId="77777777" w:rsidR="00117FC4" w:rsidRDefault="00117FC4">
      <w:pPr>
        <w:spacing w:after="0" w:line="360" w:lineRule="auto"/>
        <w:rPr>
          <w:color w:val="000000"/>
        </w:rPr>
      </w:pPr>
    </w:p>
    <w:p w14:paraId="4242349F" w14:textId="77777777" w:rsidR="00117FC4" w:rsidRDefault="00115752">
      <w:pPr>
        <w:spacing w:after="0" w:line="360" w:lineRule="auto"/>
        <w:rPr>
          <w:color w:val="000000"/>
        </w:rPr>
      </w:pPr>
      <w:r>
        <w:rPr>
          <w:color w:val="000000"/>
        </w:rPr>
        <w:t>Por ser de previo y especial pronunciamiento, este Instituto analiza si se actualiza alguna causal de sobreseimiento.</w:t>
      </w:r>
    </w:p>
    <w:p w14:paraId="00E98CCF" w14:textId="77777777" w:rsidR="00117FC4" w:rsidRDefault="00117FC4">
      <w:pPr>
        <w:spacing w:after="0" w:line="360" w:lineRule="auto"/>
        <w:rPr>
          <w:color w:val="000000"/>
        </w:rPr>
      </w:pPr>
    </w:p>
    <w:p w14:paraId="1ACB9AE6" w14:textId="77777777" w:rsidR="00117FC4" w:rsidRDefault="00115752">
      <w:pPr>
        <w:spacing w:after="0" w:line="360" w:lineRule="auto"/>
        <w:rPr>
          <w:color w:val="000000"/>
        </w:rPr>
      </w:pPr>
      <w:r>
        <w:rPr>
          <w:color w:val="000000"/>
        </w:rPr>
        <w:t>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100217CA" w14:textId="77777777" w:rsidR="00117FC4" w:rsidRDefault="00117FC4">
      <w:pPr>
        <w:spacing w:after="0" w:line="360" w:lineRule="auto"/>
        <w:rPr>
          <w:color w:val="000000"/>
        </w:rPr>
      </w:pPr>
    </w:p>
    <w:p w14:paraId="3B576222" w14:textId="77777777" w:rsidR="00117FC4" w:rsidRDefault="00115752">
      <w:pPr>
        <w:spacing w:after="0" w:line="360" w:lineRule="auto"/>
        <w:rPr>
          <w:color w:val="000000"/>
        </w:rPr>
      </w:pPr>
      <w:r>
        <w:rPr>
          <w:color w:val="000000"/>
        </w:rPr>
        <w:t xml:space="preserve">Por tales motivos, se considera procedente entrar al fondo del presente asunto. </w:t>
      </w:r>
    </w:p>
    <w:p w14:paraId="225C87F6" w14:textId="77777777" w:rsidR="00117FC4" w:rsidRDefault="00117FC4">
      <w:pPr>
        <w:spacing w:after="0" w:line="360" w:lineRule="auto"/>
      </w:pPr>
    </w:p>
    <w:p w14:paraId="52D89CD1" w14:textId="77777777" w:rsidR="00117FC4" w:rsidRDefault="00115752">
      <w:pPr>
        <w:pStyle w:val="Ttulo2"/>
        <w:spacing w:line="360" w:lineRule="auto"/>
        <w:rPr>
          <w:rFonts w:ascii="Palatino Linotype" w:eastAsia="Palatino Linotype" w:hAnsi="Palatino Linotype" w:cs="Palatino Linotype"/>
          <w:b/>
          <w:bCs/>
          <w:color w:val="000000"/>
          <w:sz w:val="22"/>
          <w:szCs w:val="22"/>
        </w:rPr>
      </w:pPr>
      <w:bookmarkStart w:id="19" w:name="_heading=h.rg6jrrhefu2s" w:colFirst="0" w:colLast="0"/>
      <w:bookmarkStart w:id="20" w:name="_Toc222409650"/>
      <w:bookmarkEnd w:id="19"/>
      <w:r>
        <w:rPr>
          <w:rFonts w:ascii="Palatino Linotype" w:eastAsia="Palatino Linotype" w:hAnsi="Palatino Linotype" w:cs="Palatino Linotype"/>
          <w:b/>
          <w:bCs/>
          <w:color w:val="000000"/>
          <w:sz w:val="22"/>
          <w:szCs w:val="22"/>
        </w:rPr>
        <w:t>TERCERO. Determinación de la Controversia</w:t>
      </w:r>
      <w:bookmarkEnd w:id="20"/>
    </w:p>
    <w:p w14:paraId="5B04DD75" w14:textId="77777777" w:rsidR="00117FC4" w:rsidRDefault="00117FC4">
      <w:pPr>
        <w:spacing w:after="0" w:line="360" w:lineRule="auto"/>
        <w:rPr>
          <w:color w:val="0D0D0D"/>
        </w:rPr>
      </w:pPr>
    </w:p>
    <w:p w14:paraId="64B0C20B" w14:textId="77777777" w:rsidR="00117FC4" w:rsidRDefault="00115752">
      <w:pPr>
        <w:spacing w:after="0" w:line="360" w:lineRule="auto"/>
        <w:rPr>
          <w:color w:val="000000"/>
        </w:rPr>
      </w:pPr>
      <w:r>
        <w:rPr>
          <w:color w:val="000000"/>
        </w:rPr>
        <w:t xml:space="preserve">Una vez realizado el estudio de las constancias que integran el expediente en que se actúa, se desprende que el Recurrente requirió el </w:t>
      </w:r>
      <w:r>
        <w:t>Catálogo</w:t>
      </w:r>
      <w:r>
        <w:rPr>
          <w:color w:val="000000"/>
        </w:rPr>
        <w:t xml:space="preserve"> de Cuenta correspondiente a dos mil veinticinco.</w:t>
      </w:r>
    </w:p>
    <w:p w14:paraId="6C111974" w14:textId="77777777" w:rsidR="00117FC4" w:rsidRDefault="00117FC4">
      <w:pPr>
        <w:spacing w:after="0" w:line="360" w:lineRule="auto"/>
        <w:rPr>
          <w:color w:val="000000"/>
        </w:rPr>
      </w:pPr>
    </w:p>
    <w:p w14:paraId="670A61D6" w14:textId="77777777" w:rsidR="00117FC4" w:rsidRDefault="00115752">
      <w:pPr>
        <w:spacing w:after="0" w:line="360" w:lineRule="auto"/>
        <w:rPr>
          <w:color w:val="000000"/>
        </w:rPr>
      </w:pPr>
      <w:r>
        <w:rPr>
          <w:color w:val="000000"/>
        </w:rPr>
        <w:t>En respuesta el Sujeto Obligado a través de la Tesorería señaló que</w:t>
      </w:r>
      <w:r>
        <w:t xml:space="preserve"> la información denominada</w:t>
      </w:r>
      <w:r>
        <w:rPr>
          <w:color w:val="000000"/>
        </w:rPr>
        <w:t xml:space="preserve"> cuentas </w:t>
      </w:r>
      <w:r>
        <w:t>específicas</w:t>
      </w:r>
      <w:r>
        <w:rPr>
          <w:color w:val="000000"/>
        </w:rPr>
        <w:t xml:space="preserve"> se localizaban publicadas en el Manual Único de Contabilidad Gubernamental para los entes públicos del gobierno y municipios; ante dicha circunstancia, la persona Recurrente se inconformó de la entrega de información que no corresponde con lo solicitado, al señalar que la información solicitada no se encontraba publicada, lo cual actualiza la causal de procedencia prevista en la fracción VI, del artículo 179 de la Ley de Transparencia y Acceso a la Información Pública del Estado de México y Municipios. Así, las cosas, una vez admitido y notificado el Recurso de Revisión a las partes, estas fueron omisas en emitir manifestaciones o alegatos.</w:t>
      </w:r>
    </w:p>
    <w:p w14:paraId="145841C3" w14:textId="77777777" w:rsidR="00117FC4" w:rsidRDefault="00117FC4">
      <w:pPr>
        <w:spacing w:after="0" w:line="360" w:lineRule="auto"/>
        <w:rPr>
          <w:color w:val="000000"/>
        </w:rPr>
      </w:pPr>
    </w:p>
    <w:p w14:paraId="18DF825A" w14:textId="77777777" w:rsidR="00117FC4" w:rsidRDefault="00115752">
      <w:pPr>
        <w:spacing w:after="0" w:line="360" w:lineRule="auto"/>
        <w:rPr>
          <w:color w:val="000000"/>
        </w:rPr>
      </w:pPr>
      <w:r>
        <w:rPr>
          <w:color w:val="000000"/>
        </w:rPr>
        <w:t xml:space="preserve">Lo anterior, se desprende de las documentales que obran en el expediente de referencia, materia de la presente resolución, consistente en: la solicitud de acceso a la información; la respuesta entregada por el Sujeto Obligado, y el escrito </w:t>
      </w:r>
      <w:proofErr w:type="spellStart"/>
      <w:r>
        <w:rPr>
          <w:color w:val="000000"/>
        </w:rPr>
        <w:t>recursal</w:t>
      </w:r>
      <w:proofErr w:type="spellEnd"/>
      <w:r>
        <w:rPr>
          <w:color w:val="000000"/>
        </w:rPr>
        <w:t>; instrumentales que se toman en cuenta a efecto de resolver el presente medio de impugnación, conforme a lo dispuesto por el artículo 185, fracción IV, de la Ley de Transparencia y Acceso a la Información Pública del Estado de México y Municipios.</w:t>
      </w:r>
    </w:p>
    <w:p w14:paraId="51986620" w14:textId="77777777" w:rsidR="00117FC4" w:rsidRDefault="00117FC4">
      <w:pPr>
        <w:tabs>
          <w:tab w:val="left" w:pos="4962"/>
        </w:tabs>
        <w:spacing w:after="0" w:line="360" w:lineRule="auto"/>
        <w:rPr>
          <w:color w:val="FF0000"/>
        </w:rPr>
      </w:pPr>
    </w:p>
    <w:p w14:paraId="5E92B2A3" w14:textId="77777777" w:rsidR="00117FC4" w:rsidRPr="00B553C4" w:rsidRDefault="00115752" w:rsidP="00B553C4">
      <w:pPr>
        <w:pStyle w:val="Ttulo2"/>
        <w:spacing w:before="0" w:line="360" w:lineRule="auto"/>
        <w:rPr>
          <w:rFonts w:ascii="Palatino Linotype" w:eastAsia="Palatino Linotype" w:hAnsi="Palatino Linotype" w:cs="Palatino Linotype"/>
          <w:b/>
          <w:bCs/>
          <w:color w:val="auto"/>
          <w:sz w:val="22"/>
          <w:szCs w:val="22"/>
        </w:rPr>
      </w:pPr>
      <w:bookmarkStart w:id="21" w:name="_heading=h.13aws6g78j9b" w:colFirst="0" w:colLast="0"/>
      <w:bookmarkStart w:id="22" w:name="_Toc222409651"/>
      <w:bookmarkEnd w:id="21"/>
      <w:r w:rsidRPr="00B553C4">
        <w:rPr>
          <w:rFonts w:ascii="Palatino Linotype" w:eastAsia="Palatino Linotype" w:hAnsi="Palatino Linotype" w:cs="Palatino Linotype"/>
          <w:b/>
          <w:bCs/>
          <w:color w:val="auto"/>
          <w:sz w:val="22"/>
          <w:szCs w:val="22"/>
        </w:rPr>
        <w:t>CUARTO. Marco normativo aplicable en materia de transparencia y acceso a la información pública</w:t>
      </w:r>
      <w:bookmarkEnd w:id="22"/>
    </w:p>
    <w:p w14:paraId="3CDC0F53" w14:textId="77777777" w:rsidR="00117FC4" w:rsidRDefault="00117FC4">
      <w:pPr>
        <w:spacing w:after="0" w:line="360" w:lineRule="auto"/>
        <w:rPr>
          <w:color w:val="000000"/>
        </w:rPr>
      </w:pPr>
    </w:p>
    <w:p w14:paraId="6144C382" w14:textId="77777777" w:rsidR="00117FC4" w:rsidRDefault="00115752">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60D42B2" w14:textId="77777777" w:rsidR="00117FC4" w:rsidRDefault="00117FC4">
      <w:pPr>
        <w:spacing w:after="0" w:line="360" w:lineRule="auto"/>
        <w:rPr>
          <w:color w:val="000000"/>
        </w:rPr>
      </w:pPr>
    </w:p>
    <w:p w14:paraId="65C472CA" w14:textId="77777777" w:rsidR="00117FC4" w:rsidRDefault="00115752">
      <w:pPr>
        <w:spacing w:after="0" w:line="360" w:lineRule="auto"/>
        <w:rPr>
          <w:color w:val="000000"/>
        </w:rPr>
      </w:pPr>
      <w:r>
        <w:rPr>
          <w:color w:val="000000"/>
        </w:rPr>
        <w:lastRenderedPageBreak/>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C749E34" w14:textId="77777777" w:rsidR="00117FC4" w:rsidRDefault="00117FC4">
      <w:pPr>
        <w:spacing w:after="0" w:line="360" w:lineRule="auto"/>
        <w:rPr>
          <w:color w:val="000000"/>
        </w:rPr>
      </w:pPr>
    </w:p>
    <w:p w14:paraId="60E5FD2A" w14:textId="77777777" w:rsidR="00117FC4" w:rsidRDefault="00115752">
      <w:pPr>
        <w:spacing w:after="0" w:line="360" w:lineRule="auto"/>
        <w:rPr>
          <w:color w:val="000000"/>
        </w:rPr>
      </w:pPr>
      <w:r>
        <w:rPr>
          <w:color w:val="000000"/>
        </w:rPr>
        <w:t>Por su parte, la Ley de Transparencia y Acceso a la Información Pública del Estado de México y Municipios, establece lo siguiente:</w:t>
      </w:r>
    </w:p>
    <w:p w14:paraId="722E3103" w14:textId="77777777" w:rsidR="00117FC4" w:rsidRDefault="00117FC4">
      <w:pPr>
        <w:spacing w:after="0" w:line="360" w:lineRule="auto"/>
        <w:rPr>
          <w:color w:val="000000"/>
        </w:rPr>
      </w:pPr>
    </w:p>
    <w:p w14:paraId="711B2A7C" w14:textId="77777777" w:rsidR="00117FC4" w:rsidRDefault="00115752">
      <w:pPr>
        <w:spacing w:after="0" w:line="360" w:lineRule="auto"/>
        <w:rPr>
          <w:color w:val="000000"/>
        </w:rPr>
      </w:pPr>
      <w:r>
        <w:rPr>
          <w:color w:val="000000"/>
        </w:rPr>
        <w:t>El artículo 12, que, quienes generen, recopilen, administren, manejen, procesen, archiven o conserven información pública serán responsables de la misma.</w:t>
      </w:r>
    </w:p>
    <w:p w14:paraId="3A39D48D" w14:textId="77777777" w:rsidR="00117FC4" w:rsidRDefault="00117FC4">
      <w:pPr>
        <w:spacing w:after="0" w:line="360" w:lineRule="auto"/>
        <w:rPr>
          <w:color w:val="000000"/>
        </w:rPr>
      </w:pPr>
    </w:p>
    <w:p w14:paraId="579C08A7" w14:textId="77777777" w:rsidR="00117FC4" w:rsidRDefault="00115752">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1804C9EF" w14:textId="77777777" w:rsidR="00117FC4" w:rsidRDefault="00117FC4">
      <w:pPr>
        <w:widowControl w:val="0"/>
        <w:spacing w:after="0" w:line="360" w:lineRule="auto"/>
        <w:rPr>
          <w:color w:val="000000"/>
        </w:rPr>
      </w:pPr>
    </w:p>
    <w:p w14:paraId="0AC39272" w14:textId="77777777" w:rsidR="00117FC4" w:rsidRDefault="00115752">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BD5D0DF" w14:textId="77777777" w:rsidR="00117FC4" w:rsidRDefault="00117FC4">
      <w:pPr>
        <w:spacing w:after="0" w:line="360" w:lineRule="auto"/>
        <w:rPr>
          <w:color w:val="000000"/>
        </w:rPr>
      </w:pPr>
    </w:p>
    <w:p w14:paraId="24BAA9FE" w14:textId="77777777" w:rsidR="00117FC4" w:rsidRPr="00B553C4" w:rsidRDefault="00115752" w:rsidP="00B553C4">
      <w:pPr>
        <w:pStyle w:val="Ttulo2"/>
        <w:spacing w:before="0" w:line="360" w:lineRule="auto"/>
        <w:rPr>
          <w:rFonts w:ascii="Palatino Linotype" w:eastAsia="Palatino Linotype" w:hAnsi="Palatino Linotype" w:cs="Palatino Linotype"/>
          <w:b/>
          <w:bCs/>
          <w:color w:val="auto"/>
          <w:sz w:val="22"/>
          <w:szCs w:val="22"/>
        </w:rPr>
      </w:pPr>
      <w:bookmarkStart w:id="23" w:name="_heading=h.hugq5yco65am" w:colFirst="0" w:colLast="0"/>
      <w:bookmarkStart w:id="24" w:name="_Toc222409652"/>
      <w:bookmarkEnd w:id="23"/>
      <w:r w:rsidRPr="00B553C4">
        <w:rPr>
          <w:rFonts w:ascii="Palatino Linotype" w:eastAsia="Palatino Linotype" w:hAnsi="Palatino Linotype" w:cs="Palatino Linotype"/>
          <w:b/>
          <w:bCs/>
          <w:color w:val="auto"/>
          <w:sz w:val="22"/>
          <w:szCs w:val="22"/>
        </w:rPr>
        <w:t>QUINTO. Estudio de Fondo</w:t>
      </w:r>
      <w:bookmarkEnd w:id="24"/>
    </w:p>
    <w:p w14:paraId="28184AD8" w14:textId="77777777" w:rsidR="00117FC4" w:rsidRDefault="00117FC4">
      <w:pPr>
        <w:spacing w:after="0" w:line="360" w:lineRule="auto"/>
        <w:rPr>
          <w:color w:val="000000"/>
        </w:rPr>
      </w:pPr>
    </w:p>
    <w:p w14:paraId="46FC0494" w14:textId="77777777" w:rsidR="00117FC4" w:rsidRDefault="00115752">
      <w:pPr>
        <w:spacing w:after="0" w:line="360" w:lineRule="auto"/>
        <w:rPr>
          <w:color w:val="000000"/>
        </w:rPr>
      </w:pPr>
      <w:r>
        <w:rPr>
          <w:color w:val="000000"/>
        </w:rPr>
        <w:t xml:space="preserve">Expuestas las posturas de las partes, se procede al análisis de los agravios hechos valer por la persona Recurrente, por lo que, en principio es necesario contextualizar la solicitud de </w:t>
      </w:r>
      <w:r>
        <w:rPr>
          <w:color w:val="000000"/>
        </w:rPr>
        <w:lastRenderedPageBreak/>
        <w:t>información, para lo cual, el artículo 4°, fracción de la Ley General de Contabilidad Gubernamental establece que la información financiera de los entes públicos, corresponde a toda aquella presupuestaria y contable expresada en unidades monetarias, sobre las transacciones que realiza un ente público y los eventos económicos identificables y cuantificables que lo afectan, la cual puede representarse por reportes, informes, estados y notas que expresan su situación financiera, los resultados de su operación y los cambios en su patrimonio.</w:t>
      </w:r>
    </w:p>
    <w:p w14:paraId="4D487FE0" w14:textId="77777777" w:rsidR="00117FC4" w:rsidRDefault="00117FC4">
      <w:pPr>
        <w:spacing w:after="0" w:line="360" w:lineRule="auto"/>
        <w:rPr>
          <w:color w:val="000000"/>
        </w:rPr>
      </w:pPr>
    </w:p>
    <w:p w14:paraId="59E79955" w14:textId="6368E878" w:rsidR="00117FC4" w:rsidRDefault="00115752">
      <w:pPr>
        <w:spacing w:after="0" w:line="360" w:lineRule="auto"/>
        <w:rPr>
          <w:color w:val="000000"/>
        </w:rPr>
      </w:pPr>
      <w:r>
        <w:rPr>
          <w:color w:val="000000"/>
        </w:rPr>
        <w:t>Ahora bien, conforme a los lineamientos del OSFEM, y la Ley Ge</w:t>
      </w:r>
      <w:r>
        <w:t>neral de Contabilidad Gubernamental</w:t>
      </w:r>
      <w:r>
        <w:rPr>
          <w:color w:val="000000"/>
        </w:rPr>
        <w:t xml:space="preserve"> es el instrumento técnico–contable obligatorio que establece la clasificación ordenada y codificada de las cuentas que deben utilizarse para registrar todas las operaciones financieras, presupuestarias y patrimoniales del organismo. </w:t>
      </w:r>
      <w:r>
        <w:t xml:space="preserve">Es </w:t>
      </w:r>
      <w:r w:rsidR="0098328B">
        <w:t>decir,</w:t>
      </w:r>
      <w:r>
        <w:t xml:space="preserve"> se integra por la lista de cuentas, los instructivos de manejo de cuentas y las guías contabilizadoras</w:t>
      </w:r>
      <w:r>
        <w:rPr>
          <w:color w:val="000000"/>
        </w:rPr>
        <w:t xml:space="preserve"> lo que garantiza la armonización contable y la correcta rendición de cuentas de los recursos públicos.</w:t>
      </w:r>
    </w:p>
    <w:p w14:paraId="24F24904" w14:textId="77777777" w:rsidR="00117FC4" w:rsidRDefault="00117FC4">
      <w:pPr>
        <w:spacing w:after="0" w:line="360" w:lineRule="auto"/>
        <w:rPr>
          <w:color w:val="000000"/>
        </w:rPr>
      </w:pPr>
    </w:p>
    <w:p w14:paraId="7DE7F0F2" w14:textId="77777777" w:rsidR="00117FC4" w:rsidRDefault="00115752">
      <w:pPr>
        <w:spacing w:after="0" w:line="360" w:lineRule="auto"/>
        <w:rPr>
          <w:color w:val="000000"/>
        </w:rPr>
      </w:pPr>
      <w:r>
        <w:rPr>
          <w:color w:val="000000"/>
        </w:rPr>
        <w:t xml:space="preserve">En ese contexto su utilización permite registrar adecuadamente subsidios municipales, cuotas de recuperación, donativos, nómina, ayudas sociales y demás operaciones propias de su objeto asistencial, asegurando congruencia entre el presupuesto aprobado y el ejercicio del gasto. </w:t>
      </w:r>
    </w:p>
    <w:p w14:paraId="46137398" w14:textId="77777777" w:rsidR="00117FC4" w:rsidRDefault="00117FC4">
      <w:pPr>
        <w:spacing w:after="0" w:line="360" w:lineRule="auto"/>
        <w:rPr>
          <w:color w:val="000000"/>
        </w:rPr>
      </w:pPr>
    </w:p>
    <w:p w14:paraId="73465579" w14:textId="77777777" w:rsidR="00117FC4" w:rsidRDefault="00115752">
      <w:pPr>
        <w:tabs>
          <w:tab w:val="left" w:pos="4962"/>
        </w:tabs>
        <w:spacing w:line="360" w:lineRule="auto"/>
        <w:rPr>
          <w:color w:val="000000"/>
        </w:rPr>
      </w:pPr>
      <w:r>
        <w:rPr>
          <w:color w:val="000000"/>
        </w:rPr>
        <w:t xml:space="preserve">En ese orden de ideas, los Lineamientos para la integración y presentación de los Informes Trimestrales Estatales y Municipales del Ejercicio Fiscal 2025, establecen que el Sujeto Obligado deberá entregar al Órgano Superior de Fiscalización, para atender el Módulo 1, </w:t>
      </w:r>
      <w:r>
        <w:rPr>
          <w:color w:val="000000"/>
        </w:rPr>
        <w:lastRenderedPageBreak/>
        <w:t xml:space="preserve">entre otros formatos, el </w:t>
      </w:r>
      <w:r>
        <w:t>Catálogo</w:t>
      </w:r>
      <w:r>
        <w:rPr>
          <w:color w:val="000000"/>
        </w:rPr>
        <w:t xml:space="preserve"> de Cuentas, el cual se debe generar de manera mensual, tal como se muestra a continuación:</w:t>
      </w:r>
    </w:p>
    <w:p w14:paraId="6C49F931" w14:textId="77777777" w:rsidR="00117FC4" w:rsidRDefault="00115752">
      <w:pPr>
        <w:spacing w:after="0" w:line="360" w:lineRule="auto"/>
        <w:jc w:val="center"/>
        <w:rPr>
          <w:color w:val="000000"/>
        </w:rPr>
      </w:pPr>
      <w:r>
        <w:rPr>
          <w:noProof/>
          <w:color w:val="000000"/>
        </w:rPr>
        <w:drawing>
          <wp:inline distT="0" distB="0" distL="0" distR="0" wp14:anchorId="5B6455B5" wp14:editId="3338EE13">
            <wp:extent cx="3638917" cy="2589331"/>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638917" cy="2589331"/>
                    </a:xfrm>
                    <a:prstGeom prst="rect">
                      <a:avLst/>
                    </a:prstGeom>
                    <a:ln/>
                  </pic:spPr>
                </pic:pic>
              </a:graphicData>
            </a:graphic>
          </wp:inline>
        </w:drawing>
      </w:r>
    </w:p>
    <w:p w14:paraId="6CE9BEEA" w14:textId="77777777" w:rsidR="00117FC4" w:rsidRDefault="00117FC4">
      <w:pPr>
        <w:spacing w:after="0" w:line="360" w:lineRule="auto"/>
        <w:rPr>
          <w:color w:val="000000"/>
        </w:rPr>
      </w:pPr>
    </w:p>
    <w:p w14:paraId="24F86843" w14:textId="2018433E" w:rsidR="00117FC4" w:rsidRDefault="00115752">
      <w:pPr>
        <w:spacing w:after="0" w:line="360" w:lineRule="auto"/>
        <w:rPr>
          <w:b/>
          <w:bCs/>
          <w:color w:val="000000"/>
        </w:rPr>
      </w:pPr>
      <w:r>
        <w:rPr>
          <w:color w:val="000000"/>
        </w:rPr>
        <w:t xml:space="preserve">Conforme a lo anterior, se logra vislumbrar que la pretensión del ahora Recurrente, es obtener el </w:t>
      </w:r>
      <w:r>
        <w:t>Catálogo</w:t>
      </w:r>
      <w:r>
        <w:rPr>
          <w:color w:val="000000"/>
        </w:rPr>
        <w:t xml:space="preserve"> de Cuentas </w:t>
      </w:r>
      <w:r w:rsidR="0098328B">
        <w:rPr>
          <w:color w:val="000000"/>
        </w:rPr>
        <w:t>mensual de enero a agosto de dos mil veinticinco, pues fue el último generado a la fecha de la solicitud</w:t>
      </w:r>
      <w:r>
        <w:rPr>
          <w:color w:val="000000"/>
        </w:rPr>
        <w:t>.</w:t>
      </w:r>
    </w:p>
    <w:p w14:paraId="68C4A462" w14:textId="77777777" w:rsidR="00117FC4" w:rsidRDefault="00117FC4">
      <w:pPr>
        <w:spacing w:after="0" w:line="360" w:lineRule="auto"/>
        <w:rPr>
          <w:color w:val="000000"/>
        </w:rPr>
      </w:pPr>
    </w:p>
    <w:p w14:paraId="5AE33FD5" w14:textId="77777777" w:rsidR="00117FC4" w:rsidRDefault="00115752">
      <w:pPr>
        <w:spacing w:after="0" w:line="360" w:lineRule="auto"/>
        <w:rPr>
          <w:color w:val="000000"/>
        </w:rPr>
      </w:pPr>
      <w:r>
        <w:rPr>
          <w:color w:val="000000"/>
        </w:rPr>
        <w:t xml:space="preserve">Establecida dicha circunstancia, de las constancias que obran en el expediente electrónico, se advierte que el Sujeto Obligado turnó la solicitud de información a la Tesorería; por lo que, es oportuno hacer referencia al </w:t>
      </w:r>
      <w:r>
        <w:rPr>
          <w:b/>
          <w:bCs/>
          <w:color w:val="000000"/>
        </w:rPr>
        <w:t>procedimiento de búsqueda que deben de seguir los Sujetos Obligados para localizar la información</w:t>
      </w:r>
      <w:r>
        <w:rPr>
          <w:color w:val="000000"/>
        </w:rPr>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w:t>
      </w:r>
      <w:r>
        <w:rPr>
          <w:color w:val="000000"/>
        </w:rPr>
        <w:lastRenderedPageBreak/>
        <w:t>con el objeto de que dichas áreas realicen una búsqueda exhaustiva y razonable de la información requerida.</w:t>
      </w:r>
    </w:p>
    <w:p w14:paraId="4371F369" w14:textId="77777777" w:rsidR="00117FC4" w:rsidRDefault="00115752">
      <w:pPr>
        <w:spacing w:after="0" w:line="360" w:lineRule="auto"/>
        <w:rPr>
          <w:color w:val="000000"/>
        </w:rPr>
      </w:pPr>
      <w:r>
        <w:rPr>
          <w:color w:val="000000"/>
        </w:rPr>
        <w:t>En ese contexto, es necesario precisar que conforme al artículo 15 de la Ley que crea los Organismos Públicos Descentralizados de Asistencia Social de Carácter Municipal denominados "Sistemas Municipales para el Desarrollo Integral de la Familia", el Sujeto Obligado cuenta con una Tesorería encargada del manejo del presupuesto, de la administración de los recursos que conforman el patrimonio del organismo, de llevar los registros contables, financieros y administrativo, de presentar un informe de la situación contable financiera, así como, de integrar la documentación que deba presentarse al Órgano Superior de Fiscalización del Estado de México.</w:t>
      </w:r>
    </w:p>
    <w:p w14:paraId="0593E3E1" w14:textId="77777777" w:rsidR="00117FC4" w:rsidRDefault="00117FC4">
      <w:pPr>
        <w:spacing w:after="0" w:line="360" w:lineRule="auto"/>
        <w:rPr>
          <w:color w:val="000000"/>
        </w:rPr>
      </w:pPr>
    </w:p>
    <w:p w14:paraId="1599F553" w14:textId="77777777" w:rsidR="00117FC4" w:rsidRDefault="00115752">
      <w:pPr>
        <w:spacing w:after="0" w:line="360" w:lineRule="auto"/>
        <w:rPr>
          <w:color w:val="000000"/>
        </w:rPr>
      </w:pPr>
      <w:r>
        <w:rPr>
          <w:color w:val="000000"/>
        </w:rPr>
        <w:t>Así, se logra colegir que, el Sujeto Obligado cumplió con el procedimiento de búsqueda establecido en el artículo 162 de la Ley de Transparencia y Acceso a la Información Pública del Estado de México y Municipios, toda vez que gestionó el requerimiento de información a la unidad administrativa competente para conocer de la información solicitada.</w:t>
      </w:r>
    </w:p>
    <w:p w14:paraId="4E6528AC" w14:textId="77777777" w:rsidR="00117FC4" w:rsidRDefault="00117FC4">
      <w:pPr>
        <w:spacing w:after="0" w:line="360" w:lineRule="auto"/>
        <w:rPr>
          <w:color w:val="000000"/>
        </w:rPr>
      </w:pPr>
    </w:p>
    <w:p w14:paraId="19D63F2E" w14:textId="3CB869FE" w:rsidR="00117FC4" w:rsidRDefault="00115752">
      <w:pPr>
        <w:spacing w:after="0" w:line="360" w:lineRule="auto"/>
      </w:pPr>
      <w:r>
        <w:rPr>
          <w:color w:val="000000"/>
        </w:rPr>
        <w:t xml:space="preserve">Ahora bien, la Tesorería mencionó que la información solicitada denominada cuentas </w:t>
      </w:r>
      <w:r>
        <w:t>específicas</w:t>
      </w:r>
      <w:r>
        <w:rPr>
          <w:color w:val="000000"/>
        </w:rPr>
        <w:t xml:space="preserve"> se localizaba en el Manual Único de Contabilidad Gubernamental para los entes públicos del gobierno y municipios del Estado de México; por lo que, en primera instancia resulta necesario precisar que omitió proporcionar el cómo acceder a dicho ordenamiento, para poder localizar la información</w:t>
      </w:r>
      <w:r>
        <w:t xml:space="preserve">, aunado a que se </w:t>
      </w:r>
      <w:r w:rsidR="0098328B">
        <w:t>refirió</w:t>
      </w:r>
      <w:r>
        <w:t xml:space="preserve"> a un requerimiento diverso</w:t>
      </w:r>
      <w:r w:rsidR="005F3D87">
        <w:t>.</w:t>
      </w:r>
      <w:r>
        <w:t xml:space="preserve"> </w:t>
      </w:r>
      <w:r>
        <w:rPr>
          <w:color w:val="000000"/>
        </w:rPr>
        <w:t>No obstante, lo anterior, este Instituto logró acceder a dicho ordenamiento, en el cual se aprecia, la siguiente página:</w:t>
      </w:r>
    </w:p>
    <w:p w14:paraId="4B428261" w14:textId="77777777" w:rsidR="00117FC4" w:rsidRDefault="00117FC4">
      <w:pPr>
        <w:spacing w:after="0" w:line="360" w:lineRule="auto"/>
      </w:pPr>
    </w:p>
    <w:p w14:paraId="5190A5B1" w14:textId="77777777" w:rsidR="00117FC4" w:rsidRDefault="00115752">
      <w:pPr>
        <w:spacing w:after="0" w:line="360" w:lineRule="auto"/>
        <w:jc w:val="center"/>
      </w:pPr>
      <w:r>
        <w:rPr>
          <w:noProof/>
        </w:rPr>
        <w:lastRenderedPageBreak/>
        <w:drawing>
          <wp:inline distT="0" distB="0" distL="0" distR="0" wp14:anchorId="2A122944" wp14:editId="15C5F1CB">
            <wp:extent cx="4496427" cy="1743318"/>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496427" cy="1743318"/>
                    </a:xfrm>
                    <a:prstGeom prst="rect">
                      <a:avLst/>
                    </a:prstGeom>
                    <a:ln/>
                  </pic:spPr>
                </pic:pic>
              </a:graphicData>
            </a:graphic>
          </wp:inline>
        </w:drawing>
      </w:r>
    </w:p>
    <w:p w14:paraId="35316B11" w14:textId="77777777" w:rsidR="00117FC4" w:rsidRDefault="00117FC4">
      <w:pPr>
        <w:spacing w:after="0" w:line="360" w:lineRule="auto"/>
        <w:jc w:val="center"/>
      </w:pPr>
    </w:p>
    <w:p w14:paraId="6E0AD2A3" w14:textId="77777777" w:rsidR="005F3D87" w:rsidRDefault="005F3D87" w:rsidP="005F3D87">
      <w:pPr>
        <w:spacing w:after="0" w:line="360" w:lineRule="auto"/>
        <w:rPr>
          <w:rFonts w:eastAsia="Times New Roman" w:cs="Tahoma"/>
          <w:lang w:val="es-ES" w:eastAsia="es-ES"/>
        </w:rPr>
      </w:pPr>
      <w:r>
        <w:rPr>
          <w:rFonts w:eastAsia="Times New Roman" w:cs="Tahoma"/>
          <w:bCs/>
          <w:iCs/>
          <w:lang w:eastAsia="es-ES"/>
        </w:rPr>
        <w:t>P</w:t>
      </w:r>
      <w:r w:rsidRPr="003B6D7F">
        <w:rPr>
          <w:rFonts w:eastAsia="Times New Roman" w:cs="Tahoma"/>
          <w:bCs/>
          <w:iCs/>
          <w:lang w:eastAsia="es-ES"/>
        </w:rPr>
        <w:t xml:space="preserve">or lo tanto, la respuesta </w:t>
      </w:r>
      <w:r>
        <w:rPr>
          <w:rFonts w:eastAsia="Times New Roman" w:cs="Tahoma"/>
          <w:bCs/>
          <w:iCs/>
          <w:lang w:eastAsia="es-ES"/>
        </w:rPr>
        <w:t>entregada resulta i</w:t>
      </w:r>
      <w:r w:rsidRPr="003B6D7F">
        <w:rPr>
          <w:rFonts w:eastAsia="Times New Roman" w:cs="Tahoma"/>
          <w:bCs/>
          <w:iCs/>
          <w:lang w:eastAsia="es-ES"/>
        </w:rPr>
        <w:t>ncongruente</w:t>
      </w:r>
      <w:r>
        <w:rPr>
          <w:rFonts w:eastAsia="Times New Roman" w:cs="Tahoma"/>
          <w:bCs/>
          <w:iCs/>
          <w:lang w:eastAsia="es-ES"/>
        </w:rPr>
        <w:t xml:space="preserve"> y no guarda relación con la información solicitada</w:t>
      </w:r>
      <w:r w:rsidRPr="003B6D7F">
        <w:rPr>
          <w:rFonts w:cs="Tahoma"/>
          <w:bCs/>
          <w:iCs/>
        </w:rPr>
        <w:t xml:space="preserve">; </w:t>
      </w:r>
      <w:r w:rsidRPr="003B6D7F">
        <w:rPr>
          <w:rFonts w:eastAsia="Times New Roman" w:cs="Tahoma"/>
          <w:bCs/>
          <w:iCs/>
          <w:lang w:val="es-ES" w:eastAsia="es-ES"/>
        </w:rPr>
        <w:t>s</w:t>
      </w:r>
      <w:r w:rsidRPr="003B6D7F">
        <w:rPr>
          <w:rFonts w:eastAsia="Calibri" w:cs="Tahoma"/>
          <w:lang w:val="es-ES"/>
        </w:rPr>
        <w:t xml:space="preserve">obre el tema </w:t>
      </w:r>
      <w:r w:rsidRPr="003B6D7F">
        <w:rPr>
          <w:rFonts w:eastAsia="Calibri" w:cs="Times New Roman"/>
        </w:rPr>
        <w:t xml:space="preserve">el </w:t>
      </w:r>
      <w:r w:rsidRPr="003B6D7F">
        <w:rPr>
          <w:rFonts w:eastAsia="Times New Roman" w:cs="Tahoma"/>
          <w:lang w:val="es-ES" w:eastAsia="es-ES"/>
        </w:rPr>
        <w:t>artículo 1.8, fracción IX, del Código Administrativo del Estado de México, establece que para que un acto administrativo tenga validez, deberá guardar congruencia con lo solicitado.</w:t>
      </w:r>
    </w:p>
    <w:p w14:paraId="5872A639" w14:textId="77777777" w:rsidR="005F3D87" w:rsidRDefault="005F3D87" w:rsidP="005F3D87">
      <w:pPr>
        <w:spacing w:after="0" w:line="360" w:lineRule="auto"/>
        <w:rPr>
          <w:rFonts w:eastAsia="Times New Roman" w:cs="Tahoma"/>
          <w:lang w:val="es-ES" w:eastAsia="es-ES"/>
        </w:rPr>
      </w:pPr>
    </w:p>
    <w:p w14:paraId="6A047C2C" w14:textId="77777777" w:rsidR="005F3D87" w:rsidRPr="003B6D7F" w:rsidRDefault="005F3D87" w:rsidP="005F3D87">
      <w:pPr>
        <w:tabs>
          <w:tab w:val="center" w:pos="4522"/>
        </w:tabs>
        <w:spacing w:after="0" w:line="360" w:lineRule="auto"/>
        <w:rPr>
          <w:rFonts w:eastAsia="Calibri" w:cs="Times New Roman"/>
          <w:color w:val="000000"/>
        </w:rPr>
      </w:pPr>
      <w:r w:rsidRPr="003B6D7F">
        <w:rPr>
          <w:rFonts w:eastAsia="Calibri" w:cs="Times New Roman"/>
          <w:color w:val="000000"/>
        </w:rPr>
        <w:t xml:space="preserve">Situación que se robustece, con </w:t>
      </w:r>
      <w:r w:rsidRPr="003B6D7F">
        <w:rPr>
          <w:rFonts w:eastAsia="Calibri" w:cs="Tahoma"/>
          <w:bCs/>
          <w:lang w:val="es-ES"/>
        </w:rPr>
        <w:t>el Criterio Orientador</w:t>
      </w:r>
      <w:r w:rsidRPr="003B6D7F">
        <w:rPr>
          <w:rFonts w:eastAsia="Calibri" w:cs="Tahoma"/>
          <w:bCs/>
          <w:lang w:val="x-none"/>
        </w:rPr>
        <w:t xml:space="preserve">, con clave de control </w:t>
      </w:r>
      <w:r w:rsidRPr="003B6D7F">
        <w:rPr>
          <w:rFonts w:eastAsia="Calibri" w:cs="Tahoma"/>
          <w:bCs/>
          <w:lang w:val="es-ES"/>
        </w:rPr>
        <w:t xml:space="preserve">SO/002/2017, de la Segunda Época, emitido por el entonces Instituto Nacional de Transparencia, Acceso a la Información y Protección de Datos Personales vigente a la fecha de la solicitud, que </w:t>
      </w:r>
      <w:r w:rsidRPr="003B6D7F">
        <w:rPr>
          <w:rFonts w:eastAsia="Calibri" w:cs="Times New Roman"/>
          <w:color w:val="000000"/>
        </w:rPr>
        <w:t xml:space="preserve">establece que todo acto administrativo debe apegarse al </w:t>
      </w:r>
      <w:r w:rsidRPr="003B6D7F">
        <w:rPr>
          <w:rFonts w:eastAsia="Calibri" w:cs="Times New Roman"/>
          <w:b/>
          <w:bCs/>
          <w:color w:val="000000"/>
        </w:rPr>
        <w:t>principio de congruencia</w:t>
      </w:r>
      <w:r w:rsidRPr="003B6D7F">
        <w:rPr>
          <w:rFonts w:eastAsia="Calibri" w:cs="Times New Roman"/>
          <w:color w:val="000000"/>
        </w:rPr>
        <w:t xml:space="preserve">, entendiendo por éste que </w:t>
      </w:r>
      <w:r w:rsidRPr="003B6D7F">
        <w:rPr>
          <w:rFonts w:eastAsia="Calibri" w:cs="Tahoma"/>
          <w:bCs/>
          <w:iCs/>
        </w:rPr>
        <w:t>exista concordancia entre el requerimiento formulado por el particular y la respuesta proporcionada por el sujeto obligado</w:t>
      </w:r>
      <w:r w:rsidRPr="003B6D7F">
        <w:rPr>
          <w:rFonts w:eastAsia="Calibri" w:cs="Times New Roman"/>
          <w:color w:val="000000"/>
        </w:rPr>
        <w:t>,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11C9DA15" w14:textId="77777777" w:rsidR="005F3D87" w:rsidRPr="003B6D7F" w:rsidRDefault="005F3D87" w:rsidP="005F3D87">
      <w:pPr>
        <w:spacing w:after="0" w:line="360" w:lineRule="auto"/>
        <w:rPr>
          <w:rFonts w:eastAsia="Times New Roman" w:cs="Tahoma"/>
          <w:bCs/>
          <w:iCs/>
          <w:lang w:eastAsia="es-ES"/>
        </w:rPr>
      </w:pPr>
    </w:p>
    <w:p w14:paraId="303FADD4" w14:textId="77777777" w:rsidR="005F3D87" w:rsidRPr="005F3D87" w:rsidRDefault="005F3D87" w:rsidP="005F3D87">
      <w:pPr>
        <w:spacing w:after="0" w:line="360" w:lineRule="auto"/>
        <w:rPr>
          <w:rFonts w:eastAsia="Times New Roman" w:cs="Tahoma"/>
          <w:lang w:eastAsia="es-ES"/>
        </w:rPr>
      </w:pPr>
    </w:p>
    <w:p w14:paraId="32150A84" w14:textId="77777777" w:rsidR="005F3D87" w:rsidRPr="005F3D87" w:rsidRDefault="005F3D87" w:rsidP="005F3D87">
      <w:pPr>
        <w:spacing w:after="0" w:line="360" w:lineRule="auto"/>
        <w:rPr>
          <w:rFonts w:eastAsia="Times New Roman" w:cs="Tahoma"/>
          <w:lang w:eastAsia="es-ES"/>
        </w:rPr>
      </w:pPr>
    </w:p>
    <w:p w14:paraId="48DB9CEB" w14:textId="2928A9D3" w:rsidR="005F3D87" w:rsidRDefault="005F3D87">
      <w:pPr>
        <w:spacing w:after="0" w:line="360" w:lineRule="auto"/>
      </w:pPr>
      <w:bookmarkStart w:id="25" w:name="_heading=h.2rcgebg1x5rp" w:colFirst="0" w:colLast="0"/>
      <w:bookmarkEnd w:id="25"/>
      <w:r w:rsidRPr="003B6D7F">
        <w:rPr>
          <w:rFonts w:eastAsia="Calibri" w:cs="Tahoma"/>
          <w:bCs/>
          <w:lang w:val="es-ES"/>
        </w:rPr>
        <w:lastRenderedPageBreak/>
        <w:t xml:space="preserve">Derivado de lo anterior, se logra vislumbrar que el Sujeto Obligado no atendió de manera correcta la solicitud de información, </w:t>
      </w:r>
      <w:r>
        <w:rPr>
          <w:rFonts w:eastAsia="Calibri" w:cs="Tahoma"/>
          <w:bCs/>
          <w:lang w:val="es-ES"/>
        </w:rPr>
        <w:t xml:space="preserve">pues proporcionó un documento de otro Sujeto Obligado y que no guarda ninguna relación con la solicitud de información, lo cual da como resultado que el agravio sea </w:t>
      </w:r>
      <w:r>
        <w:rPr>
          <w:rFonts w:eastAsia="Calibri" w:cs="Tahoma"/>
          <w:b/>
          <w:lang w:val="es-ES"/>
        </w:rPr>
        <w:t>FUNDADO.</w:t>
      </w:r>
    </w:p>
    <w:p w14:paraId="57462253" w14:textId="77777777" w:rsidR="005F3D87" w:rsidRDefault="005F3D87">
      <w:pPr>
        <w:spacing w:after="0" w:line="360" w:lineRule="auto"/>
      </w:pPr>
    </w:p>
    <w:p w14:paraId="40AD27C2" w14:textId="77777777" w:rsidR="00117FC4" w:rsidRDefault="00115752">
      <w:pPr>
        <w:spacing w:after="0" w:line="360" w:lineRule="auto"/>
        <w:rPr>
          <w:color w:val="000000"/>
        </w:rPr>
      </w:pPr>
      <w:r>
        <w:rPr>
          <w:color w:val="000000"/>
        </w:rPr>
        <w:t xml:space="preserve">Conforme a lo anterior, se considera que el Sujeto Obligado deberá realizar una búsqueda exhaustiva y razonable en los archivos en la Tesorería, a efecto de que proporcione el </w:t>
      </w:r>
      <w:r>
        <w:t>Catálogo</w:t>
      </w:r>
      <w:r>
        <w:rPr>
          <w:color w:val="000000"/>
        </w:rPr>
        <w:t xml:space="preserve"> de Cuentas correspondiente a dos mil veinticinco; </w:t>
      </w:r>
      <w:r>
        <w:t>dicha</w:t>
      </w:r>
      <w:r>
        <w:rPr>
          <w:color w:val="000000"/>
        </w:rPr>
        <w:t xml:space="preserve"> determinación toma sustento, en el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4DDB033C" w14:textId="77777777" w:rsidR="00117FC4" w:rsidRDefault="00117FC4">
      <w:pPr>
        <w:spacing w:after="0" w:line="360" w:lineRule="auto"/>
        <w:rPr>
          <w:color w:val="000000"/>
        </w:rPr>
      </w:pPr>
    </w:p>
    <w:p w14:paraId="6617F2C1" w14:textId="77777777" w:rsidR="00117FC4" w:rsidRDefault="00115752">
      <w:pPr>
        <w:spacing w:after="0" w:line="360" w:lineRule="auto"/>
        <w:rPr>
          <w:color w:val="000000"/>
        </w:rPr>
      </w:pPr>
      <w:r>
        <w:rPr>
          <w:color w:val="000000"/>
        </w:rPr>
        <w:t xml:space="preserve">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 </w:t>
      </w:r>
    </w:p>
    <w:p w14:paraId="3FC8CDC6" w14:textId="77777777" w:rsidR="00117FC4" w:rsidRDefault="00117FC4">
      <w:pPr>
        <w:spacing w:after="0" w:line="360" w:lineRule="auto"/>
        <w:rPr>
          <w:i/>
          <w:iCs/>
          <w:color w:val="000000"/>
          <w:sz w:val="20"/>
          <w:szCs w:val="20"/>
        </w:rPr>
      </w:pPr>
    </w:p>
    <w:p w14:paraId="158B01D8" w14:textId="1C03EA62" w:rsidR="00117FC4" w:rsidRDefault="00115752">
      <w:pPr>
        <w:spacing w:after="0" w:line="360" w:lineRule="auto"/>
        <w:rPr>
          <w:color w:val="000000"/>
        </w:rPr>
      </w:pPr>
      <w:r>
        <w:rPr>
          <w:color w:val="000000"/>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w:t>
      </w:r>
      <w:r>
        <w:rPr>
          <w:color w:val="000000"/>
        </w:rPr>
        <w:lastRenderedPageBreak/>
        <w:t xml:space="preserve">lo cual, en el presente caso deberá entregar la información que obre en sus archivos y den cuenta de lo peticionado. </w:t>
      </w:r>
    </w:p>
    <w:p w14:paraId="7D95186B" w14:textId="77777777" w:rsidR="00975F9D" w:rsidRDefault="00975F9D">
      <w:pPr>
        <w:spacing w:after="0" w:line="360" w:lineRule="auto"/>
        <w:rPr>
          <w:color w:val="000000"/>
        </w:rPr>
      </w:pPr>
    </w:p>
    <w:p w14:paraId="7D8C6BBF" w14:textId="4F037639" w:rsidR="00975F9D" w:rsidRDefault="00975F9D" w:rsidP="00975F9D">
      <w:pPr>
        <w:spacing w:after="0" w:line="360" w:lineRule="auto"/>
        <w:rPr>
          <w:color w:val="000000"/>
        </w:rPr>
      </w:pPr>
      <w:r>
        <w:rPr>
          <w:color w:val="000000"/>
        </w:rPr>
        <w:t>Finalmente no pasa desapercibido para este Instituto que los documentos que den cuenta de lo solicitado, pudieran contener datos o información clasificada, tales como datos bancarios de servidores públicos, proveedores, contratistas, entre otros; al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0F0E8A6E" w14:textId="77777777" w:rsidR="00975F9D" w:rsidRDefault="00975F9D" w:rsidP="00975F9D">
      <w:pPr>
        <w:spacing w:after="0" w:line="360" w:lineRule="auto"/>
        <w:rPr>
          <w:color w:val="000000"/>
        </w:rPr>
      </w:pPr>
    </w:p>
    <w:p w14:paraId="3BE1642B" w14:textId="77777777" w:rsidR="00975F9D" w:rsidRDefault="00975F9D" w:rsidP="00975F9D">
      <w:pPr>
        <w:spacing w:after="0" w:line="360" w:lineRule="auto"/>
        <w:rPr>
          <w:color w:val="000000"/>
        </w:rPr>
      </w:pPr>
      <w:r>
        <w:rPr>
          <w:color w:val="000000"/>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10D277F0" w14:textId="77777777" w:rsidR="00117FC4" w:rsidRDefault="00117FC4">
      <w:pPr>
        <w:spacing w:after="0" w:line="360" w:lineRule="auto"/>
        <w:rPr>
          <w:color w:val="000000"/>
        </w:rPr>
      </w:pPr>
    </w:p>
    <w:p w14:paraId="754FFC10" w14:textId="77777777" w:rsidR="00117FC4" w:rsidRPr="00B553C4" w:rsidRDefault="00115752" w:rsidP="00B553C4">
      <w:pPr>
        <w:pStyle w:val="Ttulo2"/>
        <w:spacing w:before="0" w:line="360" w:lineRule="auto"/>
        <w:rPr>
          <w:rFonts w:ascii="Palatino Linotype" w:eastAsia="Palatino Linotype" w:hAnsi="Palatino Linotype" w:cs="Palatino Linotype"/>
          <w:b/>
          <w:color w:val="auto"/>
          <w:sz w:val="22"/>
          <w:szCs w:val="22"/>
        </w:rPr>
      </w:pPr>
      <w:bookmarkStart w:id="26" w:name="_heading=h.9bzw31y2xmey" w:colFirst="0" w:colLast="0"/>
      <w:bookmarkStart w:id="27" w:name="_Toc222409653"/>
      <w:bookmarkEnd w:id="26"/>
      <w:r w:rsidRPr="00B553C4">
        <w:rPr>
          <w:rFonts w:ascii="Palatino Linotype" w:eastAsia="Palatino Linotype" w:hAnsi="Palatino Linotype" w:cs="Palatino Linotype"/>
          <w:b/>
          <w:color w:val="auto"/>
          <w:sz w:val="22"/>
          <w:szCs w:val="22"/>
        </w:rPr>
        <w:t>SEXTO. Decisión</w:t>
      </w:r>
      <w:bookmarkEnd w:id="27"/>
    </w:p>
    <w:p w14:paraId="1885F5C4" w14:textId="77777777" w:rsidR="00117FC4" w:rsidRDefault="00117FC4">
      <w:pPr>
        <w:spacing w:after="0" w:line="360" w:lineRule="auto"/>
        <w:ind w:right="-93"/>
        <w:rPr>
          <w:b/>
          <w:bCs/>
          <w:color w:val="000000"/>
        </w:rPr>
      </w:pPr>
    </w:p>
    <w:p w14:paraId="66320EBB" w14:textId="77777777" w:rsidR="00117FC4" w:rsidRDefault="00115752">
      <w:pPr>
        <w:spacing w:after="0" w:line="360" w:lineRule="auto"/>
        <w:ind w:right="-93"/>
        <w:rPr>
          <w:color w:val="000000"/>
        </w:rPr>
      </w:pPr>
      <w:r>
        <w:rPr>
          <w:color w:val="000000"/>
        </w:rPr>
        <w:t xml:space="preserve">Con fundamento en el artículo 186, fracción III, de la Ley de Transparencia y Acceso a la Información Pública del Estado de México y Municipios, este Instituto considera procedente </w:t>
      </w:r>
      <w:r>
        <w:rPr>
          <w:b/>
          <w:bCs/>
          <w:color w:val="000000"/>
        </w:rPr>
        <w:t xml:space="preserve">REVOCAR </w:t>
      </w:r>
      <w:r>
        <w:rPr>
          <w:color w:val="000000"/>
        </w:rPr>
        <w:t>la respuesta otorgada por el Sujeto Obligado a la solicitud de información, por resultar fundadas las razones o motivos de inconformidad hechos valer por el Recurrente, por lo que, procede ordenar la información solicitada.</w:t>
      </w:r>
    </w:p>
    <w:p w14:paraId="296C146C" w14:textId="77777777" w:rsidR="00117FC4" w:rsidRDefault="00117FC4">
      <w:pPr>
        <w:spacing w:after="0" w:line="360" w:lineRule="auto"/>
        <w:ind w:right="-93"/>
        <w:rPr>
          <w:color w:val="000000"/>
        </w:rPr>
      </w:pPr>
    </w:p>
    <w:p w14:paraId="325829B5" w14:textId="77777777" w:rsidR="00117FC4" w:rsidRDefault="00115752">
      <w:pPr>
        <w:spacing w:after="0" w:line="360" w:lineRule="auto"/>
        <w:rPr>
          <w:b/>
          <w:bCs/>
          <w:color w:val="000000"/>
        </w:rPr>
      </w:pPr>
      <w:r>
        <w:rPr>
          <w:b/>
          <w:bCs/>
          <w:color w:val="000000"/>
        </w:rPr>
        <w:t>Términos de la Resolución para conocimiento del Particular</w:t>
      </w:r>
    </w:p>
    <w:p w14:paraId="7B44E09D" w14:textId="77777777" w:rsidR="00117FC4" w:rsidRDefault="00117FC4">
      <w:pPr>
        <w:spacing w:after="0" w:line="360" w:lineRule="auto"/>
        <w:rPr>
          <w:b/>
          <w:bCs/>
          <w:color w:val="000000"/>
        </w:rPr>
      </w:pPr>
    </w:p>
    <w:p w14:paraId="1C69DB67" w14:textId="77777777" w:rsidR="00117FC4" w:rsidRDefault="00115752">
      <w:pPr>
        <w:spacing w:after="0" w:line="360" w:lineRule="auto"/>
        <w:rPr>
          <w:color w:val="000000"/>
        </w:rPr>
      </w:pPr>
      <w:r>
        <w:rPr>
          <w:color w:val="000000"/>
        </w:rPr>
        <w:t xml:space="preserve">Se le hace del conocimiento al Particular, que, en el presente caso, este Instituto, determinó revocar la respuesta que le entregó el Sujeto Obligado a su solicitud de acceso, toda vez que no entregó los documentos que son de su interés, por lo que lo procedente es ordenar su entrega. </w:t>
      </w:r>
    </w:p>
    <w:p w14:paraId="2412B558" w14:textId="77777777" w:rsidR="00117FC4" w:rsidRDefault="00117FC4">
      <w:pPr>
        <w:spacing w:after="0" w:line="360" w:lineRule="auto"/>
        <w:rPr>
          <w:color w:val="000000"/>
        </w:rPr>
      </w:pPr>
    </w:p>
    <w:p w14:paraId="7CC3A9E9" w14:textId="77777777" w:rsidR="00117FC4" w:rsidRDefault="00115752">
      <w:pPr>
        <w:spacing w:after="0" w:line="360" w:lineRule="auto"/>
        <w:rPr>
          <w:color w:val="000000"/>
        </w:rPr>
      </w:pPr>
      <w:r>
        <w:rPr>
          <w:color w:val="000000"/>
        </w:rPr>
        <w:t>Finalmente, la</w:t>
      </w:r>
      <w:r>
        <w:t xml:space="preserve"> labor del Instituto, es apoyar a la población a acceder a la información pública y garantizar la protección de los datos personales.</w:t>
      </w:r>
    </w:p>
    <w:p w14:paraId="795A51A4" w14:textId="77777777" w:rsidR="00117FC4" w:rsidRDefault="00117FC4">
      <w:pPr>
        <w:spacing w:after="0" w:line="360" w:lineRule="auto"/>
        <w:rPr>
          <w:color w:val="000000"/>
        </w:rPr>
      </w:pPr>
    </w:p>
    <w:p w14:paraId="18FB067A" w14:textId="77777777" w:rsidR="00117FC4" w:rsidRDefault="00115752">
      <w:pPr>
        <w:spacing w:after="0" w:line="360" w:lineRule="auto"/>
        <w:rPr>
          <w:color w:val="000000"/>
        </w:rPr>
      </w:pPr>
      <w:r>
        <w:rPr>
          <w:color w:val="000000"/>
        </w:rPr>
        <w:t>Por lo expuesto y fundado, este Pleno:</w:t>
      </w:r>
    </w:p>
    <w:p w14:paraId="7C9E2176" w14:textId="77777777" w:rsidR="00117FC4" w:rsidRDefault="00117FC4">
      <w:pPr>
        <w:spacing w:after="0" w:line="360" w:lineRule="auto"/>
      </w:pPr>
    </w:p>
    <w:p w14:paraId="03CAF613" w14:textId="77777777" w:rsidR="00117FC4" w:rsidRDefault="00115752">
      <w:pPr>
        <w:pStyle w:val="Ttulo1"/>
        <w:spacing w:before="0" w:line="360" w:lineRule="auto"/>
        <w:jc w:val="center"/>
        <w:rPr>
          <w:rFonts w:ascii="Palatino Linotype" w:eastAsia="Palatino Linotype" w:hAnsi="Palatino Linotype" w:cs="Palatino Linotype"/>
          <w:b/>
          <w:bCs/>
          <w:color w:val="000000"/>
          <w:sz w:val="22"/>
          <w:szCs w:val="22"/>
        </w:rPr>
      </w:pPr>
      <w:bookmarkStart w:id="28" w:name="_heading=h.9nofokb13200" w:colFirst="0" w:colLast="0"/>
      <w:bookmarkStart w:id="29" w:name="_Toc222409654"/>
      <w:bookmarkEnd w:id="28"/>
      <w:r>
        <w:rPr>
          <w:rFonts w:ascii="Palatino Linotype" w:eastAsia="Palatino Linotype" w:hAnsi="Palatino Linotype" w:cs="Palatino Linotype"/>
          <w:b/>
          <w:bCs/>
          <w:color w:val="000000"/>
          <w:sz w:val="22"/>
          <w:szCs w:val="22"/>
        </w:rPr>
        <w:t>R E S U E L V E</w:t>
      </w:r>
      <w:bookmarkEnd w:id="29"/>
    </w:p>
    <w:p w14:paraId="1C4EF4B8" w14:textId="77777777" w:rsidR="00117FC4" w:rsidRDefault="00117FC4">
      <w:pPr>
        <w:spacing w:after="0" w:line="360" w:lineRule="auto"/>
      </w:pPr>
    </w:p>
    <w:p w14:paraId="1C0F0B11" w14:textId="77777777" w:rsidR="00117FC4" w:rsidRDefault="00115752">
      <w:pPr>
        <w:spacing w:after="0" w:line="360" w:lineRule="auto"/>
      </w:pPr>
      <w:r>
        <w:rPr>
          <w:b/>
          <w:bCs/>
          <w:color w:val="000000"/>
        </w:rPr>
        <w:t>PRIMERO</w:t>
      </w:r>
      <w:r>
        <w:rPr>
          <w:color w:val="000000"/>
        </w:rPr>
        <w:t xml:space="preserve">. </w:t>
      </w:r>
      <w:r>
        <w:t xml:space="preserve">Se </w:t>
      </w:r>
      <w:r>
        <w:rPr>
          <w:b/>
          <w:bCs/>
        </w:rPr>
        <w:t>REVOCA</w:t>
      </w:r>
      <w:r>
        <w:t xml:space="preserve"> la respuesta entregada por el Sistema Municipal para el Desarrollo Integral de la Familia Municipio de Atenco a la solicitud de información 00072/DIFATENCO/IP/2025 por resultar </w:t>
      </w:r>
      <w:r>
        <w:rPr>
          <w:b/>
          <w:bCs/>
        </w:rPr>
        <w:t>FUNDADAS</w:t>
      </w:r>
      <w:r>
        <w:t xml:space="preserve"> las razones o motivos de inconformidad hechos valer por el Recurrente en el Recurso de Revisión </w:t>
      </w:r>
      <w:r>
        <w:rPr>
          <w:color w:val="0D0D0D"/>
        </w:rPr>
        <w:t>12731/INFOEM/IP/RR/2025</w:t>
      </w:r>
      <w:r>
        <w:t xml:space="preserve">, en términos de los considerandos </w:t>
      </w:r>
      <w:r>
        <w:rPr>
          <w:b/>
          <w:bCs/>
        </w:rPr>
        <w:t>QUINTO y SEXTO</w:t>
      </w:r>
      <w:r>
        <w:t xml:space="preserve"> de la presente Resolución.</w:t>
      </w:r>
    </w:p>
    <w:p w14:paraId="082844F3" w14:textId="77777777" w:rsidR="00117FC4" w:rsidRDefault="00117FC4">
      <w:pPr>
        <w:spacing w:after="0" w:line="360" w:lineRule="auto"/>
        <w:rPr>
          <w:color w:val="000000"/>
        </w:rPr>
      </w:pPr>
    </w:p>
    <w:p w14:paraId="0BE9D37B" w14:textId="7E356D85" w:rsidR="00117FC4" w:rsidRDefault="00115752">
      <w:pPr>
        <w:spacing w:after="0" w:line="360" w:lineRule="auto"/>
        <w:rPr>
          <w:color w:val="000000"/>
        </w:rPr>
      </w:pPr>
      <w:r>
        <w:rPr>
          <w:b/>
          <w:bCs/>
          <w:color w:val="000000"/>
        </w:rPr>
        <w:t xml:space="preserve">SEGUNDO. </w:t>
      </w:r>
      <w:r>
        <w:t xml:space="preserve">Se </w:t>
      </w:r>
      <w:r>
        <w:rPr>
          <w:b/>
          <w:bCs/>
        </w:rPr>
        <w:t>ORDENA</w:t>
      </w:r>
      <w:r>
        <w:t xml:space="preserve"> al Ente Recurrido</w:t>
      </w:r>
      <w:r>
        <w:rPr>
          <w:b/>
          <w:bCs/>
        </w:rPr>
        <w:t xml:space="preserve">, </w:t>
      </w:r>
      <w:r>
        <w:t xml:space="preserve">a efecto de que previa búsqueda exhaustiva y razonable, en los archivos de las unidades administrativas competentes, entregue a través </w:t>
      </w:r>
      <w:r>
        <w:lastRenderedPageBreak/>
        <w:t>del Sistema de Acceso a la Información Mexiquense (SAIMEX),</w:t>
      </w:r>
      <w:r w:rsidR="00975F9D">
        <w:t xml:space="preserve"> en su caso, en versión pública,</w:t>
      </w:r>
      <w:r>
        <w:t xml:space="preserve"> lo siguiente:</w:t>
      </w:r>
    </w:p>
    <w:p w14:paraId="2462C7D0" w14:textId="77777777" w:rsidR="00117FC4" w:rsidRDefault="00117FC4">
      <w:pPr>
        <w:spacing w:after="0" w:line="360" w:lineRule="auto"/>
        <w:rPr>
          <w:b/>
          <w:bCs/>
          <w:color w:val="000000"/>
        </w:rPr>
      </w:pPr>
    </w:p>
    <w:p w14:paraId="7C983DE4" w14:textId="00810BCB" w:rsidR="00117FC4" w:rsidRDefault="00115752">
      <w:pPr>
        <w:numPr>
          <w:ilvl w:val="0"/>
          <w:numId w:val="1"/>
        </w:numPr>
        <w:pBdr>
          <w:top w:val="nil"/>
          <w:left w:val="nil"/>
          <w:bottom w:val="nil"/>
          <w:right w:val="nil"/>
          <w:between w:val="nil"/>
        </w:pBdr>
        <w:spacing w:after="0" w:line="360" w:lineRule="auto"/>
        <w:rPr>
          <w:color w:val="000000"/>
        </w:rPr>
      </w:pPr>
      <w:r>
        <w:rPr>
          <w:color w:val="000000"/>
        </w:rPr>
        <w:t xml:space="preserve">El </w:t>
      </w:r>
      <w:r>
        <w:t>Catálogo</w:t>
      </w:r>
      <w:r>
        <w:rPr>
          <w:color w:val="000000"/>
        </w:rPr>
        <w:t xml:space="preserve"> de Cuentas</w:t>
      </w:r>
      <w:r w:rsidR="00975F9D">
        <w:rPr>
          <w:color w:val="000000"/>
        </w:rPr>
        <w:t xml:space="preserve"> mensual</w:t>
      </w:r>
      <w:r>
        <w:rPr>
          <w:color w:val="000000"/>
        </w:rPr>
        <w:t xml:space="preserve">, </w:t>
      </w:r>
      <w:r w:rsidR="00975F9D">
        <w:rPr>
          <w:color w:val="000000"/>
        </w:rPr>
        <w:t>de enero a agosto de dos mil veinticinco.</w:t>
      </w:r>
    </w:p>
    <w:p w14:paraId="24FF7188" w14:textId="77777777" w:rsidR="00975F9D" w:rsidRDefault="00975F9D" w:rsidP="00975F9D">
      <w:pPr>
        <w:pBdr>
          <w:top w:val="nil"/>
          <w:left w:val="nil"/>
          <w:bottom w:val="nil"/>
          <w:right w:val="nil"/>
          <w:between w:val="nil"/>
        </w:pBdr>
        <w:spacing w:after="0" w:line="360" w:lineRule="auto"/>
        <w:rPr>
          <w:color w:val="000000"/>
        </w:rPr>
      </w:pPr>
    </w:p>
    <w:p w14:paraId="4B1DF01A" w14:textId="77777777" w:rsidR="00975F9D" w:rsidRDefault="00975F9D" w:rsidP="00975F9D">
      <w:pPr>
        <w:spacing w:after="0" w:line="360" w:lineRule="auto"/>
      </w:pPr>
      <w:r>
        <w:t>Además, de ser necesario, deberá proporcionar el Acuerdo de Clasificación donde el Comité de Transparencia, confirme la eliminación de los datos o información, en la versión pública, de conformidad con los artículos 49, fracciones II y VIII y 132, fracción II de la Ley de la materia.</w:t>
      </w:r>
    </w:p>
    <w:p w14:paraId="778B5108" w14:textId="77777777" w:rsidR="00117FC4" w:rsidRDefault="00117FC4">
      <w:pPr>
        <w:pBdr>
          <w:top w:val="nil"/>
          <w:left w:val="nil"/>
          <w:bottom w:val="nil"/>
          <w:right w:val="nil"/>
          <w:between w:val="nil"/>
        </w:pBdr>
        <w:spacing w:after="0" w:line="360" w:lineRule="auto"/>
        <w:ind w:left="720"/>
        <w:rPr>
          <w:color w:val="000000"/>
        </w:rPr>
      </w:pPr>
    </w:p>
    <w:p w14:paraId="36B08DD4" w14:textId="77777777" w:rsidR="00117FC4" w:rsidRDefault="00115752">
      <w:pPr>
        <w:spacing w:after="0" w:line="360" w:lineRule="auto"/>
        <w:ind w:right="-28"/>
        <w:rPr>
          <w:color w:val="000000"/>
        </w:rPr>
      </w:pPr>
      <w:r>
        <w:rPr>
          <w:b/>
          <w:bCs/>
          <w:color w:val="000000"/>
        </w:rPr>
        <w:t xml:space="preserve">TERCERO. NOTIFÍQUESE POR SAIMEX </w:t>
      </w:r>
      <w:r>
        <w:rPr>
          <w:color w:val="000000"/>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 De conformidad con el artículo 198 de la Ley de la materia, de considerarlo procedente, el Sujeto Obligado de manera fundada y motivada, podrá solicitar una ampliación de plazo para el cumplimiento de la presente resolución.</w:t>
      </w:r>
    </w:p>
    <w:p w14:paraId="2E3DC37A" w14:textId="77777777" w:rsidR="00117FC4" w:rsidRDefault="00117FC4">
      <w:pPr>
        <w:spacing w:after="0" w:line="360" w:lineRule="auto"/>
        <w:rPr>
          <w:b/>
          <w:bCs/>
          <w:color w:val="000000"/>
        </w:rPr>
      </w:pPr>
    </w:p>
    <w:p w14:paraId="1280E169" w14:textId="77777777" w:rsidR="00117FC4" w:rsidRDefault="00115752">
      <w:pPr>
        <w:spacing w:after="0" w:line="360" w:lineRule="auto"/>
        <w:rPr>
          <w:color w:val="000000"/>
        </w:rPr>
      </w:pPr>
      <w:r>
        <w:rPr>
          <w:b/>
          <w:bCs/>
          <w:color w:val="000000"/>
        </w:rPr>
        <w:t>CUARTO. NOTIFÍQUESE POR SAIMEX</w:t>
      </w:r>
      <w:r>
        <w:rPr>
          <w:color w:val="000000"/>
        </w:rPr>
        <w:t xml:space="preserve"> a la persona Recurrente la presente Resolución, asimismo, se hace de su conocimiento que de conformidad con lo establecido en el artículo </w:t>
      </w:r>
      <w:r>
        <w:rPr>
          <w:color w:val="000000"/>
        </w:rPr>
        <w:lastRenderedPageBreak/>
        <w:t>196 de la Ley de Transparencia y Acceso a la Información Pública del Estado de México y Municipios podrá promover el Juicio de Amparo en los términos de las leyes aplicables.</w:t>
      </w:r>
    </w:p>
    <w:p w14:paraId="7554348F" w14:textId="77777777" w:rsidR="00117FC4" w:rsidRDefault="00117FC4">
      <w:pPr>
        <w:spacing w:after="0" w:line="360" w:lineRule="auto"/>
      </w:pPr>
    </w:p>
    <w:p w14:paraId="3A7153BA" w14:textId="137C3DE2" w:rsidR="00117FC4" w:rsidRDefault="00115752">
      <w:pPr>
        <w:spacing w:after="0" w:line="360" w:lineRule="auto"/>
      </w:pPr>
      <w:r>
        <w:t xml:space="preserve">ASÍ LO RESUELVE, POR </w:t>
      </w:r>
      <w:r>
        <w:rPr>
          <w:b/>
          <w:bCs/>
        </w:rPr>
        <w:t>UNANIMIDAD</w:t>
      </w:r>
      <w: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SEXTA SESIÓN ORDINARIA, CELEBRADA EL DIECIOCHO D</w:t>
      </w:r>
      <w:r w:rsidR="004A6591">
        <w:t>E FEBRERO DE DOS MIL VEINTISÉIS</w:t>
      </w:r>
      <w:bookmarkStart w:id="30" w:name="_GoBack"/>
      <w:bookmarkEnd w:id="30"/>
      <w:r>
        <w:t>, ANTE EL SECRETARIO TÉCNICO DEL PLENO, ALEXIS TAPIA RAMÍREZ.</w:t>
      </w:r>
    </w:p>
    <w:p w14:paraId="28A5D120" w14:textId="77777777" w:rsidR="00117FC4" w:rsidRDefault="00117FC4">
      <w:pPr>
        <w:spacing w:after="0" w:line="360" w:lineRule="auto"/>
        <w:rPr>
          <w:color w:val="000000"/>
        </w:rPr>
      </w:pPr>
    </w:p>
    <w:p w14:paraId="7C548832" w14:textId="77777777" w:rsidR="00117FC4" w:rsidRDefault="00117FC4">
      <w:pPr>
        <w:spacing w:after="0" w:line="360" w:lineRule="auto"/>
        <w:rPr>
          <w:color w:val="000000"/>
        </w:rPr>
      </w:pPr>
    </w:p>
    <w:p w14:paraId="51F9E29F" w14:textId="77777777" w:rsidR="00117FC4" w:rsidRDefault="00117FC4">
      <w:pPr>
        <w:spacing w:after="0" w:line="360" w:lineRule="auto"/>
        <w:rPr>
          <w:color w:val="000000"/>
        </w:rPr>
      </w:pPr>
    </w:p>
    <w:p w14:paraId="7A77BC5C" w14:textId="77777777" w:rsidR="00117FC4" w:rsidRDefault="00117FC4">
      <w:pPr>
        <w:widowControl w:val="0"/>
        <w:spacing w:after="0" w:line="360" w:lineRule="auto"/>
        <w:rPr>
          <w:color w:val="000000"/>
        </w:rPr>
      </w:pPr>
    </w:p>
    <w:p w14:paraId="5E820404" w14:textId="77777777" w:rsidR="00117FC4" w:rsidRDefault="00117FC4">
      <w:pPr>
        <w:spacing w:after="0" w:line="360" w:lineRule="auto"/>
      </w:pPr>
    </w:p>
    <w:p w14:paraId="3CE0EB30" w14:textId="77777777" w:rsidR="00117FC4" w:rsidRDefault="00117FC4">
      <w:pPr>
        <w:spacing w:after="0" w:line="360" w:lineRule="auto"/>
      </w:pPr>
    </w:p>
    <w:p w14:paraId="1BAB7332" w14:textId="77777777" w:rsidR="00117FC4" w:rsidRDefault="00117FC4">
      <w:pPr>
        <w:spacing w:after="0" w:line="360" w:lineRule="auto"/>
      </w:pPr>
    </w:p>
    <w:p w14:paraId="1B6F0814" w14:textId="77777777" w:rsidR="00117FC4" w:rsidRDefault="00117FC4">
      <w:pPr>
        <w:spacing w:after="0" w:line="360" w:lineRule="auto"/>
      </w:pPr>
    </w:p>
    <w:p w14:paraId="0D95A29D" w14:textId="77777777" w:rsidR="00117FC4" w:rsidRDefault="00117FC4">
      <w:pPr>
        <w:spacing w:after="0" w:line="360" w:lineRule="auto"/>
      </w:pPr>
    </w:p>
    <w:p w14:paraId="408C0F1E" w14:textId="77777777" w:rsidR="00117FC4" w:rsidRDefault="00117FC4">
      <w:pPr>
        <w:spacing w:after="0" w:line="360" w:lineRule="auto"/>
      </w:pPr>
    </w:p>
    <w:p w14:paraId="582CC092" w14:textId="77777777" w:rsidR="00117FC4" w:rsidRDefault="00117FC4">
      <w:pPr>
        <w:spacing w:after="0" w:line="360" w:lineRule="auto"/>
      </w:pPr>
    </w:p>
    <w:p w14:paraId="47E4969A" w14:textId="77777777" w:rsidR="00117FC4" w:rsidRDefault="00117FC4">
      <w:pPr>
        <w:spacing w:after="0" w:line="360" w:lineRule="auto"/>
      </w:pPr>
    </w:p>
    <w:p w14:paraId="27726B90" w14:textId="77777777" w:rsidR="00117FC4" w:rsidRDefault="00117FC4">
      <w:pPr>
        <w:spacing w:after="0" w:line="360" w:lineRule="auto"/>
      </w:pPr>
    </w:p>
    <w:p w14:paraId="6B953014" w14:textId="77777777" w:rsidR="00117FC4" w:rsidRDefault="00117FC4">
      <w:pPr>
        <w:spacing w:after="0" w:line="360" w:lineRule="auto"/>
        <w:rPr>
          <w:color w:val="000000"/>
        </w:rPr>
      </w:pPr>
    </w:p>
    <w:p w14:paraId="55625504" w14:textId="77777777" w:rsidR="00117FC4" w:rsidRDefault="00117FC4">
      <w:pPr>
        <w:spacing w:after="0" w:line="360" w:lineRule="auto"/>
        <w:rPr>
          <w:b/>
          <w:bCs/>
        </w:rPr>
      </w:pPr>
    </w:p>
    <w:p w14:paraId="38646E11" w14:textId="77777777" w:rsidR="00117FC4" w:rsidRDefault="00117FC4">
      <w:pPr>
        <w:widowControl w:val="0"/>
        <w:spacing w:after="0" w:line="360" w:lineRule="auto"/>
        <w:rPr>
          <w:color w:val="000000"/>
        </w:rPr>
      </w:pPr>
    </w:p>
    <w:p w14:paraId="7FDF666D" w14:textId="77777777" w:rsidR="00117FC4" w:rsidRDefault="00117FC4">
      <w:pPr>
        <w:widowControl w:val="0"/>
        <w:spacing w:after="0" w:line="360" w:lineRule="auto"/>
        <w:rPr>
          <w:color w:val="000000"/>
        </w:rPr>
      </w:pPr>
    </w:p>
    <w:p w14:paraId="38696526" w14:textId="77777777" w:rsidR="00117FC4" w:rsidRDefault="00117FC4">
      <w:pPr>
        <w:widowControl w:val="0"/>
        <w:spacing w:after="0" w:line="360" w:lineRule="auto"/>
        <w:rPr>
          <w:color w:val="000000"/>
        </w:rPr>
      </w:pPr>
    </w:p>
    <w:p w14:paraId="3E5A3EE4" w14:textId="77777777" w:rsidR="00117FC4" w:rsidRDefault="00117FC4">
      <w:pPr>
        <w:widowControl w:val="0"/>
        <w:spacing w:after="0" w:line="360" w:lineRule="auto"/>
        <w:rPr>
          <w:color w:val="000000"/>
        </w:rPr>
      </w:pPr>
    </w:p>
    <w:p w14:paraId="272B93BC" w14:textId="77777777" w:rsidR="00117FC4" w:rsidRDefault="00117FC4">
      <w:pPr>
        <w:widowControl w:val="0"/>
        <w:spacing w:after="0" w:line="360" w:lineRule="auto"/>
        <w:rPr>
          <w:color w:val="000000"/>
        </w:rPr>
      </w:pPr>
    </w:p>
    <w:p w14:paraId="4DCF6425" w14:textId="77777777" w:rsidR="00117FC4" w:rsidRDefault="00117FC4">
      <w:pPr>
        <w:widowControl w:val="0"/>
        <w:spacing w:after="0" w:line="360" w:lineRule="auto"/>
        <w:rPr>
          <w:color w:val="000000"/>
        </w:rPr>
      </w:pPr>
    </w:p>
    <w:p w14:paraId="2841B8E8" w14:textId="77777777" w:rsidR="00117FC4" w:rsidRDefault="00117FC4">
      <w:pPr>
        <w:widowControl w:val="0"/>
        <w:spacing w:after="0" w:line="360" w:lineRule="auto"/>
        <w:rPr>
          <w:color w:val="000000"/>
        </w:rPr>
      </w:pPr>
    </w:p>
    <w:p w14:paraId="7C5F7179" w14:textId="77777777" w:rsidR="00117FC4" w:rsidRDefault="00117FC4">
      <w:pPr>
        <w:widowControl w:val="0"/>
        <w:spacing w:after="0" w:line="360" w:lineRule="auto"/>
        <w:rPr>
          <w:color w:val="000000"/>
        </w:rPr>
      </w:pPr>
    </w:p>
    <w:p w14:paraId="74911CF3" w14:textId="77777777" w:rsidR="00117FC4" w:rsidRDefault="00117FC4">
      <w:pPr>
        <w:spacing w:after="0" w:line="360" w:lineRule="auto"/>
      </w:pPr>
    </w:p>
    <w:p w14:paraId="7E1088FD" w14:textId="77777777" w:rsidR="00117FC4" w:rsidRDefault="00117FC4">
      <w:pPr>
        <w:spacing w:after="0" w:line="360" w:lineRule="auto"/>
      </w:pPr>
    </w:p>
    <w:sectPr w:rsidR="00117FC4">
      <w:headerReference w:type="even" r:id="rId11"/>
      <w:headerReference w:type="default" r:id="rId12"/>
      <w:footerReference w:type="even" r:id="rId13"/>
      <w:footerReference w:type="default" r:id="rId14"/>
      <w:headerReference w:type="first" r:id="rId15"/>
      <w:footerReference w:type="first" r:id="rId16"/>
      <w:pgSz w:w="12240" w:h="15840"/>
      <w:pgMar w:top="1418" w:right="1608" w:bottom="1560" w:left="1701" w:header="574"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BD6289" w14:textId="77777777" w:rsidR="00D17914" w:rsidRDefault="00D17914">
      <w:pPr>
        <w:spacing w:after="0" w:line="240" w:lineRule="auto"/>
      </w:pPr>
      <w:r>
        <w:separator/>
      </w:r>
    </w:p>
  </w:endnote>
  <w:endnote w:type="continuationSeparator" w:id="0">
    <w:p w14:paraId="33D68274" w14:textId="77777777" w:rsidR="00D17914" w:rsidRDefault="00D179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A45195B8-CFA0-4710-8037-BA623FBE93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CCD93453-09E4-4EE2-8DF4-7610058A51A9}"/>
    <w:embedBold r:id="rId3" w:fontKey="{BE519262-9A85-4118-8640-B2F1D97AF6DA}"/>
    <w:embedItalic r:id="rId4" w:fontKey="{AF1E5A62-0ACE-452F-B4BB-6CF57436A492}"/>
    <w:embedBoldItalic r:id="rId5" w:fontKey="{51DCE6A4-F40D-4E27-8445-46CFDF327ED9}"/>
  </w:font>
  <w:font w:name="Calibri">
    <w:panose1 w:val="020F0502020204030204"/>
    <w:charset w:val="00"/>
    <w:family w:val="swiss"/>
    <w:pitch w:val="variable"/>
    <w:sig w:usb0="E4002EFF" w:usb1="C200247B" w:usb2="00000009" w:usb3="00000000" w:csb0="000001FF" w:csb1="00000000"/>
    <w:embedRegular r:id="rId6" w:fontKey="{441F97F6-A155-4844-8755-E47C6A027E63}"/>
    <w:embedBold r:id="rId7" w:fontKey="{2955728C-118B-4E95-BEA2-3D7C25AE4D5A}"/>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AC9AF776-628E-4B45-B86E-098BEF340A13}"/>
  </w:font>
  <w:font w:name="Georgia">
    <w:panose1 w:val="02040502050405020303"/>
    <w:charset w:val="00"/>
    <w:family w:val="roman"/>
    <w:pitch w:val="variable"/>
    <w:sig w:usb0="00000287" w:usb1="00000000" w:usb2="00000000" w:usb3="00000000" w:csb0="0000009F" w:csb1="00000000"/>
    <w:embedItalic r:id="rId9" w:fontKey="{F8C24194-C774-4699-BE19-1E796575769F}"/>
  </w:font>
  <w:font w:name="Tahoma">
    <w:panose1 w:val="020B0604030504040204"/>
    <w:charset w:val="00"/>
    <w:family w:val="swiss"/>
    <w:pitch w:val="variable"/>
    <w:sig w:usb0="E1002EFF" w:usb1="C000605B" w:usb2="00000029" w:usb3="00000000" w:csb0="000101FF" w:csb1="00000000"/>
    <w:embedRegular r:id="rId10" w:fontKey="{9E616688-F8CE-40D0-9987-7EE0F0CC950F}"/>
    <w:embedBold r:id="rId11" w:fontKey="{4A80A6A0-D986-4DCA-9CFC-379EEB64557C}"/>
    <w:embedBoldItalic r:id="rId12" w:fontKey="{3CD06EBD-F058-46E8-9265-AA01AAB6AB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D5009" w14:textId="77777777" w:rsidR="00117FC4" w:rsidRDefault="0011575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7F2B37">
      <w:rPr>
        <w:b/>
        <w:bCs/>
        <w:color w:val="000000"/>
        <w:sz w:val="24"/>
        <w:szCs w:val="24"/>
      </w:rPr>
      <w:fldChar w:fldCharType="separate"/>
    </w:r>
    <w:r w:rsidR="007F2B37">
      <w:rPr>
        <w:b/>
        <w:bCs/>
        <w:noProof/>
        <w:color w:val="000000"/>
        <w:sz w:val="24"/>
        <w:szCs w:val="24"/>
      </w:rPr>
      <w:t>20</w:t>
    </w:r>
    <w:r>
      <w:rPr>
        <w:b/>
        <w:bCs/>
        <w:color w:val="000000"/>
        <w:sz w:val="24"/>
        <w:szCs w:val="24"/>
      </w:rPr>
      <w:fldChar w:fldCharType="end"/>
    </w:r>
  </w:p>
  <w:p w14:paraId="64F452FE" w14:textId="77777777" w:rsidR="00117FC4" w:rsidRDefault="00117FC4">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C9AAD" w14:textId="77777777" w:rsidR="00117FC4" w:rsidRDefault="0011575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7F2B37">
      <w:rPr>
        <w:b/>
        <w:bCs/>
        <w:noProof/>
        <w:color w:val="000000"/>
        <w:sz w:val="24"/>
        <w:szCs w:val="24"/>
      </w:rPr>
      <w:t>20</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7F2B37">
      <w:rPr>
        <w:b/>
        <w:bCs/>
        <w:noProof/>
        <w:color w:val="000000"/>
        <w:sz w:val="24"/>
        <w:szCs w:val="24"/>
      </w:rPr>
      <w:t>20</w:t>
    </w:r>
    <w:r>
      <w:rPr>
        <w:b/>
        <w:bCs/>
        <w:color w:val="000000"/>
        <w:sz w:val="24"/>
        <w:szCs w:val="24"/>
      </w:rPr>
      <w:fldChar w:fldCharType="end"/>
    </w:r>
  </w:p>
  <w:p w14:paraId="7EA6D621" w14:textId="77777777" w:rsidR="00117FC4" w:rsidRDefault="00117FC4">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498B5E" w14:textId="77777777" w:rsidR="00117FC4" w:rsidRDefault="0011575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7F2B37">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7F2B37">
      <w:rPr>
        <w:b/>
        <w:bCs/>
        <w:noProof/>
        <w:color w:val="000000"/>
        <w:sz w:val="24"/>
        <w:szCs w:val="24"/>
      </w:rPr>
      <w:t>20</w:t>
    </w:r>
    <w:r>
      <w:rPr>
        <w:b/>
        <w:bCs/>
        <w:color w:val="000000"/>
        <w:sz w:val="24"/>
        <w:szCs w:val="24"/>
      </w:rPr>
      <w:fldChar w:fldCharType="end"/>
    </w:r>
  </w:p>
  <w:p w14:paraId="6E744985" w14:textId="77777777" w:rsidR="00117FC4" w:rsidRDefault="00117FC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418C34" w14:textId="77777777" w:rsidR="00D17914" w:rsidRDefault="00D17914">
      <w:pPr>
        <w:spacing w:after="0" w:line="240" w:lineRule="auto"/>
      </w:pPr>
      <w:r>
        <w:separator/>
      </w:r>
    </w:p>
  </w:footnote>
  <w:footnote w:type="continuationSeparator" w:id="0">
    <w:p w14:paraId="27E7F93B" w14:textId="77777777" w:rsidR="00D17914" w:rsidRDefault="00D179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5BA8B" w14:textId="77777777" w:rsidR="00117FC4" w:rsidRDefault="00117FC4">
    <w:pPr>
      <w:widowControl w:val="0"/>
      <w:pBdr>
        <w:top w:val="nil"/>
        <w:left w:val="nil"/>
        <w:bottom w:val="nil"/>
        <w:right w:val="nil"/>
        <w:between w:val="nil"/>
      </w:pBdr>
      <w:spacing w:after="0" w:line="276" w:lineRule="auto"/>
      <w:jc w:val="left"/>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117FC4" w14:paraId="2384BCE8" w14:textId="77777777">
      <w:trPr>
        <w:trHeight w:val="132"/>
      </w:trPr>
      <w:tc>
        <w:tcPr>
          <w:tcW w:w="2691" w:type="dxa"/>
        </w:tcPr>
        <w:p w14:paraId="66424C52" w14:textId="77777777" w:rsidR="00117FC4" w:rsidRDefault="00115752">
          <w:pPr>
            <w:tabs>
              <w:tab w:val="right" w:pos="8838"/>
            </w:tabs>
            <w:ind w:right="-105"/>
            <w:rPr>
              <w:b/>
              <w:bCs/>
            </w:rPr>
          </w:pPr>
          <w:r>
            <w:rPr>
              <w:b/>
              <w:bCs/>
            </w:rPr>
            <w:t>Recurso de Revisión:</w:t>
          </w:r>
        </w:p>
      </w:tc>
      <w:tc>
        <w:tcPr>
          <w:tcW w:w="3405" w:type="dxa"/>
        </w:tcPr>
        <w:p w14:paraId="1876E03A" w14:textId="77777777" w:rsidR="00117FC4" w:rsidRDefault="00115752">
          <w:pPr>
            <w:tabs>
              <w:tab w:val="right" w:pos="8838"/>
            </w:tabs>
            <w:ind w:left="-28" w:right="-32"/>
          </w:pPr>
          <w:r>
            <w:t>03846/INFOEM/IP/RR/2020</w:t>
          </w:r>
        </w:p>
      </w:tc>
    </w:tr>
    <w:tr w:rsidR="00117FC4" w14:paraId="004E7DA8" w14:textId="77777777">
      <w:trPr>
        <w:trHeight w:val="261"/>
      </w:trPr>
      <w:tc>
        <w:tcPr>
          <w:tcW w:w="2691" w:type="dxa"/>
        </w:tcPr>
        <w:p w14:paraId="364FCDB9" w14:textId="77777777" w:rsidR="00117FC4" w:rsidRDefault="00115752">
          <w:pPr>
            <w:tabs>
              <w:tab w:val="right" w:pos="8838"/>
            </w:tabs>
            <w:ind w:right="-105"/>
            <w:rPr>
              <w:b/>
              <w:bCs/>
            </w:rPr>
          </w:pPr>
          <w:r>
            <w:rPr>
              <w:b/>
              <w:bCs/>
            </w:rPr>
            <w:t>Sujeto Obligado:</w:t>
          </w:r>
        </w:p>
      </w:tc>
      <w:tc>
        <w:tcPr>
          <w:tcW w:w="3405" w:type="dxa"/>
        </w:tcPr>
        <w:p w14:paraId="2E9409F3" w14:textId="77777777" w:rsidR="00117FC4" w:rsidRDefault="00115752">
          <w:pPr>
            <w:tabs>
              <w:tab w:val="right" w:pos="8838"/>
            </w:tabs>
            <w:ind w:right="-32"/>
          </w:pPr>
          <w:r>
            <w:t>Ayuntamiento de Valle de Chalco Solidaridad</w:t>
          </w:r>
        </w:p>
      </w:tc>
    </w:tr>
    <w:tr w:rsidR="00117FC4" w14:paraId="25F3788D" w14:textId="77777777">
      <w:trPr>
        <w:trHeight w:val="261"/>
      </w:trPr>
      <w:tc>
        <w:tcPr>
          <w:tcW w:w="2691" w:type="dxa"/>
        </w:tcPr>
        <w:p w14:paraId="5E37495B" w14:textId="77777777" w:rsidR="00117FC4" w:rsidRDefault="00115752">
          <w:pPr>
            <w:tabs>
              <w:tab w:val="right" w:pos="8838"/>
            </w:tabs>
            <w:ind w:right="-105"/>
            <w:rPr>
              <w:b/>
              <w:bCs/>
            </w:rPr>
          </w:pPr>
          <w:r>
            <w:rPr>
              <w:b/>
              <w:bCs/>
            </w:rPr>
            <w:t>Comisionado Ponente:</w:t>
          </w:r>
        </w:p>
      </w:tc>
      <w:tc>
        <w:tcPr>
          <w:tcW w:w="3405" w:type="dxa"/>
        </w:tcPr>
        <w:p w14:paraId="0A06122A" w14:textId="77777777" w:rsidR="00117FC4" w:rsidRDefault="00115752">
          <w:pPr>
            <w:tabs>
              <w:tab w:val="right" w:pos="8838"/>
            </w:tabs>
            <w:ind w:right="-32"/>
            <w:rPr>
              <w:b/>
              <w:bCs/>
            </w:rPr>
          </w:pPr>
          <w:r>
            <w:t>Luis Gustavo Parra Noriega</w:t>
          </w:r>
        </w:p>
      </w:tc>
    </w:tr>
  </w:tbl>
  <w:p w14:paraId="086481E8" w14:textId="77777777" w:rsidR="00117FC4" w:rsidRDefault="00D17914">
    <w:pPr>
      <w:pBdr>
        <w:top w:val="nil"/>
        <w:left w:val="nil"/>
        <w:bottom w:val="nil"/>
        <w:right w:val="nil"/>
        <w:between w:val="nil"/>
      </w:pBdr>
      <w:tabs>
        <w:tab w:val="center" w:pos="4419"/>
        <w:tab w:val="right" w:pos="8838"/>
      </w:tabs>
      <w:spacing w:after="0" w:line="240" w:lineRule="auto"/>
      <w:rPr>
        <w:color w:val="000000"/>
      </w:rPr>
    </w:pPr>
    <w:r>
      <w:rPr>
        <w:color w:val="000000"/>
      </w:rPr>
      <w:pict w14:anchorId="5AA928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21B7A" w14:textId="77777777" w:rsidR="00117FC4" w:rsidRDefault="00D17914">
    <w:r>
      <w:pict w14:anchorId="2695C5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MARCA DE AGUA - HOJA RESOLUCIÓN" style="position:absolute;left:0;text-align:left;margin-left:-76.05pt;margin-top:-139.6pt;width:663.5pt;height:12in;z-index:-251659776;mso-position-horizontal:absolute;mso-position-horizontal-relative:margin;mso-position-vertical:absolute;mso-position-vertical-relative:margin">
          <v:imagedata r:id="rId1" o:title="image3"/>
          <w10:wrap anchorx="margin" anchory="margin"/>
        </v:shape>
      </w:pict>
    </w:r>
  </w:p>
  <w:tbl>
    <w:tblPr>
      <w:tblStyle w:val="a0"/>
      <w:tblW w:w="7229" w:type="dxa"/>
      <w:tblInd w:w="2410" w:type="dxa"/>
      <w:tblBorders>
        <w:top w:val="nil"/>
        <w:left w:val="nil"/>
        <w:bottom w:val="nil"/>
        <w:right w:val="nil"/>
        <w:insideH w:val="nil"/>
        <w:insideV w:val="nil"/>
      </w:tblBorders>
      <w:tblLayout w:type="fixed"/>
      <w:tblLook w:val="0400" w:firstRow="0" w:lastRow="0" w:firstColumn="0" w:lastColumn="0" w:noHBand="0" w:noVBand="1"/>
    </w:tblPr>
    <w:tblGrid>
      <w:gridCol w:w="2401"/>
      <w:gridCol w:w="4828"/>
    </w:tblGrid>
    <w:tr w:rsidR="00117FC4" w14:paraId="3FDE013E" w14:textId="77777777">
      <w:trPr>
        <w:trHeight w:val="138"/>
      </w:trPr>
      <w:tc>
        <w:tcPr>
          <w:tcW w:w="2401" w:type="dxa"/>
          <w:vAlign w:val="center"/>
        </w:tcPr>
        <w:p w14:paraId="15F4DC7B" w14:textId="77777777" w:rsidR="00117FC4" w:rsidRDefault="00115752">
          <w:pPr>
            <w:tabs>
              <w:tab w:val="right" w:pos="8838"/>
            </w:tabs>
            <w:ind w:right="-105"/>
            <w:jc w:val="left"/>
            <w:rPr>
              <w:b/>
              <w:bCs/>
            </w:rPr>
          </w:pPr>
          <w:r>
            <w:rPr>
              <w:b/>
              <w:bCs/>
            </w:rPr>
            <w:t>Recurso de Revisión:</w:t>
          </w:r>
        </w:p>
      </w:tc>
      <w:tc>
        <w:tcPr>
          <w:tcW w:w="4828" w:type="dxa"/>
        </w:tcPr>
        <w:p w14:paraId="6DBB2742" w14:textId="77777777" w:rsidR="00117FC4" w:rsidRDefault="00115752">
          <w:pPr>
            <w:tabs>
              <w:tab w:val="right" w:pos="8838"/>
            </w:tabs>
            <w:ind w:right="-32"/>
          </w:pPr>
          <w:r>
            <w:t>12731/INFOEM/IP/RR/2025</w:t>
          </w:r>
        </w:p>
      </w:tc>
    </w:tr>
    <w:tr w:rsidR="00117FC4" w14:paraId="451D9BAD" w14:textId="77777777">
      <w:trPr>
        <w:trHeight w:val="273"/>
      </w:trPr>
      <w:tc>
        <w:tcPr>
          <w:tcW w:w="2401" w:type="dxa"/>
        </w:tcPr>
        <w:p w14:paraId="42E28183" w14:textId="77777777" w:rsidR="00117FC4" w:rsidRDefault="00115752">
          <w:pPr>
            <w:tabs>
              <w:tab w:val="right" w:pos="8838"/>
            </w:tabs>
            <w:ind w:right="-105"/>
            <w:rPr>
              <w:b/>
              <w:bCs/>
            </w:rPr>
          </w:pPr>
          <w:r>
            <w:rPr>
              <w:b/>
              <w:bCs/>
            </w:rPr>
            <w:t>Sujeto Obligado:</w:t>
          </w:r>
        </w:p>
      </w:tc>
      <w:tc>
        <w:tcPr>
          <w:tcW w:w="4828" w:type="dxa"/>
        </w:tcPr>
        <w:p w14:paraId="068F5E34" w14:textId="77777777" w:rsidR="00117FC4" w:rsidRDefault="00115752">
          <w:pPr>
            <w:tabs>
              <w:tab w:val="left" w:pos="3730"/>
              <w:tab w:val="right" w:pos="8838"/>
            </w:tabs>
            <w:ind w:right="597"/>
          </w:pPr>
          <w:r>
            <w:t>Sistema Municipal para el Desarrollo Integral de la Familia Municipio de Atenco</w:t>
          </w:r>
        </w:p>
      </w:tc>
    </w:tr>
    <w:tr w:rsidR="00117FC4" w14:paraId="0487BAA4" w14:textId="77777777">
      <w:trPr>
        <w:trHeight w:val="273"/>
      </w:trPr>
      <w:tc>
        <w:tcPr>
          <w:tcW w:w="2401" w:type="dxa"/>
        </w:tcPr>
        <w:p w14:paraId="1BEA0AD3" w14:textId="77777777" w:rsidR="00117FC4" w:rsidRDefault="00115752">
          <w:pPr>
            <w:tabs>
              <w:tab w:val="right" w:pos="8838"/>
            </w:tabs>
            <w:ind w:right="-105"/>
            <w:rPr>
              <w:b/>
              <w:bCs/>
            </w:rPr>
          </w:pPr>
          <w:r>
            <w:rPr>
              <w:b/>
              <w:bCs/>
            </w:rPr>
            <w:t>Comisionado Ponente:</w:t>
          </w:r>
        </w:p>
      </w:tc>
      <w:tc>
        <w:tcPr>
          <w:tcW w:w="4828" w:type="dxa"/>
        </w:tcPr>
        <w:p w14:paraId="7CAE055C" w14:textId="77777777" w:rsidR="00117FC4" w:rsidRDefault="00115752">
          <w:pPr>
            <w:tabs>
              <w:tab w:val="right" w:pos="8838"/>
            </w:tabs>
            <w:ind w:left="-28" w:right="-32"/>
          </w:pPr>
          <w:r>
            <w:t>Luis Gustavo Parra Noriega</w:t>
          </w:r>
        </w:p>
        <w:p w14:paraId="3B1089EA" w14:textId="77777777" w:rsidR="00117FC4" w:rsidRDefault="00117FC4">
          <w:pPr>
            <w:tabs>
              <w:tab w:val="right" w:pos="8838"/>
            </w:tabs>
            <w:ind w:left="-28" w:right="-32"/>
          </w:pPr>
        </w:p>
      </w:tc>
    </w:tr>
  </w:tbl>
  <w:p w14:paraId="660FD6E1" w14:textId="77777777" w:rsidR="00117FC4" w:rsidRDefault="00117FC4">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7E0E2A" w14:textId="77777777" w:rsidR="00117FC4" w:rsidRDefault="00117FC4">
    <w:pPr>
      <w:widowControl w:val="0"/>
      <w:pBdr>
        <w:top w:val="nil"/>
        <w:left w:val="nil"/>
        <w:bottom w:val="nil"/>
        <w:right w:val="nil"/>
        <w:between w:val="nil"/>
      </w:pBdr>
      <w:spacing w:after="0" w:line="276" w:lineRule="auto"/>
      <w:jc w:val="left"/>
      <w:rPr>
        <w:color w:val="000000"/>
      </w:rPr>
    </w:pPr>
  </w:p>
  <w:tbl>
    <w:tblPr>
      <w:tblStyle w:val="a1"/>
      <w:tblW w:w="7229" w:type="dxa"/>
      <w:tblInd w:w="2410" w:type="dxa"/>
      <w:tblBorders>
        <w:top w:val="nil"/>
        <w:left w:val="nil"/>
        <w:bottom w:val="nil"/>
        <w:right w:val="nil"/>
        <w:insideH w:val="nil"/>
        <w:insideV w:val="nil"/>
      </w:tblBorders>
      <w:tblLayout w:type="fixed"/>
      <w:tblLook w:val="0400" w:firstRow="0" w:lastRow="0" w:firstColumn="0" w:lastColumn="0" w:noHBand="0" w:noVBand="1"/>
    </w:tblPr>
    <w:tblGrid>
      <w:gridCol w:w="2410"/>
      <w:gridCol w:w="4394"/>
      <w:gridCol w:w="425"/>
    </w:tblGrid>
    <w:tr w:rsidR="00117FC4" w14:paraId="6D3F3660" w14:textId="77777777">
      <w:trPr>
        <w:trHeight w:val="132"/>
      </w:trPr>
      <w:tc>
        <w:tcPr>
          <w:tcW w:w="2410" w:type="dxa"/>
        </w:tcPr>
        <w:p w14:paraId="18F25699" w14:textId="77777777" w:rsidR="00117FC4" w:rsidRDefault="00115752">
          <w:pPr>
            <w:tabs>
              <w:tab w:val="right" w:pos="8838"/>
            </w:tabs>
            <w:ind w:right="-105"/>
            <w:rPr>
              <w:b/>
              <w:bCs/>
            </w:rPr>
          </w:pPr>
          <w:r>
            <w:rPr>
              <w:b/>
              <w:bCs/>
            </w:rPr>
            <w:t>Recurso de Revisión:</w:t>
          </w:r>
        </w:p>
      </w:tc>
      <w:tc>
        <w:tcPr>
          <w:tcW w:w="4819" w:type="dxa"/>
          <w:gridSpan w:val="2"/>
        </w:tcPr>
        <w:p w14:paraId="23F0F04B" w14:textId="77777777" w:rsidR="00117FC4" w:rsidRDefault="00115752">
          <w:pPr>
            <w:tabs>
              <w:tab w:val="right" w:pos="8838"/>
            </w:tabs>
            <w:ind w:right="-32"/>
          </w:pPr>
          <w:r>
            <w:t>12731/INFOEM/IP/RR/2025</w:t>
          </w:r>
        </w:p>
      </w:tc>
    </w:tr>
    <w:tr w:rsidR="00117FC4" w14:paraId="279DD1AF" w14:textId="77777777">
      <w:trPr>
        <w:trHeight w:val="132"/>
      </w:trPr>
      <w:tc>
        <w:tcPr>
          <w:tcW w:w="2410" w:type="dxa"/>
        </w:tcPr>
        <w:p w14:paraId="2D15E581" w14:textId="77777777" w:rsidR="00117FC4" w:rsidRDefault="00115752">
          <w:pPr>
            <w:tabs>
              <w:tab w:val="left" w:pos="1875"/>
            </w:tabs>
            <w:ind w:right="-105"/>
            <w:rPr>
              <w:b/>
              <w:bCs/>
            </w:rPr>
          </w:pPr>
          <w:r>
            <w:rPr>
              <w:b/>
              <w:bCs/>
            </w:rPr>
            <w:t>Recurrente:</w:t>
          </w:r>
          <w:r>
            <w:rPr>
              <w:b/>
              <w:bCs/>
            </w:rPr>
            <w:tab/>
          </w:r>
        </w:p>
      </w:tc>
      <w:tc>
        <w:tcPr>
          <w:tcW w:w="4819" w:type="dxa"/>
          <w:gridSpan w:val="2"/>
        </w:tcPr>
        <w:p w14:paraId="3C125D9B" w14:textId="77777777" w:rsidR="00117FC4" w:rsidRDefault="00117FC4">
          <w:pPr>
            <w:tabs>
              <w:tab w:val="right" w:pos="8838"/>
            </w:tabs>
            <w:ind w:right="-48"/>
          </w:pPr>
        </w:p>
      </w:tc>
    </w:tr>
    <w:tr w:rsidR="00117FC4" w14:paraId="06BE4E53" w14:textId="77777777">
      <w:trPr>
        <w:gridAfter w:val="1"/>
        <w:wAfter w:w="425" w:type="dxa"/>
        <w:trHeight w:val="261"/>
      </w:trPr>
      <w:tc>
        <w:tcPr>
          <w:tcW w:w="2410" w:type="dxa"/>
        </w:tcPr>
        <w:p w14:paraId="6C820043" w14:textId="77777777" w:rsidR="00117FC4" w:rsidRDefault="00115752">
          <w:pPr>
            <w:tabs>
              <w:tab w:val="right" w:pos="8838"/>
            </w:tabs>
            <w:ind w:right="-105"/>
            <w:rPr>
              <w:b/>
              <w:bCs/>
            </w:rPr>
          </w:pPr>
          <w:r>
            <w:rPr>
              <w:b/>
              <w:bCs/>
            </w:rPr>
            <w:t>Sujeto Obligado:</w:t>
          </w:r>
        </w:p>
      </w:tc>
      <w:tc>
        <w:tcPr>
          <w:tcW w:w="4394" w:type="dxa"/>
        </w:tcPr>
        <w:p w14:paraId="5250F470" w14:textId="77777777" w:rsidR="00117FC4" w:rsidRDefault="00115752">
          <w:pPr>
            <w:ind w:right="178"/>
          </w:pPr>
          <w:r>
            <w:t>Sistema Municipal para el Desarrollo Integral de la Familia Municipio de Atenco</w:t>
          </w:r>
        </w:p>
      </w:tc>
    </w:tr>
    <w:tr w:rsidR="00117FC4" w14:paraId="6B43A952" w14:textId="77777777">
      <w:trPr>
        <w:trHeight w:val="261"/>
      </w:trPr>
      <w:tc>
        <w:tcPr>
          <w:tcW w:w="2410" w:type="dxa"/>
        </w:tcPr>
        <w:p w14:paraId="4DCF6D44" w14:textId="77777777" w:rsidR="00117FC4" w:rsidRDefault="00115752">
          <w:pPr>
            <w:tabs>
              <w:tab w:val="right" w:pos="8838"/>
            </w:tabs>
            <w:ind w:right="-105"/>
            <w:rPr>
              <w:b/>
              <w:bCs/>
            </w:rPr>
          </w:pPr>
          <w:r>
            <w:rPr>
              <w:b/>
              <w:bCs/>
            </w:rPr>
            <w:t>Comisionado Ponente:</w:t>
          </w:r>
        </w:p>
      </w:tc>
      <w:tc>
        <w:tcPr>
          <w:tcW w:w="4819" w:type="dxa"/>
          <w:gridSpan w:val="2"/>
        </w:tcPr>
        <w:p w14:paraId="299F9C80" w14:textId="77777777" w:rsidR="00117FC4" w:rsidRDefault="00115752">
          <w:pPr>
            <w:tabs>
              <w:tab w:val="right" w:pos="8838"/>
            </w:tabs>
            <w:ind w:right="-32"/>
            <w:rPr>
              <w:b/>
              <w:bCs/>
            </w:rPr>
          </w:pPr>
          <w:r>
            <w:t>Luis Gustavo Parra Noriega</w:t>
          </w:r>
        </w:p>
      </w:tc>
    </w:tr>
  </w:tbl>
  <w:p w14:paraId="1DC3B24A" w14:textId="77777777" w:rsidR="00117FC4" w:rsidRDefault="00D17914">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5AC2DE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88.95pt;margin-top:-117.95pt;width:663.5pt;height:12in;z-index:-251658752;mso-position-horizontal:absolute;mso-position-horizontal-relative:margin;mso-position-vertical:absolute;mso-position-vertical-relative:margin">
          <v:imagedata r:id="rId1" o:title="image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444C76"/>
    <w:multiLevelType w:val="multilevel"/>
    <w:tmpl w:val="FF2607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57D1E31"/>
    <w:multiLevelType w:val="multilevel"/>
    <w:tmpl w:val="F2040B9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FC4"/>
    <w:rsid w:val="00115752"/>
    <w:rsid w:val="00117FC4"/>
    <w:rsid w:val="004A6591"/>
    <w:rsid w:val="004B1C4F"/>
    <w:rsid w:val="005F3D87"/>
    <w:rsid w:val="007F2B37"/>
    <w:rsid w:val="00975F9D"/>
    <w:rsid w:val="0098328B"/>
    <w:rsid w:val="00A61A43"/>
    <w:rsid w:val="00B21459"/>
    <w:rsid w:val="00B553C4"/>
    <w:rsid w:val="00CA1650"/>
    <w:rsid w:val="00D17914"/>
    <w:rsid w:val="00DD13C7"/>
    <w:rsid w:val="00FF02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80CFACA"/>
  <w15:docId w15:val="{4466ABA4-CEEF-4A87-A4B1-3720CCDBA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rFonts w:ascii="Calibri" w:eastAsia="Calibri" w:hAnsi="Calibri" w:cs="Calibri"/>
      <w:color w:val="2F5496"/>
      <w:sz w:val="32"/>
      <w:szCs w:val="32"/>
    </w:rPr>
  </w:style>
  <w:style w:type="paragraph" w:styleId="Ttulo2">
    <w:name w:val="heading 2"/>
    <w:basedOn w:val="Normal"/>
    <w:next w:val="Normal"/>
    <w:uiPriority w:val="9"/>
    <w:unhideWhenUsed/>
    <w:qFormat/>
    <w:pPr>
      <w:keepNext/>
      <w:keepLines/>
      <w:spacing w:before="40" w:after="0"/>
      <w:outlineLvl w:val="1"/>
    </w:pPr>
    <w:rPr>
      <w:rFonts w:ascii="Calibri" w:eastAsia="Calibri" w:hAnsi="Calibri" w:cs="Calibri"/>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paragraph" w:styleId="Encabezado">
    <w:name w:val="header"/>
    <w:basedOn w:val="Normal"/>
    <w:link w:val="EncabezadoCar"/>
    <w:uiPriority w:val="99"/>
    <w:unhideWhenUsed/>
    <w:rsid w:val="00EC77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77D9"/>
    <w:rPr>
      <w:rFonts w:ascii="Palatino Linotype" w:hAnsi="Palatino Linotype"/>
      <w:color w:val="000000" w:themeColor="text1"/>
    </w:rPr>
  </w:style>
  <w:style w:type="paragraph" w:styleId="Piedepgina">
    <w:name w:val="footer"/>
    <w:basedOn w:val="Normal"/>
    <w:link w:val="PiedepginaCar"/>
    <w:uiPriority w:val="99"/>
    <w:unhideWhenUsed/>
    <w:rsid w:val="00EC77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77D9"/>
    <w:rPr>
      <w:rFonts w:ascii="Palatino Linotype" w:hAnsi="Palatino Linotype"/>
      <w:color w:val="000000" w:themeColor="text1"/>
    </w:rPr>
  </w:style>
  <w:style w:type="table" w:styleId="Tablaconcuadrcula">
    <w:name w:val="Table Grid"/>
    <w:basedOn w:val="Tablanormal"/>
    <w:uiPriority w:val="59"/>
    <w:qFormat/>
    <w:rsid w:val="00EC77D9"/>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C77D9"/>
    <w:rPr>
      <w:rFonts w:ascii="Times New Roman" w:hAnsi="Times New Roman" w:cs="Times New Roman"/>
      <w:sz w:val="24"/>
      <w:szCs w:val="24"/>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C77D9"/>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EC77D9"/>
    <w:rPr>
      <w:rFonts w:ascii="Palatino Linotype" w:hAnsi="Palatino Linotype"/>
      <w:color w:val="000000" w:themeColor="text1"/>
    </w:rPr>
  </w:style>
  <w:style w:type="character" w:customStyle="1" w:styleId="normaltextrun">
    <w:name w:val="normaltextrun"/>
    <w:basedOn w:val="Fuentedeprrafopredeter"/>
    <w:rsid w:val="0097492D"/>
  </w:style>
  <w:style w:type="paragraph" w:customStyle="1" w:styleId="paragraph">
    <w:name w:val="paragraph"/>
    <w:basedOn w:val="Normal"/>
    <w:rsid w:val="001756F2"/>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1756F2"/>
  </w:style>
  <w:style w:type="character" w:styleId="Hipervnculo">
    <w:name w:val="Hyperlink"/>
    <w:aliases w:val="Hipervínculo1,Hipervínculo11,Hipervínculo12,Hipervínculo13,Hipervínculo14,Hipervínculo15"/>
    <w:basedOn w:val="Fuentedeprrafopredeter"/>
    <w:uiPriority w:val="99"/>
    <w:unhideWhenUsed/>
    <w:qFormat/>
    <w:rsid w:val="002A5660"/>
    <w:rPr>
      <w:color w:val="0563C1" w:themeColor="hyperlink"/>
      <w:u w:val="single"/>
    </w:rPr>
  </w:style>
  <w:style w:type="character" w:customStyle="1" w:styleId="Mencinsinresolver1">
    <w:name w:val="Mención sin resolver1"/>
    <w:basedOn w:val="Fuentedeprrafopredeter"/>
    <w:uiPriority w:val="99"/>
    <w:semiHidden/>
    <w:unhideWhenUsed/>
    <w:rsid w:val="001928BD"/>
    <w:rPr>
      <w:color w:val="605E5C"/>
      <w:shd w:val="clear" w:color="auto" w:fill="E1DFDD"/>
    </w:rPr>
  </w:style>
  <w:style w:type="character" w:customStyle="1" w:styleId="Mencinsinresolver2">
    <w:name w:val="Mención sin resolver2"/>
    <w:basedOn w:val="Fuentedeprrafopredeter"/>
    <w:uiPriority w:val="99"/>
    <w:semiHidden/>
    <w:unhideWhenUsed/>
    <w:rsid w:val="00C13E00"/>
    <w:rPr>
      <w:color w:val="605E5C"/>
      <w:shd w:val="clear" w:color="auto" w:fill="E1DFDD"/>
    </w:rPr>
  </w:style>
  <w:style w:type="character" w:customStyle="1" w:styleId="Mencinsinresolver3">
    <w:name w:val="Mención sin resolver3"/>
    <w:basedOn w:val="Fuentedeprrafopredeter"/>
    <w:uiPriority w:val="99"/>
    <w:semiHidden/>
    <w:unhideWhenUsed/>
    <w:rsid w:val="009B568A"/>
    <w:rPr>
      <w:color w:val="605E5C"/>
      <w:shd w:val="clear" w:color="auto" w:fill="E1DFDD"/>
    </w:rPr>
  </w:style>
  <w:style w:type="character" w:customStyle="1" w:styleId="Ttulo2Car">
    <w:name w:val="Título 2 Car"/>
    <w:basedOn w:val="Fuentedeprrafopredeter"/>
    <w:uiPriority w:val="9"/>
    <w:rsid w:val="004A40F2"/>
    <w:rPr>
      <w:rFonts w:asciiTheme="majorHAnsi" w:eastAsiaTheme="majorEastAsia" w:hAnsiTheme="majorHAnsi" w:cstheme="majorBidi"/>
      <w:color w:val="2F5496" w:themeColor="accent1" w:themeShade="BF"/>
      <w:sz w:val="26"/>
      <w:szCs w:val="26"/>
    </w:rPr>
  </w:style>
  <w:style w:type="character" w:customStyle="1" w:styleId="Ttulo1Car">
    <w:name w:val="Título 1 Car"/>
    <w:basedOn w:val="Fuentedeprrafopredeter"/>
    <w:uiPriority w:val="9"/>
    <w:rsid w:val="004A40F2"/>
    <w:rPr>
      <w:rFonts w:asciiTheme="majorHAnsi" w:eastAsiaTheme="majorEastAsia" w:hAnsiTheme="majorHAnsi" w:cstheme="majorBidi"/>
      <w:color w:val="2F5496" w:themeColor="accent1" w:themeShade="BF"/>
      <w:sz w:val="32"/>
      <w:szCs w:val="32"/>
    </w:rPr>
  </w:style>
  <w:style w:type="paragraph" w:styleId="TtulodeTDC">
    <w:name w:val="TOC Heading"/>
    <w:next w:val="Normal"/>
    <w:uiPriority w:val="39"/>
    <w:unhideWhenUsed/>
    <w:qFormat/>
    <w:rsid w:val="004A40F2"/>
    <w:pPr>
      <w:jc w:val="left"/>
    </w:pPr>
  </w:style>
  <w:style w:type="paragraph" w:styleId="TDC1">
    <w:name w:val="toc 1"/>
    <w:basedOn w:val="Normal"/>
    <w:next w:val="Normal"/>
    <w:autoRedefine/>
    <w:uiPriority w:val="39"/>
    <w:unhideWhenUsed/>
    <w:rsid w:val="004A40F2"/>
    <w:pPr>
      <w:spacing w:after="100"/>
    </w:pPr>
  </w:style>
  <w:style w:type="paragraph" w:styleId="TDC2">
    <w:name w:val="toc 2"/>
    <w:basedOn w:val="Normal"/>
    <w:next w:val="Normal"/>
    <w:autoRedefine/>
    <w:uiPriority w:val="39"/>
    <w:unhideWhenUsed/>
    <w:rsid w:val="004A40F2"/>
    <w:pPr>
      <w:spacing w:after="100"/>
      <w:ind w:left="220"/>
    </w:pPr>
  </w:style>
  <w:style w:type="table" w:customStyle="1" w:styleId="2">
    <w:name w:val="2"/>
    <w:basedOn w:val="Tablanormal"/>
    <w:rsid w:val="0006411D"/>
    <w:pPr>
      <w:spacing w:after="0" w:line="240" w:lineRule="auto"/>
    </w:pPr>
    <w:tblPr>
      <w:tblStyleRowBandSize w:val="1"/>
      <w:tblStyleColBandSize w:val="1"/>
      <w:tblInd w:w="0" w:type="nil"/>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FeSMAk0Lb5NNmgFvDQytPXXAoQ==">CgMxLjAyDmgucXJxMTgzdWpjd3QwMg5oLms4MDVueTFoeTBubTIOaC4xMmt0ZHF4cDIzc2MyDWguMnBtaHl2MXp3bTkyDmguZ2l4anRqeTYzc2k5Mg5oLjF1NmF2amtzazZmMjIOaC5zOW5tOGpzMDd4YXUyDmguaHc0NW12ODlxaXM3Mg5oLnB2Nm9wZXZzOGc5dDIOaC5yNm9vandydnVxZHMyDmguMXZiaHZ6OTA5bTlqMg5oLnJnNmpycmhlZnUyczIOaC4xM2F3czZnNzhqOWIyDmguaHVncTV5Y282NWFtMg5oLjJyY2dlYmcxeDVycDIOaC45Ynp3MzF5MnhtZXkyDmguOW5vZm9rYjEzMjAwOAByITF6Xy11UTg2RXlGRmdESzFobjdCbzRkTXV2RHQwNk5QN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B8F64F3-7B68-461B-BAAF-F8C104C2C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4124</Words>
  <Characters>22682</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PEÑA VARA</dc:creator>
  <cp:lastModifiedBy>USUARIO</cp:lastModifiedBy>
  <cp:revision>3</cp:revision>
  <cp:lastPrinted>2026-02-20T01:12:00Z</cp:lastPrinted>
  <dcterms:created xsi:type="dcterms:W3CDTF">2026-02-20T01:11:00Z</dcterms:created>
  <dcterms:modified xsi:type="dcterms:W3CDTF">2026-02-20T01:12:00Z</dcterms:modified>
</cp:coreProperties>
</file>