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303EE8"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104ECB">
        <w:rPr>
          <w:rFonts w:ascii="Palatino Linotype" w:eastAsia="Palatino Linotype" w:hAnsi="Palatino Linotype" w:cs="Palatino Linotype"/>
          <w:b/>
          <w:bCs/>
          <w:sz w:val="22"/>
          <w:szCs w:val="22"/>
        </w:rPr>
        <w:t>cinco</w:t>
      </w:r>
      <w:r w:rsidRPr="00104ECB">
        <w:rPr>
          <w:rFonts w:ascii="Palatino Linotype" w:eastAsia="Palatino Linotype" w:hAnsi="Palatino Linotype" w:cs="Palatino Linotype"/>
          <w:sz w:val="22"/>
          <w:szCs w:val="22"/>
        </w:rPr>
        <w:t xml:space="preserve"> </w:t>
      </w:r>
      <w:r w:rsidRPr="00104ECB">
        <w:rPr>
          <w:rFonts w:ascii="Palatino Linotype" w:eastAsia="Palatino Linotype" w:hAnsi="Palatino Linotype" w:cs="Palatino Linotype"/>
          <w:b/>
          <w:bCs/>
          <w:sz w:val="22"/>
          <w:szCs w:val="22"/>
        </w:rPr>
        <w:t>de febrero de dos mil veintiséis</w:t>
      </w:r>
      <w:r w:rsidRPr="00104ECB">
        <w:rPr>
          <w:rFonts w:ascii="Palatino Linotype" w:eastAsia="Palatino Linotype" w:hAnsi="Palatino Linotype" w:cs="Palatino Linotype"/>
          <w:sz w:val="22"/>
          <w:szCs w:val="22"/>
        </w:rPr>
        <w:t>.</w:t>
      </w:r>
    </w:p>
    <w:p w14:paraId="7BEA33B4"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62CE7008" w14:textId="668CEF4B"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Visto</w:t>
      </w:r>
      <w:r w:rsidRPr="00104ECB">
        <w:rPr>
          <w:rFonts w:ascii="Palatino Linotype" w:eastAsia="Palatino Linotype" w:hAnsi="Palatino Linotype" w:cs="Palatino Linotype"/>
          <w:sz w:val="22"/>
          <w:szCs w:val="22"/>
        </w:rPr>
        <w:t xml:space="preserve"> el expediente relativo al recurso de revisión </w:t>
      </w:r>
      <w:r w:rsidRPr="00104ECB">
        <w:rPr>
          <w:rFonts w:ascii="Palatino Linotype" w:eastAsia="Palatino Linotype" w:hAnsi="Palatino Linotype" w:cs="Palatino Linotype"/>
          <w:b/>
          <w:bCs/>
          <w:sz w:val="22"/>
          <w:szCs w:val="22"/>
        </w:rPr>
        <w:t>13094/INFOEM/IP/RR/2025</w:t>
      </w:r>
      <w:r w:rsidRPr="00104ECB">
        <w:rPr>
          <w:rFonts w:ascii="Palatino Linotype" w:eastAsia="Palatino Linotype" w:hAnsi="Palatino Linotype" w:cs="Palatino Linotype"/>
          <w:sz w:val="22"/>
          <w:szCs w:val="22"/>
        </w:rPr>
        <w:t xml:space="preserve">, interpuesto por </w:t>
      </w:r>
      <w:r w:rsidR="00FF78BA" w:rsidRPr="00FF78BA">
        <w:rPr>
          <w:rFonts w:ascii="Palatino Linotype" w:eastAsia="Palatino Linotype" w:hAnsi="Palatino Linotype" w:cs="Palatino Linotype"/>
          <w:b/>
          <w:bCs/>
          <w:sz w:val="22"/>
          <w:szCs w:val="22"/>
        </w:rPr>
        <w:t>XXX XXXXX XXXX</w:t>
      </w:r>
      <w:bookmarkStart w:id="0" w:name="_GoBack"/>
      <w:bookmarkEnd w:id="0"/>
      <w:r w:rsidRPr="00104ECB">
        <w:rPr>
          <w:rFonts w:ascii="Palatino Linotype" w:eastAsia="Palatino Linotype" w:hAnsi="Palatino Linotype" w:cs="Palatino Linotype"/>
          <w:b/>
          <w:bCs/>
          <w:sz w:val="22"/>
          <w:szCs w:val="22"/>
        </w:rPr>
        <w:t xml:space="preserve">, </w:t>
      </w:r>
      <w:r w:rsidRPr="00104ECB">
        <w:rPr>
          <w:rFonts w:ascii="Palatino Linotype" w:eastAsia="Palatino Linotype" w:hAnsi="Palatino Linotype" w:cs="Palatino Linotype"/>
          <w:sz w:val="22"/>
          <w:szCs w:val="22"/>
        </w:rPr>
        <w:t>en lo sucesivo se le denominará la parte</w:t>
      </w:r>
      <w:r w:rsidRPr="00104ECB">
        <w:rPr>
          <w:rFonts w:ascii="Palatino Linotype" w:eastAsia="Palatino Linotype" w:hAnsi="Palatino Linotype" w:cs="Palatino Linotype"/>
          <w:b/>
          <w:bCs/>
          <w:sz w:val="22"/>
          <w:szCs w:val="22"/>
        </w:rPr>
        <w:t xml:space="preserve"> RECURRENTE</w:t>
      </w:r>
      <w:r w:rsidRPr="00104ECB">
        <w:rPr>
          <w:rFonts w:ascii="Palatino Linotype" w:eastAsia="Palatino Linotype" w:hAnsi="Palatino Linotype" w:cs="Palatino Linotype"/>
          <w:sz w:val="22"/>
          <w:szCs w:val="22"/>
        </w:rPr>
        <w:t>, en contra de la respuesta a su solicitud de información con número de folio</w:t>
      </w:r>
      <w:r w:rsidRPr="00104ECB">
        <w:rPr>
          <w:rFonts w:ascii="Palatino Linotype" w:eastAsia="Palatino Linotype" w:hAnsi="Palatino Linotype" w:cs="Palatino Linotype"/>
          <w:b/>
          <w:bCs/>
          <w:sz w:val="22"/>
          <w:szCs w:val="22"/>
        </w:rPr>
        <w:t xml:space="preserve"> 00969/SECTI/IP/2025</w:t>
      </w:r>
      <w:r w:rsidRPr="00104ECB">
        <w:rPr>
          <w:rFonts w:ascii="Palatino Linotype" w:eastAsia="Palatino Linotype" w:hAnsi="Palatino Linotype" w:cs="Palatino Linotype"/>
          <w:sz w:val="22"/>
          <w:szCs w:val="22"/>
        </w:rPr>
        <w:t xml:space="preserve">, por parte de la </w:t>
      </w:r>
      <w:r w:rsidRPr="00104ECB">
        <w:rPr>
          <w:rFonts w:ascii="Palatino Linotype" w:eastAsia="Palatino Linotype" w:hAnsi="Palatino Linotype" w:cs="Palatino Linotype"/>
          <w:b/>
          <w:bCs/>
          <w:sz w:val="22"/>
          <w:szCs w:val="22"/>
        </w:rPr>
        <w:t>Secretaría de Educación, Ciencia, Tecnología e Innovación</w:t>
      </w:r>
      <w:r w:rsidRPr="00104ECB">
        <w:rPr>
          <w:rFonts w:ascii="Palatino Linotype" w:eastAsia="Palatino Linotype" w:hAnsi="Palatino Linotype" w:cs="Palatino Linotype"/>
          <w:sz w:val="22"/>
          <w:szCs w:val="22"/>
        </w:rPr>
        <w:t xml:space="preserve"> en lo sucesivo el </w:t>
      </w:r>
      <w:r w:rsidRPr="00104ECB">
        <w:rPr>
          <w:rFonts w:ascii="Palatino Linotype" w:eastAsia="Palatino Linotype" w:hAnsi="Palatino Linotype" w:cs="Palatino Linotype"/>
          <w:b/>
          <w:bCs/>
          <w:sz w:val="22"/>
          <w:szCs w:val="22"/>
        </w:rPr>
        <w:t>SUJETO OBLIGADO</w:t>
      </w:r>
      <w:r w:rsidRPr="00104ECB">
        <w:rPr>
          <w:rFonts w:ascii="Palatino Linotype" w:eastAsia="Palatino Linotype" w:hAnsi="Palatino Linotype" w:cs="Palatino Linotype"/>
          <w:sz w:val="22"/>
          <w:szCs w:val="22"/>
        </w:rPr>
        <w:t>;</w:t>
      </w:r>
      <w:r w:rsidRPr="00104ECB">
        <w:rPr>
          <w:rFonts w:ascii="Palatino Linotype" w:eastAsia="Palatino Linotype" w:hAnsi="Palatino Linotype" w:cs="Palatino Linotype"/>
          <w:b/>
          <w:bCs/>
          <w:sz w:val="22"/>
          <w:szCs w:val="22"/>
        </w:rPr>
        <w:t xml:space="preserve"> </w:t>
      </w:r>
      <w:r w:rsidRPr="00104ECB">
        <w:rPr>
          <w:rFonts w:ascii="Palatino Linotype" w:eastAsia="Palatino Linotype" w:hAnsi="Palatino Linotype" w:cs="Palatino Linotype"/>
          <w:sz w:val="22"/>
          <w:szCs w:val="22"/>
        </w:rPr>
        <w:t>se procede a dictar la presente resolución, con base en los siguientes:</w:t>
      </w:r>
    </w:p>
    <w:p w14:paraId="24ACD5A0"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158C1220" w14:textId="77777777" w:rsidR="00F10D3B" w:rsidRPr="00104ECB" w:rsidRDefault="009A1BEA">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bCs/>
          <w:sz w:val="22"/>
          <w:szCs w:val="22"/>
        </w:rPr>
      </w:pPr>
      <w:r w:rsidRPr="00104ECB">
        <w:rPr>
          <w:rFonts w:ascii="Palatino Linotype" w:eastAsia="Palatino Linotype" w:hAnsi="Palatino Linotype" w:cs="Palatino Linotype"/>
          <w:b/>
          <w:bCs/>
          <w:sz w:val="22"/>
          <w:szCs w:val="22"/>
        </w:rPr>
        <w:t>A N T E C E D E N T E S:</w:t>
      </w:r>
    </w:p>
    <w:p w14:paraId="39A0158A" w14:textId="77777777" w:rsidR="00F10D3B" w:rsidRPr="00104ECB" w:rsidRDefault="00F10D3B">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14:paraId="4D6726A6" w14:textId="77777777" w:rsidR="00F10D3B" w:rsidRPr="00104ECB" w:rsidRDefault="009A1BEA">
      <w:pPr>
        <w:numPr>
          <w:ilvl w:val="1"/>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r w:rsidRPr="00104ECB">
        <w:rPr>
          <w:rFonts w:ascii="Palatino Linotype" w:eastAsia="Palatino Linotype" w:hAnsi="Palatino Linotype" w:cs="Palatino Linotype"/>
          <w:b/>
          <w:bCs/>
          <w:sz w:val="22"/>
          <w:szCs w:val="22"/>
        </w:rPr>
        <w:t xml:space="preserve">Solicitud de acceso a la información. </w:t>
      </w:r>
      <w:r w:rsidRPr="00104ECB">
        <w:rPr>
          <w:rFonts w:ascii="Palatino Linotype" w:eastAsia="Palatino Linotype" w:hAnsi="Palatino Linotype" w:cs="Palatino Linotype"/>
          <w:sz w:val="22"/>
          <w:szCs w:val="22"/>
        </w:rPr>
        <w:t xml:space="preserve">Con fecha </w:t>
      </w:r>
      <w:r w:rsidRPr="00104ECB">
        <w:rPr>
          <w:rFonts w:ascii="Palatino Linotype" w:eastAsia="Palatino Linotype" w:hAnsi="Palatino Linotype" w:cs="Palatino Linotype"/>
          <w:b/>
          <w:bCs/>
          <w:sz w:val="22"/>
          <w:szCs w:val="22"/>
        </w:rPr>
        <w:t>veintidós de octubre de dos mil veinticinco</w:t>
      </w:r>
      <w:r w:rsidRPr="00104ECB">
        <w:rPr>
          <w:rFonts w:ascii="Palatino Linotype" w:eastAsia="Palatino Linotype" w:hAnsi="Palatino Linotype" w:cs="Palatino Linotype"/>
          <w:sz w:val="22"/>
          <w:szCs w:val="22"/>
        </w:rPr>
        <w:t xml:space="preserve">, la parte </w:t>
      </w:r>
      <w:r w:rsidRPr="00104ECB">
        <w:rPr>
          <w:rFonts w:ascii="Palatino Linotype" w:eastAsia="Palatino Linotype" w:hAnsi="Palatino Linotype" w:cs="Palatino Linotype"/>
          <w:b/>
          <w:bCs/>
          <w:sz w:val="22"/>
          <w:szCs w:val="22"/>
        </w:rPr>
        <w:t>RECURRENTE</w:t>
      </w:r>
      <w:r w:rsidRPr="00104ECB">
        <w:rPr>
          <w:rFonts w:ascii="Palatino Linotype" w:eastAsia="Palatino Linotype" w:hAnsi="Palatino Linotype" w:cs="Palatino Linotype"/>
          <w:sz w:val="22"/>
          <w:szCs w:val="22"/>
        </w:rPr>
        <w:t xml:space="preserve"> formuló solicitud de acceso a información pública al </w:t>
      </w:r>
      <w:r w:rsidRPr="00104ECB">
        <w:rPr>
          <w:rFonts w:ascii="Palatino Linotype" w:eastAsia="Palatino Linotype" w:hAnsi="Palatino Linotype" w:cs="Palatino Linotype"/>
          <w:b/>
          <w:bCs/>
          <w:sz w:val="22"/>
          <w:szCs w:val="22"/>
        </w:rPr>
        <w:t>SUJETO OBLIGADO</w:t>
      </w:r>
      <w:r w:rsidRPr="00104ECB">
        <w:rPr>
          <w:rFonts w:ascii="Palatino Linotype" w:eastAsia="Palatino Linotype" w:hAnsi="Palatino Linotype" w:cs="Palatino Linotype"/>
          <w:sz w:val="22"/>
          <w:szCs w:val="22"/>
        </w:rPr>
        <w:t xml:space="preserve"> a través del Sistema de Acceso a la Información Mexiquense, en adelante </w:t>
      </w:r>
      <w:r w:rsidRPr="00104ECB">
        <w:rPr>
          <w:rFonts w:ascii="Palatino Linotype" w:eastAsia="Palatino Linotype" w:hAnsi="Palatino Linotype" w:cs="Palatino Linotype"/>
          <w:b/>
          <w:bCs/>
          <w:sz w:val="22"/>
          <w:szCs w:val="22"/>
        </w:rPr>
        <w:t>SAIMEX</w:t>
      </w:r>
      <w:r w:rsidRPr="00104ECB">
        <w:rPr>
          <w:rFonts w:ascii="Palatino Linotype" w:eastAsia="Palatino Linotype" w:hAnsi="Palatino Linotype" w:cs="Palatino Linotype"/>
          <w:sz w:val="22"/>
          <w:szCs w:val="22"/>
        </w:rPr>
        <w:t>, requiriéndole lo siguiente:</w:t>
      </w:r>
    </w:p>
    <w:p w14:paraId="09428E24" w14:textId="77777777" w:rsidR="00F10D3B" w:rsidRPr="00104ECB" w:rsidRDefault="00F10D3B">
      <w:pPr>
        <w:spacing w:line="360" w:lineRule="auto"/>
        <w:ind w:left="709" w:right="900"/>
        <w:jc w:val="both"/>
        <w:rPr>
          <w:rFonts w:ascii="Palatino Linotype" w:eastAsia="Palatino Linotype" w:hAnsi="Palatino Linotype" w:cs="Palatino Linotype"/>
          <w:i/>
          <w:iCs/>
          <w:sz w:val="22"/>
          <w:szCs w:val="22"/>
        </w:rPr>
      </w:pPr>
    </w:p>
    <w:p w14:paraId="5953BAC4" w14:textId="77777777" w:rsidR="00F10D3B" w:rsidRPr="00104ECB" w:rsidRDefault="009A1BEA">
      <w:pPr>
        <w:spacing w:line="360" w:lineRule="auto"/>
        <w:ind w:left="709" w:right="900"/>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“Se solicita al CBT DR. Carlos Sosa Moss, Juchitepec CCT 15ECT0031B, la grabación de la cámara de seguridad que se encuentra dentro del espacio en el que se encuentran las oficinas de dirección, subdirección, secretaria escolar, orientación, sala de juntas y el espacio de de él y las secretarias mecanógrafas. Del día 21 de octubre de 2025 en un horario de 8:00 am a las 14:00 horas. Se anexa evidencia del monitor en donde las secretarias mecanógrafas están al pendiente de ellas.”(Sic)</w:t>
      </w:r>
    </w:p>
    <w:p w14:paraId="7C30DA2D" w14:textId="77777777" w:rsidR="00F10D3B" w:rsidRPr="00104ECB" w:rsidRDefault="009A1BEA">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r w:rsidRPr="00104ECB">
        <w:rPr>
          <w:rFonts w:ascii="Palatino Linotype" w:eastAsia="Palatino Linotype" w:hAnsi="Palatino Linotype" w:cs="Palatino Linotype"/>
          <w:sz w:val="22"/>
          <w:szCs w:val="22"/>
        </w:rPr>
        <w:lastRenderedPageBreak/>
        <w:t xml:space="preserve">El Recurrente adjuntó el documento electrónico denominado </w:t>
      </w:r>
      <w:r w:rsidRPr="00104ECB">
        <w:rPr>
          <w:rFonts w:ascii="Palatino Linotype" w:eastAsia="Palatino Linotype" w:hAnsi="Palatino Linotype" w:cs="Palatino Linotype"/>
          <w:b/>
          <w:bCs/>
          <w:sz w:val="22"/>
          <w:szCs w:val="22"/>
        </w:rPr>
        <w:t>cámaras de seguridad.docx</w:t>
      </w:r>
      <w:r w:rsidRPr="00104ECB">
        <w:rPr>
          <w:rFonts w:ascii="Palatino Linotype" w:eastAsia="Palatino Linotype" w:hAnsi="Palatino Linotype" w:cs="Palatino Linotype"/>
          <w:b/>
          <w:bCs/>
          <w:i/>
          <w:iCs/>
          <w:sz w:val="22"/>
          <w:szCs w:val="22"/>
        </w:rPr>
        <w:t xml:space="preserve"> </w:t>
      </w:r>
      <w:r w:rsidRPr="00104ECB">
        <w:rPr>
          <w:rFonts w:ascii="Palatino Linotype" w:eastAsia="Palatino Linotype" w:hAnsi="Palatino Linotype" w:cs="Palatino Linotype"/>
          <w:b/>
          <w:bCs/>
          <w:sz w:val="22"/>
          <w:szCs w:val="22"/>
        </w:rPr>
        <w:t>que contiene dos imágenes de una pantalla que se presume son cámaras de vigilancia.</w:t>
      </w:r>
    </w:p>
    <w:p w14:paraId="792EDC8A" w14:textId="77777777" w:rsidR="00F10D3B" w:rsidRPr="00104ECB" w:rsidRDefault="00F10D3B">
      <w:pPr>
        <w:spacing w:line="360" w:lineRule="auto"/>
        <w:jc w:val="both"/>
        <w:rPr>
          <w:rFonts w:ascii="Palatino Linotype" w:eastAsia="Palatino Linotype" w:hAnsi="Palatino Linotype" w:cs="Palatino Linotype"/>
          <w:b/>
          <w:bCs/>
          <w:sz w:val="22"/>
          <w:szCs w:val="22"/>
        </w:rPr>
      </w:pPr>
    </w:p>
    <w:p w14:paraId="15CFA56D" w14:textId="77777777" w:rsidR="00F10D3B" w:rsidRPr="00104ECB" w:rsidRDefault="009A1BEA">
      <w:pPr>
        <w:spacing w:line="360" w:lineRule="auto"/>
        <w:jc w:val="both"/>
        <w:rPr>
          <w:rFonts w:ascii="Palatino Linotype" w:eastAsia="Palatino Linotype" w:hAnsi="Palatino Linotype" w:cs="Palatino Linotype"/>
          <w:strike/>
          <w:sz w:val="22"/>
          <w:szCs w:val="22"/>
        </w:rPr>
      </w:pPr>
      <w:r w:rsidRPr="00104ECB">
        <w:rPr>
          <w:rFonts w:ascii="Palatino Linotype" w:eastAsia="Palatino Linotype" w:hAnsi="Palatino Linotype" w:cs="Palatino Linotype"/>
          <w:b/>
          <w:bCs/>
          <w:sz w:val="22"/>
          <w:szCs w:val="22"/>
        </w:rPr>
        <w:t xml:space="preserve">Modalidad elegida para la entrega de la información: </w:t>
      </w:r>
      <w:r w:rsidRPr="00104ECB">
        <w:rPr>
          <w:rFonts w:ascii="Palatino Linotype" w:eastAsia="Palatino Linotype" w:hAnsi="Palatino Linotype" w:cs="Palatino Linotype"/>
          <w:sz w:val="22"/>
          <w:szCs w:val="22"/>
        </w:rPr>
        <w:t>a través del Sistema de Acceso a la Información Mexiquense (SAIMEX).</w:t>
      </w:r>
    </w:p>
    <w:p w14:paraId="5A0A13D9" w14:textId="77777777" w:rsidR="00F10D3B" w:rsidRPr="00104ECB" w:rsidRDefault="00F10D3B">
      <w:pPr>
        <w:pBdr>
          <w:top w:val="nil"/>
          <w:left w:val="nil"/>
          <w:bottom w:val="nil"/>
          <w:right w:val="nil"/>
          <w:between w:val="nil"/>
        </w:pBdr>
        <w:spacing w:line="276" w:lineRule="auto"/>
        <w:ind w:right="616"/>
        <w:jc w:val="both"/>
        <w:rPr>
          <w:rFonts w:ascii="Palatino Linotype" w:eastAsia="Palatino Linotype" w:hAnsi="Palatino Linotype" w:cs="Palatino Linotype"/>
          <w:i/>
          <w:iCs/>
          <w:sz w:val="22"/>
          <w:szCs w:val="22"/>
        </w:rPr>
      </w:pPr>
    </w:p>
    <w:p w14:paraId="4FA85016" w14:textId="77777777" w:rsidR="00F10D3B" w:rsidRPr="00104ECB" w:rsidRDefault="009A1BEA">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bookmarkStart w:id="1" w:name="_heading=h.3znysh7" w:colFirst="0" w:colLast="0"/>
      <w:bookmarkEnd w:id="1"/>
      <w:r w:rsidRPr="00104ECB">
        <w:rPr>
          <w:rFonts w:ascii="Palatino Linotype" w:eastAsia="Palatino Linotype" w:hAnsi="Palatino Linotype" w:cs="Palatino Linotype"/>
          <w:b/>
          <w:bCs/>
          <w:sz w:val="22"/>
          <w:szCs w:val="22"/>
        </w:rPr>
        <w:t xml:space="preserve">Respuesta. </w:t>
      </w:r>
      <w:r w:rsidRPr="00104ECB">
        <w:rPr>
          <w:rFonts w:ascii="Palatino Linotype" w:eastAsia="Palatino Linotype" w:hAnsi="Palatino Linotype" w:cs="Palatino Linotype"/>
          <w:sz w:val="22"/>
          <w:szCs w:val="22"/>
        </w:rPr>
        <w:t xml:space="preserve">Con fecha </w:t>
      </w:r>
      <w:r w:rsidRPr="00104ECB">
        <w:rPr>
          <w:rFonts w:ascii="Palatino Linotype" w:eastAsia="Palatino Linotype" w:hAnsi="Palatino Linotype" w:cs="Palatino Linotype"/>
          <w:b/>
          <w:bCs/>
          <w:sz w:val="22"/>
          <w:szCs w:val="22"/>
        </w:rPr>
        <w:t>doce de noviembre de dos mil veinticinco</w:t>
      </w:r>
      <w:r w:rsidRPr="00104ECB">
        <w:rPr>
          <w:rFonts w:ascii="Palatino Linotype" w:eastAsia="Palatino Linotype" w:hAnsi="Palatino Linotype" w:cs="Palatino Linotype"/>
          <w:sz w:val="22"/>
          <w:szCs w:val="22"/>
        </w:rPr>
        <w:t xml:space="preserve">, el </w:t>
      </w:r>
      <w:r w:rsidRPr="00104ECB">
        <w:rPr>
          <w:rFonts w:ascii="Palatino Linotype" w:eastAsia="Palatino Linotype" w:hAnsi="Palatino Linotype" w:cs="Palatino Linotype"/>
          <w:b/>
          <w:bCs/>
          <w:sz w:val="22"/>
          <w:szCs w:val="22"/>
        </w:rPr>
        <w:t>SUJETO OBLIGADO</w:t>
      </w:r>
      <w:r w:rsidRPr="00104ECB">
        <w:rPr>
          <w:rFonts w:ascii="Palatino Linotype" w:eastAsia="Palatino Linotype" w:hAnsi="Palatino Linotype" w:cs="Palatino Linotype"/>
          <w:sz w:val="22"/>
          <w:szCs w:val="22"/>
        </w:rPr>
        <w:t xml:space="preserve"> envió su respuesta a la solicitud de acceso a la información a través del SAIMEX, en los siguientes términos:</w:t>
      </w:r>
    </w:p>
    <w:p w14:paraId="0715372F" w14:textId="77777777" w:rsidR="00F10D3B" w:rsidRPr="00104ECB" w:rsidRDefault="00F10D3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3F2BBB9" w14:textId="77777777" w:rsidR="00F10D3B" w:rsidRPr="00104ECB" w:rsidRDefault="009A1BE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2188425" w14:textId="77777777" w:rsidR="00F10D3B" w:rsidRPr="00104ECB" w:rsidRDefault="009A1BE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Con fundamento en los artículos 53 fracciones II, V y VI y 163 de la Ley de Transparencia y Acceso a la Información Pública del Estado de México y Municipios, en respuesta a su solicitud de información se adjunta el Acuerdo de respuesta de fecha 11 de noviembre de dos mil veinticinco; asimismo, se anexan en versión publica, los archivos que contienen la información remitida por el Servidor Público Habilitado responsable de generar la información.</w:t>
      </w:r>
    </w:p>
    <w:p w14:paraId="2192546A" w14:textId="77777777" w:rsidR="00F10D3B" w:rsidRPr="00104ECB" w:rsidRDefault="009A1BE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ATENTAMENTE</w:t>
      </w:r>
    </w:p>
    <w:p w14:paraId="05BD193D" w14:textId="77777777" w:rsidR="00F10D3B" w:rsidRPr="00104ECB" w:rsidRDefault="009A1BEA">
      <w:pPr>
        <w:pBdr>
          <w:top w:val="nil"/>
          <w:left w:val="nil"/>
          <w:bottom w:val="nil"/>
          <w:right w:val="nil"/>
          <w:between w:val="nil"/>
        </w:pBdr>
        <w:spacing w:line="360"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Lic. Rodrigo Ulises Rojas Muñoz”</w:t>
      </w:r>
    </w:p>
    <w:p w14:paraId="427DEB83" w14:textId="77777777" w:rsidR="00F10D3B" w:rsidRPr="00104ECB" w:rsidRDefault="00F10D3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C0DCD3" w14:textId="77777777" w:rsidR="00F10D3B" w:rsidRPr="00104ECB" w:rsidRDefault="009A1BE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Asimismo, adjuntó los siguientes documentos electrónicos:</w:t>
      </w:r>
    </w:p>
    <w:p w14:paraId="48E47B7F" w14:textId="77777777" w:rsidR="00F10D3B" w:rsidRPr="00104ECB" w:rsidRDefault="00F10D3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0627FE5" w14:textId="77777777" w:rsidR="00F10D3B" w:rsidRPr="00104ECB" w:rsidRDefault="00FF78B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hyperlink r:id="rId8">
        <w:r w:rsidR="009A1BEA" w:rsidRPr="00104ECB">
          <w:rPr>
            <w:rFonts w:ascii="Palatino Linotype" w:eastAsia="Palatino Linotype" w:hAnsi="Palatino Linotype" w:cs="Palatino Linotype"/>
            <w:b/>
            <w:bCs/>
            <w:sz w:val="22"/>
            <w:szCs w:val="22"/>
          </w:rPr>
          <w:t>Respuesta_UT_969.pdf</w:t>
        </w:r>
      </w:hyperlink>
      <w:r w:rsidR="009A1BEA" w:rsidRPr="00104ECB">
        <w:rPr>
          <w:rFonts w:ascii="Palatino Linotype" w:eastAsia="Palatino Linotype" w:hAnsi="Palatino Linotype" w:cs="Palatino Linotype"/>
          <w:sz w:val="22"/>
          <w:szCs w:val="22"/>
        </w:rPr>
        <w:t>: Oficio suscrito por la Titular de la Unidad de Transparencia mediante el cual refiere que se brinda la respuesta del Servidor Público Habilitado.</w:t>
      </w:r>
    </w:p>
    <w:p w14:paraId="5DD135FA" w14:textId="77777777" w:rsidR="00F10D3B" w:rsidRPr="00104ECB" w:rsidRDefault="00FF78BA">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hyperlink r:id="rId9">
        <w:r w:rsidR="009A1BEA" w:rsidRPr="00104ECB">
          <w:rPr>
            <w:rFonts w:ascii="Palatino Linotype" w:eastAsia="Palatino Linotype" w:hAnsi="Palatino Linotype" w:cs="Palatino Linotype"/>
            <w:b/>
            <w:bCs/>
            <w:sz w:val="22"/>
            <w:szCs w:val="22"/>
          </w:rPr>
          <w:t>RESPUESTA SPH 00969 BT.pdf</w:t>
        </w:r>
      </w:hyperlink>
      <w:r w:rsidR="009A1BEA" w:rsidRPr="00104ECB">
        <w:rPr>
          <w:rFonts w:ascii="Palatino Linotype" w:eastAsia="Palatino Linotype" w:hAnsi="Palatino Linotype" w:cs="Palatino Linotype"/>
          <w:b/>
          <w:bCs/>
          <w:sz w:val="22"/>
          <w:szCs w:val="22"/>
        </w:rPr>
        <w:t xml:space="preserve">: </w:t>
      </w:r>
      <w:r w:rsidR="009A1BEA" w:rsidRPr="00104ECB">
        <w:rPr>
          <w:rFonts w:ascii="Palatino Linotype" w:eastAsia="Palatino Linotype" w:hAnsi="Palatino Linotype" w:cs="Palatino Linotype"/>
          <w:sz w:val="22"/>
          <w:szCs w:val="22"/>
        </w:rPr>
        <w:t>Documento mediante el cual el Director Escolar mediante el cual refiere que en la búsqueda de las grabaciones aparece la leyenda “No se encontró ninguna grabación de video”, al solicitar apoyo al proveedor indicó que no están grabando por fallas, por las inclemencias del tiempo como fuertes lluvias, humedad y ráfagas de viento fuere ocasionan daños en los sectores del disco duro afectando las grabaciones dejando de grabar por lapsos de tiempo no definidos, por lo que se requiere reemplazo de disco duro y se procederá a darlo mantenimiento de inmediato.</w:t>
      </w:r>
    </w:p>
    <w:p w14:paraId="3E10A418" w14:textId="77777777" w:rsidR="00F10D3B" w:rsidRPr="00104ECB" w:rsidRDefault="00F10D3B">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1F7400A4" w14:textId="77777777" w:rsidR="00F10D3B" w:rsidRPr="00104ECB" w:rsidRDefault="009A1BEA">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 xml:space="preserve">Interposición del recurso de revisión. </w:t>
      </w:r>
      <w:r w:rsidRPr="00104ECB">
        <w:rPr>
          <w:rFonts w:ascii="Palatino Linotype" w:eastAsia="Palatino Linotype" w:hAnsi="Palatino Linotype" w:cs="Palatino Linotype"/>
          <w:sz w:val="22"/>
          <w:szCs w:val="22"/>
        </w:rPr>
        <w:t xml:space="preserve">Inconforme con la respuesta del </w:t>
      </w:r>
      <w:r w:rsidRPr="00104ECB">
        <w:rPr>
          <w:rFonts w:ascii="Palatino Linotype" w:eastAsia="Palatino Linotype" w:hAnsi="Palatino Linotype" w:cs="Palatino Linotype"/>
          <w:b/>
          <w:bCs/>
          <w:sz w:val="22"/>
          <w:szCs w:val="22"/>
        </w:rPr>
        <w:t>SUJETO OBLIGADO, la parte RECURRENTE</w:t>
      </w:r>
      <w:r w:rsidRPr="00104ECB">
        <w:rPr>
          <w:rFonts w:ascii="Palatino Linotype" w:eastAsia="Palatino Linotype" w:hAnsi="Palatino Linotype" w:cs="Palatino Linotype"/>
          <w:sz w:val="22"/>
          <w:szCs w:val="22"/>
        </w:rPr>
        <w:t xml:space="preserve"> interpuso recurso de revisión a través del SAIMEX en fecha </w:t>
      </w:r>
      <w:r w:rsidRPr="00104ECB">
        <w:rPr>
          <w:rFonts w:ascii="Palatino Linotype" w:eastAsia="Palatino Linotype" w:hAnsi="Palatino Linotype" w:cs="Palatino Linotype"/>
          <w:b/>
          <w:bCs/>
          <w:sz w:val="22"/>
          <w:szCs w:val="22"/>
        </w:rPr>
        <w:t>dieciocho de noviembre de dos mil veinticinco</w:t>
      </w:r>
      <w:r w:rsidRPr="00104ECB">
        <w:rPr>
          <w:rFonts w:ascii="Palatino Linotype" w:eastAsia="Palatino Linotype" w:hAnsi="Palatino Linotype" w:cs="Palatino Linotype"/>
          <w:sz w:val="22"/>
          <w:szCs w:val="22"/>
        </w:rPr>
        <w:t>, a través del cual expresó lo siguiente:</w:t>
      </w:r>
    </w:p>
    <w:p w14:paraId="404957D7" w14:textId="77777777" w:rsidR="00F10D3B" w:rsidRPr="00104ECB" w:rsidRDefault="00F10D3B">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58BB98CA" w14:textId="77777777" w:rsidR="00F10D3B" w:rsidRPr="00104ECB" w:rsidRDefault="009A1BEA">
      <w:pPr>
        <w:spacing w:line="276" w:lineRule="auto"/>
        <w:ind w:left="851"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sz w:val="22"/>
          <w:szCs w:val="22"/>
        </w:rPr>
        <w:t xml:space="preserve">Acto impugnado. </w:t>
      </w:r>
      <w:r w:rsidRPr="00104ECB">
        <w:rPr>
          <w:rFonts w:ascii="Palatino Linotype" w:eastAsia="Palatino Linotype" w:hAnsi="Palatino Linotype" w:cs="Palatino Linotype"/>
          <w:i/>
          <w:iCs/>
          <w:sz w:val="22"/>
          <w:szCs w:val="22"/>
        </w:rPr>
        <w:t xml:space="preserve">“La solicitud al acceso a la grabación de las cámaras de seguridad del día 21 de octubre del 2025”. </w:t>
      </w:r>
    </w:p>
    <w:p w14:paraId="2FE15460" w14:textId="77777777" w:rsidR="00F10D3B" w:rsidRPr="00104ECB" w:rsidRDefault="00F10D3B">
      <w:pPr>
        <w:spacing w:line="276" w:lineRule="auto"/>
        <w:ind w:left="851" w:right="616"/>
        <w:rPr>
          <w:rFonts w:ascii="Palatino Linotype" w:eastAsia="Palatino Linotype" w:hAnsi="Palatino Linotype" w:cs="Palatino Linotype"/>
          <w:sz w:val="22"/>
          <w:szCs w:val="22"/>
        </w:rPr>
      </w:pPr>
    </w:p>
    <w:p w14:paraId="726EBC4A" w14:textId="77777777" w:rsidR="00F10D3B" w:rsidRPr="00104ECB" w:rsidRDefault="009A1BEA">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sz w:val="22"/>
          <w:szCs w:val="22"/>
        </w:rPr>
        <w:t xml:space="preserve">Motivos de inconformidad. </w:t>
      </w:r>
      <w:r w:rsidRPr="00104ECB">
        <w:rPr>
          <w:rFonts w:ascii="Palatino Linotype" w:eastAsia="Palatino Linotype" w:hAnsi="Palatino Linotype" w:cs="Palatino Linotype"/>
          <w:i/>
          <w:iCs/>
          <w:sz w:val="22"/>
          <w:szCs w:val="22"/>
        </w:rPr>
        <w:t>“Asunto: Solicitud de documentación probatoria respecto a la falla técnica del equipo de videovigilancia. Referencia: Oficio No. 311/2025-2026 y Expediente de Transparencia 00975/SECTI/IP/2025. Lugar y Fecha: Juchitepec Estado de México a 17 de Noviembre del 2025. P R E S E N T E Con relación al oficio No. 311/2025-2026 con fecha 31 de octubre de 2025, mediante el cual se informa sobre la imposibilidad de proporcionar el video solicitado correspondiente al 21 de octubre del año en curso en el área administrativa debido a una falla técnica en el equipo de grabación, me permito manifestar lo siguiente: A fin de dar cumplimiento cabal al principio de Transparencia y Máxima Publicidad que rige el ejercicio del derecho a la información, y para corroborar la debida diligencia institucional en el mantenimiento de equipos de seguridad, solicito formalmente la siguiente documentación probatoria relacionada con la supuesta falla técnica: 1. Copia del Reporte Técnico o Dictamen elaborado por el proveedor o el técnico responsable, en el que se detalle el diagnóstico, la causa específica del daño (como la afectación al disco duro por inclemencias del tiempo) y la fecha de la revisión y reparación. 2. Copia de la Factura, Orden de Compra o Comprobante Fiscal correspondiente a la adquisición y/o reemplazo del disco duro y/o el servicio de mantenimiento inmediato realizado para la reparación de la falla, tal como se menciona en su oficio. 3. Copia del Contrato o Póliza de Servicio y Mantenimiento vigente entre el CBT Dr. Carlos Sosa Moss y el proveedor de los equipos de videovigilancia. La entrega de esta documentación es indispensable para sustentar la respuesta brindada en el Oficio 311/2025-2026 y garantizar la veracidad de la información dentro del marco del proceso de transparencia en curso (Expediente 00975/SECTI/IP/2025).” (sic)</w:t>
      </w:r>
    </w:p>
    <w:p w14:paraId="1D3A65C9" w14:textId="77777777" w:rsidR="00F10D3B" w:rsidRPr="00104ECB" w:rsidRDefault="00F10D3B">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p>
    <w:p w14:paraId="645F9015" w14:textId="77777777" w:rsidR="00F10D3B" w:rsidRPr="00104ECB" w:rsidRDefault="009A1BEA">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 xml:space="preserve">Turno. </w:t>
      </w:r>
      <w:r w:rsidRPr="00104EC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104ECB">
        <w:rPr>
          <w:rFonts w:ascii="Palatino Linotype" w:eastAsia="Palatino Linotype" w:hAnsi="Palatino Linotype" w:cs="Palatino Linotype"/>
          <w:b/>
          <w:bCs/>
          <w:sz w:val="22"/>
          <w:szCs w:val="22"/>
        </w:rPr>
        <w:t>13094/INFOEM/IP/RR/2025</w:t>
      </w:r>
      <w:r w:rsidRPr="00104ECB">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104ECB">
        <w:rPr>
          <w:rFonts w:ascii="Palatino Linotype" w:eastAsia="Palatino Linotype" w:hAnsi="Palatino Linotype" w:cs="Palatino Linotype"/>
          <w:b/>
          <w:bCs/>
          <w:sz w:val="22"/>
          <w:szCs w:val="22"/>
        </w:rPr>
        <w:t>Guadalupe Ramírez Peña</w:t>
      </w:r>
      <w:r w:rsidRPr="00104ECB">
        <w:rPr>
          <w:rFonts w:ascii="Palatino Linotype" w:eastAsia="Palatino Linotype" w:hAnsi="Palatino Linotype" w:cs="Palatino Linotype"/>
          <w:sz w:val="22"/>
          <w:szCs w:val="22"/>
        </w:rPr>
        <w:t>, para su análisis, estudio, elaboración del proyecto y presentación ante el Pleno de este Instituto.</w:t>
      </w:r>
    </w:p>
    <w:p w14:paraId="41275B15" w14:textId="77777777" w:rsidR="00F10D3B" w:rsidRPr="00104ECB" w:rsidRDefault="00F10D3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DDE0C39" w14:textId="77777777" w:rsidR="00F10D3B" w:rsidRPr="00104ECB" w:rsidRDefault="009A1BEA">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104ECB">
        <w:rPr>
          <w:rFonts w:ascii="Palatino Linotype" w:eastAsia="Palatino Linotype" w:hAnsi="Palatino Linotype" w:cs="Palatino Linotype"/>
          <w:b/>
          <w:bCs/>
          <w:sz w:val="22"/>
          <w:szCs w:val="22"/>
        </w:rPr>
        <w:t xml:space="preserve">Admisión del recurso de revisión: </w:t>
      </w:r>
      <w:r w:rsidRPr="00104ECB">
        <w:rPr>
          <w:rFonts w:ascii="Palatino Linotype" w:eastAsia="Palatino Linotype" w:hAnsi="Palatino Linotype" w:cs="Palatino Linotype"/>
          <w:sz w:val="22"/>
          <w:szCs w:val="22"/>
        </w:rPr>
        <w:t xml:space="preserve">En fecha </w:t>
      </w:r>
      <w:r w:rsidRPr="00104ECB">
        <w:rPr>
          <w:rFonts w:ascii="Palatino Linotype" w:eastAsia="Palatino Linotype" w:hAnsi="Palatino Linotype" w:cs="Palatino Linotype"/>
          <w:b/>
          <w:bCs/>
          <w:sz w:val="22"/>
          <w:szCs w:val="22"/>
        </w:rPr>
        <w:t>veintiuno de noviembre de dos mil veinticinco</w:t>
      </w:r>
      <w:r w:rsidRPr="00104ECB">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104ECB">
        <w:rPr>
          <w:rFonts w:ascii="Palatino Linotype" w:eastAsia="Palatino Linotype" w:hAnsi="Palatino Linotype" w:cs="Palatino Linotype"/>
          <w:b/>
          <w:bCs/>
          <w:sz w:val="22"/>
          <w:szCs w:val="22"/>
        </w:rPr>
        <w:t>SUJETO OBLIGADO</w:t>
      </w:r>
      <w:r w:rsidRPr="00104ECB">
        <w:rPr>
          <w:rFonts w:ascii="Palatino Linotype" w:eastAsia="Palatino Linotype" w:hAnsi="Palatino Linotype" w:cs="Palatino Linotype"/>
          <w:sz w:val="22"/>
          <w:szCs w:val="22"/>
        </w:rPr>
        <w:t xml:space="preserve"> presentara su informe justificado.</w:t>
      </w:r>
    </w:p>
    <w:p w14:paraId="6A87A725" w14:textId="77777777" w:rsidR="00F10D3B" w:rsidRPr="00104ECB" w:rsidRDefault="00F10D3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7124185F" w14:textId="77777777" w:rsidR="00F10D3B" w:rsidRPr="00104ECB" w:rsidRDefault="009A1BEA">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b/>
          <w:bCs/>
          <w:sz w:val="22"/>
          <w:szCs w:val="22"/>
        </w:rPr>
      </w:pPr>
      <w:r w:rsidRPr="00104ECB">
        <w:rPr>
          <w:rFonts w:ascii="Palatino Linotype" w:eastAsia="Palatino Linotype" w:hAnsi="Palatino Linotype" w:cs="Palatino Linotype"/>
          <w:b/>
          <w:bCs/>
          <w:sz w:val="22"/>
          <w:szCs w:val="22"/>
        </w:rPr>
        <w:t>Manifestaciones.</w:t>
      </w:r>
      <w:r w:rsidRPr="00104ECB">
        <w:rPr>
          <w:rFonts w:ascii="Palatino Linotype" w:eastAsia="Palatino Linotype" w:hAnsi="Palatino Linotype" w:cs="Palatino Linotype"/>
          <w:sz w:val="22"/>
          <w:szCs w:val="22"/>
        </w:rPr>
        <w:t xml:space="preserve"> De las constancias que obran en el expediente electrónico del SAIMEX, se aprecia que el Sujeto Obligado rindió informe justificado el </w:t>
      </w:r>
      <w:r w:rsidRPr="00104ECB">
        <w:rPr>
          <w:rFonts w:ascii="Palatino Linotype" w:eastAsia="Palatino Linotype" w:hAnsi="Palatino Linotype" w:cs="Palatino Linotype"/>
          <w:b/>
          <w:bCs/>
          <w:sz w:val="22"/>
          <w:szCs w:val="22"/>
        </w:rPr>
        <w:t>dos de diciembre</w:t>
      </w:r>
      <w:r w:rsidRPr="00104ECB">
        <w:rPr>
          <w:rFonts w:ascii="Palatino Linotype" w:eastAsia="Palatino Linotype" w:hAnsi="Palatino Linotype" w:cs="Palatino Linotype"/>
          <w:sz w:val="22"/>
          <w:szCs w:val="22"/>
        </w:rPr>
        <w:t xml:space="preserve"> </w:t>
      </w:r>
      <w:r w:rsidRPr="00104ECB">
        <w:rPr>
          <w:rFonts w:ascii="Palatino Linotype" w:eastAsia="Palatino Linotype" w:hAnsi="Palatino Linotype" w:cs="Palatino Linotype"/>
          <w:b/>
          <w:bCs/>
          <w:sz w:val="22"/>
          <w:szCs w:val="22"/>
        </w:rPr>
        <w:t>de dos mil veinticinco,</w:t>
      </w:r>
      <w:r w:rsidRPr="00104ECB">
        <w:rPr>
          <w:rFonts w:ascii="Palatino Linotype" w:eastAsia="Palatino Linotype" w:hAnsi="Palatino Linotype" w:cs="Palatino Linotype"/>
          <w:sz w:val="22"/>
          <w:szCs w:val="22"/>
        </w:rPr>
        <w:t xml:space="preserve"> a través del documento electrónico denominado </w:t>
      </w:r>
      <w:r w:rsidRPr="00104ECB">
        <w:rPr>
          <w:rFonts w:ascii="Palatino Linotype" w:eastAsia="Palatino Linotype" w:hAnsi="Palatino Linotype" w:cs="Palatino Linotype"/>
          <w:b/>
          <w:bCs/>
          <w:sz w:val="22"/>
          <w:szCs w:val="22"/>
        </w:rPr>
        <w:t xml:space="preserve">Inf Jus RR13094 SI 969.pdf, </w:t>
      </w:r>
      <w:r w:rsidRPr="00104ECB">
        <w:rPr>
          <w:rFonts w:ascii="Palatino Linotype" w:eastAsia="Palatino Linotype" w:hAnsi="Palatino Linotype" w:cs="Palatino Linotype"/>
          <w:sz w:val="22"/>
          <w:szCs w:val="22"/>
        </w:rPr>
        <w:t>mediante los señala que el Recurrente está realizando una ampliación de solicitud, asimismo, está dudando de la veracidad, por lo que solicita que el recurso de revisión sea sobreseído.</w:t>
      </w:r>
      <w:r w:rsidRPr="00104ECB">
        <w:rPr>
          <w:rFonts w:ascii="Palatino Linotype" w:eastAsia="Palatino Linotype" w:hAnsi="Palatino Linotype" w:cs="Palatino Linotype"/>
          <w:b/>
          <w:bCs/>
          <w:sz w:val="22"/>
          <w:szCs w:val="22"/>
        </w:rPr>
        <w:t xml:space="preserve"> </w:t>
      </w:r>
      <w:r w:rsidRPr="00104ECB">
        <w:rPr>
          <w:rFonts w:ascii="Palatino Linotype" w:eastAsia="Palatino Linotype" w:hAnsi="Palatino Linotype" w:cs="Palatino Linotype"/>
          <w:sz w:val="22"/>
          <w:szCs w:val="22"/>
        </w:rPr>
        <w:t xml:space="preserve">El contenido del recurso de revisión se puso a la vista del Recurrente el </w:t>
      </w:r>
      <w:r w:rsidRPr="00104ECB">
        <w:rPr>
          <w:rFonts w:ascii="Palatino Linotype" w:eastAsia="Palatino Linotype" w:hAnsi="Palatino Linotype" w:cs="Palatino Linotype"/>
          <w:b/>
          <w:bCs/>
          <w:sz w:val="22"/>
          <w:szCs w:val="22"/>
        </w:rPr>
        <w:t>veintinueve de enero de dos mil veintiséis.</w:t>
      </w:r>
    </w:p>
    <w:p w14:paraId="10C7DDDD" w14:textId="77777777" w:rsidR="00F10D3B" w:rsidRPr="00104ECB" w:rsidRDefault="00F10D3B">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sz w:val="22"/>
          <w:szCs w:val="22"/>
        </w:rPr>
      </w:pPr>
    </w:p>
    <w:p w14:paraId="5E9729BF" w14:textId="77777777" w:rsidR="00F10D3B" w:rsidRPr="00104ECB" w:rsidRDefault="009A1BEA">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Ampliación del plazo.</w:t>
      </w:r>
      <w:r w:rsidRPr="00104ECB">
        <w:rPr>
          <w:rFonts w:ascii="Palatino Linotype" w:eastAsia="Palatino Linotype" w:hAnsi="Palatino Linotype" w:cs="Palatino Linotype"/>
          <w:sz w:val="22"/>
          <w:szCs w:val="22"/>
        </w:rPr>
        <w:t xml:space="preserve"> En fecha </w:t>
      </w:r>
      <w:r w:rsidRPr="00104ECB">
        <w:rPr>
          <w:rFonts w:ascii="Palatino Linotype" w:eastAsia="Palatino Linotype" w:hAnsi="Palatino Linotype" w:cs="Palatino Linotype"/>
          <w:b/>
          <w:bCs/>
          <w:sz w:val="22"/>
          <w:szCs w:val="22"/>
        </w:rPr>
        <w:t>veintinueve de enero dos mil veintiséis</w:t>
      </w:r>
      <w:r w:rsidRPr="00104ECB">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14:paraId="682962A5" w14:textId="77777777" w:rsidR="00F10D3B" w:rsidRPr="00104ECB" w:rsidRDefault="00F10D3B">
      <w:pPr>
        <w:rPr>
          <w:rFonts w:ascii="Palatino Linotype" w:eastAsia="Palatino Linotype" w:hAnsi="Palatino Linotype" w:cs="Palatino Linotype"/>
          <w:sz w:val="22"/>
          <w:szCs w:val="22"/>
        </w:rPr>
      </w:pPr>
    </w:p>
    <w:p w14:paraId="16BA411D" w14:textId="77777777" w:rsidR="00F10D3B" w:rsidRPr="00104ECB" w:rsidRDefault="009A1BEA">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 xml:space="preserve">Cierre de instrucción. </w:t>
      </w:r>
      <w:r w:rsidRPr="00104ECB">
        <w:rPr>
          <w:rFonts w:ascii="Palatino Linotype" w:eastAsia="Palatino Linotype" w:hAnsi="Palatino Linotype" w:cs="Palatino Linotype"/>
          <w:sz w:val="22"/>
          <w:szCs w:val="22"/>
        </w:rPr>
        <w:t xml:space="preserve">El </w:t>
      </w:r>
      <w:r w:rsidRPr="00104ECB">
        <w:rPr>
          <w:rFonts w:ascii="Palatino Linotype" w:eastAsia="Palatino Linotype" w:hAnsi="Palatino Linotype" w:cs="Palatino Linotype"/>
          <w:b/>
          <w:bCs/>
          <w:sz w:val="22"/>
          <w:szCs w:val="22"/>
        </w:rPr>
        <w:t>cinco de febrero de dos mil veinticinco</w:t>
      </w:r>
      <w:r w:rsidRPr="00104ECB">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260C1F7" w14:textId="77777777" w:rsidR="00F10D3B" w:rsidRPr="00104ECB" w:rsidRDefault="00F10D3B">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54FDDEB2"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A5534D3" w14:textId="77777777" w:rsidR="00F10D3B" w:rsidRPr="00104ECB" w:rsidRDefault="009A1BEA">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3" w:name="_heading=h.30j0zll" w:colFirst="0" w:colLast="0"/>
      <w:bookmarkEnd w:id="3"/>
      <w:r w:rsidRPr="00104ECB">
        <w:rPr>
          <w:rFonts w:ascii="Palatino Linotype" w:eastAsia="Palatino Linotype" w:hAnsi="Palatino Linotype" w:cs="Palatino Linotype"/>
          <w:b/>
          <w:bCs/>
          <w:sz w:val="22"/>
          <w:szCs w:val="22"/>
        </w:rPr>
        <w:t>C O N S I D E R A N D O:</w:t>
      </w:r>
    </w:p>
    <w:p w14:paraId="21D84B2F" w14:textId="77777777" w:rsidR="00F10D3B" w:rsidRPr="00104ECB" w:rsidRDefault="00F10D3B">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14:paraId="01C91D53"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Primero. Competencia.</w:t>
      </w:r>
      <w:r w:rsidRPr="00104EC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B76A510" w14:textId="77777777" w:rsidR="00F10D3B" w:rsidRPr="00104ECB" w:rsidRDefault="00F10D3B">
      <w:pPr>
        <w:spacing w:line="360" w:lineRule="auto"/>
        <w:jc w:val="both"/>
        <w:rPr>
          <w:rFonts w:ascii="Palatino Linotype" w:eastAsia="Palatino Linotype" w:hAnsi="Palatino Linotype" w:cs="Palatino Linotype"/>
          <w:b/>
          <w:bCs/>
          <w:sz w:val="22"/>
          <w:szCs w:val="22"/>
        </w:rPr>
      </w:pPr>
    </w:p>
    <w:p w14:paraId="31A71B3A"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Segundo. Oportunidad y Procedibilidad del Recurso de Revisión</w:t>
      </w:r>
      <w:r w:rsidRPr="00104ECB">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2CC4454"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21663690"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104ECB">
        <w:rPr>
          <w:rFonts w:ascii="Palatino Linotype" w:eastAsia="Palatino Linotype" w:hAnsi="Palatino Linotype" w:cs="Palatino Linotype"/>
          <w:b/>
          <w:bCs/>
          <w:sz w:val="22"/>
          <w:szCs w:val="22"/>
        </w:rPr>
        <w:t>SUJETO OBLIGADO</w:t>
      </w:r>
      <w:r w:rsidRPr="00104ECB">
        <w:rPr>
          <w:rFonts w:ascii="Palatino Linotype" w:eastAsia="Palatino Linotype" w:hAnsi="Palatino Linotype" w:cs="Palatino Linotype"/>
          <w:sz w:val="22"/>
          <w:szCs w:val="22"/>
        </w:rPr>
        <w:t xml:space="preserve"> proporcionó su respuesta a la solicitud de información el </w:t>
      </w:r>
      <w:r w:rsidRPr="00104ECB">
        <w:rPr>
          <w:rFonts w:ascii="Palatino Linotype" w:eastAsia="Palatino Linotype" w:hAnsi="Palatino Linotype" w:cs="Palatino Linotype"/>
          <w:b/>
          <w:bCs/>
          <w:sz w:val="22"/>
          <w:szCs w:val="22"/>
        </w:rPr>
        <w:t>doce de noviembre de dos mil veinticinco</w:t>
      </w:r>
      <w:r w:rsidRPr="00104ECB">
        <w:rPr>
          <w:rFonts w:ascii="Palatino Linotype" w:eastAsia="Palatino Linotype" w:hAnsi="Palatino Linotype" w:cs="Palatino Linotype"/>
          <w:sz w:val="22"/>
          <w:szCs w:val="22"/>
        </w:rPr>
        <w:t xml:space="preserve"> y el recurso se tuvo por presentado el </w:t>
      </w:r>
      <w:r w:rsidRPr="00104ECB">
        <w:rPr>
          <w:rFonts w:ascii="Palatino Linotype" w:eastAsia="Palatino Linotype" w:hAnsi="Palatino Linotype" w:cs="Palatino Linotype"/>
          <w:b/>
          <w:bCs/>
          <w:sz w:val="22"/>
          <w:szCs w:val="22"/>
        </w:rPr>
        <w:t>dieciocho de agosto de dos mil veinticinco</w:t>
      </w:r>
      <w:r w:rsidRPr="00104ECB">
        <w:rPr>
          <w:rFonts w:ascii="Palatino Linotype" w:eastAsia="Palatino Linotype" w:hAnsi="Palatino Linotype" w:cs="Palatino Linotype"/>
          <w:sz w:val="22"/>
          <w:szCs w:val="22"/>
        </w:rPr>
        <w:t xml:space="preserve">, esto es al </w:t>
      </w:r>
      <w:r w:rsidRPr="00104ECB">
        <w:rPr>
          <w:rFonts w:ascii="Palatino Linotype" w:eastAsia="Palatino Linotype" w:hAnsi="Palatino Linotype" w:cs="Palatino Linotype"/>
          <w:b/>
          <w:bCs/>
          <w:sz w:val="22"/>
          <w:szCs w:val="22"/>
        </w:rPr>
        <w:t>tercer</w:t>
      </w:r>
      <w:r w:rsidRPr="00104ECB">
        <w:rPr>
          <w:rFonts w:ascii="Palatino Linotype" w:eastAsia="Palatino Linotype" w:hAnsi="Palatino Linotype" w:cs="Palatino Linotype"/>
          <w:sz w:val="22"/>
          <w:szCs w:val="22"/>
        </w:rPr>
        <w:t xml:space="preserve"> </w:t>
      </w:r>
      <w:r w:rsidRPr="00104ECB">
        <w:rPr>
          <w:rFonts w:ascii="Palatino Linotype" w:eastAsia="Palatino Linotype" w:hAnsi="Palatino Linotype" w:cs="Palatino Linotype"/>
          <w:b/>
          <w:bCs/>
          <w:sz w:val="22"/>
          <w:szCs w:val="22"/>
        </w:rPr>
        <w:t>día</w:t>
      </w:r>
      <w:r w:rsidRPr="00104ECB">
        <w:rPr>
          <w:rFonts w:ascii="Palatino Linotype" w:eastAsia="Palatino Linotype" w:hAnsi="Palatino Linotype" w:cs="Palatino Linotype"/>
          <w:sz w:val="22"/>
          <w:szCs w:val="22"/>
        </w:rPr>
        <w:t xml:space="preserve"> que se tuvo conocimiento de la solicitud.</w:t>
      </w:r>
    </w:p>
    <w:p w14:paraId="69480974" w14:textId="77777777" w:rsidR="00F10D3B" w:rsidRPr="00104ECB" w:rsidRDefault="00F10D3B">
      <w:pPr>
        <w:spacing w:line="360" w:lineRule="auto"/>
        <w:ind w:right="49"/>
        <w:jc w:val="both"/>
        <w:rPr>
          <w:rFonts w:ascii="Palatino Linotype" w:eastAsia="Palatino Linotype" w:hAnsi="Palatino Linotype" w:cs="Palatino Linotype"/>
          <w:sz w:val="22"/>
          <w:szCs w:val="22"/>
        </w:rPr>
      </w:pPr>
    </w:p>
    <w:p w14:paraId="0B9F8A80" w14:textId="77777777" w:rsidR="00F10D3B" w:rsidRPr="00104ECB" w:rsidRDefault="009A1BEA">
      <w:pPr>
        <w:spacing w:line="360" w:lineRule="auto"/>
        <w:jc w:val="both"/>
        <w:rPr>
          <w:rFonts w:ascii="Palatino Linotype" w:eastAsia="Palatino Linotype" w:hAnsi="Palatino Linotype" w:cs="Palatino Linotype"/>
          <w:b/>
          <w:bCs/>
          <w:sz w:val="22"/>
          <w:szCs w:val="22"/>
        </w:rPr>
      </w:pPr>
      <w:r w:rsidRPr="00104ECB">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104ECB">
        <w:rPr>
          <w:rFonts w:ascii="Palatino Linotype" w:eastAsia="Palatino Linotype" w:hAnsi="Palatino Linotype" w:cs="Palatino Linotype"/>
          <w:b/>
          <w:bCs/>
          <w:sz w:val="22"/>
          <w:szCs w:val="22"/>
        </w:rPr>
        <w:t>EL SAIMEX.</w:t>
      </w:r>
    </w:p>
    <w:p w14:paraId="0290FE6F" w14:textId="77777777" w:rsidR="00F10D3B" w:rsidRPr="00104ECB" w:rsidRDefault="00F10D3B">
      <w:pPr>
        <w:spacing w:line="360" w:lineRule="auto"/>
        <w:jc w:val="both"/>
        <w:rPr>
          <w:rFonts w:ascii="Palatino Linotype" w:eastAsia="Palatino Linotype" w:hAnsi="Palatino Linotype" w:cs="Palatino Linotype"/>
          <w:b/>
          <w:bCs/>
          <w:sz w:val="22"/>
          <w:szCs w:val="22"/>
        </w:rPr>
      </w:pPr>
    </w:p>
    <w:p w14:paraId="0F7DA911"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III de la ley de la materia, que a la letra dice:</w:t>
      </w:r>
    </w:p>
    <w:p w14:paraId="62CBA241"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391C877B" w14:textId="77777777" w:rsidR="00F10D3B" w:rsidRPr="00104ECB" w:rsidRDefault="009A1BEA">
      <w:pPr>
        <w:spacing w:line="276"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w:t>
      </w:r>
      <w:r w:rsidRPr="00104ECB">
        <w:rPr>
          <w:rFonts w:ascii="Palatino Linotype" w:eastAsia="Palatino Linotype" w:hAnsi="Palatino Linotype" w:cs="Palatino Linotype"/>
          <w:b/>
          <w:bCs/>
          <w:i/>
          <w:iCs/>
          <w:sz w:val="22"/>
          <w:szCs w:val="22"/>
        </w:rPr>
        <w:t xml:space="preserve">Artículo 179. </w:t>
      </w:r>
      <w:r w:rsidRPr="00104ECB">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16865ACB" w14:textId="77777777" w:rsidR="00F10D3B" w:rsidRPr="00104ECB" w:rsidRDefault="009A1BEA">
      <w:pPr>
        <w:spacing w:line="276"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w:t>
      </w:r>
    </w:p>
    <w:p w14:paraId="3B55E0CF" w14:textId="77777777" w:rsidR="00F10D3B" w:rsidRPr="00104ECB" w:rsidRDefault="009A1BEA">
      <w:pPr>
        <w:spacing w:line="360"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III. La declaración de inexistencia de la información;</w:t>
      </w:r>
    </w:p>
    <w:p w14:paraId="689E2E7A" w14:textId="77777777" w:rsidR="00F10D3B" w:rsidRPr="00104ECB" w:rsidRDefault="009A1BEA">
      <w:pPr>
        <w:spacing w:line="360"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 xml:space="preserve">…” </w:t>
      </w:r>
    </w:p>
    <w:p w14:paraId="1769F0E3" w14:textId="77777777" w:rsidR="00F10D3B" w:rsidRPr="00104ECB" w:rsidRDefault="00F10D3B">
      <w:pPr>
        <w:spacing w:line="360" w:lineRule="auto"/>
        <w:ind w:left="567" w:right="616"/>
        <w:jc w:val="both"/>
        <w:rPr>
          <w:rFonts w:ascii="Palatino Linotype" w:eastAsia="Palatino Linotype" w:hAnsi="Palatino Linotype" w:cs="Palatino Linotype"/>
          <w:i/>
          <w:iCs/>
          <w:sz w:val="22"/>
          <w:szCs w:val="22"/>
        </w:rPr>
      </w:pPr>
    </w:p>
    <w:p w14:paraId="564B03E3"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TERCERO. ANÁLISIS DE LAS CAUSALES DE SOBRESEIMIENTO</w:t>
      </w:r>
      <w:r w:rsidRPr="00104ECB">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6E109FD"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5248DF50"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50ABE6F0"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6DC76E16" w14:textId="77777777" w:rsidR="00F10D3B" w:rsidRPr="00104ECB" w:rsidRDefault="009A1BEA">
      <w:pPr>
        <w:spacing w:line="360" w:lineRule="auto"/>
        <w:ind w:right="51"/>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De manera preliminar en el caso concreto conviene analizar si se actualiza alguna de las causales de sobreseimiento de los recursos de revisión.</w:t>
      </w:r>
    </w:p>
    <w:p w14:paraId="16D72739" w14:textId="77777777" w:rsidR="00F10D3B" w:rsidRPr="00104ECB" w:rsidRDefault="00F10D3B">
      <w:pPr>
        <w:spacing w:line="276" w:lineRule="auto"/>
        <w:ind w:right="616"/>
        <w:jc w:val="both"/>
        <w:rPr>
          <w:rFonts w:ascii="Palatino Linotype" w:eastAsia="Palatino Linotype" w:hAnsi="Palatino Linotype" w:cs="Palatino Linotype"/>
          <w:b/>
          <w:bCs/>
          <w:i/>
          <w:iCs/>
          <w:sz w:val="22"/>
          <w:szCs w:val="22"/>
        </w:rPr>
      </w:pPr>
    </w:p>
    <w:p w14:paraId="57087878"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Dicho lo anterior, es de recordar que la pretensión de la parte Recurrente es obtener acceso a la siguiente información:</w:t>
      </w:r>
    </w:p>
    <w:p w14:paraId="7B02675C" w14:textId="77777777" w:rsidR="00F10D3B" w:rsidRPr="00104ECB" w:rsidRDefault="00F10D3B">
      <w:pPr>
        <w:spacing w:line="360" w:lineRule="auto"/>
        <w:ind w:right="49"/>
        <w:jc w:val="both"/>
        <w:rPr>
          <w:rFonts w:ascii="Palatino Linotype" w:eastAsia="Palatino Linotype" w:hAnsi="Palatino Linotype" w:cs="Palatino Linotype"/>
          <w:sz w:val="22"/>
          <w:szCs w:val="22"/>
        </w:rPr>
      </w:pPr>
    </w:p>
    <w:p w14:paraId="26443779" w14:textId="77777777" w:rsidR="00F10D3B" w:rsidRPr="00104ECB" w:rsidRDefault="009A1BEA">
      <w:pPr>
        <w:pBdr>
          <w:top w:val="nil"/>
          <w:left w:val="nil"/>
          <w:bottom w:val="nil"/>
          <w:right w:val="nil"/>
          <w:between w:val="nil"/>
        </w:pBdr>
        <w:spacing w:line="360" w:lineRule="auto"/>
        <w:ind w:left="720" w:right="49"/>
        <w:jc w:val="both"/>
        <w:rPr>
          <w:rFonts w:ascii="Palatino Linotype" w:eastAsia="Palatino Linotype" w:hAnsi="Palatino Linotype" w:cs="Palatino Linotype"/>
          <w:b/>
          <w:bCs/>
          <w:i/>
          <w:iCs/>
          <w:sz w:val="22"/>
          <w:szCs w:val="22"/>
        </w:rPr>
      </w:pPr>
      <w:r w:rsidRPr="00104ECB">
        <w:rPr>
          <w:rFonts w:ascii="Palatino Linotype" w:eastAsia="Palatino Linotype" w:hAnsi="Palatino Linotype" w:cs="Palatino Linotype"/>
          <w:b/>
          <w:bCs/>
          <w:i/>
          <w:iCs/>
          <w:sz w:val="22"/>
          <w:szCs w:val="22"/>
        </w:rPr>
        <w:t>Del CBT DR. Carlos Sosa Moss CTT 15ECT0031B:</w:t>
      </w:r>
    </w:p>
    <w:p w14:paraId="2210EAF6" w14:textId="77777777" w:rsidR="00F10D3B" w:rsidRPr="00104ECB" w:rsidRDefault="009A1BEA">
      <w:pPr>
        <w:pBdr>
          <w:top w:val="nil"/>
          <w:left w:val="nil"/>
          <w:bottom w:val="nil"/>
          <w:right w:val="nil"/>
          <w:between w:val="nil"/>
        </w:pBdr>
        <w:spacing w:line="360" w:lineRule="auto"/>
        <w:ind w:left="720" w:right="49"/>
        <w:jc w:val="both"/>
        <w:rPr>
          <w:rFonts w:ascii="Palatino Linotype" w:eastAsia="Palatino Linotype" w:hAnsi="Palatino Linotype" w:cs="Palatino Linotype"/>
          <w:b/>
          <w:bCs/>
          <w:i/>
          <w:iCs/>
          <w:sz w:val="22"/>
          <w:szCs w:val="22"/>
        </w:rPr>
      </w:pPr>
      <w:r w:rsidRPr="00104ECB">
        <w:rPr>
          <w:rFonts w:ascii="Palatino Linotype" w:eastAsia="Palatino Linotype" w:hAnsi="Palatino Linotype" w:cs="Palatino Linotype"/>
          <w:b/>
          <w:bCs/>
          <w:i/>
          <w:iCs/>
          <w:sz w:val="22"/>
          <w:szCs w:val="22"/>
        </w:rPr>
        <w:t>La grabación de la cámara de seguridad que se encuentra en las oficinas de la dirección, subdirección, secretaría escolar, orientación, sala de juntas y el espacio de las secretarias mecanógrafas del día veintiuno de octubre de dos mil veinticinco, del horario de 8:00 a las 14 horas.</w:t>
      </w:r>
    </w:p>
    <w:p w14:paraId="7E129636" w14:textId="77777777" w:rsidR="00F10D3B" w:rsidRPr="00104ECB" w:rsidRDefault="00F10D3B">
      <w:pPr>
        <w:pBdr>
          <w:top w:val="nil"/>
          <w:left w:val="nil"/>
          <w:bottom w:val="nil"/>
          <w:right w:val="nil"/>
          <w:between w:val="nil"/>
        </w:pBdr>
        <w:spacing w:line="360" w:lineRule="auto"/>
        <w:ind w:left="720" w:right="49"/>
        <w:jc w:val="both"/>
        <w:rPr>
          <w:rFonts w:ascii="Palatino Linotype" w:eastAsia="Palatino Linotype" w:hAnsi="Palatino Linotype" w:cs="Palatino Linotype"/>
          <w:i/>
          <w:iCs/>
          <w:sz w:val="22"/>
          <w:szCs w:val="22"/>
        </w:rPr>
      </w:pPr>
    </w:p>
    <w:p w14:paraId="2A199453"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 xml:space="preserve">En respuesta, el Director Escolar indicó </w:t>
      </w:r>
      <w:r w:rsidRPr="00104ECB">
        <w:rPr>
          <w:rFonts w:ascii="Palatino Linotype" w:eastAsia="Palatino Linotype" w:hAnsi="Palatino Linotype" w:cs="Palatino Linotype"/>
        </w:rPr>
        <w:t>que en la búsqueda de las grabaciones aparece la leyenda “No se encontró ninguna grabación de video”, al solicitar apoyo al proveedor indicó que no están grabando por fallas, por las inclemencias del tiempo como fuertes lluvias, humedad y ráfagas de viento fuere ocasionan daños en los sectores del disco duro afectando las grabaciones dejando de grabar por lapsos de tiempo no definidos, por lo que se requiere reemplazo de disco duro y se procederá a darlo mantenimiento de inmediato.</w:t>
      </w:r>
    </w:p>
    <w:p w14:paraId="325BEDA0"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Conocida la respuesta, el Recurrente se inconformó manifestando lo siguiente:</w:t>
      </w:r>
    </w:p>
    <w:p w14:paraId="0BB7D2D1"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261F5E8A" w14:textId="77777777" w:rsidR="00F10D3B" w:rsidRPr="00104ECB" w:rsidRDefault="009A1BEA">
      <w:pPr>
        <w:spacing w:line="360"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 xml:space="preserve">Asunto: Solicitud de documentación probatoria respecto a la falla técnica del equipo de videovigilancia. Referencia: Oficio No. 311/2025-2026 y Expediente de Transparencia 00975/SECTI/IP/2025. Lugar y Fecha: Juchitepec Estado de México a 17 de Noviembre del 2025. P R E S E N T E Con relación al oficio No. 311/2025-2026 con fecha 31 de octubre de 2025, mediante el cual se informa sobre la imposibilidad de proporcionar el video solicitado correspondiente al 21 de octubre del año en curso en el área administrativa debido a una falla técnica en el equipo de grabación, me permito manifestar lo siguiente: A fin de dar cumplimiento cabal al principio de Transparencia y Máxima Publicidad que rige el ejercicio del derecho a la información, y para corroborar la debida diligencia institucional en el mantenimiento de equipos de seguridad, </w:t>
      </w:r>
      <w:r w:rsidRPr="00104ECB">
        <w:rPr>
          <w:rFonts w:ascii="Palatino Linotype" w:eastAsia="Palatino Linotype" w:hAnsi="Palatino Linotype" w:cs="Palatino Linotype"/>
          <w:b/>
          <w:bCs/>
          <w:i/>
          <w:iCs/>
          <w:sz w:val="22"/>
          <w:szCs w:val="22"/>
          <w:u w:val="single"/>
        </w:rPr>
        <w:t>solicito formalmente la siguiente documentación probatoria relacionada con la supuesta falla técnica: 1. Copia del Reporte Técnico o Dictamen elaborado por el proveedor o el técnico responsable, en el que se detalle el diagnóstico, la causa específica del daño (como la afectación al disco duro por inclemencias del tiempo) y la fecha de la revisión y reparación. 2. Copia de la Factura, Orden de Compra o Comprobante Fiscal correspondiente a la adquisición y/o reemplazo del disco duro y/o el servicio de mantenimiento inmediato realizado para la reparación de la falla, tal como se menciona en su oficio. 3. Copia del Contrato o Póliza de Servicio y Mantenimiento vigente entre el CBT Dr. Carlos Sosa Moss y el proveedor de los equipos de videovigilancia</w:t>
      </w:r>
      <w:r w:rsidRPr="00104ECB">
        <w:rPr>
          <w:rFonts w:ascii="Palatino Linotype" w:eastAsia="Palatino Linotype" w:hAnsi="Palatino Linotype" w:cs="Palatino Linotype"/>
          <w:i/>
          <w:iCs/>
          <w:sz w:val="22"/>
          <w:szCs w:val="22"/>
        </w:rPr>
        <w:t>. La entrega de esta documentación es indispensable para sustentar la respuesta brindada en el Oficio 311/2025-2026 y garantizar la veracidad de la información dentro del marco del proceso de transparencia en curso (Expediente 00975/SECTI/IP/2025). (sic)</w:t>
      </w:r>
    </w:p>
    <w:p w14:paraId="1C7A99F8" w14:textId="77777777" w:rsidR="00F10D3B" w:rsidRPr="00104ECB" w:rsidRDefault="009A1BEA">
      <w:pPr>
        <w:spacing w:line="360" w:lineRule="auto"/>
        <w:ind w:left="567" w:right="616"/>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(Énfasis añadido)</w:t>
      </w:r>
    </w:p>
    <w:p w14:paraId="26717DA9"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6AEE8992"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Puntualizado lo anterior, es posible determinar que para el caso que nos ocupa, los argumentos formulados como motivos o razones de inconformidad referidos, son una ampliación a la solicitud inicial y corresponden a nuevos requerimientos de información.</w:t>
      </w:r>
    </w:p>
    <w:p w14:paraId="5C208353"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665AE689"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 xml:space="preserve">Por lo tanto, sus motivos de inconformidad no se encuentran relacionados con lo solicitado  que pidió inicialmente respecto a las video grabaciones. </w:t>
      </w:r>
    </w:p>
    <w:p w14:paraId="484AF860" w14:textId="77777777" w:rsidR="00F10D3B" w:rsidRPr="00104ECB" w:rsidRDefault="00F10D3B">
      <w:pPr>
        <w:spacing w:line="360" w:lineRule="auto"/>
        <w:ind w:right="49"/>
        <w:jc w:val="both"/>
        <w:rPr>
          <w:rFonts w:ascii="Palatino Linotype" w:eastAsia="Palatino Linotype" w:hAnsi="Palatino Linotype" w:cs="Palatino Linotype"/>
          <w:sz w:val="22"/>
          <w:szCs w:val="22"/>
        </w:rPr>
      </w:pPr>
    </w:p>
    <w:p w14:paraId="7F275636"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Es así que, a través del recurso de revisión, el Recurrente amplía o específica sus requerimientos a efecto de solicitar información diversa a la primeramente planteada, dejando en desventaja al Sujeto Obligado al no tener conocimiento de estar información novedosa desde un inicio.</w:t>
      </w:r>
    </w:p>
    <w:p w14:paraId="23233F91" w14:textId="77777777" w:rsidR="00F10D3B" w:rsidRPr="00104ECB" w:rsidRDefault="00F10D3B">
      <w:pPr>
        <w:spacing w:line="360" w:lineRule="auto"/>
        <w:ind w:right="49"/>
        <w:jc w:val="both"/>
        <w:rPr>
          <w:rFonts w:ascii="Palatino Linotype" w:eastAsia="Palatino Linotype" w:hAnsi="Palatino Linotype" w:cs="Palatino Linotype"/>
          <w:sz w:val="22"/>
          <w:szCs w:val="22"/>
        </w:rPr>
      </w:pPr>
    </w:p>
    <w:p w14:paraId="1A4A7186"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En ese tenor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34F1DEF9"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3E03C043"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En este orden de ideas, una vez formulada su solicitud inicial,</w:t>
      </w:r>
      <w:r w:rsidRPr="00104ECB">
        <w:rPr>
          <w:rFonts w:ascii="Palatino Linotype" w:eastAsia="Palatino Linotype" w:hAnsi="Palatino Linotype" w:cs="Palatino Linotype"/>
          <w:i/>
          <w:iCs/>
          <w:sz w:val="22"/>
          <w:szCs w:val="22"/>
        </w:rPr>
        <w:t xml:space="preserve"> </w:t>
      </w:r>
      <w:r w:rsidRPr="00104ECB">
        <w:rPr>
          <w:rFonts w:ascii="Palatino Linotype" w:eastAsia="Palatino Linotype" w:hAnsi="Palatino Linotype" w:cs="Palatino Linotype"/>
          <w:sz w:val="22"/>
          <w:szCs w:val="22"/>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30F3A0F5"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0D72AFF2" w14:textId="77777777" w:rsidR="00F10D3B" w:rsidRPr="00104ECB" w:rsidRDefault="009A1BE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Robustece lo anterior lo plasmado en el criterio orientador número 01/17 emitido por el entonces Instituto Nacional de Transparencia, Acceso a la Información y Protección de Datos Personales, INAI, que lleva por rubro y texto lo que a continuación se transcribe:</w:t>
      </w:r>
    </w:p>
    <w:p w14:paraId="03D4A1B2" w14:textId="77777777" w:rsidR="00F10D3B" w:rsidRPr="00104ECB" w:rsidRDefault="00F10D3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F4BE7C8"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i/>
          <w:iCs/>
          <w:sz w:val="22"/>
          <w:szCs w:val="22"/>
        </w:rPr>
        <w:t>“</w:t>
      </w:r>
      <w:r w:rsidRPr="00104ECB">
        <w:rPr>
          <w:rFonts w:ascii="Palatino Linotype" w:eastAsia="Palatino Linotype" w:hAnsi="Palatino Linotype" w:cs="Palatino Linotype"/>
          <w:b/>
          <w:bCs/>
          <w:i/>
          <w:iCs/>
          <w:sz w:val="22"/>
          <w:szCs w:val="22"/>
        </w:rPr>
        <w:t xml:space="preserve">Es improcedente ampliar las solicitudes de acceso a información, a través de la interposición del recurso de revisión. </w:t>
      </w:r>
      <w:r w:rsidRPr="00104ECB">
        <w:rPr>
          <w:rFonts w:ascii="Palatino Linotype" w:eastAsia="Palatino Linotype" w:hAnsi="Palatino Linotype" w:cs="Palatino Linotype"/>
          <w:i/>
          <w:iCs/>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104ECB">
        <w:rPr>
          <w:rFonts w:ascii="Palatino Linotype" w:eastAsia="Palatino Linotype" w:hAnsi="Palatino Linotype" w:cs="Palatino Linotype"/>
          <w:b/>
          <w:bCs/>
          <w:i/>
          <w:iCs/>
          <w:sz w:val="22"/>
          <w:szCs w:val="22"/>
        </w:rPr>
        <w:t>.</w:t>
      </w:r>
      <w:r w:rsidRPr="00104ECB">
        <w:rPr>
          <w:rFonts w:ascii="Palatino Linotype" w:eastAsia="Palatino Linotype" w:hAnsi="Palatino Linotype" w:cs="Palatino Linotype"/>
          <w:i/>
          <w:iCs/>
          <w:sz w:val="22"/>
          <w:szCs w:val="22"/>
        </w:rPr>
        <w:t>”</w:t>
      </w:r>
    </w:p>
    <w:p w14:paraId="6E07AD62" w14:textId="77777777" w:rsidR="00F10D3B" w:rsidRPr="00104ECB" w:rsidRDefault="00F10D3B">
      <w:pPr>
        <w:spacing w:line="360" w:lineRule="auto"/>
        <w:ind w:left="851" w:right="900"/>
        <w:jc w:val="both"/>
        <w:rPr>
          <w:rFonts w:ascii="Palatino Linotype" w:eastAsia="Palatino Linotype" w:hAnsi="Palatino Linotype" w:cs="Palatino Linotype"/>
          <w:sz w:val="22"/>
          <w:szCs w:val="22"/>
        </w:rPr>
      </w:pPr>
    </w:p>
    <w:p w14:paraId="37937E9D" w14:textId="77777777" w:rsidR="00F10D3B" w:rsidRPr="00104ECB" w:rsidRDefault="009A1BEA">
      <w:pPr>
        <w:spacing w:line="360" w:lineRule="auto"/>
        <w:ind w:right="51"/>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 xml:space="preserve">Por lo tanto, en términos de todo lo anterior, resulta aplicable al caso concreto el contenido de los artículos 186, 191 fracciones VII, y 192 fracción IV de la de la Ley de Transparencia y Acceso a la Información Pública del Estado de México y Municipios, que disponen lo siguiente: </w:t>
      </w:r>
    </w:p>
    <w:p w14:paraId="306D2A2C" w14:textId="77777777" w:rsidR="00F10D3B" w:rsidRPr="00104ECB" w:rsidRDefault="00F10D3B">
      <w:pPr>
        <w:spacing w:line="360" w:lineRule="auto"/>
        <w:ind w:right="51"/>
        <w:jc w:val="both"/>
        <w:rPr>
          <w:rFonts w:ascii="Palatino Linotype" w:eastAsia="Palatino Linotype" w:hAnsi="Palatino Linotype" w:cs="Palatino Linotype"/>
          <w:sz w:val="22"/>
          <w:szCs w:val="22"/>
        </w:rPr>
      </w:pPr>
    </w:p>
    <w:p w14:paraId="66F7AB5B"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 xml:space="preserve"> “Artículo 186. </w:t>
      </w:r>
      <w:r w:rsidRPr="00104ECB">
        <w:rPr>
          <w:rFonts w:ascii="Palatino Linotype" w:eastAsia="Palatino Linotype" w:hAnsi="Palatino Linotype" w:cs="Palatino Linotype"/>
          <w:i/>
          <w:iCs/>
          <w:sz w:val="22"/>
          <w:szCs w:val="22"/>
        </w:rPr>
        <w:t>Las resoluciones del Instituto podrán:</w:t>
      </w:r>
    </w:p>
    <w:p w14:paraId="4675A5F0"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I. Desechar o sobreseer el recurso;</w:t>
      </w:r>
    </w:p>
    <w:p w14:paraId="2A6BC6E6"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 xml:space="preserve">II. </w:t>
      </w:r>
      <w:r w:rsidRPr="00104ECB">
        <w:rPr>
          <w:rFonts w:ascii="Palatino Linotype" w:eastAsia="Palatino Linotype" w:hAnsi="Palatino Linotype" w:cs="Palatino Linotype"/>
          <w:i/>
          <w:iCs/>
          <w:sz w:val="22"/>
          <w:szCs w:val="22"/>
        </w:rPr>
        <w:t>Confirmar la respuesta del sujeto obligado;</w:t>
      </w:r>
    </w:p>
    <w:p w14:paraId="03BA2FD0"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 xml:space="preserve">III. </w:t>
      </w:r>
      <w:r w:rsidRPr="00104ECB">
        <w:rPr>
          <w:rFonts w:ascii="Palatino Linotype" w:eastAsia="Palatino Linotype" w:hAnsi="Palatino Linotype" w:cs="Palatino Linotype"/>
          <w:i/>
          <w:iCs/>
          <w:sz w:val="22"/>
          <w:szCs w:val="22"/>
        </w:rPr>
        <w:t>Revocar o modificar la respuesta del sujeto obligado; y</w:t>
      </w:r>
    </w:p>
    <w:p w14:paraId="18C8F244"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 xml:space="preserve">IV. </w:t>
      </w:r>
      <w:r w:rsidRPr="00104ECB">
        <w:rPr>
          <w:rFonts w:ascii="Palatino Linotype" w:eastAsia="Palatino Linotype" w:hAnsi="Palatino Linotype" w:cs="Palatino Linotype"/>
          <w:i/>
          <w:iCs/>
          <w:sz w:val="22"/>
          <w:szCs w:val="22"/>
        </w:rPr>
        <w:t>Ordenar la entrega de la información…”</w:t>
      </w:r>
    </w:p>
    <w:p w14:paraId="7002DAEA" w14:textId="77777777" w:rsidR="00F10D3B" w:rsidRPr="00104ECB" w:rsidRDefault="00F10D3B">
      <w:pPr>
        <w:spacing w:line="276" w:lineRule="auto"/>
        <w:ind w:left="851" w:right="902"/>
        <w:jc w:val="both"/>
        <w:rPr>
          <w:rFonts w:ascii="Palatino Linotype" w:eastAsia="Palatino Linotype" w:hAnsi="Palatino Linotype" w:cs="Palatino Linotype"/>
          <w:b/>
          <w:bCs/>
          <w:i/>
          <w:iCs/>
          <w:sz w:val="22"/>
          <w:szCs w:val="22"/>
        </w:rPr>
      </w:pPr>
    </w:p>
    <w:p w14:paraId="38953666"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 xml:space="preserve">Artículo 191. </w:t>
      </w:r>
      <w:r w:rsidRPr="00104ECB">
        <w:rPr>
          <w:rFonts w:ascii="Palatino Linotype" w:eastAsia="Palatino Linotype" w:hAnsi="Palatino Linotype" w:cs="Palatino Linotype"/>
          <w:i/>
          <w:iCs/>
          <w:sz w:val="22"/>
          <w:szCs w:val="22"/>
        </w:rPr>
        <w:t>El recurso será desechado por improcedente cuando:</w:t>
      </w:r>
    </w:p>
    <w:p w14:paraId="4F54B667"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w:t>
      </w:r>
    </w:p>
    <w:p w14:paraId="7FE674F7"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VII. El recurrente amplíe su solicitud en el recurso de revisión, únicamente respecto de los nuevos contenidos.”</w:t>
      </w:r>
    </w:p>
    <w:p w14:paraId="472228FB" w14:textId="77777777" w:rsidR="00F10D3B" w:rsidRPr="00104ECB" w:rsidRDefault="00F10D3B">
      <w:pPr>
        <w:tabs>
          <w:tab w:val="left" w:pos="1276"/>
        </w:tabs>
        <w:spacing w:line="276" w:lineRule="auto"/>
        <w:ind w:left="1134" w:right="902"/>
        <w:jc w:val="both"/>
        <w:rPr>
          <w:rFonts w:ascii="Palatino Linotype" w:eastAsia="Palatino Linotype" w:hAnsi="Palatino Linotype" w:cs="Palatino Linotype"/>
          <w:b/>
          <w:bCs/>
          <w:i/>
          <w:iCs/>
          <w:sz w:val="22"/>
          <w:szCs w:val="22"/>
        </w:rPr>
      </w:pPr>
    </w:p>
    <w:p w14:paraId="048B0BC4"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 xml:space="preserve">Artículo 192. </w:t>
      </w:r>
      <w:r w:rsidRPr="00104ECB">
        <w:rPr>
          <w:rFonts w:ascii="Palatino Linotype" w:eastAsia="Palatino Linotype" w:hAnsi="Palatino Linotype" w:cs="Palatino Linotype"/>
          <w:i/>
          <w:iCs/>
          <w:sz w:val="22"/>
          <w:szCs w:val="22"/>
        </w:rPr>
        <w:t>El recurso será sobreseído, en todo o en parte, cuando una vez admitido, se actualicen alguno de los siguientes supuestos:</w:t>
      </w:r>
    </w:p>
    <w:p w14:paraId="654F04DD"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w:t>
      </w:r>
    </w:p>
    <w:p w14:paraId="237A8800" w14:textId="77777777" w:rsidR="00F10D3B" w:rsidRPr="00104ECB" w:rsidRDefault="009A1BEA">
      <w:pPr>
        <w:spacing w:line="276" w:lineRule="auto"/>
        <w:ind w:left="851" w:right="902"/>
        <w:jc w:val="both"/>
        <w:rPr>
          <w:rFonts w:ascii="Palatino Linotype" w:eastAsia="Palatino Linotype" w:hAnsi="Palatino Linotype" w:cs="Palatino Linotype"/>
          <w:i/>
          <w:iCs/>
          <w:sz w:val="22"/>
          <w:szCs w:val="22"/>
        </w:rPr>
      </w:pPr>
      <w:r w:rsidRPr="00104ECB">
        <w:rPr>
          <w:rFonts w:ascii="Palatino Linotype" w:eastAsia="Palatino Linotype" w:hAnsi="Palatino Linotype" w:cs="Palatino Linotype"/>
          <w:b/>
          <w:bCs/>
          <w:i/>
          <w:iCs/>
          <w:sz w:val="22"/>
          <w:szCs w:val="22"/>
        </w:rPr>
        <w:t>IV. Admitido el recurso de revisión, aparezca alguna causal de improcedencia en los términos de la presente Ley; y</w:t>
      </w:r>
      <w:r w:rsidRPr="00104ECB">
        <w:rPr>
          <w:rFonts w:ascii="Palatino Linotype" w:eastAsia="Palatino Linotype" w:hAnsi="Palatino Linotype" w:cs="Palatino Linotype"/>
          <w:sz w:val="22"/>
          <w:szCs w:val="22"/>
        </w:rPr>
        <w:t>”</w:t>
      </w:r>
    </w:p>
    <w:p w14:paraId="2EC02930" w14:textId="77777777" w:rsidR="00F10D3B" w:rsidRPr="00104ECB" w:rsidRDefault="00F10D3B">
      <w:pPr>
        <w:spacing w:after="120"/>
        <w:ind w:left="1134" w:right="902"/>
        <w:jc w:val="both"/>
        <w:rPr>
          <w:rFonts w:ascii="Palatino Linotype" w:eastAsia="Palatino Linotype" w:hAnsi="Palatino Linotype" w:cs="Palatino Linotype"/>
          <w:sz w:val="22"/>
          <w:szCs w:val="22"/>
        </w:rPr>
      </w:pPr>
    </w:p>
    <w:p w14:paraId="1CF8F154" w14:textId="77777777" w:rsidR="00F10D3B" w:rsidRPr="00104ECB" w:rsidRDefault="009A1BEA">
      <w:pPr>
        <w:spacing w:before="120"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procedibilidad previstos en el artículo 179 de la Ley en la Materia.</w:t>
      </w:r>
    </w:p>
    <w:p w14:paraId="154EE3A8" w14:textId="77777777" w:rsidR="00F10D3B" w:rsidRPr="00104ECB" w:rsidRDefault="00F10D3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E806A18"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Dentro de este orden de ideas, es evidente que no se puede invocar el precepto legal 191 de la Ley en cita ulteriormente a que ha sido admitido, determinando la actualización de un desechamiento</w:t>
      </w:r>
      <w:r w:rsidRPr="00104ECB">
        <w:rPr>
          <w:rFonts w:ascii="Palatino Linotype" w:eastAsia="Palatino Linotype" w:hAnsi="Palatino Linotype" w:cs="Palatino Linotype"/>
          <w:sz w:val="22"/>
          <w:szCs w:val="22"/>
          <w:vertAlign w:val="superscript"/>
        </w:rPr>
        <w:footnoteReference w:id="1"/>
      </w:r>
      <w:r w:rsidRPr="00104ECB">
        <w:rPr>
          <w:rFonts w:ascii="Palatino Linotype" w:eastAsia="Palatino Linotype" w:hAnsi="Palatino Linotype" w:cs="Palatino Linotype"/>
          <w:sz w:val="22"/>
          <w:szCs w:val="22"/>
        </w:rPr>
        <w:t>, porque está ya sería posterior a la etapa procedimental en la que debió desecharse.</w:t>
      </w:r>
    </w:p>
    <w:p w14:paraId="6F72C7D3" w14:textId="77777777" w:rsidR="00F10D3B" w:rsidRPr="00104ECB" w:rsidRDefault="00F10D3B">
      <w:pPr>
        <w:spacing w:line="360" w:lineRule="auto"/>
        <w:ind w:right="49"/>
        <w:jc w:val="both"/>
        <w:rPr>
          <w:rFonts w:ascii="Palatino Linotype" w:eastAsia="Palatino Linotype" w:hAnsi="Palatino Linotype" w:cs="Palatino Linotype"/>
          <w:sz w:val="22"/>
          <w:szCs w:val="22"/>
        </w:rPr>
      </w:pPr>
    </w:p>
    <w:p w14:paraId="2168D0D5"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 xml:space="preserve">Cobrando aplicación lo previsto en la fracción IV del artículo 192, en razón a que al haber sido admitido el recurso de revisión y al actualizarse una causal de improcedencia establecida en la fracción VII del artículo 191 de la misma Ley, éste debe ser </w:t>
      </w:r>
      <w:r w:rsidRPr="00104ECB">
        <w:rPr>
          <w:rFonts w:ascii="Palatino Linotype" w:eastAsia="Palatino Linotype" w:hAnsi="Palatino Linotype" w:cs="Palatino Linotype"/>
          <w:i/>
          <w:iCs/>
          <w:sz w:val="22"/>
          <w:szCs w:val="22"/>
        </w:rPr>
        <w:t>sobreseído</w:t>
      </w:r>
      <w:r w:rsidRPr="00104ECB">
        <w:rPr>
          <w:rFonts w:ascii="Palatino Linotype" w:eastAsia="Palatino Linotype" w:hAnsi="Palatino Linotype" w:cs="Palatino Linotype"/>
          <w:sz w:val="22"/>
          <w:szCs w:val="22"/>
        </w:rPr>
        <w:t xml:space="preserve">. </w:t>
      </w:r>
    </w:p>
    <w:p w14:paraId="4D203380" w14:textId="77777777" w:rsidR="00F10D3B" w:rsidRPr="00104ECB" w:rsidRDefault="00F10D3B">
      <w:pPr>
        <w:spacing w:line="360" w:lineRule="auto"/>
        <w:ind w:right="49"/>
        <w:jc w:val="both"/>
        <w:rPr>
          <w:rFonts w:ascii="Palatino Linotype" w:eastAsia="Palatino Linotype" w:hAnsi="Palatino Linotype" w:cs="Palatino Linotype"/>
          <w:sz w:val="22"/>
          <w:szCs w:val="22"/>
        </w:rPr>
      </w:pPr>
    </w:p>
    <w:p w14:paraId="67649136" w14:textId="77777777" w:rsidR="00F10D3B" w:rsidRPr="00104ECB" w:rsidRDefault="009A1BEA">
      <w:pPr>
        <w:spacing w:line="360" w:lineRule="auto"/>
        <w:jc w:val="both"/>
        <w:rPr>
          <w:rFonts w:ascii="Palatino Linotype" w:eastAsia="Palatino Linotype" w:hAnsi="Palatino Linotype" w:cs="Palatino Linotype"/>
          <w:b/>
          <w:bCs/>
          <w:sz w:val="22"/>
          <w:szCs w:val="22"/>
        </w:rPr>
      </w:pPr>
      <w:r w:rsidRPr="00104ECB">
        <w:rPr>
          <w:rFonts w:ascii="Palatino Linotype" w:eastAsia="Palatino Linotype" w:hAnsi="Palatino Linotype" w:cs="Palatino Linotype"/>
          <w:sz w:val="22"/>
          <w:szCs w:val="22"/>
        </w:rPr>
        <w:t xml:space="preserve">Atento a los razonamientos lógico jurídicos que han quedado precisados y toda vez que el  </w:t>
      </w:r>
      <w:r w:rsidRPr="00104ECB">
        <w:rPr>
          <w:rFonts w:ascii="Palatino Linotype" w:eastAsia="Palatino Linotype" w:hAnsi="Palatino Linotype" w:cs="Palatino Linotype"/>
          <w:i/>
          <w:iCs/>
          <w:sz w:val="22"/>
          <w:szCs w:val="22"/>
        </w:rPr>
        <w:t xml:space="preserve">sobreseimiento </w:t>
      </w:r>
      <w:r w:rsidRPr="00104ECB">
        <w:rPr>
          <w:rFonts w:ascii="Palatino Linotype" w:eastAsia="Palatino Linotype" w:hAnsi="Palatino Linotype" w:cs="Palatino Linotype"/>
          <w:sz w:val="22"/>
          <w:szCs w:val="22"/>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104ECB">
        <w:rPr>
          <w:rFonts w:ascii="Palatino Linotype" w:eastAsia="Palatino Linotype" w:hAnsi="Palatino Linotype" w:cs="Palatino Linotype"/>
          <w:b/>
          <w:bCs/>
          <w:sz w:val="22"/>
          <w:szCs w:val="22"/>
        </w:rPr>
        <w:t>SOBRESEIMIENTO, NO PERMITE ENTRAR AL ESTUDIO DE LAS CUESTIONES DE FONDO</w:t>
      </w:r>
      <w:r w:rsidRPr="00104ECB">
        <w:rPr>
          <w:rFonts w:ascii="Palatino Linotype" w:eastAsia="Palatino Linotype" w:hAnsi="Palatino Linotype" w:cs="Palatino Linotype"/>
          <w:sz w:val="22"/>
          <w:szCs w:val="22"/>
          <w:vertAlign w:val="superscript"/>
        </w:rPr>
        <w:footnoteReference w:id="2"/>
      </w:r>
      <w:r w:rsidRPr="00104ECB">
        <w:rPr>
          <w:rFonts w:ascii="Palatino Linotype" w:eastAsia="Palatino Linotype" w:hAnsi="Palatino Linotype" w:cs="Palatino Linotype"/>
          <w:b/>
          <w:bCs/>
          <w:sz w:val="22"/>
          <w:szCs w:val="22"/>
        </w:rPr>
        <w:t>.</w:t>
      </w:r>
    </w:p>
    <w:p w14:paraId="1823AB0C" w14:textId="77777777" w:rsidR="00F10D3B" w:rsidRPr="00104ECB" w:rsidRDefault="00F10D3B">
      <w:pPr>
        <w:spacing w:line="360" w:lineRule="auto"/>
        <w:jc w:val="both"/>
        <w:rPr>
          <w:rFonts w:ascii="Palatino Linotype" w:eastAsia="Palatino Linotype" w:hAnsi="Palatino Linotype" w:cs="Palatino Linotype"/>
          <w:b/>
          <w:bCs/>
          <w:sz w:val="22"/>
          <w:szCs w:val="22"/>
        </w:rPr>
      </w:pPr>
    </w:p>
    <w:p w14:paraId="2B65AA73" w14:textId="77777777" w:rsidR="00F10D3B" w:rsidRPr="00104ECB" w:rsidRDefault="009A1BEA">
      <w:pPr>
        <w:spacing w:line="360" w:lineRule="auto"/>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Por último y no menos importante, es necesario señalar que se dejan a salvo los derechos del particular para que, si así lo desea formule nuevas solicitudes de acceso a la información pública solicitando la información de su interés.</w:t>
      </w:r>
    </w:p>
    <w:p w14:paraId="7648D55E" w14:textId="77777777" w:rsidR="00F10D3B" w:rsidRPr="00104ECB" w:rsidRDefault="00F10D3B">
      <w:pPr>
        <w:spacing w:line="276" w:lineRule="auto"/>
        <w:ind w:left="851" w:right="902"/>
        <w:jc w:val="both"/>
        <w:rPr>
          <w:rFonts w:ascii="Palatino Linotype" w:eastAsia="Palatino Linotype" w:hAnsi="Palatino Linotype" w:cs="Palatino Linotype"/>
          <w:i/>
          <w:iCs/>
          <w:sz w:val="22"/>
          <w:szCs w:val="22"/>
        </w:rPr>
      </w:pPr>
    </w:p>
    <w:p w14:paraId="632E5DF3" w14:textId="77777777" w:rsidR="00F10D3B" w:rsidRPr="00104ECB" w:rsidRDefault="009A1BEA">
      <w:pPr>
        <w:spacing w:line="360" w:lineRule="auto"/>
        <w:ind w:right="49"/>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sz w:val="22"/>
          <w:szCs w:val="22"/>
        </w:rPr>
        <w:t xml:space="preserve">Así, de las constancias que obran en el expediente de mérito, se advierte que se actualiza la causal de sobreseimiento enunciada en la fracción IV del artículo 192 de la Ley de Transparencia Local, en relación directa con la fracción VII del artículo 191 de la misma Ley, toda vez que </w:t>
      </w:r>
      <w:r w:rsidRPr="00104ECB">
        <w:rPr>
          <w:rFonts w:ascii="Palatino Linotype" w:eastAsia="Palatino Linotype" w:hAnsi="Palatino Linotype" w:cs="Palatino Linotype"/>
          <w:b/>
          <w:bCs/>
          <w:sz w:val="22"/>
          <w:szCs w:val="22"/>
        </w:rPr>
        <w:t>LA PARTE</w:t>
      </w:r>
      <w:r w:rsidRPr="00104ECB">
        <w:rPr>
          <w:rFonts w:ascii="Palatino Linotype" w:eastAsia="Palatino Linotype" w:hAnsi="Palatino Linotype" w:cs="Palatino Linotype"/>
          <w:sz w:val="22"/>
          <w:szCs w:val="22"/>
        </w:rPr>
        <w:t xml:space="preserve"> </w:t>
      </w:r>
      <w:r w:rsidRPr="00104ECB">
        <w:rPr>
          <w:rFonts w:ascii="Palatino Linotype" w:eastAsia="Palatino Linotype" w:hAnsi="Palatino Linotype" w:cs="Palatino Linotype"/>
          <w:b/>
          <w:bCs/>
          <w:sz w:val="22"/>
          <w:szCs w:val="22"/>
        </w:rPr>
        <w:t>RECURRENTE</w:t>
      </w:r>
      <w:r w:rsidRPr="00104ECB">
        <w:rPr>
          <w:rFonts w:ascii="Palatino Linotype" w:eastAsia="Palatino Linotype" w:hAnsi="Palatino Linotype" w:cs="Palatino Linotype"/>
          <w:sz w:val="22"/>
          <w:szCs w:val="22"/>
        </w:rPr>
        <w:t xml:space="preserve"> amplía su solicitud al momento de interponer el recurso de revisión.</w:t>
      </w:r>
    </w:p>
    <w:p w14:paraId="04D71536" w14:textId="77777777" w:rsidR="00F10D3B" w:rsidRPr="00104ECB" w:rsidRDefault="009A1BE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104ECB">
        <w:rPr>
          <w:rFonts w:ascii="Palatino Linotype" w:eastAsia="Palatino Linotype" w:hAnsi="Palatino Linotype" w:cs="Palatino Linotype"/>
          <w:b/>
          <w:bCs/>
          <w:sz w:val="22"/>
          <w:szCs w:val="22"/>
        </w:rPr>
        <w:t>R E S U E L V E:</w:t>
      </w:r>
    </w:p>
    <w:p w14:paraId="4A557B9A" w14:textId="77777777" w:rsidR="00F10D3B" w:rsidRPr="00104ECB" w:rsidRDefault="00F10D3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4C73AB9F" w14:textId="77777777" w:rsidR="00F10D3B" w:rsidRPr="00104ECB" w:rsidRDefault="009A1BEA">
      <w:pPr>
        <w:spacing w:line="360" w:lineRule="auto"/>
        <w:jc w:val="both"/>
        <w:rPr>
          <w:rFonts w:ascii="Palatino Linotype" w:eastAsia="Palatino Linotype" w:hAnsi="Palatino Linotype" w:cs="Palatino Linotype"/>
          <w:sz w:val="22"/>
          <w:szCs w:val="22"/>
        </w:rPr>
      </w:pPr>
      <w:bookmarkStart w:id="4" w:name="_heading=h.3dy6vkm" w:colFirst="0" w:colLast="0"/>
      <w:bookmarkEnd w:id="4"/>
      <w:r w:rsidRPr="00104ECB">
        <w:rPr>
          <w:rFonts w:ascii="Palatino Linotype" w:eastAsia="Palatino Linotype" w:hAnsi="Palatino Linotype" w:cs="Palatino Linotype"/>
          <w:b/>
          <w:bCs/>
          <w:sz w:val="22"/>
          <w:szCs w:val="22"/>
        </w:rPr>
        <w:t xml:space="preserve">PRIMERO. </w:t>
      </w:r>
      <w:r w:rsidRPr="00104ECB">
        <w:rPr>
          <w:rFonts w:ascii="Palatino Linotype" w:eastAsia="Palatino Linotype" w:hAnsi="Palatino Linotype" w:cs="Palatino Linotype"/>
          <w:sz w:val="22"/>
          <w:szCs w:val="22"/>
        </w:rPr>
        <w:t xml:space="preserve">Se </w:t>
      </w:r>
      <w:r w:rsidRPr="00104ECB">
        <w:rPr>
          <w:rFonts w:ascii="Palatino Linotype" w:eastAsia="Palatino Linotype" w:hAnsi="Palatino Linotype" w:cs="Palatino Linotype"/>
          <w:b/>
          <w:bCs/>
          <w:sz w:val="22"/>
          <w:szCs w:val="22"/>
        </w:rPr>
        <w:t>SOBRESEE</w:t>
      </w:r>
      <w:r w:rsidRPr="00104ECB">
        <w:rPr>
          <w:rFonts w:ascii="Palatino Linotype" w:eastAsia="Palatino Linotype" w:hAnsi="Palatino Linotype" w:cs="Palatino Linotype"/>
          <w:sz w:val="22"/>
          <w:szCs w:val="22"/>
        </w:rPr>
        <w:t xml:space="preserve"> por improcedente el recurso de revisión </w:t>
      </w:r>
      <w:r w:rsidRPr="00104ECB">
        <w:rPr>
          <w:rFonts w:ascii="Palatino Linotype" w:eastAsia="Palatino Linotype" w:hAnsi="Palatino Linotype" w:cs="Palatino Linotype"/>
          <w:b/>
          <w:bCs/>
          <w:sz w:val="22"/>
          <w:szCs w:val="22"/>
        </w:rPr>
        <w:t xml:space="preserve">13094/INFOEM/IP/RR/2025 </w:t>
      </w:r>
      <w:r w:rsidRPr="00104ECB">
        <w:rPr>
          <w:rFonts w:ascii="Palatino Linotype" w:eastAsia="Palatino Linotype" w:hAnsi="Palatino Linotype" w:cs="Palatino Linotype"/>
          <w:sz w:val="22"/>
          <w:szCs w:val="22"/>
        </w:rPr>
        <w:t xml:space="preserve"> de conformidad con la fracción IV del artículo 192, en relación con la fracción VII del artículo 191, de la Ley de Transparencia y Acceso a la Información Pública del Estado de México y Municipios, en términos del Considerando</w:t>
      </w:r>
      <w:r w:rsidRPr="00104ECB">
        <w:rPr>
          <w:rFonts w:ascii="Palatino Linotype" w:eastAsia="Palatino Linotype" w:hAnsi="Palatino Linotype" w:cs="Palatino Linotype"/>
          <w:b/>
          <w:bCs/>
          <w:sz w:val="22"/>
          <w:szCs w:val="22"/>
        </w:rPr>
        <w:t xml:space="preserve"> Tercero</w:t>
      </w:r>
      <w:r w:rsidRPr="00104ECB">
        <w:rPr>
          <w:rFonts w:ascii="Palatino Linotype" w:eastAsia="Palatino Linotype" w:hAnsi="Palatino Linotype" w:cs="Palatino Linotype"/>
          <w:sz w:val="22"/>
          <w:szCs w:val="22"/>
        </w:rPr>
        <w:t xml:space="preserve"> de la presente resolución.</w:t>
      </w:r>
    </w:p>
    <w:p w14:paraId="0C8BC317"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68C7F20A" w14:textId="77777777" w:rsidR="00F10D3B" w:rsidRPr="00104ECB" w:rsidRDefault="009A1BEA">
      <w:pPr>
        <w:spacing w:line="360" w:lineRule="auto"/>
        <w:jc w:val="both"/>
        <w:rPr>
          <w:rFonts w:ascii="Palatino Linotype" w:eastAsia="Palatino Linotype" w:hAnsi="Palatino Linotype" w:cs="Palatino Linotype"/>
          <w:sz w:val="22"/>
          <w:szCs w:val="22"/>
        </w:rPr>
      </w:pPr>
      <w:bookmarkStart w:id="5" w:name="_heading=h.17dp8vu" w:colFirst="0" w:colLast="0"/>
      <w:bookmarkEnd w:id="5"/>
      <w:r w:rsidRPr="00104ECB">
        <w:rPr>
          <w:rFonts w:ascii="Palatino Linotype" w:eastAsia="Palatino Linotype" w:hAnsi="Palatino Linotype" w:cs="Palatino Linotype"/>
          <w:b/>
          <w:bCs/>
          <w:sz w:val="22"/>
          <w:szCs w:val="22"/>
        </w:rPr>
        <w:t>SEGUNDO. Notifíquese</w:t>
      </w:r>
      <w:r w:rsidRPr="00104ECB">
        <w:rPr>
          <w:rFonts w:ascii="Palatino Linotype" w:eastAsia="Palatino Linotype" w:hAnsi="Palatino Linotype" w:cs="Palatino Linotype"/>
          <w:sz w:val="22"/>
          <w:szCs w:val="22"/>
        </w:rPr>
        <w:t xml:space="preserve"> vía </w:t>
      </w:r>
      <w:r w:rsidRPr="00104ECB">
        <w:rPr>
          <w:rFonts w:ascii="Palatino Linotype" w:eastAsia="Palatino Linotype" w:hAnsi="Palatino Linotype" w:cs="Palatino Linotype"/>
          <w:b/>
          <w:bCs/>
          <w:sz w:val="22"/>
          <w:szCs w:val="22"/>
        </w:rPr>
        <w:t xml:space="preserve">SAIMEX </w:t>
      </w:r>
      <w:r w:rsidRPr="00104ECB">
        <w:rPr>
          <w:rFonts w:ascii="Palatino Linotype" w:eastAsia="Palatino Linotype" w:hAnsi="Palatino Linotype" w:cs="Palatino Linotype"/>
          <w:sz w:val="22"/>
          <w:szCs w:val="22"/>
        </w:rPr>
        <w:t xml:space="preserve">la presente resolución a la Titular de la Unidad de Transparencia del </w:t>
      </w:r>
      <w:r w:rsidRPr="00104ECB">
        <w:rPr>
          <w:rFonts w:ascii="Palatino Linotype" w:eastAsia="Palatino Linotype" w:hAnsi="Palatino Linotype" w:cs="Palatino Linotype"/>
          <w:b/>
          <w:bCs/>
          <w:sz w:val="22"/>
          <w:szCs w:val="22"/>
        </w:rPr>
        <w:t>SUJETO OBLIGADO</w:t>
      </w:r>
      <w:r w:rsidRPr="00104ECB">
        <w:rPr>
          <w:rFonts w:ascii="Palatino Linotype" w:eastAsia="Palatino Linotype" w:hAnsi="Palatino Linotype" w:cs="Palatino Linotype"/>
          <w:sz w:val="22"/>
          <w:szCs w:val="22"/>
        </w:rPr>
        <w:t>, para su conocimiento, lo anterior en términos del artículo 189 de la Ley de Transparencia y Acceso a la Información Pública del Estado de México y Municipios.</w:t>
      </w:r>
    </w:p>
    <w:p w14:paraId="599D5BAC"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04D2C0DC" w14:textId="77777777" w:rsidR="00F10D3B" w:rsidRPr="00104ECB" w:rsidRDefault="009A1BEA">
      <w:pPr>
        <w:tabs>
          <w:tab w:val="left" w:pos="8647"/>
        </w:tabs>
        <w:spacing w:line="360" w:lineRule="auto"/>
        <w:ind w:right="51"/>
        <w:jc w:val="both"/>
        <w:rPr>
          <w:rFonts w:ascii="Palatino Linotype" w:eastAsia="Palatino Linotype" w:hAnsi="Palatino Linotype" w:cs="Palatino Linotype"/>
          <w:sz w:val="22"/>
          <w:szCs w:val="22"/>
        </w:rPr>
      </w:pPr>
      <w:r w:rsidRPr="00104ECB">
        <w:rPr>
          <w:rFonts w:ascii="Palatino Linotype" w:eastAsia="Palatino Linotype" w:hAnsi="Palatino Linotype" w:cs="Palatino Linotype"/>
          <w:b/>
          <w:bCs/>
          <w:sz w:val="22"/>
          <w:szCs w:val="22"/>
        </w:rPr>
        <w:t xml:space="preserve">TERCERO. Notifíquese, vía SAIMEX </w:t>
      </w:r>
      <w:r w:rsidRPr="00104ECB">
        <w:rPr>
          <w:rFonts w:ascii="Palatino Linotype" w:eastAsia="Palatino Linotype" w:hAnsi="Palatino Linotype" w:cs="Palatino Linotype"/>
          <w:sz w:val="22"/>
          <w:szCs w:val="22"/>
        </w:rPr>
        <w:t>a</w:t>
      </w:r>
      <w:r w:rsidRPr="00104ECB">
        <w:rPr>
          <w:rFonts w:ascii="Palatino Linotype" w:eastAsia="Palatino Linotype" w:hAnsi="Palatino Linotype" w:cs="Palatino Linotype"/>
          <w:b/>
          <w:bCs/>
          <w:sz w:val="22"/>
          <w:szCs w:val="22"/>
        </w:rPr>
        <w:t xml:space="preserve"> LA PARTE RECURRENTE</w:t>
      </w:r>
      <w:r w:rsidRPr="00104ECB">
        <w:rPr>
          <w:rFonts w:ascii="Palatino Linotype" w:eastAsia="Palatino Linotype" w:hAnsi="Palatino Linotype" w:cs="Palatino Linotype"/>
          <w:sz w:val="22"/>
          <w:szCs w:val="22"/>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43D7690" w14:textId="77777777" w:rsidR="00F10D3B" w:rsidRPr="00104ECB" w:rsidRDefault="00F10D3B">
      <w:pPr>
        <w:spacing w:line="360" w:lineRule="auto"/>
        <w:jc w:val="both"/>
        <w:rPr>
          <w:rFonts w:ascii="Palatino Linotype" w:eastAsia="Palatino Linotype" w:hAnsi="Palatino Linotype" w:cs="Palatino Linotype"/>
          <w:sz w:val="22"/>
          <w:szCs w:val="22"/>
        </w:rPr>
      </w:pPr>
    </w:p>
    <w:p w14:paraId="64FA4674" w14:textId="77777777" w:rsidR="00F10D3B" w:rsidRPr="007F01BD" w:rsidRDefault="009A1BEA">
      <w:pPr>
        <w:spacing w:line="360" w:lineRule="auto"/>
        <w:jc w:val="both"/>
        <w:rPr>
          <w:rFonts w:ascii="Palatino Linotype" w:eastAsia="Palatino Linotype" w:hAnsi="Palatino Linotype" w:cs="Palatino Linotype"/>
          <w:sz w:val="22"/>
          <w:szCs w:val="22"/>
        </w:rPr>
        <w:sectPr w:rsidR="00F10D3B" w:rsidRPr="007F01BD">
          <w:headerReference w:type="default" r:id="rId10"/>
          <w:footerReference w:type="default" r:id="rId11"/>
          <w:headerReference w:type="first" r:id="rId12"/>
          <w:footerReference w:type="first" r:id="rId13"/>
          <w:pgSz w:w="12240" w:h="15840"/>
          <w:pgMar w:top="2041" w:right="1701" w:bottom="1701" w:left="1701" w:header="709" w:footer="709" w:gutter="0"/>
          <w:pgNumType w:start="1"/>
          <w:cols w:space="720"/>
          <w:titlePg/>
        </w:sectPr>
      </w:pPr>
      <w:r w:rsidRPr="00104EC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r w:rsidRPr="007F01BD">
        <w:rPr>
          <w:rFonts w:ascii="Palatino Linotype" w:eastAsia="Palatino Linotype" w:hAnsi="Palatino Linotype" w:cs="Palatino Linotype"/>
          <w:sz w:val="22"/>
          <w:szCs w:val="22"/>
        </w:rPr>
        <w:t xml:space="preserve">                              </w:t>
      </w:r>
    </w:p>
    <w:p w14:paraId="706DCFAA" w14:textId="77777777" w:rsidR="00F10D3B" w:rsidRPr="007F01BD" w:rsidRDefault="00F10D3B">
      <w:pPr>
        <w:spacing w:line="360" w:lineRule="auto"/>
        <w:jc w:val="both"/>
        <w:rPr>
          <w:rFonts w:ascii="Palatino Linotype" w:eastAsia="Palatino Linotype" w:hAnsi="Palatino Linotype" w:cs="Palatino Linotype"/>
          <w:sz w:val="22"/>
          <w:szCs w:val="22"/>
        </w:rPr>
      </w:pPr>
    </w:p>
    <w:sectPr w:rsidR="00F10D3B" w:rsidRPr="007F01BD">
      <w:headerReference w:type="first" r:id="rId14"/>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AD91B4" w14:textId="77777777" w:rsidR="005C513B" w:rsidRDefault="005C513B">
      <w:r>
        <w:separator/>
      </w:r>
    </w:p>
  </w:endnote>
  <w:endnote w:type="continuationSeparator" w:id="0">
    <w:p w14:paraId="44F779DC" w14:textId="77777777" w:rsidR="005C513B" w:rsidRDefault="005C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13EF90B7-3B99-4C80-A910-35C279B865A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60C980-8C78-4ED3-AF93-44C8F7347CDA}"/>
    <w:embedItalic r:id="rId3" w:fontKey="{BCF84D43-3FC2-49C3-838F-A4DD66AC8883}"/>
  </w:font>
  <w:font w:name="Segoe UI">
    <w:panose1 w:val="020B0502040204020203"/>
    <w:charset w:val="00"/>
    <w:family w:val="swiss"/>
    <w:pitch w:val="variable"/>
    <w:sig w:usb0="E4002EFF" w:usb1="C000E47F" w:usb2="00000009" w:usb3="00000000" w:csb0="000001FF" w:csb1="00000000"/>
    <w:embedRegular r:id="rId4" w:fontKey="{4B765409-6CFD-47A4-826B-B8AD81135054}"/>
  </w:font>
  <w:font w:name="Helvetica">
    <w:panose1 w:val="020B0504020202020204"/>
    <w:charset w:val="00"/>
    <w:family w:val="swiss"/>
    <w:notTrueType/>
    <w:pitch w:val="variable"/>
    <w:sig w:usb0="00000003" w:usb1="00000000" w:usb2="00000000" w:usb3="00000000" w:csb0="00000001" w:csb1="00000000"/>
    <w:embedRegular r:id="rId5" w:fontKey="{F51B94F9-EDD5-4E87-8A43-CFBA9F0814E5}"/>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6" w:fontKey="{893B0D63-757F-4BCC-8CD2-A62E99A87764}"/>
    <w:embedBold r:id="rId7" w:fontKey="{A58EC7C8-674E-419C-9EEB-1D8B04176894}"/>
    <w:embedItalic r:id="rId8" w:fontKey="{F184685E-A6AC-4E61-B021-8883BB938867}"/>
    <w:embedBoldItalic r:id="rId9" w:fontKey="{A0757E85-17EA-4B36-AED4-51B084A6123D}"/>
  </w:font>
  <w:font w:name="Georgia">
    <w:panose1 w:val="02040502050405020303"/>
    <w:charset w:val="00"/>
    <w:family w:val="roman"/>
    <w:pitch w:val="variable"/>
    <w:sig w:usb0="00000287" w:usb1="00000000" w:usb2="00000000" w:usb3="00000000" w:csb0="0000009F" w:csb1="00000000"/>
    <w:embedItalic r:id="rId10" w:fontKey="{C7DFD688-1F55-4376-A103-BDAFFF602388}"/>
  </w:font>
  <w:font w:name="Calibri Light">
    <w:panose1 w:val="020F0302020204030204"/>
    <w:charset w:val="00"/>
    <w:family w:val="swiss"/>
    <w:pitch w:val="variable"/>
    <w:sig w:usb0="E4002EFF" w:usb1="C200247B" w:usb2="00000009" w:usb3="00000000" w:csb0="000001FF" w:csb1="00000000"/>
    <w:embedRegular r:id="rId11" w:fontKey="{CC5CE30D-DB75-453A-8B32-80AE93C53ED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BB9CD" w14:textId="2049A08D" w:rsidR="00F10D3B" w:rsidRDefault="009A1BE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F78BA">
      <w:rPr>
        <w:rFonts w:ascii="Arial" w:eastAsia="Arial" w:hAnsi="Arial" w:cs="Arial"/>
        <w:b/>
        <w:bCs/>
        <w:noProof/>
        <w:color w:val="000000"/>
        <w:sz w:val="20"/>
        <w:szCs w:val="20"/>
      </w:rPr>
      <w:t>9</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F78BA">
      <w:rPr>
        <w:rFonts w:ascii="Arial" w:eastAsia="Arial" w:hAnsi="Arial" w:cs="Arial"/>
        <w:b/>
        <w:bCs/>
        <w:noProof/>
        <w:color w:val="000000"/>
        <w:sz w:val="20"/>
        <w:szCs w:val="20"/>
      </w:rPr>
      <w:t>16</w:t>
    </w:r>
    <w:r>
      <w:rPr>
        <w:rFonts w:ascii="Arial" w:eastAsia="Arial" w:hAnsi="Arial" w:cs="Arial"/>
        <w:b/>
        <w:bCs/>
        <w:color w:val="000000"/>
        <w:sz w:val="20"/>
        <w:szCs w:val="20"/>
      </w:rPr>
      <w:fldChar w:fldCharType="end"/>
    </w:r>
  </w:p>
  <w:p w14:paraId="7E03D0C0" w14:textId="77777777" w:rsidR="00F10D3B" w:rsidRDefault="00F10D3B">
    <w:pPr>
      <w:pBdr>
        <w:top w:val="nil"/>
        <w:left w:val="nil"/>
        <w:bottom w:val="nil"/>
        <w:right w:val="nil"/>
        <w:between w:val="nil"/>
      </w:pBdr>
      <w:tabs>
        <w:tab w:val="center" w:pos="4252"/>
        <w:tab w:val="right" w:pos="8504"/>
      </w:tabs>
      <w:rPr>
        <w:color w:val="000000"/>
      </w:rPr>
    </w:pPr>
  </w:p>
  <w:p w14:paraId="736C4970" w14:textId="77777777" w:rsidR="00F10D3B" w:rsidRDefault="00F10D3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E55DD" w14:textId="25E1CD0E" w:rsidR="00F10D3B" w:rsidRDefault="009A1BE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FF78BA">
      <w:rPr>
        <w:rFonts w:ascii="Arial" w:eastAsia="Arial" w:hAnsi="Arial" w:cs="Arial"/>
        <w:b/>
        <w:bCs/>
        <w:noProof/>
        <w:color w:val="000000"/>
        <w:sz w:val="20"/>
        <w:szCs w:val="20"/>
      </w:rPr>
      <w:t>16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FF78BA">
      <w:rPr>
        <w:rFonts w:ascii="Arial" w:eastAsia="Arial" w:hAnsi="Arial" w:cs="Arial"/>
        <w:b/>
        <w:bCs/>
        <w:noProof/>
        <w:color w:val="000000"/>
        <w:sz w:val="20"/>
        <w:szCs w:val="20"/>
      </w:rPr>
      <w:t>16</w:t>
    </w:r>
    <w:r>
      <w:rPr>
        <w:rFonts w:ascii="Arial" w:eastAsia="Arial" w:hAnsi="Arial" w:cs="Arial"/>
        <w:b/>
        <w:bCs/>
        <w:color w:val="000000"/>
        <w:sz w:val="20"/>
        <w:szCs w:val="20"/>
      </w:rPr>
      <w:fldChar w:fldCharType="end"/>
    </w:r>
  </w:p>
  <w:p w14:paraId="6D80C9B0" w14:textId="77777777" w:rsidR="00F10D3B" w:rsidRDefault="00F10D3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AE5BF" w14:textId="77777777" w:rsidR="005C513B" w:rsidRDefault="005C513B">
      <w:r>
        <w:separator/>
      </w:r>
    </w:p>
  </w:footnote>
  <w:footnote w:type="continuationSeparator" w:id="0">
    <w:p w14:paraId="403A0BAB" w14:textId="77777777" w:rsidR="005C513B" w:rsidRDefault="005C513B">
      <w:r>
        <w:continuationSeparator/>
      </w:r>
    </w:p>
  </w:footnote>
  <w:footnote w:id="1">
    <w:p w14:paraId="74777723" w14:textId="77777777" w:rsidR="00F10D3B" w:rsidRDefault="009A1BE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iCs/>
          <w:color w:val="000000"/>
          <w:sz w:val="16"/>
          <w:szCs w:val="16"/>
        </w:rPr>
        <w:t>DESISTIMIENTO DE LA DEMANDA DE AMPARO. CORRESPONDE PROVEER RESPECTO DE ÉL AL JUEZ DE DISTRITO CUANDO SE PLANTEA ESTANDO PENDIENTE LA RESOLUCIÓN DEL RECURSO DE REVISIÓN Y ÉSTE SE DESECHA. El desechamiento del recurso de revisión implica, por una parte, la inexistencia de la apertura de la segunda instancia, ya que, en todo caso, la sola interposición del citado medio de defensa sólo originó el trámite de un expediente y, por otra, que quede firme la sentencia recurrida, en términos del artículo 356, fracción II, del Código Federal de Procedimientos Civiles, de aplicación supletoria conforme al artículo 2o., de la Ley de Amparo. En consecuencia, cuando se presenta ante el Juez de primera instancia el desistimiento de la demanda de amparo durante el trámite del recurso de revisión, y éste sea desechado por la falta de legitimación de la parte que lo interpuso, corresponderá a ese juzgador, quien dictó la sentencia impugnada, conocer de dicha manifestación en el ámbito de su competencia, en virtud de que el tribunal revisor carecerá de jurisdicción sobre el asunto al no haberse colmado uno de los presupuestos procesales de dicho recurso.”</w:t>
      </w:r>
    </w:p>
    <w:p w14:paraId="26227F50" w14:textId="77777777" w:rsidR="00F10D3B" w:rsidRDefault="00F10D3B">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2">
    <w:p w14:paraId="147AF4CF" w14:textId="77777777" w:rsidR="00F10D3B" w:rsidRDefault="009A1BE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C0E6D62" w14:textId="77777777" w:rsidR="00F10D3B" w:rsidRDefault="009A1BE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bCs/>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ECC4B" w14:textId="77777777" w:rsidR="00F10D3B" w:rsidRDefault="009A1BEA">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14:anchorId="38DAA591" wp14:editId="370E79AD">
          <wp:simplePos x="0" y="0"/>
          <wp:positionH relativeFrom="column">
            <wp:posOffset>-638172</wp:posOffset>
          </wp:positionH>
          <wp:positionV relativeFrom="paragraph">
            <wp:posOffset>-450211</wp:posOffset>
          </wp:positionV>
          <wp:extent cx="7809876" cy="10165823"/>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5"/>
      <w:tblW w:w="5528" w:type="dxa"/>
      <w:tblInd w:w="3261" w:type="dxa"/>
      <w:tblLayout w:type="fixed"/>
      <w:tblLook w:val="0400" w:firstRow="0" w:lastRow="0" w:firstColumn="0" w:lastColumn="0" w:noHBand="0" w:noVBand="1"/>
    </w:tblPr>
    <w:tblGrid>
      <w:gridCol w:w="2551"/>
      <w:gridCol w:w="2977"/>
    </w:tblGrid>
    <w:tr w:rsidR="00F10D3B" w14:paraId="406990CF" w14:textId="77777777">
      <w:tc>
        <w:tcPr>
          <w:tcW w:w="2551" w:type="dxa"/>
          <w:vAlign w:val="center"/>
        </w:tcPr>
        <w:p w14:paraId="0A400BAD" w14:textId="77777777" w:rsidR="00F10D3B" w:rsidRDefault="009A1BE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2977" w:type="dxa"/>
          <w:vAlign w:val="center"/>
        </w:tcPr>
        <w:p w14:paraId="560CB431" w14:textId="77777777" w:rsidR="00F10D3B" w:rsidRDefault="009A1BEA">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13094/INFOEM/IP/RR/2025</w:t>
          </w:r>
        </w:p>
      </w:tc>
    </w:tr>
    <w:tr w:rsidR="00F10D3B" w14:paraId="3DBA47AC" w14:textId="77777777">
      <w:trPr>
        <w:trHeight w:val="228"/>
      </w:trPr>
      <w:tc>
        <w:tcPr>
          <w:tcW w:w="2551" w:type="dxa"/>
          <w:vAlign w:val="center"/>
        </w:tcPr>
        <w:p w14:paraId="2CE51EA1" w14:textId="77777777" w:rsidR="00F10D3B" w:rsidRDefault="009A1BE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2977" w:type="dxa"/>
          <w:vAlign w:val="center"/>
        </w:tcPr>
        <w:p w14:paraId="6CD4E0A0" w14:textId="77777777" w:rsidR="00F10D3B" w:rsidRDefault="009A1BEA">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Secretaría de Educación, Ciencia, Tecnología e Innovación</w:t>
          </w:r>
        </w:p>
      </w:tc>
    </w:tr>
    <w:tr w:rsidR="00F10D3B" w14:paraId="2BF17089" w14:textId="77777777">
      <w:tc>
        <w:tcPr>
          <w:tcW w:w="2551" w:type="dxa"/>
          <w:vAlign w:val="center"/>
        </w:tcPr>
        <w:p w14:paraId="2E5C5A8A" w14:textId="77777777" w:rsidR="00F10D3B" w:rsidRDefault="009A1BE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2977" w:type="dxa"/>
          <w:vAlign w:val="center"/>
        </w:tcPr>
        <w:p w14:paraId="280A3DCC" w14:textId="77777777" w:rsidR="00F10D3B" w:rsidRDefault="009A1BEA">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876FECD" w14:textId="77777777" w:rsidR="00F10D3B" w:rsidRDefault="009A1BE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619C9" w14:textId="77777777" w:rsidR="00F10D3B" w:rsidRDefault="009A1BE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14:anchorId="415EBF0F" wp14:editId="6AD47ACA">
          <wp:simplePos x="0" y="0"/>
          <wp:positionH relativeFrom="column">
            <wp:posOffset>-798189</wp:posOffset>
          </wp:positionH>
          <wp:positionV relativeFrom="paragraph">
            <wp:posOffset>-399410</wp:posOffset>
          </wp:positionV>
          <wp:extent cx="7809876" cy="10165823"/>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953" w:type="dxa"/>
      <w:tblInd w:w="3119" w:type="dxa"/>
      <w:tblLayout w:type="fixed"/>
      <w:tblLook w:val="0400" w:firstRow="0" w:lastRow="0" w:firstColumn="0" w:lastColumn="0" w:noHBand="0" w:noVBand="1"/>
    </w:tblPr>
    <w:tblGrid>
      <w:gridCol w:w="2551"/>
      <w:gridCol w:w="3119"/>
      <w:gridCol w:w="283"/>
    </w:tblGrid>
    <w:tr w:rsidR="00F10D3B" w14:paraId="703562B8" w14:textId="77777777">
      <w:trPr>
        <w:gridAfter w:val="1"/>
        <w:wAfter w:w="283" w:type="dxa"/>
      </w:trPr>
      <w:tc>
        <w:tcPr>
          <w:tcW w:w="2551" w:type="dxa"/>
          <w:vAlign w:val="center"/>
        </w:tcPr>
        <w:p w14:paraId="5BC81760" w14:textId="77777777" w:rsidR="00F10D3B" w:rsidRDefault="009A1BE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14:paraId="2635922C" w14:textId="77777777" w:rsidR="00F10D3B" w:rsidRDefault="009A1BEA">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13094/INFOEM/IP/RR/2025 </w:t>
          </w:r>
        </w:p>
      </w:tc>
    </w:tr>
    <w:tr w:rsidR="00F10D3B" w14:paraId="72046AAA" w14:textId="77777777">
      <w:tc>
        <w:tcPr>
          <w:tcW w:w="2551" w:type="dxa"/>
          <w:vAlign w:val="center"/>
        </w:tcPr>
        <w:p w14:paraId="4B192AA6" w14:textId="77777777" w:rsidR="00F10D3B" w:rsidRDefault="009A1BEA">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02" w:type="dxa"/>
          <w:gridSpan w:val="2"/>
          <w:vAlign w:val="center"/>
        </w:tcPr>
        <w:p w14:paraId="1F85FB3F" w14:textId="35A5DDF6" w:rsidR="00F10D3B" w:rsidRDefault="00FF78BA" w:rsidP="00FF78BA">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 XXXXX XXXX</w:t>
          </w:r>
        </w:p>
      </w:tc>
    </w:tr>
    <w:tr w:rsidR="00F10D3B" w14:paraId="04C2D35A" w14:textId="77777777">
      <w:trPr>
        <w:gridAfter w:val="1"/>
        <w:wAfter w:w="283" w:type="dxa"/>
        <w:trHeight w:val="228"/>
      </w:trPr>
      <w:tc>
        <w:tcPr>
          <w:tcW w:w="2551" w:type="dxa"/>
          <w:vAlign w:val="center"/>
        </w:tcPr>
        <w:p w14:paraId="2E7CE03D" w14:textId="77777777" w:rsidR="00F10D3B" w:rsidRDefault="009A1BE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119" w:type="dxa"/>
          <w:vAlign w:val="center"/>
        </w:tcPr>
        <w:p w14:paraId="07B34DF8" w14:textId="77777777" w:rsidR="00F10D3B" w:rsidRDefault="009A1BEA">
          <w:pPr>
            <w:ind w:right="2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Secretaría de Educación, Ciencia, Tecnología e Innovación</w:t>
          </w:r>
        </w:p>
      </w:tc>
    </w:tr>
    <w:tr w:rsidR="00F10D3B" w14:paraId="4A2203BC" w14:textId="77777777">
      <w:trPr>
        <w:gridAfter w:val="1"/>
        <w:wAfter w:w="283" w:type="dxa"/>
      </w:trPr>
      <w:tc>
        <w:tcPr>
          <w:tcW w:w="2551" w:type="dxa"/>
          <w:vAlign w:val="center"/>
        </w:tcPr>
        <w:p w14:paraId="4132D646" w14:textId="77777777" w:rsidR="00F10D3B" w:rsidRDefault="009A1BEA">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14:paraId="56530635" w14:textId="77777777" w:rsidR="00F10D3B" w:rsidRDefault="009A1BEA">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5F60D07" w14:textId="77777777" w:rsidR="00F10D3B" w:rsidRDefault="00F10D3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27185" w14:textId="77777777" w:rsidR="00F10D3B" w:rsidRDefault="00F10D3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7149EF74" w14:textId="77777777" w:rsidR="00F10D3B" w:rsidRDefault="00F10D3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C46A06"/>
    <w:multiLevelType w:val="multilevel"/>
    <w:tmpl w:val="713C8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986F49"/>
    <w:multiLevelType w:val="multilevel"/>
    <w:tmpl w:val="33E8914C"/>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 w15:restartNumberingAfterBreak="0">
    <w:nsid w:val="3A2729F8"/>
    <w:multiLevelType w:val="multilevel"/>
    <w:tmpl w:val="8466B5A2"/>
    <w:lvl w:ilvl="0">
      <w:start w:val="1"/>
      <w:numFmt w:val="decimal"/>
      <w:pStyle w:val="Listaconvietas3"/>
      <w:lvlText w:val="%1."/>
      <w:lvlJc w:val="left"/>
      <w:pPr>
        <w:ind w:left="720" w:hanging="360"/>
      </w:pPr>
      <w:rPr>
        <w:b/>
        <w:bCs/>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526CCC"/>
    <w:multiLevelType w:val="multilevel"/>
    <w:tmpl w:val="1630A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3B"/>
    <w:rsid w:val="00104ECB"/>
    <w:rsid w:val="005C513B"/>
    <w:rsid w:val="007F01BD"/>
    <w:rsid w:val="009A1BEA"/>
    <w:rsid w:val="00F10D3B"/>
    <w:rsid w:val="00FF7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D1032"/>
  <w15:docId w15:val="{075CEC89-442A-4FF2-8C41-E30BFB6C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Fundamentos"/>
    <w:link w:val="SinespaciadoCar"/>
    <w:uiPriority w:val="1"/>
    <w:qFormat/>
    <w:rsid w:val="00CE2CFE"/>
  </w:style>
  <w:style w:type="character" w:customStyle="1" w:styleId="SinespaciadoCar">
    <w:name w:val="Sin espaciado Car"/>
    <w:aliases w:val="Francesa Car,INAI Car,Fundamentos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17129.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2617130.page"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EGyAsHi/gQv4bQHkTSqvnqlJQ==">CgMxLjAyCWguM3pueXNoNzIIaC5namRneHMyCWguMzBqMHpsbDIJaC4zZHk2dmttMgloLjE3ZHA4dnU4AHIhMVJLM21lSENjbWZlWmRVNjNWN0FGSWlaem5sU3A3aGlG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3440</Words>
  <Characters>18924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2026-02-09T16:41:00Z</cp:lastPrinted>
  <dcterms:created xsi:type="dcterms:W3CDTF">2026-03-24T17:54:00Z</dcterms:created>
  <dcterms:modified xsi:type="dcterms:W3CDTF">2026-03-24T17:54:00Z</dcterms:modified>
</cp:coreProperties>
</file>