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Resolución del Pleno del Instituto de Transparencia, Acceso a la Información Pública y Protección de Datos Personales del Estado de México y Municipios, con domicilio en Metepec, Estado de México, a veinticinco de febrero de dos mil veintiséis. </w:t>
      </w:r>
    </w:p>
    <w:p w:rsidR="00000000" w:rsidDel="00000000" w:rsidP="00000000" w:rsidRDefault="00000000" w:rsidRPr="00000000" w14:paraId="00000002">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3">
      <w:pPr>
        <w:spacing w:line="360" w:lineRule="auto"/>
        <w:jc w:val="both"/>
        <w:rPr>
          <w:rFonts w:ascii="Palatino Linotype" w:cs="Palatino Linotype" w:eastAsia="Palatino Linotype" w:hAnsi="Palatino Linotype"/>
          <w:sz w:val="22"/>
          <w:szCs w:val="22"/>
        </w:rPr>
      </w:pPr>
      <w:bookmarkStart w:colFirst="0" w:colLast="0" w:name="_heading=h.z90698hx2efz" w:id="0"/>
      <w:bookmarkEnd w:id="0"/>
      <w:r w:rsidDel="00000000" w:rsidR="00000000" w:rsidRPr="00000000">
        <w:rPr>
          <w:rFonts w:ascii="Palatino Linotype" w:cs="Palatino Linotype" w:eastAsia="Palatino Linotype" w:hAnsi="Palatino Linotype"/>
          <w:b w:val="1"/>
          <w:bCs w:val="1"/>
          <w:sz w:val="22"/>
          <w:szCs w:val="22"/>
          <w:rtl w:val="0"/>
        </w:rPr>
        <w:t xml:space="preserve">VISTO</w:t>
      </w:r>
      <w:r w:rsidDel="00000000" w:rsidR="00000000" w:rsidRPr="00000000">
        <w:rPr>
          <w:rFonts w:ascii="Palatino Linotype" w:cs="Palatino Linotype" w:eastAsia="Palatino Linotype" w:hAnsi="Palatino Linotype"/>
          <w:sz w:val="22"/>
          <w:szCs w:val="22"/>
          <w:rtl w:val="0"/>
        </w:rPr>
        <w:t xml:space="preserve"> el expediente formado con motivo del recurso de revisión </w:t>
      </w:r>
      <w:r w:rsidDel="00000000" w:rsidR="00000000" w:rsidRPr="00000000">
        <w:rPr>
          <w:rFonts w:ascii="Palatino Linotype" w:cs="Palatino Linotype" w:eastAsia="Palatino Linotype" w:hAnsi="Palatino Linotype"/>
          <w:b w:val="1"/>
          <w:bCs w:val="1"/>
          <w:sz w:val="22"/>
          <w:szCs w:val="22"/>
          <w:rtl w:val="0"/>
        </w:rPr>
        <w:t xml:space="preserve">14674/INFOEM/IP/RR/2025</w:t>
      </w:r>
      <w:r w:rsidDel="00000000" w:rsidR="00000000" w:rsidRPr="00000000">
        <w:rPr>
          <w:rFonts w:ascii="Palatino Linotype" w:cs="Palatino Linotype" w:eastAsia="Palatino Linotype" w:hAnsi="Palatino Linotype"/>
          <w:sz w:val="22"/>
          <w:szCs w:val="22"/>
          <w:rtl w:val="0"/>
        </w:rPr>
        <w:t xml:space="preserve">, interpuesto por</w:t>
      </w:r>
      <w:r w:rsidDel="00000000" w:rsidR="00000000" w:rsidRPr="00000000">
        <w:rPr>
          <w:rFonts w:ascii="Palatino Linotype" w:cs="Palatino Linotype" w:eastAsia="Palatino Linotype" w:hAnsi="Palatino Linotype"/>
          <w:b w:val="1"/>
          <w:bCs w:val="1"/>
          <w:sz w:val="22"/>
          <w:szCs w:val="22"/>
          <w:rtl w:val="0"/>
        </w:rPr>
        <w:t xml:space="preserve"> XXXXX XXXXXX XXXXXXX,</w:t>
      </w:r>
      <w:r w:rsidDel="00000000" w:rsidR="00000000" w:rsidRPr="00000000">
        <w:rPr>
          <w:rFonts w:ascii="Palatino Linotype" w:cs="Palatino Linotype" w:eastAsia="Palatino Linotype" w:hAnsi="Palatino Linotype"/>
          <w:sz w:val="22"/>
          <w:szCs w:val="22"/>
          <w:rtl w:val="0"/>
        </w:rPr>
        <w:t xml:space="preserve"> en lo sucesivo</w:t>
      </w:r>
      <w:r w:rsidDel="00000000" w:rsidR="00000000" w:rsidRPr="00000000">
        <w:rPr>
          <w:rFonts w:ascii="Palatino Linotype" w:cs="Palatino Linotype" w:eastAsia="Palatino Linotype" w:hAnsi="Palatino Linotype"/>
          <w:b w:val="1"/>
          <w:bCs w:val="1"/>
          <w:sz w:val="22"/>
          <w:szCs w:val="22"/>
          <w:rtl w:val="0"/>
        </w:rPr>
        <w:t xml:space="preserve"> </w:t>
      </w:r>
      <w:r w:rsidDel="00000000" w:rsidR="00000000" w:rsidRPr="00000000">
        <w:rPr>
          <w:rFonts w:ascii="Palatino Linotype" w:cs="Palatino Linotype" w:eastAsia="Palatino Linotype" w:hAnsi="Palatino Linotype"/>
          <w:sz w:val="22"/>
          <w:szCs w:val="22"/>
          <w:rtl w:val="0"/>
        </w:rPr>
        <w:t xml:space="preserve">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en contra de la respuesta a su solicitud de información con número de folio </w:t>
      </w:r>
      <w:r w:rsidDel="00000000" w:rsidR="00000000" w:rsidRPr="00000000">
        <w:rPr>
          <w:rFonts w:ascii="Palatino Linotype" w:cs="Palatino Linotype" w:eastAsia="Palatino Linotype" w:hAnsi="Palatino Linotype"/>
          <w:b w:val="1"/>
          <w:bCs w:val="1"/>
          <w:sz w:val="22"/>
          <w:szCs w:val="22"/>
          <w:rtl w:val="0"/>
        </w:rPr>
        <w:t xml:space="preserve">00446/SEGEGOB/IP/2025</w:t>
      </w:r>
      <w:r w:rsidDel="00000000" w:rsidR="00000000" w:rsidRPr="00000000">
        <w:rPr>
          <w:rFonts w:ascii="Palatino Linotype" w:cs="Palatino Linotype" w:eastAsia="Palatino Linotype" w:hAnsi="Palatino Linotype"/>
          <w:sz w:val="22"/>
          <w:szCs w:val="22"/>
          <w:rtl w:val="0"/>
        </w:rPr>
        <w:t xml:space="preserve">, por parte del </w:t>
      </w:r>
      <w:r w:rsidDel="00000000" w:rsidR="00000000" w:rsidRPr="00000000">
        <w:rPr>
          <w:rFonts w:ascii="Palatino Linotype" w:cs="Palatino Linotype" w:eastAsia="Palatino Linotype" w:hAnsi="Palatino Linotype"/>
          <w:b w:val="1"/>
          <w:bCs w:val="1"/>
          <w:sz w:val="22"/>
          <w:szCs w:val="22"/>
          <w:rtl w:val="0"/>
        </w:rPr>
        <w:t xml:space="preserve">Secretaría General de Gobierno, </w:t>
      </w:r>
      <w:r w:rsidDel="00000000" w:rsidR="00000000" w:rsidRPr="00000000">
        <w:rPr>
          <w:rFonts w:ascii="Palatino Linotype" w:cs="Palatino Linotype" w:eastAsia="Palatino Linotype" w:hAnsi="Palatino Linotype"/>
          <w:sz w:val="22"/>
          <w:szCs w:val="22"/>
          <w:rtl w:val="0"/>
        </w:rPr>
        <w:t xml:space="preserve">en lo sucesivo el </w:t>
      </w:r>
      <w:r w:rsidDel="00000000" w:rsidR="00000000" w:rsidRPr="00000000">
        <w:rPr>
          <w:rFonts w:ascii="Palatino Linotype" w:cs="Palatino Linotype" w:eastAsia="Palatino Linotype" w:hAnsi="Palatino Linotype"/>
          <w:b w:val="1"/>
          <w:bCs w:val="1"/>
          <w:sz w:val="22"/>
          <w:szCs w:val="22"/>
          <w:rtl w:val="0"/>
        </w:rPr>
        <w:t xml:space="preserve">Sujeto Obligado, </w:t>
      </w:r>
      <w:r w:rsidDel="00000000" w:rsidR="00000000" w:rsidRPr="00000000">
        <w:rPr>
          <w:rFonts w:ascii="Palatino Linotype" w:cs="Palatino Linotype" w:eastAsia="Palatino Linotype" w:hAnsi="Palatino Linotype"/>
          <w:sz w:val="22"/>
          <w:szCs w:val="22"/>
          <w:rtl w:val="0"/>
        </w:rPr>
        <w:t xml:space="preserve">se procede a dictar la presente resolución con base en los siguientes:  </w:t>
      </w:r>
    </w:p>
    <w:p w:rsidR="00000000" w:rsidDel="00000000" w:rsidP="00000000" w:rsidRDefault="00000000" w:rsidRPr="00000000" w14:paraId="00000004">
      <w:pPr>
        <w:spacing w:line="360" w:lineRule="auto"/>
        <w:jc w:val="cente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05">
      <w:pPr>
        <w:spacing w:line="36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I. A N T E C E D E N T E S</w:t>
      </w:r>
    </w:p>
    <w:p w:rsidR="00000000" w:rsidDel="00000000" w:rsidP="00000000" w:rsidRDefault="00000000" w:rsidRPr="00000000" w14:paraId="00000006">
      <w:pPr>
        <w:spacing w:line="360" w:lineRule="auto"/>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07">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1. Solicitud de acceso a la información.</w:t>
      </w:r>
      <w:r w:rsidDel="00000000" w:rsidR="00000000" w:rsidRPr="00000000">
        <w:rPr>
          <w:rFonts w:ascii="Palatino Linotype" w:cs="Palatino Linotype" w:eastAsia="Palatino Linotype" w:hAnsi="Palatino Linotype"/>
          <w:sz w:val="22"/>
          <w:szCs w:val="22"/>
          <w:rtl w:val="0"/>
        </w:rPr>
        <w:t xml:space="preserve"> Con fecha </w:t>
      </w:r>
      <w:r w:rsidDel="00000000" w:rsidR="00000000" w:rsidRPr="00000000">
        <w:rPr>
          <w:rFonts w:ascii="Palatino Linotype" w:cs="Palatino Linotype" w:eastAsia="Palatino Linotype" w:hAnsi="Palatino Linotype"/>
          <w:b w:val="1"/>
          <w:bCs w:val="1"/>
          <w:sz w:val="22"/>
          <w:szCs w:val="22"/>
          <w:rtl w:val="0"/>
        </w:rPr>
        <w:t xml:space="preserve">seis de diciembre de dos mil veinticinco</w:t>
      </w:r>
      <w:r w:rsidDel="00000000" w:rsidR="00000000" w:rsidRPr="00000000">
        <w:rPr>
          <w:rFonts w:ascii="Palatino Linotype" w:cs="Palatino Linotype" w:eastAsia="Palatino Linotype" w:hAnsi="Palatino Linotype"/>
          <w:sz w:val="22"/>
          <w:szCs w:val="22"/>
          <w:rtl w:val="0"/>
        </w:rPr>
        <w:t xml:space="preserve">,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formuló solicitud de acceso a información pública al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a través del Sistema de Acceso a la Información Mexiquense, en adelante </w:t>
      </w:r>
      <w:r w:rsidDel="00000000" w:rsidR="00000000" w:rsidRPr="00000000">
        <w:rPr>
          <w:rFonts w:ascii="Palatino Linotype" w:cs="Palatino Linotype" w:eastAsia="Palatino Linotype" w:hAnsi="Palatino Linotype"/>
          <w:b w:val="1"/>
          <w:bCs w:val="1"/>
          <w:sz w:val="22"/>
          <w:szCs w:val="22"/>
          <w:rtl w:val="0"/>
        </w:rPr>
        <w:t xml:space="preserve">SAIMEX</w:t>
      </w:r>
      <w:r w:rsidDel="00000000" w:rsidR="00000000" w:rsidRPr="00000000">
        <w:rPr>
          <w:rFonts w:ascii="Palatino Linotype" w:cs="Palatino Linotype" w:eastAsia="Palatino Linotype" w:hAnsi="Palatino Linotype"/>
          <w:sz w:val="22"/>
          <w:szCs w:val="22"/>
          <w:rtl w:val="0"/>
        </w:rPr>
        <w:t xml:space="preserve">; sin embargo, al corresponder a un día inhábil se tuvo por presentada el día</w:t>
      </w:r>
      <w:r w:rsidDel="00000000" w:rsidR="00000000" w:rsidRPr="00000000">
        <w:rPr>
          <w:rFonts w:ascii="Palatino Linotype" w:cs="Palatino Linotype" w:eastAsia="Palatino Linotype" w:hAnsi="Palatino Linotype"/>
          <w:b w:val="1"/>
          <w:bCs w:val="1"/>
          <w:sz w:val="22"/>
          <w:szCs w:val="22"/>
          <w:rtl w:val="0"/>
        </w:rPr>
        <w:t xml:space="preserve"> ocho de diciembre de dos mil veinticinco, </w:t>
      </w:r>
      <w:r w:rsidDel="00000000" w:rsidR="00000000" w:rsidRPr="00000000">
        <w:rPr>
          <w:rFonts w:ascii="Palatino Linotype" w:cs="Palatino Linotype" w:eastAsia="Palatino Linotype" w:hAnsi="Palatino Linotype"/>
          <w:sz w:val="22"/>
          <w:szCs w:val="22"/>
          <w:rtl w:val="0"/>
        </w:rPr>
        <w:t xml:space="preserve">mediante la cual requirió lo siguiente:</w:t>
      </w:r>
    </w:p>
    <w:p w:rsidR="00000000" w:rsidDel="00000000" w:rsidP="00000000" w:rsidRDefault="00000000" w:rsidRPr="00000000" w14:paraId="00000008">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09">
      <w:pPr>
        <w:spacing w:line="276" w:lineRule="auto"/>
        <w:ind w:left="851" w:right="616" w:firstLine="0"/>
        <w:jc w:val="both"/>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“SOLICITO COPIA SIMPLE DIGITALIZADA A TRAVÉS DEL SISTEMA ELECTRONICO SAIMEX DE LOS "contrato pedido" CELEBRADOS POR EL SUJETO OBLIGADO PARA LA CONTRATACIÓN DE BIENES Y SERVICIOS POR UN MONTO SUPERIOR A 100 MIL PESOS CON FECHA DEL 1 DE ENERO AL 30 DE NOVIEMBRE DE 2025.</w:t>
      </w:r>
      <w:r w:rsidDel="00000000" w:rsidR="00000000" w:rsidRPr="00000000">
        <w:rPr>
          <w:rFonts w:ascii="Palatino Linotype" w:cs="Palatino Linotype" w:eastAsia="Palatino Linotype" w:hAnsi="Palatino Linotype"/>
          <w:b w:val="1"/>
          <w:bCs w:val="1"/>
          <w:i w:val="1"/>
          <w:iCs w:val="1"/>
          <w:sz w:val="22"/>
          <w:szCs w:val="22"/>
          <w:rtl w:val="0"/>
        </w:rPr>
        <w:t xml:space="preserve">”</w:t>
      </w:r>
      <w:r w:rsidDel="00000000" w:rsidR="00000000" w:rsidRPr="00000000">
        <w:rPr>
          <w:rFonts w:ascii="Palatino Linotype" w:cs="Palatino Linotype" w:eastAsia="Palatino Linotype" w:hAnsi="Palatino Linotype"/>
          <w:i w:val="1"/>
          <w:iCs w:val="1"/>
          <w:sz w:val="22"/>
          <w:szCs w:val="22"/>
          <w:rtl w:val="0"/>
        </w:rPr>
        <w:t xml:space="preserve"> (sic) </w:t>
      </w:r>
      <w:r w:rsidDel="00000000" w:rsidR="00000000" w:rsidRPr="00000000">
        <w:rPr>
          <w:rtl w:val="0"/>
        </w:rPr>
      </w:r>
    </w:p>
    <w:p w:rsidR="00000000" w:rsidDel="00000000" w:rsidP="00000000" w:rsidRDefault="00000000" w:rsidRPr="00000000" w14:paraId="0000000A">
      <w:pPr>
        <w:spacing w:line="360" w:lineRule="auto"/>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0B">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Modalidad de Entrega:</w:t>
      </w:r>
      <w:r w:rsidDel="00000000" w:rsidR="00000000" w:rsidRPr="00000000">
        <w:rPr>
          <w:rFonts w:ascii="Palatino Linotype" w:cs="Palatino Linotype" w:eastAsia="Palatino Linotype" w:hAnsi="Palatino Linotype"/>
          <w:sz w:val="22"/>
          <w:szCs w:val="22"/>
          <w:rtl w:val="0"/>
        </w:rPr>
        <w:t xml:space="preserve"> a través </w:t>
      </w:r>
      <w:r w:rsidDel="00000000" w:rsidR="00000000" w:rsidRPr="00000000">
        <w:rPr>
          <w:rFonts w:ascii="Palatino Linotype" w:cs="Palatino Linotype" w:eastAsia="Palatino Linotype" w:hAnsi="Palatino Linotype"/>
          <w:b w:val="1"/>
          <w:bCs w:val="1"/>
          <w:sz w:val="22"/>
          <w:szCs w:val="22"/>
          <w:rtl w:val="0"/>
        </w:rPr>
        <w:t xml:space="preserve">de SAIMEX</w:t>
      </w:r>
      <w:r w:rsidDel="00000000" w:rsidR="00000000" w:rsidRPr="00000000">
        <w:rPr>
          <w:rtl w:val="0"/>
        </w:rPr>
      </w:r>
    </w:p>
    <w:p w:rsidR="00000000" w:rsidDel="00000000" w:rsidP="00000000" w:rsidRDefault="00000000" w:rsidRPr="00000000" w14:paraId="0000000C">
      <w:pPr>
        <w:spacing w:line="360" w:lineRule="auto"/>
        <w:jc w:val="both"/>
        <w:rPr>
          <w:rFonts w:ascii="Palatino Linotype" w:cs="Palatino Linotype" w:eastAsia="Palatino Linotype" w:hAnsi="Palatino Linotype"/>
          <w:b w:val="1"/>
          <w:bCs w:val="1"/>
          <w:sz w:val="22"/>
          <w:szCs w:val="22"/>
        </w:rPr>
      </w:pPr>
      <w:bookmarkStart w:colFirst="0" w:colLast="0" w:name="_heading=h.3dy6vkm" w:id="1"/>
      <w:bookmarkEnd w:id="1"/>
      <w:r w:rsidDel="00000000" w:rsidR="00000000" w:rsidRPr="00000000">
        <w:rPr>
          <w:rtl w:val="0"/>
        </w:rPr>
      </w:r>
    </w:p>
    <w:p w:rsidR="00000000" w:rsidDel="00000000" w:rsidP="00000000" w:rsidRDefault="00000000" w:rsidRPr="00000000" w14:paraId="0000000D">
      <w:pPr>
        <w:spacing w:line="360" w:lineRule="auto"/>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2. Respuesta. </w:t>
      </w:r>
      <w:r w:rsidDel="00000000" w:rsidR="00000000" w:rsidRPr="00000000">
        <w:rPr>
          <w:rFonts w:ascii="Palatino Linotype" w:cs="Palatino Linotype" w:eastAsia="Palatino Linotype" w:hAnsi="Palatino Linotype"/>
          <w:sz w:val="22"/>
          <w:szCs w:val="22"/>
          <w:rtl w:val="0"/>
        </w:rPr>
        <w:t xml:space="preserve">Con fecha</w:t>
      </w:r>
      <w:r w:rsidDel="00000000" w:rsidR="00000000" w:rsidRPr="00000000">
        <w:rPr>
          <w:rFonts w:ascii="Palatino Linotype" w:cs="Palatino Linotype" w:eastAsia="Palatino Linotype" w:hAnsi="Palatino Linotype"/>
          <w:b w:val="1"/>
          <w:bCs w:val="1"/>
          <w:sz w:val="22"/>
          <w:szCs w:val="22"/>
          <w:rtl w:val="0"/>
        </w:rPr>
        <w:t xml:space="preserve"> dieciocho de diciembre de dos mil veinticinco</w:t>
      </w:r>
      <w:r w:rsidDel="00000000" w:rsidR="00000000" w:rsidRPr="00000000">
        <w:rPr>
          <w:rFonts w:ascii="Palatino Linotype" w:cs="Palatino Linotype" w:eastAsia="Palatino Linotype" w:hAnsi="Palatino Linotype"/>
          <w:sz w:val="22"/>
          <w:szCs w:val="22"/>
          <w:rtl w:val="0"/>
        </w:rPr>
        <w:t xml:space="preserve">, el </w:t>
      </w:r>
      <w:r w:rsidDel="00000000" w:rsidR="00000000" w:rsidRPr="00000000">
        <w:rPr>
          <w:rFonts w:ascii="Palatino Linotype" w:cs="Palatino Linotype" w:eastAsia="Palatino Linotype" w:hAnsi="Palatino Linotype"/>
          <w:b w:val="1"/>
          <w:bCs w:val="1"/>
          <w:sz w:val="22"/>
          <w:szCs w:val="22"/>
          <w:rtl w:val="0"/>
        </w:rPr>
        <w:t xml:space="preserve">Sujeto Obligado </w:t>
      </w:r>
      <w:r w:rsidDel="00000000" w:rsidR="00000000" w:rsidRPr="00000000">
        <w:rPr>
          <w:rFonts w:ascii="Palatino Linotype" w:cs="Palatino Linotype" w:eastAsia="Palatino Linotype" w:hAnsi="Palatino Linotype"/>
          <w:sz w:val="22"/>
          <w:szCs w:val="22"/>
          <w:rtl w:val="0"/>
        </w:rPr>
        <w:t xml:space="preserve">envió su respuesta a la solicitud de acceso a la información a través de SAIMEX, sustancialmente en los términos siguientes:   </w:t>
      </w:r>
      <w:r w:rsidDel="00000000" w:rsidR="00000000" w:rsidRPr="00000000">
        <w:rPr>
          <w:rtl w:val="0"/>
        </w:rPr>
      </w:r>
    </w:p>
    <w:p w:rsidR="00000000" w:rsidDel="00000000" w:rsidP="00000000" w:rsidRDefault="00000000" w:rsidRPr="00000000" w14:paraId="0000000E">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0F">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“En respuesta a la solicitud recibida, nos permitimos hacer de su conocimiento que con fundamento en el artículo 53, Fracciones: II, V y VI de la Ley de Transparencia y Acceso a la Información Pública del Estado de México y Municipios, le contestamos que:</w:t>
      </w:r>
    </w:p>
    <w:p w:rsidR="00000000" w:rsidDel="00000000" w:rsidP="00000000" w:rsidRDefault="00000000" w:rsidRPr="00000000" w14:paraId="00000010">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SE ANEXA RESPUESTA EN UN ARCHIVO. EN CASO DE TENER ALGÚN PROBLEMA CON LA RECEPCIÓN DE ESTE ARCHIVO, FAVOR DE COMUNICARSE AL TELÉFONO 722 2138893, EXT. 111, 119 Y 132.</w:t>
      </w:r>
    </w:p>
    <w:p w:rsidR="00000000" w:rsidDel="00000000" w:rsidP="00000000" w:rsidRDefault="00000000" w:rsidRPr="00000000" w14:paraId="00000011">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ATENTAMENTE</w:t>
      </w:r>
    </w:p>
    <w:p w:rsidR="00000000" w:rsidDel="00000000" w:rsidP="00000000" w:rsidRDefault="00000000" w:rsidRPr="00000000" w14:paraId="00000012">
      <w:pPr>
        <w:spacing w:line="276" w:lineRule="auto"/>
        <w:ind w:left="851" w:right="616" w:firstLine="0"/>
        <w:jc w:val="both"/>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DRA. EN D. ROSARIO ARZATE AGUILAR” (sic)</w:t>
      </w:r>
      <w:r w:rsidDel="00000000" w:rsidR="00000000" w:rsidRPr="00000000">
        <w:rPr>
          <w:rtl w:val="0"/>
        </w:rPr>
      </w:r>
    </w:p>
    <w:p w:rsidR="00000000" w:rsidDel="00000000" w:rsidP="00000000" w:rsidRDefault="00000000" w:rsidRPr="00000000" w14:paraId="00000013">
      <w:pPr>
        <w:spacing w:line="360" w:lineRule="auto"/>
        <w:ind w:right="49"/>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14">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Adjuntando a su respuesta el archivo electrónico denominado</w:t>
      </w:r>
      <w:r w:rsidDel="00000000" w:rsidR="00000000" w:rsidRPr="00000000">
        <w:rPr>
          <w:rFonts w:ascii="Palatino Linotype" w:cs="Palatino Linotype" w:eastAsia="Palatino Linotype" w:hAnsi="Palatino Linotype"/>
          <w:b w:val="1"/>
          <w:bCs w:val="1"/>
          <w:sz w:val="22"/>
          <w:szCs w:val="22"/>
          <w:rtl w:val="0"/>
        </w:rPr>
        <w:t xml:space="preserve"> “</w:t>
      </w:r>
      <w:r w:rsidDel="00000000" w:rsidR="00000000" w:rsidRPr="00000000">
        <w:rPr>
          <w:rFonts w:ascii="Palatino Linotype" w:cs="Palatino Linotype" w:eastAsia="Palatino Linotype" w:hAnsi="Palatino Linotype"/>
          <w:b w:val="1"/>
          <w:bCs w:val="1"/>
          <w:i w:val="1"/>
          <w:iCs w:val="1"/>
          <w:sz w:val="22"/>
          <w:szCs w:val="22"/>
          <w:rtl w:val="0"/>
        </w:rPr>
        <w:t xml:space="preserve">Rpta. 00446-2025.pdf</w:t>
      </w:r>
      <w:r w:rsidDel="00000000" w:rsidR="00000000" w:rsidRPr="00000000">
        <w:rPr>
          <w:rFonts w:ascii="Palatino Linotype" w:cs="Palatino Linotype" w:eastAsia="Palatino Linotype" w:hAnsi="Palatino Linotype"/>
          <w:b w:val="1"/>
          <w:bCs w:val="1"/>
          <w:sz w:val="22"/>
          <w:szCs w:val="22"/>
          <w:rtl w:val="0"/>
        </w:rPr>
        <w:t xml:space="preserve">”</w:t>
      </w:r>
      <w:r w:rsidDel="00000000" w:rsidR="00000000" w:rsidRPr="00000000">
        <w:rPr>
          <w:rFonts w:ascii="Palatino Linotype" w:cs="Palatino Linotype" w:eastAsia="Palatino Linotype" w:hAnsi="Palatino Linotype"/>
          <w:sz w:val="22"/>
          <w:szCs w:val="22"/>
          <w:rtl w:val="0"/>
        </w:rPr>
        <w:t xml:space="preserve">, el cual contiene los siguientes documentos: </w:t>
      </w:r>
    </w:p>
    <w:p w:rsidR="00000000" w:rsidDel="00000000" w:rsidP="00000000" w:rsidRDefault="00000000" w:rsidRPr="00000000" w14:paraId="00000015">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s>
        <w:spacing w:after="0" w:before="0" w:line="360" w:lineRule="auto"/>
        <w:ind w:left="720" w:right="616"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Oficio de fecha diecisiete de diciembre de dos mil veinticinco, suscrito por la Titular de la Unidad de Transparencia, en el que informó que la solicitud fue turnada al Servidor Público Habilitado de la Coordinación Administrativa, quien mediante oficio número 20500008A000000/6194/2025, remitió la respuesta correspondiente.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s>
        <w:spacing w:after="0" w:before="0" w:line="360" w:lineRule="auto"/>
        <w:ind w:left="720" w:right="616"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Oficio número 20500008A000000/6194/2025 de fecha quince de diciembre de dos mil veinticinco, suscrito por el Coordinador Administrativo, en el que informó la respuesta emitida por la Directora de Recursos Materiales y Servicios Generales.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7371"/>
        </w:tabs>
        <w:spacing w:after="0" w:before="0" w:line="360" w:lineRule="auto"/>
        <w:ind w:left="720" w:right="616"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Oficio número 20500008030000S/1341/2025 de fecha quince de diciembre de dos mil veinticinco, suscrito por la Directora de Recursos Materiales y Servicios Generales, en el que informó que con fundamento en el artículo 161 de la Ley de Transparencia y Acceso a la Información Pública del Estado de México y Municipios, podrá consultar los contratos pedido del periodo solicitado en el Sistema de Información Pública de Oficio Mexiquense (IPOMEX), </w:t>
      </w:r>
      <w:r w:rsidDel="00000000" w:rsidR="00000000" w:rsidRPr="00000000">
        <w:rPr>
          <w:rFonts w:ascii="Palatino Linotype" w:cs="Palatino Linotype" w:eastAsia="Palatino Linotype" w:hAnsi="Palatino Linotype"/>
          <w:sz w:val="22"/>
          <w:szCs w:val="22"/>
          <w:rtl w:val="0"/>
        </w:rPr>
        <w:t xml:space="preserve">artículo</w:t>
      </w: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 92, Estructura Organizacional, fracción XXIX, Resultados de procedimientos de adjudicación directa, licitación pública e invitación restringida, a través del link siguiente: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51" w:right="616" w:firstLine="0"/>
        <w:jc w:val="center"/>
        <w:rPr>
          <w:rFonts w:ascii="Palatino Linotype" w:cs="Palatino Linotype" w:eastAsia="Palatino Linotype" w:hAnsi="Palatino Linotype"/>
          <w:b w:val="1"/>
          <w:bCs w:val="1"/>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drawing>
          <wp:inline distB="0" distT="0" distL="0" distR="0">
            <wp:extent cx="3524742" cy="200053"/>
            <wp:effectExtent b="0" l="0" r="0" t="0"/>
            <wp:docPr id="8"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524742" cy="200053"/>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360" w:lineRule="auto"/>
        <w:ind w:right="49"/>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1B">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3. Interposición del recurso de revisión. </w:t>
      </w:r>
      <w:r w:rsidDel="00000000" w:rsidR="00000000" w:rsidRPr="00000000">
        <w:rPr>
          <w:rFonts w:ascii="Palatino Linotype" w:cs="Palatino Linotype" w:eastAsia="Palatino Linotype" w:hAnsi="Palatino Linotype"/>
          <w:sz w:val="22"/>
          <w:szCs w:val="22"/>
          <w:rtl w:val="0"/>
        </w:rPr>
        <w:t xml:space="preserve">Inconforme con los términos de la respuesta emitida por parte del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el </w:t>
      </w:r>
      <w:r w:rsidDel="00000000" w:rsidR="00000000" w:rsidRPr="00000000">
        <w:rPr>
          <w:rFonts w:ascii="Palatino Linotype" w:cs="Palatino Linotype" w:eastAsia="Palatino Linotype" w:hAnsi="Palatino Linotype"/>
          <w:b w:val="1"/>
          <w:bCs w:val="1"/>
          <w:sz w:val="22"/>
          <w:szCs w:val="22"/>
          <w:rtl w:val="0"/>
        </w:rPr>
        <w:t xml:space="preserve">diecinueve de diciembre de dos mil veinticinco,</w:t>
      </w:r>
      <w:r w:rsidDel="00000000" w:rsidR="00000000" w:rsidRPr="00000000">
        <w:rPr>
          <w:rFonts w:ascii="Palatino Linotype" w:cs="Palatino Linotype" w:eastAsia="Palatino Linotype" w:hAnsi="Palatino Linotype"/>
          <w:sz w:val="22"/>
          <w:szCs w:val="22"/>
          <w:rtl w:val="0"/>
        </w:rPr>
        <w:t xml:space="preserve">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interpuso el recurso de revisión a través de </w:t>
      </w:r>
      <w:r w:rsidDel="00000000" w:rsidR="00000000" w:rsidRPr="00000000">
        <w:rPr>
          <w:rFonts w:ascii="Palatino Linotype" w:cs="Palatino Linotype" w:eastAsia="Palatino Linotype" w:hAnsi="Palatino Linotype"/>
          <w:b w:val="1"/>
          <w:bCs w:val="1"/>
          <w:sz w:val="22"/>
          <w:szCs w:val="22"/>
          <w:rtl w:val="0"/>
        </w:rPr>
        <w:t xml:space="preserve">SAIMEX, </w:t>
      </w:r>
      <w:r w:rsidDel="00000000" w:rsidR="00000000" w:rsidRPr="00000000">
        <w:rPr>
          <w:rFonts w:ascii="Palatino Linotype" w:cs="Palatino Linotype" w:eastAsia="Palatino Linotype" w:hAnsi="Palatino Linotype"/>
          <w:sz w:val="22"/>
          <w:szCs w:val="22"/>
          <w:rtl w:val="0"/>
        </w:rPr>
        <w:t xml:space="preserve">en donde se manifestó de la siguiente manera:</w:t>
      </w:r>
    </w:p>
    <w:p w:rsidR="00000000" w:rsidDel="00000000" w:rsidP="00000000" w:rsidRDefault="00000000" w:rsidRPr="00000000" w14:paraId="0000001C">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1D">
      <w:pPr>
        <w:tabs>
          <w:tab w:val="left" w:leader="none" w:pos="2745"/>
        </w:tabs>
        <w:spacing w:line="360" w:lineRule="auto"/>
        <w:ind w:left="851" w:right="616" w:firstLine="0"/>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Acto impugnado: </w:t>
      </w:r>
    </w:p>
    <w:p w:rsidR="00000000" w:rsidDel="00000000" w:rsidP="00000000" w:rsidRDefault="00000000" w:rsidRPr="00000000" w14:paraId="0000001E">
      <w:pPr>
        <w:tabs>
          <w:tab w:val="left" w:leader="none" w:pos="2745"/>
        </w:tabs>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“RESPUESTA A LA SOLICITUD 00446/SEGEGOB/IP/2025” (sic)</w:t>
      </w:r>
    </w:p>
    <w:p w:rsidR="00000000" w:rsidDel="00000000" w:rsidP="00000000" w:rsidRDefault="00000000" w:rsidRPr="00000000" w14:paraId="0000001F">
      <w:pPr>
        <w:tabs>
          <w:tab w:val="left" w:leader="none" w:pos="2745"/>
        </w:tabs>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20">
      <w:pPr>
        <w:spacing w:line="360" w:lineRule="auto"/>
        <w:ind w:left="851" w:right="616" w:firstLine="0"/>
        <w:jc w:val="both"/>
        <w:rPr>
          <w:rFonts w:ascii="Palatino Linotype" w:cs="Palatino Linotype" w:eastAsia="Palatino Linotype" w:hAnsi="Palatino Linotype"/>
          <w:sz w:val="22"/>
          <w:szCs w:val="22"/>
        </w:rPr>
      </w:pPr>
      <w:bookmarkStart w:colFirst="0" w:colLast="0" w:name="_heading=h.30j0zll" w:id="2"/>
      <w:bookmarkEnd w:id="2"/>
      <w:r w:rsidDel="00000000" w:rsidR="00000000" w:rsidRPr="00000000">
        <w:rPr>
          <w:rFonts w:ascii="Palatino Linotype" w:cs="Palatino Linotype" w:eastAsia="Palatino Linotype" w:hAnsi="Palatino Linotype"/>
          <w:b w:val="1"/>
          <w:bCs w:val="1"/>
          <w:sz w:val="22"/>
          <w:szCs w:val="22"/>
          <w:rtl w:val="0"/>
        </w:rPr>
        <w:t xml:space="preserve">Y Razones o motivos de inconformidad</w:t>
      </w:r>
      <w:r w:rsidDel="00000000" w:rsidR="00000000" w:rsidRPr="00000000">
        <w:rPr>
          <w:rFonts w:ascii="Palatino Linotype" w:cs="Palatino Linotype" w:eastAsia="Palatino Linotype" w:hAnsi="Palatino Linotype"/>
          <w:sz w:val="22"/>
          <w:szCs w:val="22"/>
          <w:rtl w:val="0"/>
        </w:rPr>
        <w:t xml:space="preserve">: </w:t>
      </w:r>
    </w:p>
    <w:p w:rsidR="00000000" w:rsidDel="00000000" w:rsidP="00000000" w:rsidRDefault="00000000" w:rsidRPr="00000000" w14:paraId="00000021">
      <w:pPr>
        <w:tabs>
          <w:tab w:val="left" w:leader="none" w:pos="2745"/>
        </w:tabs>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“EL SUJETO OBLIGADO VIOLA MI DERECHO DE ACCESO A LA INFORMACIÓN PÚBLICA POR LAS SIGUIENTES RAZNES: 1.- EN SU RESPUESTA EL SUJETO OBLIGADO NO CUMPLE CON LAS ESPECIFICACIONES INDICADAS EN LA SOLICITUD. 2.- EL SUJETO OBLIGADO NO REALIZA UNA BUSQUEDA EXHAUSTIVA COMO MARCA LA LEY DE LA INFORMACION SOLICITADA. 3.- NO ATIENDE EL FORMATO EN QUE SE SOLICITA LA INFORMACION (COPIAS SIMPLES DIGITALIZADAS A TRAVÉS DEL SISTEMA ELECTRÓNICO SAIMEX) 4.- LA LIGA ELECTRÓNICA PROPORCION ADA NO DA RESPUESTA PUNTUAL Y PRECISA A LA SOLICITUD. 5.- EL SUJETO OBLIGADO MODIFICA DE MANERA ARBITRARIA LA MODALIDAD DE ENTREGA. POR LO ANTERIOR, SOLICITO SE REVOQUE LA RESPUESTA DEL SUJETO OBLIGADO Y SE ORDENE LA ENTREGA DE LA INFORMACIÓN EN LOS TÉRMINOS EXPRESADOS DE MANERA CLARA Y PRECISA EN LA SOLICITUD.” (sic)</w:t>
      </w:r>
    </w:p>
    <w:p w:rsidR="00000000" w:rsidDel="00000000" w:rsidP="00000000" w:rsidRDefault="00000000" w:rsidRPr="00000000" w14:paraId="00000022">
      <w:pPr>
        <w:spacing w:line="360" w:lineRule="auto"/>
        <w:ind w:right="51"/>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23">
      <w:pPr>
        <w:spacing w:line="360" w:lineRule="auto"/>
        <w:ind w:right="51"/>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4. Turno. </w:t>
      </w:r>
      <w:r w:rsidDel="00000000" w:rsidR="00000000" w:rsidRPr="00000000">
        <w:rPr>
          <w:rFonts w:ascii="Palatino Linotype" w:cs="Palatino Linotype" w:eastAsia="Palatino Linotype" w:hAnsi="Palatino Linotype"/>
          <w:sz w:val="22"/>
          <w:szCs w:val="22"/>
          <w:rtl w:val="0"/>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Del="00000000" w:rsidR="00000000" w:rsidRPr="00000000">
        <w:rPr>
          <w:rFonts w:ascii="Palatino Linotype" w:cs="Palatino Linotype" w:eastAsia="Palatino Linotype" w:hAnsi="Palatino Linotype"/>
          <w:b w:val="1"/>
          <w:bCs w:val="1"/>
          <w:sz w:val="22"/>
          <w:szCs w:val="22"/>
          <w:rtl w:val="0"/>
        </w:rPr>
        <w:t xml:space="preserve">Guadalupe Ramírez Peña, </w:t>
      </w:r>
      <w:r w:rsidDel="00000000" w:rsidR="00000000" w:rsidRPr="00000000">
        <w:rPr>
          <w:rFonts w:ascii="Palatino Linotype" w:cs="Palatino Linotype" w:eastAsia="Palatino Linotype" w:hAnsi="Palatino Linotype"/>
          <w:sz w:val="22"/>
          <w:szCs w:val="22"/>
          <w:rtl w:val="0"/>
        </w:rPr>
        <w:t xml:space="preserve">a efecto de que analizara sobre su admisión o su desechamiento.</w:t>
      </w:r>
    </w:p>
    <w:p w:rsidR="00000000" w:rsidDel="00000000" w:rsidP="00000000" w:rsidRDefault="00000000" w:rsidRPr="00000000" w14:paraId="00000024">
      <w:pPr>
        <w:spacing w:line="360" w:lineRule="auto"/>
        <w:ind w:right="51"/>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25">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5. Admisión del Recurso de revisión.</w:t>
      </w:r>
      <w:r w:rsidDel="00000000" w:rsidR="00000000" w:rsidRPr="00000000">
        <w:rPr>
          <w:rFonts w:ascii="Palatino Linotype" w:cs="Palatino Linotype" w:eastAsia="Palatino Linotype" w:hAnsi="Palatino Linotype"/>
          <w:sz w:val="22"/>
          <w:szCs w:val="22"/>
          <w:rtl w:val="0"/>
        </w:rPr>
        <w:t xml:space="preserve"> Con fecha</w:t>
      </w:r>
      <w:r w:rsidDel="00000000" w:rsidR="00000000" w:rsidRPr="00000000">
        <w:rPr>
          <w:rFonts w:ascii="Palatino Linotype" w:cs="Palatino Linotype" w:eastAsia="Palatino Linotype" w:hAnsi="Palatino Linotype"/>
          <w:b w:val="1"/>
          <w:bCs w:val="1"/>
          <w:sz w:val="22"/>
          <w:szCs w:val="22"/>
          <w:rtl w:val="0"/>
        </w:rPr>
        <w:t xml:space="preserve"> quince de enero de dos mil veintiséis, </w:t>
      </w:r>
      <w:r w:rsidDel="00000000" w:rsidR="00000000" w:rsidRPr="00000000">
        <w:rPr>
          <w:rFonts w:ascii="Palatino Linotype" w:cs="Palatino Linotype" w:eastAsia="Palatino Linotype" w:hAnsi="Palatino Linotype"/>
          <w:sz w:val="22"/>
          <w:szCs w:val="22"/>
          <w:rtl w:val="0"/>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Del="00000000" w:rsidR="00000000" w:rsidRPr="00000000">
        <w:rPr>
          <w:rFonts w:ascii="Palatino Linotype" w:cs="Palatino Linotype" w:eastAsia="Palatino Linotype" w:hAnsi="Palatino Linotype"/>
          <w:b w:val="1"/>
          <w:bCs w:val="1"/>
          <w:sz w:val="22"/>
          <w:szCs w:val="22"/>
          <w:rtl w:val="0"/>
        </w:rPr>
        <w:t xml:space="preserve">Sujeto Obligado </w:t>
      </w:r>
      <w:r w:rsidDel="00000000" w:rsidR="00000000" w:rsidRPr="00000000">
        <w:rPr>
          <w:rFonts w:ascii="Palatino Linotype" w:cs="Palatino Linotype" w:eastAsia="Palatino Linotype" w:hAnsi="Palatino Linotype"/>
          <w:sz w:val="22"/>
          <w:szCs w:val="22"/>
          <w:rtl w:val="0"/>
        </w:rPr>
        <w:t xml:space="preserve">presentara su informe justificado.</w:t>
      </w:r>
    </w:p>
    <w:p w:rsidR="00000000" w:rsidDel="00000000" w:rsidP="00000000" w:rsidRDefault="00000000" w:rsidRPr="00000000" w14:paraId="00000026">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27">
      <w:pPr>
        <w:spacing w:line="360" w:lineRule="auto"/>
        <w:jc w:val="both"/>
        <w:rPr>
          <w:rFonts w:ascii="Palatino Linotype" w:cs="Palatino Linotype" w:eastAsia="Palatino Linotype" w:hAnsi="Palatino Linotype"/>
          <w:sz w:val="22"/>
          <w:szCs w:val="22"/>
        </w:rPr>
      </w:pPr>
      <w:bookmarkStart w:colFirst="0" w:colLast="0" w:name="_heading=h.2s8eyo1" w:id="3"/>
      <w:bookmarkEnd w:id="3"/>
      <w:r w:rsidDel="00000000" w:rsidR="00000000" w:rsidRPr="00000000">
        <w:rPr>
          <w:rFonts w:ascii="Palatino Linotype" w:cs="Palatino Linotype" w:eastAsia="Palatino Linotype" w:hAnsi="Palatino Linotype"/>
          <w:b w:val="1"/>
          <w:bCs w:val="1"/>
          <w:sz w:val="22"/>
          <w:szCs w:val="22"/>
          <w:rtl w:val="0"/>
        </w:rPr>
        <w:t xml:space="preserve">6. Manifestaciones</w:t>
      </w:r>
      <w:r w:rsidDel="00000000" w:rsidR="00000000" w:rsidRPr="00000000">
        <w:rPr>
          <w:rFonts w:ascii="Palatino Linotype" w:cs="Palatino Linotype" w:eastAsia="Palatino Linotype" w:hAnsi="Palatino Linotype"/>
          <w:sz w:val="22"/>
          <w:szCs w:val="22"/>
          <w:rtl w:val="0"/>
        </w:rPr>
        <w:t xml:space="preserve">.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en fecha </w:t>
      </w:r>
      <w:r w:rsidDel="00000000" w:rsidR="00000000" w:rsidRPr="00000000">
        <w:rPr>
          <w:rFonts w:ascii="Palatino Linotype" w:cs="Palatino Linotype" w:eastAsia="Palatino Linotype" w:hAnsi="Palatino Linotype"/>
          <w:b w:val="1"/>
          <w:bCs w:val="1"/>
          <w:sz w:val="22"/>
          <w:szCs w:val="22"/>
          <w:rtl w:val="0"/>
        </w:rPr>
        <w:t xml:space="preserve">dieciséis de enero de dos mil veintiséis</w:t>
      </w:r>
      <w:r w:rsidDel="00000000" w:rsidR="00000000" w:rsidRPr="00000000">
        <w:rPr>
          <w:rFonts w:ascii="Palatino Linotype" w:cs="Palatino Linotype" w:eastAsia="Palatino Linotype" w:hAnsi="Palatino Linotype"/>
          <w:sz w:val="22"/>
          <w:szCs w:val="22"/>
          <w:rtl w:val="0"/>
        </w:rPr>
        <w:t xml:space="preserve"> remitió el archivo electrónico denominado “</w:t>
      </w:r>
      <w:r w:rsidDel="00000000" w:rsidR="00000000" w:rsidRPr="00000000">
        <w:rPr>
          <w:rFonts w:ascii="Palatino Linotype" w:cs="Palatino Linotype" w:eastAsia="Palatino Linotype" w:hAnsi="Palatino Linotype"/>
          <w:b w:val="1"/>
          <w:bCs w:val="1"/>
          <w:i w:val="1"/>
          <w:iCs w:val="1"/>
          <w:sz w:val="22"/>
          <w:szCs w:val="22"/>
          <w:rtl w:val="0"/>
        </w:rPr>
        <w:t xml:space="preserve">Informe Justificado 00446-2025.pdf</w:t>
      </w:r>
      <w:r w:rsidDel="00000000" w:rsidR="00000000" w:rsidRPr="00000000">
        <w:rPr>
          <w:rFonts w:ascii="Palatino Linotype" w:cs="Palatino Linotype" w:eastAsia="Palatino Linotype" w:hAnsi="Palatino Linotype"/>
          <w:sz w:val="22"/>
          <w:szCs w:val="22"/>
          <w:rtl w:val="0"/>
        </w:rPr>
        <w:t xml:space="preserve">”, el cual contiene lo siguiente: </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Oficio de fecha dieciséis de enero de dos mil veintiséis, suscrito por el Titular de la Unidad de Transparencia, en el que informó medularmente lo siguiente: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758"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“En atención a “1.- EN SU RESPUESTA EL SUJETO OBLIGADO NO CUMPLE CON LAS ESPECIFICACIONES INDICADAS EN LA SOLICITUD.”, el derecho de acceso a la información publica se tiene por cumplido cuando se entreguen los documentos en los que conste la información requerida, toda vez que los sujetos obligados no tienen el deber de generar información pública con el grado de detalle solicitado, en virtud de que no existe la obligatoriedad de emitir respuestas Ad hoc, para atender cada una de las solicitudes de acceso a la información pública que presenten los particulares.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758"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En relación con la afirmación hecha en su punto “2.- EL SUJETO OBLIGADO NO REALIZA UNA BUSQUEDA EXHAUSTIVA COMO MARCA LA LEY DE LA INFORMACION SOLICITADA. “, después de haber realizado una búsqueda exhaustiva y razonable en los archivos de la Coordinación Administrativa, fue como se localizó la información requerida por el solicitante, misma que se encuentra disponible para su consulta en el Sistema IPOMEX, de conformidad con lo dispuesto en el artículo 92 de la Ley de la materia, específicamente en la fracción XXIX denominada: Resultados de procedimientos de adjudicación directa, licitación pública e invitación restringida, lo que se hizo del conocimiento del solicitante de manera oportuna.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758"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Referente a “3.- NO ATIENDE EL FORMATO EN QUE SE SOLICITA LA INFORMACION (COPIAS SIMPLES DIGITALIZADAS A TRAVÉS DEL SISTEMA ELECTRÓNICO SAIMEX)”, hizo del conocimiento que la información obra en IPOMEX específicamente en la fracción XXIX, que se encuentra digitalizada en formato PDF como en formato abierto, por lo que está disponible para que el ahora Recurrente elija el formato de su interés para su descarga, resguardo o impresión.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758"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Del punto relativo a “4.- LA LIGA ELECTRÓNICA PROPORCION ADA NO DA RESPUESTA PUNTUAL Y PRECISA A LA SOLICITUD.”, en la respuesta proporcionada se atiende la inquietud planteada por el solicitando, garantizando con ello el Derecho de Acceso a la Información Pública amparado por el artículo 92, fracción XXIX de la Ley de la materia.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758"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Finalmente, respecto a “5.- EL SUJETO OBLIGADO MODIFICA DE MANERA ARBITRARIA LA MODALIDAD DE ENTREGA. POR LO ANTERIOR...”, manifiesta que el Sistema IPOMEX es una herramienta tecnológica y un medio electrónico que permite a los particulares conocer la expresión documental relacionada con el quehacer gubernamental de la información generada, poseída o administrada por los Sujetos Obligados, la cual se encuentra permanente, disponible y actualizada para la consulta directa de los interesados en conocerla, razón por la cual se orientó al recurrente para visitar el sitio web a efecto de consultar de manera directa la información de su interés.”</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Oficio número 20500008ª000000/00173/2026 de fecha trece de enero de dos mil veintiséis, suscrito por el Coordinador Administrativo, en el que refirió la entrega del oficio emitido por la Directora de Recursos Materiales y Servicios Generales, mediante el cual da respuesta a la petición del ciudadano. </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Oficio número 20500008030000/00026/2026 de fecha trece de enero de dos mil veintiséis, suscrito por la Directora de Recursos Materiales y Servicios Generales, en el que medularmente confirma su respuesta inicial.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84"/>
        </w:tabs>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Documentos que fueron puestos a la vista de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en fecha </w:t>
      </w:r>
      <w:r w:rsidDel="00000000" w:rsidR="00000000" w:rsidRPr="00000000">
        <w:rPr>
          <w:rFonts w:ascii="Palatino Linotype" w:cs="Palatino Linotype" w:eastAsia="Palatino Linotype" w:hAnsi="Palatino Linotype"/>
          <w:b w:val="1"/>
          <w:bCs w:val="1"/>
          <w:sz w:val="22"/>
          <w:szCs w:val="22"/>
          <w:rtl w:val="0"/>
        </w:rPr>
        <w:t xml:space="preserve">cinco de febrero de dos mil veintiséis</w:t>
      </w:r>
      <w:r w:rsidDel="00000000" w:rsidR="00000000" w:rsidRPr="00000000">
        <w:rPr>
          <w:rFonts w:ascii="Palatino Linotype" w:cs="Palatino Linotype" w:eastAsia="Palatino Linotype" w:hAnsi="Palatino Linotype"/>
          <w:sz w:val="22"/>
          <w:szCs w:val="22"/>
          <w:rtl w:val="0"/>
        </w:rPr>
        <w:t xml:space="preserve">; no obstante, fue omisa en ejercer dicha prerrogativa. </w:t>
      </w:r>
    </w:p>
    <w:p w:rsidR="00000000" w:rsidDel="00000000" w:rsidP="00000000" w:rsidRDefault="00000000" w:rsidRPr="00000000" w14:paraId="00000032">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3">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7. Cierre de instrucción. </w:t>
      </w:r>
      <w:r w:rsidDel="00000000" w:rsidR="00000000" w:rsidRPr="00000000">
        <w:rPr>
          <w:rFonts w:ascii="Palatino Linotype" w:cs="Palatino Linotype" w:eastAsia="Palatino Linotype" w:hAnsi="Palatino Linotype"/>
          <w:sz w:val="22"/>
          <w:szCs w:val="22"/>
          <w:rtl w:val="0"/>
        </w:rPr>
        <w:t xml:space="preserve">Una vez transcurrido el periodo otorgado a las partes para realizar sus manifestaciones y no habiendo documentos que integrar al expediente, con fecha </w:t>
      </w:r>
      <w:r w:rsidDel="00000000" w:rsidR="00000000" w:rsidRPr="00000000">
        <w:rPr>
          <w:rFonts w:ascii="Palatino Linotype" w:cs="Palatino Linotype" w:eastAsia="Palatino Linotype" w:hAnsi="Palatino Linotype"/>
          <w:b w:val="1"/>
          <w:bCs w:val="1"/>
          <w:sz w:val="22"/>
          <w:szCs w:val="22"/>
          <w:rtl w:val="0"/>
        </w:rPr>
        <w:t xml:space="preserve">dieciocho de febrero de dos mil veintiséis, </w:t>
      </w:r>
      <w:r w:rsidDel="00000000" w:rsidR="00000000" w:rsidRPr="00000000">
        <w:rPr>
          <w:rFonts w:ascii="Palatino Linotype" w:cs="Palatino Linotype" w:eastAsia="Palatino Linotype" w:hAnsi="Palatino Linotype"/>
          <w:sz w:val="22"/>
          <w:szCs w:val="22"/>
          <w:rtl w:val="0"/>
        </w:rPr>
        <w:t xml:space="preserve">la Comisionada Ponente determinó el cierre de instrucción en términos de la fracción VI del artículo 185 de la Ley de Transparencia y Acceso a la Información Pública del Estado de México y Municipios.</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5">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7. Ampliación de plazo:</w:t>
      </w:r>
      <w:r w:rsidDel="00000000" w:rsidR="00000000" w:rsidRPr="00000000">
        <w:rPr>
          <w:rFonts w:ascii="Palatino Linotype" w:cs="Palatino Linotype" w:eastAsia="Palatino Linotype" w:hAnsi="Palatino Linotype"/>
          <w:sz w:val="22"/>
          <w:szCs w:val="22"/>
          <w:rtl w:val="0"/>
        </w:rPr>
        <w:t xml:space="preserve"> El </w:t>
      </w:r>
      <w:r w:rsidDel="00000000" w:rsidR="00000000" w:rsidRPr="00000000">
        <w:rPr>
          <w:rFonts w:ascii="Palatino Linotype" w:cs="Palatino Linotype" w:eastAsia="Palatino Linotype" w:hAnsi="Palatino Linotype"/>
          <w:b w:val="1"/>
          <w:bCs w:val="1"/>
          <w:sz w:val="22"/>
          <w:szCs w:val="22"/>
          <w:rtl w:val="0"/>
        </w:rPr>
        <w:t xml:space="preserve">dieciocho de febrero de dos mil veintiséis</w:t>
      </w:r>
      <w:r w:rsidDel="00000000" w:rsidR="00000000" w:rsidRPr="00000000">
        <w:rPr>
          <w:rFonts w:ascii="Palatino Linotype" w:cs="Palatino Linotype" w:eastAsia="Palatino Linotype" w:hAnsi="Palatino Linotype"/>
          <w:sz w:val="22"/>
          <w:szCs w:val="22"/>
          <w:rtl w:val="0"/>
        </w:rPr>
        <w:t xml:space="preserve">, se notificó a las partes el Acuerdo de Ampliación de Plazo para resolver el medio de impugnación que nos ocupa, en términos de lo dispuesto por el artículo 181, párrafo tercero de la Ley de Transparencia y Acceso a la Información Pública del Estado de México y Municipios.</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8">
      <w:pPr>
        <w:spacing w:line="360" w:lineRule="auto"/>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sz w:val="22"/>
          <w:szCs w:val="22"/>
          <w:rtl w:val="0"/>
        </w:rPr>
        <w:t xml:space="preserve">Por ello, este organismo garante comprometido con la tutela de los derechos humanos confiados señala que este exceso del plazo legal para resolver el presente asunto resulta de carácter excepcional.</w:t>
      </w:r>
      <w:r w:rsidDel="00000000" w:rsidR="00000000" w:rsidRPr="00000000">
        <w:rPr>
          <w:rtl w:val="0"/>
        </w:rPr>
      </w:r>
    </w:p>
    <w:p w:rsidR="00000000" w:rsidDel="00000000" w:rsidP="00000000" w:rsidRDefault="00000000" w:rsidRPr="00000000" w14:paraId="00000039">
      <w:pPr>
        <w:widowControl w:val="0"/>
        <w:spacing w:line="36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II. C O N S I D E R A N D O S</w:t>
      </w:r>
    </w:p>
    <w:p w:rsidR="00000000" w:rsidDel="00000000" w:rsidP="00000000" w:rsidRDefault="00000000" w:rsidRPr="00000000" w14:paraId="0000003A">
      <w:pPr>
        <w:widowControl w:val="0"/>
        <w:spacing w:line="360" w:lineRule="auto"/>
        <w:jc w:val="cente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3B">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Primero. Competencia.</w:t>
      </w:r>
      <w:r w:rsidDel="00000000" w:rsidR="00000000" w:rsidRPr="00000000">
        <w:rPr>
          <w:rFonts w:ascii="Palatino Linotype" w:cs="Palatino Linotype" w:eastAsia="Palatino Linotype" w:hAnsi="Palatino Linotype"/>
          <w:sz w:val="22"/>
          <w:szCs w:val="22"/>
          <w:rtl w:val="0"/>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000000" w:rsidDel="00000000" w:rsidP="00000000" w:rsidRDefault="00000000" w:rsidRPr="00000000" w14:paraId="0000003C">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D">
      <w:pPr>
        <w:spacing w:line="360" w:lineRule="auto"/>
        <w:jc w:val="both"/>
        <w:rPr>
          <w:rFonts w:ascii="Palatino Linotype" w:cs="Palatino Linotype" w:eastAsia="Palatino Linotype" w:hAnsi="Palatino Linotype"/>
          <w:sz w:val="22"/>
          <w:szCs w:val="22"/>
        </w:rPr>
      </w:pPr>
      <w:bookmarkStart w:colFirst="0" w:colLast="0" w:name="_heading=h.tyjcwt" w:id="4"/>
      <w:bookmarkEnd w:id="4"/>
      <w:r w:rsidDel="00000000" w:rsidR="00000000" w:rsidRPr="00000000">
        <w:rPr>
          <w:rFonts w:ascii="Palatino Linotype" w:cs="Palatino Linotype" w:eastAsia="Palatino Linotype" w:hAnsi="Palatino Linotype"/>
          <w:b w:val="1"/>
          <w:bCs w:val="1"/>
          <w:sz w:val="22"/>
          <w:szCs w:val="22"/>
          <w:rtl w:val="0"/>
        </w:rPr>
        <w:t xml:space="preserve">Segundo. Oportunidad y Procedibilidad del Recurso de Revisión</w:t>
      </w:r>
      <w:r w:rsidDel="00000000" w:rsidR="00000000" w:rsidRPr="00000000">
        <w:rPr>
          <w:rFonts w:ascii="Palatino Linotype" w:cs="Palatino Linotype" w:eastAsia="Palatino Linotype" w:hAnsi="Palatino Linotype"/>
          <w:sz w:val="22"/>
          <w:szCs w:val="22"/>
          <w:rtl w:val="0"/>
        </w:rPr>
        <w:t xml:space="preserve">.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rsidR="00000000" w:rsidDel="00000000" w:rsidP="00000000" w:rsidRDefault="00000000" w:rsidRPr="00000000" w14:paraId="0000003E">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F">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El recurso de revisión fue interpuesto dentro del plazo de quince días hábiles, previsto en el artículo 178 de la Ley de Transparencia y Acceso a la Información Pública del Estado de México y Municipios, toda vez que el </w:t>
      </w:r>
      <w:r w:rsidDel="00000000" w:rsidR="00000000" w:rsidRPr="00000000">
        <w:rPr>
          <w:rFonts w:ascii="Palatino Linotype" w:cs="Palatino Linotype" w:eastAsia="Palatino Linotype" w:hAnsi="Palatino Linotype"/>
          <w:b w:val="1"/>
          <w:bCs w:val="1"/>
          <w:sz w:val="22"/>
          <w:szCs w:val="22"/>
          <w:rtl w:val="0"/>
        </w:rPr>
        <w:t xml:space="preserve">Sujeto Obligado </w:t>
      </w:r>
      <w:r w:rsidDel="00000000" w:rsidR="00000000" w:rsidRPr="00000000">
        <w:rPr>
          <w:rFonts w:ascii="Palatino Linotype" w:cs="Palatino Linotype" w:eastAsia="Palatino Linotype" w:hAnsi="Palatino Linotype"/>
          <w:sz w:val="22"/>
          <w:szCs w:val="22"/>
          <w:rtl w:val="0"/>
        </w:rPr>
        <w:t xml:space="preserve">remitió la respuesta a la solicitud de información el día </w:t>
      </w:r>
      <w:r w:rsidDel="00000000" w:rsidR="00000000" w:rsidRPr="00000000">
        <w:rPr>
          <w:rFonts w:ascii="Palatino Linotype" w:cs="Palatino Linotype" w:eastAsia="Palatino Linotype" w:hAnsi="Palatino Linotype"/>
          <w:b w:val="1"/>
          <w:bCs w:val="1"/>
          <w:sz w:val="22"/>
          <w:szCs w:val="22"/>
          <w:rtl w:val="0"/>
        </w:rPr>
        <w:t xml:space="preserve">dieciocho de diciembre de dos mil veinticinco, </w:t>
      </w:r>
      <w:r w:rsidDel="00000000" w:rsidR="00000000" w:rsidRPr="00000000">
        <w:rPr>
          <w:rFonts w:ascii="Palatino Linotype" w:cs="Palatino Linotype" w:eastAsia="Palatino Linotype" w:hAnsi="Palatino Linotype"/>
          <w:sz w:val="22"/>
          <w:szCs w:val="22"/>
          <w:rtl w:val="0"/>
        </w:rPr>
        <w:t xml:space="preserve">mientras que el recurso de revisión interpuesto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se tuvo por presentado el día </w:t>
      </w:r>
      <w:r w:rsidDel="00000000" w:rsidR="00000000" w:rsidRPr="00000000">
        <w:rPr>
          <w:rFonts w:ascii="Palatino Linotype" w:cs="Palatino Linotype" w:eastAsia="Palatino Linotype" w:hAnsi="Palatino Linotype"/>
          <w:b w:val="1"/>
          <w:bCs w:val="1"/>
          <w:sz w:val="22"/>
          <w:szCs w:val="22"/>
          <w:rtl w:val="0"/>
        </w:rPr>
        <w:t xml:space="preserve">diecinueve de diciembre de dos mil veinticinco</w:t>
      </w:r>
      <w:r w:rsidDel="00000000" w:rsidR="00000000" w:rsidRPr="00000000">
        <w:rPr>
          <w:rFonts w:ascii="Palatino Linotype" w:cs="Palatino Linotype" w:eastAsia="Palatino Linotype" w:hAnsi="Palatino Linotype"/>
          <w:sz w:val="22"/>
          <w:szCs w:val="22"/>
          <w:rtl w:val="0"/>
        </w:rPr>
        <w:t xml:space="preserve">, esto es, al primer día en que tuvo conocimiento de la respuesta impugnada.</w:t>
      </w:r>
    </w:p>
    <w:p w:rsidR="00000000" w:rsidDel="00000000" w:rsidP="00000000" w:rsidRDefault="00000000" w:rsidRPr="00000000" w14:paraId="00000040">
      <w:pPr>
        <w:spacing w:line="360" w:lineRule="auto"/>
        <w:jc w:val="both"/>
        <w:rPr>
          <w:rFonts w:ascii="Palatino Linotype" w:cs="Palatino Linotype" w:eastAsia="Palatino Linotype" w:hAnsi="Palatino Linotype"/>
          <w:sz w:val="22"/>
          <w:szCs w:val="22"/>
        </w:rPr>
      </w:pPr>
      <w:bookmarkStart w:colFirst="0" w:colLast="0" w:name="_heading=h.3znysh7" w:id="5"/>
      <w:bookmarkEnd w:id="5"/>
      <w:r w:rsidDel="00000000" w:rsidR="00000000" w:rsidRPr="00000000">
        <w:rPr>
          <w:rtl w:val="0"/>
        </w:rPr>
      </w:r>
    </w:p>
    <w:p w:rsidR="00000000" w:rsidDel="00000000" w:rsidP="00000000" w:rsidRDefault="00000000" w:rsidRPr="00000000" w14:paraId="00000041">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el mismo tenor, el propio artículo 180 de la Ley de Transparencia local citado, en su último párrafo establece que cuando el recurso se interponga de manera electrónica, no será indispensable que contenga determinados requisitos, entre ellos, el nombre de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por lo que, en el presente caso, al haber sido presentado el recurso de revisión vía SAIMEX, dicho requisito resulta innecesario.</w:t>
      </w:r>
    </w:p>
    <w:p w:rsidR="00000000" w:rsidDel="00000000" w:rsidP="00000000" w:rsidRDefault="00000000" w:rsidRPr="00000000" w14:paraId="00000042">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43">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Finalmente, se advierte que resulta procedente la interposición del recurso, según lo manifestado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en sus motivos de inconformidad, de acuerdo al artículo 179, fracción IX del ordenamiento legal citado, que a la letra dice: </w:t>
      </w:r>
    </w:p>
    <w:p w:rsidR="00000000" w:rsidDel="00000000" w:rsidP="00000000" w:rsidRDefault="00000000" w:rsidRPr="00000000" w14:paraId="00000044">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45">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179.</w:t>
      </w:r>
      <w:r w:rsidDel="00000000" w:rsidR="00000000" w:rsidRPr="00000000">
        <w:rPr>
          <w:rFonts w:ascii="Palatino Linotype" w:cs="Palatino Linotype" w:eastAsia="Palatino Linotype" w:hAnsi="Palatino Linotype"/>
          <w:i w:val="1"/>
          <w:iCs w:val="1"/>
          <w:sz w:val="22"/>
          <w:szCs w:val="22"/>
          <w:rtl w:val="0"/>
        </w:rPr>
        <w:t xml:space="preserve"> El recurso de revisión es un medio de protección que la Ley otorga a los particulares, para hacer valer su derecho de acceso a la información pública, y procederá en contra de las siguientes causas:</w:t>
      </w:r>
    </w:p>
    <w:p w:rsidR="00000000" w:rsidDel="00000000" w:rsidP="00000000" w:rsidRDefault="00000000" w:rsidRPr="00000000" w14:paraId="00000046">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47">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IX. La entrega o puesta a disposición de información en un formato incomprensible y/o no accesible para el solicitante</w:t>
      </w: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48">
      <w:pPr>
        <w:spacing w:line="360" w:lineRule="auto"/>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49">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Tercero. Materia de la revisión. </w:t>
      </w:r>
      <w:r w:rsidDel="00000000" w:rsidR="00000000" w:rsidRPr="00000000">
        <w:rPr>
          <w:rFonts w:ascii="Palatino Linotype" w:cs="Palatino Linotype" w:eastAsia="Palatino Linotype" w:hAnsi="Palatino Linotype"/>
          <w:sz w:val="22"/>
          <w:szCs w:val="22"/>
          <w:rtl w:val="0"/>
        </w:rPr>
        <w:t xml:space="preserve">De la revisión a las constancias y documentos que obran en el expediente electrónico se advierte, que el tema sobre el que este Organismo Garante de Transparencia y Acceso a la Información se pronunciará será: </w:t>
      </w:r>
      <w:r w:rsidDel="00000000" w:rsidR="00000000" w:rsidRPr="00000000">
        <w:rPr>
          <w:rFonts w:ascii="Palatino Linotype" w:cs="Palatino Linotype" w:eastAsia="Palatino Linotype" w:hAnsi="Palatino Linotype"/>
          <w:b w:val="1"/>
          <w:bCs w:val="1"/>
          <w:sz w:val="22"/>
          <w:szCs w:val="22"/>
          <w:rtl w:val="0"/>
        </w:rPr>
        <w:t xml:space="preserve">verificar si la información proporcionada en respuesta e informe justificado por el Sujeto Obligado es adecuada y suficiente para satisfacer el derecho de acceso a la información pública </w:t>
      </w:r>
      <w:r w:rsidDel="00000000" w:rsidR="00000000" w:rsidRPr="00000000">
        <w:rPr>
          <w:rFonts w:ascii="Palatino Linotype" w:cs="Palatino Linotype" w:eastAsia="Palatino Linotype" w:hAnsi="Palatino Linotype"/>
          <w:sz w:val="22"/>
          <w:szCs w:val="22"/>
          <w:rtl w:val="0"/>
        </w:rPr>
        <w:t xml:space="preserve">de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o en su defecto, en caso de ser procedente, ordenar la entrega de información oportuna.</w:t>
      </w:r>
    </w:p>
    <w:p w:rsidR="00000000" w:rsidDel="00000000" w:rsidP="00000000" w:rsidRDefault="00000000" w:rsidRPr="00000000" w14:paraId="0000004A">
      <w:pPr>
        <w:spacing w:line="360" w:lineRule="auto"/>
        <w:jc w:val="both"/>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4B">
      <w:pPr>
        <w:spacing w:line="360" w:lineRule="auto"/>
        <w:jc w:val="both"/>
        <w:rPr>
          <w:rFonts w:ascii="Palatino Linotype" w:cs="Palatino Linotype" w:eastAsia="Palatino Linotype" w:hAnsi="Palatino Linotype"/>
          <w:sz w:val="22"/>
          <w:szCs w:val="22"/>
        </w:rPr>
      </w:pPr>
      <w:bookmarkStart w:colFirst="0" w:colLast="0" w:name="_heading=h.2et92p0" w:id="6"/>
      <w:bookmarkEnd w:id="6"/>
      <w:r w:rsidDel="00000000" w:rsidR="00000000" w:rsidRPr="00000000">
        <w:rPr>
          <w:rFonts w:ascii="Palatino Linotype" w:cs="Palatino Linotype" w:eastAsia="Palatino Linotype" w:hAnsi="Palatino Linotype"/>
          <w:b w:val="1"/>
          <w:bCs w:val="1"/>
          <w:sz w:val="22"/>
          <w:szCs w:val="22"/>
          <w:rtl w:val="0"/>
        </w:rPr>
        <w:t xml:space="preserve">Cuarto. Estudio del asunto. </w:t>
      </w:r>
      <w:r w:rsidDel="00000000" w:rsidR="00000000" w:rsidRPr="00000000">
        <w:rPr>
          <w:rFonts w:ascii="Palatino Linotype" w:cs="Palatino Linotype" w:eastAsia="Palatino Linotype" w:hAnsi="Palatino Linotype"/>
          <w:sz w:val="22"/>
          <w:szCs w:val="22"/>
          <w:rtl w:val="0"/>
        </w:rPr>
        <w:t xml:space="preserve">En principio, es conveniente analizar si la respuesta del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rsidR="00000000" w:rsidDel="00000000" w:rsidP="00000000" w:rsidRDefault="00000000" w:rsidRPr="00000000" w14:paraId="0000004C">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4D">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4</w:t>
      </w:r>
      <w:r w:rsidDel="00000000" w:rsidR="00000000" w:rsidRPr="00000000">
        <w:rPr>
          <w:rFonts w:ascii="Palatino Linotype" w:cs="Palatino Linotype" w:eastAsia="Palatino Linotype" w:hAnsi="Palatino Linotype"/>
          <w:i w:val="1"/>
          <w:iCs w:val="1"/>
          <w:sz w:val="22"/>
          <w:szCs w:val="22"/>
          <w:rtl w:val="0"/>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000000" w:rsidDel="00000000" w:rsidP="00000000" w:rsidRDefault="00000000" w:rsidRPr="00000000" w14:paraId="0000004E">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Toda la información generada, obtenida, adquirida, transformada, administrada o en posesión de los sujetos obligados es pública y accesible de manera permanente a cualquier persona</w:t>
      </w:r>
      <w:r w:rsidDel="00000000" w:rsidR="00000000" w:rsidRPr="00000000">
        <w:rPr>
          <w:rFonts w:ascii="Palatino Linotype" w:cs="Palatino Linotype" w:eastAsia="Palatino Linotype" w:hAnsi="Palatino Linotype"/>
          <w:i w:val="1"/>
          <w:iCs w:val="1"/>
          <w:sz w:val="22"/>
          <w:szCs w:val="22"/>
          <w:rtl w:val="0"/>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000000" w:rsidDel="00000000" w:rsidP="00000000" w:rsidRDefault="00000000" w:rsidRPr="00000000" w14:paraId="0000004F">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Los sujetos obligados deben poner en práctica, políticas y programas de acceso a la información que se apeguen a criterios de publicidad, veracidad, oportunidad, precisión y suficiencia en beneficio de los solicitantes</w:t>
      </w: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50">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1">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rsidR="00000000" w:rsidDel="00000000" w:rsidP="00000000" w:rsidRDefault="00000000" w:rsidRPr="00000000" w14:paraId="00000052">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3">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12.-</w:t>
      </w:r>
      <w:r w:rsidDel="00000000" w:rsidR="00000000" w:rsidRPr="00000000">
        <w:rPr>
          <w:rFonts w:ascii="Palatino Linotype" w:cs="Palatino Linotype" w:eastAsia="Palatino Linotype" w:hAnsi="Palatino Linotype"/>
          <w:i w:val="1"/>
          <w:iCs w:val="1"/>
          <w:sz w:val="22"/>
          <w:szCs w:val="22"/>
          <w:rtl w:val="0"/>
        </w:rPr>
        <w:t xml:space="preserve"> Quienes generen, recopilen, administren, manejen, procesen, archiven o conserven información pública serán responsables de la misma en los términos de las disposiciones jurídicas aplicables. </w:t>
      </w:r>
    </w:p>
    <w:p w:rsidR="00000000" w:rsidDel="00000000" w:rsidP="00000000" w:rsidRDefault="00000000" w:rsidRPr="00000000" w14:paraId="00000054">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55">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Los sujetos obligados sólo proporcionarán la información pública que se les requiera y que obre en sus archivos y en el estado en que ésta se encuentre</w:t>
      </w:r>
      <w:r w:rsidDel="00000000" w:rsidR="00000000" w:rsidRPr="00000000">
        <w:rPr>
          <w:rFonts w:ascii="Palatino Linotype" w:cs="Palatino Linotype" w:eastAsia="Palatino Linotype" w:hAnsi="Palatino Linotype"/>
          <w:i w:val="1"/>
          <w:iCs w:val="1"/>
          <w:sz w:val="22"/>
          <w:szCs w:val="22"/>
          <w:rtl w:val="0"/>
        </w:rPr>
        <w:t xml:space="preserve">. </w:t>
      </w:r>
      <w:r w:rsidDel="00000000" w:rsidR="00000000" w:rsidRPr="00000000">
        <w:rPr>
          <w:rFonts w:ascii="Palatino Linotype" w:cs="Palatino Linotype" w:eastAsia="Palatino Linotype" w:hAnsi="Palatino Linotype"/>
          <w:b w:val="1"/>
          <w:bCs w:val="1"/>
          <w:i w:val="1"/>
          <w:iCs w:val="1"/>
          <w:sz w:val="22"/>
          <w:szCs w:val="22"/>
          <w:rtl w:val="0"/>
        </w:rPr>
        <w:t xml:space="preserve">La obligación de proporcionar información no comprende el procesamiento de la misma, ni el presentarla conforme al interés del solicitante; no estarán obligados a generarla, resumirla, efectuar cálculos o practicar investigaciones.” </w:t>
      </w:r>
      <w:r w:rsidDel="00000000" w:rsidR="00000000" w:rsidRPr="00000000">
        <w:rPr>
          <w:rtl w:val="0"/>
        </w:rPr>
      </w:r>
    </w:p>
    <w:p w:rsidR="00000000" w:rsidDel="00000000" w:rsidP="00000000" w:rsidRDefault="00000000" w:rsidRPr="00000000" w14:paraId="00000056">
      <w:pPr>
        <w:spacing w:line="360" w:lineRule="auto"/>
        <w:ind w:right="-93"/>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7">
      <w:pPr>
        <w:spacing w:line="360" w:lineRule="auto"/>
        <w:ind w:right="-93"/>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rsidR="00000000" w:rsidDel="00000000" w:rsidP="00000000" w:rsidRDefault="00000000" w:rsidRPr="00000000" w14:paraId="00000058">
      <w:pPr>
        <w:spacing w:line="360" w:lineRule="auto"/>
        <w:ind w:right="-93"/>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9">
      <w:pPr>
        <w:spacing w:line="360" w:lineRule="auto"/>
        <w:ind w:right="-93"/>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Sirve de apoyo a lo anterior, el criterio orientador 03-17, expuesto por el entonces Instituto Nacional de Transparencia, Acceso a la Información y Protección de Datos Personales, que dice:</w:t>
      </w:r>
      <w:r w:rsidDel="00000000" w:rsidR="00000000" w:rsidRPr="00000000">
        <w:rPr>
          <w:rFonts w:ascii="Palatino Linotype" w:cs="Palatino Linotype" w:eastAsia="Palatino Linotype" w:hAnsi="Palatino Linotype"/>
          <w:b w:val="1"/>
          <w:bCs w:val="1"/>
          <w:sz w:val="22"/>
          <w:szCs w:val="22"/>
          <w:rtl w:val="0"/>
        </w:rPr>
        <w:t xml:space="preserve"> </w:t>
      </w:r>
      <w:r w:rsidDel="00000000" w:rsidR="00000000" w:rsidRPr="00000000">
        <w:rPr>
          <w:rtl w:val="0"/>
        </w:rPr>
      </w:r>
    </w:p>
    <w:p w:rsidR="00000000" w:rsidDel="00000000" w:rsidP="00000000" w:rsidRDefault="00000000" w:rsidRPr="00000000" w14:paraId="0000005A">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No existe obligación de elaborar documentos ad hoc para atender las solicitudes de acceso a la información.</w:t>
      </w:r>
      <w:r w:rsidDel="00000000" w:rsidR="00000000" w:rsidRPr="00000000">
        <w:rPr>
          <w:rFonts w:ascii="Palatino Linotype" w:cs="Palatino Linotype" w:eastAsia="Palatino Linotype" w:hAnsi="Palatino Linotype"/>
          <w:i w:val="1"/>
          <w:iCs w:val="1"/>
          <w:sz w:val="22"/>
          <w:szCs w:val="22"/>
          <w:rtl w:val="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000000" w:rsidDel="00000000" w:rsidP="00000000" w:rsidRDefault="00000000" w:rsidRPr="00000000" w14:paraId="0000005B">
      <w:pPr>
        <w:spacing w:line="360" w:lineRule="auto"/>
        <w:ind w:right="-93"/>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C">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000000" w:rsidDel="00000000" w:rsidP="00000000" w:rsidRDefault="00000000" w:rsidRPr="00000000" w14:paraId="0000005D">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E">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000000" w:rsidDel="00000000" w:rsidP="00000000" w:rsidRDefault="00000000" w:rsidRPr="00000000" w14:paraId="0000005F">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60">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000000" w:rsidDel="00000000" w:rsidP="00000000" w:rsidRDefault="00000000" w:rsidRPr="00000000" w14:paraId="00000061">
      <w:pPr>
        <w:spacing w:line="360" w:lineRule="auto"/>
        <w:ind w:left="567"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62">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3. </w:t>
      </w:r>
      <w:r w:rsidDel="00000000" w:rsidR="00000000" w:rsidRPr="00000000">
        <w:rPr>
          <w:rFonts w:ascii="Palatino Linotype" w:cs="Palatino Linotype" w:eastAsia="Palatino Linotype" w:hAnsi="Palatino Linotype"/>
          <w:i w:val="1"/>
          <w:iCs w:val="1"/>
          <w:sz w:val="22"/>
          <w:szCs w:val="22"/>
          <w:rtl w:val="0"/>
        </w:rPr>
        <w:t xml:space="preserve">Para los efectos de la presente Ley se entenderá por:</w:t>
      </w:r>
    </w:p>
    <w:p w:rsidR="00000000" w:rsidDel="00000000" w:rsidP="00000000" w:rsidRDefault="00000000" w:rsidRPr="00000000" w14:paraId="00000063">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64">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XI. Documento:</w:t>
      </w:r>
      <w:r w:rsidDel="00000000" w:rsidR="00000000" w:rsidRPr="00000000">
        <w:rPr>
          <w:rFonts w:ascii="Palatino Linotype" w:cs="Palatino Linotype" w:eastAsia="Palatino Linotype" w:hAnsi="Palatino Linotype"/>
          <w:i w:val="1"/>
          <w:iCs w:val="1"/>
          <w:sz w:val="22"/>
          <w:szCs w:val="22"/>
          <w:rtl w:val="0"/>
        </w:rPr>
        <w:t xml:space="preserve"> Los expedientes, reportes, estudios, actas</w:t>
      </w:r>
      <w:r w:rsidDel="00000000" w:rsidR="00000000" w:rsidRPr="00000000">
        <w:rPr>
          <w:rFonts w:ascii="Palatino Linotype" w:cs="Palatino Linotype" w:eastAsia="Palatino Linotype" w:hAnsi="Palatino Linotype"/>
          <w:b w:val="1"/>
          <w:bCs w:val="1"/>
          <w:i w:val="1"/>
          <w:iCs w:val="1"/>
          <w:sz w:val="22"/>
          <w:szCs w:val="22"/>
          <w:rtl w:val="0"/>
        </w:rPr>
        <w:t xml:space="preserve">,</w:t>
      </w:r>
      <w:r w:rsidDel="00000000" w:rsidR="00000000" w:rsidRPr="00000000">
        <w:rPr>
          <w:rFonts w:ascii="Palatino Linotype" w:cs="Palatino Linotype" w:eastAsia="Palatino Linotype" w:hAnsi="Palatino Linotype"/>
          <w:i w:val="1"/>
          <w:iCs w:val="1"/>
          <w:sz w:val="22"/>
          <w:szCs w:val="22"/>
          <w:rtl w:val="0"/>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rsidR="00000000" w:rsidDel="00000000" w:rsidP="00000000" w:rsidRDefault="00000000" w:rsidRPr="00000000" w14:paraId="00000065">
      <w:pPr>
        <w:spacing w:line="360" w:lineRule="auto"/>
        <w:ind w:left="851" w:right="899" w:firstLine="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66">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000000" w:rsidDel="00000000" w:rsidP="00000000" w:rsidRDefault="00000000" w:rsidRPr="00000000" w14:paraId="00000067">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68">
      <w:pPr>
        <w:spacing w:line="276" w:lineRule="auto"/>
        <w:ind w:left="851" w:right="616" w:firstLine="0"/>
        <w:jc w:val="both"/>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CRITERIO 0002-11. INFORMACIÓN PÚBLICA, CONCEPTO DE, EN MATERIA DE TRANSPARENCIA. INTERPRETACIÓN SISTEMÁTICA DE LOS ARTÍCULOS 2°, FRACCIÓN V, XV, Y XVI, 3°, 4°, 11 Y 41.</w:t>
      </w:r>
      <w:r w:rsidDel="00000000" w:rsidR="00000000" w:rsidRPr="00000000">
        <w:rPr>
          <w:rFonts w:ascii="Palatino Linotype" w:cs="Palatino Linotype" w:eastAsia="Palatino Linotype" w:hAnsi="Palatino Linotype"/>
          <w:i w:val="1"/>
          <w:iCs w:val="1"/>
          <w:sz w:val="22"/>
          <w:szCs w:val="22"/>
          <w:rtl w:val="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r w:rsidDel="00000000" w:rsidR="00000000" w:rsidRPr="00000000">
        <w:rPr>
          <w:rtl w:val="0"/>
        </w:rPr>
      </w:r>
    </w:p>
    <w:p w:rsidR="00000000" w:rsidDel="00000000" w:rsidP="00000000" w:rsidRDefault="00000000" w:rsidRPr="00000000" w14:paraId="00000069">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En consecuencia el acceso a la información se refiere a que se cumplan cualquiera de los siguientes tres supuestos:</w:t>
      </w:r>
    </w:p>
    <w:p w:rsidR="00000000" w:rsidDel="00000000" w:rsidP="00000000" w:rsidRDefault="00000000" w:rsidRPr="00000000" w14:paraId="0000006A">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 Que se trate de información registrada en cualquier soporte documental, que en ejercicio de las atribuciones conferidas, sea generada por los Sujetos Obligados;</w:t>
      </w:r>
    </w:p>
    <w:p w:rsidR="00000000" w:rsidDel="00000000" w:rsidP="00000000" w:rsidRDefault="00000000" w:rsidRPr="00000000" w14:paraId="0000006B">
      <w:pPr>
        <w:spacing w:line="276" w:lineRule="auto"/>
        <w:ind w:left="851" w:right="616" w:firstLine="0"/>
        <w:jc w:val="both"/>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2) Que se trate de información registrada en cualquier soporte documental, que en ejercicio de las atribuciones conferidas, sea administrada por los Sujetos Obligados, y</w:t>
      </w:r>
    </w:p>
    <w:p w:rsidR="00000000" w:rsidDel="00000000" w:rsidP="00000000" w:rsidRDefault="00000000" w:rsidRPr="00000000" w14:paraId="0000006C">
      <w:pPr>
        <w:spacing w:line="276" w:lineRule="auto"/>
        <w:ind w:left="851" w:right="616" w:firstLine="0"/>
        <w:jc w:val="both"/>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3) Que se trate de información registrada en cualquier soporte documental, que en ejercicio de las atribuciones conferidas, se encuentre en posesión de los Sujetos Obligados.” </w:t>
      </w:r>
    </w:p>
    <w:p w:rsidR="00000000" w:rsidDel="00000000" w:rsidP="00000000" w:rsidRDefault="00000000" w:rsidRPr="00000000" w14:paraId="0000006D">
      <w:pPr>
        <w:spacing w:line="360" w:lineRule="auto"/>
        <w:ind w:right="-93"/>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360" w:lineRule="auto"/>
        <w:ind w:right="-15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Dicho lo anterior, se procede al análisis de los agravios hechos valer por la parte Recurrente que actualizan la causal de procedencia prevista en la fracción I del artículo 179 de la Ley de Transparencia y Acceso a la Información del Estado de México y Municipios, relativa a la negativa de la información.</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360" w:lineRule="auto"/>
        <w:ind w:right="-15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360" w:lineRule="auto"/>
        <w:ind w:right="-15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principio, resulta conveniente recordar que la pretensión del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es acceder a la información consistente en lo siguiente:</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360" w:lineRule="auto"/>
        <w:ind w:right="-15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pacing w:line="360" w:lineRule="auto"/>
        <w:ind w:left="720" w:right="49" w:hanging="36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Los "contrato pedido" celebrados para la contratación de bienes y servicios por un monto superior a 100 mil pesos, del 1 de enero al 30 de noviembre de 2025.</w:t>
      </w:r>
      <w:r w:rsidDel="00000000" w:rsidR="00000000" w:rsidRPr="00000000">
        <w:rPr>
          <w:rtl w:val="0"/>
        </w:rPr>
      </w:r>
    </w:p>
    <w:p w:rsidR="00000000" w:rsidDel="00000000" w:rsidP="00000000" w:rsidRDefault="00000000" w:rsidRPr="00000000" w14:paraId="00000073">
      <w:pPr>
        <w:widowControl w:val="0"/>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4">
      <w:pPr>
        <w:widowControl w:val="0"/>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respuesta,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a través de la Directora de Recursos Materiales y Servicios Generales informó que los contratos pedido del periodo solicitado podrían consultarse en el Portal de Información Pública de Oficio Mexiquense (IPOMEX), artículo 92, fracción XXIX, </w:t>
      </w:r>
      <w:r w:rsidDel="00000000" w:rsidR="00000000" w:rsidRPr="00000000">
        <w:rPr>
          <w:rFonts w:ascii="Palatino Linotype" w:cs="Palatino Linotype" w:eastAsia="Palatino Linotype" w:hAnsi="Palatino Linotype"/>
          <w:i w:val="1"/>
          <w:iCs w:val="1"/>
          <w:sz w:val="22"/>
          <w:szCs w:val="22"/>
          <w:rtl w:val="0"/>
        </w:rPr>
        <w:t xml:space="preserve">Resultados de procedimientos de adjudicación directa, licitación pública e invitación restringida</w:t>
      </w:r>
      <w:r w:rsidDel="00000000" w:rsidR="00000000" w:rsidRPr="00000000">
        <w:rPr>
          <w:rFonts w:ascii="Palatino Linotype" w:cs="Palatino Linotype" w:eastAsia="Palatino Linotype" w:hAnsi="Palatino Linotype"/>
          <w:sz w:val="22"/>
          <w:szCs w:val="22"/>
          <w:rtl w:val="0"/>
        </w:rPr>
        <w:t xml:space="preserve">, a través del link siguiente: </w:t>
      </w:r>
      <w:hyperlink r:id="rId9">
        <w:r w:rsidDel="00000000" w:rsidR="00000000" w:rsidRPr="00000000">
          <w:rPr>
            <w:rFonts w:ascii="Palatino Linotype" w:cs="Palatino Linotype" w:eastAsia="Palatino Linotype" w:hAnsi="Palatino Linotype"/>
            <w:color w:val="000000"/>
            <w:sz w:val="22"/>
            <w:szCs w:val="22"/>
            <w:u w:val="single"/>
            <w:rtl w:val="0"/>
          </w:rPr>
          <w:t xml:space="preserve">https://ipomex.org.mx/ipomex/#/obligaciones/8</w:t>
        </w:r>
      </w:hyperlink>
      <w:r w:rsidDel="00000000" w:rsidR="00000000" w:rsidRPr="00000000">
        <w:rPr>
          <w:rFonts w:ascii="Palatino Linotype" w:cs="Palatino Linotype" w:eastAsia="Palatino Linotype" w:hAnsi="Palatino Linotype"/>
          <w:sz w:val="22"/>
          <w:szCs w:val="22"/>
          <w:rtl w:val="0"/>
        </w:rPr>
        <w:t xml:space="preserve">. </w:t>
      </w:r>
    </w:p>
    <w:p w:rsidR="00000000" w:rsidDel="00000000" w:rsidP="00000000" w:rsidRDefault="00000000" w:rsidRPr="00000000" w14:paraId="00000075">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6">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Al no estar conforme con los términos de la respuesta otorgada a su solicitud, la persona solicitante interpuso el recurso de revisión que ahora nos ocupa, en el que señaló como motivo de inconformidad que la respuesta no cumple con las especificaciones indicadas en la solicitud, que no atiende el formato en que se solicita la información y que la liga electrónica proporcionada no da respuesta puntual y precisa a la solicitud. </w:t>
      </w:r>
    </w:p>
    <w:p w:rsidR="00000000" w:rsidDel="00000000" w:rsidP="00000000" w:rsidRDefault="00000000" w:rsidRPr="00000000" w14:paraId="00000077">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8">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Durante el periodo de manifestaciones el </w:t>
      </w:r>
      <w:r w:rsidDel="00000000" w:rsidR="00000000" w:rsidRPr="00000000">
        <w:rPr>
          <w:rFonts w:ascii="Palatino Linotype" w:cs="Palatino Linotype" w:eastAsia="Palatino Linotype" w:hAnsi="Palatino Linotype"/>
          <w:b w:val="1"/>
          <w:bCs w:val="1"/>
          <w:sz w:val="22"/>
          <w:szCs w:val="22"/>
          <w:rtl w:val="0"/>
        </w:rPr>
        <w:t xml:space="preserve">Sujeto Obligado </w:t>
      </w:r>
      <w:r w:rsidDel="00000000" w:rsidR="00000000" w:rsidRPr="00000000">
        <w:rPr>
          <w:rFonts w:ascii="Palatino Linotype" w:cs="Palatino Linotype" w:eastAsia="Palatino Linotype" w:hAnsi="Palatino Linotype"/>
          <w:sz w:val="22"/>
          <w:szCs w:val="22"/>
          <w:rtl w:val="0"/>
        </w:rPr>
        <w:t xml:space="preserve">rindió su informe justificado en el que medularmente ratifico su respuesta inicial. Mientras que la parte </w:t>
      </w:r>
      <w:r w:rsidDel="00000000" w:rsidR="00000000" w:rsidRPr="00000000">
        <w:rPr>
          <w:rFonts w:ascii="Palatino Linotype" w:cs="Palatino Linotype" w:eastAsia="Palatino Linotype" w:hAnsi="Palatino Linotype"/>
          <w:b w:val="1"/>
          <w:bCs w:val="1"/>
          <w:sz w:val="22"/>
          <w:szCs w:val="22"/>
          <w:rtl w:val="0"/>
        </w:rPr>
        <w:t xml:space="preserve">Recurrente </w:t>
      </w:r>
      <w:r w:rsidDel="00000000" w:rsidR="00000000" w:rsidRPr="00000000">
        <w:rPr>
          <w:rFonts w:ascii="Palatino Linotype" w:cs="Palatino Linotype" w:eastAsia="Palatino Linotype" w:hAnsi="Palatino Linotype"/>
          <w:sz w:val="22"/>
          <w:szCs w:val="22"/>
          <w:rtl w:val="0"/>
        </w:rPr>
        <w:t xml:space="preserve">fue omisa en hacer valer manifestaciones o rendir alegatos que conforme a derecho resultaran procedentes, por lo tanto, se tiene por precluido su derecho.</w:t>
      </w:r>
    </w:p>
    <w:p w:rsidR="00000000" w:rsidDel="00000000" w:rsidP="00000000" w:rsidRDefault="00000000" w:rsidRPr="00000000" w14:paraId="00000079">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A">
      <w:pPr>
        <w:spacing w:line="360" w:lineRule="auto"/>
        <w:jc w:val="both"/>
        <w:rPr>
          <w:rFonts w:ascii="Palatino Linotype" w:cs="Palatino Linotype" w:eastAsia="Palatino Linotype" w:hAnsi="Palatino Linotype"/>
          <w:sz w:val="22"/>
          <w:szCs w:val="22"/>
        </w:rPr>
      </w:pPr>
      <w:bookmarkStart w:colFirst="0" w:colLast="0" w:name="_heading=h.17dp8vu" w:id="7"/>
      <w:bookmarkEnd w:id="7"/>
      <w:r w:rsidDel="00000000" w:rsidR="00000000" w:rsidRPr="00000000">
        <w:rPr>
          <w:rFonts w:ascii="Palatino Linotype" w:cs="Palatino Linotype" w:eastAsia="Palatino Linotype" w:hAnsi="Palatino Linotype"/>
          <w:sz w:val="22"/>
          <w:szCs w:val="22"/>
          <w:rtl w:val="0"/>
        </w:rPr>
        <w:t xml:space="preserve">Expuesto lo anterior, y respecto a la naturaleza de la información solicitada, resulta conveniente traer a colación que el artículo 1 de la Ley de Contratación Pública del Estado de México y Municipios, tiene por objeto regular los actos relativos a la planeación, programación, presupuestación, ejecución y control de la adquisición, enajenación y arrendamiento de bienes, así como </w:t>
      </w:r>
      <w:r w:rsidDel="00000000" w:rsidR="00000000" w:rsidRPr="00000000">
        <w:rPr>
          <w:rFonts w:ascii="Palatino Linotype" w:cs="Palatino Linotype" w:eastAsia="Palatino Linotype" w:hAnsi="Palatino Linotype"/>
          <w:b w:val="1"/>
          <w:bCs w:val="1"/>
          <w:sz w:val="22"/>
          <w:szCs w:val="22"/>
          <w:u w:val="single"/>
          <w:rtl w:val="0"/>
        </w:rPr>
        <w:t xml:space="preserve">la contratación de servicios de cualquier naturaleza</w:t>
      </w:r>
      <w:r w:rsidDel="00000000" w:rsidR="00000000" w:rsidRPr="00000000">
        <w:rPr>
          <w:rFonts w:ascii="Palatino Linotype" w:cs="Palatino Linotype" w:eastAsia="Palatino Linotype" w:hAnsi="Palatino Linotype"/>
          <w:sz w:val="22"/>
          <w:szCs w:val="22"/>
          <w:rtl w:val="0"/>
        </w:rPr>
        <w:t xml:space="preserve">, que realicen diversas entidades públicas, entre ellas, </w:t>
      </w:r>
      <w:r w:rsidDel="00000000" w:rsidR="00000000" w:rsidRPr="00000000">
        <w:rPr>
          <w:rFonts w:ascii="Palatino Linotype" w:cs="Palatino Linotype" w:eastAsia="Palatino Linotype" w:hAnsi="Palatino Linotype"/>
          <w:b w:val="1"/>
          <w:bCs w:val="1"/>
          <w:sz w:val="22"/>
          <w:szCs w:val="22"/>
          <w:u w:val="single"/>
          <w:rtl w:val="0"/>
        </w:rPr>
        <w:t xml:space="preserve">las secretarías y las unidades administrativas del Poder _Ejecutivo del Estado</w:t>
      </w:r>
      <w:r w:rsidDel="00000000" w:rsidR="00000000" w:rsidRPr="00000000">
        <w:rPr>
          <w:rFonts w:ascii="Palatino Linotype" w:cs="Palatino Linotype" w:eastAsia="Palatino Linotype" w:hAnsi="Palatino Linotype"/>
          <w:sz w:val="22"/>
          <w:szCs w:val="22"/>
          <w:rtl w:val="0"/>
        </w:rPr>
        <w:t xml:space="preserve">, tal como se advierte a continuación: </w:t>
      </w:r>
    </w:p>
    <w:p w:rsidR="00000000" w:rsidDel="00000000" w:rsidP="00000000" w:rsidRDefault="00000000" w:rsidRPr="00000000" w14:paraId="0000007B">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7C">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sz w:val="22"/>
          <w:szCs w:val="22"/>
          <w:rtl w:val="0"/>
        </w:rPr>
        <w:t xml:space="preserve">“</w:t>
      </w:r>
      <w:r w:rsidDel="00000000" w:rsidR="00000000" w:rsidRPr="00000000">
        <w:rPr>
          <w:rFonts w:ascii="Palatino Linotype" w:cs="Palatino Linotype" w:eastAsia="Palatino Linotype" w:hAnsi="Palatino Linotype"/>
          <w:b w:val="1"/>
          <w:bCs w:val="1"/>
          <w:sz w:val="22"/>
          <w:szCs w:val="22"/>
          <w:rtl w:val="0"/>
        </w:rPr>
        <w:t xml:space="preserve">Artículo 1.-</w:t>
      </w:r>
      <w:r w:rsidDel="00000000" w:rsidR="00000000" w:rsidRPr="00000000">
        <w:rPr>
          <w:rFonts w:ascii="Palatino Linotype" w:cs="Palatino Linotype" w:eastAsia="Palatino Linotype" w:hAnsi="Palatino Linotype"/>
          <w:i w:val="1"/>
          <w:iCs w:val="1"/>
          <w:sz w:val="22"/>
          <w:szCs w:val="22"/>
          <w:rtl w:val="0"/>
        </w:rPr>
        <w:t xml:space="preserve"> Esta Ley tiene por objeto regular los actos relativos a la planeación, programación, presupuestación, ejecución y control de la adquisición, enajenación y arrendamiento de bienes, </w:t>
      </w:r>
      <w:r w:rsidDel="00000000" w:rsidR="00000000" w:rsidRPr="00000000">
        <w:rPr>
          <w:rFonts w:ascii="Palatino Linotype" w:cs="Palatino Linotype" w:eastAsia="Palatino Linotype" w:hAnsi="Palatino Linotype"/>
          <w:b w:val="1"/>
          <w:bCs w:val="1"/>
          <w:i w:val="1"/>
          <w:iCs w:val="1"/>
          <w:sz w:val="22"/>
          <w:szCs w:val="22"/>
          <w:u w:val="single"/>
          <w:rtl w:val="0"/>
        </w:rPr>
        <w:t xml:space="preserve">y la contratación de servicios de cualquier naturaleza</w:t>
      </w:r>
      <w:r w:rsidDel="00000000" w:rsidR="00000000" w:rsidRPr="00000000">
        <w:rPr>
          <w:rFonts w:ascii="Palatino Linotype" w:cs="Palatino Linotype" w:eastAsia="Palatino Linotype" w:hAnsi="Palatino Linotype"/>
          <w:i w:val="1"/>
          <w:iCs w:val="1"/>
          <w:sz w:val="22"/>
          <w:szCs w:val="22"/>
          <w:rtl w:val="0"/>
        </w:rPr>
        <w:t xml:space="preserve">, que realicen: </w:t>
      </w:r>
    </w:p>
    <w:p w:rsidR="00000000" w:rsidDel="00000000" w:rsidP="00000000" w:rsidRDefault="00000000" w:rsidRPr="00000000" w14:paraId="0000007D">
      <w:pPr>
        <w:spacing w:line="276" w:lineRule="auto"/>
        <w:ind w:left="851" w:right="616" w:firstLine="0"/>
        <w:jc w:val="both"/>
        <w:rPr>
          <w:rFonts w:ascii="Palatino Linotype" w:cs="Palatino Linotype" w:eastAsia="Palatino Linotype" w:hAnsi="Palatino Linotype"/>
          <w:b w:val="1"/>
          <w:bCs w:val="1"/>
          <w:i w:val="1"/>
          <w:iCs w:val="1"/>
          <w:sz w:val="22"/>
          <w:szCs w:val="22"/>
          <w:u w:val="single"/>
        </w:rPr>
      </w:pPr>
      <w:r w:rsidDel="00000000" w:rsidR="00000000" w:rsidRPr="00000000">
        <w:rPr>
          <w:rFonts w:ascii="Palatino Linotype" w:cs="Palatino Linotype" w:eastAsia="Palatino Linotype" w:hAnsi="Palatino Linotype"/>
          <w:b w:val="1"/>
          <w:bCs w:val="1"/>
          <w:i w:val="1"/>
          <w:iCs w:val="1"/>
          <w:sz w:val="22"/>
          <w:szCs w:val="22"/>
          <w:u w:val="single"/>
          <w:rtl w:val="0"/>
        </w:rPr>
        <w:t xml:space="preserve">I. Las secretarías y las unidades administrativas del Poder Ejecutivo del Estado. </w:t>
      </w:r>
    </w:p>
    <w:p w:rsidR="00000000" w:rsidDel="00000000" w:rsidP="00000000" w:rsidRDefault="00000000" w:rsidRPr="00000000" w14:paraId="0000007E">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II. La Procuraduría General de Justicia. </w:t>
      </w:r>
    </w:p>
    <w:p w:rsidR="00000000" w:rsidDel="00000000" w:rsidP="00000000" w:rsidRDefault="00000000" w:rsidRPr="00000000" w14:paraId="0000007F">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III. Los ayuntamientos de los municipios del Estado. </w:t>
      </w:r>
    </w:p>
    <w:p w:rsidR="00000000" w:rsidDel="00000000" w:rsidP="00000000" w:rsidRDefault="00000000" w:rsidRPr="00000000" w14:paraId="00000080">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IV. Los organismos auxiliares y fideicomisos públicos, de carácter estatal o municipal. </w:t>
      </w:r>
    </w:p>
    <w:p w:rsidR="00000000" w:rsidDel="00000000" w:rsidP="00000000" w:rsidRDefault="00000000" w:rsidRPr="00000000" w14:paraId="00000081">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V. Los tribunales administrativos.”</w:t>
      </w:r>
    </w:p>
    <w:p w:rsidR="00000000" w:rsidDel="00000000" w:rsidP="00000000" w:rsidRDefault="00000000" w:rsidRPr="00000000" w14:paraId="00000082">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(Énfasis Añadido)</w:t>
      </w:r>
    </w:p>
    <w:p w:rsidR="00000000" w:rsidDel="00000000" w:rsidP="00000000" w:rsidRDefault="00000000" w:rsidRPr="00000000" w14:paraId="00000083">
      <w:pPr>
        <w:spacing w:line="276" w:lineRule="auto"/>
        <w:ind w:left="567" w:right="333"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84">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ese mismo orden de ideas, los artículos 26 y 27 de la Ley de Contratación Pública del Estado de México y Municipios, señalan que las adquisiciones, arrendamientos y servicios se adjudicarán a través de licitaciones públicas mediante convocatoria pública o bien, a través de las excepciones a dicho procedimiento, como se observa a continuación: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86">
      <w:pPr>
        <w:spacing w:line="276" w:lineRule="auto"/>
        <w:ind w:left="851" w:right="616" w:firstLine="0"/>
        <w:jc w:val="center"/>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LEY DE CONTRATACIÓN PÚBLICA DEL ESTADO DE MÉXICO Y MUNICIPIO</w:t>
      </w:r>
    </w:p>
    <w:p w:rsidR="00000000" w:rsidDel="00000000" w:rsidP="00000000" w:rsidRDefault="00000000" w:rsidRPr="00000000" w14:paraId="00000087">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26.-</w:t>
      </w:r>
      <w:r w:rsidDel="00000000" w:rsidR="00000000" w:rsidRPr="00000000">
        <w:rPr>
          <w:rFonts w:ascii="Palatino Linotype" w:cs="Palatino Linotype" w:eastAsia="Palatino Linotype" w:hAnsi="Palatino Linotype"/>
          <w:i w:val="1"/>
          <w:iCs w:val="1"/>
          <w:sz w:val="22"/>
          <w:szCs w:val="22"/>
          <w:rtl w:val="0"/>
        </w:rPr>
        <w:t xml:space="preserve"> Las adquisiciones, arrendamientos y servicios se adjudicarán a través de licitaciones públicas, mediante convocatoria pública. </w:t>
      </w:r>
    </w:p>
    <w:p w:rsidR="00000000" w:rsidDel="00000000" w:rsidP="00000000" w:rsidRDefault="00000000" w:rsidRPr="00000000" w14:paraId="00000088">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89">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Artículo 27.-</w:t>
      </w:r>
      <w:r w:rsidDel="00000000" w:rsidR="00000000" w:rsidRPr="00000000">
        <w:rPr>
          <w:rFonts w:ascii="Palatino Linotype" w:cs="Palatino Linotype" w:eastAsia="Palatino Linotype" w:hAnsi="Palatino Linotype"/>
          <w:i w:val="1"/>
          <w:iCs w:val="1"/>
          <w:sz w:val="22"/>
          <w:szCs w:val="22"/>
          <w:rtl w:val="0"/>
        </w:rPr>
        <w:t xml:space="preserve"> La Secretaría, las entidades, los tribunales administrativos y los ayuntamientos podrán adjudicar adquisiciones, arrendamientos y servicios, mediante las excepciones al procedimiento de licitación que a continuación se señalan: </w:t>
      </w:r>
    </w:p>
    <w:p w:rsidR="00000000" w:rsidDel="00000000" w:rsidP="00000000" w:rsidRDefault="00000000" w:rsidRPr="00000000" w14:paraId="0000008A">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I. Invitación restringida. </w:t>
      </w:r>
    </w:p>
    <w:p w:rsidR="00000000" w:rsidDel="00000000" w:rsidP="00000000" w:rsidRDefault="00000000" w:rsidRPr="00000000" w14:paraId="0000008B">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II. Adjudicación directa.”</w:t>
      </w:r>
    </w:p>
    <w:p w:rsidR="00000000" w:rsidDel="00000000" w:rsidP="00000000" w:rsidRDefault="00000000" w:rsidRPr="00000000" w14:paraId="0000008C">
      <w:pPr>
        <w:spacing w:line="360" w:lineRule="auto"/>
        <w:ind w:left="567" w:right="49"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8D">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Respecto al procedimiento de </w:t>
      </w:r>
      <w:r w:rsidDel="00000000" w:rsidR="00000000" w:rsidRPr="00000000">
        <w:rPr>
          <w:rFonts w:ascii="Palatino Linotype" w:cs="Palatino Linotype" w:eastAsia="Palatino Linotype" w:hAnsi="Palatino Linotype"/>
          <w:b w:val="1"/>
          <w:bCs w:val="1"/>
          <w:sz w:val="22"/>
          <w:szCs w:val="22"/>
          <w:rtl w:val="0"/>
        </w:rPr>
        <w:t xml:space="preserve">licitación pública</w:t>
      </w:r>
      <w:r w:rsidDel="00000000" w:rsidR="00000000" w:rsidRPr="00000000">
        <w:rPr>
          <w:rFonts w:ascii="Palatino Linotype" w:cs="Palatino Linotype" w:eastAsia="Palatino Linotype" w:hAnsi="Palatino Linotype"/>
          <w:sz w:val="22"/>
          <w:szCs w:val="22"/>
          <w:rtl w:val="0"/>
        </w:rPr>
        <w:t xml:space="preserve">,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w:t>
      </w:r>
    </w:p>
    <w:p w:rsidR="00000000" w:rsidDel="00000000" w:rsidP="00000000" w:rsidRDefault="00000000" w:rsidRPr="00000000" w14:paraId="0000008E">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8F">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cuando hace a la </w:t>
      </w:r>
      <w:r w:rsidDel="00000000" w:rsidR="00000000" w:rsidRPr="00000000">
        <w:rPr>
          <w:rFonts w:ascii="Palatino Linotype" w:cs="Palatino Linotype" w:eastAsia="Palatino Linotype" w:hAnsi="Palatino Linotype"/>
          <w:b w:val="1"/>
          <w:bCs w:val="1"/>
          <w:sz w:val="22"/>
          <w:szCs w:val="22"/>
          <w:rtl w:val="0"/>
        </w:rPr>
        <w:t xml:space="preserve">adjudicación directa</w:t>
      </w:r>
      <w:r w:rsidDel="00000000" w:rsidR="00000000" w:rsidRPr="00000000">
        <w:rPr>
          <w:rFonts w:ascii="Palatino Linotype" w:cs="Palatino Linotype" w:eastAsia="Palatino Linotype" w:hAnsi="Palatino Linotype"/>
          <w:sz w:val="22"/>
          <w:szCs w:val="22"/>
          <w:rtl w:val="0"/>
        </w:rPr>
        <w:t xml:space="preserve">, la Secretaría de la Función Pública, (consultable en </w:t>
      </w:r>
      <w:hyperlink r:id="rId10">
        <w:r w:rsidDel="00000000" w:rsidR="00000000" w:rsidRPr="00000000">
          <w:rPr>
            <w:rFonts w:ascii="Palatino Linotype" w:cs="Palatino Linotype" w:eastAsia="Palatino Linotype" w:hAnsi="Palatino Linotype"/>
            <w:sz w:val="22"/>
            <w:szCs w:val="22"/>
            <w:u w:val="single"/>
            <w:rtl w:val="0"/>
          </w:rPr>
          <w:t xml:space="preserve">https://www.gob.mx/sfp/acciones-y-programas/1-3-3-adjudicacion-directa</w:t>
        </w:r>
      </w:hyperlink>
      <w:r w:rsidDel="00000000" w:rsidR="00000000" w:rsidRPr="00000000">
        <w:rPr>
          <w:rFonts w:ascii="Palatino Linotype" w:cs="Palatino Linotype" w:eastAsia="Palatino Linotype" w:hAnsi="Palatino Linotype"/>
          <w:sz w:val="22"/>
          <w:szCs w:val="22"/>
          <w:rtl w:val="0"/>
        </w:rPr>
        <w:t xml:space="preserve">) establece que, es un procedimiento que se realiza sin puesta en concurrencia y, por ende, sin que exista competencia, adjudicándose el contrato a un proveedor que ha sido preseleccionado para tales efectos por la dependencia o entidad. </w:t>
      </w:r>
    </w:p>
    <w:p w:rsidR="00000000" w:rsidDel="00000000" w:rsidP="00000000" w:rsidRDefault="00000000" w:rsidRPr="00000000" w14:paraId="00000090">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91">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Por último, respecto a la </w:t>
      </w:r>
      <w:r w:rsidDel="00000000" w:rsidR="00000000" w:rsidRPr="00000000">
        <w:rPr>
          <w:rFonts w:ascii="Palatino Linotype" w:cs="Palatino Linotype" w:eastAsia="Palatino Linotype" w:hAnsi="Palatino Linotype"/>
          <w:b w:val="1"/>
          <w:bCs w:val="1"/>
          <w:sz w:val="22"/>
          <w:szCs w:val="22"/>
          <w:rtl w:val="0"/>
        </w:rPr>
        <w:t xml:space="preserve">invitación restringida a cuando menos tres proveedores</w:t>
      </w:r>
      <w:r w:rsidDel="00000000" w:rsidR="00000000" w:rsidRPr="00000000">
        <w:rPr>
          <w:rFonts w:ascii="Palatino Linotype" w:cs="Palatino Linotype" w:eastAsia="Palatino Linotype" w:hAnsi="Palatino Linotype"/>
          <w:sz w:val="22"/>
          <w:szCs w:val="22"/>
          <w:rtl w:val="0"/>
        </w:rPr>
        <w:t xml:space="preserve">, la Secretaría de la Contraloría (consultable en </w:t>
      </w:r>
      <w:hyperlink r:id="rId11">
        <w:r w:rsidDel="00000000" w:rsidR="00000000" w:rsidRPr="00000000">
          <w:rPr>
            <w:rFonts w:ascii="Palatino Linotype" w:cs="Palatino Linotype" w:eastAsia="Palatino Linotype" w:hAnsi="Palatino Linotype"/>
            <w:sz w:val="22"/>
            <w:szCs w:val="22"/>
            <w:u w:val="single"/>
            <w:rtl w:val="0"/>
          </w:rPr>
          <w:t xml:space="preserve">http://www.contraloriadf.gob.mx/contraloria/cursos/ADQUISICIONES/paginas/32.php#:~:text=Es%20un%20procedimiento%20administrativo%2C%20de,tres%20oferentes%20a%20presentar%20propuestas%2C</w:t>
        </w:r>
      </w:hyperlink>
      <w:r w:rsidDel="00000000" w:rsidR="00000000" w:rsidRPr="00000000">
        <w:rPr>
          <w:rFonts w:ascii="Palatino Linotype" w:cs="Palatino Linotype" w:eastAsia="Palatino Linotype" w:hAnsi="Palatino Linotype"/>
          <w:sz w:val="22"/>
          <w:szCs w:val="22"/>
          <w:rtl w:val="0"/>
        </w:rPr>
        <w:t xml:space="preserve">) precisa que es un procedimiento de excepción a la licitación pública que permite a las dependencias, unidades administrativas, órganos desconcentrados y entidades, en forma discrecional, realizar un procedimiento para adquirir, arrendar o contratar, invitando a por lo menos tres oferentes a presentar propuestas.</w:t>
      </w:r>
    </w:p>
    <w:p w:rsidR="00000000" w:rsidDel="00000000" w:rsidP="00000000" w:rsidRDefault="00000000" w:rsidRPr="00000000" w14:paraId="00000092">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93">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Por su parte, el Reglamento de la Ley de Contratación Pública del Estado de México y Municipios, precisa lo siguiente: </w:t>
      </w:r>
    </w:p>
    <w:p w:rsidR="00000000" w:rsidDel="00000000" w:rsidP="00000000" w:rsidRDefault="00000000" w:rsidRPr="00000000" w14:paraId="00000094">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2. - </w:t>
      </w:r>
      <w:r w:rsidDel="00000000" w:rsidR="00000000" w:rsidRPr="00000000">
        <w:rPr>
          <w:rFonts w:ascii="Palatino Linotype" w:cs="Palatino Linotype" w:eastAsia="Palatino Linotype" w:hAnsi="Palatino Linotype"/>
          <w:i w:val="1"/>
          <w:iCs w:val="1"/>
          <w:sz w:val="22"/>
          <w:szCs w:val="22"/>
          <w:rtl w:val="0"/>
        </w:rPr>
        <w:t xml:space="preserve">Para los efectos de este Reglamento, se entenderá por:</w:t>
      </w:r>
    </w:p>
    <w:p w:rsidR="00000000" w:rsidDel="00000000" w:rsidP="00000000" w:rsidRDefault="00000000" w:rsidRPr="00000000" w14:paraId="00000096">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tabs>
          <w:tab w:val="left" w:leader="none" w:pos="795"/>
        </w:tabs>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I. </w:t>
      </w:r>
      <w:r w:rsidDel="00000000" w:rsidR="00000000" w:rsidRPr="00000000">
        <w:rPr>
          <w:rFonts w:ascii="Palatino Linotype" w:cs="Palatino Linotype" w:eastAsia="Palatino Linotype" w:hAnsi="Palatino Linotype"/>
          <w:b w:val="1"/>
          <w:bCs w:val="1"/>
          <w:i w:val="1"/>
          <w:iCs w:val="1"/>
          <w:sz w:val="22"/>
          <w:szCs w:val="22"/>
          <w:rtl w:val="0"/>
        </w:rPr>
        <w:t xml:space="preserve">Adjudicación directa:</w:t>
      </w:r>
      <w:r w:rsidDel="00000000" w:rsidR="00000000" w:rsidRPr="00000000">
        <w:rPr>
          <w:rFonts w:ascii="Palatino Linotype" w:cs="Palatino Linotype" w:eastAsia="Palatino Linotype" w:hAnsi="Palatino Linotype"/>
          <w:i w:val="1"/>
          <w:iCs w:val="1"/>
          <w:sz w:val="22"/>
          <w:szCs w:val="22"/>
          <w:rtl w:val="0"/>
        </w:rPr>
        <w:t xml:space="preserve">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tabs>
          <w:tab w:val="left" w:leader="none" w:pos="795"/>
        </w:tabs>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tabs>
          <w:tab w:val="left" w:leader="none" w:pos="795"/>
        </w:tabs>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XII.</w:t>
        <w:tab/>
      </w:r>
      <w:r w:rsidDel="00000000" w:rsidR="00000000" w:rsidRPr="00000000">
        <w:rPr>
          <w:rFonts w:ascii="Palatino Linotype" w:cs="Palatino Linotype" w:eastAsia="Palatino Linotype" w:hAnsi="Palatino Linotype"/>
          <w:b w:val="1"/>
          <w:bCs w:val="1"/>
          <w:i w:val="1"/>
          <w:iCs w:val="1"/>
          <w:sz w:val="22"/>
          <w:szCs w:val="22"/>
          <w:rtl w:val="0"/>
        </w:rPr>
        <w:t xml:space="preserve">Invitación restringida:</w:t>
      </w:r>
      <w:r w:rsidDel="00000000" w:rsidR="00000000" w:rsidRPr="00000000">
        <w:rPr>
          <w:rFonts w:ascii="Palatino Linotype" w:cs="Palatino Linotype" w:eastAsia="Palatino Linotype" w:hAnsi="Palatino Linotype"/>
          <w:i w:val="1"/>
          <w:iCs w:val="1"/>
          <w:sz w:val="22"/>
          <w:szCs w:val="22"/>
          <w:rtl w:val="0"/>
        </w:rPr>
        <w:t xml:space="preserve"> Excepción al procedimiento de licitación pública, mediante el cual la Secretaría, organismos auxiliares, tribunales administrativos o municipios adquieren bienes muebles y contratan servicios, a través de la invitación a cuando menos tres personas, para obtener las mejores condiciones en cuanto a precio, calidad, financiamiento, oportunidad y demás circunstancias pertinentes, en términos de la Ley y del presente Reglamento.</w:t>
      </w:r>
    </w:p>
    <w:p w:rsidR="00000000" w:rsidDel="00000000" w:rsidP="00000000" w:rsidRDefault="00000000" w:rsidRPr="00000000" w14:paraId="0000009A">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9B">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XIV.</w:t>
        <w:tab/>
      </w:r>
      <w:r w:rsidDel="00000000" w:rsidR="00000000" w:rsidRPr="00000000">
        <w:rPr>
          <w:rFonts w:ascii="Palatino Linotype" w:cs="Palatino Linotype" w:eastAsia="Palatino Linotype" w:hAnsi="Palatino Linotype"/>
          <w:b w:val="1"/>
          <w:bCs w:val="1"/>
          <w:i w:val="1"/>
          <w:iCs w:val="1"/>
          <w:sz w:val="22"/>
          <w:szCs w:val="22"/>
          <w:rtl w:val="0"/>
        </w:rPr>
        <w:t xml:space="preserve">Licitación pública:</w:t>
      </w:r>
      <w:r w:rsidDel="00000000" w:rsidR="00000000" w:rsidRPr="00000000">
        <w:rPr>
          <w:rFonts w:ascii="Palatino Linotype" w:cs="Palatino Linotype" w:eastAsia="Palatino Linotype" w:hAnsi="Palatino Linotype"/>
          <w:i w:val="1"/>
          <w:iCs w:val="1"/>
          <w:sz w:val="22"/>
          <w:szCs w:val="22"/>
          <w:rtl w:val="0"/>
        </w:rPr>
        <w:t xml:space="preserve"> Modalidad de adquisición de bienes y contratación de servicios, mediante convocatoria pública que realicen la Secretaría, organismos auxiliares, tribunales administrativos o municipios, por el que se aseguran las mejores condiciones en cuanto a precio, calidad, financiamiento, oportunidad y demás circunstancias pertinentes.</w:t>
      </w:r>
    </w:p>
    <w:p w:rsidR="00000000" w:rsidDel="00000000" w:rsidP="00000000" w:rsidRDefault="00000000" w:rsidRPr="00000000" w14:paraId="0000009C">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sz w:val="22"/>
          <w:szCs w:val="22"/>
          <w:rtl w:val="0"/>
        </w:rPr>
        <w:t xml:space="preserve">…</w:t>
      </w:r>
      <w:r w:rsidDel="00000000" w:rsidR="00000000" w:rsidRPr="00000000">
        <w:rPr>
          <w:rtl w:val="0"/>
        </w:rPr>
      </w:r>
    </w:p>
    <w:p w:rsidR="00000000" w:rsidDel="00000000" w:rsidP="00000000" w:rsidRDefault="00000000" w:rsidRPr="00000000" w14:paraId="0000009D">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XXI.</w:t>
        <w:tab/>
      </w:r>
      <w:r w:rsidDel="00000000" w:rsidR="00000000" w:rsidRPr="00000000">
        <w:rPr>
          <w:rFonts w:ascii="Palatino Linotype" w:cs="Palatino Linotype" w:eastAsia="Palatino Linotype" w:hAnsi="Palatino Linotype"/>
          <w:b w:val="1"/>
          <w:bCs w:val="1"/>
          <w:i w:val="1"/>
          <w:iCs w:val="1"/>
          <w:sz w:val="22"/>
          <w:szCs w:val="22"/>
          <w:rtl w:val="0"/>
        </w:rPr>
        <w:t xml:space="preserve">Procedimiento de adquisición:</w:t>
      </w:r>
      <w:r w:rsidDel="00000000" w:rsidR="00000000" w:rsidRPr="00000000">
        <w:rPr>
          <w:rFonts w:ascii="Palatino Linotype" w:cs="Palatino Linotype" w:eastAsia="Palatino Linotype" w:hAnsi="Palatino Linotype"/>
          <w:i w:val="1"/>
          <w:iCs w:val="1"/>
          <w:sz w:val="22"/>
          <w:szCs w:val="22"/>
          <w:rtl w:val="0"/>
        </w:rPr>
        <w:t xml:space="preserve"> Conjunto de etapas por las que la Secretaría, las dependencias, organismos auxiliares, tribunales administrativos o municipios , adquieren bienes, contratan servicios o  adquieren  en  arrendamiento bienes  inmuebles  para  el cumplimiento  de  sus funciones, programas y acciones.</w:t>
      </w:r>
    </w:p>
    <w:p w:rsidR="00000000" w:rsidDel="00000000" w:rsidP="00000000" w:rsidRDefault="00000000" w:rsidRPr="00000000" w14:paraId="0000009E">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 (Sic)</w:t>
      </w:r>
    </w:p>
    <w:p w:rsidR="00000000" w:rsidDel="00000000" w:rsidP="00000000" w:rsidRDefault="00000000" w:rsidRPr="00000000" w14:paraId="0000009F">
      <w:pPr>
        <w:ind w:left="567" w:right="49"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A0">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lo que respecta a la materia del derecho de acceso a la información pública, es de destacar que de acuerdo con lo que establece el artículo 92, fracción XXIX de la Ley de Transparencia y Acceso a la Información Pública del Estado de México y Municipios los sujetos obligados deben poner a disposición de los particulares la información relacionada con los procedimientos de contratación, tal como se puede apreciar a continuación: </w:t>
      </w:r>
    </w:p>
    <w:p w:rsidR="00000000" w:rsidDel="00000000" w:rsidP="00000000" w:rsidRDefault="00000000" w:rsidRPr="00000000" w14:paraId="000000A1">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A2">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Artículo 92.</w:t>
      </w:r>
      <w:r w:rsidDel="00000000" w:rsidR="00000000" w:rsidRPr="00000000">
        <w:rPr>
          <w:rFonts w:ascii="Palatino Linotype" w:cs="Palatino Linotype" w:eastAsia="Palatino Linotype" w:hAnsi="Palatino Linotype"/>
          <w:i w:val="1"/>
          <w:iCs w:val="1"/>
          <w:sz w:val="22"/>
          <w:szCs w:val="22"/>
          <w:rtl w:val="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000000" w:rsidDel="00000000" w:rsidP="00000000" w:rsidRDefault="00000000" w:rsidRPr="00000000" w14:paraId="000000A3">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p>
    <w:p w:rsidR="00000000" w:rsidDel="00000000" w:rsidP="00000000" w:rsidRDefault="00000000" w:rsidRPr="00000000" w14:paraId="000000A4">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XXIX.</w:t>
      </w:r>
      <w:r w:rsidDel="00000000" w:rsidR="00000000" w:rsidRPr="00000000">
        <w:rPr>
          <w:rFonts w:ascii="Palatino Linotype" w:cs="Palatino Linotype" w:eastAsia="Palatino Linotype" w:hAnsi="Palatino Linotype"/>
          <w:i w:val="1"/>
          <w:iCs w:val="1"/>
          <w:sz w:val="22"/>
          <w:szCs w:val="22"/>
          <w:rtl w:val="0"/>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rsidR="00000000" w:rsidDel="00000000" w:rsidP="00000000" w:rsidRDefault="00000000" w:rsidRPr="00000000" w14:paraId="000000A5">
      <w:pPr>
        <w:spacing w:line="276" w:lineRule="auto"/>
        <w:ind w:left="851" w:right="616" w:firstLine="0"/>
        <w:jc w:val="both"/>
        <w:rPr>
          <w:rFonts w:ascii="Palatino Linotype" w:cs="Palatino Linotype" w:eastAsia="Palatino Linotype" w:hAnsi="Palatino Linotype"/>
          <w:b w:val="1"/>
          <w:bCs w:val="1"/>
          <w:i w:val="1"/>
          <w:iCs w:val="1"/>
          <w:sz w:val="22"/>
          <w:szCs w:val="22"/>
          <w:u w:val="single"/>
        </w:rPr>
      </w:pPr>
      <w:r w:rsidDel="00000000" w:rsidR="00000000" w:rsidRPr="00000000">
        <w:rPr>
          <w:rFonts w:ascii="Palatino Linotype" w:cs="Palatino Linotype" w:eastAsia="Palatino Linotype" w:hAnsi="Palatino Linotype"/>
          <w:b w:val="1"/>
          <w:bCs w:val="1"/>
          <w:i w:val="1"/>
          <w:iCs w:val="1"/>
          <w:sz w:val="22"/>
          <w:szCs w:val="22"/>
          <w:u w:val="single"/>
          <w:rtl w:val="0"/>
        </w:rPr>
        <w:t xml:space="preserve">a) De licitaciones públicas o procedimientos de invitación restringida: </w:t>
      </w:r>
    </w:p>
    <w:p w:rsidR="00000000" w:rsidDel="00000000" w:rsidP="00000000" w:rsidRDefault="00000000" w:rsidRPr="00000000" w14:paraId="000000A6">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 La convocatoria o invitación emitida, así como los fundamentos legales aplicados para llevarla a cabo; </w:t>
      </w:r>
    </w:p>
    <w:p w:rsidR="00000000" w:rsidDel="00000000" w:rsidP="00000000" w:rsidRDefault="00000000" w:rsidRPr="00000000" w14:paraId="000000A7">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2) Los nombres de los participantes o invitados; </w:t>
      </w:r>
    </w:p>
    <w:p w:rsidR="00000000" w:rsidDel="00000000" w:rsidP="00000000" w:rsidRDefault="00000000" w:rsidRPr="00000000" w14:paraId="000000A8">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3) El nombre del ganador y las razones que lo justifican; </w:t>
      </w:r>
    </w:p>
    <w:p w:rsidR="00000000" w:rsidDel="00000000" w:rsidP="00000000" w:rsidRDefault="00000000" w:rsidRPr="00000000" w14:paraId="000000A9">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4) El área solicitante y la responsable de su ejecución; </w:t>
      </w:r>
    </w:p>
    <w:p w:rsidR="00000000" w:rsidDel="00000000" w:rsidP="00000000" w:rsidRDefault="00000000" w:rsidRPr="00000000" w14:paraId="000000AA">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5) Las convocatorias e invitaciones emitidas; </w:t>
      </w:r>
    </w:p>
    <w:p w:rsidR="00000000" w:rsidDel="00000000" w:rsidP="00000000" w:rsidRDefault="00000000" w:rsidRPr="00000000" w14:paraId="000000AB">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6) Los dictámenes y fallo de adjudicación; </w:t>
      </w:r>
    </w:p>
    <w:p w:rsidR="00000000" w:rsidDel="00000000" w:rsidP="00000000" w:rsidRDefault="00000000" w:rsidRPr="00000000" w14:paraId="000000AC">
      <w:pPr>
        <w:spacing w:line="276" w:lineRule="auto"/>
        <w:ind w:left="851" w:right="616" w:firstLine="0"/>
        <w:jc w:val="both"/>
        <w:rPr>
          <w:rFonts w:ascii="Palatino Linotype" w:cs="Palatino Linotype" w:eastAsia="Palatino Linotype" w:hAnsi="Palatino Linotype"/>
          <w:b w:val="1"/>
          <w:bCs w:val="1"/>
          <w:i w:val="1"/>
          <w:iCs w:val="1"/>
          <w:sz w:val="22"/>
          <w:szCs w:val="22"/>
          <w:u w:val="single"/>
        </w:rPr>
      </w:pPr>
      <w:r w:rsidDel="00000000" w:rsidR="00000000" w:rsidRPr="00000000">
        <w:rPr>
          <w:rFonts w:ascii="Palatino Linotype" w:cs="Palatino Linotype" w:eastAsia="Palatino Linotype" w:hAnsi="Palatino Linotype"/>
          <w:b w:val="1"/>
          <w:bCs w:val="1"/>
          <w:i w:val="1"/>
          <w:iCs w:val="1"/>
          <w:sz w:val="22"/>
          <w:szCs w:val="22"/>
          <w:u w:val="single"/>
          <w:rtl w:val="0"/>
        </w:rPr>
        <w:t xml:space="preserve">7) El contrato y, en su caso, sus anexos; </w:t>
      </w:r>
    </w:p>
    <w:p w:rsidR="00000000" w:rsidDel="00000000" w:rsidP="00000000" w:rsidRDefault="00000000" w:rsidRPr="00000000" w14:paraId="000000AD">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8) Los mecanismos de vigilancia y supervisión, incluyendo en su caso, los estudios de impacto urbano y ambiental, según corresponda; </w:t>
      </w:r>
    </w:p>
    <w:p w:rsidR="00000000" w:rsidDel="00000000" w:rsidP="00000000" w:rsidRDefault="00000000" w:rsidRPr="00000000" w14:paraId="000000AE">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9) La partida presupuestal, de conformidad con el clasificador por objeto del gasto, en el caso de ser aplicable; </w:t>
      </w:r>
    </w:p>
    <w:p w:rsidR="00000000" w:rsidDel="00000000" w:rsidP="00000000" w:rsidRDefault="00000000" w:rsidRPr="00000000" w14:paraId="000000AF">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10) Origen de los recursos especificando si son federales, estatales o municipales, así como el tipo de fondo de participación o aportación respectiva; </w:t>
      </w:r>
    </w:p>
    <w:p w:rsidR="00000000" w:rsidDel="00000000" w:rsidP="00000000" w:rsidRDefault="00000000" w:rsidRPr="00000000" w14:paraId="000000B0">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11) Los convenios modificatorios que, en su caso, sean firmados, precisando el objeto y la fecha de celebración; </w:t>
      </w:r>
    </w:p>
    <w:p w:rsidR="00000000" w:rsidDel="00000000" w:rsidP="00000000" w:rsidRDefault="00000000" w:rsidRPr="00000000" w14:paraId="000000B1">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12) Los informes de avance físico y financiero sobre las obras o servicios contratados; </w:t>
      </w:r>
    </w:p>
    <w:p w:rsidR="00000000" w:rsidDel="00000000" w:rsidP="00000000" w:rsidRDefault="00000000" w:rsidRPr="00000000" w14:paraId="000000B2">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13) El convenio de terminación; y </w:t>
      </w:r>
    </w:p>
    <w:p w:rsidR="00000000" w:rsidDel="00000000" w:rsidP="00000000" w:rsidRDefault="00000000" w:rsidRPr="00000000" w14:paraId="000000B3">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14) El finiquito. </w:t>
      </w:r>
    </w:p>
    <w:p w:rsidR="00000000" w:rsidDel="00000000" w:rsidP="00000000" w:rsidRDefault="00000000" w:rsidRPr="00000000" w14:paraId="000000B4">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0B5">
      <w:pPr>
        <w:spacing w:line="276" w:lineRule="auto"/>
        <w:ind w:left="851" w:right="616" w:firstLine="0"/>
        <w:jc w:val="both"/>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b) De las adjudicaciones directas: </w:t>
      </w:r>
    </w:p>
    <w:p w:rsidR="00000000" w:rsidDel="00000000" w:rsidP="00000000" w:rsidRDefault="00000000" w:rsidRPr="00000000" w14:paraId="000000B6">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 La propuesta enviada por el participante; </w:t>
      </w:r>
    </w:p>
    <w:p w:rsidR="00000000" w:rsidDel="00000000" w:rsidP="00000000" w:rsidRDefault="00000000" w:rsidRPr="00000000" w14:paraId="000000B7">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2) Los motivos y fundamentos legales aplicados para llevarla a cabo; </w:t>
      </w:r>
    </w:p>
    <w:p w:rsidR="00000000" w:rsidDel="00000000" w:rsidP="00000000" w:rsidRDefault="00000000" w:rsidRPr="00000000" w14:paraId="000000B8">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3) La autorización del ejercicio de la opción; </w:t>
      </w:r>
    </w:p>
    <w:p w:rsidR="00000000" w:rsidDel="00000000" w:rsidP="00000000" w:rsidRDefault="00000000" w:rsidRPr="00000000" w14:paraId="000000B9">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4) En su caso, las cotizaciones consideradas, especificando los nombres de los proveedores y sus montos; </w:t>
      </w:r>
    </w:p>
    <w:p w:rsidR="00000000" w:rsidDel="00000000" w:rsidP="00000000" w:rsidRDefault="00000000" w:rsidRPr="00000000" w14:paraId="000000BA">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5) El nombre de la persona física o jurídica colectiva adjudicada; </w:t>
      </w:r>
    </w:p>
    <w:p w:rsidR="00000000" w:rsidDel="00000000" w:rsidP="00000000" w:rsidRDefault="00000000" w:rsidRPr="00000000" w14:paraId="000000BB">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6) La unidad administrativa solicitante y la responsable de su ejecución; </w:t>
      </w:r>
    </w:p>
    <w:p w:rsidR="00000000" w:rsidDel="00000000" w:rsidP="00000000" w:rsidRDefault="00000000" w:rsidRPr="00000000" w14:paraId="000000BC">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7) El número, fecha, el monto del contrato y el plazo de entrega o de ejecución de los servicios u obra; </w:t>
      </w:r>
    </w:p>
    <w:p w:rsidR="00000000" w:rsidDel="00000000" w:rsidP="00000000" w:rsidRDefault="00000000" w:rsidRPr="00000000" w14:paraId="000000BD">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8) Los mecanismos de vigilancia y supervisión, incluyendo, en su caso, los estudios de impacto urbano y ambiental, según corresponda; </w:t>
      </w:r>
    </w:p>
    <w:p w:rsidR="00000000" w:rsidDel="00000000" w:rsidP="00000000" w:rsidRDefault="00000000" w:rsidRPr="00000000" w14:paraId="000000BE">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9) Los informes de avance sobre las obras o servicios contratados; </w:t>
      </w:r>
    </w:p>
    <w:p w:rsidR="00000000" w:rsidDel="00000000" w:rsidP="00000000" w:rsidRDefault="00000000" w:rsidRPr="00000000" w14:paraId="000000BF">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10) El convenio de terminación; y </w:t>
      </w:r>
    </w:p>
    <w:p w:rsidR="00000000" w:rsidDel="00000000" w:rsidP="00000000" w:rsidRDefault="00000000" w:rsidRPr="00000000" w14:paraId="000000C0">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11) El finiquito.” (Sic)</w:t>
      </w:r>
    </w:p>
    <w:p w:rsidR="00000000" w:rsidDel="00000000" w:rsidP="00000000" w:rsidRDefault="00000000" w:rsidRPr="00000000" w14:paraId="000000C1">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C2">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 así que se tiene que, la información relacionada con estos procedimientos, es información que se debe transparentar y poner a disposición del público, toda vez que se tratan de obligaciones de transparencia que todos los sujetos obligados deben acatar. Además de ello, se puntualiza que, dentro de la información de naturaleza pública se advierten los documentos que desea obtener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como lo son los contratos. </w:t>
      </w:r>
    </w:p>
    <w:p w:rsidR="00000000" w:rsidDel="00000000" w:rsidP="00000000" w:rsidRDefault="00000000" w:rsidRPr="00000000" w14:paraId="000000C3">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C4">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esa tesitura, el artículo 80 de citada Ley de Contratación establece que </w:t>
      </w:r>
      <w:r w:rsidDel="00000000" w:rsidR="00000000" w:rsidRPr="00000000">
        <w:rPr>
          <w:rFonts w:ascii="Palatino Linotype" w:cs="Palatino Linotype" w:eastAsia="Palatino Linotype" w:hAnsi="Palatino Linotype"/>
          <w:b w:val="1"/>
          <w:bCs w:val="1"/>
          <w:sz w:val="22"/>
          <w:szCs w:val="22"/>
          <w:rtl w:val="0"/>
        </w:rPr>
        <w:t xml:space="preserve">los contratos pedido son aquellos instrumentos que permiten a las dependencias</w:t>
      </w:r>
      <w:r w:rsidDel="00000000" w:rsidR="00000000" w:rsidRPr="00000000">
        <w:rPr>
          <w:rFonts w:ascii="Palatino Linotype" w:cs="Palatino Linotype" w:eastAsia="Palatino Linotype" w:hAnsi="Palatino Linotype"/>
          <w:sz w:val="22"/>
          <w:szCs w:val="22"/>
          <w:rtl w:val="0"/>
        </w:rPr>
        <w:t xml:space="preserve">, a las entidades, a los tribunales administrativos y a los ayuntamientos </w:t>
      </w:r>
      <w:r w:rsidDel="00000000" w:rsidR="00000000" w:rsidRPr="00000000">
        <w:rPr>
          <w:rFonts w:ascii="Palatino Linotype" w:cs="Palatino Linotype" w:eastAsia="Palatino Linotype" w:hAnsi="Palatino Linotype"/>
          <w:b w:val="1"/>
          <w:bCs w:val="1"/>
          <w:sz w:val="22"/>
          <w:szCs w:val="22"/>
          <w:rtl w:val="0"/>
        </w:rPr>
        <w:t xml:space="preserve">adquirir bienes o contratar servicios por una cantidad que no exceda los montos establecidos para la adjudicación directa</w:t>
      </w:r>
      <w:r w:rsidDel="00000000" w:rsidR="00000000" w:rsidRPr="00000000">
        <w:rPr>
          <w:rFonts w:ascii="Palatino Linotype" w:cs="Palatino Linotype" w:eastAsia="Palatino Linotype" w:hAnsi="Palatino Linotype"/>
          <w:sz w:val="22"/>
          <w:szCs w:val="22"/>
          <w:rtl w:val="0"/>
        </w:rPr>
        <w:t xml:space="preserve">, de conformidad con lo previsto en la fracción XI del artículo 48</w:t>
      </w:r>
      <w:r w:rsidDel="00000000" w:rsidR="00000000" w:rsidRPr="00000000">
        <w:rPr>
          <w:rFonts w:ascii="Palatino Linotype" w:cs="Palatino Linotype" w:eastAsia="Palatino Linotype" w:hAnsi="Palatino Linotype"/>
          <w:sz w:val="22"/>
          <w:szCs w:val="22"/>
          <w:vertAlign w:val="superscript"/>
        </w:rPr>
        <w:footnoteReference w:customMarkFollows="0" w:id="0"/>
      </w:r>
      <w:r w:rsidDel="00000000" w:rsidR="00000000" w:rsidRPr="00000000">
        <w:rPr>
          <w:rFonts w:ascii="Palatino Linotype" w:cs="Palatino Linotype" w:eastAsia="Palatino Linotype" w:hAnsi="Palatino Linotype"/>
          <w:sz w:val="22"/>
          <w:szCs w:val="22"/>
          <w:rtl w:val="0"/>
        </w:rPr>
        <w:t xml:space="preserve"> de la citada Ley; por lo que las dependencias deberán celebrar contratos pedido para la contratación de bienes o de servicios, que realicen al amparo de dicha fracción.</w:t>
      </w:r>
    </w:p>
    <w:p w:rsidR="00000000" w:rsidDel="00000000" w:rsidP="00000000" w:rsidRDefault="00000000" w:rsidRPr="00000000" w14:paraId="000000C5">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C6">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Ahora bien, en lo que compete al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el Manual de Organización de la Secretaría General de Gobierno establece, que se auxiliara de la Dirección de Recursos Materiales y Servicios Generales, misma que tiene como objetivo organizar, controlar y suministrar oportuna y eficientemente los recursos materiales y servicios generales, para satisfacer las necesidades de las diferentes unidades administrativas de la Secretaría General de Gobierno, así como proporcionar los apoyos para la realización de eventos especiales que requiera la dependencia de acuerdo a la normatividad vigente; aunado a ello contara con las siguientes funciones:</w:t>
      </w:r>
    </w:p>
    <w:p w:rsidR="00000000" w:rsidDel="00000000" w:rsidP="00000000" w:rsidRDefault="00000000" w:rsidRPr="00000000" w14:paraId="000000C7">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C8">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w:t>
      </w:r>
      <w:r w:rsidDel="00000000" w:rsidR="00000000" w:rsidRPr="00000000">
        <w:rPr>
          <w:rFonts w:ascii="Palatino Linotype" w:cs="Palatino Linotype" w:eastAsia="Palatino Linotype" w:hAnsi="Palatino Linotype"/>
          <w:b w:val="1"/>
          <w:bCs w:val="1"/>
          <w:i w:val="1"/>
          <w:iCs w:val="1"/>
          <w:sz w:val="22"/>
          <w:szCs w:val="22"/>
          <w:rtl w:val="0"/>
        </w:rPr>
        <w:t xml:space="preserve">20500006030000S Dirección de Recursos Materiales y Servicios Generales</w:t>
      </w:r>
      <w:r w:rsidDel="00000000" w:rsidR="00000000" w:rsidRPr="00000000">
        <w:rPr>
          <w:rtl w:val="0"/>
        </w:rPr>
      </w:r>
    </w:p>
    <w:p w:rsidR="00000000" w:rsidDel="00000000" w:rsidP="00000000" w:rsidRDefault="00000000" w:rsidRPr="00000000" w14:paraId="000000C9">
      <w:pPr>
        <w:spacing w:line="276" w:lineRule="auto"/>
        <w:ind w:left="851" w:right="616"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i w:val="1"/>
          <w:iCs w:val="1"/>
          <w:sz w:val="22"/>
          <w:szCs w:val="22"/>
          <w:rtl w:val="0"/>
        </w:rPr>
        <w:t xml:space="preserve">Funciones: </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1"/>
          <w:bCs w:val="1"/>
          <w:i w:val="1"/>
          <w:iCs w:val="1"/>
          <w:smallCaps w:val="0"/>
          <w:strike w:val="0"/>
          <w:color w:val="000000"/>
          <w:sz w:val="22"/>
          <w:szCs w:val="22"/>
          <w:u w:val="none"/>
          <w:shd w:fill="auto" w:val="clear"/>
          <w:vertAlign w:val="baseline"/>
          <w:rtl w:val="0"/>
        </w:rPr>
        <w:t xml:space="preserve">Dar cumplimiento a las normas y disposiciones legales y administrativas en materia de adquisiciones, control patrimonial y servicios generales,</w:t>
      </w: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 para lograr un eficiente control de los mismos. </w:t>
      </w:r>
    </w:p>
    <w:p w:rsidR="00000000" w:rsidDel="00000000" w:rsidP="00000000" w:rsidRDefault="00000000" w:rsidRPr="00000000" w14:paraId="000000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Coordinar los requerimientos sobre los materiales y servicios sujetos a operación consolidada ante la Dirección General de Recursos Materiales. </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1"/>
          <w:bCs w:val="1"/>
          <w:i w:val="1"/>
          <w:iCs w:val="1"/>
          <w:smallCaps w:val="0"/>
          <w:strike w:val="0"/>
          <w:color w:val="000000"/>
          <w:sz w:val="22"/>
          <w:szCs w:val="22"/>
          <w:u w:val="none"/>
          <w:shd w:fill="auto" w:val="clear"/>
          <w:vertAlign w:val="baseline"/>
          <w:rtl w:val="0"/>
        </w:rPr>
        <w:t xml:space="preserve">Gestionar </w:t>
      </w: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ante la Dirección General de Recursos Materiales, </w:t>
      </w:r>
      <w:r w:rsidDel="00000000" w:rsidR="00000000" w:rsidRPr="00000000">
        <w:rPr>
          <w:rFonts w:ascii="Palatino Linotype" w:cs="Palatino Linotype" w:eastAsia="Palatino Linotype" w:hAnsi="Palatino Linotype"/>
          <w:b w:val="1"/>
          <w:bCs w:val="1"/>
          <w:i w:val="1"/>
          <w:iCs w:val="1"/>
          <w:smallCaps w:val="0"/>
          <w:strike w:val="0"/>
          <w:color w:val="000000"/>
          <w:sz w:val="22"/>
          <w:szCs w:val="22"/>
          <w:u w:val="none"/>
          <w:shd w:fill="auto" w:val="clear"/>
          <w:vertAlign w:val="baseline"/>
          <w:rtl w:val="0"/>
        </w:rPr>
        <w:t xml:space="preserve">la compra de los bienes</w:t>
      </w: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 incluidos en la Solicitud Anual de Bienes y Servicios previamente validados en el presupuesto, y de acuerdo a la normatividad en la materia. </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Asesorar y validar las gestiones y trámites de las unidades administrativas que integran a la Secretaría General de Gobierno, en lo concerniente al manejo y operación de los bienes y servicios con base en las políticas, normas y procedimientos establecidos para tal efecto. </w:t>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Asesorar para que se proporcionen oportunamente los servicios de reparación, adaptación y conservación de los bienes muebles e inmuebles de las unidades administrativas de la Secretaría.  </w:t>
      </w:r>
    </w:p>
    <w:p w:rsidR="00000000" w:rsidDel="00000000" w:rsidP="00000000" w:rsidRDefault="00000000" w:rsidRPr="00000000" w14:paraId="000000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Coordinar el servicio de vigilancia en las instalaciones de la Secretaría General de Gobierno, a fin de contar con seguridad permanente. </w:t>
      </w:r>
    </w:p>
    <w:p w:rsidR="00000000" w:rsidDel="00000000" w:rsidP="00000000" w:rsidRDefault="00000000" w:rsidRPr="00000000" w14:paraId="000000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1"/>
          <w:bCs w:val="1"/>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1"/>
          <w:bCs w:val="1"/>
          <w:i w:val="1"/>
          <w:iCs w:val="1"/>
          <w:smallCaps w:val="0"/>
          <w:strike w:val="0"/>
          <w:color w:val="000000"/>
          <w:sz w:val="22"/>
          <w:szCs w:val="22"/>
          <w:u w:val="none"/>
          <w:shd w:fill="auto" w:val="clear"/>
          <w:vertAlign w:val="baseline"/>
          <w:rtl w:val="0"/>
        </w:rPr>
        <w:t xml:space="preserve">Supervisar las adquisiciones, en su caso, de los requerimientos de compras directas solicitadas cuando su monto así lo permita, de acuerdo con las disposiciones señaladas. </w:t>
      </w:r>
    </w:p>
    <w:p w:rsidR="00000000" w:rsidDel="00000000" w:rsidP="00000000" w:rsidRDefault="00000000" w:rsidRPr="00000000" w14:paraId="000000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Coordinar el trámite de las bajas de los activos obsoletos o en desuso de la Secretaría, de acuerdo a las normas, políticas y procedimientos establecidos para tal efecto. </w:t>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Informar periódicamente a la o al titular de la Coordinación Administrativa sobre los avances de los Programas de Trabajo. “</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851" w:right="616" w:firstLine="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1"/>
          <w:iCs w:val="1"/>
          <w:smallCaps w:val="0"/>
          <w:strike w:val="0"/>
          <w:color w:val="000000"/>
          <w:sz w:val="22"/>
          <w:szCs w:val="22"/>
          <w:u w:val="none"/>
          <w:shd w:fill="auto" w:val="clear"/>
          <w:vertAlign w:val="baseline"/>
          <w:rtl w:val="0"/>
        </w:rPr>
        <w:t xml:space="preserve">(Énfasis Añadido)</w:t>
      </w:r>
      <w:r w:rsidDel="00000000" w:rsidR="00000000" w:rsidRPr="00000000">
        <w:rPr>
          <w:rtl w:val="0"/>
        </w:rPr>
      </w:r>
    </w:p>
    <w:p w:rsidR="00000000" w:rsidDel="00000000" w:rsidP="00000000" w:rsidRDefault="00000000" w:rsidRPr="00000000" w14:paraId="000000D4">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D5">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De lo anterior, se colige que,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cuenta con facultades, atribuciones y competencia, para generar, administrar y poseer la información solicitada, debido a que cuenta con unidades administrativas como, la Dirección de Recursos Materiales y Servicios Generales, encargada de supervisar las adquisiciones, en su caso, de los requerimientos de compras directas solicitadas cuando su monto así lo permita.</w:t>
      </w:r>
    </w:p>
    <w:p w:rsidR="00000000" w:rsidDel="00000000" w:rsidP="00000000" w:rsidRDefault="00000000" w:rsidRPr="00000000" w14:paraId="000000D6">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D7">
      <w:pPr>
        <w:spacing w:line="360" w:lineRule="auto"/>
        <w:ind w:right="-93"/>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Correlativo a lo anterior, es necesario precisar que de las constancias que obran en el expediente se logra vislumbrar que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turnó la solicitud de información a la unidad administrativa competente, a saber la Dirección de Recursos Materiales y Servicios Generales, por lo que, resulta necesario hacer referencia 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 </w:t>
      </w:r>
    </w:p>
    <w:p w:rsidR="00000000" w:rsidDel="00000000" w:rsidP="00000000" w:rsidRDefault="00000000" w:rsidRPr="00000000" w14:paraId="000000D8">
      <w:pPr>
        <w:spacing w:line="360" w:lineRule="auto"/>
        <w:ind w:right="56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360" w:lineRule="auto"/>
        <w:ind w:left="567" w:right="560"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rsidR="00000000" w:rsidDel="00000000" w:rsidP="00000000" w:rsidRDefault="00000000" w:rsidRPr="00000000" w14:paraId="000000DA">
      <w:pPr>
        <w:spacing w:line="360" w:lineRule="auto"/>
        <w:ind w:left="567" w:right="560" w:firstLine="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0" w:before="0" w:line="360" w:lineRule="auto"/>
        <w:ind w:left="567" w:right="560" w:hanging="360"/>
        <w:jc w:val="both"/>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tl w:val="0"/>
        </w:rPr>
        <w:t xml:space="preserve">Los sujetos obligados otorgaran acceso a los documentos que se encuentren en sus archivos o que estén obligados a documentar de acuerdo con sus facultades, competencias o funciones, en el formato en que la solicitante manifieste, de entre aquellos formatos existentes.</w:t>
      </w:r>
    </w:p>
    <w:p w:rsidR="00000000" w:rsidDel="00000000" w:rsidP="00000000" w:rsidRDefault="00000000" w:rsidRPr="00000000" w14:paraId="000000DC">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DD">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Así y conforme a lo establecido en párrafos anteriores,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cumplió con el procedimiento de búsqueda establecido en el artículo 162 de la Ley de Transparencia y Acceso a la Información Pública del Estado de México y Municipios, al gestionar el requerimiento de información al área competente para conocer de lo peticionado. </w:t>
      </w:r>
    </w:p>
    <w:p w:rsidR="00000000" w:rsidDel="00000000" w:rsidP="00000000" w:rsidRDefault="00000000" w:rsidRPr="00000000" w14:paraId="000000DE">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DF">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Ahora bien, en relación con los agravios hechos valer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se advierte que, en respuesta la Dirección de Recursos Materiales y Servicios Generales hizo del conocimiento que con fundamento en el artículo 161 de la Ley de Transparencia y Acceso a la Información Pública del Estado de México y Municipios, se podrá consultar los contratos pedido del periodo solicitado en el Sistema de Información Pública de Oficio Mexiquense (IPOMEX), artículo 92, fracción XXIX, </w:t>
      </w:r>
      <w:r w:rsidDel="00000000" w:rsidR="00000000" w:rsidRPr="00000000">
        <w:rPr>
          <w:rFonts w:ascii="Palatino Linotype" w:cs="Palatino Linotype" w:eastAsia="Palatino Linotype" w:hAnsi="Palatino Linotype"/>
          <w:i w:val="1"/>
          <w:iCs w:val="1"/>
          <w:sz w:val="22"/>
          <w:szCs w:val="22"/>
          <w:rtl w:val="0"/>
        </w:rPr>
        <w:t xml:space="preserve">Resultados de procedimientos de adjudicación directa, licitación pública e invitación restringida</w:t>
      </w:r>
      <w:r w:rsidDel="00000000" w:rsidR="00000000" w:rsidRPr="00000000">
        <w:rPr>
          <w:rFonts w:ascii="Palatino Linotype" w:cs="Palatino Linotype" w:eastAsia="Palatino Linotype" w:hAnsi="Palatino Linotype"/>
          <w:sz w:val="22"/>
          <w:szCs w:val="22"/>
          <w:rtl w:val="0"/>
        </w:rPr>
        <w:t xml:space="preserve">, a través del link: </w:t>
      </w:r>
      <w:hyperlink r:id="rId12">
        <w:r w:rsidDel="00000000" w:rsidR="00000000" w:rsidRPr="00000000">
          <w:rPr>
            <w:rFonts w:ascii="Palatino Linotype" w:cs="Palatino Linotype" w:eastAsia="Palatino Linotype" w:hAnsi="Palatino Linotype"/>
            <w:color w:val="000000"/>
            <w:sz w:val="22"/>
            <w:szCs w:val="22"/>
            <w:u w:val="single"/>
            <w:rtl w:val="0"/>
          </w:rPr>
          <w:t xml:space="preserve">https://ipomex.org.mx/ipomex/#/obligaciones/8</w:t>
        </w:r>
      </w:hyperlink>
      <w:r w:rsidDel="00000000" w:rsidR="00000000" w:rsidRPr="00000000">
        <w:rPr>
          <w:rFonts w:ascii="Palatino Linotype" w:cs="Palatino Linotype" w:eastAsia="Palatino Linotype" w:hAnsi="Palatino Linotype"/>
          <w:sz w:val="22"/>
          <w:szCs w:val="22"/>
          <w:rtl w:val="0"/>
        </w:rPr>
        <w:t xml:space="preserve">. </w:t>
      </w:r>
    </w:p>
    <w:p w:rsidR="00000000" w:rsidDel="00000000" w:rsidP="00000000" w:rsidRDefault="00000000" w:rsidRPr="00000000" w14:paraId="000000E0">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E1">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Misma que este Organismo Garante advierte remite a lo siguiente:</w:t>
      </w:r>
    </w:p>
    <w:p w:rsidR="00000000" w:rsidDel="00000000" w:rsidP="00000000" w:rsidRDefault="00000000" w:rsidRPr="00000000" w14:paraId="000000E2">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5542938" cy="3008938"/>
            <wp:effectExtent b="0" l="0" r="0" t="0"/>
            <wp:docPr descr="Interfaz de usuario gráfica&#10;&#10;El contenido generado por IA puede ser incorrecto." id="10" name="image9.png"/>
            <a:graphic>
              <a:graphicData uri="http://schemas.openxmlformats.org/drawingml/2006/picture">
                <pic:pic>
                  <pic:nvPicPr>
                    <pic:cNvPr descr="Interfaz de usuario gráfica&#10;&#10;El contenido generado por IA puede ser incorrecto." id="0" name="image9.png"/>
                    <pic:cNvPicPr preferRelativeResize="0"/>
                  </pic:nvPicPr>
                  <pic:blipFill>
                    <a:blip r:embed="rId13"/>
                    <a:srcRect b="0" l="0" r="0" t="0"/>
                    <a:stretch>
                      <a:fillRect/>
                    </a:stretch>
                  </pic:blipFill>
                  <pic:spPr>
                    <a:xfrm>
                      <a:off x="0" y="0"/>
                      <a:ext cx="5542938" cy="3008938"/>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5223778" cy="3585954"/>
            <wp:effectExtent b="0" l="0" r="0" t="0"/>
            <wp:docPr descr="Tabla&#10;&#10;El contenido generado por IA puede ser incorrecto." id="9" name="image7.png"/>
            <a:graphic>
              <a:graphicData uri="http://schemas.openxmlformats.org/drawingml/2006/picture">
                <pic:pic>
                  <pic:nvPicPr>
                    <pic:cNvPr descr="Tabla&#10;&#10;El contenido generado por IA puede ser incorrecto." id="0" name="image7.png"/>
                    <pic:cNvPicPr preferRelativeResize="0"/>
                  </pic:nvPicPr>
                  <pic:blipFill>
                    <a:blip r:embed="rId14"/>
                    <a:srcRect b="0" l="0" r="0" t="0"/>
                    <a:stretch>
                      <a:fillRect/>
                    </a:stretch>
                  </pic:blipFill>
                  <pic:spPr>
                    <a:xfrm>
                      <a:off x="0" y="0"/>
                      <a:ext cx="5223778" cy="3585954"/>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spacing w:line="360" w:lineRule="auto"/>
        <w:jc w:val="cente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E5">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En ese sentido, es importante traer a colación que el artículo 161 de la Ley de Transparencia y Acceso a la Información Pública del Estado de México y Municipios</w:t>
      </w:r>
      <w:r w:rsidDel="00000000" w:rsidR="00000000" w:rsidRPr="00000000">
        <w:rPr>
          <w:rFonts w:ascii="Palatino Linotype" w:cs="Palatino Linotype" w:eastAsia="Palatino Linotype" w:hAnsi="Palatino Linotype"/>
          <w:i w:val="1"/>
          <w:iCs w:val="1"/>
          <w:sz w:val="22"/>
          <w:szCs w:val="22"/>
          <w:rtl w:val="0"/>
        </w:rPr>
        <w:t xml:space="preserve">, </w:t>
      </w:r>
      <w:r w:rsidDel="00000000" w:rsidR="00000000" w:rsidRPr="00000000">
        <w:rPr>
          <w:rFonts w:ascii="Palatino Linotype" w:cs="Palatino Linotype" w:eastAsia="Palatino Linotype" w:hAnsi="Palatino Linotype"/>
          <w:sz w:val="22"/>
          <w:szCs w:val="22"/>
          <w:rtl w:val="0"/>
        </w:rPr>
        <w:t xml:space="preserve">establece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w:t>
      </w:r>
      <w:r w:rsidDel="00000000" w:rsidR="00000000" w:rsidRPr="00000000">
        <w:rPr>
          <w:rFonts w:ascii="Palatino Linotype" w:cs="Palatino Linotype" w:eastAsia="Palatino Linotype" w:hAnsi="Palatino Linotype"/>
          <w:b w:val="1"/>
          <w:bCs w:val="1"/>
          <w:sz w:val="22"/>
          <w:szCs w:val="22"/>
          <w:u w:val="single"/>
          <w:rtl w:val="0"/>
        </w:rPr>
        <w:t xml:space="preserve">en un plazo no mayor a cinco días hábiles</w:t>
      </w:r>
      <w:r w:rsidDel="00000000" w:rsidR="00000000" w:rsidRPr="00000000">
        <w:rPr>
          <w:rFonts w:ascii="Palatino Linotype" w:cs="Palatino Linotype" w:eastAsia="Palatino Linotype" w:hAnsi="Palatino Linotype"/>
          <w:sz w:val="22"/>
          <w:szCs w:val="22"/>
          <w:rtl w:val="0"/>
        </w:rPr>
        <w:t xml:space="preserve">, comprendiendo: </w:t>
      </w:r>
    </w:p>
    <w:p w:rsidR="00000000" w:rsidDel="00000000" w:rsidP="00000000" w:rsidRDefault="00000000" w:rsidRPr="00000000" w14:paraId="000000E6">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E7">
      <w:pPr>
        <w:ind w:left="284" w:right="49" w:firstLine="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 La fuente</w:t>
      </w:r>
    </w:p>
    <w:p w:rsidR="00000000" w:rsidDel="00000000" w:rsidP="00000000" w:rsidRDefault="00000000" w:rsidRPr="00000000" w14:paraId="000000E8">
      <w:pPr>
        <w:ind w:left="284" w:right="49" w:firstLine="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b) El lugar y</w:t>
      </w:r>
    </w:p>
    <w:p w:rsidR="00000000" w:rsidDel="00000000" w:rsidP="00000000" w:rsidRDefault="00000000" w:rsidRPr="00000000" w14:paraId="000000E9">
      <w:pPr>
        <w:ind w:left="284" w:right="49" w:firstLine="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 La forma</w:t>
      </w:r>
    </w:p>
    <w:p w:rsidR="00000000" w:rsidDel="00000000" w:rsidP="00000000" w:rsidRDefault="00000000" w:rsidRPr="00000000" w14:paraId="000000EA">
      <w:pPr>
        <w:spacing w:line="360" w:lineRule="auto"/>
        <w:ind w:left="284" w:right="49" w:firstLine="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EB">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Asimismo, se establece que la fuente de la información deberá ser:</w:t>
      </w:r>
    </w:p>
    <w:p w:rsidR="00000000" w:rsidDel="00000000" w:rsidP="00000000" w:rsidRDefault="00000000" w:rsidRPr="00000000" w14:paraId="000000EC">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ED">
      <w:pPr>
        <w:ind w:left="284" w:right="49" w:firstLine="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 Precisa</w:t>
      </w:r>
    </w:p>
    <w:p w:rsidR="00000000" w:rsidDel="00000000" w:rsidP="00000000" w:rsidRDefault="00000000" w:rsidRPr="00000000" w14:paraId="000000EE">
      <w:pPr>
        <w:ind w:left="284" w:right="49" w:firstLine="0"/>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b) Concreta</w:t>
      </w:r>
    </w:p>
    <w:p w:rsidR="00000000" w:rsidDel="00000000" w:rsidP="00000000" w:rsidRDefault="00000000" w:rsidRPr="00000000" w14:paraId="000000EF">
      <w:pPr>
        <w:spacing w:line="360" w:lineRule="auto"/>
        <w:ind w:left="284" w:right="560" w:firstLine="0"/>
        <w:jc w:val="both"/>
        <w:rPr>
          <w:rFonts w:ascii="Palatino Linotype" w:cs="Palatino Linotype" w:eastAsia="Palatino Linotype" w:hAnsi="Palatino Linotype"/>
          <w:b w:val="1"/>
          <w:bCs w:val="1"/>
          <w:sz w:val="22"/>
          <w:szCs w:val="22"/>
          <w:u w:val="single"/>
        </w:rPr>
      </w:pPr>
      <w:r w:rsidDel="00000000" w:rsidR="00000000" w:rsidRPr="00000000">
        <w:rPr>
          <w:rFonts w:ascii="Palatino Linotype" w:cs="Palatino Linotype" w:eastAsia="Palatino Linotype" w:hAnsi="Palatino Linotype"/>
          <w:b w:val="1"/>
          <w:bCs w:val="1"/>
          <w:sz w:val="22"/>
          <w:szCs w:val="22"/>
          <w:u w:val="single"/>
          <w:rtl w:val="0"/>
        </w:rPr>
        <w:t xml:space="preserve">c) Y no debe implicar que el solicitante realice una búsqueda en toda la información que se encuentre disponible.</w:t>
      </w:r>
    </w:p>
    <w:p w:rsidR="00000000" w:rsidDel="00000000" w:rsidP="00000000" w:rsidRDefault="00000000" w:rsidRPr="00000000" w14:paraId="000000F0">
      <w:pPr>
        <w:spacing w:line="360" w:lineRule="auto"/>
        <w:ind w:left="284" w:right="51" w:firstLine="0"/>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F1">
      <w:pPr>
        <w:spacing w:line="360" w:lineRule="auto"/>
        <w:ind w:right="51"/>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Imperativos legales que detallan el procedimiento que debe seguir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 para que pueda tomarse como válida su orientación sobre la forma en que puede consultar la información requerida.</w:t>
      </w:r>
    </w:p>
    <w:p w:rsidR="00000000" w:rsidDel="00000000" w:rsidP="00000000" w:rsidRDefault="00000000" w:rsidRPr="00000000" w14:paraId="000000F2">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F3">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 así que, del acceso a la liga electrónica proporcionada, se tiene que esta redirige al apartado de “</w:t>
      </w:r>
      <w:r w:rsidDel="00000000" w:rsidR="00000000" w:rsidRPr="00000000">
        <w:rPr>
          <w:rFonts w:ascii="Palatino Linotype" w:cs="Palatino Linotype" w:eastAsia="Palatino Linotype" w:hAnsi="Palatino Linotype"/>
          <w:i w:val="1"/>
          <w:iCs w:val="1"/>
          <w:sz w:val="22"/>
          <w:szCs w:val="22"/>
          <w:rtl w:val="0"/>
        </w:rPr>
        <w:t xml:space="preserve">Resultados de procedimientos de adjudicación</w:t>
      </w:r>
      <w:r w:rsidDel="00000000" w:rsidR="00000000" w:rsidRPr="00000000">
        <w:rPr>
          <w:rFonts w:ascii="Palatino Linotype" w:cs="Palatino Linotype" w:eastAsia="Palatino Linotype" w:hAnsi="Palatino Linotype"/>
          <w:sz w:val="22"/>
          <w:szCs w:val="22"/>
          <w:rtl w:val="0"/>
        </w:rPr>
        <w:t xml:space="preserve">”, en el que se pueden apreciar registros de los contratos pedido, solicitados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como se observa a continuación a modo de ejemplo: </w:t>
      </w:r>
    </w:p>
    <w:p w:rsidR="00000000" w:rsidDel="00000000" w:rsidP="00000000" w:rsidRDefault="00000000" w:rsidRPr="00000000" w14:paraId="000000F4">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5050320" cy="1544010"/>
            <wp:effectExtent b="0" l="0" r="0" t="0"/>
            <wp:docPr id="12"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050320" cy="1544010"/>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4980930" cy="1568817"/>
            <wp:effectExtent b="0" l="0" r="0" t="0"/>
            <wp:docPr id="11"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4980930" cy="156881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1929987</wp:posOffset>
                </wp:positionH>
                <wp:positionV relativeFrom="paragraph">
                  <wp:posOffset>807587</wp:posOffset>
                </wp:positionV>
                <wp:extent cx="2507068" cy="316215"/>
                <wp:effectExtent b="0" l="0" r="0" t="0"/>
                <wp:wrapNone/>
                <wp:docPr id="1" name=""/>
                <a:graphic>
                  <a:graphicData uri="http://schemas.microsoft.com/office/word/2010/wordprocessingShape">
                    <wps:wsp>
                      <wps:cNvSpPr/>
                      <wps:cNvPr id="2" name="Shape 2"/>
                      <wps:spPr>
                        <a:xfrm>
                          <a:off x="4101991" y="3631418"/>
                          <a:ext cx="2488018" cy="297165"/>
                        </a:xfrm>
                        <a:prstGeom prst="rect">
                          <a:avLst/>
                        </a:prstGeom>
                        <a:noFill/>
                        <a:ln cap="flat" cmpd="sng" w="1905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1929987</wp:posOffset>
                </wp:positionH>
                <wp:positionV relativeFrom="paragraph">
                  <wp:posOffset>807587</wp:posOffset>
                </wp:positionV>
                <wp:extent cx="2507068" cy="316215"/>
                <wp:effectExtent b="0" l="0" r="0" t="0"/>
                <wp:wrapNone/>
                <wp:docPr id="1"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2507068" cy="316215"/>
                        </a:xfrm>
                        <a:prstGeom prst="rect"/>
                        <a:ln/>
                      </pic:spPr>
                    </pic:pic>
                  </a:graphicData>
                </a:graphic>
              </wp:anchor>
            </w:drawing>
          </mc:Fallback>
        </mc:AlternateContent>
      </w:r>
    </w:p>
    <w:p w:rsidR="00000000" w:rsidDel="00000000" w:rsidP="00000000" w:rsidRDefault="00000000" w:rsidRPr="00000000" w14:paraId="000000F6">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5798797" cy="3606040"/>
            <wp:effectExtent b="0" l="0" r="0" t="0"/>
            <wp:docPr id="14"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5798797" cy="36060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143717</wp:posOffset>
                </wp:positionH>
                <wp:positionV relativeFrom="paragraph">
                  <wp:posOffset>3254419</wp:posOffset>
                </wp:positionV>
                <wp:extent cx="5597894" cy="316761"/>
                <wp:effectExtent b="0" l="0" r="0" t="0"/>
                <wp:wrapNone/>
                <wp:docPr id="5" name=""/>
                <a:graphic>
                  <a:graphicData uri="http://schemas.microsoft.com/office/word/2010/wordprocessingShape">
                    <wps:wsp>
                      <wps:cNvSpPr/>
                      <wps:cNvPr id="6" name="Shape 6"/>
                      <wps:spPr>
                        <a:xfrm>
                          <a:off x="2556578" y="3631145"/>
                          <a:ext cx="5578844" cy="297711"/>
                        </a:xfrm>
                        <a:prstGeom prst="rect">
                          <a:avLst/>
                        </a:prstGeom>
                        <a:noFill/>
                        <a:ln cap="flat" cmpd="sng" w="1905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143717</wp:posOffset>
                </wp:positionH>
                <wp:positionV relativeFrom="paragraph">
                  <wp:posOffset>3254419</wp:posOffset>
                </wp:positionV>
                <wp:extent cx="5597894" cy="316761"/>
                <wp:effectExtent b="0" l="0" r="0" t="0"/>
                <wp:wrapNone/>
                <wp:docPr id="5" name="image15.png"/>
                <a:graphic>
                  <a:graphicData uri="http://schemas.openxmlformats.org/drawingml/2006/picture">
                    <pic:pic>
                      <pic:nvPicPr>
                        <pic:cNvPr id="0" name="image15.png"/>
                        <pic:cNvPicPr preferRelativeResize="0"/>
                      </pic:nvPicPr>
                      <pic:blipFill>
                        <a:blip r:embed="rId17"/>
                        <a:srcRect/>
                        <a:stretch>
                          <a:fillRect/>
                        </a:stretch>
                      </pic:blipFill>
                      <pic:spPr>
                        <a:xfrm>
                          <a:off x="0" y="0"/>
                          <a:ext cx="5597894" cy="316761"/>
                        </a:xfrm>
                        <a:prstGeom prst="rect"/>
                        <a:ln/>
                      </pic:spPr>
                    </pic:pic>
                  </a:graphicData>
                </a:graphic>
              </wp:anchor>
            </w:drawing>
          </mc:Fallback>
        </mc:AlternateContent>
      </w:r>
    </w:p>
    <w:p w:rsidR="00000000" w:rsidDel="00000000" w:rsidP="00000000" w:rsidRDefault="00000000" w:rsidRPr="00000000" w14:paraId="000000F7">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F8">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4993414" cy="1273496"/>
            <wp:effectExtent b="0" l="0" r="0" t="0"/>
            <wp:docPr id="13"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4993414" cy="127349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2063238</wp:posOffset>
                </wp:positionH>
                <wp:positionV relativeFrom="paragraph">
                  <wp:posOffset>539313</wp:posOffset>
                </wp:positionV>
                <wp:extent cx="1212520" cy="298120"/>
                <wp:effectExtent b="0" l="0" r="0" t="0"/>
                <wp:wrapNone/>
                <wp:docPr id="3" name=""/>
                <a:graphic>
                  <a:graphicData uri="http://schemas.microsoft.com/office/word/2010/wordprocessingShape">
                    <wps:wsp>
                      <wps:cNvSpPr/>
                      <wps:cNvPr id="4" name="Shape 4"/>
                      <wps:spPr>
                        <a:xfrm>
                          <a:off x="4749265" y="3640465"/>
                          <a:ext cx="1193470" cy="279070"/>
                        </a:xfrm>
                        <a:prstGeom prst="rect">
                          <a:avLst/>
                        </a:prstGeom>
                        <a:noFill/>
                        <a:ln cap="flat" cmpd="sng" w="1905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2063238</wp:posOffset>
                </wp:positionH>
                <wp:positionV relativeFrom="paragraph">
                  <wp:posOffset>539313</wp:posOffset>
                </wp:positionV>
                <wp:extent cx="1212520" cy="298120"/>
                <wp:effectExtent b="0" l="0" r="0" t="0"/>
                <wp:wrapNone/>
                <wp:docPr id="3"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1212520" cy="298120"/>
                        </a:xfrm>
                        <a:prstGeom prst="rect"/>
                        <a:ln/>
                      </pic:spPr>
                    </pic:pic>
                  </a:graphicData>
                </a:graphic>
              </wp:anchor>
            </w:drawing>
          </mc:Fallback>
        </mc:AlternateContent>
      </w:r>
    </w:p>
    <w:p w:rsidR="00000000" w:rsidDel="00000000" w:rsidP="00000000" w:rsidRDefault="00000000" w:rsidRPr="00000000" w14:paraId="000000F9">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4924687" cy="1995347"/>
            <wp:effectExtent b="0" l="0" r="0" t="0"/>
            <wp:docPr id="16"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4924687" cy="199534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376943</wp:posOffset>
                </wp:positionH>
                <wp:positionV relativeFrom="paragraph">
                  <wp:posOffset>201056</wp:posOffset>
                </wp:positionV>
                <wp:extent cx="2495055" cy="256556"/>
                <wp:effectExtent b="0" l="0" r="0" t="0"/>
                <wp:wrapNone/>
                <wp:docPr id="2" name=""/>
                <a:graphic>
                  <a:graphicData uri="http://schemas.microsoft.com/office/word/2010/wordprocessingShape">
                    <wps:wsp>
                      <wps:cNvSpPr/>
                      <wps:cNvPr id="3" name="Shape 3"/>
                      <wps:spPr>
                        <a:xfrm>
                          <a:off x="4107998" y="3661247"/>
                          <a:ext cx="2476005" cy="237506"/>
                        </a:xfrm>
                        <a:prstGeom prst="rect">
                          <a:avLst/>
                        </a:prstGeom>
                        <a:noFill/>
                        <a:ln cap="flat" cmpd="sng" w="1905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376943</wp:posOffset>
                </wp:positionH>
                <wp:positionV relativeFrom="paragraph">
                  <wp:posOffset>201056</wp:posOffset>
                </wp:positionV>
                <wp:extent cx="2495055" cy="256556"/>
                <wp:effectExtent b="0" l="0" r="0" t="0"/>
                <wp:wrapNone/>
                <wp:docPr id="2"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2495055" cy="25655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376943</wp:posOffset>
                </wp:positionH>
                <wp:positionV relativeFrom="paragraph">
                  <wp:posOffset>901700</wp:posOffset>
                </wp:positionV>
                <wp:extent cx="2803813" cy="262189"/>
                <wp:effectExtent b="0" l="0" r="0" t="0"/>
                <wp:wrapNone/>
                <wp:docPr id="4" name=""/>
                <a:graphic>
                  <a:graphicData uri="http://schemas.microsoft.com/office/word/2010/wordprocessingShape">
                    <wps:wsp>
                      <wps:cNvSpPr/>
                      <wps:cNvPr id="5" name="Shape 5"/>
                      <wps:spPr>
                        <a:xfrm>
                          <a:off x="3953619" y="3658431"/>
                          <a:ext cx="2784763" cy="243139"/>
                        </a:xfrm>
                        <a:prstGeom prst="rect">
                          <a:avLst/>
                        </a:prstGeom>
                        <a:noFill/>
                        <a:ln cap="flat" cmpd="sng" w="1905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376943</wp:posOffset>
                </wp:positionH>
                <wp:positionV relativeFrom="paragraph">
                  <wp:posOffset>901700</wp:posOffset>
                </wp:positionV>
                <wp:extent cx="2803813" cy="262189"/>
                <wp:effectExtent b="0" l="0" r="0" t="0"/>
                <wp:wrapNone/>
                <wp:docPr id="4" name="image14.png"/>
                <a:graphic>
                  <a:graphicData uri="http://schemas.openxmlformats.org/drawingml/2006/picture">
                    <pic:pic>
                      <pic:nvPicPr>
                        <pic:cNvPr id="0" name="image14.png"/>
                        <pic:cNvPicPr preferRelativeResize="0"/>
                      </pic:nvPicPr>
                      <pic:blipFill>
                        <a:blip r:embed="rId17"/>
                        <a:srcRect/>
                        <a:stretch>
                          <a:fillRect/>
                        </a:stretch>
                      </pic:blipFill>
                      <pic:spPr>
                        <a:xfrm>
                          <a:off x="0" y="0"/>
                          <a:ext cx="2803813" cy="262189"/>
                        </a:xfrm>
                        <a:prstGeom prst="rect"/>
                        <a:ln/>
                      </pic:spPr>
                    </pic:pic>
                  </a:graphicData>
                </a:graphic>
              </wp:anchor>
            </w:drawing>
          </mc:Fallback>
        </mc:AlternateContent>
      </w:r>
    </w:p>
    <w:p w:rsidR="00000000" w:rsidDel="00000000" w:rsidP="00000000" w:rsidRDefault="00000000" w:rsidRPr="00000000" w14:paraId="000000FA">
      <w:pPr>
        <w:spacing w:line="360" w:lineRule="auto"/>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Pr>
        <w:drawing>
          <wp:inline distB="0" distT="0" distL="0" distR="0">
            <wp:extent cx="4335630" cy="3703288"/>
            <wp:effectExtent b="0" l="0" r="0" t="0"/>
            <wp:docPr id="1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4335630" cy="3703288"/>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FC">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 así que, de la liga proporcionada, se puede obtener la información solicitada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es decir, los contratos pedidos celebrados para la contratación de bienes y servicios por un monto superior a cien mil pesos; ahora bien, en atención a los agravios hechos valer en su medio de impugnación, es de recordar que cuando la información se encuentre disponible en medios electrónicos disponibles en internet o en cualquier otro medio, es válido que los sujetos obligados lo hagan del conocimiento a los particulares, siempre y cuando, la información contenida en estos medios se encuentre completa y se relacione con lo solicitado y, con ello colme el requerimiento de información, situación que en el presente caso</w:t>
      </w:r>
      <w:r w:rsidDel="00000000" w:rsidR="00000000" w:rsidRPr="00000000">
        <w:rPr>
          <w:rFonts w:ascii="Palatino Linotype" w:cs="Palatino Linotype" w:eastAsia="Palatino Linotype" w:hAnsi="Palatino Linotype"/>
          <w:b w:val="1"/>
          <w:bCs w:val="1"/>
          <w:sz w:val="22"/>
          <w:szCs w:val="22"/>
          <w:rtl w:val="0"/>
        </w:rPr>
        <w:t xml:space="preserve"> aconteció.  </w:t>
      </w:r>
      <w:r w:rsidDel="00000000" w:rsidR="00000000" w:rsidRPr="00000000">
        <w:rPr>
          <w:rtl w:val="0"/>
        </w:rPr>
      </w:r>
    </w:p>
    <w:p w:rsidR="00000000" w:rsidDel="00000000" w:rsidP="00000000" w:rsidRDefault="00000000" w:rsidRPr="00000000" w14:paraId="000000FD">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FE">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 así que, de conformidad con el artículo 12 de la Ley de Transparencia y Acceso a la Información Pública del Estado de México y Municipios, los sujetos obligados sólo deberán proporcionar la información que obre en sus archivos, en el estado en que esta se encuentre, asimismo, se precisa que conforme a lo establecido en el Criterio orientador 31/10 emitido por el entonces Instituto Nacional de Transparencia, Acceso a la Información Pública y Protección de Datos Personales INAI que se procede a citar a continuación:</w:t>
      </w:r>
    </w:p>
    <w:p w:rsidR="00000000" w:rsidDel="00000000" w:rsidP="00000000" w:rsidRDefault="00000000" w:rsidRPr="00000000" w14:paraId="000000FF">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00">
      <w:pPr>
        <w:tabs>
          <w:tab w:val="left" w:leader="none" w:pos="8222"/>
        </w:tabs>
        <w:ind w:left="567" w:right="567" w:firstLine="0"/>
        <w:jc w:val="both"/>
        <w:rPr>
          <w:rFonts w:ascii="Palatino Linotype" w:cs="Palatino Linotype" w:eastAsia="Palatino Linotype" w:hAnsi="Palatino Linotype"/>
          <w:i w:val="1"/>
          <w:iCs w:val="1"/>
          <w:sz w:val="22"/>
          <w:szCs w:val="22"/>
        </w:rPr>
      </w:pPr>
      <w:r w:rsidDel="00000000" w:rsidR="00000000" w:rsidRPr="00000000">
        <w:rPr>
          <w:rFonts w:ascii="Palatino Linotype" w:cs="Palatino Linotype" w:eastAsia="Palatino Linotype" w:hAnsi="Palatino Linotype"/>
          <w:b w:val="1"/>
          <w:bCs w:val="1"/>
          <w:i w:val="1"/>
          <w:iCs w:val="1"/>
          <w:sz w:val="22"/>
          <w:szCs w:val="22"/>
          <w:rtl w:val="0"/>
        </w:rPr>
        <w:t xml:space="preserve">“El Instituto Federal de Acceso a la Información y Protección de Datos no cuenta con facultades para pronunciarse respecto de la veracidad de los documentos proporcionados por los sujetos obligados.</w:t>
      </w:r>
      <w:r w:rsidDel="00000000" w:rsidR="00000000" w:rsidRPr="00000000">
        <w:rPr>
          <w:rFonts w:ascii="Palatino Linotype" w:cs="Palatino Linotype" w:eastAsia="Palatino Linotype" w:hAnsi="Palatino Linotype"/>
          <w:i w:val="1"/>
          <w:iCs w:val="1"/>
          <w:sz w:val="22"/>
          <w:szCs w:val="22"/>
          <w:rtl w:val="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000000" w:rsidDel="00000000" w:rsidP="00000000" w:rsidRDefault="00000000" w:rsidRPr="00000000" w14:paraId="00000101">
      <w:pPr>
        <w:tabs>
          <w:tab w:val="left" w:leader="none" w:pos="8222"/>
        </w:tabs>
        <w:ind w:left="567" w:right="567"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102">
      <w:pPr>
        <w:tabs>
          <w:tab w:val="left" w:leader="none" w:pos="8222"/>
        </w:tabs>
        <w:ind w:left="567" w:right="567" w:firstLine="0"/>
        <w:jc w:val="both"/>
        <w:rPr>
          <w:rFonts w:ascii="Palatino Linotype" w:cs="Palatino Linotype" w:eastAsia="Palatino Linotype" w:hAnsi="Palatino Linotype"/>
          <w:i w:val="1"/>
          <w:iCs w:val="1"/>
          <w:sz w:val="22"/>
          <w:szCs w:val="22"/>
        </w:rPr>
      </w:pPr>
      <w:r w:rsidDel="00000000" w:rsidR="00000000" w:rsidRPr="00000000">
        <w:rPr>
          <w:rtl w:val="0"/>
        </w:rPr>
      </w:r>
    </w:p>
    <w:p w:rsidR="00000000" w:rsidDel="00000000" w:rsidP="00000000" w:rsidRDefault="00000000" w:rsidRPr="00000000" w14:paraId="00000103">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u w:val="single"/>
          <w:rtl w:val="0"/>
        </w:rPr>
        <w:t xml:space="preserve">Por lo que, este Organismo Garante carece de facultades para dudar de la veracidad de la información que el Sujeto Obligado puso a disposición de la parte Recurrente</w:t>
      </w:r>
      <w:r w:rsidDel="00000000" w:rsidR="00000000" w:rsidRPr="00000000">
        <w:rPr>
          <w:rtl w:val="0"/>
        </w:rPr>
      </w:r>
    </w:p>
    <w:p w:rsidR="00000000" w:rsidDel="00000000" w:rsidP="00000000" w:rsidRDefault="00000000" w:rsidRPr="00000000" w14:paraId="00000104">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05">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Es así como, en mérito de lo expuesto en líneas anteriores, resultan infundadas las razones o motivos de inconformidad hechos valer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dentro del recurso de revisión </w:t>
      </w:r>
      <w:r w:rsidDel="00000000" w:rsidR="00000000" w:rsidRPr="00000000">
        <w:rPr>
          <w:rFonts w:ascii="Palatino Linotype" w:cs="Palatino Linotype" w:eastAsia="Palatino Linotype" w:hAnsi="Palatino Linotype"/>
          <w:b w:val="1"/>
          <w:bCs w:val="1"/>
          <w:sz w:val="22"/>
          <w:szCs w:val="22"/>
          <w:rtl w:val="0"/>
        </w:rPr>
        <w:t xml:space="preserve">14674/INFOEM/IP/RR/2025</w:t>
      </w:r>
      <w:r w:rsidDel="00000000" w:rsidR="00000000" w:rsidRPr="00000000">
        <w:rPr>
          <w:rFonts w:ascii="Palatino Linotype" w:cs="Palatino Linotype" w:eastAsia="Palatino Linotype" w:hAnsi="Palatino Linotype"/>
          <w:sz w:val="22"/>
          <w:szCs w:val="22"/>
          <w:rtl w:val="0"/>
        </w:rPr>
        <w:t xml:space="preserve">; por ello, y con fundamento en la fracción IV del numeral 186 de la Ley de Transparencia y Acceso a la Información Pública del Estado de México y Municipios, por lo que se </w:t>
      </w:r>
      <w:r w:rsidDel="00000000" w:rsidR="00000000" w:rsidRPr="00000000">
        <w:rPr>
          <w:rFonts w:ascii="Palatino Linotype" w:cs="Palatino Linotype" w:eastAsia="Palatino Linotype" w:hAnsi="Palatino Linotype"/>
          <w:b w:val="1"/>
          <w:bCs w:val="1"/>
          <w:sz w:val="22"/>
          <w:szCs w:val="22"/>
          <w:rtl w:val="0"/>
        </w:rPr>
        <w:t xml:space="preserve">Confirma </w:t>
      </w:r>
      <w:r w:rsidDel="00000000" w:rsidR="00000000" w:rsidRPr="00000000">
        <w:rPr>
          <w:rFonts w:ascii="Palatino Linotype" w:cs="Palatino Linotype" w:eastAsia="Palatino Linotype" w:hAnsi="Palatino Linotype"/>
          <w:sz w:val="22"/>
          <w:szCs w:val="22"/>
          <w:rtl w:val="0"/>
        </w:rPr>
        <w:t xml:space="preserve">la respuesta del </w:t>
      </w:r>
      <w:r w:rsidDel="00000000" w:rsidR="00000000" w:rsidRPr="00000000">
        <w:rPr>
          <w:rFonts w:ascii="Palatino Linotype" w:cs="Palatino Linotype" w:eastAsia="Palatino Linotype" w:hAnsi="Palatino Linotype"/>
          <w:b w:val="1"/>
          <w:bCs w:val="1"/>
          <w:sz w:val="22"/>
          <w:szCs w:val="22"/>
          <w:rtl w:val="0"/>
        </w:rPr>
        <w:t xml:space="preserve">Sujeto Obligado </w:t>
      </w:r>
      <w:r w:rsidDel="00000000" w:rsidR="00000000" w:rsidRPr="00000000">
        <w:rPr>
          <w:rFonts w:ascii="Palatino Linotype" w:cs="Palatino Linotype" w:eastAsia="Palatino Linotype" w:hAnsi="Palatino Linotype"/>
          <w:sz w:val="22"/>
          <w:szCs w:val="22"/>
          <w:rtl w:val="0"/>
        </w:rPr>
        <w:t xml:space="preserve">a la solicitud de información </w:t>
      </w:r>
      <w:r w:rsidDel="00000000" w:rsidR="00000000" w:rsidRPr="00000000">
        <w:rPr>
          <w:rFonts w:ascii="Palatino Linotype" w:cs="Palatino Linotype" w:eastAsia="Palatino Linotype" w:hAnsi="Palatino Linotype"/>
          <w:b w:val="1"/>
          <w:bCs w:val="1"/>
          <w:sz w:val="22"/>
          <w:szCs w:val="22"/>
          <w:rtl w:val="0"/>
        </w:rPr>
        <w:t xml:space="preserve">00446/SEGEGOB/IP/2025.</w:t>
      </w:r>
      <w:r w:rsidDel="00000000" w:rsidR="00000000" w:rsidRPr="00000000">
        <w:rPr>
          <w:rFonts w:ascii="Palatino Linotype" w:cs="Palatino Linotype" w:eastAsia="Palatino Linotype" w:hAnsi="Palatino Linotype"/>
          <w:sz w:val="22"/>
          <w:szCs w:val="22"/>
          <w:rtl w:val="0"/>
        </w:rPr>
        <w:t xml:space="preserve">  </w:t>
      </w:r>
    </w:p>
    <w:p w:rsidR="00000000" w:rsidDel="00000000" w:rsidP="00000000" w:rsidRDefault="00000000" w:rsidRPr="00000000" w14:paraId="00000106">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 </w:t>
      </w:r>
      <w:r w:rsidDel="00000000" w:rsidR="00000000" w:rsidRPr="00000000">
        <w:rPr>
          <w:rtl w:val="0"/>
        </w:rPr>
      </w:r>
    </w:p>
    <w:p w:rsidR="00000000" w:rsidDel="00000000" w:rsidP="00000000" w:rsidRDefault="00000000" w:rsidRPr="00000000" w14:paraId="00000107">
      <w:pPr>
        <w:spacing w:line="360" w:lineRule="auto"/>
        <w:ind w:right="49"/>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de Transparencia y Acceso a la Información Pública del Estado de México y Municipios, este Pleno:</w:t>
      </w:r>
    </w:p>
    <w:p w:rsidR="00000000" w:rsidDel="00000000" w:rsidP="00000000" w:rsidRDefault="00000000" w:rsidRPr="00000000" w14:paraId="00000108">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09">
      <w:pPr>
        <w:spacing w:line="360" w:lineRule="auto"/>
        <w:ind w:right="49"/>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III.</w:t>
        <w:tab/>
        <w:t xml:space="preserve">R E S U E L V E:</w:t>
      </w:r>
    </w:p>
    <w:p w:rsidR="00000000" w:rsidDel="00000000" w:rsidP="00000000" w:rsidRDefault="00000000" w:rsidRPr="00000000" w14:paraId="0000010A">
      <w:pPr>
        <w:spacing w:line="360" w:lineRule="auto"/>
        <w:ind w:right="49"/>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0B">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Primero. </w:t>
      </w:r>
      <w:r w:rsidDel="00000000" w:rsidR="00000000" w:rsidRPr="00000000">
        <w:rPr>
          <w:rFonts w:ascii="Palatino Linotype" w:cs="Palatino Linotype" w:eastAsia="Palatino Linotype" w:hAnsi="Palatino Linotype"/>
          <w:sz w:val="22"/>
          <w:szCs w:val="22"/>
          <w:rtl w:val="0"/>
        </w:rPr>
        <w:t xml:space="preserve">Resultan </w:t>
      </w:r>
      <w:r w:rsidDel="00000000" w:rsidR="00000000" w:rsidRPr="00000000">
        <w:rPr>
          <w:rFonts w:ascii="Palatino Linotype" w:cs="Palatino Linotype" w:eastAsia="Palatino Linotype" w:hAnsi="Palatino Linotype"/>
          <w:b w:val="1"/>
          <w:bCs w:val="1"/>
          <w:sz w:val="22"/>
          <w:szCs w:val="22"/>
          <w:rtl w:val="0"/>
        </w:rPr>
        <w:t xml:space="preserve">infundados</w:t>
      </w:r>
      <w:r w:rsidDel="00000000" w:rsidR="00000000" w:rsidRPr="00000000">
        <w:rPr>
          <w:rFonts w:ascii="Palatino Linotype" w:cs="Palatino Linotype" w:eastAsia="Palatino Linotype" w:hAnsi="Palatino Linotype"/>
          <w:sz w:val="22"/>
          <w:szCs w:val="22"/>
          <w:rtl w:val="0"/>
        </w:rPr>
        <w:t xml:space="preserve"> los motivos de inconformidad hechos valer por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en el Recurso de Revisión </w:t>
      </w:r>
      <w:r w:rsidDel="00000000" w:rsidR="00000000" w:rsidRPr="00000000">
        <w:rPr>
          <w:rFonts w:ascii="Palatino Linotype" w:cs="Palatino Linotype" w:eastAsia="Palatino Linotype" w:hAnsi="Palatino Linotype"/>
          <w:b w:val="1"/>
          <w:bCs w:val="1"/>
          <w:sz w:val="22"/>
          <w:szCs w:val="22"/>
          <w:rtl w:val="0"/>
        </w:rPr>
        <w:t xml:space="preserve">14674/INFOEM/IP/RR/2025</w:t>
      </w:r>
      <w:r w:rsidDel="00000000" w:rsidR="00000000" w:rsidRPr="00000000">
        <w:rPr>
          <w:rFonts w:ascii="Palatino Linotype" w:cs="Palatino Linotype" w:eastAsia="Palatino Linotype" w:hAnsi="Palatino Linotype"/>
          <w:sz w:val="22"/>
          <w:szCs w:val="22"/>
          <w:rtl w:val="0"/>
        </w:rPr>
        <w:t xml:space="preserve"> por lo que, en términos del</w:t>
      </w:r>
      <w:r w:rsidDel="00000000" w:rsidR="00000000" w:rsidRPr="00000000">
        <w:rPr>
          <w:rFonts w:ascii="Palatino Linotype" w:cs="Palatino Linotype" w:eastAsia="Palatino Linotype" w:hAnsi="Palatino Linotype"/>
          <w:b w:val="1"/>
          <w:bCs w:val="1"/>
          <w:sz w:val="22"/>
          <w:szCs w:val="22"/>
          <w:rtl w:val="0"/>
        </w:rPr>
        <w:t xml:space="preserve"> Considerando Cuarto </w:t>
      </w:r>
      <w:r w:rsidDel="00000000" w:rsidR="00000000" w:rsidRPr="00000000">
        <w:rPr>
          <w:rFonts w:ascii="Palatino Linotype" w:cs="Palatino Linotype" w:eastAsia="Palatino Linotype" w:hAnsi="Palatino Linotype"/>
          <w:sz w:val="22"/>
          <w:szCs w:val="22"/>
          <w:rtl w:val="0"/>
        </w:rPr>
        <w:t xml:space="preserve">de esta resolución, se </w:t>
      </w:r>
      <w:r w:rsidDel="00000000" w:rsidR="00000000" w:rsidRPr="00000000">
        <w:rPr>
          <w:rFonts w:ascii="Palatino Linotype" w:cs="Palatino Linotype" w:eastAsia="Palatino Linotype" w:hAnsi="Palatino Linotype"/>
          <w:b w:val="1"/>
          <w:bCs w:val="1"/>
          <w:sz w:val="22"/>
          <w:szCs w:val="22"/>
          <w:rtl w:val="0"/>
        </w:rPr>
        <w:t xml:space="preserve">Confirma </w:t>
      </w:r>
      <w:r w:rsidDel="00000000" w:rsidR="00000000" w:rsidRPr="00000000">
        <w:rPr>
          <w:rFonts w:ascii="Palatino Linotype" w:cs="Palatino Linotype" w:eastAsia="Palatino Linotype" w:hAnsi="Palatino Linotype"/>
          <w:sz w:val="22"/>
          <w:szCs w:val="22"/>
          <w:rtl w:val="0"/>
        </w:rPr>
        <w:t xml:space="preserve">la respuesta emitida por el </w:t>
      </w:r>
      <w:r w:rsidDel="00000000" w:rsidR="00000000" w:rsidRPr="00000000">
        <w:rPr>
          <w:rFonts w:ascii="Palatino Linotype" w:cs="Palatino Linotype" w:eastAsia="Palatino Linotype" w:hAnsi="Palatino Linotype"/>
          <w:b w:val="1"/>
          <w:bCs w:val="1"/>
          <w:sz w:val="22"/>
          <w:szCs w:val="22"/>
          <w:rtl w:val="0"/>
        </w:rPr>
        <w:t xml:space="preserve">Sujeto Obligado</w:t>
      </w:r>
      <w:r w:rsidDel="00000000" w:rsidR="00000000" w:rsidRPr="00000000">
        <w:rPr>
          <w:rFonts w:ascii="Palatino Linotype" w:cs="Palatino Linotype" w:eastAsia="Palatino Linotype" w:hAnsi="Palatino Linotype"/>
          <w:sz w:val="22"/>
          <w:szCs w:val="22"/>
          <w:rtl w:val="0"/>
        </w:rPr>
        <w:t xml:space="preserve">.</w:t>
      </w:r>
    </w:p>
    <w:p w:rsidR="00000000" w:rsidDel="00000000" w:rsidP="00000000" w:rsidRDefault="00000000" w:rsidRPr="00000000" w14:paraId="0000010C">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0D">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Segundo. Notifíquese </w:t>
      </w:r>
      <w:r w:rsidDel="00000000" w:rsidR="00000000" w:rsidRPr="00000000">
        <w:rPr>
          <w:rFonts w:ascii="Palatino Linotype" w:cs="Palatino Linotype" w:eastAsia="Palatino Linotype" w:hAnsi="Palatino Linotype"/>
          <w:sz w:val="22"/>
          <w:szCs w:val="22"/>
          <w:rtl w:val="0"/>
        </w:rPr>
        <w:t xml:space="preserve">vía</w:t>
      </w:r>
      <w:r w:rsidDel="00000000" w:rsidR="00000000" w:rsidRPr="00000000">
        <w:rPr>
          <w:rFonts w:ascii="Palatino Linotype" w:cs="Palatino Linotype" w:eastAsia="Palatino Linotype" w:hAnsi="Palatino Linotype"/>
          <w:b w:val="1"/>
          <w:bCs w:val="1"/>
          <w:sz w:val="22"/>
          <w:szCs w:val="22"/>
          <w:rtl w:val="0"/>
        </w:rPr>
        <w:t xml:space="preserve"> Sistema de Acceso a la Información Mexiquense (SAIMEX)</w:t>
      </w:r>
      <w:r w:rsidDel="00000000" w:rsidR="00000000" w:rsidRPr="00000000">
        <w:rPr>
          <w:rFonts w:ascii="Palatino Linotype" w:cs="Palatino Linotype" w:eastAsia="Palatino Linotype" w:hAnsi="Palatino Linotype"/>
          <w:sz w:val="22"/>
          <w:szCs w:val="22"/>
          <w:rtl w:val="0"/>
        </w:rPr>
        <w:t xml:space="preserve">, al Titular de la Unidad de Transparencia del Sujeto Obligado, para su conocimiento.</w:t>
      </w:r>
    </w:p>
    <w:p w:rsidR="00000000" w:rsidDel="00000000" w:rsidP="00000000" w:rsidRDefault="00000000" w:rsidRPr="00000000" w14:paraId="0000010E">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0F">
      <w:pPr>
        <w:spacing w:line="360" w:lineRule="auto"/>
        <w:jc w:val="both"/>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b w:val="1"/>
          <w:bCs w:val="1"/>
          <w:sz w:val="22"/>
          <w:szCs w:val="22"/>
          <w:rtl w:val="0"/>
        </w:rPr>
        <w:t xml:space="preserve">Tercero. Notifíquese </w:t>
      </w:r>
      <w:r w:rsidDel="00000000" w:rsidR="00000000" w:rsidRPr="00000000">
        <w:rPr>
          <w:rFonts w:ascii="Palatino Linotype" w:cs="Palatino Linotype" w:eastAsia="Palatino Linotype" w:hAnsi="Palatino Linotype"/>
          <w:sz w:val="22"/>
          <w:szCs w:val="22"/>
          <w:rtl w:val="0"/>
        </w:rPr>
        <w:t xml:space="preserve">vía</w:t>
      </w:r>
      <w:r w:rsidDel="00000000" w:rsidR="00000000" w:rsidRPr="00000000">
        <w:rPr>
          <w:rFonts w:ascii="Palatino Linotype" w:cs="Palatino Linotype" w:eastAsia="Palatino Linotype" w:hAnsi="Palatino Linotype"/>
          <w:b w:val="1"/>
          <w:bCs w:val="1"/>
          <w:sz w:val="22"/>
          <w:szCs w:val="22"/>
          <w:rtl w:val="0"/>
        </w:rPr>
        <w:t xml:space="preserve"> Sistema de Acceso a la Información Mexiquense (SAIMEX) </w:t>
      </w:r>
      <w:r w:rsidDel="00000000" w:rsidR="00000000" w:rsidRPr="00000000">
        <w:rPr>
          <w:rFonts w:ascii="Palatino Linotype" w:cs="Palatino Linotype" w:eastAsia="Palatino Linotype" w:hAnsi="Palatino Linotype"/>
          <w:sz w:val="22"/>
          <w:szCs w:val="22"/>
          <w:rtl w:val="0"/>
        </w:rPr>
        <w:t xml:space="preserve">la presente resolución a la parte </w:t>
      </w:r>
      <w:r w:rsidDel="00000000" w:rsidR="00000000" w:rsidRPr="00000000">
        <w:rPr>
          <w:rFonts w:ascii="Palatino Linotype" w:cs="Palatino Linotype" w:eastAsia="Palatino Linotype" w:hAnsi="Palatino Linotype"/>
          <w:b w:val="1"/>
          <w:bCs w:val="1"/>
          <w:sz w:val="22"/>
          <w:szCs w:val="22"/>
          <w:rtl w:val="0"/>
        </w:rPr>
        <w:t xml:space="preserve">Recurrente</w:t>
      </w:r>
      <w:r w:rsidDel="00000000" w:rsidR="00000000" w:rsidRPr="00000000">
        <w:rPr>
          <w:rFonts w:ascii="Palatino Linotype" w:cs="Palatino Linotype" w:eastAsia="Palatino Linotype" w:hAnsi="Palatino Linotype"/>
          <w:sz w:val="22"/>
          <w:szCs w:val="22"/>
          <w:rtl w:val="0"/>
        </w:rPr>
        <w:t xml:space="preserve">, así como, que de conformidad con lo establecido en el artículo 196 de la Ley de Transparencia y Acceso a la Información Pública del Estado de México y Municipios, podrá impugnarla vía Juicio de Amparo en los términos de las leyes aplicables.</w:t>
      </w:r>
    </w:p>
    <w:p w:rsidR="00000000" w:rsidDel="00000000" w:rsidP="00000000" w:rsidRDefault="00000000" w:rsidRPr="00000000" w14:paraId="00000110">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1">
      <w:pPr>
        <w:spacing w:line="360" w:lineRule="auto"/>
        <w:jc w:val="both"/>
        <w:rPr>
          <w:rFonts w:ascii="Palatino Linotype" w:cs="Palatino Linotype" w:eastAsia="Palatino Linotype" w:hAnsi="Palatino Linotype"/>
          <w:sz w:val="22"/>
          <w:szCs w:val="22"/>
        </w:rPr>
      </w:pPr>
      <w:bookmarkStart w:colFirst="0" w:colLast="0" w:name="_heading=h.lnxbz9" w:id="8"/>
      <w:bookmarkEnd w:id="8"/>
      <w:r w:rsidDel="00000000" w:rsidR="00000000" w:rsidRPr="00000000">
        <w:rPr>
          <w:rFonts w:ascii="Palatino Linotype" w:cs="Palatino Linotype" w:eastAsia="Palatino Linotype" w:hAnsi="Palatino Linotype"/>
          <w:sz w:val="22"/>
          <w:szCs w:val="22"/>
          <w:rtl w:val="0"/>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EMITIENDO VOTO DISIDENTE Y GUADALUPE RAMÍREZ PEÑA; EN LA SÉPTIMA SESIÓN ORDINARIA, CELEBRADA EL VEINTICINCO DE FEBRERO DE DOS MIL VEINTISÉIS, ANTE EL SECRETARIO TÉCNICO DEL PLENO ALEXIS TAPIA RAMÍREZ.</w:t>
      </w:r>
    </w:p>
    <w:p w:rsidR="00000000" w:rsidDel="00000000" w:rsidP="00000000" w:rsidRDefault="00000000" w:rsidRPr="00000000" w14:paraId="00000112">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3">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4">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5">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6">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7">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8">
      <w:pPr>
        <w:spacing w:line="360" w:lineRule="auto"/>
        <w:jc w:val="both"/>
        <w:rPr>
          <w:rFonts w:ascii="Palatino Linotype" w:cs="Palatino Linotype" w:eastAsia="Palatino Linotype" w:hAnsi="Palatino Linotype"/>
          <w:sz w:val="22"/>
          <w:szCs w:val="22"/>
        </w:rPr>
      </w:pPr>
      <w:bookmarkStart w:colFirst="0" w:colLast="0" w:name="_heading=h.3rdcrjn" w:id="9"/>
      <w:bookmarkEnd w:id="9"/>
      <w:r w:rsidDel="00000000" w:rsidR="00000000" w:rsidRPr="00000000">
        <w:rPr>
          <w:rtl w:val="0"/>
        </w:rPr>
      </w:r>
    </w:p>
    <w:p w:rsidR="00000000" w:rsidDel="00000000" w:rsidP="00000000" w:rsidRDefault="00000000" w:rsidRPr="00000000" w14:paraId="00000119">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A">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B">
      <w:pPr>
        <w:spacing w:line="360" w:lineRule="auto"/>
        <w:jc w:val="both"/>
        <w:rPr>
          <w:rFonts w:ascii="Palatino Linotype" w:cs="Palatino Linotype" w:eastAsia="Palatino Linotype" w:hAnsi="Palatino Linotype"/>
          <w:sz w:val="22"/>
          <w:szCs w:val="22"/>
        </w:rPr>
      </w:pPr>
      <w:bookmarkStart w:colFirst="0" w:colLast="0" w:name="_heading=h.1t3h5sf" w:id="10"/>
      <w:bookmarkEnd w:id="10"/>
      <w:r w:rsidDel="00000000" w:rsidR="00000000" w:rsidRPr="00000000">
        <w:rPr>
          <w:rtl w:val="0"/>
        </w:rPr>
      </w:r>
    </w:p>
    <w:p w:rsidR="00000000" w:rsidDel="00000000" w:rsidP="00000000" w:rsidRDefault="00000000" w:rsidRPr="00000000" w14:paraId="0000011C">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D">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E">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1F">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0">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1">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2">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3">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4">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5">
      <w:pPr>
        <w:spacing w:line="360" w:lineRule="auto"/>
        <w:jc w:val="both"/>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126">
      <w:pPr>
        <w:spacing w:line="360" w:lineRule="auto"/>
        <w:jc w:val="both"/>
        <w:rPr>
          <w:rFonts w:ascii="Palatino Linotype" w:cs="Palatino Linotype" w:eastAsia="Palatino Linotype" w:hAnsi="Palatino Linotype"/>
          <w:sz w:val="22"/>
          <w:szCs w:val="22"/>
        </w:rPr>
      </w:pPr>
      <w:r w:rsidDel="00000000" w:rsidR="00000000" w:rsidRPr="00000000">
        <w:rPr>
          <w:rtl w:val="0"/>
        </w:rPr>
      </w:r>
    </w:p>
    <w:sectPr>
      <w:headerReference r:id="rId22" w:type="default"/>
      <w:headerReference r:id="rId23" w:type="first"/>
      <w:footerReference r:id="rId24" w:type="default"/>
      <w:footerReference r:id="rId25" w:type="first"/>
      <w:pgSz w:h="15840" w:w="12240" w:orient="portrait"/>
      <w:pgMar w:bottom="1701" w:top="1985"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center" w:leader="none" w:pos="4252"/>
        <w:tab w:val="right" w:leader="none" w:pos="8504"/>
      </w:tabs>
      <w:jc w:val="right"/>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b w:val="1"/>
        <w:bCs w:val="1"/>
        <w:color w:val="000000"/>
        <w:sz w:val="20"/>
        <w:szCs w:val="20"/>
        <w:rtl w:val="0"/>
      </w:rPr>
      <w:t xml:space="preserve">Página </w:t>
    </w:r>
    <w:r w:rsidDel="00000000" w:rsidR="00000000" w:rsidRPr="00000000">
      <w:rPr>
        <w:rFonts w:ascii="Palatino Linotype" w:cs="Palatino Linotype" w:eastAsia="Palatino Linotype" w:hAnsi="Palatino Linotype"/>
        <w:b w:val="1"/>
        <w:bCs w:val="1"/>
        <w:color w:val="000000"/>
        <w:sz w:val="20"/>
        <w:szCs w:val="20"/>
      </w:rPr>
      <w:fldChar w:fldCharType="begin"/>
      <w:instrText xml:space="preserve">PAGE</w:instrText>
      <w:fldChar w:fldCharType="separate"/>
      <w:fldChar w:fldCharType="end"/>
    </w:r>
    <w:r w:rsidDel="00000000" w:rsidR="00000000" w:rsidRPr="00000000">
      <w:rPr>
        <w:rFonts w:ascii="Palatino Linotype" w:cs="Palatino Linotype" w:eastAsia="Palatino Linotype" w:hAnsi="Palatino Linotype"/>
        <w:color w:val="000000"/>
        <w:sz w:val="20"/>
        <w:szCs w:val="20"/>
        <w:rtl w:val="0"/>
      </w:rPr>
      <w:t xml:space="preserve"> de </w:t>
    </w:r>
    <w:r w:rsidDel="00000000" w:rsidR="00000000" w:rsidRPr="00000000">
      <w:rPr>
        <w:rFonts w:ascii="Palatino Linotype" w:cs="Palatino Linotype" w:eastAsia="Palatino Linotype" w:hAnsi="Palatino Linotype"/>
        <w:b w:val="1"/>
        <w:bCs w:val="1"/>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center" w:leader="none" w:pos="4252"/>
        <w:tab w:val="right" w:leader="none" w:pos="8504"/>
      </w:tabs>
      <w:ind w:firstLine="708"/>
      <w:rPr>
        <w:rFonts w:ascii="Cambria" w:cs="Cambria" w:eastAsia="Cambria" w:hAnsi="Cambria"/>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center" w:leader="none" w:pos="4252"/>
        <w:tab w:val="right" w:leader="none" w:pos="8504"/>
      </w:tabs>
      <w:jc w:val="right"/>
      <w:rPr>
        <w:rFonts w:ascii="Palatino Linotype" w:cs="Palatino Linotype" w:eastAsia="Palatino Linotype" w:hAnsi="Palatino Linotype"/>
        <w:color w:val="000000"/>
        <w:sz w:val="20"/>
        <w:szCs w:val="20"/>
      </w:rPr>
    </w:pPr>
    <w:r w:rsidDel="00000000" w:rsidR="00000000" w:rsidRPr="00000000">
      <w:rPr>
        <w:rFonts w:ascii="Palatino Linotype" w:cs="Palatino Linotype" w:eastAsia="Palatino Linotype" w:hAnsi="Palatino Linotype"/>
        <w:b w:val="1"/>
        <w:bCs w:val="1"/>
        <w:color w:val="000000"/>
        <w:sz w:val="20"/>
        <w:szCs w:val="20"/>
        <w:rtl w:val="0"/>
      </w:rPr>
      <w:t xml:space="preserve">Página </w:t>
    </w:r>
    <w:r w:rsidDel="00000000" w:rsidR="00000000" w:rsidRPr="00000000">
      <w:rPr>
        <w:rFonts w:ascii="Palatino Linotype" w:cs="Palatino Linotype" w:eastAsia="Palatino Linotype" w:hAnsi="Palatino Linotype"/>
        <w:b w:val="1"/>
        <w:bCs w:val="1"/>
        <w:color w:val="000000"/>
        <w:sz w:val="20"/>
        <w:szCs w:val="20"/>
      </w:rPr>
      <w:fldChar w:fldCharType="begin"/>
      <w:instrText xml:space="preserve">PAGE</w:instrText>
      <w:fldChar w:fldCharType="separate"/>
      <w:fldChar w:fldCharType="end"/>
    </w:r>
    <w:r w:rsidDel="00000000" w:rsidR="00000000" w:rsidRPr="00000000">
      <w:rPr>
        <w:rFonts w:ascii="Palatino Linotype" w:cs="Palatino Linotype" w:eastAsia="Palatino Linotype" w:hAnsi="Palatino Linotype"/>
        <w:color w:val="000000"/>
        <w:sz w:val="20"/>
        <w:szCs w:val="20"/>
        <w:rtl w:val="0"/>
      </w:rPr>
      <w:t xml:space="preserve"> de </w:t>
    </w:r>
    <w:r w:rsidDel="00000000" w:rsidR="00000000" w:rsidRPr="00000000">
      <w:rPr>
        <w:rFonts w:ascii="Palatino Linotype" w:cs="Palatino Linotype" w:eastAsia="Palatino Linotype" w:hAnsi="Palatino Linotype"/>
        <w:b w:val="1"/>
        <w:bCs w:val="1"/>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center" w:leader="none" w:pos="4252"/>
        <w:tab w:val="right" w:leader="none" w:pos="8504"/>
      </w:tabs>
      <w:rPr>
        <w:rFonts w:ascii="Cambria" w:cs="Cambria" w:eastAsia="Cambria" w:hAnsi="Cambria"/>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Palatino Linotype" w:cs="Palatino Linotype" w:eastAsia="Palatino Linotype" w:hAnsi="Palatino Linotype"/>
          <w:b w:val="0"/>
          <w:bCs w:val="0"/>
          <w:i w:val="0"/>
          <w:iCs w:val="0"/>
          <w:smallCaps w:val="0"/>
          <w:strike w:val="0"/>
          <w:color w:val="000000"/>
          <w:sz w:val="18"/>
          <w:szCs w:val="18"/>
          <w:u w:val="none"/>
          <w:shd w:fill="auto" w:val="clear"/>
          <w:vertAlign w:val="baseline"/>
          <w:rtl w:val="0"/>
        </w:rPr>
        <w:t xml:space="preserve">Artículo 48.- La Oficialía Mayor, las entidades, los tribunales administrativos y los ayuntamientos podrán adquirir bienes, arrendar bienes muebles e inmuebles y contratar servicios, mediante adjudicación directa, cuando:</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b w:val="0"/>
          <w:bCs w:val="0"/>
          <w:i w:val="0"/>
          <w:iCs w:val="0"/>
          <w:smallCaps w:val="0"/>
          <w:strike w:val="0"/>
          <w:color w:val="000000"/>
          <w:sz w:val="18"/>
          <w:szCs w:val="18"/>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b w:val="0"/>
          <w:bCs w:val="0"/>
          <w:i w:val="0"/>
          <w:iCs w:val="0"/>
          <w:smallCaps w:val="0"/>
          <w:strike w:val="0"/>
          <w:color w:val="000000"/>
          <w:sz w:val="18"/>
          <w:szCs w:val="18"/>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18"/>
          <w:szCs w:val="18"/>
          <w:u w:val="none"/>
          <w:shd w:fill="auto" w:val="clear"/>
          <w:vertAlign w:val="baseline"/>
          <w:rtl w:val="0"/>
        </w:rPr>
        <w:t xml:space="preserve">XI. El importe de la operación no rebase los montos establecidos en el Presupuesto de Egresos del Gobierno del Estado del ejercicio correspondiente. Tratándose de arrendamientos de inmuebles se entenderá por importe de la operación el monto mensual de la renta.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rPr>
        <w:rFonts w:ascii="Cambria" w:cs="Cambria" w:eastAsia="Cambria" w:hAnsi="Cambria"/>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-1080115</wp:posOffset>
          </wp:positionH>
          <wp:positionV relativeFrom="paragraph">
            <wp:posOffset>-488292</wp:posOffset>
          </wp:positionV>
          <wp:extent cx="7809865" cy="10165715"/>
          <wp:effectExtent b="0" l="0" r="0" t="0"/>
          <wp:wrapNone/>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09865" cy="10165715"/>
                  </a:xfrm>
                  <a:prstGeom prst="rect"/>
                  <a:ln/>
                </pic:spPr>
              </pic:pic>
            </a:graphicData>
          </a:graphic>
        </wp:anchor>
      </w:drawing>
    </w:r>
  </w:p>
  <w:tbl>
    <w:tblPr>
      <w:tblStyle w:val="Table1"/>
      <w:tblW w:w="5953.0" w:type="dxa"/>
      <w:jc w:val="left"/>
      <w:tblInd w:w="3261.0" w:type="dxa"/>
      <w:tblLayout w:type="fixed"/>
      <w:tblLook w:val="0400"/>
    </w:tblPr>
    <w:tblGrid>
      <w:gridCol w:w="2489"/>
      <w:gridCol w:w="3464"/>
      <w:tblGridChange w:id="0">
        <w:tblGrid>
          <w:gridCol w:w="2489"/>
          <w:gridCol w:w="3464"/>
        </w:tblGrid>
      </w:tblGridChange>
    </w:tblGrid>
    <w:tr>
      <w:trPr>
        <w:cantSplit w:val="0"/>
        <w:tblHeader w:val="0"/>
      </w:trPr>
      <w:tc>
        <w:tcPr/>
        <w:p w:rsidR="00000000" w:rsidDel="00000000" w:rsidP="00000000" w:rsidRDefault="00000000" w:rsidRPr="00000000" w14:paraId="0000012B">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Recurso de Revisión:</w:t>
          </w:r>
        </w:p>
      </w:tc>
      <w:tc>
        <w:tcPr>
          <w:vAlign w:val="center"/>
        </w:tcPr>
        <w:p w:rsidR="00000000" w:rsidDel="00000000" w:rsidP="00000000" w:rsidRDefault="00000000" w:rsidRPr="00000000" w14:paraId="0000012C">
          <w:pPr>
            <w:ind w:right="175"/>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14674/INFOEM/IP/RR/2025</w:t>
          </w:r>
        </w:p>
      </w:tc>
    </w:tr>
    <w:tr>
      <w:trPr>
        <w:cantSplit w:val="0"/>
        <w:trHeight w:val="228" w:hRule="atLeast"/>
        <w:tblHeader w:val="0"/>
      </w:trPr>
      <w:tc>
        <w:tcPr>
          <w:vAlign w:val="center"/>
        </w:tcPr>
        <w:p w:rsidR="00000000" w:rsidDel="00000000" w:rsidP="00000000" w:rsidRDefault="00000000" w:rsidRPr="00000000" w14:paraId="0000012D">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Sujeto Obligado:</w:t>
          </w:r>
        </w:p>
      </w:tc>
      <w:tc>
        <w:tcPr>
          <w:vAlign w:val="center"/>
        </w:tcPr>
        <w:p w:rsidR="00000000" w:rsidDel="00000000" w:rsidP="00000000" w:rsidRDefault="00000000" w:rsidRPr="00000000" w14:paraId="0000012E">
          <w:pPr>
            <w:ind w:left="-45" w:right="176" w:firstLine="0"/>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Secretaría General de Gobierno</w:t>
          </w:r>
        </w:p>
      </w:tc>
    </w:tr>
    <w:tr>
      <w:trPr>
        <w:cantSplit w:val="0"/>
        <w:tblHeader w:val="0"/>
      </w:trPr>
      <w:tc>
        <w:tcPr>
          <w:vAlign w:val="center"/>
        </w:tcPr>
        <w:p w:rsidR="00000000" w:rsidDel="00000000" w:rsidP="00000000" w:rsidRDefault="00000000" w:rsidRPr="00000000" w14:paraId="0000012F">
          <w:pPr>
            <w:ind w:right="-108"/>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Comisionada ponente:</w:t>
          </w:r>
        </w:p>
      </w:tc>
      <w:tc>
        <w:tcPr>
          <w:vAlign w:val="center"/>
        </w:tcPr>
        <w:p w:rsidR="00000000" w:rsidDel="00000000" w:rsidP="00000000" w:rsidRDefault="00000000" w:rsidRPr="00000000" w14:paraId="00000130">
          <w:pPr>
            <w:ind w:right="175"/>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Guadalupe Ramírez Peña</w:t>
          </w:r>
        </w:p>
      </w:tc>
    </w:tr>
  </w:tbl>
  <w:p w:rsidR="00000000" w:rsidDel="00000000" w:rsidP="00000000" w:rsidRDefault="00000000" w:rsidRPr="00000000" w14:paraId="00000131">
    <w:pPr>
      <w:rPr>
        <w:rFonts w:ascii="Cambria" w:cs="Cambria" w:eastAsia="Cambria" w:hAnsi="Cambria"/>
        <w:color w:val="000000"/>
      </w:rPr>
    </w:pPr>
    <w:r w:rsidDel="00000000" w:rsidR="00000000" w:rsidRPr="00000000">
      <w:rPr>
        <w:rFonts w:ascii="Cambria" w:cs="Cambria" w:eastAsia="Cambria" w:hAnsi="Cambria"/>
        <w:color w:val="000000"/>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spacing w:line="276" w:lineRule="auto"/>
      <w:rPr>
        <w:rFonts w:ascii="Palatino Linotype" w:cs="Palatino Linotype" w:eastAsia="Palatino Linotype" w:hAnsi="Palatino Linotype"/>
        <w:color w:val="000000"/>
        <w:sz w:val="16"/>
        <w:szCs w:val="1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-1080121</wp:posOffset>
          </wp:positionH>
          <wp:positionV relativeFrom="paragraph">
            <wp:posOffset>-262864</wp:posOffset>
          </wp:positionV>
          <wp:extent cx="7809865" cy="10165715"/>
          <wp:effectExtent b="0" l="0" r="0" t="0"/>
          <wp:wrapNone/>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09865" cy="10165715"/>
                  </a:xfrm>
                  <a:prstGeom prst="rect"/>
                  <a:ln/>
                </pic:spPr>
              </pic:pic>
            </a:graphicData>
          </a:graphic>
        </wp:anchor>
      </w:drawing>
    </w:r>
  </w:p>
  <w:tbl>
    <w:tblPr>
      <w:tblStyle w:val="Table2"/>
      <w:tblW w:w="5670.0" w:type="dxa"/>
      <w:jc w:val="left"/>
      <w:tblInd w:w="3261.0" w:type="dxa"/>
      <w:tblLayout w:type="fixed"/>
      <w:tblLook w:val="0400"/>
    </w:tblPr>
    <w:tblGrid>
      <w:gridCol w:w="2551"/>
      <w:gridCol w:w="3119"/>
      <w:tblGridChange w:id="0">
        <w:tblGrid>
          <w:gridCol w:w="2551"/>
          <w:gridCol w:w="3119"/>
        </w:tblGrid>
      </w:tblGridChange>
    </w:tblGrid>
    <w:tr>
      <w:trPr>
        <w:cantSplit w:val="0"/>
        <w:tblHeader w:val="0"/>
      </w:trPr>
      <w:tc>
        <w:tcPr>
          <w:vAlign w:val="center"/>
        </w:tcPr>
        <w:p w:rsidR="00000000" w:rsidDel="00000000" w:rsidP="00000000" w:rsidRDefault="00000000" w:rsidRPr="00000000" w14:paraId="00000133">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Recurso de Revisión:</w:t>
          </w:r>
        </w:p>
      </w:tc>
      <w:tc>
        <w:tcPr>
          <w:vAlign w:val="center"/>
        </w:tcPr>
        <w:p w:rsidR="00000000" w:rsidDel="00000000" w:rsidP="00000000" w:rsidRDefault="00000000" w:rsidRPr="00000000" w14:paraId="00000134">
          <w:pPr>
            <w:tabs>
              <w:tab w:val="left" w:leader="none" w:pos="3153"/>
            </w:tabs>
            <w:ind w:left="-45" w:firstLine="0"/>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14674/INFOEM/IP/RR/2025</w:t>
          </w:r>
        </w:p>
      </w:tc>
    </w:tr>
    <w:tr>
      <w:trPr>
        <w:cantSplit w:val="0"/>
        <w:trHeight w:val="130" w:hRule="atLeast"/>
        <w:tblHeader w:val="0"/>
      </w:trPr>
      <w:tc>
        <w:tcPr>
          <w:vAlign w:val="center"/>
        </w:tcPr>
        <w:p w:rsidR="00000000" w:rsidDel="00000000" w:rsidP="00000000" w:rsidRDefault="00000000" w:rsidRPr="00000000" w14:paraId="00000135">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Recurrente:</w:t>
          </w:r>
        </w:p>
      </w:tc>
      <w:tc>
        <w:tcPr>
          <w:vAlign w:val="center"/>
        </w:tcPr>
        <w:p w:rsidR="00000000" w:rsidDel="00000000" w:rsidP="00000000" w:rsidRDefault="00000000" w:rsidRPr="00000000" w14:paraId="00000136">
          <w:pPr>
            <w:ind w:left="-45" w:firstLine="0"/>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XXXXX XXXXXX XXXXXXX </w:t>
          </w:r>
        </w:p>
      </w:tc>
    </w:tr>
    <w:tr>
      <w:trPr>
        <w:cantSplit w:val="0"/>
        <w:trHeight w:val="228" w:hRule="atLeast"/>
        <w:tblHeader w:val="0"/>
      </w:trPr>
      <w:tc>
        <w:tcPr>
          <w:vAlign w:val="center"/>
        </w:tcPr>
        <w:p w:rsidR="00000000" w:rsidDel="00000000" w:rsidP="00000000" w:rsidRDefault="00000000" w:rsidRPr="00000000" w14:paraId="00000137">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Sujeto obligado:</w:t>
          </w:r>
        </w:p>
      </w:tc>
      <w:tc>
        <w:tcPr>
          <w:vAlign w:val="center"/>
        </w:tcPr>
        <w:p w:rsidR="00000000" w:rsidDel="00000000" w:rsidP="00000000" w:rsidRDefault="00000000" w:rsidRPr="00000000" w14:paraId="00000138">
          <w:pPr>
            <w:ind w:left="-45" w:right="176" w:firstLine="0"/>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Secretaría General de Gobierno</w:t>
          </w:r>
        </w:p>
      </w:tc>
    </w:tr>
    <w:tr>
      <w:trPr>
        <w:cantSplit w:val="0"/>
        <w:tblHeader w:val="0"/>
      </w:trPr>
      <w:tc>
        <w:tcPr>
          <w:vAlign w:val="center"/>
        </w:tcPr>
        <w:p w:rsidR="00000000" w:rsidDel="00000000" w:rsidP="00000000" w:rsidRDefault="00000000" w:rsidRPr="00000000" w14:paraId="00000139">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Comisionada ponente:</w:t>
          </w:r>
        </w:p>
      </w:tc>
      <w:tc>
        <w:tcPr>
          <w:vAlign w:val="center"/>
        </w:tcPr>
        <w:p w:rsidR="00000000" w:rsidDel="00000000" w:rsidP="00000000" w:rsidRDefault="00000000" w:rsidRPr="00000000" w14:paraId="0000013A">
          <w:pPr>
            <w:ind w:left="-45" w:right="-533" w:firstLine="0"/>
            <w:jc w:val="both"/>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Guadalupe Ramírez Peña</w:t>
          </w:r>
        </w:p>
      </w:tc>
    </w:tr>
  </w:tbl>
  <w:p w:rsidR="00000000" w:rsidDel="00000000" w:rsidP="00000000" w:rsidRDefault="00000000" w:rsidRPr="00000000" w14:paraId="000001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bullet"/>
      <w:lvlText w:val="-"/>
      <w:lvlJc w:val="left"/>
      <w:pPr>
        <w:ind w:left="1571" w:hanging="360"/>
      </w:pPr>
      <w:rPr>
        <w:rFonts w:ascii="Palatino Linotype" w:cs="Palatino Linotype" w:eastAsia="Palatino Linotype" w:hAnsi="Palatino Linotype"/>
        <w:b w:val="1"/>
        <w:bCs w:val="1"/>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4">
    <w:lvl w:ilvl="0">
      <w:start w:val="0"/>
      <w:numFmt w:val="bullet"/>
      <w:lvlText w:val="•"/>
      <w:lvlJc w:val="left"/>
      <w:pPr>
        <w:ind w:left="1080" w:hanging="720"/>
      </w:pPr>
      <w:rPr>
        <w:rFonts w:ascii="Palatino Linotype" w:cs="Palatino Linotype" w:eastAsia="Palatino Linotype" w:hAnsi="Palatino Linotyp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36609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366091"/>
      <w:sz w:val="26"/>
      <w:szCs w:val="26"/>
    </w:rPr>
  </w:style>
  <w:style w:type="paragraph" w:styleId="Heading3">
    <w:name w:val="heading 3"/>
    <w:basedOn w:val="Normal"/>
    <w:next w:val="Normal"/>
    <w:pPr>
      <w:keepNext w:val="1"/>
      <w:spacing w:after="60" w:before="240" w:lineRule="auto"/>
      <w:ind w:left="2160" w:hanging="720"/>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mbria" w:cs="Cambria" w:eastAsia="Cambria" w:hAnsi="Cambria"/>
      <w:b w:val="1"/>
      <w:bCs w:val="1"/>
      <w:sz w:val="28"/>
      <w:szCs w:val="28"/>
    </w:rPr>
  </w:style>
  <w:style w:type="paragraph" w:styleId="Heading5">
    <w:name w:val="heading 5"/>
    <w:basedOn w:val="Normal"/>
    <w:next w:val="Normal"/>
    <w:pPr>
      <w:spacing w:after="60" w:before="240" w:lineRule="auto"/>
      <w:ind w:left="3600" w:hanging="720"/>
    </w:pPr>
    <w:rPr>
      <w:rFonts w:ascii="Cambria" w:cs="Cambria" w:eastAsia="Cambria" w:hAnsi="Cambria"/>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header" Target="header1.xml"/><Relationship Id="rId21" Type="http://schemas.openxmlformats.org/officeDocument/2006/relationships/image" Target="media/image5.png"/><Relationship Id="rId24" Type="http://schemas.openxmlformats.org/officeDocument/2006/relationships/footer" Target="foot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pomex.org.mx/ipomex/#/obligaciones/8" TargetMode="External"/><Relationship Id="rId25"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 Id="rId11" Type="http://schemas.openxmlformats.org/officeDocument/2006/relationships/hyperlink" Target="http://www.contraloriadf.gob.mx/contraloria/cursos/ADQUISICIONES/paginas/32.php#:~:text=Es%20un%20procedimiento%20administrativo%2C%20de,tres%20oferentes%20a%20presentar%20propuestas%2C" TargetMode="External"/><Relationship Id="rId10" Type="http://schemas.openxmlformats.org/officeDocument/2006/relationships/hyperlink" Target="https://www.gob.mx/sfp/acciones-y-programas/1-3-3-adjudicacion-directa" TargetMode="External"/><Relationship Id="rId13" Type="http://schemas.openxmlformats.org/officeDocument/2006/relationships/image" Target="media/image9.png"/><Relationship Id="rId12" Type="http://schemas.openxmlformats.org/officeDocument/2006/relationships/hyperlink" Target="https://ipomex.org.mx/ipomex/#/obligaciones/8" TargetMode="External"/><Relationship Id="rId15" Type="http://schemas.openxmlformats.org/officeDocument/2006/relationships/image" Target="media/image8.png"/><Relationship Id="rId14" Type="http://schemas.openxmlformats.org/officeDocument/2006/relationships/image" Target="media/image7.png"/><Relationship Id="rId17" Type="http://schemas.openxmlformats.org/officeDocument/2006/relationships/image" Target="media/image11.png"/><Relationship Id="rId16" Type="http://schemas.openxmlformats.org/officeDocument/2006/relationships/image" Target="media/image3.png"/><Relationship Id="rId19" Type="http://schemas.openxmlformats.org/officeDocument/2006/relationships/image" Target="media/image6.pn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fOstgcIf0uLHXIve8NzTlJ/9w==">CgMxLjAyDmguejkwNjk4aHgyZWZ6MgloLjNkeTZ2a20yCWguMzBqMHpsbDIJaC4yczhleW8xMghoLnR5amN3dDIJaC4zem55c2g3MgloLjJldDkycDAyCWguMTdkcDh2dTIIaC5sbnhiejkyCWguM3JkY3JqbjIJaC4xdDNoNXNmOAByITFVeTRQUURNWmdPRENkRzhEYWR2RDFmY3ZVX3ZSUG9qbQ==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