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A448D" w14:textId="1DD985F8"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E678F">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Pr="00FE678F">
        <w:rPr>
          <w:rFonts w:ascii="Palatino Linotype" w:eastAsia="Times New Roman" w:hAnsi="Palatino Linotype" w:cs="Palatino Linotype"/>
          <w:b/>
          <w:color w:val="000000"/>
          <w:sz w:val="24"/>
          <w:szCs w:val="24"/>
          <w:lang w:val="es-ES_tradnl" w:eastAsia="es-MX"/>
        </w:rPr>
        <w:t xml:space="preserve">catorce de enero de dos mil </w:t>
      </w:r>
      <w:r w:rsidR="00EE6C98" w:rsidRPr="00FE678F">
        <w:rPr>
          <w:rFonts w:ascii="Palatino Linotype" w:eastAsia="Times New Roman" w:hAnsi="Palatino Linotype" w:cs="Palatino Linotype"/>
          <w:b/>
          <w:color w:val="000000"/>
          <w:sz w:val="24"/>
          <w:szCs w:val="24"/>
          <w:lang w:val="es-ES_tradnl" w:eastAsia="es-MX"/>
        </w:rPr>
        <w:t>veintiséis</w:t>
      </w:r>
      <w:r w:rsidRPr="00FE678F">
        <w:rPr>
          <w:rFonts w:ascii="Palatino Linotype" w:eastAsia="Times New Roman" w:hAnsi="Palatino Linotype" w:cs="Palatino Linotype"/>
          <w:b/>
          <w:color w:val="000000"/>
          <w:sz w:val="24"/>
          <w:szCs w:val="24"/>
          <w:lang w:val="es-ES_tradnl" w:eastAsia="es-MX"/>
        </w:rPr>
        <w:t>.</w:t>
      </w:r>
    </w:p>
    <w:p w14:paraId="6304B32E"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65AE35F"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E678F">
        <w:rPr>
          <w:rFonts w:ascii="Palatino Linotype" w:eastAsia="Times New Roman" w:hAnsi="Palatino Linotype" w:cs="Palatino Linotype"/>
          <w:b/>
          <w:color w:val="000000"/>
          <w:sz w:val="24"/>
          <w:szCs w:val="24"/>
          <w:lang w:val="es-ES_tradnl" w:eastAsia="es-MX"/>
        </w:rPr>
        <w:t>VISTO</w:t>
      </w:r>
      <w:r w:rsidRPr="00FE678F">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Pr="00FE678F">
        <w:rPr>
          <w:rFonts w:ascii="Palatino Linotype" w:eastAsia="Times New Roman" w:hAnsi="Palatino Linotype" w:cs="Palatino Linotype"/>
          <w:b/>
          <w:color w:val="000000"/>
          <w:sz w:val="24"/>
          <w:szCs w:val="24"/>
          <w:lang w:val="es-ES_tradnl" w:eastAsia="es-MX"/>
        </w:rPr>
        <w:t>13055/INFOEM/IP/RR/2025</w:t>
      </w:r>
      <w:r w:rsidRPr="00FE678F">
        <w:rPr>
          <w:rFonts w:ascii="Palatino Linotype" w:eastAsia="Times New Roman" w:hAnsi="Palatino Linotype" w:cs="Palatino Linotype"/>
          <w:color w:val="000000"/>
          <w:sz w:val="24"/>
          <w:szCs w:val="24"/>
          <w:lang w:val="es-ES_tradnl" w:eastAsia="es-MX"/>
        </w:rPr>
        <w:t xml:space="preserve">, interpuesto por </w:t>
      </w:r>
      <w:r w:rsidRPr="00FE678F">
        <w:rPr>
          <w:rFonts w:ascii="Palatino Linotype" w:eastAsia="Times New Roman" w:hAnsi="Palatino Linotype" w:cs="Palatino Linotype"/>
          <w:b/>
          <w:color w:val="000000"/>
          <w:sz w:val="24"/>
          <w:szCs w:val="24"/>
          <w:lang w:val="es-ES_tradnl" w:eastAsia="es-MX"/>
        </w:rPr>
        <w:t>no proporciono nombre o seudónimo para ser identificado</w:t>
      </w:r>
      <w:r w:rsidRPr="00FE678F">
        <w:rPr>
          <w:rFonts w:ascii="Palatino Linotype" w:eastAsia="Times New Roman" w:hAnsi="Palatino Linotype" w:cs="Arial"/>
          <w:sz w:val="24"/>
          <w:szCs w:val="24"/>
          <w:lang w:val="es-ES_tradnl" w:eastAsia="es-MX"/>
        </w:rPr>
        <w:t xml:space="preserve">, </w:t>
      </w:r>
      <w:r w:rsidRPr="00FE678F">
        <w:rPr>
          <w:rFonts w:ascii="Palatino Linotype" w:eastAsia="Times New Roman" w:hAnsi="Palatino Linotype" w:cs="Palatino Linotype"/>
          <w:color w:val="000000"/>
          <w:sz w:val="24"/>
          <w:szCs w:val="24"/>
          <w:lang w:val="es-ES_tradnl" w:eastAsia="es-MX"/>
        </w:rPr>
        <w:t xml:space="preserve">en lo sucesivo el </w:t>
      </w:r>
      <w:r w:rsidRPr="00FE678F">
        <w:rPr>
          <w:rFonts w:ascii="Palatino Linotype" w:eastAsia="Times New Roman" w:hAnsi="Palatino Linotype" w:cs="Palatino Linotype"/>
          <w:b/>
          <w:color w:val="000000"/>
          <w:sz w:val="24"/>
          <w:szCs w:val="24"/>
          <w:lang w:val="es-ES_tradnl" w:eastAsia="es-MX"/>
        </w:rPr>
        <w:t>Recurrente</w:t>
      </w:r>
      <w:r w:rsidRPr="00FE678F">
        <w:rPr>
          <w:rFonts w:ascii="Palatino Linotype" w:eastAsia="Times New Roman" w:hAnsi="Palatino Linotype" w:cs="Palatino Linotype"/>
          <w:color w:val="000000"/>
          <w:sz w:val="24"/>
          <w:szCs w:val="24"/>
          <w:lang w:val="es-ES_tradnl" w:eastAsia="es-MX"/>
        </w:rPr>
        <w:t>, en contra de la respuesta del</w:t>
      </w:r>
      <w:r w:rsidRPr="00FE678F">
        <w:rPr>
          <w:rFonts w:ascii="Palatino Linotype" w:hAnsi="Palatino Linotype"/>
          <w:b/>
          <w:bCs/>
          <w:color w:val="000000"/>
          <w:sz w:val="24"/>
          <w:szCs w:val="24"/>
        </w:rPr>
        <w:t xml:space="preserve"> Ayuntamiento de Naucalpan de Juárez</w:t>
      </w:r>
      <w:r w:rsidRPr="00FE678F">
        <w:rPr>
          <w:rFonts w:ascii="Palatino Linotype" w:eastAsia="Times New Roman" w:hAnsi="Palatino Linotype" w:cs="Palatino Linotype"/>
          <w:color w:val="000000"/>
          <w:sz w:val="24"/>
          <w:szCs w:val="24"/>
          <w:lang w:val="es-ES_tradnl" w:eastAsia="es-MX"/>
        </w:rPr>
        <w:t>, en lo subsecuente</w:t>
      </w:r>
      <w:r w:rsidRPr="00FE678F">
        <w:rPr>
          <w:rFonts w:ascii="Palatino Linotype" w:eastAsia="Times New Roman" w:hAnsi="Palatino Linotype" w:cs="Palatino Linotype"/>
          <w:b/>
          <w:color w:val="000000"/>
          <w:sz w:val="24"/>
          <w:szCs w:val="24"/>
          <w:lang w:val="es-ES_tradnl" w:eastAsia="es-MX"/>
        </w:rPr>
        <w:t xml:space="preserve"> </w:t>
      </w:r>
      <w:r w:rsidRPr="00FE678F">
        <w:rPr>
          <w:rFonts w:ascii="Palatino Linotype" w:eastAsia="Times New Roman" w:hAnsi="Palatino Linotype" w:cs="Palatino Linotype"/>
          <w:color w:val="000000"/>
          <w:sz w:val="24"/>
          <w:szCs w:val="24"/>
          <w:lang w:val="es-ES_tradnl" w:eastAsia="es-MX"/>
        </w:rPr>
        <w:t>el</w:t>
      </w:r>
      <w:r w:rsidRPr="00FE678F">
        <w:rPr>
          <w:rFonts w:ascii="Palatino Linotype" w:eastAsia="Times New Roman" w:hAnsi="Palatino Linotype" w:cs="Palatino Linotype"/>
          <w:b/>
          <w:color w:val="000000"/>
          <w:sz w:val="24"/>
          <w:szCs w:val="24"/>
          <w:lang w:val="es-ES_tradnl" w:eastAsia="es-MX"/>
        </w:rPr>
        <w:t xml:space="preserve"> Sujeto Obligado, </w:t>
      </w:r>
      <w:r w:rsidRPr="00FE678F">
        <w:rPr>
          <w:rFonts w:ascii="Palatino Linotype" w:eastAsia="Times New Roman" w:hAnsi="Palatino Linotype" w:cs="Palatino Linotype"/>
          <w:color w:val="000000"/>
          <w:sz w:val="24"/>
          <w:szCs w:val="24"/>
          <w:lang w:val="es-ES_tradnl" w:eastAsia="es-MX"/>
        </w:rPr>
        <w:t>se procede a dictar la presente resolución.</w:t>
      </w:r>
    </w:p>
    <w:p w14:paraId="27D1906D"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D9E6211"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024F00E" w14:textId="77777777" w:rsidR="00A85323" w:rsidRPr="00FE678F" w:rsidRDefault="00A85323" w:rsidP="00A85323">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FE678F">
        <w:rPr>
          <w:rFonts w:ascii="Palatino Linotype" w:eastAsia="Times New Roman" w:hAnsi="Palatino Linotype" w:cs="Times New Roman"/>
          <w:b/>
          <w:color w:val="000000" w:themeColor="text1"/>
          <w:sz w:val="32"/>
          <w:szCs w:val="32"/>
          <w:lang w:val="es-ES_tradnl" w:eastAsia="es-ES"/>
        </w:rPr>
        <w:t>ANTECEDENTES</w:t>
      </w:r>
    </w:p>
    <w:p w14:paraId="141A26AD" w14:textId="77777777" w:rsidR="00A85323" w:rsidRPr="00FE678F" w:rsidRDefault="00A85323" w:rsidP="00A85323">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4A4A694E"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3B6A07E" w14:textId="77777777" w:rsidR="00A85323" w:rsidRPr="00FE678F" w:rsidRDefault="00A85323" w:rsidP="00A853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E678F">
        <w:rPr>
          <w:rFonts w:ascii="Palatino Linotype" w:eastAsia="Times New Roman" w:hAnsi="Palatino Linotype" w:cs="Times New Roman"/>
          <w:b/>
          <w:color w:val="000000" w:themeColor="text1"/>
          <w:sz w:val="28"/>
          <w:szCs w:val="28"/>
          <w:lang w:val="es-ES_tradnl" w:eastAsia="es-MX"/>
        </w:rPr>
        <w:t>PRIMERO. De la Solicitud de Información.</w:t>
      </w:r>
    </w:p>
    <w:p w14:paraId="3037BC5E"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E678F">
        <w:rPr>
          <w:rFonts w:ascii="Palatino Linotype" w:eastAsia="Times New Roman" w:hAnsi="Palatino Linotype" w:cs="Palatino Linotype"/>
          <w:color w:val="000000"/>
          <w:sz w:val="24"/>
          <w:szCs w:val="24"/>
          <w:lang w:val="es-ES_tradnl" w:eastAsia="es-MX"/>
        </w:rPr>
        <w:t xml:space="preserve">Con fecha veintitrés de octubre de dos mil veinticinco, el Recurrente presentó mediante el Sistema de Acceso a la Información Mexiquense (SAIMEX), solicitud de información registrada con el número de </w:t>
      </w:r>
      <w:r w:rsidRPr="00FE678F">
        <w:rPr>
          <w:rFonts w:ascii="Palatino Linotype" w:eastAsia="Times New Roman" w:hAnsi="Palatino Linotype" w:cs="Palatino Linotype"/>
          <w:sz w:val="24"/>
          <w:szCs w:val="24"/>
          <w:lang w:val="es-ES_tradnl" w:eastAsia="es-MX"/>
        </w:rPr>
        <w:t>expediente</w:t>
      </w:r>
      <w:r w:rsidRPr="00FE678F">
        <w:rPr>
          <w:rFonts w:ascii="Verdana" w:eastAsia="Times New Roman" w:hAnsi="Verdana" w:cs="Calibri"/>
          <w:b/>
          <w:bCs/>
          <w:color w:val="FF0000"/>
          <w:sz w:val="24"/>
          <w:lang w:val="es-ES_tradnl" w:eastAsia="es-MX"/>
        </w:rPr>
        <w:t> </w:t>
      </w:r>
      <w:r w:rsidRPr="00FE678F">
        <w:rPr>
          <w:rFonts w:ascii="Palatino Linotype" w:hAnsi="Palatino Linotype"/>
          <w:b/>
          <w:bCs/>
          <w:sz w:val="24"/>
          <w:szCs w:val="24"/>
        </w:rPr>
        <w:t>00745/NAUCALPA/IP/2025</w:t>
      </w:r>
      <w:r w:rsidRPr="00FE678F">
        <w:rPr>
          <w:rFonts w:ascii="Palatino Linotype" w:eastAsia="Times New Roman" w:hAnsi="Palatino Linotype" w:cs="Palatino Linotype"/>
          <w:sz w:val="24"/>
          <w:szCs w:val="24"/>
          <w:lang w:val="es-ES_tradnl" w:eastAsia="es-MX"/>
        </w:rPr>
        <w:t>,</w:t>
      </w:r>
      <w:r w:rsidRPr="00FE678F">
        <w:rPr>
          <w:rFonts w:ascii="Palatino Linotype" w:eastAsia="Times New Roman" w:hAnsi="Palatino Linotype" w:cs="Palatino Linotype"/>
          <w:b/>
          <w:sz w:val="24"/>
          <w:szCs w:val="24"/>
          <w:lang w:val="es-ES_tradnl" w:eastAsia="es-MX"/>
        </w:rPr>
        <w:t xml:space="preserve"> </w:t>
      </w:r>
      <w:r w:rsidRPr="00FE678F">
        <w:rPr>
          <w:rFonts w:ascii="Palatino Linotype" w:eastAsia="Times New Roman" w:hAnsi="Palatino Linotype" w:cs="Palatino Linotype"/>
          <w:color w:val="000000"/>
          <w:sz w:val="24"/>
          <w:szCs w:val="24"/>
          <w:lang w:val="es-ES_tradnl" w:eastAsia="es-MX"/>
        </w:rPr>
        <w:t>mediante la cual solicitó información en el tenor siguiente:</w:t>
      </w:r>
    </w:p>
    <w:p w14:paraId="65423DA2" w14:textId="77777777" w:rsidR="00A85323" w:rsidRPr="00FE678F" w:rsidRDefault="00A85323" w:rsidP="00A85323">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FE678F">
        <w:rPr>
          <w:rFonts w:ascii="Palatino Linotype" w:hAnsi="Palatino Linotype"/>
          <w:i/>
          <w:color w:val="000000"/>
          <w:sz w:val="24"/>
          <w:szCs w:val="24"/>
        </w:rPr>
        <w:t xml:space="preserve">“Se solicita acceso vía Web u otra en Naucalpan de Juárez, Estado de México: ¿Cuál es la página para localizar con coordenadas UTM el paraje “Corral de Vilchis”? ¿Dónde queda el paraje “Corral de Vilchis”? ¿En San Francisco </w:t>
      </w:r>
      <w:proofErr w:type="spellStart"/>
      <w:r w:rsidRPr="00FE678F">
        <w:rPr>
          <w:rFonts w:ascii="Palatino Linotype" w:hAnsi="Palatino Linotype"/>
          <w:i/>
          <w:color w:val="000000"/>
          <w:sz w:val="24"/>
          <w:szCs w:val="24"/>
        </w:rPr>
        <w:t>Chimalpa</w:t>
      </w:r>
      <w:proofErr w:type="spellEnd"/>
      <w:r w:rsidRPr="00FE678F">
        <w:rPr>
          <w:rFonts w:ascii="Palatino Linotype" w:hAnsi="Palatino Linotype"/>
          <w:i/>
          <w:color w:val="000000"/>
          <w:sz w:val="24"/>
          <w:szCs w:val="24"/>
        </w:rPr>
        <w:t xml:space="preserve">, existe el paraje “Corral de Vilchis”? ¿En el registro público de la propiedad existe un paraje </w:t>
      </w:r>
      <w:r w:rsidRPr="00FE678F">
        <w:rPr>
          <w:rFonts w:ascii="Palatino Linotype" w:hAnsi="Palatino Linotype"/>
          <w:i/>
          <w:color w:val="000000"/>
          <w:sz w:val="24"/>
          <w:szCs w:val="24"/>
        </w:rPr>
        <w:lastRenderedPageBreak/>
        <w:t>llamado “Corral de Vilchis”? ¿En el IFREM, está registrado o existe un paraje llamado “Corral de Vilchis”? En caso de que exista dicho paraje: ¿Cuáles son los parajes con los que colinda? ¿Coordenadas UTM de los parajes vecinos del Corral del Vilchis? ¿Cuál es el procedimiento para poner nombres?</w:t>
      </w:r>
      <w:proofErr w:type="gramStart"/>
      <w:r w:rsidRPr="00FE678F">
        <w:rPr>
          <w:rFonts w:ascii="Palatino Linotype" w:hAnsi="Palatino Linotype"/>
          <w:i/>
          <w:color w:val="000000"/>
          <w:sz w:val="24"/>
          <w:szCs w:val="24"/>
        </w:rPr>
        <w:t>.”</w:t>
      </w:r>
      <w:proofErr w:type="gramEnd"/>
      <w:r w:rsidRPr="00FE678F">
        <w:rPr>
          <w:rFonts w:ascii="Verdana" w:hAnsi="Verdana"/>
          <w:color w:val="000000"/>
          <w:sz w:val="14"/>
          <w:szCs w:val="14"/>
        </w:rPr>
        <w:t xml:space="preserve"> </w:t>
      </w:r>
      <w:r w:rsidRPr="00FE678F">
        <w:rPr>
          <w:rFonts w:ascii="Palatino Linotype" w:eastAsia="Times New Roman" w:hAnsi="Palatino Linotype" w:cs="Palatino Linotype"/>
          <w:i/>
          <w:color w:val="000000"/>
          <w:szCs w:val="24"/>
          <w:lang w:val="es-ES_tradnl" w:eastAsia="es-MX"/>
        </w:rPr>
        <w:t xml:space="preserve"> (Sic)</w:t>
      </w:r>
    </w:p>
    <w:p w14:paraId="394367BD" w14:textId="77777777" w:rsidR="00A85323" w:rsidRPr="00FE678F" w:rsidRDefault="00A85323" w:rsidP="00A85323">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69EF891C"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E678F">
        <w:rPr>
          <w:rFonts w:ascii="Palatino Linotype" w:eastAsia="Times New Roman" w:hAnsi="Palatino Linotype" w:cs="Palatino Linotype"/>
          <w:color w:val="000000"/>
          <w:sz w:val="24"/>
          <w:szCs w:val="24"/>
          <w:lang w:val="es-ES_tradnl" w:eastAsia="es-MX"/>
        </w:rPr>
        <w:t xml:space="preserve">Modalidad de entrega: </w:t>
      </w:r>
      <w:r w:rsidRPr="00FE678F">
        <w:rPr>
          <w:rFonts w:ascii="Palatino Linotype" w:eastAsia="Times New Roman" w:hAnsi="Palatino Linotype" w:cs="Palatino Linotype"/>
          <w:b/>
          <w:color w:val="000000"/>
          <w:sz w:val="24"/>
          <w:szCs w:val="24"/>
          <w:lang w:val="es-ES_tradnl" w:eastAsia="es-MX"/>
        </w:rPr>
        <w:t>A través del SAIMEX</w:t>
      </w:r>
      <w:r w:rsidRPr="00FE678F">
        <w:rPr>
          <w:rFonts w:ascii="Palatino Linotype" w:eastAsia="Times New Roman" w:hAnsi="Palatino Linotype" w:cs="Palatino Linotype"/>
          <w:color w:val="000000"/>
          <w:sz w:val="24"/>
          <w:szCs w:val="24"/>
          <w:lang w:val="es-ES_tradnl" w:eastAsia="es-MX"/>
        </w:rPr>
        <w:t>.</w:t>
      </w:r>
    </w:p>
    <w:p w14:paraId="256BF401"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97C955E" w14:textId="77777777" w:rsidR="00A85323" w:rsidRPr="00FE678F" w:rsidRDefault="00A85323" w:rsidP="00A853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E678F">
        <w:rPr>
          <w:rFonts w:ascii="Palatino Linotype" w:eastAsia="Times New Roman" w:hAnsi="Palatino Linotype" w:cs="Times New Roman"/>
          <w:b/>
          <w:color w:val="000000" w:themeColor="text1"/>
          <w:sz w:val="28"/>
          <w:szCs w:val="28"/>
          <w:lang w:val="es-ES_tradnl" w:eastAsia="es-MX"/>
        </w:rPr>
        <w:t>SEGUNDO. De la respuesta del Sujeto Obligado.</w:t>
      </w:r>
    </w:p>
    <w:p w14:paraId="7B7B0A2A"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E678F">
        <w:rPr>
          <w:rFonts w:ascii="Palatino Linotype" w:eastAsia="Times New Roman" w:hAnsi="Palatino Linotype" w:cs="Palatino Linotype"/>
          <w:color w:val="000000"/>
          <w:sz w:val="24"/>
          <w:szCs w:val="24"/>
          <w:lang w:val="es-ES_tradnl" w:eastAsia="es-MX"/>
        </w:rPr>
        <w:t>De las constancias que obran en el expediente electrónico, se observa que el doce de noviembre de dos mil veinticinco, el Sujeto Obligado dio respuesta a la solicitud de información manifestando lo siguiente:</w:t>
      </w:r>
    </w:p>
    <w:tbl>
      <w:tblPr>
        <w:tblW w:w="8257" w:type="dxa"/>
        <w:jc w:val="center"/>
        <w:tblCellSpacing w:w="0" w:type="dxa"/>
        <w:tblCellMar>
          <w:left w:w="0" w:type="dxa"/>
          <w:right w:w="0" w:type="dxa"/>
        </w:tblCellMar>
        <w:tblLook w:val="04A0" w:firstRow="1" w:lastRow="0" w:firstColumn="1" w:lastColumn="0" w:noHBand="0" w:noVBand="1"/>
      </w:tblPr>
      <w:tblGrid>
        <w:gridCol w:w="8257"/>
      </w:tblGrid>
      <w:tr w:rsidR="00A85323" w:rsidRPr="00FE678F" w14:paraId="0FBB088C" w14:textId="77777777" w:rsidTr="00A85323">
        <w:trPr>
          <w:trHeight w:val="262"/>
          <w:tblCellSpacing w:w="0" w:type="dxa"/>
          <w:jc w:val="center"/>
        </w:trPr>
        <w:tc>
          <w:tcPr>
            <w:tcW w:w="0" w:type="auto"/>
            <w:vAlign w:val="center"/>
            <w:hideMark/>
          </w:tcPr>
          <w:p w14:paraId="3A41F75A" w14:textId="77777777" w:rsidR="00A85323" w:rsidRPr="00FE678F" w:rsidRDefault="00A85323" w:rsidP="00A85323">
            <w:pPr>
              <w:spacing w:after="0" w:line="240" w:lineRule="auto"/>
              <w:jc w:val="right"/>
              <w:rPr>
                <w:rFonts w:ascii="Palatino Linotype" w:eastAsia="Times New Roman" w:hAnsi="Palatino Linotype" w:cs="Times New Roman"/>
                <w:i/>
                <w:lang w:eastAsia="es-MX"/>
              </w:rPr>
            </w:pPr>
            <w:r w:rsidRPr="00FE678F">
              <w:rPr>
                <w:rFonts w:ascii="Palatino Linotype" w:eastAsia="Times New Roman" w:hAnsi="Palatino Linotype" w:cs="Times New Roman"/>
                <w:i/>
                <w:lang w:eastAsia="es-MX"/>
              </w:rPr>
              <w:t>Naucalpan de Juárez, México a 12 de Noviembre de 2025</w:t>
            </w:r>
          </w:p>
        </w:tc>
      </w:tr>
      <w:tr w:rsidR="00A85323" w:rsidRPr="00FE678F" w14:paraId="5CDCD38F" w14:textId="77777777" w:rsidTr="00A85323">
        <w:trPr>
          <w:trHeight w:val="262"/>
          <w:tblCellSpacing w:w="0" w:type="dxa"/>
          <w:jc w:val="center"/>
        </w:trPr>
        <w:tc>
          <w:tcPr>
            <w:tcW w:w="0" w:type="auto"/>
            <w:vAlign w:val="center"/>
            <w:hideMark/>
          </w:tcPr>
          <w:p w14:paraId="154395F7" w14:textId="77777777" w:rsidR="00A85323" w:rsidRPr="00FE678F" w:rsidRDefault="00A85323" w:rsidP="00A85323">
            <w:pPr>
              <w:spacing w:after="0" w:line="240" w:lineRule="auto"/>
              <w:jc w:val="right"/>
              <w:rPr>
                <w:rFonts w:ascii="Palatino Linotype" w:eastAsia="Times New Roman" w:hAnsi="Palatino Linotype" w:cs="Times New Roman"/>
                <w:i/>
                <w:lang w:eastAsia="es-MX"/>
              </w:rPr>
            </w:pPr>
            <w:r w:rsidRPr="00FE678F">
              <w:rPr>
                <w:rFonts w:ascii="Palatino Linotype" w:eastAsia="Times New Roman" w:hAnsi="Palatino Linotype" w:cs="Times New Roman"/>
                <w:i/>
                <w:lang w:eastAsia="es-MX"/>
              </w:rPr>
              <w:t>Nombre del solicitante: C. Solicitante</w:t>
            </w:r>
          </w:p>
        </w:tc>
      </w:tr>
      <w:tr w:rsidR="00A85323" w:rsidRPr="00FE678F" w14:paraId="6E56CA43" w14:textId="77777777" w:rsidTr="00A85323">
        <w:trPr>
          <w:trHeight w:val="262"/>
          <w:tblCellSpacing w:w="0" w:type="dxa"/>
          <w:jc w:val="center"/>
        </w:trPr>
        <w:tc>
          <w:tcPr>
            <w:tcW w:w="0" w:type="auto"/>
            <w:vAlign w:val="center"/>
            <w:hideMark/>
          </w:tcPr>
          <w:p w14:paraId="1EAD02F2" w14:textId="77777777" w:rsidR="00A85323" w:rsidRPr="00FE678F" w:rsidRDefault="00A85323" w:rsidP="00A85323">
            <w:pPr>
              <w:spacing w:after="0" w:line="240" w:lineRule="auto"/>
              <w:jc w:val="right"/>
              <w:rPr>
                <w:rFonts w:ascii="Palatino Linotype" w:eastAsia="Times New Roman" w:hAnsi="Palatino Linotype" w:cs="Times New Roman"/>
                <w:i/>
                <w:lang w:eastAsia="es-MX"/>
              </w:rPr>
            </w:pPr>
            <w:r w:rsidRPr="00FE678F">
              <w:rPr>
                <w:rFonts w:ascii="Palatino Linotype" w:eastAsia="Times New Roman" w:hAnsi="Palatino Linotype" w:cs="Times New Roman"/>
                <w:i/>
                <w:lang w:eastAsia="es-MX"/>
              </w:rPr>
              <w:t>Folio de la solicitud: 00745/NAUCALPA/IP/2025</w:t>
            </w:r>
          </w:p>
        </w:tc>
      </w:tr>
      <w:tr w:rsidR="00A85323" w:rsidRPr="00FE678F" w14:paraId="49C9FC3D" w14:textId="77777777" w:rsidTr="00A85323">
        <w:trPr>
          <w:trHeight w:val="393"/>
          <w:tblCellSpacing w:w="0" w:type="dxa"/>
          <w:jc w:val="center"/>
        </w:trPr>
        <w:tc>
          <w:tcPr>
            <w:tcW w:w="0" w:type="auto"/>
            <w:vAlign w:val="center"/>
            <w:hideMark/>
          </w:tcPr>
          <w:p w14:paraId="129A7011" w14:textId="77777777" w:rsidR="00A85323" w:rsidRPr="00FE678F" w:rsidRDefault="00A85323" w:rsidP="00A85323">
            <w:pPr>
              <w:spacing w:after="0" w:line="240" w:lineRule="auto"/>
              <w:jc w:val="right"/>
              <w:rPr>
                <w:rFonts w:ascii="Palatino Linotype" w:eastAsia="Times New Roman" w:hAnsi="Palatino Linotype" w:cs="Times New Roman"/>
                <w:i/>
                <w:lang w:eastAsia="es-MX"/>
              </w:rPr>
            </w:pPr>
          </w:p>
        </w:tc>
      </w:tr>
      <w:tr w:rsidR="00A85323" w:rsidRPr="00FE678F" w14:paraId="4A1E7FA0" w14:textId="77777777" w:rsidTr="00A85323">
        <w:trPr>
          <w:trHeight w:val="131"/>
          <w:tblCellSpacing w:w="0" w:type="dxa"/>
          <w:jc w:val="center"/>
        </w:trPr>
        <w:tc>
          <w:tcPr>
            <w:tcW w:w="0" w:type="auto"/>
            <w:vAlign w:val="center"/>
            <w:hideMark/>
          </w:tcPr>
          <w:p w14:paraId="64DE959C" w14:textId="77777777" w:rsidR="00A85323" w:rsidRPr="00FE678F" w:rsidRDefault="00A85323" w:rsidP="00A85323">
            <w:pPr>
              <w:spacing w:after="0" w:line="240" w:lineRule="auto"/>
              <w:jc w:val="both"/>
              <w:rPr>
                <w:rFonts w:ascii="Palatino Linotype" w:eastAsia="Times New Roman" w:hAnsi="Palatino Linotype" w:cs="Times New Roman"/>
                <w:i/>
                <w:lang w:eastAsia="es-MX"/>
              </w:rPr>
            </w:pPr>
            <w:r w:rsidRPr="00FE678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0F1303EE" w14:textId="77777777" w:rsidR="00A85323" w:rsidRPr="00FE678F" w:rsidRDefault="00A85323" w:rsidP="00A85323">
      <w:pPr>
        <w:spacing w:after="0" w:line="360" w:lineRule="auto"/>
        <w:contextualSpacing/>
        <w:jc w:val="both"/>
        <w:rPr>
          <w:rFonts w:ascii="Palatino Linotype" w:hAnsi="Palatino Linotype" w:cs="Arial"/>
          <w:b/>
          <w:bCs/>
          <w:i/>
          <w:sz w:val="24"/>
          <w:szCs w:val="24"/>
        </w:rPr>
      </w:pPr>
      <w:r w:rsidRPr="00FE678F">
        <w:rPr>
          <w:rFonts w:ascii="Palatino Linotype" w:eastAsia="Times New Roman" w:hAnsi="Palatino Linotype" w:cs="Palatino Linotype"/>
          <w:i/>
          <w:color w:val="000000"/>
          <w:lang w:val="es-ES_tradnl" w:eastAsia="es-MX"/>
        </w:rPr>
        <w:br w:type="textWrapping" w:clear="all"/>
      </w:r>
      <w:r w:rsidRPr="00FE678F">
        <w:rPr>
          <w:rFonts w:ascii="Palatino Linotype" w:eastAsia="Times New Roman" w:hAnsi="Palatino Linotype" w:cs="Palatino Linotype"/>
          <w:color w:val="000000"/>
          <w:sz w:val="24"/>
          <w:szCs w:val="24"/>
          <w:lang w:val="es-ES_tradnl" w:eastAsia="es-MX"/>
        </w:rPr>
        <w:t>El Sujeto Obligado adjuntó a su respuesta el documento denominado</w:t>
      </w:r>
      <w:r w:rsidRPr="00FE678F">
        <w:rPr>
          <w:rFonts w:ascii="Palatino Linotype" w:eastAsia="Times New Roman" w:hAnsi="Palatino Linotype" w:cs="Palatino Linotype"/>
          <w:i/>
          <w:sz w:val="24"/>
          <w:szCs w:val="24"/>
          <w:lang w:val="es-ES_tradnl" w:eastAsia="es-MX"/>
        </w:rPr>
        <w:t xml:space="preserve"> “</w:t>
      </w:r>
      <w:r w:rsidRPr="00FE678F">
        <w:rPr>
          <w:rFonts w:ascii="Palatino Linotype" w:hAnsi="Palatino Linotype" w:cs="Arial"/>
          <w:b/>
          <w:bCs/>
          <w:i/>
          <w:sz w:val="24"/>
          <w:szCs w:val="24"/>
        </w:rPr>
        <w:t xml:space="preserve">ST-00745-10112025.pdf “ </w:t>
      </w:r>
      <w:r w:rsidR="008A0427" w:rsidRPr="00FE678F">
        <w:rPr>
          <w:rFonts w:ascii="Palatino Linotype" w:hAnsi="Palatino Linotype" w:cs="Arial"/>
          <w:b/>
          <w:bCs/>
          <w:i/>
          <w:sz w:val="24"/>
          <w:szCs w:val="24"/>
        </w:rPr>
        <w:t xml:space="preserve"> </w:t>
      </w:r>
      <w:r w:rsidR="008A0427" w:rsidRPr="00FE678F">
        <w:rPr>
          <w:rFonts w:ascii="Palatino Linotype" w:hAnsi="Palatino Linotype" w:cs="Arial"/>
          <w:bCs/>
          <w:sz w:val="24"/>
          <w:szCs w:val="24"/>
        </w:rPr>
        <w:t xml:space="preserve"> el consta de dos fojas en formato PDF por medio del cual la Directora de Desarrollo Urbano manifiesta que </w:t>
      </w:r>
      <w:r w:rsidR="008A0427" w:rsidRPr="00FE678F">
        <w:rPr>
          <w:rFonts w:ascii="Palatino Linotype" w:hAnsi="Palatino Linotype"/>
          <w:sz w:val="24"/>
          <w:szCs w:val="24"/>
        </w:rPr>
        <w:t xml:space="preserve">derivado de una búsqueda exhaustiva y razonada en los archivos de la Dirección de Desarrollo Urbano, </w:t>
      </w:r>
      <w:r w:rsidR="008A0427" w:rsidRPr="00FE678F">
        <w:rPr>
          <w:rFonts w:ascii="Palatino Linotype" w:hAnsi="Palatino Linotype"/>
          <w:b/>
          <w:sz w:val="24"/>
          <w:szCs w:val="24"/>
        </w:rPr>
        <w:t>no se localizó información alguna referente a su solicitud</w:t>
      </w:r>
      <w:r w:rsidRPr="00FE678F">
        <w:rPr>
          <w:rFonts w:ascii="Palatino Linotype" w:eastAsia="Times New Roman" w:hAnsi="Palatino Linotype" w:cs="Palatino Linotype"/>
          <w:b/>
          <w:color w:val="000000"/>
          <w:sz w:val="24"/>
          <w:szCs w:val="24"/>
          <w:lang w:val="es-ES_tradnl" w:eastAsia="es-MX"/>
        </w:rPr>
        <w:t>.</w:t>
      </w:r>
    </w:p>
    <w:p w14:paraId="678A7D07" w14:textId="77777777" w:rsidR="00A85323" w:rsidRPr="00FE678F" w:rsidRDefault="00A85323" w:rsidP="00A85323">
      <w:pPr>
        <w:spacing w:after="0" w:line="360" w:lineRule="auto"/>
        <w:contextualSpacing/>
        <w:jc w:val="both"/>
        <w:rPr>
          <w:rFonts w:ascii="Palatino Linotype" w:hAnsi="Palatino Linotype" w:cs="Arial"/>
          <w:b/>
          <w:bCs/>
          <w:i/>
          <w:sz w:val="24"/>
          <w:szCs w:val="24"/>
        </w:rPr>
      </w:pPr>
    </w:p>
    <w:p w14:paraId="46EB5EE4" w14:textId="77777777" w:rsidR="00A85323" w:rsidRPr="00FE678F" w:rsidRDefault="00A85323" w:rsidP="00A853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E678F">
        <w:rPr>
          <w:rFonts w:ascii="Palatino Linotype" w:eastAsia="Times New Roman" w:hAnsi="Palatino Linotype" w:cs="Times New Roman"/>
          <w:b/>
          <w:color w:val="000000" w:themeColor="text1"/>
          <w:sz w:val="28"/>
          <w:szCs w:val="28"/>
          <w:lang w:val="es-ES_tradnl" w:eastAsia="es-MX"/>
        </w:rPr>
        <w:lastRenderedPageBreak/>
        <w:t>TERCERO. Del recurso de revisión.</w:t>
      </w:r>
    </w:p>
    <w:p w14:paraId="4EA43981"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E678F">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trece de noviembre de dos mil veinticinco, el cual se registró con el expediente número </w:t>
      </w:r>
      <w:r w:rsidRPr="00FE678F">
        <w:rPr>
          <w:rFonts w:ascii="Palatino Linotype" w:eastAsia="Times New Roman" w:hAnsi="Palatino Linotype" w:cs="Palatino Linotype"/>
          <w:b/>
          <w:color w:val="000000"/>
          <w:sz w:val="24"/>
          <w:szCs w:val="24"/>
          <w:lang w:val="es-ES_tradnl" w:eastAsia="es-MX"/>
        </w:rPr>
        <w:t>13055/INFOEM/IP/RR/2025</w:t>
      </w:r>
      <w:r w:rsidRPr="00FE678F">
        <w:rPr>
          <w:rFonts w:ascii="Palatino Linotype" w:eastAsia="Times New Roman" w:hAnsi="Palatino Linotype" w:cs="Palatino Linotype"/>
          <w:color w:val="000000"/>
          <w:sz w:val="24"/>
          <w:szCs w:val="24"/>
          <w:lang w:val="es-ES_tradnl" w:eastAsia="es-MX"/>
        </w:rPr>
        <w:t>, manifestando lo siguiente:</w:t>
      </w:r>
    </w:p>
    <w:p w14:paraId="0D3EDA31"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F45327D" w14:textId="77777777" w:rsidR="00A85323" w:rsidRPr="00FE678F" w:rsidRDefault="00A85323" w:rsidP="00A85323">
      <w:pPr>
        <w:pStyle w:val="Prrafodelista"/>
        <w:numPr>
          <w:ilvl w:val="0"/>
          <w:numId w:val="2"/>
        </w:numPr>
        <w:spacing w:after="0" w:line="360" w:lineRule="auto"/>
        <w:ind w:right="567"/>
        <w:jc w:val="both"/>
        <w:rPr>
          <w:rFonts w:ascii="Palatino Linotype" w:hAnsi="Palatino Linotype"/>
          <w:i/>
          <w:color w:val="000000"/>
          <w:sz w:val="24"/>
          <w:szCs w:val="24"/>
        </w:rPr>
      </w:pPr>
      <w:r w:rsidRPr="00FE678F">
        <w:rPr>
          <w:rFonts w:ascii="Palatino Linotype" w:hAnsi="Palatino Linotype" w:cs="Palatino Linotype"/>
          <w:b/>
          <w:i/>
          <w:sz w:val="24"/>
          <w:szCs w:val="24"/>
          <w:lang w:val="es-ES_tradnl" w:eastAsia="es-MX"/>
        </w:rPr>
        <w:t xml:space="preserve">Acto Impugnado </w:t>
      </w:r>
    </w:p>
    <w:p w14:paraId="5CAEB116" w14:textId="77777777" w:rsidR="00A85323" w:rsidRPr="00FE678F" w:rsidRDefault="00A85323" w:rsidP="00A85323">
      <w:pPr>
        <w:pStyle w:val="Prrafodelista"/>
        <w:spacing w:after="0" w:line="360" w:lineRule="auto"/>
        <w:ind w:left="785" w:right="567"/>
        <w:jc w:val="both"/>
        <w:rPr>
          <w:rFonts w:ascii="Palatino Linotype" w:hAnsi="Palatino Linotype"/>
          <w:i/>
          <w:color w:val="000000"/>
          <w:sz w:val="24"/>
          <w:szCs w:val="24"/>
        </w:rPr>
      </w:pPr>
      <w:r w:rsidRPr="00FE678F">
        <w:rPr>
          <w:rFonts w:ascii="Palatino Linotype" w:hAnsi="Palatino Linotype"/>
          <w:i/>
          <w:color w:val="000000"/>
          <w:sz w:val="24"/>
          <w:szCs w:val="24"/>
        </w:rPr>
        <w:t xml:space="preserve">“A. </w:t>
      </w:r>
      <w:r w:rsidRPr="00FE678F">
        <w:rPr>
          <w:rFonts w:ascii="Palatino Linotype" w:hAnsi="Palatino Linotype"/>
          <w:b/>
          <w:i/>
          <w:color w:val="000000"/>
          <w:sz w:val="24"/>
          <w:szCs w:val="24"/>
          <w:u w:val="single"/>
        </w:rPr>
        <w:t>Hacen una inmatriculación administrativa</w:t>
      </w:r>
      <w:r w:rsidRPr="00FE678F">
        <w:rPr>
          <w:rFonts w:ascii="Palatino Linotype" w:hAnsi="Palatino Linotype"/>
          <w:i/>
          <w:color w:val="000000"/>
          <w:sz w:val="24"/>
          <w:szCs w:val="24"/>
        </w:rPr>
        <w:t xml:space="preserve"> en el paraje el “Corral de Vilchis”, debe aparecer en el mapa de Naucalpan. B. </w:t>
      </w:r>
      <w:r w:rsidRPr="00FE678F">
        <w:rPr>
          <w:rFonts w:ascii="Palatino Linotype" w:hAnsi="Palatino Linotype"/>
          <w:b/>
          <w:i/>
          <w:color w:val="000000"/>
          <w:sz w:val="24"/>
          <w:szCs w:val="24"/>
          <w:u w:val="single"/>
        </w:rPr>
        <w:t>Hicieron la inmatriculación administrativa sin ratificar</w:t>
      </w:r>
      <w:r w:rsidRPr="00FE678F">
        <w:rPr>
          <w:rFonts w:ascii="Palatino Linotype" w:hAnsi="Palatino Linotype"/>
          <w:i/>
          <w:color w:val="000000"/>
          <w:sz w:val="24"/>
          <w:szCs w:val="24"/>
        </w:rPr>
        <w:t xml:space="preserve"> C. </w:t>
      </w:r>
      <w:r w:rsidRPr="00FE678F">
        <w:rPr>
          <w:rFonts w:ascii="Palatino Linotype" w:hAnsi="Palatino Linotype"/>
          <w:b/>
          <w:i/>
          <w:color w:val="000000"/>
          <w:sz w:val="24"/>
          <w:szCs w:val="24"/>
          <w:u w:val="single"/>
        </w:rPr>
        <w:t>Hicieron el procedimiento de inmatriculación</w:t>
      </w:r>
      <w:r w:rsidRPr="00FE678F">
        <w:rPr>
          <w:rFonts w:ascii="Palatino Linotype" w:hAnsi="Palatino Linotype"/>
          <w:i/>
          <w:color w:val="000000"/>
          <w:sz w:val="24"/>
          <w:szCs w:val="24"/>
          <w:u w:val="single"/>
        </w:rPr>
        <w:t xml:space="preserve"> </w:t>
      </w:r>
      <w:r w:rsidRPr="00FE678F">
        <w:rPr>
          <w:rFonts w:ascii="Palatino Linotype" w:hAnsi="Palatino Linotype"/>
          <w:i/>
          <w:color w:val="000000"/>
          <w:sz w:val="24"/>
          <w:szCs w:val="24"/>
        </w:rPr>
        <w:t xml:space="preserve">administrativa sin avisar a nativos y con posible despojo D. </w:t>
      </w:r>
      <w:r w:rsidRPr="00FE678F">
        <w:rPr>
          <w:rFonts w:ascii="Palatino Linotype" w:hAnsi="Palatino Linotype"/>
          <w:b/>
          <w:i/>
          <w:color w:val="000000"/>
          <w:sz w:val="24"/>
          <w:szCs w:val="24"/>
          <w:u w:val="single"/>
        </w:rPr>
        <w:t>Personas no nativas hacen la inmatriculación administrativa</w:t>
      </w:r>
      <w:r w:rsidRPr="00FE678F">
        <w:rPr>
          <w:rFonts w:ascii="Palatino Linotype" w:hAnsi="Palatino Linotype"/>
          <w:i/>
          <w:color w:val="000000"/>
          <w:sz w:val="24"/>
          <w:szCs w:val="24"/>
        </w:rPr>
        <w:t xml:space="preserve"> E. Con lo establecido el articulo 2 y 27 de la constitución política de los estados unidos mexicanos. </w:t>
      </w:r>
      <w:r w:rsidRPr="00FE678F">
        <w:rPr>
          <w:rFonts w:ascii="Palatino Linotype" w:hAnsi="Palatino Linotype"/>
          <w:b/>
          <w:i/>
          <w:color w:val="000000"/>
          <w:sz w:val="24"/>
          <w:szCs w:val="24"/>
          <w:u w:val="single"/>
        </w:rPr>
        <w:t>No debieron haber hecho el procedimiento de la inmatriculación Administrativa a personas no nativas</w:t>
      </w:r>
      <w:r w:rsidRPr="00FE678F">
        <w:rPr>
          <w:rFonts w:ascii="Palatino Linotype" w:hAnsi="Palatino Linotype"/>
          <w:b/>
          <w:i/>
          <w:color w:val="000000"/>
          <w:sz w:val="24"/>
          <w:szCs w:val="24"/>
        </w:rPr>
        <w:t>.”</w:t>
      </w:r>
      <w:r w:rsidRPr="00FE678F">
        <w:rPr>
          <w:rFonts w:ascii="Palatino Linotype" w:hAnsi="Palatino Linotype"/>
          <w:i/>
          <w:color w:val="000000"/>
          <w:sz w:val="24"/>
          <w:szCs w:val="24"/>
        </w:rPr>
        <w:t xml:space="preserve"> (Sic)</w:t>
      </w:r>
    </w:p>
    <w:p w14:paraId="34CC845E" w14:textId="77777777" w:rsidR="00A85323" w:rsidRPr="00FE678F" w:rsidRDefault="00A85323" w:rsidP="00A85323">
      <w:pPr>
        <w:pStyle w:val="Prrafodelista"/>
        <w:spacing w:after="0" w:line="360" w:lineRule="auto"/>
        <w:ind w:left="785" w:right="567"/>
        <w:jc w:val="both"/>
        <w:rPr>
          <w:rFonts w:ascii="Palatino Linotype" w:hAnsi="Palatino Linotype"/>
          <w:i/>
          <w:color w:val="000000"/>
          <w:sz w:val="24"/>
          <w:szCs w:val="24"/>
        </w:rPr>
      </w:pPr>
    </w:p>
    <w:p w14:paraId="24FEC8CA" w14:textId="77777777" w:rsidR="00A85323" w:rsidRPr="00FE678F" w:rsidRDefault="00A85323" w:rsidP="00A85323">
      <w:pPr>
        <w:pStyle w:val="Prrafodelista"/>
        <w:numPr>
          <w:ilvl w:val="0"/>
          <w:numId w:val="2"/>
        </w:numPr>
        <w:spacing w:after="0" w:line="360" w:lineRule="auto"/>
        <w:ind w:right="567"/>
        <w:jc w:val="both"/>
        <w:rPr>
          <w:rFonts w:ascii="Palatino Linotype" w:hAnsi="Palatino Linotype"/>
          <w:i/>
          <w:color w:val="000000"/>
          <w:sz w:val="24"/>
          <w:szCs w:val="24"/>
        </w:rPr>
      </w:pPr>
      <w:r w:rsidRPr="00FE678F">
        <w:rPr>
          <w:rFonts w:ascii="Palatino Linotype" w:eastAsia="Times New Roman" w:hAnsi="Palatino Linotype" w:cs="Palatino Linotype"/>
          <w:b/>
          <w:i/>
          <w:sz w:val="24"/>
          <w:szCs w:val="24"/>
          <w:lang w:val="es-ES_tradnl" w:eastAsia="es-MX"/>
        </w:rPr>
        <w:t>Motivos de Inconformidad</w:t>
      </w:r>
    </w:p>
    <w:p w14:paraId="5D69C187" w14:textId="0973CF2A" w:rsidR="00A85323" w:rsidRPr="00FE678F" w:rsidRDefault="00A85323" w:rsidP="00A85323">
      <w:pPr>
        <w:pStyle w:val="Prrafodelista"/>
        <w:spacing w:after="0" w:line="360" w:lineRule="auto"/>
        <w:ind w:left="785" w:right="567"/>
        <w:jc w:val="both"/>
        <w:rPr>
          <w:rFonts w:ascii="Palatino Linotype" w:hAnsi="Palatino Linotype"/>
          <w:i/>
          <w:color w:val="000000"/>
          <w:sz w:val="24"/>
          <w:szCs w:val="24"/>
        </w:rPr>
      </w:pPr>
      <w:r w:rsidRPr="00FE678F">
        <w:rPr>
          <w:rFonts w:ascii="Palatino Linotype" w:hAnsi="Palatino Linotype" w:cs="Palatino Linotype"/>
          <w:b/>
          <w:i/>
          <w:sz w:val="24"/>
          <w:szCs w:val="24"/>
          <w:lang w:val="es-ES_tradnl" w:eastAsia="es-MX"/>
        </w:rPr>
        <w:t>“</w:t>
      </w:r>
      <w:r w:rsidRPr="00FE678F">
        <w:rPr>
          <w:rFonts w:ascii="Palatino Linotype" w:hAnsi="Palatino Linotype"/>
          <w:b/>
          <w:i/>
          <w:color w:val="000000"/>
          <w:sz w:val="24"/>
          <w:szCs w:val="24"/>
        </w:rPr>
        <w:t>Afecta varias propiedades la inmatriculación</w:t>
      </w:r>
      <w:r w:rsidRPr="00FE678F">
        <w:rPr>
          <w:rFonts w:ascii="Palatino Linotype" w:hAnsi="Palatino Linotype"/>
          <w:i/>
          <w:color w:val="000000"/>
          <w:sz w:val="24"/>
          <w:szCs w:val="24"/>
        </w:rPr>
        <w:t xml:space="preserve"> Hechos: Inmatriculación Administrativa: La tramita, </w:t>
      </w:r>
      <w:proofErr w:type="spellStart"/>
      <w:r w:rsidR="008F398E">
        <w:rPr>
          <w:rFonts w:ascii="Palatino Linotype" w:hAnsi="Palatino Linotype"/>
          <w:i/>
          <w:color w:val="000000"/>
          <w:sz w:val="24"/>
          <w:szCs w:val="24"/>
        </w:rPr>
        <w:t>xxxxxxxxxxxxxxxxxxxx</w:t>
      </w:r>
      <w:proofErr w:type="spellEnd"/>
      <w:r w:rsidRPr="00FE678F">
        <w:rPr>
          <w:rFonts w:ascii="Palatino Linotype" w:hAnsi="Palatino Linotype"/>
          <w:i/>
          <w:color w:val="000000"/>
          <w:sz w:val="24"/>
          <w:szCs w:val="24"/>
        </w:rPr>
        <w:t xml:space="preserve">, Nació en Cotija Michoacán el </w:t>
      </w:r>
      <w:proofErr w:type="spellStart"/>
      <w:r w:rsidR="008F398E">
        <w:rPr>
          <w:rFonts w:ascii="Palatino Linotype" w:hAnsi="Palatino Linotype"/>
          <w:i/>
          <w:color w:val="000000"/>
          <w:sz w:val="24"/>
          <w:szCs w:val="24"/>
        </w:rPr>
        <w:t>xxxxxxxx</w:t>
      </w:r>
      <w:proofErr w:type="spellEnd"/>
      <w:r w:rsidRPr="00FE678F">
        <w:rPr>
          <w:rFonts w:ascii="Palatino Linotype" w:hAnsi="Palatino Linotype"/>
          <w:i/>
          <w:color w:val="000000"/>
          <w:sz w:val="24"/>
          <w:szCs w:val="24"/>
        </w:rPr>
        <w:t xml:space="preserve"> en D.F, Xochimilco, </w:t>
      </w:r>
      <w:proofErr w:type="spellStart"/>
      <w:r w:rsidR="008F398E">
        <w:rPr>
          <w:rFonts w:ascii="Palatino Linotype" w:hAnsi="Palatino Linotype"/>
          <w:i/>
          <w:color w:val="000000"/>
          <w:sz w:val="24"/>
          <w:szCs w:val="24"/>
        </w:rPr>
        <w:t>xxxxxxxxxxxxxxxxxxxxxxxxx</w:t>
      </w:r>
      <w:proofErr w:type="spellEnd"/>
      <w:r w:rsidRPr="00FE678F">
        <w:rPr>
          <w:rFonts w:ascii="Palatino Linotype" w:hAnsi="Palatino Linotype"/>
          <w:i/>
          <w:color w:val="000000"/>
          <w:sz w:val="24"/>
          <w:szCs w:val="24"/>
        </w:rPr>
        <w:t xml:space="preserve"> en </w:t>
      </w:r>
      <w:proofErr w:type="spellStart"/>
      <w:r w:rsidRPr="00FE678F">
        <w:rPr>
          <w:rFonts w:ascii="Palatino Linotype" w:hAnsi="Palatino Linotype"/>
          <w:i/>
          <w:color w:val="000000"/>
          <w:sz w:val="24"/>
          <w:szCs w:val="24"/>
        </w:rPr>
        <w:t>Mex</w:t>
      </w:r>
      <w:proofErr w:type="spellEnd"/>
      <w:r w:rsidRPr="00FE678F">
        <w:rPr>
          <w:rFonts w:ascii="Palatino Linotype" w:hAnsi="Palatino Linotype"/>
          <w:i/>
          <w:color w:val="000000"/>
          <w:sz w:val="24"/>
          <w:szCs w:val="24"/>
        </w:rPr>
        <w:t xml:space="preserve">. D.F. El </w:t>
      </w:r>
      <w:proofErr w:type="spellStart"/>
      <w:r w:rsidR="008F398E">
        <w:rPr>
          <w:rFonts w:ascii="Palatino Linotype" w:hAnsi="Palatino Linotype"/>
          <w:i/>
          <w:color w:val="000000"/>
          <w:sz w:val="24"/>
          <w:szCs w:val="24"/>
        </w:rPr>
        <w:t>xxxxxxxxxxxxx</w:t>
      </w:r>
      <w:proofErr w:type="spellEnd"/>
      <w:r w:rsidRPr="00FE678F">
        <w:rPr>
          <w:rFonts w:ascii="Palatino Linotype" w:hAnsi="Palatino Linotype"/>
          <w:i/>
          <w:color w:val="000000"/>
          <w:sz w:val="24"/>
          <w:szCs w:val="24"/>
        </w:rPr>
        <w:t xml:space="preserve">, adquirió el contrato con de </w:t>
      </w:r>
      <w:proofErr w:type="spellStart"/>
      <w:r w:rsidR="008F398E">
        <w:rPr>
          <w:rFonts w:ascii="Palatino Linotype" w:hAnsi="Palatino Linotype"/>
          <w:i/>
          <w:color w:val="000000"/>
          <w:sz w:val="24"/>
          <w:szCs w:val="24"/>
        </w:rPr>
        <w:t>xxxxxxxxxxxxxxxxxxxxxxx</w:t>
      </w:r>
      <w:proofErr w:type="spellEnd"/>
      <w:r w:rsidRPr="00FE678F">
        <w:rPr>
          <w:rFonts w:ascii="Palatino Linotype" w:hAnsi="Palatino Linotype"/>
          <w:i/>
          <w:color w:val="000000"/>
          <w:sz w:val="24"/>
          <w:szCs w:val="24"/>
        </w:rPr>
        <w:t xml:space="preserve"> en el paraje el Corral de Vilchis y Rancho Viejo Vendió: </w:t>
      </w:r>
      <w:proofErr w:type="spellStart"/>
      <w:r w:rsidR="008F398E">
        <w:rPr>
          <w:rFonts w:ascii="Palatino Linotype" w:hAnsi="Palatino Linotype"/>
          <w:i/>
          <w:color w:val="000000"/>
          <w:sz w:val="24"/>
          <w:szCs w:val="24"/>
        </w:rPr>
        <w:t>xxxxxxxxxxxxxxxxxxxxxxx</w:t>
      </w:r>
      <w:proofErr w:type="spellEnd"/>
      <w:r w:rsidRPr="00FE678F">
        <w:rPr>
          <w:rFonts w:ascii="Palatino Linotype" w:hAnsi="Palatino Linotype"/>
          <w:i/>
          <w:color w:val="000000"/>
          <w:sz w:val="24"/>
          <w:szCs w:val="24"/>
        </w:rPr>
        <w:t xml:space="preserve">: Nació en México, Distrito Federal: Fecha de </w:t>
      </w:r>
      <w:proofErr w:type="spellStart"/>
      <w:r w:rsidRPr="00FE678F">
        <w:rPr>
          <w:rFonts w:ascii="Palatino Linotype" w:hAnsi="Palatino Linotype"/>
          <w:i/>
          <w:color w:val="000000"/>
          <w:sz w:val="24"/>
          <w:szCs w:val="24"/>
        </w:rPr>
        <w:t>Nacimiento</w:t>
      </w:r>
      <w:r w:rsidR="008F398E">
        <w:rPr>
          <w:rFonts w:ascii="Palatino Linotype" w:hAnsi="Palatino Linotype"/>
          <w:i/>
          <w:color w:val="000000"/>
          <w:sz w:val="24"/>
          <w:szCs w:val="24"/>
        </w:rPr>
        <w:t>xxxxxxxxxxxxxxxxxxxxx</w:t>
      </w:r>
      <w:proofErr w:type="spellEnd"/>
      <w:r w:rsidRPr="00FE678F">
        <w:rPr>
          <w:rFonts w:ascii="Palatino Linotype" w:hAnsi="Palatino Linotype"/>
          <w:i/>
          <w:color w:val="000000"/>
          <w:sz w:val="24"/>
          <w:szCs w:val="24"/>
        </w:rPr>
        <w:t xml:space="preserve">: Domicilio </w:t>
      </w:r>
      <w:r w:rsidR="008F398E">
        <w:rPr>
          <w:rFonts w:ascii="Palatino Linotype" w:hAnsi="Palatino Linotype"/>
          <w:i/>
          <w:color w:val="000000"/>
          <w:sz w:val="24"/>
          <w:szCs w:val="24"/>
        </w:rPr>
        <w:t>xxxxxxxxxxxxxxxxxxxxxxxxxxxxxxxxxxxxxxxxxxxxxxxxxxxx</w:t>
      </w:r>
      <w:bookmarkStart w:id="0" w:name="_GoBack"/>
      <w:bookmarkEnd w:id="0"/>
      <w:r w:rsidRPr="00FE678F">
        <w:rPr>
          <w:rFonts w:ascii="Palatino Linotype" w:hAnsi="Palatino Linotype"/>
          <w:i/>
          <w:color w:val="000000"/>
          <w:sz w:val="24"/>
          <w:szCs w:val="24"/>
        </w:rPr>
        <w:t xml:space="preserve"> en </w:t>
      </w:r>
      <w:r w:rsidRPr="00FE678F">
        <w:rPr>
          <w:rFonts w:ascii="Palatino Linotype" w:hAnsi="Palatino Linotype"/>
          <w:i/>
          <w:color w:val="000000"/>
          <w:sz w:val="24"/>
          <w:szCs w:val="24"/>
        </w:rPr>
        <w:lastRenderedPageBreak/>
        <w:t xml:space="preserve">Tultitlan, Edo de México En san Francisco </w:t>
      </w:r>
      <w:proofErr w:type="spellStart"/>
      <w:r w:rsidRPr="00FE678F">
        <w:rPr>
          <w:rFonts w:ascii="Palatino Linotype" w:hAnsi="Palatino Linotype"/>
          <w:i/>
          <w:color w:val="000000"/>
          <w:sz w:val="24"/>
          <w:szCs w:val="24"/>
        </w:rPr>
        <w:t>Chimalpa</w:t>
      </w:r>
      <w:proofErr w:type="spellEnd"/>
      <w:r w:rsidRPr="00FE678F">
        <w:rPr>
          <w:rFonts w:ascii="Palatino Linotype" w:hAnsi="Palatino Linotype"/>
          <w:i/>
          <w:color w:val="000000"/>
          <w:sz w:val="24"/>
          <w:szCs w:val="24"/>
        </w:rPr>
        <w:t xml:space="preserve">, es una zona irregular la cual se siguen los usos y costumbres con el tema de parajes y linderos. Aunque no estén viviendo sabemos a </w:t>
      </w:r>
      <w:proofErr w:type="spellStart"/>
      <w:r w:rsidRPr="00FE678F">
        <w:rPr>
          <w:rFonts w:ascii="Palatino Linotype" w:hAnsi="Palatino Linotype"/>
          <w:i/>
          <w:color w:val="000000"/>
          <w:sz w:val="24"/>
          <w:szCs w:val="24"/>
        </w:rPr>
        <w:t>quien</w:t>
      </w:r>
      <w:proofErr w:type="spellEnd"/>
      <w:r w:rsidRPr="00FE678F">
        <w:rPr>
          <w:rFonts w:ascii="Palatino Linotype" w:hAnsi="Palatino Linotype"/>
          <w:i/>
          <w:color w:val="000000"/>
          <w:sz w:val="24"/>
          <w:szCs w:val="24"/>
        </w:rPr>
        <w:t xml:space="preserve"> pertenece cada terreno. </w:t>
      </w:r>
      <w:r w:rsidRPr="00FE678F">
        <w:rPr>
          <w:rFonts w:ascii="Palatino Linotype" w:hAnsi="Palatino Linotype"/>
          <w:i/>
          <w:color w:val="000000"/>
          <w:sz w:val="24"/>
          <w:szCs w:val="24"/>
          <w:u w:val="single"/>
        </w:rPr>
        <w:t xml:space="preserve">Por este motivo se necesita la información que se encontró en el IFREM, se </w:t>
      </w:r>
      <w:proofErr w:type="spellStart"/>
      <w:r w:rsidRPr="00FE678F">
        <w:rPr>
          <w:rFonts w:ascii="Palatino Linotype" w:hAnsi="Palatino Linotype"/>
          <w:i/>
          <w:color w:val="000000"/>
          <w:sz w:val="24"/>
          <w:szCs w:val="24"/>
          <w:u w:val="single"/>
        </w:rPr>
        <w:t>busco</w:t>
      </w:r>
      <w:proofErr w:type="spellEnd"/>
      <w:r w:rsidRPr="00FE678F">
        <w:rPr>
          <w:rFonts w:ascii="Palatino Linotype" w:hAnsi="Palatino Linotype"/>
          <w:i/>
          <w:color w:val="000000"/>
          <w:sz w:val="24"/>
          <w:szCs w:val="24"/>
          <w:u w:val="single"/>
        </w:rPr>
        <w:t xml:space="preserve"> en la cartografía en la tenencia de la </w:t>
      </w:r>
      <w:proofErr w:type="gramStart"/>
      <w:r w:rsidRPr="00FE678F">
        <w:rPr>
          <w:rFonts w:ascii="Palatino Linotype" w:hAnsi="Palatino Linotype"/>
          <w:i/>
          <w:color w:val="000000"/>
          <w:sz w:val="24"/>
          <w:szCs w:val="24"/>
          <w:u w:val="single"/>
        </w:rPr>
        <w:t>tierra ,</w:t>
      </w:r>
      <w:proofErr w:type="gramEnd"/>
      <w:r w:rsidRPr="00FE678F">
        <w:rPr>
          <w:rFonts w:ascii="Palatino Linotype" w:hAnsi="Palatino Linotype"/>
          <w:i/>
          <w:color w:val="000000"/>
          <w:sz w:val="24"/>
          <w:szCs w:val="24"/>
          <w:u w:val="single"/>
        </w:rPr>
        <w:t xml:space="preserve"> no hay nada. Hicieron la inmatriculación sin argumentar las 12 hectáreas” (</w:t>
      </w:r>
      <w:r w:rsidRPr="00FE678F">
        <w:rPr>
          <w:rFonts w:ascii="Palatino Linotype" w:hAnsi="Palatino Linotype"/>
          <w:i/>
          <w:color w:val="000000"/>
          <w:sz w:val="24"/>
          <w:szCs w:val="24"/>
        </w:rPr>
        <w:t>Sic)</w:t>
      </w:r>
    </w:p>
    <w:p w14:paraId="3D323135" w14:textId="77777777" w:rsidR="00A85323" w:rsidRPr="00FE678F" w:rsidRDefault="00A85323" w:rsidP="00A85323">
      <w:pPr>
        <w:pStyle w:val="Prrafodelista"/>
        <w:spacing w:after="0" w:line="360" w:lineRule="auto"/>
        <w:ind w:left="785" w:right="567"/>
        <w:jc w:val="both"/>
        <w:rPr>
          <w:rFonts w:ascii="Palatino Linotype" w:eastAsia="Times New Roman" w:hAnsi="Palatino Linotype" w:cs="Palatino Linotype"/>
          <w:b/>
          <w:i/>
          <w:color w:val="000000"/>
          <w:lang w:val="es-ES_tradnl" w:eastAsia="es-MX"/>
        </w:rPr>
      </w:pPr>
    </w:p>
    <w:p w14:paraId="49969DF0" w14:textId="77777777" w:rsidR="00A85323" w:rsidRPr="00FE678F" w:rsidRDefault="00A85323" w:rsidP="00A853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E678F">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3235D84E"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E678F">
        <w:rPr>
          <w:rFonts w:ascii="Palatino Linotype" w:eastAsia="Times New Roman" w:hAnsi="Palatino Linotype" w:cs="Palatino Linotype"/>
          <w:color w:val="000000"/>
          <w:sz w:val="24"/>
          <w:szCs w:val="24"/>
          <w:lang w:val="es-ES_tradnl" w:eastAsia="es-MX"/>
        </w:rPr>
        <w:t xml:space="preserve">Medio de impugnación que le fue turnado al </w:t>
      </w:r>
      <w:r w:rsidRPr="00FE678F">
        <w:rPr>
          <w:rFonts w:ascii="Palatino Linotype" w:eastAsia="Times New Roman" w:hAnsi="Palatino Linotype" w:cs="Palatino Linotype"/>
          <w:b/>
          <w:color w:val="000000"/>
          <w:sz w:val="24"/>
          <w:szCs w:val="24"/>
          <w:lang w:val="es-ES_tradnl" w:eastAsia="es-MX"/>
        </w:rPr>
        <w:t>Comisionado Presidente José Martínez Vilchis</w:t>
      </w:r>
      <w:r w:rsidRPr="00FE678F">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FE678F">
        <w:rPr>
          <w:rFonts w:ascii="Palatino Linotype" w:eastAsia="Times New Roman" w:hAnsi="Palatino Linotype" w:cs="Palatino Linotype"/>
          <w:b/>
          <w:color w:val="000000"/>
          <w:sz w:val="24"/>
          <w:szCs w:val="24"/>
          <w:lang w:val="es-ES_tradnl" w:eastAsia="es-MX"/>
        </w:rPr>
        <w:t xml:space="preserve"> </w:t>
      </w:r>
      <w:r w:rsidR="008A0427" w:rsidRPr="00FE678F">
        <w:rPr>
          <w:rFonts w:ascii="Palatino Linotype" w:eastAsia="Times New Roman" w:hAnsi="Palatino Linotype" w:cs="Palatino Linotype"/>
          <w:b/>
          <w:color w:val="000000"/>
          <w:sz w:val="24"/>
          <w:szCs w:val="24"/>
          <w:lang w:val="es-ES_tradnl" w:eastAsia="es-MX"/>
        </w:rPr>
        <w:t>dieciocho de noviembre</w:t>
      </w:r>
      <w:r w:rsidRPr="00FE678F">
        <w:rPr>
          <w:rFonts w:ascii="Palatino Linotype" w:eastAsia="Times New Roman" w:hAnsi="Palatino Linotype" w:cs="Palatino Linotype"/>
          <w:b/>
          <w:color w:val="000000"/>
          <w:sz w:val="24"/>
          <w:szCs w:val="24"/>
          <w:lang w:val="es-ES_tradnl" w:eastAsia="es-MX"/>
        </w:rPr>
        <w:t xml:space="preserve"> de dos mil veinticinco</w:t>
      </w:r>
      <w:r w:rsidRPr="00FE678F">
        <w:rPr>
          <w:rFonts w:ascii="Palatino Linotype" w:eastAsia="Times New Roman" w:hAnsi="Palatino Linotype" w:cs="Palatino Linotype"/>
          <w:color w:val="000000"/>
          <w:sz w:val="24"/>
          <w:szCs w:val="24"/>
          <w:lang w:val="es-ES_tradnl" w:eastAsia="es-MX"/>
        </w:rPr>
        <w:t xml:space="preserve">, </w:t>
      </w:r>
      <w:r w:rsidRPr="00FE678F">
        <w:rPr>
          <w:rFonts w:ascii="Palatino Linotype" w:eastAsia="Times New Roman" w:hAnsi="Palatino Linotype" w:cs="Palatino Linotype"/>
          <w:sz w:val="24"/>
          <w:szCs w:val="24"/>
          <w:lang w:val="es-ES_tradnl" w:eastAsia="es-MX"/>
        </w:rPr>
        <w:t>otorgándose</w:t>
      </w:r>
      <w:r w:rsidRPr="00FE678F">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56B7F330"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69F963E2" w14:textId="77777777" w:rsidR="00A85323" w:rsidRPr="00FE678F" w:rsidRDefault="00A85323" w:rsidP="00A853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E678F">
        <w:rPr>
          <w:rFonts w:ascii="Palatino Linotype" w:eastAsia="Times New Roman" w:hAnsi="Palatino Linotype" w:cs="Times New Roman"/>
          <w:b/>
          <w:color w:val="000000" w:themeColor="text1"/>
          <w:sz w:val="28"/>
          <w:szCs w:val="28"/>
          <w:lang w:val="es-ES_tradnl" w:eastAsia="es-MX"/>
        </w:rPr>
        <w:t>QUINTO. De la etapa de instrucción.</w:t>
      </w:r>
    </w:p>
    <w:p w14:paraId="1F79C113" w14:textId="77777777" w:rsidR="00E346B1" w:rsidRPr="00FE678F" w:rsidRDefault="00A85323" w:rsidP="0006480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E678F">
        <w:rPr>
          <w:rFonts w:ascii="Palatino Linotype" w:eastAsia="Times New Roman" w:hAnsi="Palatino Linotype" w:cs="Palatino Linotype"/>
          <w:color w:val="000000"/>
          <w:sz w:val="24"/>
          <w:szCs w:val="24"/>
          <w:lang w:val="es-ES_tradnl" w:eastAsia="es-MX"/>
        </w:rPr>
        <w:t>Una vez abierta la etapa de instrucción, el Sujeto Obligado</w:t>
      </w:r>
      <w:r w:rsidRPr="00FE678F">
        <w:rPr>
          <w:rFonts w:ascii="Palatino Linotype" w:eastAsia="Times New Roman" w:hAnsi="Palatino Linotype" w:cs="Palatino Linotype"/>
          <w:b/>
          <w:color w:val="000000"/>
          <w:sz w:val="24"/>
          <w:szCs w:val="24"/>
          <w:lang w:val="es-ES_tradnl" w:eastAsia="es-MX"/>
        </w:rPr>
        <w:t xml:space="preserve"> </w:t>
      </w:r>
      <w:r w:rsidRPr="00FE678F">
        <w:rPr>
          <w:rFonts w:ascii="Palatino Linotype" w:eastAsia="Times New Roman" w:hAnsi="Palatino Linotype" w:cs="Palatino Linotype"/>
          <w:color w:val="000000"/>
          <w:sz w:val="24"/>
          <w:szCs w:val="24"/>
          <w:lang w:val="es-ES_tradnl" w:eastAsia="es-MX"/>
        </w:rPr>
        <w:t xml:space="preserve">proporciono su informe justificado en fecha </w:t>
      </w:r>
      <w:r w:rsidR="0006480E" w:rsidRPr="00FE678F">
        <w:rPr>
          <w:rFonts w:ascii="Palatino Linotype" w:eastAsia="Times New Roman" w:hAnsi="Palatino Linotype" w:cs="Palatino Linotype"/>
          <w:color w:val="000000"/>
          <w:sz w:val="24"/>
          <w:szCs w:val="24"/>
          <w:lang w:val="es-ES_tradnl" w:eastAsia="es-MX"/>
        </w:rPr>
        <w:t xml:space="preserve">veinticinco y </w:t>
      </w:r>
      <w:proofErr w:type="spellStart"/>
      <w:r w:rsidR="0006480E" w:rsidRPr="00FE678F">
        <w:rPr>
          <w:rFonts w:ascii="Palatino Linotype" w:eastAsia="Times New Roman" w:hAnsi="Palatino Linotype" w:cs="Palatino Linotype"/>
          <w:color w:val="000000"/>
          <w:sz w:val="24"/>
          <w:szCs w:val="24"/>
          <w:lang w:val="es-ES_tradnl" w:eastAsia="es-MX"/>
        </w:rPr>
        <w:t>veintiseis</w:t>
      </w:r>
      <w:proofErr w:type="spellEnd"/>
      <w:r w:rsidR="0006480E" w:rsidRPr="00FE678F">
        <w:rPr>
          <w:rFonts w:ascii="Palatino Linotype" w:eastAsia="Times New Roman" w:hAnsi="Palatino Linotype" w:cs="Palatino Linotype"/>
          <w:color w:val="000000"/>
          <w:sz w:val="24"/>
          <w:szCs w:val="24"/>
          <w:lang w:val="es-ES_tradnl" w:eastAsia="es-MX"/>
        </w:rPr>
        <w:t xml:space="preserve"> de noviembre</w:t>
      </w:r>
      <w:r w:rsidRPr="00FE678F">
        <w:rPr>
          <w:rFonts w:ascii="Palatino Linotype" w:eastAsia="Times New Roman" w:hAnsi="Palatino Linotype" w:cs="Palatino Linotype"/>
          <w:color w:val="000000"/>
          <w:sz w:val="24"/>
          <w:szCs w:val="24"/>
          <w:lang w:val="es-ES_tradnl" w:eastAsia="es-MX"/>
        </w:rPr>
        <w:t xml:space="preserve"> de dos mil veinticinco por lo que en fecha </w:t>
      </w:r>
      <w:r w:rsidR="0006480E" w:rsidRPr="00FE678F">
        <w:rPr>
          <w:rFonts w:ascii="Palatino Linotype" w:eastAsia="Times New Roman" w:hAnsi="Palatino Linotype" w:cs="Palatino Linotype"/>
          <w:color w:val="000000"/>
          <w:sz w:val="24"/>
          <w:szCs w:val="24"/>
          <w:lang w:val="es-ES_tradnl" w:eastAsia="es-MX"/>
        </w:rPr>
        <w:t>quince de diciembre</w:t>
      </w:r>
      <w:r w:rsidRPr="00FE678F">
        <w:rPr>
          <w:rFonts w:ascii="Palatino Linotype" w:eastAsia="Times New Roman" w:hAnsi="Palatino Linotype" w:cs="Palatino Linotype"/>
          <w:color w:val="000000"/>
          <w:sz w:val="24"/>
          <w:szCs w:val="24"/>
          <w:lang w:val="es-ES_tradnl" w:eastAsia="es-MX"/>
        </w:rPr>
        <w:t xml:space="preserve"> de dos mil veinticinco fue puesto a la vista del Recurrente para que manifestara lo que a su derecho conviniera. </w:t>
      </w:r>
    </w:p>
    <w:p w14:paraId="1CF0C5EE" w14:textId="77777777" w:rsidR="008A0427" w:rsidRPr="00FE678F" w:rsidRDefault="008A0427" w:rsidP="0006480E">
      <w:pPr>
        <w:pStyle w:val="Prrafodelista"/>
        <w:numPr>
          <w:ilvl w:val="0"/>
          <w:numId w:val="5"/>
        </w:numPr>
        <w:spacing w:line="360" w:lineRule="auto"/>
        <w:jc w:val="both"/>
        <w:rPr>
          <w:rFonts w:ascii="Palatino Linotype" w:hAnsi="Palatino Linotype"/>
        </w:rPr>
      </w:pPr>
      <w:r w:rsidRPr="00FE678F">
        <w:rPr>
          <w:rFonts w:ascii="Palatino Linotype" w:hAnsi="Palatino Linotype"/>
          <w:b/>
          <w:i/>
        </w:rPr>
        <w:t xml:space="preserve">PM_JOP_CUTAIP_0838_2025.pdf: </w:t>
      </w:r>
      <w:r w:rsidRPr="00FE678F">
        <w:rPr>
          <w:rFonts w:ascii="Palatino Linotype" w:hAnsi="Palatino Linotype"/>
        </w:rPr>
        <w:t>Soporte documental que consta de dos fojas en formato PDF por medio del cual la Directora de Desarrollo Urbano manifiesta que no cuenta con la atribución para realizar  procedimientos de inmatriculaciones administrativas.</w:t>
      </w:r>
    </w:p>
    <w:p w14:paraId="5BE5EEA3" w14:textId="77777777" w:rsidR="008A0427" w:rsidRPr="00FE678F" w:rsidRDefault="008A0427" w:rsidP="0006480E">
      <w:pPr>
        <w:pStyle w:val="Prrafodelista"/>
        <w:numPr>
          <w:ilvl w:val="0"/>
          <w:numId w:val="5"/>
        </w:numPr>
        <w:spacing w:line="360" w:lineRule="auto"/>
        <w:jc w:val="both"/>
        <w:rPr>
          <w:rFonts w:ascii="Palatino Linotype" w:hAnsi="Palatino Linotype"/>
        </w:rPr>
      </w:pPr>
      <w:r w:rsidRPr="00FE678F">
        <w:rPr>
          <w:rFonts w:ascii="Palatino Linotype" w:hAnsi="Palatino Linotype"/>
          <w:b/>
          <w:i/>
        </w:rPr>
        <w:lastRenderedPageBreak/>
        <w:t>DDU-5307-2025.pdf:</w:t>
      </w:r>
      <w:r w:rsidR="0006480E" w:rsidRPr="00FE678F">
        <w:rPr>
          <w:rFonts w:ascii="Palatino Linotype" w:hAnsi="Palatino Linotype"/>
        </w:rPr>
        <w:t xml:space="preserve"> Soporte documental que consta de dos fojas en formato PDF por medio del cual la Directora de Desarrollo Urbano manifiesta que actualmente el Departamento de Atención a Grupos Sociales y Enlaces Institucionales dependiente de la Subdirección de Regularización de la Tenencia de la Tierra, lleva a cabo asesorías correspondientes en materia de trámites notariales, inmatriculación administrativa, y escrituración a bienes inmuebles; así como llevar a cabo las gestiones necesarias ante las autoridades competentes para la realización de trámite de inmatriculación administrativa y/o escrituraciones; es menester hacer de su conocimiento que la facultad de realizar los Procedimientos de Inmatriculaciones Administrativas corresponde al Instituto Mexiquense de la Vivienda Social (IMEVIS).</w:t>
      </w:r>
    </w:p>
    <w:p w14:paraId="1F00BF61"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E678F">
        <w:rPr>
          <w:rFonts w:ascii="Palatino Linotype" w:eastAsia="Times New Roman" w:hAnsi="Palatino Linotype" w:cs="Palatino Linotype"/>
          <w:color w:val="000000"/>
          <w:sz w:val="24"/>
          <w:szCs w:val="24"/>
          <w:lang w:val="es-ES_tradnl" w:eastAsia="es-MX"/>
        </w:rPr>
        <w:t xml:space="preserve"> Por su parte, el Recurrente realizó manifestaciones, vertió alegatos ni presentó pruebas que a su derecho convinieran. </w:t>
      </w:r>
    </w:p>
    <w:p w14:paraId="7ABAAFBF"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6F52579" w14:textId="77777777" w:rsidR="00A85323" w:rsidRPr="00FE678F" w:rsidRDefault="00A85323" w:rsidP="00A853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E678F">
        <w:rPr>
          <w:rFonts w:ascii="Palatino Linotype" w:eastAsia="Times New Roman" w:hAnsi="Palatino Linotype" w:cs="Times New Roman"/>
          <w:b/>
          <w:color w:val="000000" w:themeColor="text1"/>
          <w:sz w:val="28"/>
          <w:szCs w:val="28"/>
          <w:lang w:val="es-ES_tradnl" w:eastAsia="es-MX"/>
        </w:rPr>
        <w:t>SEXTO. Del cierre de instrucción.</w:t>
      </w:r>
    </w:p>
    <w:p w14:paraId="65AB9328"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E678F">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FE678F">
        <w:rPr>
          <w:rFonts w:ascii="Palatino Linotype" w:eastAsia="Times New Roman" w:hAnsi="Palatino Linotype" w:cs="Palatino Linotype"/>
          <w:b/>
          <w:color w:val="000000"/>
          <w:sz w:val="24"/>
          <w:szCs w:val="24"/>
          <w:lang w:val="es-ES_tradnl" w:eastAsia="es-MX"/>
        </w:rPr>
        <w:t xml:space="preserve"> </w:t>
      </w:r>
      <w:r w:rsidR="00E346B1" w:rsidRPr="00FE678F">
        <w:rPr>
          <w:rFonts w:ascii="Palatino Linotype" w:eastAsia="Times New Roman" w:hAnsi="Palatino Linotype" w:cs="Palatino Linotype"/>
          <w:b/>
          <w:color w:val="000000"/>
          <w:sz w:val="24"/>
          <w:szCs w:val="24"/>
          <w:lang w:val="es-ES_tradnl" w:eastAsia="es-MX"/>
        </w:rPr>
        <w:t xml:space="preserve">doce de enero de dos mil </w:t>
      </w:r>
      <w:proofErr w:type="spellStart"/>
      <w:r w:rsidR="00E346B1" w:rsidRPr="00FE678F">
        <w:rPr>
          <w:rFonts w:ascii="Palatino Linotype" w:eastAsia="Times New Roman" w:hAnsi="Palatino Linotype" w:cs="Palatino Linotype"/>
          <w:b/>
          <w:color w:val="000000"/>
          <w:sz w:val="24"/>
          <w:szCs w:val="24"/>
          <w:lang w:val="es-ES_tradnl" w:eastAsia="es-MX"/>
        </w:rPr>
        <w:t>veintiseis</w:t>
      </w:r>
      <w:proofErr w:type="spellEnd"/>
      <w:r w:rsidRPr="00FE678F">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02395D92"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DC75D10" w14:textId="77777777" w:rsidR="00A85323" w:rsidRPr="00FE678F" w:rsidRDefault="00A85323" w:rsidP="00A853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44A2368" w14:textId="77777777" w:rsidR="00A85323" w:rsidRPr="00FE678F" w:rsidRDefault="00A85323" w:rsidP="00A85323">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FE678F">
        <w:rPr>
          <w:rFonts w:ascii="Palatino Linotype" w:hAnsi="Palatino Linotype" w:cs="Arial"/>
          <w:b/>
          <w:sz w:val="28"/>
          <w:szCs w:val="28"/>
        </w:rPr>
        <w:t>SÉPTIMO. De la ampliación de plazo para resolver.</w:t>
      </w:r>
    </w:p>
    <w:p w14:paraId="7B3D093F" w14:textId="77777777" w:rsidR="00A85323" w:rsidRPr="00FE678F" w:rsidRDefault="00A85323" w:rsidP="00A85323">
      <w:pPr>
        <w:spacing w:line="360" w:lineRule="auto"/>
        <w:jc w:val="both"/>
        <w:rPr>
          <w:rFonts w:ascii="Palatino Linotype" w:hAnsi="Palatino Linotype" w:cs="Arial"/>
          <w:sz w:val="24"/>
          <w:szCs w:val="24"/>
        </w:rPr>
      </w:pPr>
      <w:r w:rsidRPr="00FE678F">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FE678F">
        <w:rPr>
          <w:rFonts w:ascii="Palatino Linotype" w:hAnsi="Palatino Linotype" w:cs="Arial"/>
          <w:b/>
          <w:sz w:val="24"/>
          <w:szCs w:val="24"/>
        </w:rPr>
        <w:t xml:space="preserve"> </w:t>
      </w:r>
      <w:r w:rsidR="00E346B1" w:rsidRPr="00FE678F">
        <w:rPr>
          <w:rFonts w:ascii="Palatino Linotype" w:hAnsi="Palatino Linotype" w:cs="Arial"/>
          <w:b/>
          <w:sz w:val="24"/>
          <w:szCs w:val="24"/>
        </w:rPr>
        <w:t>trece de enero de dos mil veintiséis</w:t>
      </w:r>
      <w:r w:rsidRPr="00FE678F">
        <w:rPr>
          <w:rFonts w:ascii="Palatino Linotype" w:hAnsi="Palatino Linotype" w:cs="Arial"/>
          <w:sz w:val="24"/>
          <w:szCs w:val="24"/>
        </w:rPr>
        <w:t xml:space="preserve">, se notificó a las </w:t>
      </w:r>
      <w:r w:rsidRPr="00FE678F">
        <w:rPr>
          <w:rFonts w:ascii="Palatino Linotype" w:hAnsi="Palatino Linotype" w:cs="Arial"/>
          <w:sz w:val="24"/>
          <w:szCs w:val="24"/>
        </w:rPr>
        <w:lastRenderedPageBreak/>
        <w:t>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F98A620" w14:textId="77777777" w:rsidR="00A85323" w:rsidRPr="00FE678F" w:rsidRDefault="00A85323" w:rsidP="00A85323">
      <w:pPr>
        <w:keepNext/>
        <w:keepLines/>
        <w:spacing w:after="0" w:line="360" w:lineRule="auto"/>
        <w:outlineLvl w:val="0"/>
        <w:rPr>
          <w:rFonts w:ascii="Palatino Linotype" w:eastAsia="Calibri" w:hAnsi="Palatino Linotype" w:cs="Arial"/>
          <w:b/>
          <w:sz w:val="28"/>
          <w:lang w:val="es-ES_tradnl"/>
        </w:rPr>
      </w:pPr>
    </w:p>
    <w:p w14:paraId="4E2A1DB9" w14:textId="77777777" w:rsidR="00E346B1" w:rsidRPr="00FE678F" w:rsidRDefault="00E346B1" w:rsidP="00A85323">
      <w:pPr>
        <w:keepNext/>
        <w:keepLines/>
        <w:spacing w:after="0" w:line="360" w:lineRule="auto"/>
        <w:outlineLvl w:val="0"/>
        <w:rPr>
          <w:rFonts w:ascii="Palatino Linotype" w:eastAsia="Calibri" w:hAnsi="Palatino Linotype" w:cs="Arial"/>
          <w:b/>
          <w:sz w:val="28"/>
          <w:lang w:val="es-ES_tradnl"/>
        </w:rPr>
      </w:pPr>
    </w:p>
    <w:p w14:paraId="40C3250A" w14:textId="77777777" w:rsidR="00A85323" w:rsidRPr="00FE678F" w:rsidRDefault="00A85323" w:rsidP="00A85323">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E678F">
        <w:rPr>
          <w:rFonts w:ascii="Palatino Linotype" w:eastAsia="Times New Roman" w:hAnsi="Palatino Linotype" w:cs="Times New Roman"/>
          <w:b/>
          <w:color w:val="000000" w:themeColor="text1"/>
          <w:sz w:val="28"/>
          <w:szCs w:val="32"/>
          <w:lang w:val="es-ES_tradnl" w:eastAsia="es-ES"/>
        </w:rPr>
        <w:t>C  O   N   S   I   D  E   R  A   N   D   O</w:t>
      </w:r>
    </w:p>
    <w:p w14:paraId="1970BA84" w14:textId="77777777" w:rsidR="00A85323" w:rsidRPr="00FE678F" w:rsidRDefault="00A85323" w:rsidP="00A85323">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14B0112E" w14:textId="77777777" w:rsidR="00A85323" w:rsidRPr="00FE678F" w:rsidRDefault="00A85323" w:rsidP="00A85323">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418FC02B" w14:textId="77777777" w:rsidR="00A85323" w:rsidRPr="00FE678F" w:rsidRDefault="00A85323" w:rsidP="00A85323">
      <w:pPr>
        <w:spacing w:line="360" w:lineRule="auto"/>
        <w:jc w:val="both"/>
        <w:rPr>
          <w:rFonts w:ascii="Palatino Linotype" w:hAnsi="Palatino Linotype" w:cs="Arial"/>
          <w:sz w:val="28"/>
          <w:szCs w:val="28"/>
        </w:rPr>
      </w:pPr>
      <w:r w:rsidRPr="00FE678F">
        <w:rPr>
          <w:rFonts w:ascii="Palatino Linotype" w:hAnsi="Palatino Linotype" w:cs="Arial"/>
          <w:b/>
          <w:sz w:val="28"/>
          <w:szCs w:val="28"/>
        </w:rPr>
        <w:t xml:space="preserve">PRIMERO. </w:t>
      </w:r>
      <w:r w:rsidRPr="00FE678F">
        <w:rPr>
          <w:rFonts w:ascii="Palatino Linotype" w:hAnsi="Palatino Linotype" w:cs="Arial"/>
          <w:b/>
          <w:sz w:val="26"/>
          <w:szCs w:val="26"/>
        </w:rPr>
        <w:t>De la competencia</w:t>
      </w:r>
      <w:r w:rsidRPr="00FE678F">
        <w:rPr>
          <w:rFonts w:ascii="Palatino Linotype" w:hAnsi="Palatino Linotype" w:cs="Arial"/>
          <w:sz w:val="26"/>
          <w:szCs w:val="26"/>
        </w:rPr>
        <w:t>.</w:t>
      </w:r>
    </w:p>
    <w:p w14:paraId="42CBFCC6" w14:textId="77777777" w:rsidR="00A85323" w:rsidRPr="00FE678F" w:rsidRDefault="00A85323" w:rsidP="00A85323">
      <w:pPr>
        <w:spacing w:line="360" w:lineRule="auto"/>
        <w:jc w:val="both"/>
        <w:rPr>
          <w:rFonts w:ascii="Palatino Linotype" w:hAnsi="Palatino Linotype"/>
          <w:sz w:val="24"/>
          <w:szCs w:val="24"/>
        </w:rPr>
      </w:pPr>
      <w:r w:rsidRPr="00FE678F">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6AD18E4" w14:textId="77777777" w:rsidR="00A85323" w:rsidRPr="00FE678F" w:rsidRDefault="00A85323" w:rsidP="00A85323">
      <w:pPr>
        <w:spacing w:line="360" w:lineRule="auto"/>
        <w:jc w:val="both"/>
        <w:rPr>
          <w:rFonts w:ascii="Palatino Linotype" w:hAnsi="Palatino Linotype" w:cs="Arial"/>
        </w:rPr>
      </w:pPr>
    </w:p>
    <w:p w14:paraId="59A097F3" w14:textId="77777777" w:rsidR="00A85323" w:rsidRPr="00FE678F" w:rsidRDefault="00A85323" w:rsidP="00A85323">
      <w:pPr>
        <w:autoSpaceDE w:val="0"/>
        <w:autoSpaceDN w:val="0"/>
        <w:adjustRightInd w:val="0"/>
        <w:spacing w:line="360" w:lineRule="auto"/>
        <w:jc w:val="both"/>
        <w:rPr>
          <w:rFonts w:ascii="Palatino Linotype" w:hAnsi="Palatino Linotype" w:cs="Arial"/>
          <w:b/>
          <w:sz w:val="28"/>
          <w:szCs w:val="28"/>
        </w:rPr>
      </w:pPr>
      <w:r w:rsidRPr="00FE678F">
        <w:rPr>
          <w:rFonts w:ascii="Palatino Linotype" w:hAnsi="Palatino Linotype" w:cs="Arial"/>
          <w:b/>
          <w:sz w:val="28"/>
          <w:szCs w:val="28"/>
        </w:rPr>
        <w:t xml:space="preserve">SEGUNDO. </w:t>
      </w:r>
      <w:r w:rsidRPr="00FE678F">
        <w:rPr>
          <w:rFonts w:ascii="Palatino Linotype" w:hAnsi="Palatino Linotype" w:cs="Arial"/>
          <w:b/>
          <w:sz w:val="26"/>
          <w:szCs w:val="26"/>
        </w:rPr>
        <w:t>Alcances del recurso de revisión.</w:t>
      </w:r>
      <w:r w:rsidRPr="00FE678F">
        <w:rPr>
          <w:rFonts w:ascii="Palatino Linotype" w:hAnsi="Palatino Linotype" w:cs="Arial"/>
          <w:b/>
          <w:sz w:val="28"/>
          <w:szCs w:val="28"/>
        </w:rPr>
        <w:t xml:space="preserve"> </w:t>
      </w:r>
    </w:p>
    <w:p w14:paraId="00F23D2B" w14:textId="77777777" w:rsidR="00A85323" w:rsidRPr="00FE678F" w:rsidRDefault="00A85323" w:rsidP="00A85323">
      <w:pPr>
        <w:autoSpaceDE w:val="0"/>
        <w:autoSpaceDN w:val="0"/>
        <w:adjustRightInd w:val="0"/>
        <w:spacing w:line="360" w:lineRule="auto"/>
        <w:jc w:val="both"/>
        <w:rPr>
          <w:rFonts w:ascii="Palatino Linotype" w:hAnsi="Palatino Linotype" w:cs="Arial"/>
          <w:lang w:val="es-ES" w:eastAsia="es-ES"/>
        </w:rPr>
      </w:pPr>
      <w:r w:rsidRPr="00FE678F">
        <w:rPr>
          <w:rFonts w:ascii="Palatino Linotype" w:hAnsi="Palatino Linotype" w:cs="Arial"/>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8213FB5" w14:textId="77777777" w:rsidR="00A85323" w:rsidRPr="00FE678F" w:rsidRDefault="00A85323" w:rsidP="00A85323">
      <w:pPr>
        <w:autoSpaceDE w:val="0"/>
        <w:autoSpaceDN w:val="0"/>
        <w:adjustRightInd w:val="0"/>
        <w:spacing w:line="360" w:lineRule="auto"/>
        <w:jc w:val="both"/>
        <w:rPr>
          <w:rFonts w:ascii="Palatino Linotype" w:hAnsi="Palatino Linotype" w:cs="Arial"/>
          <w:lang w:val="es-ES" w:eastAsia="es-ES"/>
        </w:rPr>
      </w:pPr>
    </w:p>
    <w:p w14:paraId="5E95FF96" w14:textId="77777777" w:rsidR="00E346B1" w:rsidRPr="00FE678F" w:rsidRDefault="00A85323" w:rsidP="00E346B1">
      <w:pPr>
        <w:pStyle w:val="Prrafodelista"/>
        <w:autoSpaceDE w:val="0"/>
        <w:autoSpaceDN w:val="0"/>
        <w:adjustRightInd w:val="0"/>
        <w:spacing w:before="240" w:line="360" w:lineRule="auto"/>
        <w:ind w:left="0"/>
        <w:jc w:val="both"/>
        <w:rPr>
          <w:rFonts w:ascii="Palatino Linotype" w:hAnsi="Palatino Linotype" w:cs="Arial"/>
          <w:b/>
          <w:sz w:val="28"/>
          <w:szCs w:val="28"/>
        </w:rPr>
      </w:pPr>
      <w:r w:rsidRPr="00FE678F">
        <w:rPr>
          <w:rFonts w:ascii="Palatino Linotype" w:hAnsi="Palatino Linotype"/>
          <w:b/>
          <w:color w:val="000000" w:themeColor="text1"/>
          <w:sz w:val="26"/>
          <w:szCs w:val="26"/>
          <w:lang w:val="es-ES_tradnl"/>
        </w:rPr>
        <w:t xml:space="preserve">TERCERO. </w:t>
      </w:r>
      <w:r w:rsidR="00E346B1" w:rsidRPr="00FE678F">
        <w:rPr>
          <w:rFonts w:ascii="Palatino Linotype" w:hAnsi="Palatino Linotype" w:cs="Arial"/>
          <w:b/>
          <w:sz w:val="28"/>
          <w:szCs w:val="28"/>
        </w:rPr>
        <w:t>De las causas de improcedencia.</w:t>
      </w:r>
    </w:p>
    <w:p w14:paraId="3B7AF3F6" w14:textId="77777777" w:rsidR="00E346B1" w:rsidRPr="00FE678F" w:rsidRDefault="00E346B1" w:rsidP="00E346B1">
      <w:pPr>
        <w:pStyle w:val="Prrafodelista"/>
        <w:autoSpaceDE w:val="0"/>
        <w:autoSpaceDN w:val="0"/>
        <w:adjustRightInd w:val="0"/>
        <w:spacing w:line="360" w:lineRule="auto"/>
        <w:ind w:left="0"/>
        <w:jc w:val="both"/>
        <w:rPr>
          <w:rFonts w:ascii="Palatino Linotype" w:hAnsi="Palatino Linotype" w:cs="Arial"/>
          <w:sz w:val="24"/>
          <w:szCs w:val="24"/>
        </w:rPr>
      </w:pPr>
      <w:r w:rsidRPr="00FE678F">
        <w:rPr>
          <w:rFonts w:ascii="Palatino Linotype" w:hAnsi="Palatino Linotype" w:cs="Arial"/>
          <w:sz w:val="24"/>
          <w:szCs w:val="24"/>
        </w:rPr>
        <w:t xml:space="preserve">Es menester resaltar que en el procedimiento de acceso a la información pública y de los medios de impugnación de la materia, se advierten diversos supuestos de </w:t>
      </w:r>
      <w:proofErr w:type="spellStart"/>
      <w:r w:rsidRPr="00FE678F">
        <w:rPr>
          <w:rFonts w:ascii="Palatino Linotype" w:hAnsi="Palatino Linotype" w:cs="Arial"/>
          <w:sz w:val="24"/>
          <w:szCs w:val="24"/>
        </w:rPr>
        <w:t>procedibilidad</w:t>
      </w:r>
      <w:proofErr w:type="spellEnd"/>
      <w:r w:rsidRPr="00FE678F">
        <w:rPr>
          <w:rFonts w:ascii="Palatino Linotype" w:hAnsi="Palatino Linotype" w:cs="Arial"/>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EDEF5E" w14:textId="77777777" w:rsidR="00E346B1" w:rsidRPr="00FE678F" w:rsidRDefault="00E346B1" w:rsidP="00E346B1">
      <w:pPr>
        <w:pStyle w:val="Prrafodelista"/>
        <w:autoSpaceDE w:val="0"/>
        <w:autoSpaceDN w:val="0"/>
        <w:adjustRightInd w:val="0"/>
        <w:spacing w:line="360" w:lineRule="auto"/>
        <w:ind w:left="0"/>
        <w:jc w:val="both"/>
        <w:rPr>
          <w:rFonts w:ascii="Palatino Linotype" w:hAnsi="Palatino Linotype" w:cs="Arial"/>
          <w:sz w:val="24"/>
          <w:szCs w:val="24"/>
        </w:rPr>
      </w:pPr>
    </w:p>
    <w:p w14:paraId="2104E289" w14:textId="77777777" w:rsidR="00E346B1" w:rsidRPr="00FE678F" w:rsidRDefault="00E346B1" w:rsidP="00E346B1">
      <w:pPr>
        <w:pStyle w:val="Prrafodelista"/>
        <w:autoSpaceDE w:val="0"/>
        <w:autoSpaceDN w:val="0"/>
        <w:adjustRightInd w:val="0"/>
        <w:spacing w:line="360" w:lineRule="auto"/>
        <w:ind w:left="0"/>
        <w:jc w:val="both"/>
        <w:rPr>
          <w:rFonts w:ascii="Palatino Linotype" w:hAnsi="Palatino Linotype" w:cs="Arial"/>
          <w:sz w:val="24"/>
          <w:szCs w:val="24"/>
        </w:rPr>
      </w:pPr>
      <w:r w:rsidRPr="00FE678F">
        <w:rPr>
          <w:rFonts w:ascii="Palatino Linotype" w:hAnsi="Palatino Linotype" w:cs="Arial"/>
          <w:sz w:val="24"/>
          <w:szCs w:val="24"/>
        </w:rPr>
        <w:t xml:space="preserve">Siendo una facultad legal entrar al estudio de las causas de improcedencia que hagan valer las partes o que se adviertan de oficio por este </w:t>
      </w:r>
      <w:proofErr w:type="spellStart"/>
      <w:r w:rsidRPr="00FE678F">
        <w:rPr>
          <w:rFonts w:ascii="Palatino Linotype" w:hAnsi="Palatino Linotype" w:cs="Arial"/>
          <w:sz w:val="24"/>
          <w:szCs w:val="24"/>
        </w:rPr>
        <w:t>Resolutor</w:t>
      </w:r>
      <w:proofErr w:type="spellEnd"/>
      <w:r w:rsidRPr="00FE678F">
        <w:rPr>
          <w:rFonts w:ascii="Palatino Linotype" w:hAnsi="Palatino Linotype" w:cs="Arial"/>
          <w:sz w:val="24"/>
          <w:szCs w:val="24"/>
        </w:rPr>
        <w:t xml:space="preserve">;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w:t>
      </w:r>
      <w:r w:rsidRPr="00FE678F">
        <w:rPr>
          <w:rFonts w:ascii="Palatino Linotype" w:hAnsi="Palatino Linotype" w:cs="Arial"/>
          <w:sz w:val="24"/>
          <w:szCs w:val="24"/>
        </w:rPr>
        <w:lastRenderedPageBreak/>
        <w:t>improcedencia que no son incompatibles con el derecho de acceso a la justicia, ya que éste no se coarta por regular causas de improcedencia y sobreseimiento con tales fines</w:t>
      </w:r>
      <w:r w:rsidRPr="00FE678F">
        <w:rPr>
          <w:rStyle w:val="Refdenotaalpie"/>
          <w:rFonts w:ascii="Palatino Linotype" w:hAnsi="Palatino Linotype" w:cs="Arial"/>
          <w:sz w:val="24"/>
          <w:szCs w:val="24"/>
        </w:rPr>
        <w:footnoteReference w:id="1"/>
      </w:r>
      <w:r w:rsidRPr="00FE678F">
        <w:rPr>
          <w:rFonts w:ascii="Palatino Linotype" w:hAnsi="Palatino Linotype" w:cs="Arial"/>
          <w:sz w:val="24"/>
          <w:szCs w:val="24"/>
        </w:rPr>
        <w:t>.</w:t>
      </w:r>
    </w:p>
    <w:p w14:paraId="53735F23" w14:textId="77777777" w:rsidR="00E346B1" w:rsidRPr="00FE678F" w:rsidRDefault="00E346B1" w:rsidP="00E346B1">
      <w:pPr>
        <w:pStyle w:val="Prrafodelista"/>
        <w:autoSpaceDE w:val="0"/>
        <w:autoSpaceDN w:val="0"/>
        <w:adjustRightInd w:val="0"/>
        <w:spacing w:line="360" w:lineRule="auto"/>
        <w:ind w:left="0"/>
        <w:jc w:val="both"/>
        <w:rPr>
          <w:rFonts w:ascii="Palatino Linotype" w:hAnsi="Palatino Linotype" w:cs="Arial"/>
        </w:rPr>
      </w:pPr>
    </w:p>
    <w:p w14:paraId="0C15927E" w14:textId="77777777" w:rsidR="00E346B1" w:rsidRPr="00FE678F" w:rsidRDefault="00E346B1" w:rsidP="00E346B1">
      <w:pPr>
        <w:autoSpaceDE w:val="0"/>
        <w:autoSpaceDN w:val="0"/>
        <w:adjustRightInd w:val="0"/>
        <w:spacing w:line="360" w:lineRule="auto"/>
        <w:jc w:val="both"/>
        <w:rPr>
          <w:rFonts w:ascii="Palatino Linotype" w:hAnsi="Palatino Linotype" w:cs="Arial"/>
          <w:sz w:val="24"/>
          <w:szCs w:val="24"/>
        </w:rPr>
      </w:pPr>
      <w:r w:rsidRPr="00FE678F">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FE678F">
        <w:rPr>
          <w:rFonts w:ascii="Palatino Linotype" w:hAnsi="Palatino Linotype" w:cs="Arial"/>
          <w:b/>
          <w:sz w:val="24"/>
          <w:szCs w:val="24"/>
        </w:rPr>
        <w:t>El Sujeto Obligado</w:t>
      </w:r>
      <w:r w:rsidRPr="00FE678F">
        <w:rPr>
          <w:rFonts w:ascii="Palatino Linotype" w:hAnsi="Palatino Linotype" w:cs="Arial"/>
          <w:sz w:val="24"/>
          <w:szCs w:val="24"/>
        </w:rPr>
        <w:t>,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32A197E8" w14:textId="77777777" w:rsidR="00E346B1" w:rsidRPr="00FE678F" w:rsidRDefault="00E346B1" w:rsidP="00E346B1">
      <w:pPr>
        <w:autoSpaceDE w:val="0"/>
        <w:autoSpaceDN w:val="0"/>
        <w:adjustRightInd w:val="0"/>
        <w:spacing w:line="360" w:lineRule="auto"/>
        <w:jc w:val="both"/>
        <w:rPr>
          <w:rFonts w:ascii="Palatino Linotype" w:hAnsi="Palatino Linotype" w:cs="Arial"/>
          <w:sz w:val="24"/>
          <w:szCs w:val="24"/>
        </w:rPr>
      </w:pPr>
      <w:r w:rsidRPr="00FE678F">
        <w:rPr>
          <w:rFonts w:ascii="Palatino Linotype" w:hAnsi="Palatino Linotype" w:cs="Arial"/>
          <w:sz w:val="24"/>
          <w:szCs w:val="24"/>
        </w:rPr>
        <w:lastRenderedPageBreak/>
        <w:t>Ya que el planteamiento del problema es de toral importancia, a efecto de determinar la intención o voluntad del</w:t>
      </w:r>
      <w:r w:rsidRPr="00FE678F">
        <w:rPr>
          <w:rFonts w:ascii="Palatino Linotype" w:hAnsi="Palatino Linotype" w:cs="Arial"/>
          <w:b/>
          <w:sz w:val="24"/>
          <w:szCs w:val="24"/>
        </w:rPr>
        <w:t xml:space="preserve"> Recurrente</w:t>
      </w:r>
      <w:r w:rsidRPr="00FE678F">
        <w:rPr>
          <w:rFonts w:ascii="Palatino Linotype" w:hAnsi="Palatino Linotype" w:cs="Arial"/>
          <w:sz w:val="24"/>
          <w:szCs w:val="24"/>
        </w:rPr>
        <w:t xml:space="preserve"> a la luz de la interpretación de la solicitud de información, y que puede generar de forma objetiva y material </w:t>
      </w:r>
      <w:r w:rsidRPr="00FE678F">
        <w:rPr>
          <w:rFonts w:ascii="Palatino Linotype" w:hAnsi="Palatino Linotype" w:cs="Arial"/>
          <w:b/>
          <w:sz w:val="24"/>
          <w:szCs w:val="24"/>
        </w:rPr>
        <w:t>El Sujeto Obligado</w:t>
      </w:r>
      <w:r w:rsidRPr="00FE678F">
        <w:rPr>
          <w:rFonts w:ascii="Palatino Linotype" w:hAnsi="Palatino Linotype" w:cs="Arial"/>
          <w:sz w:val="24"/>
          <w:szCs w:val="24"/>
        </w:rPr>
        <w:t xml:space="preserve"> que se relacione con esa intención, respecto del presente asunto se realiza a continuación.</w:t>
      </w:r>
    </w:p>
    <w:p w14:paraId="7C4D7898" w14:textId="77777777" w:rsidR="00E346B1" w:rsidRPr="00FE678F" w:rsidRDefault="00E346B1" w:rsidP="00E346B1">
      <w:pPr>
        <w:pStyle w:val="Sinespaciado"/>
        <w:spacing w:line="360" w:lineRule="auto"/>
        <w:jc w:val="both"/>
        <w:rPr>
          <w:rFonts w:ascii="Palatino Linotype" w:hAnsi="Palatino Linotype" w:cs="Arial"/>
        </w:rPr>
      </w:pPr>
    </w:p>
    <w:p w14:paraId="43184CD7" w14:textId="77777777" w:rsidR="00E346B1" w:rsidRPr="00FE678F" w:rsidRDefault="00E346B1" w:rsidP="00E346B1">
      <w:pPr>
        <w:spacing w:line="360" w:lineRule="auto"/>
        <w:jc w:val="both"/>
        <w:rPr>
          <w:rFonts w:ascii="Palatino Linotype" w:hAnsi="Palatino Linotype" w:cs="Arial"/>
          <w:sz w:val="24"/>
        </w:rPr>
      </w:pPr>
      <w:r w:rsidRPr="00FE678F">
        <w:rPr>
          <w:rFonts w:ascii="Palatino Linotype" w:hAnsi="Palatino Linotype" w:cs="Tahoma"/>
          <w:bCs/>
          <w:sz w:val="24"/>
        </w:rPr>
        <w:t xml:space="preserve">Bajo estas líneas argumentativas, al retomar y delimitar el requerimiento del ahora </w:t>
      </w:r>
      <w:r w:rsidRPr="00FE678F">
        <w:rPr>
          <w:rFonts w:ascii="Palatino Linotype" w:hAnsi="Palatino Linotype" w:cs="Tahoma"/>
          <w:b/>
          <w:bCs/>
          <w:sz w:val="24"/>
        </w:rPr>
        <w:t>Recurrente</w:t>
      </w:r>
      <w:r w:rsidRPr="00FE678F">
        <w:rPr>
          <w:rFonts w:ascii="Palatino Linotype" w:hAnsi="Palatino Linotype" w:cs="Tahoma"/>
          <w:bCs/>
          <w:sz w:val="24"/>
        </w:rPr>
        <w:t>, de manera objetiva tiene la siguiente consideración:</w:t>
      </w:r>
    </w:p>
    <w:p w14:paraId="1648A40F" w14:textId="77777777" w:rsidR="00E346B1" w:rsidRPr="00FE678F" w:rsidRDefault="00E346B1" w:rsidP="00E346B1">
      <w:pPr>
        <w:pStyle w:val="Prrafodelista"/>
        <w:numPr>
          <w:ilvl w:val="0"/>
          <w:numId w:val="10"/>
        </w:numPr>
        <w:spacing w:line="360" w:lineRule="auto"/>
        <w:jc w:val="both"/>
        <w:rPr>
          <w:rFonts w:ascii="Palatino Linotype" w:hAnsi="Palatino Linotype"/>
          <w:color w:val="000000"/>
          <w:sz w:val="24"/>
          <w:szCs w:val="24"/>
        </w:rPr>
      </w:pPr>
      <w:r w:rsidRPr="00FE678F">
        <w:rPr>
          <w:rFonts w:ascii="Palatino Linotype" w:hAnsi="Palatino Linotype"/>
          <w:color w:val="000000"/>
          <w:sz w:val="24"/>
          <w:szCs w:val="24"/>
        </w:rPr>
        <w:t xml:space="preserve"> ¿Cuál es la página para localizar con coordenadas UTM el paraje “Corral de Vilchis”? </w:t>
      </w:r>
    </w:p>
    <w:p w14:paraId="7BCA7FA7" w14:textId="77777777" w:rsidR="00E346B1" w:rsidRPr="00FE678F" w:rsidRDefault="00E346B1" w:rsidP="00E346B1">
      <w:pPr>
        <w:pStyle w:val="Prrafodelista"/>
        <w:numPr>
          <w:ilvl w:val="0"/>
          <w:numId w:val="10"/>
        </w:numPr>
        <w:spacing w:line="360" w:lineRule="auto"/>
        <w:jc w:val="both"/>
        <w:rPr>
          <w:rFonts w:ascii="Palatino Linotype" w:hAnsi="Palatino Linotype"/>
          <w:color w:val="000000"/>
          <w:sz w:val="24"/>
          <w:szCs w:val="24"/>
        </w:rPr>
      </w:pPr>
      <w:r w:rsidRPr="00FE678F">
        <w:rPr>
          <w:rFonts w:ascii="Palatino Linotype" w:hAnsi="Palatino Linotype"/>
          <w:color w:val="000000"/>
          <w:sz w:val="24"/>
          <w:szCs w:val="24"/>
        </w:rPr>
        <w:t xml:space="preserve">¿Dónde queda el paraje “Corral de Vilchis”? </w:t>
      </w:r>
    </w:p>
    <w:p w14:paraId="22903051" w14:textId="77777777" w:rsidR="00E346B1" w:rsidRPr="00FE678F" w:rsidRDefault="00E346B1" w:rsidP="00E346B1">
      <w:pPr>
        <w:pStyle w:val="Prrafodelista"/>
        <w:numPr>
          <w:ilvl w:val="0"/>
          <w:numId w:val="10"/>
        </w:numPr>
        <w:spacing w:line="360" w:lineRule="auto"/>
        <w:jc w:val="both"/>
        <w:rPr>
          <w:rFonts w:ascii="Palatino Linotype" w:hAnsi="Palatino Linotype"/>
          <w:color w:val="000000"/>
          <w:sz w:val="24"/>
          <w:szCs w:val="24"/>
        </w:rPr>
      </w:pPr>
      <w:r w:rsidRPr="00FE678F">
        <w:rPr>
          <w:rFonts w:ascii="Palatino Linotype" w:hAnsi="Palatino Linotype"/>
          <w:color w:val="000000"/>
          <w:sz w:val="24"/>
          <w:szCs w:val="24"/>
        </w:rPr>
        <w:t xml:space="preserve">¿En San Francisco </w:t>
      </w:r>
      <w:proofErr w:type="spellStart"/>
      <w:r w:rsidRPr="00FE678F">
        <w:rPr>
          <w:rFonts w:ascii="Palatino Linotype" w:hAnsi="Palatino Linotype"/>
          <w:color w:val="000000"/>
          <w:sz w:val="24"/>
          <w:szCs w:val="24"/>
        </w:rPr>
        <w:t>Chimalpa</w:t>
      </w:r>
      <w:proofErr w:type="spellEnd"/>
      <w:r w:rsidRPr="00FE678F">
        <w:rPr>
          <w:rFonts w:ascii="Palatino Linotype" w:hAnsi="Palatino Linotype"/>
          <w:color w:val="000000"/>
          <w:sz w:val="24"/>
          <w:szCs w:val="24"/>
        </w:rPr>
        <w:t xml:space="preserve">, existe el paraje “Corral de Vilchis”? </w:t>
      </w:r>
    </w:p>
    <w:p w14:paraId="109A56A4" w14:textId="77777777" w:rsidR="00E346B1" w:rsidRPr="00FE678F" w:rsidRDefault="00E346B1" w:rsidP="00E346B1">
      <w:pPr>
        <w:pStyle w:val="Prrafodelista"/>
        <w:numPr>
          <w:ilvl w:val="0"/>
          <w:numId w:val="10"/>
        </w:numPr>
        <w:spacing w:line="360" w:lineRule="auto"/>
        <w:jc w:val="both"/>
        <w:rPr>
          <w:rFonts w:ascii="Palatino Linotype" w:hAnsi="Palatino Linotype"/>
          <w:color w:val="000000"/>
          <w:sz w:val="24"/>
          <w:szCs w:val="24"/>
        </w:rPr>
      </w:pPr>
      <w:r w:rsidRPr="00FE678F">
        <w:rPr>
          <w:rFonts w:ascii="Palatino Linotype" w:hAnsi="Palatino Linotype"/>
          <w:color w:val="000000"/>
          <w:sz w:val="24"/>
          <w:szCs w:val="24"/>
        </w:rPr>
        <w:t xml:space="preserve">¿En el registro público de la propiedad existe un paraje llamado “Corral de Vilchis”? </w:t>
      </w:r>
    </w:p>
    <w:p w14:paraId="0BFA826F" w14:textId="77777777" w:rsidR="00E346B1" w:rsidRPr="00FE678F" w:rsidRDefault="00E346B1" w:rsidP="00E346B1">
      <w:pPr>
        <w:pStyle w:val="Prrafodelista"/>
        <w:numPr>
          <w:ilvl w:val="0"/>
          <w:numId w:val="10"/>
        </w:numPr>
        <w:spacing w:line="360" w:lineRule="auto"/>
        <w:jc w:val="both"/>
        <w:rPr>
          <w:rFonts w:ascii="Palatino Linotype" w:hAnsi="Palatino Linotype"/>
          <w:color w:val="000000"/>
          <w:sz w:val="24"/>
          <w:szCs w:val="24"/>
        </w:rPr>
      </w:pPr>
      <w:r w:rsidRPr="00FE678F">
        <w:rPr>
          <w:rFonts w:ascii="Palatino Linotype" w:hAnsi="Palatino Linotype"/>
          <w:color w:val="000000"/>
          <w:sz w:val="24"/>
          <w:szCs w:val="24"/>
        </w:rPr>
        <w:t xml:space="preserve">¿En el IFREM, está registrado o existe un paraje llamado “Corral de Vilchis”? </w:t>
      </w:r>
    </w:p>
    <w:p w14:paraId="246AA049" w14:textId="77777777" w:rsidR="00E346B1" w:rsidRPr="00FE678F" w:rsidRDefault="00E346B1" w:rsidP="00E346B1">
      <w:pPr>
        <w:pStyle w:val="Prrafodelista"/>
        <w:numPr>
          <w:ilvl w:val="0"/>
          <w:numId w:val="10"/>
        </w:numPr>
        <w:spacing w:line="360" w:lineRule="auto"/>
        <w:jc w:val="both"/>
        <w:rPr>
          <w:rFonts w:ascii="Palatino Linotype" w:hAnsi="Palatino Linotype"/>
          <w:color w:val="000000"/>
          <w:sz w:val="24"/>
          <w:szCs w:val="24"/>
        </w:rPr>
      </w:pPr>
      <w:r w:rsidRPr="00FE678F">
        <w:rPr>
          <w:rFonts w:ascii="Palatino Linotype" w:hAnsi="Palatino Linotype"/>
          <w:color w:val="000000"/>
          <w:sz w:val="24"/>
          <w:szCs w:val="24"/>
        </w:rPr>
        <w:t xml:space="preserve"> ¿Cuáles son los parajes con los que colinda?</w:t>
      </w:r>
    </w:p>
    <w:p w14:paraId="2993E0B2" w14:textId="77777777" w:rsidR="00E346B1" w:rsidRPr="00FE678F" w:rsidRDefault="00E346B1" w:rsidP="00E346B1">
      <w:pPr>
        <w:pStyle w:val="Prrafodelista"/>
        <w:numPr>
          <w:ilvl w:val="0"/>
          <w:numId w:val="10"/>
        </w:numPr>
        <w:spacing w:line="360" w:lineRule="auto"/>
        <w:jc w:val="both"/>
        <w:rPr>
          <w:rFonts w:ascii="Palatino Linotype" w:hAnsi="Palatino Linotype"/>
          <w:color w:val="000000"/>
          <w:sz w:val="24"/>
          <w:szCs w:val="24"/>
        </w:rPr>
      </w:pPr>
      <w:r w:rsidRPr="00FE678F">
        <w:rPr>
          <w:rFonts w:ascii="Palatino Linotype" w:hAnsi="Palatino Linotype"/>
          <w:color w:val="000000"/>
          <w:sz w:val="24"/>
          <w:szCs w:val="24"/>
        </w:rPr>
        <w:t xml:space="preserve"> ¿Coordenadas UTM de los parajes vecinos del Corral del Vilchis?</w:t>
      </w:r>
    </w:p>
    <w:p w14:paraId="291FCDC7" w14:textId="77777777" w:rsidR="00E346B1" w:rsidRPr="00FE678F" w:rsidRDefault="00E346B1" w:rsidP="00E346B1">
      <w:pPr>
        <w:pStyle w:val="Prrafodelista"/>
        <w:numPr>
          <w:ilvl w:val="0"/>
          <w:numId w:val="10"/>
        </w:numPr>
        <w:spacing w:line="360" w:lineRule="auto"/>
        <w:jc w:val="both"/>
        <w:rPr>
          <w:rFonts w:ascii="Palatino Linotype" w:hAnsi="Palatino Linotype"/>
          <w:color w:val="000000"/>
          <w:sz w:val="24"/>
          <w:szCs w:val="24"/>
        </w:rPr>
      </w:pPr>
      <w:r w:rsidRPr="00FE678F">
        <w:rPr>
          <w:rFonts w:ascii="Palatino Linotype" w:hAnsi="Palatino Linotype"/>
          <w:color w:val="000000"/>
          <w:sz w:val="24"/>
          <w:szCs w:val="24"/>
        </w:rPr>
        <w:t xml:space="preserve"> ¿Cuál es el procedimiento para poner nombres?</w:t>
      </w:r>
    </w:p>
    <w:p w14:paraId="44261F36" w14:textId="77777777" w:rsidR="00E346B1" w:rsidRPr="00FE678F" w:rsidRDefault="00E346B1" w:rsidP="00E346B1">
      <w:pPr>
        <w:pStyle w:val="Prrafodelista"/>
        <w:spacing w:line="360" w:lineRule="auto"/>
        <w:jc w:val="both"/>
        <w:rPr>
          <w:rFonts w:ascii="Palatino Linotype" w:hAnsi="Palatino Linotype" w:cs="Arial"/>
        </w:rPr>
      </w:pPr>
    </w:p>
    <w:p w14:paraId="0588453E" w14:textId="62CE0EB4" w:rsidR="00E346B1" w:rsidRPr="00FE678F" w:rsidRDefault="00E346B1" w:rsidP="00E346B1">
      <w:pPr>
        <w:spacing w:line="360" w:lineRule="auto"/>
        <w:jc w:val="both"/>
        <w:rPr>
          <w:rFonts w:ascii="Palatino Linotype" w:hAnsi="Palatino Linotype" w:cs="Arial"/>
          <w:sz w:val="24"/>
        </w:rPr>
      </w:pPr>
      <w:r w:rsidRPr="00FE678F">
        <w:rPr>
          <w:rFonts w:ascii="Palatino Linotype" w:hAnsi="Palatino Linotype" w:cs="Arial"/>
          <w:sz w:val="24"/>
        </w:rPr>
        <w:t xml:space="preserve">Así las cosas, es necesario hacer del conocimiento del Particular que, de la simple lectura a su Recurso de Revisión, </w:t>
      </w:r>
      <w:r w:rsidRPr="00FE678F">
        <w:rPr>
          <w:rFonts w:ascii="Palatino Linotype" w:hAnsi="Palatino Linotype" w:cs="Arial"/>
          <w:b/>
          <w:sz w:val="24"/>
        </w:rPr>
        <w:t xml:space="preserve">se desprende que no actualiza ninguno de los supuestos previstos en el artículo 179 la Ley de Transparencia Local </w:t>
      </w:r>
      <w:r w:rsidRPr="00FE678F">
        <w:rPr>
          <w:rFonts w:ascii="Palatino Linotype" w:hAnsi="Palatino Linotype" w:cs="Arial"/>
          <w:sz w:val="24"/>
        </w:rPr>
        <w:t xml:space="preserve">conforme a las actuaciones que obran en el expediente electrónico formado en el Sistema de Acceso a la Información Mexiquense </w:t>
      </w:r>
      <w:r w:rsidRPr="00FE678F">
        <w:rPr>
          <w:rFonts w:ascii="Palatino Linotype" w:hAnsi="Palatino Linotype" w:cs="Arial"/>
          <w:b/>
          <w:sz w:val="24"/>
        </w:rPr>
        <w:t>(SAIMEX)</w:t>
      </w:r>
      <w:r w:rsidRPr="00FE678F">
        <w:rPr>
          <w:rFonts w:ascii="Palatino Linotype" w:hAnsi="Palatino Linotype" w:cs="Arial"/>
          <w:sz w:val="24"/>
        </w:rPr>
        <w:t>.</w:t>
      </w:r>
    </w:p>
    <w:p w14:paraId="57D52135" w14:textId="77777777" w:rsidR="00E346B1" w:rsidRPr="00FE678F" w:rsidRDefault="00E346B1" w:rsidP="00E346B1">
      <w:pPr>
        <w:spacing w:line="360" w:lineRule="auto"/>
        <w:jc w:val="both"/>
        <w:rPr>
          <w:rFonts w:ascii="Palatino Linotype" w:hAnsi="Palatino Linotype" w:cs="Arial"/>
          <w:sz w:val="24"/>
        </w:rPr>
      </w:pPr>
      <w:r w:rsidRPr="00FE678F">
        <w:rPr>
          <w:rFonts w:ascii="Palatino Linotype" w:hAnsi="Palatino Linotype" w:cs="Arial"/>
          <w:sz w:val="24"/>
        </w:rPr>
        <w:lastRenderedPageBreak/>
        <w:t xml:space="preserve">Sirva de referencia lo dispuesto por el artículo 179 de la Ley de Transparencia Local a efecto de advertir </w:t>
      </w:r>
      <w:r w:rsidRPr="00FE678F">
        <w:rPr>
          <w:rFonts w:ascii="Palatino Linotype" w:hAnsi="Palatino Linotype" w:cs="Arial"/>
          <w:b/>
          <w:sz w:val="24"/>
        </w:rPr>
        <w:t>que no actualiza ninguno de los supuestos previstos para la procedencia del recurso de revisión</w:t>
      </w:r>
      <w:r w:rsidRPr="00FE678F">
        <w:rPr>
          <w:rFonts w:ascii="Palatino Linotype" w:hAnsi="Palatino Linotype" w:cs="Arial"/>
          <w:sz w:val="24"/>
        </w:rPr>
        <w:t xml:space="preserve"> en los términos siguientes; </w:t>
      </w:r>
    </w:p>
    <w:p w14:paraId="2667C53F" w14:textId="77777777" w:rsidR="00E346B1" w:rsidRPr="00FE678F" w:rsidRDefault="00E346B1" w:rsidP="00E346B1">
      <w:pPr>
        <w:spacing w:line="360" w:lineRule="auto"/>
        <w:ind w:left="708"/>
        <w:jc w:val="both"/>
        <w:rPr>
          <w:rFonts w:ascii="Palatino Linotype" w:hAnsi="Palatino Linotype"/>
          <w:b/>
          <w:i/>
        </w:rPr>
      </w:pPr>
      <w:r w:rsidRPr="00FE678F">
        <w:rPr>
          <w:rFonts w:ascii="Palatino Linotype" w:hAnsi="Palatino Linotype"/>
          <w:i/>
        </w:rPr>
        <w:t xml:space="preserve">Artículo 179. El recurso de revisión es un medio de protección que la Ley otorga a los particulares, para hacer valer su derecho de acceso a la información pública, y </w:t>
      </w:r>
      <w:r w:rsidRPr="00FE678F">
        <w:rPr>
          <w:rFonts w:ascii="Palatino Linotype" w:hAnsi="Palatino Linotype"/>
          <w:b/>
          <w:i/>
        </w:rPr>
        <w:t xml:space="preserve">procederá en contra de las siguientes causas: </w:t>
      </w:r>
    </w:p>
    <w:p w14:paraId="7606D74D"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i/>
        </w:rPr>
      </w:pPr>
      <w:r w:rsidRPr="00FE678F">
        <w:rPr>
          <w:rFonts w:ascii="Palatino Linotype" w:hAnsi="Palatino Linotype"/>
          <w:i/>
        </w:rPr>
        <w:t xml:space="preserve">La negativa a la información solicitada; </w:t>
      </w:r>
    </w:p>
    <w:p w14:paraId="7F7EA7DE"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 xml:space="preserve">La clasificación de la información; </w:t>
      </w:r>
    </w:p>
    <w:p w14:paraId="38FAFC71"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La declaración de inexistencia de la información;</w:t>
      </w:r>
    </w:p>
    <w:p w14:paraId="0FB33A38"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 xml:space="preserve">La declaración de incompetencia por el sujeto obligado; </w:t>
      </w:r>
    </w:p>
    <w:p w14:paraId="69CD2E8A"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La entrega de información incompleta;</w:t>
      </w:r>
    </w:p>
    <w:p w14:paraId="7F7F46CF"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 xml:space="preserve">La entrega de información que no corresponda con lo solicitado; </w:t>
      </w:r>
    </w:p>
    <w:p w14:paraId="50CC7BDE"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La falta de respuesta a una solicitud de acceso a la información;</w:t>
      </w:r>
    </w:p>
    <w:p w14:paraId="4FB8D97A"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La notificación, entrega o puesta a disposición de información en una modalidad o formato distinto al solicitado;</w:t>
      </w:r>
    </w:p>
    <w:p w14:paraId="017BF165"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 xml:space="preserve">La entrega o puesta a disposición de información en un formato incomprensible y/o no accesible para el solicitante; </w:t>
      </w:r>
    </w:p>
    <w:p w14:paraId="0AE85B87"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Los costos o tiempos de entrega de la información;</w:t>
      </w:r>
    </w:p>
    <w:p w14:paraId="0F0C077D"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La falta de trámite a una solicitud;</w:t>
      </w:r>
    </w:p>
    <w:p w14:paraId="5B88034A"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 xml:space="preserve"> La negativa a permitir la consulta directa de la información;</w:t>
      </w:r>
    </w:p>
    <w:p w14:paraId="0BF30AE9"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 xml:space="preserve"> La falta, deficiencia o insuficiencia de la fundamentación y/o motivación en la respuesta; y </w:t>
      </w:r>
    </w:p>
    <w:p w14:paraId="05F64059" w14:textId="77777777" w:rsidR="00E346B1" w:rsidRPr="00FE678F" w:rsidRDefault="00E346B1" w:rsidP="00E346B1">
      <w:pPr>
        <w:pStyle w:val="Prrafodelista"/>
        <w:numPr>
          <w:ilvl w:val="0"/>
          <w:numId w:val="8"/>
        </w:numPr>
        <w:spacing w:after="0" w:line="360" w:lineRule="auto"/>
        <w:contextualSpacing w:val="0"/>
        <w:jc w:val="both"/>
        <w:rPr>
          <w:rFonts w:ascii="Palatino Linotype" w:hAnsi="Palatino Linotype" w:cs="Arial"/>
          <w:i/>
        </w:rPr>
      </w:pPr>
      <w:r w:rsidRPr="00FE678F">
        <w:rPr>
          <w:rFonts w:ascii="Palatino Linotype" w:hAnsi="Palatino Linotype"/>
          <w:i/>
        </w:rPr>
        <w:t xml:space="preserve"> La orientación a un trámite específico.</w:t>
      </w:r>
    </w:p>
    <w:p w14:paraId="530F568B" w14:textId="77777777" w:rsidR="00E346B1" w:rsidRPr="00FE678F" w:rsidRDefault="00E346B1" w:rsidP="00E346B1">
      <w:pPr>
        <w:spacing w:line="360" w:lineRule="auto"/>
        <w:jc w:val="both"/>
        <w:rPr>
          <w:rFonts w:ascii="Palatino Linotype" w:hAnsi="Palatino Linotype"/>
          <w:sz w:val="24"/>
          <w:lang w:val="es-ES_tradnl"/>
        </w:rPr>
      </w:pPr>
    </w:p>
    <w:p w14:paraId="0E7805E4" w14:textId="77777777" w:rsidR="00E346B1" w:rsidRPr="00FE678F" w:rsidRDefault="00E346B1" w:rsidP="00E346B1">
      <w:pPr>
        <w:autoSpaceDE w:val="0"/>
        <w:autoSpaceDN w:val="0"/>
        <w:adjustRightInd w:val="0"/>
        <w:spacing w:line="360" w:lineRule="auto"/>
        <w:jc w:val="both"/>
        <w:rPr>
          <w:rFonts w:ascii="Palatino Linotype" w:hAnsi="Palatino Linotype"/>
          <w:sz w:val="24"/>
        </w:rPr>
      </w:pPr>
      <w:r w:rsidRPr="00FE678F">
        <w:rPr>
          <w:rFonts w:ascii="Palatino Linotype" w:hAnsi="Palatino Linotype" w:cs="Arial"/>
          <w:sz w:val="24"/>
        </w:rPr>
        <w:lastRenderedPageBreak/>
        <w:t xml:space="preserve">Ahora bien, también se advierte </w:t>
      </w:r>
      <w:r w:rsidRPr="00FE678F">
        <w:rPr>
          <w:rFonts w:ascii="Palatino Linotype" w:hAnsi="Palatino Linotype"/>
          <w:b/>
          <w:sz w:val="24"/>
          <w:u w:val="single"/>
        </w:rPr>
        <w:t>que el particular no expresa razonamientos concretos que permitieran a analizar si, efectivamente, el Sujeto Obligado violentó el derecho de acceso a la información del particular</w:t>
      </w:r>
      <w:r w:rsidRPr="00FE678F">
        <w:rPr>
          <w:rFonts w:ascii="Palatino Linotype" w:hAnsi="Palatino Linotype"/>
          <w:sz w:val="24"/>
        </w:rPr>
        <w:t xml:space="preserve">, para mayor abundamiento es aplicable la Jurisprudencia con número de registro 173593 de la Novena Época, visible en el Semanario Judicial de la Federación y su Gaceta Tomo XXV, de enero de 2007, tesis I.4o.A. </w:t>
      </w:r>
      <w:proofErr w:type="gramStart"/>
      <w:r w:rsidRPr="00FE678F">
        <w:rPr>
          <w:rFonts w:ascii="Palatino Linotype" w:hAnsi="Palatino Linotype"/>
          <w:sz w:val="24"/>
        </w:rPr>
        <w:t>j/48</w:t>
      </w:r>
      <w:proofErr w:type="gramEnd"/>
      <w:r w:rsidRPr="00FE678F">
        <w:rPr>
          <w:rFonts w:ascii="Palatino Linotype" w:hAnsi="Palatino Linotype"/>
          <w:sz w:val="24"/>
        </w:rPr>
        <w:t xml:space="preserve"> en materia común, en la que se establece lo siguiente:</w:t>
      </w:r>
    </w:p>
    <w:p w14:paraId="2D86A4D1" w14:textId="77777777" w:rsidR="00E346B1" w:rsidRPr="00FE678F" w:rsidRDefault="00E346B1" w:rsidP="00E346B1">
      <w:pPr>
        <w:ind w:left="567" w:right="567"/>
        <w:jc w:val="both"/>
        <w:rPr>
          <w:rFonts w:ascii="Palatino Linotype" w:hAnsi="Palatino Linotype"/>
          <w:b/>
          <w:i/>
        </w:rPr>
      </w:pPr>
      <w:r w:rsidRPr="00FE678F">
        <w:rPr>
          <w:rFonts w:ascii="Palatino Linotype" w:hAnsi="Palatino Linotype"/>
          <w:b/>
          <w:i/>
        </w:rPr>
        <w:t>CONCEPTOS DE VIOLACIÓN O AGRAVIOS. SON INOPERANTES CUANDO LOS ARGUMENTOS EXPUESTOS POR EL QUEJOSO O EL RECURRENTE SON AMBIGUOS Y SUPERFICIALES.</w:t>
      </w:r>
    </w:p>
    <w:p w14:paraId="216DA71E" w14:textId="77777777" w:rsidR="00E346B1" w:rsidRPr="00FE678F" w:rsidRDefault="00E346B1" w:rsidP="00E346B1">
      <w:pPr>
        <w:ind w:left="567" w:right="567"/>
        <w:jc w:val="both"/>
        <w:rPr>
          <w:rFonts w:ascii="Palatino Linotype" w:hAnsi="Palatino Linotype"/>
          <w:i/>
        </w:rPr>
      </w:pPr>
      <w:r w:rsidRPr="00FE678F">
        <w:rPr>
          <w:rFonts w:ascii="Palatino Linotype" w:hAnsi="Palatino Linotype"/>
          <w:i/>
        </w:rPr>
        <w:t xml:space="preserve">Los actos de autoridad y las sentencias están investidos de una presunción de validez que debe ser destruida. Por tanto, </w:t>
      </w:r>
      <w:r w:rsidRPr="00FE678F">
        <w:rPr>
          <w:rFonts w:ascii="Palatino Linotype" w:hAnsi="Palatino Linotype"/>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FE678F">
        <w:rPr>
          <w:rFonts w:ascii="Palatino Linotype" w:hAnsi="Palatino Linotype"/>
          <w:i/>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w:t>
      </w:r>
      <w:r w:rsidRPr="00FE678F">
        <w:rPr>
          <w:rFonts w:ascii="Palatino Linotype" w:hAnsi="Palatino Linotype"/>
          <w:b/>
          <w:i/>
          <w:u w:val="single"/>
        </w:rPr>
        <w:t xml:space="preserve">las manifestaciones que se viertan no podrán ser analizadas por el órgano colegiado y deberán calificarse de inoperantes, ya que se está ante argumentos non </w:t>
      </w:r>
      <w:proofErr w:type="spellStart"/>
      <w:r w:rsidRPr="00FE678F">
        <w:rPr>
          <w:rFonts w:ascii="Palatino Linotype" w:hAnsi="Palatino Linotype"/>
          <w:b/>
          <w:i/>
          <w:u w:val="single"/>
        </w:rPr>
        <w:t>sequitur</w:t>
      </w:r>
      <w:proofErr w:type="spellEnd"/>
      <w:r w:rsidRPr="00FE678F">
        <w:rPr>
          <w:rFonts w:ascii="Palatino Linotype" w:hAnsi="Palatino Linotype"/>
          <w:b/>
          <w:i/>
          <w:u w:val="single"/>
        </w:rPr>
        <w:t xml:space="preserve"> para obtener una declaratoria de invalidez</w:t>
      </w:r>
      <w:r w:rsidRPr="00FE678F">
        <w:rPr>
          <w:rFonts w:ascii="Palatino Linotype" w:hAnsi="Palatino Linotype"/>
          <w:i/>
        </w:rPr>
        <w:t xml:space="preserve">. </w:t>
      </w:r>
    </w:p>
    <w:p w14:paraId="06B0DE6D" w14:textId="77777777" w:rsidR="00E346B1" w:rsidRPr="00FE678F" w:rsidRDefault="00E346B1" w:rsidP="00E346B1">
      <w:pPr>
        <w:ind w:left="567" w:right="567"/>
        <w:jc w:val="both"/>
        <w:rPr>
          <w:rFonts w:ascii="Palatino Linotype" w:hAnsi="Palatino Linotype"/>
          <w:i/>
          <w:sz w:val="16"/>
          <w:szCs w:val="16"/>
        </w:rPr>
      </w:pPr>
      <w:r w:rsidRPr="00FE678F">
        <w:rPr>
          <w:rFonts w:ascii="Palatino Linotype" w:hAnsi="Palatino Linotype"/>
          <w:i/>
          <w:sz w:val="16"/>
          <w:szCs w:val="16"/>
        </w:rPr>
        <w:t>CUARTO TRIBUNAL COLEGIADO EN MATERIA ADMINISTRATIVA DEL PRIMER CIRCUITO.</w:t>
      </w:r>
    </w:p>
    <w:p w14:paraId="4A51BBBC" w14:textId="77777777" w:rsidR="00E346B1" w:rsidRPr="00FE678F" w:rsidRDefault="00E346B1" w:rsidP="00E346B1">
      <w:pPr>
        <w:ind w:left="567" w:right="567"/>
        <w:jc w:val="both"/>
        <w:rPr>
          <w:rFonts w:ascii="Palatino Linotype" w:hAnsi="Palatino Linotype"/>
          <w:i/>
          <w:sz w:val="16"/>
          <w:szCs w:val="16"/>
        </w:rPr>
      </w:pPr>
      <w:r w:rsidRPr="00FE678F">
        <w:rPr>
          <w:rFonts w:ascii="Palatino Linotype" w:hAnsi="Palatino Linotype"/>
          <w:i/>
          <w:sz w:val="16"/>
          <w:szCs w:val="16"/>
        </w:rPr>
        <w:t xml:space="preserve">Amparo en revisión 43/2006. Juan Silva Rodríguez y otros. 22 de febrero de 2006. Unanimidad de votos. Ponente: Jean Claude </w:t>
      </w:r>
      <w:proofErr w:type="spellStart"/>
      <w:r w:rsidRPr="00FE678F">
        <w:rPr>
          <w:rFonts w:ascii="Palatino Linotype" w:hAnsi="Palatino Linotype"/>
          <w:i/>
          <w:sz w:val="16"/>
          <w:szCs w:val="16"/>
        </w:rPr>
        <w:t>Tron</w:t>
      </w:r>
      <w:proofErr w:type="spellEnd"/>
      <w:r w:rsidRPr="00FE678F">
        <w:rPr>
          <w:rFonts w:ascii="Palatino Linotype" w:hAnsi="Palatino Linotype"/>
          <w:i/>
          <w:sz w:val="16"/>
          <w:szCs w:val="16"/>
        </w:rPr>
        <w:t xml:space="preserve"> </w:t>
      </w:r>
      <w:proofErr w:type="spellStart"/>
      <w:r w:rsidRPr="00FE678F">
        <w:rPr>
          <w:rFonts w:ascii="Palatino Linotype" w:hAnsi="Palatino Linotype"/>
          <w:i/>
          <w:sz w:val="16"/>
          <w:szCs w:val="16"/>
        </w:rPr>
        <w:t>Petit</w:t>
      </w:r>
      <w:proofErr w:type="spellEnd"/>
      <w:r w:rsidRPr="00FE678F">
        <w:rPr>
          <w:rFonts w:ascii="Palatino Linotype" w:hAnsi="Palatino Linotype"/>
          <w:i/>
          <w:sz w:val="16"/>
          <w:szCs w:val="16"/>
        </w:rPr>
        <w:t xml:space="preserve">. Secretaria: Claudia Patricia Peraza Espinoza. </w:t>
      </w:r>
    </w:p>
    <w:p w14:paraId="3C9C07B8" w14:textId="77777777" w:rsidR="00E346B1" w:rsidRPr="00FE678F" w:rsidRDefault="00E346B1" w:rsidP="00E346B1">
      <w:pPr>
        <w:ind w:left="567" w:right="567"/>
        <w:jc w:val="both"/>
        <w:rPr>
          <w:rFonts w:ascii="Palatino Linotype" w:hAnsi="Palatino Linotype"/>
          <w:i/>
          <w:sz w:val="16"/>
          <w:szCs w:val="16"/>
        </w:rPr>
      </w:pPr>
      <w:r w:rsidRPr="00FE678F">
        <w:rPr>
          <w:rFonts w:ascii="Palatino Linotype" w:hAnsi="Palatino Linotype"/>
          <w:i/>
          <w:sz w:val="16"/>
          <w:szCs w:val="16"/>
        </w:rPr>
        <w:t xml:space="preserve">Amparo directo 443/2005. Servicios Corporativos Cosmos, S.A. de C.V. 1o. de marzo de 2006. Unanimidad de votos. Ponente: Jean Claude </w:t>
      </w:r>
      <w:proofErr w:type="spellStart"/>
      <w:r w:rsidRPr="00FE678F">
        <w:rPr>
          <w:rFonts w:ascii="Palatino Linotype" w:hAnsi="Palatino Linotype"/>
          <w:i/>
          <w:sz w:val="16"/>
          <w:szCs w:val="16"/>
        </w:rPr>
        <w:t>Tron</w:t>
      </w:r>
      <w:proofErr w:type="spellEnd"/>
      <w:r w:rsidRPr="00FE678F">
        <w:rPr>
          <w:rFonts w:ascii="Palatino Linotype" w:hAnsi="Palatino Linotype"/>
          <w:i/>
          <w:sz w:val="16"/>
          <w:szCs w:val="16"/>
        </w:rPr>
        <w:t xml:space="preserve"> </w:t>
      </w:r>
      <w:proofErr w:type="spellStart"/>
      <w:r w:rsidRPr="00FE678F">
        <w:rPr>
          <w:rFonts w:ascii="Palatino Linotype" w:hAnsi="Palatino Linotype"/>
          <w:i/>
          <w:sz w:val="16"/>
          <w:szCs w:val="16"/>
        </w:rPr>
        <w:t>Petit</w:t>
      </w:r>
      <w:proofErr w:type="spellEnd"/>
      <w:r w:rsidRPr="00FE678F">
        <w:rPr>
          <w:rFonts w:ascii="Palatino Linotype" w:hAnsi="Palatino Linotype"/>
          <w:i/>
          <w:sz w:val="16"/>
          <w:szCs w:val="16"/>
        </w:rPr>
        <w:t xml:space="preserve">. Secretario: Alfredo A. Martínez Jiménez. </w:t>
      </w:r>
    </w:p>
    <w:p w14:paraId="48E0F150" w14:textId="77777777" w:rsidR="00E346B1" w:rsidRPr="00FE678F" w:rsidRDefault="00E346B1" w:rsidP="00E346B1">
      <w:pPr>
        <w:ind w:left="567" w:right="567"/>
        <w:jc w:val="both"/>
        <w:rPr>
          <w:rFonts w:ascii="Palatino Linotype" w:hAnsi="Palatino Linotype"/>
          <w:i/>
          <w:sz w:val="16"/>
          <w:szCs w:val="16"/>
        </w:rPr>
      </w:pPr>
      <w:r w:rsidRPr="00FE678F">
        <w:rPr>
          <w:rFonts w:ascii="Palatino Linotype" w:hAnsi="Palatino Linotype"/>
          <w:i/>
          <w:sz w:val="16"/>
          <w:szCs w:val="16"/>
        </w:rPr>
        <w:t xml:space="preserve">Amparo directo 125/2006. Víctor Hugo Reyes </w:t>
      </w:r>
      <w:proofErr w:type="spellStart"/>
      <w:r w:rsidRPr="00FE678F">
        <w:rPr>
          <w:rFonts w:ascii="Palatino Linotype" w:hAnsi="Palatino Linotype"/>
          <w:i/>
          <w:sz w:val="16"/>
          <w:szCs w:val="16"/>
        </w:rPr>
        <w:t>Monterrubio</w:t>
      </w:r>
      <w:proofErr w:type="spellEnd"/>
      <w:r w:rsidRPr="00FE678F">
        <w:rPr>
          <w:rFonts w:ascii="Palatino Linotype" w:hAnsi="Palatino Linotype"/>
          <w:i/>
          <w:sz w:val="16"/>
          <w:szCs w:val="16"/>
        </w:rPr>
        <w:t xml:space="preserve">. 31 de mayo de 2006. Unanimidad de votos. Ponente: Jean Claude </w:t>
      </w:r>
      <w:proofErr w:type="spellStart"/>
      <w:r w:rsidRPr="00FE678F">
        <w:rPr>
          <w:rFonts w:ascii="Palatino Linotype" w:hAnsi="Palatino Linotype"/>
          <w:i/>
          <w:sz w:val="16"/>
          <w:szCs w:val="16"/>
        </w:rPr>
        <w:t>Tron</w:t>
      </w:r>
      <w:proofErr w:type="spellEnd"/>
      <w:r w:rsidRPr="00FE678F">
        <w:rPr>
          <w:rFonts w:ascii="Palatino Linotype" w:hAnsi="Palatino Linotype"/>
          <w:i/>
          <w:sz w:val="16"/>
          <w:szCs w:val="16"/>
        </w:rPr>
        <w:t xml:space="preserve"> </w:t>
      </w:r>
      <w:proofErr w:type="spellStart"/>
      <w:r w:rsidRPr="00FE678F">
        <w:rPr>
          <w:rFonts w:ascii="Palatino Linotype" w:hAnsi="Palatino Linotype"/>
          <w:i/>
          <w:sz w:val="16"/>
          <w:szCs w:val="16"/>
        </w:rPr>
        <w:t>Petit</w:t>
      </w:r>
      <w:proofErr w:type="spellEnd"/>
      <w:r w:rsidRPr="00FE678F">
        <w:rPr>
          <w:rFonts w:ascii="Palatino Linotype" w:hAnsi="Palatino Linotype"/>
          <w:i/>
          <w:sz w:val="16"/>
          <w:szCs w:val="16"/>
        </w:rPr>
        <w:t xml:space="preserve">. Secretario: Alfredo A. Martínez Jiménez. </w:t>
      </w:r>
    </w:p>
    <w:p w14:paraId="7896713C" w14:textId="77777777" w:rsidR="00E346B1" w:rsidRPr="00FE678F" w:rsidRDefault="00E346B1" w:rsidP="00E346B1">
      <w:pPr>
        <w:ind w:left="567" w:right="567"/>
        <w:jc w:val="both"/>
        <w:rPr>
          <w:rFonts w:ascii="Palatino Linotype" w:hAnsi="Palatino Linotype"/>
          <w:i/>
          <w:sz w:val="16"/>
          <w:szCs w:val="16"/>
        </w:rPr>
      </w:pPr>
      <w:r w:rsidRPr="00FE678F">
        <w:rPr>
          <w:rFonts w:ascii="Palatino Linotype" w:hAnsi="Palatino Linotype"/>
          <w:i/>
          <w:sz w:val="16"/>
          <w:szCs w:val="16"/>
        </w:rPr>
        <w:lastRenderedPageBreak/>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3E830F92" w14:textId="77777777" w:rsidR="00E346B1" w:rsidRPr="00FE678F" w:rsidRDefault="00E346B1" w:rsidP="00E346B1">
      <w:pPr>
        <w:ind w:left="567" w:right="567"/>
        <w:jc w:val="both"/>
        <w:rPr>
          <w:rFonts w:ascii="Palatino Linotype" w:hAnsi="Palatino Linotype"/>
          <w:sz w:val="16"/>
          <w:szCs w:val="16"/>
        </w:rPr>
      </w:pPr>
      <w:r w:rsidRPr="00FE678F">
        <w:rPr>
          <w:rFonts w:ascii="Palatino Linotype" w:hAnsi="Palatino Linotype"/>
          <w:i/>
          <w:sz w:val="16"/>
          <w:szCs w:val="16"/>
        </w:rPr>
        <w:t xml:space="preserve">Incidente de suspensión (revisión) 380/2006. Director General Jurídico y de Gobierno en la Delegación Tlalpan. 11 de octubre de 2006. Unanimidad de votos. Ponente: Jesús Antonio </w:t>
      </w:r>
      <w:proofErr w:type="spellStart"/>
      <w:r w:rsidRPr="00FE678F">
        <w:rPr>
          <w:rFonts w:ascii="Palatino Linotype" w:hAnsi="Palatino Linotype"/>
          <w:i/>
          <w:sz w:val="16"/>
          <w:szCs w:val="16"/>
        </w:rPr>
        <w:t>Nazar</w:t>
      </w:r>
      <w:proofErr w:type="spellEnd"/>
      <w:r w:rsidRPr="00FE678F">
        <w:rPr>
          <w:rFonts w:ascii="Palatino Linotype" w:hAnsi="Palatino Linotype"/>
          <w:i/>
          <w:sz w:val="16"/>
          <w:szCs w:val="16"/>
        </w:rPr>
        <w:t xml:space="preserve"> Sevilla. Secretaria: Indira Martínez Fernández.</w:t>
      </w:r>
    </w:p>
    <w:p w14:paraId="44F928C8" w14:textId="77777777" w:rsidR="00E346B1" w:rsidRPr="00FE678F" w:rsidRDefault="00E346B1" w:rsidP="00E346B1">
      <w:pPr>
        <w:spacing w:line="360" w:lineRule="auto"/>
        <w:jc w:val="both"/>
        <w:rPr>
          <w:rFonts w:ascii="Palatino Linotype" w:hAnsi="Palatino Linotype"/>
        </w:rPr>
      </w:pPr>
    </w:p>
    <w:p w14:paraId="259E6B35" w14:textId="77777777" w:rsidR="00E346B1" w:rsidRPr="00FE678F" w:rsidRDefault="00E346B1" w:rsidP="00E346B1">
      <w:pPr>
        <w:spacing w:line="360" w:lineRule="auto"/>
        <w:jc w:val="both"/>
        <w:rPr>
          <w:rFonts w:ascii="Palatino Linotype" w:hAnsi="Palatino Linotype"/>
          <w:sz w:val="24"/>
        </w:rPr>
      </w:pPr>
      <w:r w:rsidRPr="00FE678F">
        <w:rPr>
          <w:rFonts w:ascii="Palatino Linotype" w:hAnsi="Palatino Linotype"/>
          <w:sz w:val="24"/>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49838EF8" w14:textId="77777777" w:rsidR="00E346B1" w:rsidRPr="00FE678F" w:rsidRDefault="00E346B1" w:rsidP="00E346B1">
      <w:pPr>
        <w:ind w:left="567" w:right="567"/>
        <w:jc w:val="center"/>
        <w:rPr>
          <w:rFonts w:ascii="Palatino Linotype" w:hAnsi="Palatino Linotype"/>
          <w:b/>
          <w:i/>
        </w:rPr>
      </w:pPr>
      <w:r w:rsidRPr="00FE678F">
        <w:rPr>
          <w:rFonts w:ascii="Palatino Linotype" w:hAnsi="Palatino Linotype"/>
          <w:b/>
          <w:i/>
        </w:rPr>
        <w:t>AGRAVIOS, LO QUE DEBE CONSIDERARSE COMO TALES</w:t>
      </w:r>
    </w:p>
    <w:p w14:paraId="57109B35" w14:textId="77777777" w:rsidR="00E346B1" w:rsidRPr="00FE678F" w:rsidRDefault="00E346B1" w:rsidP="00E346B1">
      <w:pPr>
        <w:ind w:left="567" w:right="567"/>
        <w:jc w:val="both"/>
        <w:rPr>
          <w:rFonts w:ascii="Palatino Linotype" w:hAnsi="Palatino Linotype"/>
          <w:i/>
        </w:rPr>
      </w:pPr>
      <w:r w:rsidRPr="00FE678F">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331F154C" w14:textId="77777777" w:rsidR="00E346B1" w:rsidRPr="00FE678F" w:rsidRDefault="00E346B1" w:rsidP="00E346B1">
      <w:pPr>
        <w:ind w:left="567" w:right="567"/>
        <w:jc w:val="both"/>
        <w:rPr>
          <w:rFonts w:ascii="Palatino Linotype" w:hAnsi="Palatino Linotype"/>
          <w:i/>
          <w:sz w:val="16"/>
          <w:szCs w:val="16"/>
        </w:rPr>
      </w:pPr>
      <w:r w:rsidRPr="00FE678F">
        <w:rPr>
          <w:rFonts w:ascii="Palatino Linotype" w:hAnsi="Palatino Linotype"/>
          <w:i/>
          <w:sz w:val="16"/>
          <w:szCs w:val="16"/>
        </w:rPr>
        <w:t>PRIMER TRIBUNAL COLEGIADO DEL SEPTIMO CIRCUITO.</w:t>
      </w:r>
    </w:p>
    <w:p w14:paraId="4A80E4AB" w14:textId="77777777" w:rsidR="00E346B1" w:rsidRPr="00FE678F" w:rsidRDefault="00E346B1" w:rsidP="00E346B1">
      <w:pPr>
        <w:ind w:left="567" w:right="567"/>
        <w:jc w:val="both"/>
        <w:rPr>
          <w:rFonts w:ascii="Palatino Linotype" w:hAnsi="Palatino Linotype"/>
          <w:sz w:val="16"/>
          <w:szCs w:val="16"/>
        </w:rPr>
      </w:pPr>
      <w:r w:rsidRPr="00FE678F">
        <w:rPr>
          <w:rFonts w:ascii="Palatino Linotype" w:hAnsi="Palatino Linotype"/>
          <w:i/>
          <w:sz w:val="16"/>
          <w:szCs w:val="16"/>
        </w:rPr>
        <w:t xml:space="preserve">Incidente 563/87. Jorge Orlando </w:t>
      </w:r>
      <w:proofErr w:type="spellStart"/>
      <w:r w:rsidRPr="00FE678F">
        <w:rPr>
          <w:rFonts w:ascii="Palatino Linotype" w:hAnsi="Palatino Linotype"/>
          <w:i/>
          <w:sz w:val="16"/>
          <w:szCs w:val="16"/>
        </w:rPr>
        <w:t>Cuallo</w:t>
      </w:r>
      <w:proofErr w:type="spellEnd"/>
      <w:r w:rsidRPr="00FE678F">
        <w:rPr>
          <w:rFonts w:ascii="Palatino Linotype" w:hAnsi="Palatino Linotype"/>
          <w:i/>
          <w:sz w:val="16"/>
          <w:szCs w:val="16"/>
        </w:rPr>
        <w:t xml:space="preserve">. 20 de enero de 1988. Unanimidad de votos. Ponente: Tomás Enrique Ochoa Moguel. Secretario: Héctor Riveros </w:t>
      </w:r>
      <w:proofErr w:type="spellStart"/>
      <w:r w:rsidRPr="00FE678F">
        <w:rPr>
          <w:rFonts w:ascii="Palatino Linotype" w:hAnsi="Palatino Linotype"/>
          <w:i/>
          <w:sz w:val="16"/>
          <w:szCs w:val="16"/>
        </w:rPr>
        <w:t>Caraza</w:t>
      </w:r>
      <w:proofErr w:type="spellEnd"/>
      <w:r w:rsidRPr="00FE678F">
        <w:rPr>
          <w:rFonts w:ascii="Palatino Linotype" w:hAnsi="Palatino Linotype"/>
          <w:i/>
          <w:sz w:val="16"/>
          <w:szCs w:val="16"/>
        </w:rPr>
        <w:t>.</w:t>
      </w:r>
    </w:p>
    <w:p w14:paraId="4DD148B7" w14:textId="77777777" w:rsidR="00E346B1" w:rsidRPr="00FE678F" w:rsidRDefault="00E346B1" w:rsidP="00E346B1">
      <w:pPr>
        <w:pStyle w:val="Sinespaciado"/>
        <w:spacing w:line="360" w:lineRule="auto"/>
        <w:jc w:val="both"/>
        <w:rPr>
          <w:rFonts w:ascii="Palatino Linotype" w:hAnsi="Palatino Linotype" w:cs="Arial"/>
        </w:rPr>
      </w:pPr>
    </w:p>
    <w:p w14:paraId="70DF7117" w14:textId="77777777" w:rsidR="00E346B1" w:rsidRPr="00FE678F" w:rsidRDefault="00E346B1" w:rsidP="00E346B1">
      <w:pPr>
        <w:pStyle w:val="Sinespaciado"/>
        <w:spacing w:line="360" w:lineRule="auto"/>
        <w:jc w:val="both"/>
        <w:rPr>
          <w:rFonts w:ascii="Palatino Linotype" w:hAnsi="Palatino Linotype" w:cs="Arial"/>
        </w:rPr>
      </w:pPr>
      <w:r w:rsidRPr="00FE678F">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47026CAD" w14:textId="77777777" w:rsidR="00E346B1" w:rsidRPr="00FE678F" w:rsidRDefault="00E346B1" w:rsidP="00E346B1">
      <w:pPr>
        <w:pStyle w:val="Sinespaciado"/>
        <w:rPr>
          <w:rFonts w:eastAsiaTheme="minorHAnsi"/>
          <w:sz w:val="8"/>
        </w:rPr>
      </w:pPr>
    </w:p>
    <w:p w14:paraId="43100349" w14:textId="77777777" w:rsidR="00E346B1" w:rsidRPr="00FE678F" w:rsidRDefault="00E346B1" w:rsidP="00E346B1">
      <w:pPr>
        <w:ind w:left="851" w:right="851"/>
        <w:jc w:val="both"/>
        <w:rPr>
          <w:rFonts w:ascii="Palatino Linotype" w:hAnsi="Palatino Linotype" w:cs="Arial"/>
          <w:b/>
          <w:i/>
        </w:rPr>
      </w:pPr>
      <w:r w:rsidRPr="00FE678F">
        <w:rPr>
          <w:rFonts w:ascii="Palatino Linotype" w:hAnsi="Palatino Linotype" w:cs="Arial"/>
          <w:b/>
          <w:i/>
        </w:rPr>
        <w:t>Artículo 12.</w:t>
      </w:r>
      <w:r w:rsidRPr="00FE678F">
        <w:rPr>
          <w:rFonts w:ascii="Palatino Linotype" w:hAnsi="Palatino Linotype" w:cs="Arial"/>
          <w:i/>
        </w:rPr>
        <w:t xml:space="preserve"> …</w:t>
      </w:r>
      <w:r w:rsidRPr="00FE678F">
        <w:rPr>
          <w:rFonts w:ascii="Palatino Linotype" w:hAnsi="Palatino Linotype" w:cs="Arial"/>
          <w:b/>
          <w:i/>
        </w:rPr>
        <w:t xml:space="preserve"> </w:t>
      </w:r>
    </w:p>
    <w:p w14:paraId="585AEA93" w14:textId="77777777" w:rsidR="00E346B1" w:rsidRPr="00FE678F" w:rsidRDefault="00E346B1" w:rsidP="00E346B1">
      <w:pPr>
        <w:ind w:left="851" w:right="851"/>
        <w:jc w:val="both"/>
        <w:rPr>
          <w:rFonts w:ascii="Palatino Linotype" w:hAnsi="Palatino Linotype" w:cs="Arial"/>
          <w:i/>
        </w:rPr>
      </w:pPr>
      <w:r w:rsidRPr="00FE678F">
        <w:rPr>
          <w:rFonts w:ascii="Palatino Linotype" w:hAnsi="Palatino Linotype" w:cs="Arial"/>
          <w:b/>
          <w:i/>
          <w:u w:val="single"/>
        </w:rPr>
        <w:t>Los sujetos obligados sólo proporcionarán la información pública que se les requiera y que obre en sus archivos y en el estado en que ésta se encuentre</w:t>
      </w:r>
      <w:r w:rsidRPr="00FE678F">
        <w:rPr>
          <w:rFonts w:ascii="Palatino Linotype" w:hAnsi="Palatino Linotype" w:cs="Arial"/>
          <w:i/>
        </w:rPr>
        <w:t xml:space="preserve">. La obligación de proporcionar información no comprende el procesamiento de la misma, ni </w:t>
      </w:r>
      <w:r w:rsidRPr="00FE678F">
        <w:rPr>
          <w:rFonts w:ascii="Palatino Linotype" w:hAnsi="Palatino Linotype" w:cs="Arial"/>
          <w:i/>
        </w:rPr>
        <w:lastRenderedPageBreak/>
        <w:t>el presentarla conforme al interés del solicitante; no estarán obligados a generarla, resumirla, efectuar cálculos o practicar investigaciones.</w:t>
      </w:r>
    </w:p>
    <w:p w14:paraId="32E5E830" w14:textId="77777777" w:rsidR="00E346B1" w:rsidRPr="00FE678F" w:rsidRDefault="00E346B1" w:rsidP="00E346B1">
      <w:pPr>
        <w:ind w:left="851" w:right="851"/>
        <w:jc w:val="both"/>
        <w:rPr>
          <w:rFonts w:ascii="Palatino Linotype" w:hAnsi="Palatino Linotype" w:cs="Arial"/>
          <w:b/>
          <w:i/>
        </w:rPr>
      </w:pPr>
    </w:p>
    <w:p w14:paraId="39094AA9" w14:textId="77777777" w:rsidR="00E346B1" w:rsidRPr="00FE678F" w:rsidRDefault="00E346B1" w:rsidP="00E346B1">
      <w:pPr>
        <w:spacing w:line="360" w:lineRule="auto"/>
        <w:jc w:val="both"/>
        <w:rPr>
          <w:rFonts w:ascii="Palatino Linotype" w:hAnsi="Palatino Linotype" w:cs="Arial"/>
          <w:sz w:val="24"/>
          <w:lang w:eastAsia="es-MX"/>
        </w:rPr>
      </w:pPr>
      <w:r w:rsidRPr="00FE678F">
        <w:rPr>
          <w:rFonts w:ascii="Palatino Linotype" w:hAnsi="Palatino Linotype" w:cs="Arial"/>
          <w:sz w:val="24"/>
          <w:lang w:eastAsia="es-MX"/>
        </w:rPr>
        <w:t xml:space="preserve">Además, y de conformidad con lo ya establecido anteriormente en el artículo 12, de la Ley de Transparencia y Acceso a la Información Pública del Estado de México y Municipios, anteriormente invocado el </w:t>
      </w:r>
      <w:r w:rsidRPr="00FE678F">
        <w:rPr>
          <w:rFonts w:ascii="Palatino Linotype" w:hAnsi="Palatino Linotype" w:cs="Arial"/>
          <w:b/>
          <w:sz w:val="24"/>
          <w:lang w:eastAsia="es-MX"/>
        </w:rPr>
        <w:t>Sujeto Obligado</w:t>
      </w:r>
      <w:r w:rsidRPr="00FE678F">
        <w:rPr>
          <w:rFonts w:ascii="Palatino Linotype" w:hAnsi="Palatino Linotype" w:cs="Arial"/>
          <w:sz w:val="24"/>
          <w:lang w:eastAsia="es-MX"/>
        </w:rPr>
        <w:t xml:space="preserve"> sólo proporcionará la información que obra en sus archivos, lo que </w:t>
      </w:r>
      <w:r w:rsidRPr="00FE678F">
        <w:rPr>
          <w:rFonts w:ascii="Palatino Linotype" w:hAnsi="Palatino Linotype" w:cs="Arial"/>
          <w:i/>
          <w:sz w:val="24"/>
          <w:lang w:eastAsia="es-MX"/>
        </w:rPr>
        <w:t>a contrario sensu</w:t>
      </w:r>
      <w:r w:rsidRPr="00FE678F">
        <w:rPr>
          <w:rFonts w:ascii="Palatino Linotype" w:hAnsi="Palatino Linotype" w:cs="Arial"/>
          <w:sz w:val="24"/>
          <w:lang w:eastAsia="es-MX"/>
        </w:rPr>
        <w:t xml:space="preserve"> significa que no se está obligado a proporcionar lo que no obre en sus archivos.</w:t>
      </w:r>
    </w:p>
    <w:p w14:paraId="34820B57" w14:textId="77777777" w:rsidR="00E346B1" w:rsidRPr="00FE678F" w:rsidRDefault="00E346B1" w:rsidP="00E346B1">
      <w:pPr>
        <w:spacing w:line="360" w:lineRule="auto"/>
        <w:jc w:val="both"/>
        <w:rPr>
          <w:rFonts w:ascii="Palatino Linotype" w:hAnsi="Palatino Linotype" w:cs="Arial"/>
          <w:sz w:val="24"/>
          <w:lang w:eastAsia="es-MX"/>
        </w:rPr>
      </w:pPr>
    </w:p>
    <w:p w14:paraId="7BF9C931" w14:textId="77777777" w:rsidR="00E346B1" w:rsidRPr="00FE678F" w:rsidRDefault="00E346B1" w:rsidP="00E346B1">
      <w:pPr>
        <w:spacing w:line="360" w:lineRule="auto"/>
        <w:jc w:val="both"/>
        <w:rPr>
          <w:rFonts w:ascii="Palatino Linotype" w:hAnsi="Palatino Linotype"/>
          <w:sz w:val="24"/>
          <w:szCs w:val="24"/>
        </w:rPr>
      </w:pPr>
      <w:r w:rsidRPr="00FE678F">
        <w:rPr>
          <w:rFonts w:ascii="Palatino Linotype" w:hAnsi="Palatino Linotype" w:cs="Arial"/>
          <w:sz w:val="24"/>
          <w:lang w:eastAsia="es-MX"/>
        </w:rPr>
        <w:t xml:space="preserve">En este sentido resulta imprescindible para este Instituto traer a colación el Acto Impugnado así como las razones o motivos de inconformidad hechos valer por el Recurrente con la finalidad de advertir que </w:t>
      </w:r>
      <w:r w:rsidRPr="00FE678F">
        <w:rPr>
          <w:rFonts w:ascii="Palatino Linotype" w:hAnsi="Palatino Linotype"/>
          <w:sz w:val="24"/>
          <w:szCs w:val="24"/>
        </w:rPr>
        <w:t xml:space="preserve">de lo expuesto por el recurrente es ambiguo y superficial, en tanto que no señala ni concreta algún razonamiento capaz de ser analizado, </w:t>
      </w:r>
      <w:r w:rsidRPr="00FE678F">
        <w:rPr>
          <w:rFonts w:ascii="Palatino Linotype" w:hAnsi="Palatino Linotype"/>
          <w:b/>
          <w:sz w:val="24"/>
          <w:szCs w:val="24"/>
        </w:rPr>
        <w:t>por lo que tal pretensión no logra construir y proponer la causa de porqué de su reclamación</w:t>
      </w:r>
      <w:r w:rsidRPr="00FE678F">
        <w:rPr>
          <w:rFonts w:ascii="Palatino Linotype" w:hAnsi="Palatino Linotype" w:cs="Arial"/>
          <w:sz w:val="24"/>
          <w:lang w:eastAsia="es-MX"/>
        </w:rPr>
        <w:t xml:space="preserve">, advirtiendo que dichas </w:t>
      </w:r>
      <w:r w:rsidRPr="00FE678F">
        <w:rPr>
          <w:rFonts w:ascii="Palatino Linotype" w:hAnsi="Palatino Linotype"/>
          <w:sz w:val="24"/>
          <w:szCs w:val="24"/>
        </w:rPr>
        <w:t xml:space="preserve">manifestaciones deberán calificarse de inoperantes, por las siguientes consideraciones; </w:t>
      </w:r>
    </w:p>
    <w:p w14:paraId="38A84CAB" w14:textId="77777777" w:rsidR="00E346B1" w:rsidRPr="00FE678F" w:rsidRDefault="00E346B1" w:rsidP="00E346B1">
      <w:pPr>
        <w:pStyle w:val="Prrafodelista"/>
        <w:numPr>
          <w:ilvl w:val="0"/>
          <w:numId w:val="9"/>
        </w:numPr>
        <w:spacing w:after="0" w:line="360" w:lineRule="auto"/>
        <w:contextualSpacing w:val="0"/>
        <w:jc w:val="both"/>
        <w:rPr>
          <w:rFonts w:ascii="Palatino Linotype" w:hAnsi="Palatino Linotype"/>
          <w:sz w:val="24"/>
          <w:szCs w:val="24"/>
        </w:rPr>
      </w:pPr>
      <w:r w:rsidRPr="00FE678F">
        <w:rPr>
          <w:rFonts w:ascii="Palatino Linotype" w:hAnsi="Palatino Linotype"/>
          <w:sz w:val="24"/>
          <w:szCs w:val="24"/>
        </w:rPr>
        <w:t>Que el derecho humano de acceso a la información pública es la prerrogativa de las personas para buscar, difundir, investigar, recabar, recibir y solicitar información pública, sin necesidad de acreditar personalidad ni interés jurídico.</w:t>
      </w:r>
    </w:p>
    <w:p w14:paraId="2B921D4E" w14:textId="77777777" w:rsidR="00E346B1" w:rsidRPr="00FE678F" w:rsidRDefault="00E346B1" w:rsidP="00E346B1">
      <w:pPr>
        <w:spacing w:line="360" w:lineRule="auto"/>
        <w:ind w:left="360"/>
        <w:jc w:val="both"/>
        <w:rPr>
          <w:rFonts w:ascii="Palatino Linotype" w:hAnsi="Palatino Linotype"/>
          <w:sz w:val="24"/>
          <w:szCs w:val="24"/>
        </w:rPr>
      </w:pPr>
    </w:p>
    <w:p w14:paraId="1F7B035E" w14:textId="77777777" w:rsidR="00E346B1" w:rsidRPr="00FE678F" w:rsidRDefault="00E346B1" w:rsidP="00E346B1">
      <w:pPr>
        <w:pStyle w:val="Prrafodelista"/>
        <w:numPr>
          <w:ilvl w:val="0"/>
          <w:numId w:val="9"/>
        </w:numPr>
        <w:spacing w:after="0" w:line="360" w:lineRule="auto"/>
        <w:contextualSpacing w:val="0"/>
        <w:jc w:val="both"/>
        <w:rPr>
          <w:rFonts w:ascii="Palatino Linotype" w:hAnsi="Palatino Linotype"/>
          <w:sz w:val="24"/>
          <w:szCs w:val="24"/>
        </w:rPr>
      </w:pPr>
      <w:r w:rsidRPr="00FE678F">
        <w:rPr>
          <w:rFonts w:ascii="Palatino Linotype" w:hAnsi="Palatino Linotype"/>
          <w:sz w:val="24"/>
          <w:szCs w:val="24"/>
        </w:rPr>
        <w:t xml:space="preserve">Que toda la información generada, obtenida, adquirida, transformada, administrada o en posesión de los sujetos obligados </w:t>
      </w:r>
      <w:r w:rsidRPr="00FE678F">
        <w:rPr>
          <w:rFonts w:ascii="Palatino Linotype" w:hAnsi="Palatino Linotype"/>
          <w:b/>
          <w:sz w:val="24"/>
          <w:szCs w:val="24"/>
        </w:rPr>
        <w:t xml:space="preserve">es pública y accesible de </w:t>
      </w:r>
      <w:r w:rsidRPr="00FE678F">
        <w:rPr>
          <w:rFonts w:ascii="Palatino Linotype" w:hAnsi="Palatino Linotype"/>
          <w:b/>
          <w:sz w:val="24"/>
          <w:szCs w:val="24"/>
        </w:rPr>
        <w:lastRenderedPageBreak/>
        <w:t>manera permanente</w:t>
      </w:r>
      <w:r w:rsidRPr="00FE678F">
        <w:rPr>
          <w:rFonts w:ascii="Palatino Linotype" w:hAnsi="Palatino Linotype"/>
          <w:sz w:val="24"/>
          <w:szCs w:val="24"/>
        </w:rPr>
        <w:t xml:space="preserve"> a cualquier persona, privilegiando el principio de máxima publicidad de la información.</w:t>
      </w:r>
    </w:p>
    <w:p w14:paraId="4D3CF24F" w14:textId="77777777" w:rsidR="00E346B1" w:rsidRPr="00FE678F" w:rsidRDefault="00E346B1" w:rsidP="00E346B1">
      <w:pPr>
        <w:pStyle w:val="Prrafodelista"/>
        <w:rPr>
          <w:rFonts w:ascii="Palatino Linotype" w:hAnsi="Palatino Linotype"/>
          <w:sz w:val="24"/>
          <w:szCs w:val="24"/>
        </w:rPr>
      </w:pPr>
    </w:p>
    <w:p w14:paraId="36288D47" w14:textId="77777777" w:rsidR="00E346B1" w:rsidRPr="00FE678F" w:rsidRDefault="00E346B1" w:rsidP="00E346B1">
      <w:pPr>
        <w:pStyle w:val="Prrafodelista"/>
        <w:numPr>
          <w:ilvl w:val="0"/>
          <w:numId w:val="9"/>
        </w:numPr>
        <w:spacing w:after="0" w:line="360" w:lineRule="auto"/>
        <w:contextualSpacing w:val="0"/>
        <w:jc w:val="both"/>
        <w:rPr>
          <w:rFonts w:ascii="Palatino Linotype" w:hAnsi="Palatino Linotype"/>
          <w:sz w:val="24"/>
          <w:szCs w:val="24"/>
        </w:rPr>
      </w:pPr>
      <w:r w:rsidRPr="00FE678F">
        <w:rPr>
          <w:rFonts w:ascii="Palatino Linotype" w:hAnsi="Palatino Linotype"/>
          <w:sz w:val="24"/>
          <w:szCs w:val="24"/>
        </w:rPr>
        <w:t>Que los sujetos obligados deberán otorgar a</w:t>
      </w:r>
      <w:r w:rsidRPr="00FE678F">
        <w:rPr>
          <w:rFonts w:ascii="Palatino Linotype" w:hAnsi="Palatino Linotype"/>
          <w:b/>
          <w:sz w:val="24"/>
          <w:szCs w:val="24"/>
        </w:rPr>
        <w:t>cceso a los documentos que se encuentren en sus archivos o que estén obligados a documentar de acuerdo con sus facultades, competencias o funciones</w:t>
      </w:r>
      <w:r w:rsidRPr="00FE678F">
        <w:rPr>
          <w:rFonts w:ascii="Palatino Linotype" w:hAnsi="Palatino Linotype"/>
          <w:sz w:val="24"/>
          <w:szCs w:val="24"/>
        </w:rPr>
        <w:t xml:space="preserve"> en el formato que el solicitante manifieste, de entre aquellos formatos existentes, conforme a las características físicas de la información o del lugar donde se encuentre así lo permita.</w:t>
      </w:r>
    </w:p>
    <w:p w14:paraId="4CC0A8B2" w14:textId="77777777" w:rsidR="00E346B1" w:rsidRPr="00FE678F" w:rsidRDefault="00E346B1" w:rsidP="00E346B1">
      <w:pPr>
        <w:pStyle w:val="Prrafodelista"/>
        <w:rPr>
          <w:rFonts w:ascii="Palatino Linotype" w:hAnsi="Palatino Linotype"/>
          <w:sz w:val="24"/>
          <w:szCs w:val="24"/>
        </w:rPr>
      </w:pPr>
    </w:p>
    <w:p w14:paraId="16148E95" w14:textId="77777777" w:rsidR="00E346B1" w:rsidRPr="00FE678F" w:rsidRDefault="00E346B1" w:rsidP="00E346B1">
      <w:pPr>
        <w:pStyle w:val="Prrafodelista"/>
        <w:numPr>
          <w:ilvl w:val="0"/>
          <w:numId w:val="9"/>
        </w:numPr>
        <w:spacing w:after="0" w:line="360" w:lineRule="auto"/>
        <w:contextualSpacing w:val="0"/>
        <w:jc w:val="both"/>
        <w:rPr>
          <w:rFonts w:ascii="Palatino Linotype" w:hAnsi="Palatino Linotype"/>
          <w:sz w:val="24"/>
          <w:szCs w:val="24"/>
        </w:rPr>
      </w:pPr>
      <w:r w:rsidRPr="00FE678F">
        <w:rPr>
          <w:rFonts w:ascii="Palatino Linotype" w:hAnsi="Palatino Linotype"/>
          <w:sz w:val="24"/>
          <w:szCs w:val="24"/>
        </w:rPr>
        <w:t xml:space="preserve">Que el Derecho al Acceso a la Información corresponde al soporte documental que se desprende de las facultades, competencias o funciones de los Sujetos Obligados. </w:t>
      </w:r>
    </w:p>
    <w:p w14:paraId="2DAE9C68" w14:textId="77777777" w:rsidR="00E346B1" w:rsidRPr="00FE678F" w:rsidRDefault="00E346B1" w:rsidP="00E346B1">
      <w:pPr>
        <w:pStyle w:val="Prrafodelista"/>
        <w:rPr>
          <w:rFonts w:ascii="Palatino Linotype" w:hAnsi="Palatino Linotype"/>
          <w:sz w:val="24"/>
          <w:szCs w:val="24"/>
        </w:rPr>
      </w:pPr>
    </w:p>
    <w:p w14:paraId="1EB3170D" w14:textId="77777777" w:rsidR="00E346B1" w:rsidRPr="00FE678F" w:rsidRDefault="00E346B1" w:rsidP="00E346B1">
      <w:pPr>
        <w:pStyle w:val="Prrafodelista"/>
        <w:numPr>
          <w:ilvl w:val="0"/>
          <w:numId w:val="9"/>
        </w:numPr>
        <w:spacing w:after="0" w:line="360" w:lineRule="auto"/>
        <w:contextualSpacing w:val="0"/>
        <w:jc w:val="both"/>
        <w:rPr>
          <w:rFonts w:ascii="Palatino Linotype" w:hAnsi="Palatino Linotype"/>
          <w:sz w:val="24"/>
          <w:szCs w:val="24"/>
        </w:rPr>
      </w:pPr>
      <w:r w:rsidRPr="00FE678F">
        <w:rPr>
          <w:rFonts w:ascii="Palatino Linotype" w:hAnsi="Palatino Linotype"/>
          <w:sz w:val="24"/>
          <w:szCs w:val="24"/>
        </w:rPr>
        <w:t xml:space="preserve">Que del análisis en conjunto del </w:t>
      </w:r>
      <w:r w:rsidRPr="00FE678F">
        <w:rPr>
          <w:rFonts w:ascii="Palatino Linotype" w:hAnsi="Palatino Linotype" w:cs="Arial"/>
          <w:sz w:val="24"/>
          <w:szCs w:val="24"/>
          <w:lang w:eastAsia="es-MX"/>
        </w:rPr>
        <w:t xml:space="preserve">Acto Impugnado así como las razones o motivos de inconformidad el Recurrente no se inconforma de la expresión documental advertida por el Sujeto Obligado en respuesta y en Informe Justificado pues únicamente se limita a realizar manifestaciones subjetivas que </w:t>
      </w:r>
      <w:r w:rsidRPr="00FE678F">
        <w:rPr>
          <w:rFonts w:ascii="Palatino Linotype" w:hAnsi="Palatino Linotype"/>
          <w:b/>
          <w:sz w:val="24"/>
          <w:szCs w:val="24"/>
        </w:rPr>
        <w:t>no logran construir y proponer la causa de porqué de su reclamación.</w:t>
      </w:r>
    </w:p>
    <w:p w14:paraId="57881C52" w14:textId="77777777" w:rsidR="00E346B1" w:rsidRPr="00FE678F" w:rsidRDefault="00E346B1" w:rsidP="00E346B1">
      <w:pPr>
        <w:spacing w:line="360" w:lineRule="auto"/>
        <w:jc w:val="both"/>
        <w:rPr>
          <w:rFonts w:ascii="Palatino Linotype" w:hAnsi="Palatino Linotype" w:cs="Arial"/>
          <w:sz w:val="24"/>
          <w:lang w:eastAsia="es-MX"/>
        </w:rPr>
      </w:pPr>
    </w:p>
    <w:p w14:paraId="1BB36463" w14:textId="77777777" w:rsidR="00E346B1" w:rsidRPr="00FE678F" w:rsidRDefault="00E346B1" w:rsidP="00E346B1">
      <w:pPr>
        <w:spacing w:line="360" w:lineRule="auto"/>
        <w:jc w:val="both"/>
        <w:rPr>
          <w:rFonts w:ascii="Palatino Linotype" w:hAnsi="Palatino Linotype"/>
          <w:b/>
          <w:bCs/>
          <w:color w:val="000000"/>
          <w:sz w:val="24"/>
        </w:rPr>
      </w:pPr>
      <w:r w:rsidRPr="00FE678F">
        <w:rPr>
          <w:rFonts w:ascii="Palatino Linotype" w:hAnsi="Palatino Linotype" w:cs="Arial"/>
          <w:sz w:val="24"/>
        </w:rPr>
        <w:t xml:space="preserve">En este contexto, </w:t>
      </w:r>
      <w:r w:rsidRPr="00FE678F">
        <w:rPr>
          <w:rFonts w:ascii="Palatino Linotype" w:hAnsi="Palatino Linotype" w:cs="Arial"/>
          <w:sz w:val="24"/>
          <w:lang w:eastAsia="es-MX"/>
        </w:rPr>
        <w:t xml:space="preserve">el </w:t>
      </w:r>
      <w:r w:rsidRPr="00FE678F">
        <w:rPr>
          <w:rFonts w:ascii="Palatino Linotype" w:hAnsi="Palatino Linotype" w:cs="Arial"/>
          <w:b/>
          <w:sz w:val="24"/>
          <w:lang w:eastAsia="es-MX"/>
        </w:rPr>
        <w:t>Sujeto Obligado</w:t>
      </w:r>
      <w:r w:rsidRPr="00FE678F">
        <w:rPr>
          <w:rFonts w:ascii="Palatino Linotype" w:hAnsi="Palatino Linotype" w:cs="Arial"/>
          <w:sz w:val="24"/>
        </w:rPr>
        <w:t xml:space="preserve"> no está obligado a generar documento </w:t>
      </w:r>
      <w:r w:rsidRPr="00FE678F">
        <w:rPr>
          <w:rFonts w:ascii="Palatino Linotype" w:hAnsi="Palatino Linotype" w:cs="Arial"/>
          <w:b/>
          <w:i/>
          <w:sz w:val="24"/>
        </w:rPr>
        <w:t>ad hoc</w:t>
      </w:r>
      <w:r w:rsidRPr="00FE678F">
        <w:rPr>
          <w:rFonts w:ascii="Palatino Linotype" w:hAnsi="Palatino Linotype" w:cs="Arial"/>
          <w:sz w:val="24"/>
        </w:rPr>
        <w:t xml:space="preserve"> para para satisfacer el derecho de acceso, situación que no está permitida dentro de la materia de acceso a la información. </w:t>
      </w:r>
      <w:r w:rsidRPr="00FE678F">
        <w:rPr>
          <w:rFonts w:ascii="Palatino Linotype" w:hAnsi="Palatino Linotype" w:cs="Arial"/>
          <w:color w:val="000000"/>
          <w:sz w:val="24"/>
        </w:rPr>
        <w:t xml:space="preserve">Como apoyo a lo anterior, es aplicable el Criterio 03-17, emitido por </w:t>
      </w:r>
      <w:r w:rsidRPr="00FE678F">
        <w:rPr>
          <w:rFonts w:ascii="Palatino Linotype" w:eastAsia="Arial Unicode MS" w:hAnsi="Palatino Linotype" w:cs="Arial"/>
          <w:color w:val="000000"/>
          <w:sz w:val="24"/>
        </w:rPr>
        <w:t>el Instituto Nacional de Transparencia, Acceso a la Información y Protección de Datos Personales,</w:t>
      </w:r>
      <w:r w:rsidRPr="00FE678F">
        <w:rPr>
          <w:rFonts w:ascii="Palatino Linotype" w:hAnsi="Palatino Linotype"/>
          <w:bCs/>
          <w:color w:val="000000"/>
          <w:sz w:val="24"/>
        </w:rPr>
        <w:t xml:space="preserve"> que dice:</w:t>
      </w:r>
      <w:r w:rsidRPr="00FE678F">
        <w:rPr>
          <w:rFonts w:ascii="Palatino Linotype" w:hAnsi="Palatino Linotype"/>
          <w:b/>
          <w:bCs/>
          <w:color w:val="000000"/>
          <w:sz w:val="24"/>
        </w:rPr>
        <w:t xml:space="preserve"> </w:t>
      </w:r>
    </w:p>
    <w:p w14:paraId="4C1EE156" w14:textId="77777777" w:rsidR="00E346B1" w:rsidRPr="00FE678F" w:rsidRDefault="00E346B1" w:rsidP="00E346B1">
      <w:pPr>
        <w:ind w:left="851" w:right="850"/>
        <w:jc w:val="both"/>
        <w:rPr>
          <w:rFonts w:ascii="Palatino Linotype" w:hAnsi="Palatino Linotype" w:cs="Arial"/>
          <w:color w:val="000000"/>
          <w:sz w:val="2"/>
        </w:rPr>
      </w:pPr>
    </w:p>
    <w:p w14:paraId="57B782FF" w14:textId="77777777" w:rsidR="00E346B1" w:rsidRPr="00FE678F" w:rsidRDefault="00E346B1" w:rsidP="00D305F7">
      <w:pPr>
        <w:ind w:left="851" w:right="901"/>
        <w:jc w:val="both"/>
        <w:rPr>
          <w:rFonts w:ascii="Palatino Linotype" w:hAnsi="Palatino Linotype" w:cs="Arial"/>
          <w:i/>
          <w:color w:val="000000"/>
        </w:rPr>
      </w:pPr>
      <w:r w:rsidRPr="00FE678F">
        <w:rPr>
          <w:rFonts w:ascii="Palatino Linotype" w:hAnsi="Palatino Linotype" w:cs="Arial"/>
          <w:i/>
          <w:color w:val="000000"/>
        </w:rPr>
        <w:lastRenderedPageBreak/>
        <w:t>“</w:t>
      </w:r>
      <w:r w:rsidRPr="00FE678F">
        <w:rPr>
          <w:rFonts w:ascii="Palatino Linotype" w:hAnsi="Palatino Linotype" w:cs="Arial"/>
          <w:b/>
          <w:i/>
          <w:color w:val="000000"/>
        </w:rPr>
        <w:t>No existe obligación de elaborar documentos ad hoc para atender las solicitudes de acceso a la información.</w:t>
      </w:r>
      <w:r w:rsidRPr="00FE678F">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w:t>
      </w:r>
      <w:r w:rsidR="00D305F7" w:rsidRPr="00FE678F">
        <w:rPr>
          <w:rFonts w:ascii="Palatino Linotype" w:hAnsi="Palatino Linotype" w:cs="Arial"/>
          <w:i/>
          <w:color w:val="000000"/>
        </w:rPr>
        <w:t>las solicitudes de información.</w:t>
      </w:r>
    </w:p>
    <w:p w14:paraId="362959E9" w14:textId="77777777" w:rsidR="00E346B1" w:rsidRPr="00FE678F" w:rsidRDefault="00E346B1" w:rsidP="00E346B1">
      <w:pPr>
        <w:ind w:left="851" w:right="901"/>
        <w:jc w:val="both"/>
        <w:rPr>
          <w:rFonts w:ascii="Palatino Linotype" w:hAnsi="Palatino Linotype" w:cs="Arial"/>
          <w:i/>
          <w:color w:val="000000"/>
          <w:sz w:val="16"/>
          <w:szCs w:val="16"/>
        </w:rPr>
      </w:pPr>
      <w:r w:rsidRPr="00FE678F">
        <w:rPr>
          <w:rFonts w:ascii="Palatino Linotype" w:hAnsi="Palatino Linotype" w:cs="Arial"/>
          <w:i/>
          <w:color w:val="000000"/>
          <w:sz w:val="16"/>
          <w:szCs w:val="16"/>
        </w:rPr>
        <w:t xml:space="preserve">Resoluciones: </w:t>
      </w:r>
    </w:p>
    <w:p w14:paraId="6B6B2159" w14:textId="77777777" w:rsidR="00E346B1" w:rsidRPr="00FE678F" w:rsidRDefault="00E346B1" w:rsidP="00E346B1">
      <w:pPr>
        <w:ind w:left="851" w:right="901"/>
        <w:jc w:val="both"/>
        <w:rPr>
          <w:rFonts w:ascii="Palatino Linotype" w:hAnsi="Palatino Linotype" w:cs="Arial"/>
          <w:i/>
          <w:color w:val="000000"/>
          <w:sz w:val="16"/>
          <w:szCs w:val="16"/>
        </w:rPr>
      </w:pPr>
      <w:r w:rsidRPr="00FE678F">
        <w:rPr>
          <w:rFonts w:ascii="Palatino Linotype" w:hAnsi="Palatino Linotype" w:cs="Arial"/>
          <w:i/>
          <w:color w:val="000000"/>
          <w:sz w:val="16"/>
          <w:szCs w:val="16"/>
        </w:rPr>
        <w:sym w:font="Symbol" w:char="F0B7"/>
      </w:r>
      <w:r w:rsidRPr="00FE678F">
        <w:rPr>
          <w:rFonts w:ascii="Palatino Linotype" w:hAnsi="Palatino Linotype" w:cs="Arial"/>
          <w:i/>
          <w:color w:val="000000"/>
          <w:sz w:val="16"/>
          <w:szCs w:val="16"/>
        </w:rPr>
        <w:t xml:space="preserve"> RRA 0050/16. Instituto Nacional para la Evaluación de la Educación. 13 julio de 2016. Por unanimidad. Comisionado Ponente: Francisco Javier Acuña Llamas.</w:t>
      </w:r>
    </w:p>
    <w:p w14:paraId="07EB4E25" w14:textId="77777777" w:rsidR="00E346B1" w:rsidRPr="00FE678F" w:rsidRDefault="00E346B1" w:rsidP="00E346B1">
      <w:pPr>
        <w:ind w:left="851" w:right="901"/>
        <w:jc w:val="both"/>
        <w:rPr>
          <w:rFonts w:ascii="Palatino Linotype" w:hAnsi="Palatino Linotype" w:cs="Arial"/>
          <w:i/>
          <w:color w:val="000000"/>
          <w:sz w:val="16"/>
          <w:szCs w:val="16"/>
        </w:rPr>
      </w:pPr>
      <w:r w:rsidRPr="00FE678F">
        <w:rPr>
          <w:rFonts w:ascii="Palatino Linotype" w:hAnsi="Palatino Linotype" w:cs="Arial"/>
          <w:i/>
          <w:color w:val="000000"/>
          <w:sz w:val="16"/>
          <w:szCs w:val="16"/>
        </w:rPr>
        <w:sym w:font="Symbol" w:char="F0B7"/>
      </w:r>
      <w:r w:rsidRPr="00FE678F">
        <w:rPr>
          <w:rFonts w:ascii="Palatino Linotype" w:hAnsi="Palatino Linotype" w:cs="Arial"/>
          <w:i/>
          <w:color w:val="000000"/>
          <w:sz w:val="16"/>
          <w:szCs w:val="16"/>
        </w:rPr>
        <w:t xml:space="preserve"> RRA 0310/16. Instituto Nacional de Transparencia, Acceso a la Información y Protección de Datos Personales. 10 de agosto de 2016. Por unanimidad. Comisionada Ponente. Areli Cano Guadiana. </w:t>
      </w:r>
    </w:p>
    <w:p w14:paraId="692189D3" w14:textId="77777777" w:rsidR="00E346B1" w:rsidRPr="00FE678F" w:rsidRDefault="00E346B1" w:rsidP="00E346B1">
      <w:pPr>
        <w:ind w:left="851" w:right="901"/>
        <w:jc w:val="both"/>
        <w:rPr>
          <w:rFonts w:ascii="Palatino Linotype" w:hAnsi="Palatino Linotype" w:cs="Arial"/>
          <w:i/>
          <w:color w:val="000000"/>
          <w:sz w:val="16"/>
          <w:szCs w:val="16"/>
        </w:rPr>
      </w:pPr>
      <w:r w:rsidRPr="00FE678F">
        <w:rPr>
          <w:rFonts w:ascii="Palatino Linotype" w:hAnsi="Palatino Linotype" w:cs="Arial"/>
          <w:i/>
          <w:color w:val="000000"/>
          <w:sz w:val="16"/>
          <w:szCs w:val="16"/>
        </w:rPr>
        <w:sym w:font="Symbol" w:char="F0B7"/>
      </w:r>
      <w:r w:rsidRPr="00FE678F">
        <w:rPr>
          <w:rFonts w:ascii="Palatino Linotype" w:hAnsi="Palatino Linotype" w:cs="Arial"/>
          <w:i/>
          <w:color w:val="000000"/>
          <w:sz w:val="16"/>
          <w:szCs w:val="16"/>
        </w:rPr>
        <w:t xml:space="preserve"> RRA 1889/16. Secretaría de Hacienda y Crédito Público. 05 de octubre de 2016. Por unanimidad. Comisionada Ponente. Ximena Puente de la Mora.”</w:t>
      </w:r>
    </w:p>
    <w:p w14:paraId="46B1602F" w14:textId="77777777" w:rsidR="00D305F7" w:rsidRPr="00FE678F" w:rsidRDefault="00D305F7" w:rsidP="00E346B1">
      <w:pPr>
        <w:spacing w:line="360" w:lineRule="auto"/>
        <w:jc w:val="both"/>
        <w:rPr>
          <w:rFonts w:ascii="Palatino Linotype" w:hAnsi="Palatino Linotype" w:cs="Arial"/>
          <w:sz w:val="24"/>
        </w:rPr>
      </w:pPr>
    </w:p>
    <w:p w14:paraId="1DC3C092" w14:textId="77777777" w:rsidR="00E346B1" w:rsidRPr="00FE678F" w:rsidRDefault="00E346B1" w:rsidP="00E346B1">
      <w:pPr>
        <w:spacing w:line="360" w:lineRule="auto"/>
        <w:jc w:val="both"/>
        <w:rPr>
          <w:rFonts w:ascii="Palatino Linotype" w:hAnsi="Palatino Linotype" w:cs="Arial"/>
          <w:sz w:val="24"/>
        </w:rPr>
      </w:pPr>
      <w:r w:rsidRPr="00FE678F">
        <w:rPr>
          <w:rFonts w:ascii="Palatino Linotype" w:hAnsi="Palatino Linotype" w:cs="Arial"/>
          <w:sz w:val="24"/>
        </w:rPr>
        <w:t xml:space="preserve">Por tales circunstancias, este Instituto se encuentra impedido a entrar al estudio de fondo, en virtud que el Particular manifestó sus razones o motivos de inconformidad de forma </w:t>
      </w:r>
      <w:r w:rsidRPr="00FE678F">
        <w:rPr>
          <w:rFonts w:ascii="Palatino Linotype" w:hAnsi="Palatino Linotype"/>
          <w:sz w:val="24"/>
          <w:szCs w:val="24"/>
        </w:rPr>
        <w:t xml:space="preserve"> ambigua y superficial, por lo que no señala ni concreta algún razonamiento capaz de ser analizado, en este contexto este Instituto </w:t>
      </w:r>
      <w:r w:rsidRPr="00FE678F">
        <w:rPr>
          <w:rFonts w:ascii="Palatino Linotype" w:hAnsi="Palatino Linotype"/>
          <w:b/>
          <w:sz w:val="24"/>
          <w:szCs w:val="24"/>
        </w:rPr>
        <w:t>no advierte</w:t>
      </w:r>
      <w:r w:rsidRPr="00FE678F">
        <w:rPr>
          <w:rFonts w:ascii="Palatino Linotype" w:hAnsi="Palatino Linotype"/>
          <w:sz w:val="24"/>
          <w:szCs w:val="24"/>
        </w:rPr>
        <w:t xml:space="preserve"> </w:t>
      </w:r>
      <w:r w:rsidRPr="00FE678F">
        <w:rPr>
          <w:rFonts w:ascii="Palatino Linotype" w:hAnsi="Palatino Linotype"/>
          <w:b/>
          <w:sz w:val="24"/>
          <w:szCs w:val="24"/>
        </w:rPr>
        <w:t xml:space="preserve">que tal pretensión logre construir y proponer la causa del agravio </w:t>
      </w:r>
      <w:r w:rsidRPr="00FE678F">
        <w:rPr>
          <w:rFonts w:ascii="Palatino Linotype" w:hAnsi="Palatino Linotype" w:cs="Arial"/>
          <w:sz w:val="24"/>
        </w:rPr>
        <w:t xml:space="preserve">relacionada con la respuesta emitida por parte del </w:t>
      </w:r>
      <w:r w:rsidRPr="00FE678F">
        <w:rPr>
          <w:rFonts w:ascii="Palatino Linotype" w:hAnsi="Palatino Linotype" w:cs="Arial"/>
          <w:b/>
          <w:sz w:val="24"/>
        </w:rPr>
        <w:t>Sujeto Obligado</w:t>
      </w:r>
      <w:r w:rsidRPr="00FE678F">
        <w:rPr>
          <w:rFonts w:ascii="Palatino Linotype" w:hAnsi="Palatino Linotype" w:cs="Arial"/>
          <w:sz w:val="24"/>
        </w:rPr>
        <w:t>, a fin de atender su solicitud de acceso, por lo que se actualiza la hipótesis prevista en el artículo 191, fracción III, de la Ley de Transparencia y Acceso a la Información Pública del Estado de México y Municipios en vigor, que a la letra establece lo siguiente:</w:t>
      </w:r>
    </w:p>
    <w:p w14:paraId="79BF5E2D" w14:textId="77777777" w:rsidR="00E346B1" w:rsidRPr="00FE678F" w:rsidRDefault="00E346B1" w:rsidP="00E346B1">
      <w:pPr>
        <w:autoSpaceDE w:val="0"/>
        <w:autoSpaceDN w:val="0"/>
        <w:adjustRightInd w:val="0"/>
        <w:ind w:left="567" w:right="616"/>
        <w:jc w:val="both"/>
        <w:rPr>
          <w:rFonts w:ascii="Palatino Linotype" w:hAnsi="Palatino Linotype" w:cs="Arial"/>
          <w:i/>
        </w:rPr>
      </w:pPr>
      <w:r w:rsidRPr="00FE678F">
        <w:rPr>
          <w:rFonts w:ascii="Palatino Linotype" w:hAnsi="Palatino Linotype" w:cs="Arial"/>
          <w:i/>
        </w:rPr>
        <w:t>“</w:t>
      </w:r>
      <w:r w:rsidRPr="00FE678F">
        <w:rPr>
          <w:rFonts w:ascii="Palatino Linotype" w:hAnsi="Palatino Linotype" w:cs="Arial"/>
          <w:b/>
          <w:i/>
        </w:rPr>
        <w:t>Artículo 191</w:t>
      </w:r>
      <w:r w:rsidRPr="00FE678F">
        <w:rPr>
          <w:rFonts w:ascii="Palatino Linotype" w:hAnsi="Palatino Linotype" w:cs="Arial"/>
          <w:i/>
        </w:rPr>
        <w:t>. El recurso será desechado por improcedente cuando:</w:t>
      </w:r>
    </w:p>
    <w:p w14:paraId="3D8CECF1" w14:textId="77777777" w:rsidR="00E346B1" w:rsidRPr="00FE678F" w:rsidRDefault="00E346B1" w:rsidP="00E346B1">
      <w:pPr>
        <w:autoSpaceDE w:val="0"/>
        <w:autoSpaceDN w:val="0"/>
        <w:adjustRightInd w:val="0"/>
        <w:ind w:left="567" w:right="616"/>
        <w:jc w:val="both"/>
        <w:rPr>
          <w:rFonts w:ascii="Palatino Linotype" w:hAnsi="Palatino Linotype" w:cs="Arial"/>
          <w:i/>
        </w:rPr>
      </w:pPr>
      <w:r w:rsidRPr="00FE678F">
        <w:rPr>
          <w:rFonts w:ascii="Palatino Linotype" w:hAnsi="Palatino Linotype" w:cs="Arial"/>
          <w:i/>
        </w:rPr>
        <w:lastRenderedPageBreak/>
        <w:t>(…)</w:t>
      </w:r>
    </w:p>
    <w:p w14:paraId="626AB87C" w14:textId="77777777" w:rsidR="00E346B1" w:rsidRPr="00FE678F" w:rsidRDefault="00E346B1" w:rsidP="00E346B1">
      <w:pPr>
        <w:autoSpaceDE w:val="0"/>
        <w:autoSpaceDN w:val="0"/>
        <w:adjustRightInd w:val="0"/>
        <w:ind w:left="567" w:right="616"/>
        <w:jc w:val="both"/>
        <w:rPr>
          <w:rFonts w:ascii="Palatino Linotype" w:hAnsi="Palatino Linotype" w:cs="Arial"/>
          <w:b/>
          <w:i/>
        </w:rPr>
      </w:pPr>
      <w:r w:rsidRPr="00FE678F">
        <w:rPr>
          <w:rFonts w:ascii="Palatino Linotype" w:hAnsi="Palatino Linotype" w:cs="Arial"/>
          <w:b/>
          <w:i/>
        </w:rPr>
        <w:t xml:space="preserve">III. </w:t>
      </w:r>
      <w:r w:rsidRPr="00FE678F">
        <w:rPr>
          <w:rFonts w:ascii="Palatino Linotype" w:hAnsi="Palatino Linotype" w:cs="Arial"/>
          <w:i/>
          <w:u w:val="single"/>
        </w:rPr>
        <w:t>No actualice alguno de los supuestos previstos en la presente Ley</w:t>
      </w:r>
      <w:r w:rsidRPr="00FE678F">
        <w:rPr>
          <w:rFonts w:ascii="Palatino Linotype" w:hAnsi="Palatino Linotype" w:cs="Arial"/>
          <w:i/>
        </w:rPr>
        <w:t>;</w:t>
      </w:r>
      <w:r w:rsidRPr="00FE678F">
        <w:rPr>
          <w:rFonts w:ascii="Palatino Linotype" w:hAnsi="Palatino Linotype" w:cs="Arial"/>
          <w:b/>
          <w:i/>
        </w:rPr>
        <w:t xml:space="preserve"> </w:t>
      </w:r>
    </w:p>
    <w:p w14:paraId="33344C35" w14:textId="77777777" w:rsidR="00E346B1" w:rsidRPr="00FE678F" w:rsidRDefault="00E346B1" w:rsidP="00E346B1">
      <w:pPr>
        <w:autoSpaceDE w:val="0"/>
        <w:autoSpaceDN w:val="0"/>
        <w:adjustRightInd w:val="0"/>
        <w:ind w:left="567" w:right="616"/>
        <w:jc w:val="both"/>
        <w:rPr>
          <w:rFonts w:ascii="Palatino Linotype" w:hAnsi="Palatino Linotype" w:cs="Arial"/>
          <w:i/>
        </w:rPr>
      </w:pPr>
      <w:r w:rsidRPr="00FE678F">
        <w:rPr>
          <w:rFonts w:ascii="Palatino Linotype" w:hAnsi="Palatino Linotype" w:cs="Arial"/>
          <w:i/>
        </w:rPr>
        <w:t>(…)</w:t>
      </w:r>
    </w:p>
    <w:p w14:paraId="785C5AF4" w14:textId="77777777" w:rsidR="00E346B1" w:rsidRPr="00FE678F" w:rsidRDefault="00E346B1" w:rsidP="00E346B1">
      <w:pPr>
        <w:autoSpaceDE w:val="0"/>
        <w:autoSpaceDN w:val="0"/>
        <w:adjustRightInd w:val="0"/>
        <w:spacing w:line="360" w:lineRule="auto"/>
        <w:jc w:val="both"/>
        <w:rPr>
          <w:rFonts w:ascii="Palatino Linotype" w:hAnsi="Palatino Linotype" w:cs="Arial"/>
        </w:rPr>
      </w:pPr>
    </w:p>
    <w:p w14:paraId="0A1A2A58" w14:textId="77777777" w:rsidR="00E346B1" w:rsidRPr="00FE678F" w:rsidRDefault="00E346B1" w:rsidP="00E346B1">
      <w:pPr>
        <w:autoSpaceDE w:val="0"/>
        <w:autoSpaceDN w:val="0"/>
        <w:adjustRightInd w:val="0"/>
        <w:spacing w:line="360" w:lineRule="auto"/>
        <w:jc w:val="both"/>
        <w:rPr>
          <w:rFonts w:ascii="Palatino Linotype" w:hAnsi="Palatino Linotype" w:cs="Arial"/>
          <w:sz w:val="24"/>
        </w:rPr>
      </w:pPr>
      <w:r w:rsidRPr="00FE678F">
        <w:rPr>
          <w:rFonts w:ascii="Palatino Linotype" w:hAnsi="Palatino Linotype" w:cs="Arial"/>
          <w:sz w:val="24"/>
        </w:rPr>
        <w:t>Por lo tanto, el presente recurso de revisión se actualiza el supuesto previsto en la fracción IV, del artículo 192, de la Ley de Transparencia y Acceso a la Información Pública del Estado de México y Municipios en vigor:</w:t>
      </w:r>
    </w:p>
    <w:p w14:paraId="28D7346F" w14:textId="77777777" w:rsidR="00E346B1" w:rsidRPr="00FE678F" w:rsidRDefault="00E346B1" w:rsidP="00E346B1">
      <w:pPr>
        <w:autoSpaceDE w:val="0"/>
        <w:autoSpaceDN w:val="0"/>
        <w:adjustRightInd w:val="0"/>
        <w:ind w:left="708"/>
        <w:jc w:val="both"/>
        <w:rPr>
          <w:rFonts w:ascii="Palatino Linotype" w:hAnsi="Palatino Linotype"/>
          <w:i/>
        </w:rPr>
      </w:pPr>
      <w:r w:rsidRPr="00FE678F">
        <w:rPr>
          <w:rFonts w:ascii="Palatino Linotype" w:hAnsi="Palatino Linotype"/>
          <w:i/>
        </w:rPr>
        <w:t>“</w:t>
      </w:r>
      <w:r w:rsidRPr="00FE678F">
        <w:rPr>
          <w:rFonts w:ascii="Palatino Linotype" w:hAnsi="Palatino Linotype"/>
          <w:b/>
          <w:i/>
        </w:rPr>
        <w:t xml:space="preserve">Artículo 192. </w:t>
      </w:r>
      <w:r w:rsidRPr="00FE678F">
        <w:rPr>
          <w:rFonts w:ascii="Palatino Linotype" w:hAnsi="Palatino Linotype"/>
          <w:b/>
          <w:i/>
          <w:u w:val="single"/>
        </w:rPr>
        <w:t>El recurso será sobreseído, en todo o en parte, cuando una vez admitido, se actualicen alguno de los siguientes supuestos</w:t>
      </w:r>
      <w:r w:rsidRPr="00FE678F">
        <w:rPr>
          <w:rFonts w:ascii="Palatino Linotype" w:hAnsi="Palatino Linotype"/>
          <w:i/>
        </w:rPr>
        <w:t>:</w:t>
      </w:r>
    </w:p>
    <w:p w14:paraId="63033E38" w14:textId="77777777" w:rsidR="00E346B1" w:rsidRPr="00FE678F" w:rsidRDefault="00E346B1" w:rsidP="00E346B1">
      <w:pPr>
        <w:autoSpaceDE w:val="0"/>
        <w:autoSpaceDN w:val="0"/>
        <w:adjustRightInd w:val="0"/>
        <w:ind w:left="708"/>
        <w:jc w:val="both"/>
        <w:rPr>
          <w:rFonts w:ascii="Palatino Linotype" w:hAnsi="Palatino Linotype"/>
          <w:i/>
        </w:rPr>
      </w:pPr>
    </w:p>
    <w:p w14:paraId="0E76D785" w14:textId="77777777" w:rsidR="00E346B1" w:rsidRPr="00FE678F" w:rsidRDefault="00E346B1" w:rsidP="00E346B1">
      <w:pPr>
        <w:numPr>
          <w:ilvl w:val="0"/>
          <w:numId w:val="6"/>
        </w:numPr>
        <w:autoSpaceDE w:val="0"/>
        <w:autoSpaceDN w:val="0"/>
        <w:adjustRightInd w:val="0"/>
        <w:spacing w:after="0" w:line="240" w:lineRule="auto"/>
        <w:jc w:val="both"/>
        <w:rPr>
          <w:rFonts w:ascii="Palatino Linotype" w:hAnsi="Palatino Linotype"/>
          <w:i/>
        </w:rPr>
      </w:pPr>
      <w:r w:rsidRPr="00FE678F">
        <w:rPr>
          <w:rFonts w:ascii="Palatino Linotype" w:hAnsi="Palatino Linotype"/>
          <w:i/>
        </w:rPr>
        <w:t xml:space="preserve">El recurrente se desista expresamente del recurso; </w:t>
      </w:r>
    </w:p>
    <w:p w14:paraId="0036AF62" w14:textId="77777777" w:rsidR="00E346B1" w:rsidRPr="00FE678F" w:rsidRDefault="00E346B1" w:rsidP="00E346B1">
      <w:pPr>
        <w:numPr>
          <w:ilvl w:val="0"/>
          <w:numId w:val="6"/>
        </w:numPr>
        <w:autoSpaceDE w:val="0"/>
        <w:autoSpaceDN w:val="0"/>
        <w:adjustRightInd w:val="0"/>
        <w:spacing w:after="0" w:line="240" w:lineRule="auto"/>
        <w:jc w:val="both"/>
        <w:rPr>
          <w:rFonts w:ascii="Palatino Linotype" w:hAnsi="Palatino Linotype" w:cs="Arial"/>
          <w:i/>
        </w:rPr>
      </w:pPr>
      <w:r w:rsidRPr="00FE678F">
        <w:rPr>
          <w:rFonts w:ascii="Palatino Linotype" w:hAnsi="Palatino Linotype"/>
          <w:i/>
        </w:rPr>
        <w:t xml:space="preserve">El recurrente fallezca o, tratándose de personas jurídicas colectivas, se disuelva; </w:t>
      </w:r>
    </w:p>
    <w:p w14:paraId="4CF30091" w14:textId="77777777" w:rsidR="00E346B1" w:rsidRPr="00FE678F" w:rsidRDefault="00E346B1" w:rsidP="00E346B1">
      <w:pPr>
        <w:numPr>
          <w:ilvl w:val="0"/>
          <w:numId w:val="6"/>
        </w:numPr>
        <w:autoSpaceDE w:val="0"/>
        <w:autoSpaceDN w:val="0"/>
        <w:adjustRightInd w:val="0"/>
        <w:spacing w:after="0" w:line="240" w:lineRule="auto"/>
        <w:jc w:val="both"/>
        <w:rPr>
          <w:rFonts w:ascii="Palatino Linotype" w:hAnsi="Palatino Linotype" w:cs="Arial"/>
          <w:i/>
        </w:rPr>
      </w:pPr>
      <w:r w:rsidRPr="00FE678F">
        <w:rPr>
          <w:rFonts w:ascii="Palatino Linotype" w:hAnsi="Palatino Linotype"/>
          <w:i/>
        </w:rPr>
        <w:t xml:space="preserve">El sujeto obligado responsable del acto lo modifique o revoque de tal manera que el recurso de revisión quede sin materia; </w:t>
      </w:r>
    </w:p>
    <w:p w14:paraId="21699CD6" w14:textId="77777777" w:rsidR="00E346B1" w:rsidRPr="00FE678F" w:rsidRDefault="00E346B1" w:rsidP="00E346B1">
      <w:pPr>
        <w:numPr>
          <w:ilvl w:val="0"/>
          <w:numId w:val="6"/>
        </w:numPr>
        <w:autoSpaceDE w:val="0"/>
        <w:autoSpaceDN w:val="0"/>
        <w:adjustRightInd w:val="0"/>
        <w:spacing w:after="0" w:line="240" w:lineRule="auto"/>
        <w:jc w:val="both"/>
        <w:rPr>
          <w:rFonts w:ascii="Palatino Linotype" w:hAnsi="Palatino Linotype" w:cs="Arial"/>
          <w:i/>
        </w:rPr>
      </w:pPr>
      <w:r w:rsidRPr="00FE678F">
        <w:rPr>
          <w:rFonts w:ascii="Palatino Linotype" w:hAnsi="Palatino Linotype"/>
          <w:b/>
          <w:i/>
          <w:u w:val="single"/>
        </w:rPr>
        <w:t>Admitido el recurso de revisión, aparezca alguna causal de improcedencia en los términos de la presente Ley</w:t>
      </w:r>
      <w:r w:rsidRPr="00FE678F">
        <w:rPr>
          <w:rFonts w:ascii="Palatino Linotype" w:hAnsi="Palatino Linotype"/>
          <w:i/>
        </w:rPr>
        <w:t xml:space="preserve">; y </w:t>
      </w:r>
    </w:p>
    <w:p w14:paraId="6BB27DA7" w14:textId="77777777" w:rsidR="00E346B1" w:rsidRPr="00FE678F" w:rsidRDefault="00E346B1" w:rsidP="00E346B1">
      <w:pPr>
        <w:numPr>
          <w:ilvl w:val="0"/>
          <w:numId w:val="6"/>
        </w:numPr>
        <w:autoSpaceDE w:val="0"/>
        <w:autoSpaceDN w:val="0"/>
        <w:adjustRightInd w:val="0"/>
        <w:spacing w:after="0" w:line="240" w:lineRule="auto"/>
        <w:jc w:val="both"/>
        <w:rPr>
          <w:rFonts w:ascii="Palatino Linotype" w:hAnsi="Palatino Linotype" w:cs="Arial"/>
          <w:i/>
        </w:rPr>
      </w:pPr>
      <w:r w:rsidRPr="00FE678F">
        <w:rPr>
          <w:rFonts w:ascii="Palatino Linotype" w:hAnsi="Palatino Linotype"/>
          <w:i/>
        </w:rPr>
        <w:t>Cuando por cualquier motivo quede sin materia el recurso.”</w:t>
      </w:r>
    </w:p>
    <w:p w14:paraId="398B6D8C" w14:textId="77777777" w:rsidR="00E346B1" w:rsidRPr="00FE678F" w:rsidRDefault="00E346B1" w:rsidP="00E346B1">
      <w:pPr>
        <w:spacing w:line="360" w:lineRule="auto"/>
        <w:jc w:val="both"/>
        <w:rPr>
          <w:rFonts w:ascii="Palatino Linotype" w:hAnsi="Palatino Linotype" w:cs="Arial"/>
        </w:rPr>
      </w:pPr>
    </w:p>
    <w:p w14:paraId="34F673B2" w14:textId="77777777" w:rsidR="00E346B1" w:rsidRPr="00FE678F" w:rsidRDefault="00E346B1" w:rsidP="00E346B1">
      <w:pPr>
        <w:spacing w:before="240" w:after="240" w:line="360" w:lineRule="auto"/>
        <w:jc w:val="both"/>
        <w:rPr>
          <w:rFonts w:ascii="Palatino Linotype" w:hAnsi="Palatino Linotype"/>
          <w:sz w:val="24"/>
        </w:rPr>
      </w:pPr>
      <w:r w:rsidRPr="00FE678F">
        <w:rPr>
          <w:rFonts w:ascii="Palatino Linotype" w:hAnsi="Palatino Linotype"/>
          <w:sz w:val="24"/>
        </w:rPr>
        <w:t xml:space="preserve">Por ello, en términos del artículo 191, fracción III de la Ley de Transparencia y Acceso a la Información Pública del Estado de México y Municipios, este Órgano Garante considera procedente </w:t>
      </w:r>
      <w:r w:rsidRPr="00FE678F">
        <w:rPr>
          <w:rFonts w:ascii="Palatino Linotype" w:hAnsi="Palatino Linotype"/>
          <w:b/>
          <w:sz w:val="24"/>
        </w:rPr>
        <w:t xml:space="preserve">SOBRESEER </w:t>
      </w:r>
      <w:r w:rsidRPr="00FE678F">
        <w:rPr>
          <w:rFonts w:ascii="Palatino Linotype" w:hAnsi="Palatino Linotype"/>
          <w:sz w:val="24"/>
        </w:rPr>
        <w:t>el presente recurso de revisión, toda vez que se actualiza la fracción IV del artículo 192 del citado ordenamiento legal.</w:t>
      </w:r>
    </w:p>
    <w:p w14:paraId="6DC1335A" w14:textId="77777777" w:rsidR="00D305F7" w:rsidRPr="00FE678F" w:rsidRDefault="00D305F7" w:rsidP="00E346B1">
      <w:pPr>
        <w:spacing w:before="240" w:after="240" w:line="360" w:lineRule="auto"/>
        <w:jc w:val="both"/>
        <w:rPr>
          <w:rFonts w:ascii="Palatino Linotype" w:hAnsi="Palatino Linotype"/>
          <w:sz w:val="24"/>
        </w:rPr>
      </w:pPr>
    </w:p>
    <w:p w14:paraId="27DBECAC" w14:textId="77777777" w:rsidR="00E346B1" w:rsidRPr="00FE678F" w:rsidRDefault="00E346B1" w:rsidP="00E346B1">
      <w:pPr>
        <w:autoSpaceDE w:val="0"/>
        <w:autoSpaceDN w:val="0"/>
        <w:adjustRightInd w:val="0"/>
        <w:spacing w:line="360" w:lineRule="auto"/>
        <w:jc w:val="both"/>
        <w:rPr>
          <w:rFonts w:ascii="Palatino Linotype" w:hAnsi="Palatino Linotype"/>
          <w:sz w:val="24"/>
        </w:rPr>
      </w:pPr>
      <w:r w:rsidRPr="00FE678F">
        <w:rPr>
          <w:rFonts w:ascii="Palatino Linotype" w:hAnsi="Palatino Linotype"/>
          <w:sz w:val="24"/>
        </w:rPr>
        <w:t xml:space="preserve">En este orden de ideas, es conducente colegir que en el presente Recurso de Revisión, se actualizó la causal de improcedencia prevista en la fracción III, del numeral 191, de la Ley </w:t>
      </w:r>
      <w:r w:rsidRPr="00FE678F">
        <w:rPr>
          <w:rFonts w:ascii="Palatino Linotype" w:hAnsi="Palatino Linotype"/>
          <w:sz w:val="24"/>
        </w:rPr>
        <w:lastRenderedPageBreak/>
        <w:t>de Transparencia y Acceso a la Información Pública del Estado de México y Municipios, en virtud que no se actualizó ningún supuesto de procedencia señalado en el ordenamiento en cita, en consecuencia, toda vez que las causales de improcedencia deben ser examinadas de oficio y si de dicho examen se actualiza una causal de improcedencia, por técnica jurídica, es de estudio preferente.</w:t>
      </w:r>
    </w:p>
    <w:p w14:paraId="3B134865" w14:textId="77777777" w:rsidR="00E346B1" w:rsidRPr="00FE678F" w:rsidRDefault="00E346B1" w:rsidP="00E346B1">
      <w:pPr>
        <w:autoSpaceDE w:val="0"/>
        <w:autoSpaceDN w:val="0"/>
        <w:adjustRightInd w:val="0"/>
        <w:spacing w:line="360" w:lineRule="auto"/>
        <w:jc w:val="both"/>
        <w:rPr>
          <w:rFonts w:ascii="Palatino Linotype" w:hAnsi="Palatino Linotype"/>
        </w:rPr>
      </w:pPr>
    </w:p>
    <w:p w14:paraId="6DCD1039" w14:textId="77777777" w:rsidR="00E346B1" w:rsidRPr="00FE678F" w:rsidRDefault="00E346B1" w:rsidP="00E346B1">
      <w:pPr>
        <w:spacing w:line="360" w:lineRule="auto"/>
        <w:ind w:right="49"/>
        <w:jc w:val="both"/>
        <w:rPr>
          <w:rFonts w:ascii="Palatino Linotype" w:hAnsi="Palatino Linotype" w:cs="Arial"/>
          <w:sz w:val="24"/>
        </w:rPr>
      </w:pPr>
      <w:r w:rsidRPr="00FE678F">
        <w:rPr>
          <w:rFonts w:ascii="Palatino Linotype" w:hAnsi="Palatino Linotype" w:cs="Arial"/>
          <w:sz w:val="24"/>
        </w:rPr>
        <w:t xml:space="preserve">Sirve como criterio orientador, lo establecido en la Jurisprudencia 1ª./J 3/99 de la Novena Época, emitida por la Primera Sala de la Suprema Corte de Justicia de la Nación, publicada en el Semanario Judicial de la Federación y su Gaceta, que en lo conducente dispone: </w:t>
      </w:r>
    </w:p>
    <w:p w14:paraId="6EF44A1F" w14:textId="77777777" w:rsidR="00E346B1" w:rsidRPr="00FE678F" w:rsidRDefault="00E346B1" w:rsidP="00E346B1">
      <w:pPr>
        <w:ind w:left="567" w:right="567"/>
        <w:jc w:val="both"/>
        <w:rPr>
          <w:rFonts w:ascii="Palatino Linotype" w:hAnsi="Palatino Linotype" w:cs="Arial"/>
          <w:i/>
          <w:szCs w:val="20"/>
        </w:rPr>
      </w:pPr>
      <w:r w:rsidRPr="00FE678F">
        <w:rPr>
          <w:rFonts w:ascii="Palatino Linotype" w:hAnsi="Palatino Linotype" w:cs="Arial"/>
          <w:b/>
          <w:i/>
          <w:szCs w:val="20"/>
        </w:rPr>
        <w:t xml:space="preserve">“IMPROCEDENCIA. ESTUDIO PREFERENCIAL DE LAS CAUSALES PREVISTAS EN EL ARTÍCULO 73 DE LA LEY DE AMPARO. </w:t>
      </w:r>
      <w:r w:rsidRPr="00FE678F">
        <w:rPr>
          <w:rFonts w:ascii="Palatino Linotype" w:hAnsi="Palatino Linotype" w:cs="Arial"/>
          <w:i/>
          <w:szCs w:val="20"/>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2CCC8B5D" w14:textId="77777777" w:rsidR="00E346B1" w:rsidRPr="00FE678F" w:rsidRDefault="00E346B1" w:rsidP="00E346B1">
      <w:pPr>
        <w:autoSpaceDE w:val="0"/>
        <w:autoSpaceDN w:val="0"/>
        <w:adjustRightInd w:val="0"/>
        <w:spacing w:line="360" w:lineRule="auto"/>
        <w:jc w:val="both"/>
        <w:rPr>
          <w:rFonts w:ascii="Palatino Linotype" w:hAnsi="Palatino Linotype"/>
          <w:sz w:val="24"/>
        </w:rPr>
      </w:pPr>
    </w:p>
    <w:p w14:paraId="3E0B2B41" w14:textId="77777777" w:rsidR="00E346B1" w:rsidRPr="00FE678F" w:rsidRDefault="00E346B1" w:rsidP="00E346B1">
      <w:pPr>
        <w:autoSpaceDE w:val="0"/>
        <w:autoSpaceDN w:val="0"/>
        <w:adjustRightInd w:val="0"/>
        <w:spacing w:line="360" w:lineRule="auto"/>
        <w:jc w:val="both"/>
        <w:rPr>
          <w:rFonts w:ascii="Palatino Linotype" w:hAnsi="Palatino Linotype"/>
          <w:b/>
          <w:sz w:val="24"/>
          <w:u w:val="single"/>
        </w:rPr>
      </w:pPr>
      <w:r w:rsidRPr="00FE678F">
        <w:rPr>
          <w:rFonts w:ascii="Palatino Linotype" w:hAnsi="Palatino Linotype"/>
          <w:sz w:val="24"/>
        </w:rPr>
        <w:t xml:space="preserve">Es importante resaltar a manera de analogía que la Suprema Corte de Justicia de la Nación mediante el número 2 de la Serie </w:t>
      </w:r>
      <w:r w:rsidRPr="00FE678F">
        <w:rPr>
          <w:rFonts w:ascii="Palatino Linotype" w:hAnsi="Palatino Linotype"/>
          <w:i/>
          <w:sz w:val="24"/>
        </w:rPr>
        <w:t xml:space="preserve">Estudios Introductorios sobre el Juicio de Amparo </w:t>
      </w:r>
      <w:r w:rsidRPr="00FE678F">
        <w:rPr>
          <w:rFonts w:ascii="Palatino Linotype" w:hAnsi="Palatino Linotype"/>
          <w:sz w:val="24"/>
        </w:rPr>
        <w:t xml:space="preserve">relativo a </w:t>
      </w:r>
      <w:r w:rsidRPr="00FE678F">
        <w:rPr>
          <w:rFonts w:ascii="Palatino Linotype" w:hAnsi="Palatino Linotype"/>
          <w:i/>
          <w:sz w:val="24"/>
        </w:rPr>
        <w:t xml:space="preserve">LA IMPROCEDENCIA DE LA ACCIÓN DE AMPARO </w:t>
      </w:r>
      <w:r w:rsidRPr="00FE678F">
        <w:rPr>
          <w:rFonts w:ascii="Palatino Linotype" w:hAnsi="Palatino Linotype"/>
          <w:sz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w:t>
      </w:r>
      <w:r w:rsidRPr="00FE678F">
        <w:rPr>
          <w:rFonts w:ascii="Palatino Linotype" w:hAnsi="Palatino Linotype"/>
          <w:sz w:val="24"/>
        </w:rPr>
        <w:lastRenderedPageBreak/>
        <w:t xml:space="preserve">momento en que se presenta la demanda de amparo, </w:t>
      </w:r>
      <w:r w:rsidRPr="00FE678F">
        <w:rPr>
          <w:rFonts w:ascii="Palatino Linotype" w:hAnsi="Palatino Linotype"/>
          <w:b/>
          <w:sz w:val="24"/>
          <w:u w:val="single"/>
        </w:rPr>
        <w:t>lo que generará que la demanda sea desechada; o bien, después de admitida la demanda, lo que tendrá como consecuencia que se sobresea en el juicio.</w:t>
      </w:r>
    </w:p>
    <w:p w14:paraId="4D87267E" w14:textId="77777777" w:rsidR="00E346B1" w:rsidRPr="00FE678F" w:rsidRDefault="00E346B1" w:rsidP="00E346B1">
      <w:pPr>
        <w:autoSpaceDE w:val="0"/>
        <w:autoSpaceDN w:val="0"/>
        <w:adjustRightInd w:val="0"/>
        <w:spacing w:line="360" w:lineRule="auto"/>
        <w:jc w:val="both"/>
        <w:rPr>
          <w:rFonts w:ascii="Palatino Linotype" w:hAnsi="Palatino Linotype"/>
          <w:b/>
          <w:sz w:val="24"/>
          <w:u w:val="single"/>
        </w:rPr>
      </w:pPr>
    </w:p>
    <w:p w14:paraId="54DC8D5C" w14:textId="77777777" w:rsidR="00E346B1" w:rsidRPr="00FE678F" w:rsidRDefault="00E346B1" w:rsidP="00E346B1">
      <w:pPr>
        <w:spacing w:line="360" w:lineRule="auto"/>
        <w:ind w:right="51"/>
        <w:jc w:val="both"/>
        <w:rPr>
          <w:rFonts w:ascii="Palatino Linotype" w:hAnsi="Palatino Linotype" w:cs="Arial"/>
          <w:bCs/>
          <w:sz w:val="24"/>
          <w:lang w:eastAsia="es-MX"/>
        </w:rPr>
      </w:pPr>
      <w:r w:rsidRPr="00FE678F">
        <w:rPr>
          <w:rFonts w:ascii="Palatino Linotype" w:hAnsi="Palatino Linotype" w:cs="Arial"/>
          <w:sz w:val="24"/>
        </w:rPr>
        <w:t>En mérito de lo expuesto en líneas anteriores</w:t>
      </w:r>
      <w:r w:rsidRPr="00FE678F">
        <w:rPr>
          <w:rFonts w:ascii="Palatino Linotype" w:hAnsi="Palatino Linotype"/>
          <w:noProof/>
          <w:sz w:val="24"/>
          <w:lang w:eastAsia="es-MX"/>
        </w:rPr>
        <w:t xml:space="preserve">, resultan improcedentes los motivos de inconformidad que arguye </w:t>
      </w:r>
      <w:r w:rsidRPr="00FE678F">
        <w:rPr>
          <w:rFonts w:ascii="Palatino Linotype" w:hAnsi="Palatino Linotype"/>
          <w:b/>
          <w:noProof/>
          <w:sz w:val="24"/>
          <w:lang w:eastAsia="es-MX"/>
        </w:rPr>
        <w:t>el Recurrente</w:t>
      </w:r>
      <w:r w:rsidRPr="00FE678F">
        <w:rPr>
          <w:rFonts w:ascii="Palatino Linotype" w:hAnsi="Palatino Linotype"/>
          <w:noProof/>
          <w:sz w:val="24"/>
          <w:lang w:eastAsia="es-MX"/>
        </w:rPr>
        <w:t xml:space="preserve"> en su medio de impugnación que fue materia de estudio, </w:t>
      </w:r>
      <w:r w:rsidRPr="00FE678F">
        <w:rPr>
          <w:rFonts w:ascii="Palatino Linotype" w:hAnsi="Palatino Linotype" w:cs="Arial"/>
          <w:sz w:val="24"/>
        </w:rPr>
        <w:t xml:space="preserve">por ello con fundamento en el artículo 186, fracción I, en concordancia con el artículo 192, fracción IV, de la Ley de Transparencia y Acceso a la Información Pública del Estado de México y Municipios, se </w:t>
      </w:r>
      <w:r w:rsidRPr="00FE678F">
        <w:rPr>
          <w:rFonts w:ascii="Palatino Linotype" w:hAnsi="Palatino Linotype" w:cs="Arial"/>
          <w:b/>
          <w:sz w:val="24"/>
        </w:rPr>
        <w:t>SOBRESEE</w:t>
      </w:r>
      <w:r w:rsidRPr="00FE678F">
        <w:rPr>
          <w:rFonts w:ascii="Palatino Linotype" w:hAnsi="Palatino Linotype" w:cs="Arial"/>
          <w:sz w:val="24"/>
        </w:rPr>
        <w:t xml:space="preserve"> el recurso de revisión </w:t>
      </w:r>
      <w:r w:rsidR="00D305F7" w:rsidRPr="00FE678F">
        <w:rPr>
          <w:rFonts w:ascii="Palatino Linotype" w:hAnsi="Palatino Linotype" w:cs="Arial"/>
          <w:b/>
          <w:sz w:val="24"/>
        </w:rPr>
        <w:t>13055</w:t>
      </w:r>
      <w:r w:rsidRPr="00FE678F">
        <w:rPr>
          <w:rFonts w:ascii="Palatino Linotype" w:eastAsiaTheme="minorEastAsia" w:hAnsi="Palatino Linotype"/>
          <w:b/>
          <w:sz w:val="24"/>
          <w:lang w:val="es-ES_tradnl"/>
        </w:rPr>
        <w:t>/INFOEM/IP/RR/202</w:t>
      </w:r>
      <w:r w:rsidR="00D305F7" w:rsidRPr="00FE678F">
        <w:rPr>
          <w:rFonts w:ascii="Palatino Linotype" w:eastAsiaTheme="minorEastAsia" w:hAnsi="Palatino Linotype"/>
          <w:b/>
          <w:sz w:val="24"/>
          <w:lang w:val="es-ES_tradnl"/>
        </w:rPr>
        <w:t>5</w:t>
      </w:r>
      <w:r w:rsidRPr="00FE678F">
        <w:rPr>
          <w:rFonts w:ascii="Palatino Linotype" w:eastAsiaTheme="minorEastAsia" w:hAnsi="Palatino Linotype"/>
          <w:sz w:val="24"/>
          <w:lang w:val="es-ES_tradnl"/>
        </w:rPr>
        <w:t>,</w:t>
      </w:r>
      <w:r w:rsidRPr="00FE678F">
        <w:rPr>
          <w:rFonts w:ascii="Palatino Linotype" w:eastAsiaTheme="minorEastAsia" w:hAnsi="Palatino Linotype"/>
          <w:b/>
          <w:sz w:val="24"/>
          <w:lang w:val="es-ES_tradnl"/>
        </w:rPr>
        <w:t xml:space="preserve"> </w:t>
      </w:r>
      <w:r w:rsidRPr="00FE678F">
        <w:rPr>
          <w:rFonts w:ascii="Palatino Linotype" w:hAnsi="Palatino Linotype" w:cs="Arial"/>
          <w:bCs/>
          <w:sz w:val="24"/>
          <w:lang w:eastAsia="es-MX"/>
        </w:rPr>
        <w:t>que ha sido materia del presente fallo.</w:t>
      </w:r>
    </w:p>
    <w:p w14:paraId="2C27D73E" w14:textId="77777777" w:rsidR="00D305F7" w:rsidRPr="00FE678F" w:rsidRDefault="00E346B1" w:rsidP="00E346B1">
      <w:pPr>
        <w:tabs>
          <w:tab w:val="left" w:pos="8931"/>
        </w:tabs>
        <w:spacing w:line="360" w:lineRule="auto"/>
        <w:ind w:right="51"/>
        <w:jc w:val="both"/>
        <w:rPr>
          <w:rFonts w:ascii="Palatino Linotype" w:hAnsi="Palatino Linotype"/>
          <w:sz w:val="24"/>
        </w:rPr>
      </w:pPr>
      <w:r w:rsidRPr="00FE678F">
        <w:rPr>
          <w:rFonts w:ascii="Palatino Linotype" w:hAnsi="Palatino Linotype"/>
          <w:sz w:val="24"/>
        </w:rPr>
        <w:t>Por lo antes expuesto y fundado es de resolverse y,</w:t>
      </w:r>
    </w:p>
    <w:p w14:paraId="0F7930AE" w14:textId="77777777" w:rsidR="00D305F7" w:rsidRPr="00FE678F" w:rsidRDefault="00D305F7" w:rsidP="00E346B1">
      <w:pPr>
        <w:tabs>
          <w:tab w:val="left" w:pos="8931"/>
        </w:tabs>
        <w:spacing w:line="360" w:lineRule="auto"/>
        <w:ind w:right="51"/>
        <w:jc w:val="both"/>
        <w:rPr>
          <w:rFonts w:ascii="Palatino Linotype" w:hAnsi="Palatino Linotype"/>
          <w:sz w:val="24"/>
        </w:rPr>
      </w:pPr>
    </w:p>
    <w:p w14:paraId="374D3DCE" w14:textId="77777777" w:rsidR="00E346B1" w:rsidRPr="00FE678F" w:rsidRDefault="00E346B1" w:rsidP="00E346B1">
      <w:pPr>
        <w:tabs>
          <w:tab w:val="left" w:pos="8931"/>
        </w:tabs>
        <w:spacing w:after="0" w:line="360" w:lineRule="auto"/>
        <w:ind w:right="51"/>
        <w:jc w:val="both"/>
        <w:rPr>
          <w:rFonts w:ascii="Palatino Linotype" w:hAnsi="Palatino Linotype"/>
        </w:rPr>
      </w:pPr>
    </w:p>
    <w:p w14:paraId="2948E353" w14:textId="77777777" w:rsidR="00E346B1" w:rsidRPr="00FE678F" w:rsidRDefault="00E346B1" w:rsidP="00E346B1">
      <w:pPr>
        <w:spacing w:after="0" w:line="360" w:lineRule="auto"/>
        <w:jc w:val="center"/>
        <w:rPr>
          <w:rFonts w:ascii="Palatino Linotype" w:hAnsi="Palatino Linotype"/>
          <w:b/>
          <w:bCs/>
          <w:spacing w:val="60"/>
          <w:sz w:val="28"/>
          <w:lang w:val="es-ES_tradnl"/>
        </w:rPr>
      </w:pPr>
      <w:r w:rsidRPr="00FE678F">
        <w:rPr>
          <w:rFonts w:ascii="Palatino Linotype" w:hAnsi="Palatino Linotype"/>
          <w:b/>
          <w:bCs/>
          <w:spacing w:val="60"/>
          <w:sz w:val="28"/>
          <w:lang w:val="es-ES_tradnl"/>
        </w:rPr>
        <w:t>SE    RESUELVE</w:t>
      </w:r>
    </w:p>
    <w:p w14:paraId="6C45B8AC" w14:textId="77777777" w:rsidR="00D305F7" w:rsidRPr="00FE678F" w:rsidRDefault="00D305F7" w:rsidP="00E346B1">
      <w:pPr>
        <w:spacing w:after="0" w:line="360" w:lineRule="auto"/>
        <w:jc w:val="center"/>
        <w:rPr>
          <w:rFonts w:ascii="Palatino Linotype" w:hAnsi="Palatino Linotype"/>
          <w:b/>
          <w:bCs/>
          <w:spacing w:val="60"/>
          <w:sz w:val="28"/>
          <w:lang w:val="es-ES_tradnl"/>
        </w:rPr>
      </w:pPr>
    </w:p>
    <w:p w14:paraId="49CA904D" w14:textId="77777777" w:rsidR="00E346B1" w:rsidRPr="00FE678F" w:rsidRDefault="00E346B1" w:rsidP="00E346B1">
      <w:pPr>
        <w:spacing w:after="0" w:line="360" w:lineRule="auto"/>
        <w:jc w:val="center"/>
        <w:rPr>
          <w:rFonts w:ascii="Palatino Linotype" w:hAnsi="Palatino Linotype"/>
          <w:b/>
          <w:bCs/>
          <w:spacing w:val="60"/>
          <w:lang w:val="es-ES_tradnl"/>
        </w:rPr>
      </w:pPr>
    </w:p>
    <w:p w14:paraId="7B0EB083" w14:textId="77777777" w:rsidR="00E346B1" w:rsidRPr="00FE678F" w:rsidRDefault="00E346B1" w:rsidP="00E346B1">
      <w:pPr>
        <w:spacing w:after="0" w:line="360" w:lineRule="auto"/>
        <w:jc w:val="both"/>
        <w:rPr>
          <w:rFonts w:ascii="Palatino Linotype" w:eastAsiaTheme="minorEastAsia" w:hAnsi="Palatino Linotype"/>
          <w:sz w:val="24"/>
          <w:lang w:val="es-ES_tradnl"/>
        </w:rPr>
      </w:pPr>
      <w:r w:rsidRPr="00FE678F">
        <w:rPr>
          <w:rFonts w:ascii="Palatino Linotype" w:hAnsi="Palatino Linotype"/>
          <w:b/>
          <w:bCs/>
          <w:sz w:val="28"/>
          <w:lang w:eastAsia="es-MX"/>
        </w:rPr>
        <w:t>PRIMERO</w:t>
      </w:r>
      <w:r w:rsidRPr="00FE678F">
        <w:rPr>
          <w:rFonts w:ascii="Palatino Linotype" w:hAnsi="Palatino Linotype"/>
          <w:sz w:val="28"/>
          <w:lang w:eastAsia="es-MX"/>
        </w:rPr>
        <w:t xml:space="preserve">. </w:t>
      </w:r>
      <w:r w:rsidRPr="00FE678F">
        <w:rPr>
          <w:rFonts w:ascii="Palatino Linotype" w:hAnsi="Palatino Linotype" w:cs="Arial"/>
          <w:sz w:val="24"/>
          <w:lang w:val="es-ES_tradnl"/>
        </w:rPr>
        <w:t xml:space="preserve">Se </w:t>
      </w:r>
      <w:r w:rsidRPr="00FE678F">
        <w:rPr>
          <w:rFonts w:ascii="Palatino Linotype" w:hAnsi="Palatino Linotype" w:cs="Arial"/>
          <w:b/>
          <w:sz w:val="24"/>
          <w:lang w:val="es-ES_tradnl"/>
        </w:rPr>
        <w:t>SOBRESEE</w:t>
      </w:r>
      <w:r w:rsidRPr="00FE678F">
        <w:rPr>
          <w:rFonts w:ascii="Palatino Linotype" w:hAnsi="Palatino Linotype" w:cs="Arial"/>
          <w:sz w:val="24"/>
          <w:lang w:val="es-ES_tradnl"/>
        </w:rPr>
        <w:t xml:space="preserve"> el recurso de revisión número </w:t>
      </w:r>
      <w:r w:rsidR="00D305F7" w:rsidRPr="00FE678F">
        <w:rPr>
          <w:rFonts w:ascii="Palatino Linotype" w:hAnsi="Palatino Linotype" w:cs="Arial"/>
          <w:b/>
          <w:sz w:val="24"/>
        </w:rPr>
        <w:t>13055</w:t>
      </w:r>
      <w:r w:rsidR="00D305F7" w:rsidRPr="00FE678F">
        <w:rPr>
          <w:rFonts w:ascii="Palatino Linotype" w:eastAsiaTheme="minorEastAsia" w:hAnsi="Palatino Linotype"/>
          <w:b/>
          <w:sz w:val="24"/>
          <w:lang w:val="es-ES_tradnl"/>
        </w:rPr>
        <w:t>/INFOEM/IP/RR/2025</w:t>
      </w:r>
      <w:r w:rsidRPr="00FE678F">
        <w:rPr>
          <w:rFonts w:ascii="Palatino Linotype" w:eastAsiaTheme="minorEastAsia" w:hAnsi="Palatino Linotype"/>
          <w:sz w:val="24"/>
          <w:lang w:val="es-ES_tradnl"/>
        </w:rPr>
        <w:t xml:space="preserve">, por improcedente en términos de los artículos 191, fracción III y 192, fracción IV, de la Ley de Transparencia y Acceso a la Información Pública del Estado de México y Municipios, y en términos del Considerando </w:t>
      </w:r>
      <w:r w:rsidRPr="00FE678F">
        <w:rPr>
          <w:rFonts w:ascii="Palatino Linotype" w:eastAsiaTheme="minorEastAsia" w:hAnsi="Palatino Linotype"/>
          <w:b/>
          <w:sz w:val="24"/>
          <w:lang w:val="es-ES_tradnl"/>
        </w:rPr>
        <w:t>TERCERO</w:t>
      </w:r>
      <w:r w:rsidRPr="00FE678F">
        <w:rPr>
          <w:rFonts w:ascii="Palatino Linotype" w:eastAsiaTheme="minorEastAsia" w:hAnsi="Palatino Linotype"/>
          <w:sz w:val="24"/>
          <w:lang w:val="es-ES_tradnl"/>
        </w:rPr>
        <w:t xml:space="preserve"> de la presente resolución.</w:t>
      </w:r>
    </w:p>
    <w:p w14:paraId="7D9689EC" w14:textId="77777777" w:rsidR="00E346B1" w:rsidRPr="00FE678F" w:rsidRDefault="00E346B1" w:rsidP="00E346B1">
      <w:pPr>
        <w:spacing w:after="0" w:line="360" w:lineRule="auto"/>
        <w:jc w:val="both"/>
        <w:rPr>
          <w:rFonts w:ascii="Palatino Linotype" w:eastAsiaTheme="minorEastAsia" w:hAnsi="Palatino Linotype"/>
          <w:sz w:val="24"/>
          <w:szCs w:val="24"/>
          <w:lang w:val="es-ES_tradnl"/>
        </w:rPr>
      </w:pPr>
    </w:p>
    <w:p w14:paraId="13361826" w14:textId="77777777" w:rsidR="00E346B1" w:rsidRPr="00FE678F" w:rsidRDefault="00E346B1" w:rsidP="00E346B1">
      <w:pPr>
        <w:spacing w:after="0" w:line="360" w:lineRule="auto"/>
        <w:jc w:val="both"/>
        <w:rPr>
          <w:rFonts w:ascii="Palatino Linotype" w:hAnsi="Palatino Linotype"/>
          <w:sz w:val="24"/>
          <w:szCs w:val="24"/>
        </w:rPr>
      </w:pPr>
      <w:r w:rsidRPr="00FE678F">
        <w:rPr>
          <w:rFonts w:ascii="Palatino Linotype" w:hAnsi="Palatino Linotype"/>
          <w:b/>
          <w:sz w:val="28"/>
          <w:szCs w:val="24"/>
        </w:rPr>
        <w:lastRenderedPageBreak/>
        <w:t>SEGUNDO</w:t>
      </w:r>
      <w:r w:rsidRPr="00FE678F">
        <w:rPr>
          <w:rFonts w:ascii="Palatino Linotype" w:hAnsi="Palatino Linotype"/>
          <w:b/>
          <w:sz w:val="24"/>
          <w:szCs w:val="24"/>
        </w:rPr>
        <w:t>.</w:t>
      </w:r>
      <w:r w:rsidRPr="00FE678F">
        <w:rPr>
          <w:rFonts w:ascii="Palatino Linotype" w:hAnsi="Palatino Linotype" w:cs="Arial"/>
          <w:sz w:val="24"/>
          <w:szCs w:val="24"/>
        </w:rPr>
        <w:t xml:space="preserve"> </w:t>
      </w:r>
      <w:r w:rsidRPr="00FE678F">
        <w:rPr>
          <w:rFonts w:ascii="Palatino Linotype" w:hAnsi="Palatino Linotype"/>
          <w:b/>
          <w:sz w:val="24"/>
          <w:szCs w:val="24"/>
        </w:rPr>
        <w:t>NOTIFÍQUESE</w:t>
      </w:r>
      <w:r w:rsidRPr="00FE678F">
        <w:rPr>
          <w:rFonts w:ascii="Palatino Linotype" w:hAnsi="Palatino Linotype"/>
          <w:sz w:val="24"/>
          <w:szCs w:val="24"/>
        </w:rPr>
        <w:t xml:space="preserve"> vía </w:t>
      </w:r>
      <w:r w:rsidRPr="00FE678F">
        <w:rPr>
          <w:rFonts w:ascii="Palatino Linotype" w:hAnsi="Palatino Linotype"/>
          <w:b/>
          <w:sz w:val="24"/>
          <w:szCs w:val="24"/>
        </w:rPr>
        <w:t>Sistema de Acceso a la Información Mexiquense (SAIMEX)</w:t>
      </w:r>
      <w:r w:rsidRPr="00FE678F">
        <w:rPr>
          <w:rFonts w:ascii="Palatino Linotype" w:hAnsi="Palatino Linotype"/>
          <w:sz w:val="24"/>
          <w:szCs w:val="24"/>
        </w:rPr>
        <w:t xml:space="preserve">, la presente resolución al Titular de la Unidad de Transparencia del </w:t>
      </w:r>
      <w:r w:rsidRPr="00FE678F">
        <w:rPr>
          <w:rFonts w:ascii="Palatino Linotype" w:hAnsi="Palatino Linotype"/>
          <w:b/>
          <w:sz w:val="24"/>
          <w:szCs w:val="24"/>
        </w:rPr>
        <w:t>Sujeto Obligado</w:t>
      </w:r>
      <w:r w:rsidRPr="00FE678F">
        <w:rPr>
          <w:rFonts w:ascii="Palatino Linotype" w:hAnsi="Palatino Linotype"/>
          <w:sz w:val="24"/>
          <w:szCs w:val="24"/>
        </w:rPr>
        <w:t>.</w:t>
      </w:r>
    </w:p>
    <w:p w14:paraId="1D49358F" w14:textId="77777777" w:rsidR="00E346B1" w:rsidRPr="00FE678F" w:rsidRDefault="00E346B1" w:rsidP="00E346B1">
      <w:pPr>
        <w:spacing w:after="0" w:line="360" w:lineRule="auto"/>
        <w:jc w:val="both"/>
        <w:rPr>
          <w:rFonts w:ascii="Palatino Linotype" w:hAnsi="Palatino Linotype"/>
          <w:sz w:val="24"/>
          <w:szCs w:val="24"/>
        </w:rPr>
      </w:pPr>
    </w:p>
    <w:p w14:paraId="1C987AEE" w14:textId="77777777" w:rsidR="00A85323" w:rsidRPr="00FE678F" w:rsidRDefault="00E346B1" w:rsidP="00E346B1">
      <w:pPr>
        <w:spacing w:after="0" w:line="360" w:lineRule="auto"/>
        <w:jc w:val="both"/>
        <w:rPr>
          <w:rFonts w:ascii="Palatino Linotype" w:hAnsi="Palatino Linotype"/>
          <w:sz w:val="24"/>
          <w:szCs w:val="24"/>
        </w:rPr>
      </w:pPr>
      <w:r w:rsidRPr="00FE678F">
        <w:rPr>
          <w:rFonts w:ascii="Palatino Linotype" w:hAnsi="Palatino Linotype" w:cs="Arial"/>
          <w:b/>
          <w:sz w:val="28"/>
          <w:szCs w:val="24"/>
        </w:rPr>
        <w:t>TERCERO.</w:t>
      </w:r>
      <w:r w:rsidRPr="00FE678F">
        <w:rPr>
          <w:rFonts w:ascii="Palatino Linotype" w:hAnsi="Palatino Linotype" w:cs="Arial"/>
          <w:b/>
          <w:sz w:val="24"/>
          <w:szCs w:val="24"/>
        </w:rPr>
        <w:t xml:space="preserve"> </w:t>
      </w:r>
      <w:r w:rsidRPr="00FE678F">
        <w:rPr>
          <w:rFonts w:ascii="Palatino Linotype" w:hAnsi="Palatino Linotype"/>
          <w:b/>
          <w:sz w:val="24"/>
          <w:szCs w:val="24"/>
        </w:rPr>
        <w:t>NOTIFÍQUESE</w:t>
      </w:r>
      <w:r w:rsidRPr="00FE678F">
        <w:rPr>
          <w:rFonts w:ascii="Palatino Linotype" w:hAnsi="Palatino Linotype"/>
          <w:sz w:val="24"/>
          <w:szCs w:val="24"/>
        </w:rPr>
        <w:t xml:space="preserve"> al </w:t>
      </w:r>
      <w:r w:rsidRPr="00FE678F">
        <w:rPr>
          <w:rFonts w:ascii="Palatino Linotype" w:hAnsi="Palatino Linotype"/>
          <w:b/>
          <w:sz w:val="24"/>
          <w:szCs w:val="24"/>
        </w:rPr>
        <w:t xml:space="preserve">Recurrente </w:t>
      </w:r>
      <w:r w:rsidRPr="00FE678F">
        <w:rPr>
          <w:rFonts w:ascii="Palatino Linotype" w:hAnsi="Palatino Linotype"/>
          <w:sz w:val="24"/>
          <w:szCs w:val="24"/>
        </w:rPr>
        <w:t xml:space="preserve">la presente resolución vía Sistema de Acceso a la Información Mexiquense </w:t>
      </w:r>
      <w:r w:rsidRPr="00FE678F">
        <w:rPr>
          <w:rFonts w:ascii="Palatino Linotype" w:hAnsi="Palatino Linotype"/>
          <w:b/>
          <w:sz w:val="24"/>
          <w:szCs w:val="24"/>
        </w:rPr>
        <w:t>(SAIMEX)</w:t>
      </w:r>
      <w:r w:rsidRPr="00FE678F">
        <w:rPr>
          <w:rFonts w:ascii="Palatino Linotype" w:hAnsi="Palatino Linotype"/>
          <w:sz w:val="24"/>
          <w:szCs w:val="24"/>
        </w:rPr>
        <w:t xml:space="preserve">, y </w:t>
      </w:r>
      <w:r w:rsidRPr="00FE678F">
        <w:rPr>
          <w:rFonts w:ascii="Palatino Linotype" w:hAnsi="Palatino Linotype" w:cs="Arial"/>
          <w:sz w:val="24"/>
          <w:szCs w:val="24"/>
        </w:rPr>
        <w:t>hágase</w:t>
      </w:r>
      <w:r w:rsidRPr="00FE678F">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20B0B6FB" w14:textId="77777777" w:rsidR="00A85323" w:rsidRPr="00FE678F" w:rsidRDefault="00A85323" w:rsidP="00A85323">
      <w:pPr>
        <w:spacing w:line="360" w:lineRule="auto"/>
        <w:jc w:val="both"/>
        <w:rPr>
          <w:rFonts w:ascii="Palatino Linotype" w:hAnsi="Palatino Linotype" w:cs="Arial"/>
          <w:lang w:val="es-ES" w:eastAsia="es-ES"/>
        </w:rPr>
      </w:pPr>
    </w:p>
    <w:p w14:paraId="36688FB4" w14:textId="11993BB7" w:rsidR="00A85323" w:rsidRPr="00FE678F" w:rsidRDefault="00A85323" w:rsidP="00A85323">
      <w:pPr>
        <w:spacing w:after="0" w:line="360" w:lineRule="auto"/>
        <w:jc w:val="both"/>
        <w:rPr>
          <w:rFonts w:ascii="Palatino Linotype" w:hAnsi="Palatino Linotype" w:cs="Arial"/>
          <w:sz w:val="24"/>
          <w:szCs w:val="24"/>
        </w:rPr>
      </w:pPr>
      <w:r w:rsidRPr="00FE678F">
        <w:rPr>
          <w:rFonts w:ascii="Palatino Linotype" w:eastAsia="Times New Roman" w:hAnsi="Palatino Linotype" w:cs="Arial"/>
          <w:sz w:val="24"/>
          <w:szCs w:val="24"/>
          <w:lang w:val="es-ES_tradnl" w:eastAsia="es-MX"/>
        </w:rPr>
        <w:t xml:space="preserve">ASÍ LO RESUELVE, </w:t>
      </w:r>
      <w:r w:rsidRPr="00FE678F">
        <w:rPr>
          <w:rFonts w:ascii="Palatino Linotype" w:eastAsia="Times New Roman" w:hAnsi="Palatino Linotype" w:cs="Arial"/>
          <w:b/>
          <w:bCs/>
          <w:sz w:val="24"/>
          <w:szCs w:val="24"/>
          <w:lang w:val="es-ES_tradnl" w:eastAsia="es-MX"/>
        </w:rPr>
        <w:t xml:space="preserve">POR UNANIMIDAD DE VOTOS </w:t>
      </w:r>
      <w:r w:rsidRPr="00FE678F">
        <w:rPr>
          <w:rFonts w:ascii="Palatino Linotype" w:eastAsia="Times New Roman" w:hAnsi="Palatino Linotype" w:cs="Arial"/>
          <w:sz w:val="24"/>
          <w:szCs w:val="24"/>
          <w:lang w:val="es-ES_tradnl" w:eastAsia="es-MX"/>
        </w:rPr>
        <w:t>EL PLENO DEL</w:t>
      </w:r>
      <w:r w:rsidRPr="00FE678F">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E678F">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FE678F">
        <w:rPr>
          <w:rFonts w:ascii="Palatino Linotype" w:eastAsia="Times New Roman" w:hAnsi="Palatino Linotype" w:cs="Arial"/>
          <w:b/>
          <w:bCs/>
          <w:sz w:val="24"/>
          <w:szCs w:val="24"/>
          <w:lang w:val="es-ES_tradnl" w:eastAsia="es-MX"/>
        </w:rPr>
        <w:t>LA</w:t>
      </w:r>
      <w:r w:rsidRPr="00FE678F">
        <w:rPr>
          <w:rFonts w:ascii="Palatino Linotype" w:eastAsia="Times New Roman" w:hAnsi="Palatino Linotype" w:cs="Arial"/>
          <w:b/>
          <w:bCs/>
          <w:sz w:val="24"/>
          <w:szCs w:val="24"/>
          <w:lang w:val="es-419" w:eastAsia="es-MX"/>
        </w:rPr>
        <w:t xml:space="preserve"> </w:t>
      </w:r>
      <w:r w:rsidR="005B75C7" w:rsidRPr="00FE678F">
        <w:rPr>
          <w:rFonts w:ascii="Palatino Linotype" w:eastAsia="Times New Roman" w:hAnsi="Palatino Linotype" w:cs="Arial"/>
          <w:b/>
          <w:bCs/>
          <w:sz w:val="24"/>
          <w:szCs w:val="24"/>
          <w:lang w:val="es-419" w:eastAsia="es-MX"/>
        </w:rPr>
        <w:t>PRIMERA</w:t>
      </w:r>
      <w:r w:rsidRPr="00FE678F">
        <w:rPr>
          <w:rFonts w:ascii="Palatino Linotype" w:eastAsia="Times New Roman" w:hAnsi="Palatino Linotype" w:cs="Arial"/>
          <w:b/>
          <w:bCs/>
          <w:sz w:val="24"/>
          <w:szCs w:val="24"/>
          <w:lang w:val="es-419" w:eastAsia="es-MX"/>
        </w:rPr>
        <w:t xml:space="preserve"> SESIÓN ORDINARIA CELEBRADA EL </w:t>
      </w:r>
      <w:r w:rsidR="005B75C7" w:rsidRPr="00FE678F">
        <w:rPr>
          <w:rFonts w:ascii="Palatino Linotype" w:eastAsia="Times New Roman" w:hAnsi="Palatino Linotype" w:cs="Arial"/>
          <w:b/>
          <w:bCs/>
          <w:sz w:val="24"/>
          <w:szCs w:val="24"/>
          <w:lang w:val="es-419" w:eastAsia="es-MX"/>
        </w:rPr>
        <w:t>CATORCE DE ENERO DOS MIL VEINTISÉIS</w:t>
      </w:r>
      <w:r w:rsidRPr="00FE678F">
        <w:rPr>
          <w:rFonts w:ascii="Palatino Linotype" w:eastAsia="Times New Roman" w:hAnsi="Palatino Linotype" w:cs="Arial"/>
          <w:sz w:val="24"/>
          <w:szCs w:val="24"/>
          <w:lang w:val="es-ES_tradnl" w:eastAsia="es-MX"/>
        </w:rPr>
        <w:t xml:space="preserve">, ANTE EL SECRETARIO TÉCNICO DEL PLENO, ALEXIS TAPIA RAMÍREZ. </w:t>
      </w:r>
      <w:r w:rsidRPr="00FE678F">
        <w:rPr>
          <w:rFonts w:ascii="Palatino Linotype" w:eastAsia="Times New Roman" w:hAnsi="Palatino Linotype" w:cs="Arial"/>
          <w:sz w:val="24"/>
          <w:szCs w:val="24"/>
          <w:lang w:eastAsia="es-MX"/>
        </w:rPr>
        <w:t>-------------------------------------------------------------------------------------------</w:t>
      </w:r>
      <w:r w:rsidRPr="00FE678F">
        <w:rPr>
          <w:rFonts w:ascii="Palatino Linotype" w:eastAsia="Times New Roman" w:hAnsi="Palatino Linotype" w:cs="Arial"/>
          <w:sz w:val="24"/>
          <w:szCs w:val="24"/>
          <w:lang w:val="es-ES_tradnl" w:eastAsia="es-MX"/>
        </w:rPr>
        <w:t>----------------------------------------------------------------------------------------------------------------------------------------------------------------------</w:t>
      </w:r>
      <w:r w:rsidRPr="00FE678F">
        <w:rPr>
          <w:rFonts w:ascii="Palatino Linotype" w:hAnsi="Palatino Linotype" w:cs="Arial"/>
          <w:sz w:val="24"/>
          <w:szCs w:val="24"/>
        </w:rPr>
        <w:t>------------------------------------------------------------------------------</w:t>
      </w:r>
      <w:r w:rsidR="00D90429" w:rsidRPr="00FE678F">
        <w:rPr>
          <w:rFonts w:ascii="Palatino Linotype" w:hAnsi="Palatino Linotype" w:cs="Arial"/>
          <w:sz w:val="24"/>
          <w:szCs w:val="24"/>
        </w:rPr>
        <w:t>---------------------------------------</w:t>
      </w:r>
    </w:p>
    <w:p w14:paraId="645DC208" w14:textId="77777777" w:rsidR="00A85323" w:rsidRPr="00647A07" w:rsidRDefault="00A85323" w:rsidP="00A85323">
      <w:pPr>
        <w:spacing w:after="0" w:line="360" w:lineRule="auto"/>
        <w:jc w:val="both"/>
        <w:rPr>
          <w:rFonts w:ascii="Palatino Linotype" w:eastAsia="Times New Roman" w:hAnsi="Palatino Linotype" w:cs="Arial"/>
          <w:sz w:val="24"/>
          <w:szCs w:val="24"/>
          <w:lang w:eastAsia="es-MX"/>
        </w:rPr>
      </w:pPr>
      <w:r w:rsidRPr="00FE678F">
        <w:rPr>
          <w:rFonts w:ascii="Palatino Linotype" w:eastAsia="Times New Roman" w:hAnsi="Palatino Linotype" w:cs="Arial"/>
          <w:sz w:val="20"/>
          <w:lang w:val="es-ES_tradnl" w:eastAsia="es-MX"/>
        </w:rPr>
        <w:t xml:space="preserve"> JMV/CCR/NJMB</w:t>
      </w:r>
    </w:p>
    <w:p w14:paraId="7BE99E58" w14:textId="77777777" w:rsidR="00A85323" w:rsidRPr="00F444C4" w:rsidRDefault="00A85323" w:rsidP="00A85323">
      <w:pPr>
        <w:spacing w:after="0" w:line="360" w:lineRule="auto"/>
        <w:jc w:val="both"/>
        <w:rPr>
          <w:rFonts w:ascii="Palatino Linotype" w:eastAsia="Times New Roman" w:hAnsi="Palatino Linotype" w:cs="Arial"/>
          <w:sz w:val="20"/>
          <w:lang w:val="es-ES_tradnl" w:eastAsia="es-MX"/>
        </w:rPr>
      </w:pPr>
    </w:p>
    <w:p w14:paraId="4C6C9652" w14:textId="77777777" w:rsidR="00A85323" w:rsidRPr="00F444C4" w:rsidRDefault="00A85323" w:rsidP="00A85323">
      <w:pPr>
        <w:spacing w:after="0" w:line="360" w:lineRule="auto"/>
        <w:jc w:val="both"/>
        <w:rPr>
          <w:rFonts w:ascii="Palatino Linotype" w:eastAsia="Times New Roman" w:hAnsi="Palatino Linotype" w:cs="Arial"/>
          <w:sz w:val="20"/>
          <w:lang w:val="es-ES_tradnl" w:eastAsia="es-MX"/>
        </w:rPr>
      </w:pPr>
    </w:p>
    <w:p w14:paraId="7CCFA778" w14:textId="77777777" w:rsidR="00A85323" w:rsidRPr="00F444C4" w:rsidRDefault="00A85323" w:rsidP="00A8532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558A513" w14:textId="77777777" w:rsidR="00A85323" w:rsidRPr="00F444C4" w:rsidRDefault="00A85323" w:rsidP="00A8532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4C194C1" w14:textId="77777777" w:rsidR="00A85323" w:rsidRPr="00F444C4" w:rsidRDefault="00A85323" w:rsidP="00A8532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1749B90" w14:textId="77777777" w:rsidR="00A85323" w:rsidRPr="00F444C4" w:rsidRDefault="00A85323" w:rsidP="00A8532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9E91023" w14:textId="77777777" w:rsidR="00A85323" w:rsidRPr="00F444C4" w:rsidRDefault="00A85323" w:rsidP="00A85323">
      <w:pPr>
        <w:spacing w:after="0" w:line="360" w:lineRule="auto"/>
        <w:jc w:val="both"/>
        <w:rPr>
          <w:rFonts w:ascii="Palatino Linotype" w:eastAsia="Times New Roman" w:hAnsi="Palatino Linotype" w:cs="Calibri"/>
          <w:sz w:val="24"/>
          <w:lang w:val="es-ES_tradnl" w:eastAsia="es-MX"/>
        </w:rPr>
      </w:pPr>
    </w:p>
    <w:p w14:paraId="6D1CC94E" w14:textId="77777777" w:rsidR="00A85323" w:rsidRDefault="00A85323" w:rsidP="00A85323">
      <w:pPr>
        <w:spacing w:line="360" w:lineRule="auto"/>
      </w:pPr>
    </w:p>
    <w:p w14:paraId="0463B731" w14:textId="77777777" w:rsidR="00A85323" w:rsidRDefault="00A85323" w:rsidP="00A85323">
      <w:pPr>
        <w:spacing w:line="360" w:lineRule="auto"/>
      </w:pPr>
    </w:p>
    <w:p w14:paraId="00777E0A" w14:textId="77777777" w:rsidR="00A85323" w:rsidRDefault="00A85323" w:rsidP="00A85323">
      <w:pPr>
        <w:spacing w:line="360" w:lineRule="auto"/>
      </w:pPr>
    </w:p>
    <w:p w14:paraId="032AF1B2" w14:textId="77777777" w:rsidR="00A85323" w:rsidRDefault="00A85323" w:rsidP="00A85323">
      <w:pPr>
        <w:spacing w:line="360" w:lineRule="auto"/>
      </w:pPr>
    </w:p>
    <w:p w14:paraId="2186E5A6" w14:textId="77777777" w:rsidR="00A85323" w:rsidRDefault="00A85323" w:rsidP="00A85323">
      <w:pPr>
        <w:spacing w:line="360" w:lineRule="auto"/>
      </w:pPr>
    </w:p>
    <w:p w14:paraId="4F24E82E" w14:textId="77777777" w:rsidR="00A85323" w:rsidRDefault="00A85323" w:rsidP="00A85323"/>
    <w:p w14:paraId="55EC1A38" w14:textId="77777777" w:rsidR="00A85323" w:rsidRDefault="00A85323" w:rsidP="00A85323"/>
    <w:p w14:paraId="5DB6AEE8" w14:textId="77777777" w:rsidR="00A85323" w:rsidRDefault="00A85323" w:rsidP="00A85323"/>
    <w:p w14:paraId="4460EEF2" w14:textId="77777777" w:rsidR="00A85323" w:rsidRDefault="00A85323" w:rsidP="00A85323"/>
    <w:p w14:paraId="55BB8CA2" w14:textId="77777777" w:rsidR="00A85323" w:rsidRDefault="00A85323" w:rsidP="00A85323"/>
    <w:p w14:paraId="170F1113" w14:textId="77777777" w:rsidR="00A85323" w:rsidRDefault="00A85323" w:rsidP="00A85323"/>
    <w:p w14:paraId="380EC0CC" w14:textId="77777777" w:rsidR="00D2761B" w:rsidRDefault="00D2761B"/>
    <w:sectPr w:rsidR="00D2761B" w:rsidSect="00E346B1">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3C010" w14:textId="77777777" w:rsidR="00FE2FE1" w:rsidRDefault="00FE2FE1" w:rsidP="00A85323">
      <w:pPr>
        <w:spacing w:after="0" w:line="240" w:lineRule="auto"/>
      </w:pPr>
      <w:r>
        <w:separator/>
      </w:r>
    </w:p>
  </w:endnote>
  <w:endnote w:type="continuationSeparator" w:id="0">
    <w:p w14:paraId="302DF9CA" w14:textId="77777777" w:rsidR="00FE2FE1" w:rsidRDefault="00FE2FE1" w:rsidP="00A85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0646" w14:textId="5E6C11E0" w:rsidR="00E346B1" w:rsidRPr="00871A91" w:rsidRDefault="00E346B1" w:rsidP="00E346B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398E">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398E">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EB97" w14:textId="3935D4EA" w:rsidR="00E346B1" w:rsidRPr="00871A91" w:rsidRDefault="00E346B1" w:rsidP="00E346B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398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398E">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DE68B" w14:textId="77777777" w:rsidR="00FE2FE1" w:rsidRDefault="00FE2FE1" w:rsidP="00A85323">
      <w:pPr>
        <w:spacing w:after="0" w:line="240" w:lineRule="auto"/>
      </w:pPr>
      <w:r>
        <w:separator/>
      </w:r>
    </w:p>
  </w:footnote>
  <w:footnote w:type="continuationSeparator" w:id="0">
    <w:p w14:paraId="23A0B9D2" w14:textId="77777777" w:rsidR="00FE2FE1" w:rsidRDefault="00FE2FE1" w:rsidP="00A85323">
      <w:pPr>
        <w:spacing w:after="0" w:line="240" w:lineRule="auto"/>
      </w:pPr>
      <w:r>
        <w:continuationSeparator/>
      </w:r>
    </w:p>
  </w:footnote>
  <w:footnote w:id="1">
    <w:p w14:paraId="54C7D6AA" w14:textId="77777777" w:rsidR="00E346B1" w:rsidRPr="00911081" w:rsidRDefault="00E346B1" w:rsidP="00E346B1">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831665" w14:textId="77777777" w:rsidR="00E346B1" w:rsidRPr="00911081" w:rsidRDefault="00E346B1" w:rsidP="00E346B1">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7D23A" w14:textId="77777777" w:rsidR="00E346B1" w:rsidRDefault="00FE2FE1">
    <w:pPr>
      <w:pStyle w:val="Encabezado"/>
    </w:pPr>
    <w:r>
      <w:rPr>
        <w:noProof/>
        <w:lang w:val="es-MX" w:eastAsia="es-MX"/>
      </w:rPr>
      <w:pict w14:anchorId="4596A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E346B1" w:rsidRPr="00B17577" w14:paraId="19EB7FB1" w14:textId="77777777" w:rsidTr="00E346B1">
      <w:trPr>
        <w:trHeight w:val="237"/>
      </w:trPr>
      <w:tc>
        <w:tcPr>
          <w:tcW w:w="5180" w:type="dxa"/>
          <w:hideMark/>
        </w:tcPr>
        <w:p w14:paraId="15DD0B09" w14:textId="77777777" w:rsidR="00E346B1" w:rsidRPr="00F70BDE" w:rsidRDefault="00E346B1" w:rsidP="00E346B1">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5BFD27C4" w14:textId="77777777" w:rsidR="00E346B1" w:rsidRPr="00F70BDE" w:rsidRDefault="00E346B1" w:rsidP="00E346B1">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13055/INFOEM/IP/RR/2025</w:t>
          </w:r>
        </w:p>
      </w:tc>
    </w:tr>
    <w:tr w:rsidR="00E346B1" w14:paraId="77FF62C8" w14:textId="77777777" w:rsidTr="00E346B1">
      <w:trPr>
        <w:trHeight w:val="252"/>
      </w:trPr>
      <w:tc>
        <w:tcPr>
          <w:tcW w:w="5180" w:type="dxa"/>
          <w:hideMark/>
        </w:tcPr>
        <w:p w14:paraId="7A8E7BF2" w14:textId="77777777" w:rsidR="00E346B1" w:rsidRPr="00F70BDE" w:rsidRDefault="00E346B1" w:rsidP="00E346B1">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4735DA2A" w14:textId="77777777" w:rsidR="00E346B1" w:rsidRPr="0008283A" w:rsidRDefault="00E346B1" w:rsidP="00E346B1">
          <w:pPr>
            <w:spacing w:after="120" w:line="240" w:lineRule="auto"/>
            <w:ind w:left="-81" w:right="71"/>
            <w:jc w:val="right"/>
            <w:rPr>
              <w:rFonts w:ascii="Palatino Linotype" w:hAnsi="Palatino Linotype" w:cs="Arial"/>
              <w:sz w:val="24"/>
              <w:szCs w:val="24"/>
            </w:rPr>
          </w:pPr>
          <w:r w:rsidRPr="00A85323">
            <w:rPr>
              <w:rFonts w:ascii="Palatino Linotype" w:hAnsi="Palatino Linotype"/>
              <w:b/>
              <w:bCs/>
              <w:color w:val="000000"/>
              <w:sz w:val="24"/>
              <w:szCs w:val="24"/>
            </w:rPr>
            <w:t>Ayuntamiento de Naucalpan de Juárez</w:t>
          </w:r>
        </w:p>
      </w:tc>
    </w:tr>
    <w:tr w:rsidR="00E346B1" w:rsidRPr="00F63239" w14:paraId="02058A75" w14:textId="77777777" w:rsidTr="00E346B1">
      <w:trPr>
        <w:trHeight w:val="357"/>
      </w:trPr>
      <w:tc>
        <w:tcPr>
          <w:tcW w:w="5180" w:type="dxa"/>
          <w:hideMark/>
        </w:tcPr>
        <w:p w14:paraId="1B7D9795" w14:textId="77777777" w:rsidR="00E346B1" w:rsidRPr="00F70BDE" w:rsidRDefault="00E346B1" w:rsidP="00E346B1">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3C2CEB99" w14:textId="77777777" w:rsidR="00E346B1" w:rsidRPr="00F70BDE" w:rsidRDefault="00E346B1" w:rsidP="00E346B1">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22571677" w14:textId="77777777" w:rsidR="00E346B1" w:rsidRPr="00F70BDE" w:rsidRDefault="00E346B1" w:rsidP="00E346B1">
          <w:pPr>
            <w:spacing w:after="120" w:line="240" w:lineRule="auto"/>
            <w:ind w:left="-486" w:right="71" w:firstLine="567"/>
            <w:jc w:val="right"/>
            <w:rPr>
              <w:rFonts w:ascii="Palatino Linotype" w:hAnsi="Palatino Linotype" w:cs="Arial"/>
              <w:sz w:val="24"/>
              <w:szCs w:val="24"/>
            </w:rPr>
          </w:pPr>
        </w:p>
      </w:tc>
    </w:tr>
  </w:tbl>
  <w:p w14:paraId="299D58F6" w14:textId="77777777" w:rsidR="00E346B1" w:rsidRPr="00871A91" w:rsidRDefault="00FE2FE1">
    <w:pPr>
      <w:pStyle w:val="Encabezado"/>
      <w:rPr>
        <w:sz w:val="2"/>
      </w:rPr>
    </w:pPr>
    <w:r>
      <w:rPr>
        <w:noProof/>
        <w:lang w:val="es-MX" w:eastAsia="es-MX"/>
      </w:rPr>
      <w:pict w14:anchorId="3FAD1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E346B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346B1" w:rsidRPr="00F70BDE" w14:paraId="2C6B0190" w14:textId="77777777" w:rsidTr="00E346B1">
      <w:trPr>
        <w:trHeight w:val="227"/>
      </w:trPr>
      <w:tc>
        <w:tcPr>
          <w:tcW w:w="5103" w:type="dxa"/>
          <w:hideMark/>
        </w:tcPr>
        <w:p w14:paraId="31D6A454" w14:textId="77777777" w:rsidR="00E346B1" w:rsidRPr="00F70BDE" w:rsidRDefault="00E346B1" w:rsidP="00E346B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126AF5F9" w14:textId="77777777" w:rsidR="00E346B1" w:rsidRPr="00F70BDE" w:rsidRDefault="00E346B1" w:rsidP="00E346B1">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013055/INFOEM/IP/RR/2025</w:t>
          </w:r>
        </w:p>
      </w:tc>
    </w:tr>
    <w:tr w:rsidR="00E346B1" w:rsidRPr="00F70BDE" w14:paraId="00B1F326" w14:textId="77777777" w:rsidTr="00E346B1">
      <w:trPr>
        <w:trHeight w:val="227"/>
      </w:trPr>
      <w:tc>
        <w:tcPr>
          <w:tcW w:w="5103" w:type="dxa"/>
        </w:tcPr>
        <w:p w14:paraId="2027BC51" w14:textId="77777777" w:rsidR="00E346B1" w:rsidRPr="00F70BDE" w:rsidRDefault="00E346B1" w:rsidP="00E346B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2F704273" w14:textId="0F02071C" w:rsidR="00E346B1" w:rsidRPr="00F70BDE" w:rsidRDefault="008F398E" w:rsidP="00E346B1">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E346B1" w:rsidRPr="00F70BDE" w14:paraId="57CDF819" w14:textId="77777777" w:rsidTr="00E346B1">
      <w:trPr>
        <w:trHeight w:val="242"/>
      </w:trPr>
      <w:tc>
        <w:tcPr>
          <w:tcW w:w="5103" w:type="dxa"/>
          <w:hideMark/>
        </w:tcPr>
        <w:p w14:paraId="45C9A337" w14:textId="77777777" w:rsidR="00E346B1" w:rsidRPr="00F70BDE" w:rsidRDefault="00E346B1" w:rsidP="00E346B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6387477A" w14:textId="77777777" w:rsidR="00E346B1" w:rsidRPr="00A85323" w:rsidRDefault="00E346B1" w:rsidP="00E346B1">
          <w:pPr>
            <w:spacing w:after="120" w:line="240" w:lineRule="auto"/>
            <w:ind w:left="-70" w:right="68"/>
            <w:jc w:val="right"/>
            <w:rPr>
              <w:rFonts w:ascii="Palatino Linotype" w:hAnsi="Palatino Linotype" w:cs="Arial"/>
              <w:sz w:val="24"/>
              <w:szCs w:val="24"/>
            </w:rPr>
          </w:pPr>
          <w:r w:rsidRPr="00A85323">
            <w:rPr>
              <w:rFonts w:ascii="Palatino Linotype" w:hAnsi="Palatino Linotype"/>
              <w:b/>
              <w:bCs/>
              <w:color w:val="000000"/>
              <w:sz w:val="24"/>
              <w:szCs w:val="24"/>
            </w:rPr>
            <w:t>Ayuntamiento de Naucalpan de Juárez</w:t>
          </w:r>
        </w:p>
      </w:tc>
    </w:tr>
    <w:tr w:rsidR="00E346B1" w:rsidRPr="00F70BDE" w14:paraId="34CBA301" w14:textId="77777777" w:rsidTr="00E346B1">
      <w:trPr>
        <w:trHeight w:val="342"/>
      </w:trPr>
      <w:tc>
        <w:tcPr>
          <w:tcW w:w="5103" w:type="dxa"/>
          <w:hideMark/>
        </w:tcPr>
        <w:p w14:paraId="13B3BCB0" w14:textId="77777777" w:rsidR="00E346B1" w:rsidRPr="00F70BDE" w:rsidRDefault="00E346B1" w:rsidP="00E346B1">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715A6B19" w14:textId="77777777" w:rsidR="00E346B1" w:rsidRPr="00F70BDE" w:rsidRDefault="00E346B1" w:rsidP="00E346B1">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03394033" w14:textId="77777777" w:rsidR="00E346B1" w:rsidRPr="00871A91" w:rsidRDefault="00E346B1">
    <w:pPr>
      <w:pStyle w:val="Encabezado"/>
      <w:rPr>
        <w:sz w:val="2"/>
      </w:rPr>
    </w:pPr>
    <w:r>
      <w:rPr>
        <w:noProof/>
        <w:lang w:val="es-MX" w:eastAsia="es-MX"/>
      </w:rPr>
      <w:drawing>
        <wp:anchor distT="0" distB="0" distL="114300" distR="114300" simplePos="0" relativeHeight="251656704" behindDoc="1" locked="0" layoutInCell="0" allowOverlap="1" wp14:anchorId="6F249E3A" wp14:editId="6AD6FD7F">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72D59"/>
    <w:multiLevelType w:val="hybridMultilevel"/>
    <w:tmpl w:val="C346CCA6"/>
    <w:lvl w:ilvl="0" w:tplc="30B63CE0">
      <w:start w:val="1"/>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96497C"/>
    <w:multiLevelType w:val="hybridMultilevel"/>
    <w:tmpl w:val="C7049B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0C689B"/>
    <w:multiLevelType w:val="hybridMultilevel"/>
    <w:tmpl w:val="569C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01062B"/>
    <w:multiLevelType w:val="hybridMultilevel"/>
    <w:tmpl w:val="27460D32"/>
    <w:lvl w:ilvl="0" w:tplc="63CAAD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5"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6" w15:restartNumberingAfterBreak="0">
    <w:nsid w:val="30A8549B"/>
    <w:multiLevelType w:val="hybridMultilevel"/>
    <w:tmpl w:val="62BAFBCE"/>
    <w:lvl w:ilvl="0" w:tplc="493A91D6">
      <w:numFmt w:val="bullet"/>
      <w:lvlText w:val=""/>
      <w:lvlJc w:val="left"/>
      <w:pPr>
        <w:ind w:left="720" w:hanging="360"/>
      </w:pPr>
      <w:rPr>
        <w:rFonts w:ascii="Symbol" w:eastAsiaTheme="minorHAnsi" w:hAnsi="Symbol"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AA16295"/>
    <w:multiLevelType w:val="hybridMultilevel"/>
    <w:tmpl w:val="FAD45ECC"/>
    <w:lvl w:ilvl="0" w:tplc="5246B556">
      <w:start w:val="1"/>
      <w:numFmt w:val="decimal"/>
      <w:lvlText w:val="%1."/>
      <w:lvlJc w:val="left"/>
      <w:pPr>
        <w:ind w:left="720" w:hanging="360"/>
      </w:pPr>
      <w:rPr>
        <w:rFonts w:ascii="Palatino Linotype" w:hAnsi="Palatino Linotype"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EE5DCD"/>
    <w:multiLevelType w:val="hybridMultilevel"/>
    <w:tmpl w:val="FECECF78"/>
    <w:lvl w:ilvl="0" w:tplc="4E32280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5"/>
  </w:num>
  <w:num w:numId="2">
    <w:abstractNumId w:val="4"/>
  </w:num>
  <w:num w:numId="3">
    <w:abstractNumId w:val="8"/>
  </w:num>
  <w:num w:numId="4">
    <w:abstractNumId w:val="0"/>
  </w:num>
  <w:num w:numId="5">
    <w:abstractNumId w:val="6"/>
  </w:num>
  <w:num w:numId="6">
    <w:abstractNumId w:val="7"/>
  </w:num>
  <w:num w:numId="7">
    <w:abstractNumId w:val="2"/>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23"/>
    <w:rsid w:val="0006480E"/>
    <w:rsid w:val="0016139A"/>
    <w:rsid w:val="005B75C7"/>
    <w:rsid w:val="008A0427"/>
    <w:rsid w:val="008F398E"/>
    <w:rsid w:val="009C668F"/>
    <w:rsid w:val="00A85323"/>
    <w:rsid w:val="00D2761B"/>
    <w:rsid w:val="00D305F7"/>
    <w:rsid w:val="00D6091D"/>
    <w:rsid w:val="00D90429"/>
    <w:rsid w:val="00E346B1"/>
    <w:rsid w:val="00E45183"/>
    <w:rsid w:val="00EE6C98"/>
    <w:rsid w:val="00FE2FE1"/>
    <w:rsid w:val="00FE67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AB28A5"/>
  <w15:chartTrackingRefBased/>
  <w15:docId w15:val="{358C75FB-81D5-4754-8F2B-79542E6A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3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85323"/>
    <w:pPr>
      <w:ind w:left="720"/>
      <w:contextualSpacing/>
    </w:pPr>
  </w:style>
  <w:style w:type="paragraph" w:styleId="Encabezado">
    <w:name w:val="header"/>
    <w:basedOn w:val="Normal"/>
    <w:link w:val="EncabezadoCar"/>
    <w:uiPriority w:val="99"/>
    <w:unhideWhenUsed/>
    <w:rsid w:val="00A8532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8532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8532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85323"/>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85323"/>
  </w:style>
  <w:style w:type="character" w:styleId="Hipervnculo">
    <w:name w:val="Hyperlink"/>
    <w:basedOn w:val="Fuentedeprrafopredeter"/>
    <w:uiPriority w:val="99"/>
    <w:unhideWhenUsed/>
    <w:rsid w:val="00A85323"/>
    <w:rPr>
      <w:color w:val="0000FF"/>
      <w:u w:val="single"/>
    </w:rPr>
  </w:style>
  <w:style w:type="character" w:customStyle="1" w:styleId="apple-converted-space">
    <w:name w:val="apple-converted-space"/>
    <w:basedOn w:val="Fuentedeprrafopredeter"/>
    <w:rsid w:val="00E346B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346B1"/>
    <w:rPr>
      <w:vertAlign w:val="superscript"/>
    </w:rPr>
  </w:style>
  <w:style w:type="paragraph" w:styleId="Sinespaciado">
    <w:name w:val="No Spacing"/>
    <w:aliases w:val="Francesa,INAI"/>
    <w:link w:val="SinespaciadoCar"/>
    <w:uiPriority w:val="1"/>
    <w:qFormat/>
    <w:rsid w:val="00E346B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346B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2650">
      <w:bodyDiv w:val="1"/>
      <w:marLeft w:val="0"/>
      <w:marRight w:val="0"/>
      <w:marTop w:val="0"/>
      <w:marBottom w:val="0"/>
      <w:divBdr>
        <w:top w:val="none" w:sz="0" w:space="0" w:color="auto"/>
        <w:left w:val="none" w:sz="0" w:space="0" w:color="auto"/>
        <w:bottom w:val="none" w:sz="0" w:space="0" w:color="auto"/>
        <w:right w:val="none" w:sz="0" w:space="0" w:color="auto"/>
      </w:divBdr>
    </w:div>
    <w:div w:id="12448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4511</Words>
  <Characters>24815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2026-01-16T16:24:00Z</cp:lastPrinted>
  <dcterms:created xsi:type="dcterms:W3CDTF">2026-01-15T14:24:00Z</dcterms:created>
  <dcterms:modified xsi:type="dcterms:W3CDTF">2026-02-25T16:55:00Z</dcterms:modified>
</cp:coreProperties>
</file>