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09ED" w:rsidRPr="00980DDD" w:rsidRDefault="001309ED" w:rsidP="001309ED">
      <w:pPr>
        <w:spacing w:line="360" w:lineRule="auto"/>
        <w:jc w:val="both"/>
        <w:rPr>
          <w:rFonts w:ascii="Palatino Linotype" w:eastAsia="Palatino Linotype" w:hAnsi="Palatino Linotype" w:cs="Palatino Linotype"/>
          <w:b/>
        </w:rPr>
      </w:pPr>
      <w:bookmarkStart w:id="0" w:name="_GoBack"/>
      <w:bookmarkEnd w:id="0"/>
      <w:r w:rsidRPr="00980DDD">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w:t>
      </w:r>
      <w:r w:rsidRPr="00980DDD">
        <w:rPr>
          <w:rFonts w:ascii="Palatino Linotype" w:eastAsia="Palatino Linotype" w:hAnsi="Palatino Linotype" w:cs="Palatino Linotype"/>
          <w:b/>
        </w:rPr>
        <w:t>de fecha veinticinco</w:t>
      </w:r>
      <w:r w:rsidR="00980DDD" w:rsidRPr="00980DDD">
        <w:rPr>
          <w:rFonts w:ascii="Palatino Linotype" w:eastAsia="Palatino Linotype" w:hAnsi="Palatino Linotype" w:cs="Palatino Linotype"/>
          <w:b/>
        </w:rPr>
        <w:t xml:space="preserve"> (25)</w:t>
      </w:r>
      <w:r w:rsidRPr="00980DDD">
        <w:rPr>
          <w:rFonts w:ascii="Palatino Linotype" w:eastAsia="Palatino Linotype" w:hAnsi="Palatino Linotype" w:cs="Palatino Linotype"/>
          <w:b/>
        </w:rPr>
        <w:t xml:space="preserve"> de febrero de dos mil veintiséis</w:t>
      </w:r>
    </w:p>
    <w:p w:rsidR="001309ED" w:rsidRPr="00980DDD" w:rsidRDefault="001309ED" w:rsidP="001309ED">
      <w:pPr>
        <w:spacing w:line="360" w:lineRule="auto"/>
        <w:jc w:val="both"/>
        <w:rPr>
          <w:rFonts w:ascii="Palatino Linotype" w:eastAsia="Palatino Linotype" w:hAnsi="Palatino Linotype" w:cs="Palatino Linotype"/>
        </w:rPr>
      </w:pPr>
    </w:p>
    <w:p w:rsidR="001309ED" w:rsidRPr="00980DDD" w:rsidRDefault="001309ED" w:rsidP="001309ED">
      <w:pPr>
        <w:spacing w:line="360" w:lineRule="auto"/>
        <w:jc w:val="both"/>
        <w:rPr>
          <w:rFonts w:ascii="Palatino Linotype" w:eastAsia="Palatino Linotype" w:hAnsi="Palatino Linotype" w:cs="Palatino Linotype"/>
        </w:rPr>
      </w:pPr>
      <w:r w:rsidRPr="00980DDD">
        <w:rPr>
          <w:rFonts w:ascii="Palatino Linotype" w:eastAsia="Palatino Linotype" w:hAnsi="Palatino Linotype" w:cs="Palatino Linotype"/>
          <w:b/>
        </w:rPr>
        <w:t>VISTO</w:t>
      </w:r>
      <w:r w:rsidRPr="00980DDD">
        <w:rPr>
          <w:rFonts w:ascii="Palatino Linotype" w:eastAsia="Palatino Linotype" w:hAnsi="Palatino Linotype" w:cs="Palatino Linotype"/>
        </w:rPr>
        <w:t xml:space="preserve"> el expediente electrónico formado con motivo del recurso de revisión </w:t>
      </w:r>
      <w:r w:rsidRPr="00980DDD">
        <w:rPr>
          <w:rFonts w:ascii="Palatino Linotype" w:eastAsia="Palatino Linotype" w:hAnsi="Palatino Linotype" w:cs="Palatino Linotype"/>
          <w:b/>
        </w:rPr>
        <w:t xml:space="preserve">07878/INFOEM/IP/RR/2025, </w:t>
      </w:r>
      <w:r w:rsidRPr="00980DDD">
        <w:rPr>
          <w:rFonts w:ascii="Palatino Linotype" w:eastAsia="Palatino Linotype" w:hAnsi="Palatino Linotype" w:cs="Palatino Linotype"/>
        </w:rPr>
        <w:t xml:space="preserve">promovido por </w:t>
      </w:r>
      <w:r w:rsidRPr="00980DDD">
        <w:rPr>
          <w:rFonts w:ascii="Palatino Linotype" w:eastAsia="Palatino Linotype" w:hAnsi="Palatino Linotype" w:cs="Palatino Linotype"/>
          <w:bCs/>
        </w:rPr>
        <w:t xml:space="preserve">un </w:t>
      </w:r>
      <w:r w:rsidRPr="00980DDD">
        <w:rPr>
          <w:rFonts w:ascii="Palatino Linotype" w:eastAsia="Palatino Linotype" w:hAnsi="Palatino Linotype" w:cs="Palatino Linotype"/>
          <w:b/>
          <w:bCs/>
        </w:rPr>
        <w:t>usuario que no proporcionó nombre</w:t>
      </w:r>
      <w:r w:rsidRPr="00980DDD">
        <w:rPr>
          <w:rFonts w:ascii="Palatino Linotype" w:eastAsia="Palatino Linotype" w:hAnsi="Palatino Linotype" w:cs="Palatino Linotype"/>
          <w:b/>
        </w:rPr>
        <w:t>,</w:t>
      </w:r>
      <w:r w:rsidRPr="00980DDD">
        <w:rPr>
          <w:rFonts w:ascii="Palatino Linotype" w:eastAsia="Palatino Linotype" w:hAnsi="Palatino Linotype" w:cs="Palatino Linotype"/>
        </w:rPr>
        <w:t xml:space="preserve"> a quien en lo sucesivo se identificará como </w:t>
      </w:r>
      <w:r w:rsidRPr="00980DDD">
        <w:rPr>
          <w:rFonts w:ascii="Palatino Linotype" w:eastAsia="Palatino Linotype" w:hAnsi="Palatino Linotype" w:cs="Palatino Linotype"/>
          <w:b/>
        </w:rPr>
        <w:t>EL RECURRENTE</w:t>
      </w:r>
      <w:r w:rsidRPr="00980DDD">
        <w:rPr>
          <w:rFonts w:ascii="Palatino Linotype" w:eastAsia="Palatino Linotype" w:hAnsi="Palatino Linotype" w:cs="Palatino Linotype"/>
        </w:rPr>
        <w:t xml:space="preserve">, en contra de la respuesta del </w:t>
      </w:r>
      <w:r w:rsidRPr="00980DDD">
        <w:rPr>
          <w:rFonts w:ascii="Palatino Linotype" w:eastAsia="Palatino Linotype" w:hAnsi="Palatino Linotype" w:cs="Palatino Linotype"/>
          <w:b/>
          <w:bCs/>
        </w:rPr>
        <w:t>Ayuntamiento de Toluca</w:t>
      </w:r>
      <w:r w:rsidRPr="00980DDD">
        <w:rPr>
          <w:rFonts w:ascii="Palatino Linotype" w:eastAsia="Palatino Linotype" w:hAnsi="Palatino Linotype" w:cs="Palatino Linotype"/>
          <w:b/>
        </w:rPr>
        <w:t xml:space="preserve">, </w:t>
      </w:r>
      <w:r w:rsidRPr="00980DDD">
        <w:rPr>
          <w:rFonts w:ascii="Palatino Linotype" w:eastAsia="Palatino Linotype" w:hAnsi="Palatino Linotype" w:cs="Palatino Linotype"/>
        </w:rPr>
        <w:t>en adelante el</w:t>
      </w:r>
      <w:r w:rsidRPr="00980DDD">
        <w:rPr>
          <w:rFonts w:ascii="Palatino Linotype" w:eastAsia="Palatino Linotype" w:hAnsi="Palatino Linotype" w:cs="Palatino Linotype"/>
          <w:b/>
        </w:rPr>
        <w:t xml:space="preserve"> SUJETO OBLIGADO</w:t>
      </w:r>
      <w:r w:rsidRPr="00980DDD">
        <w:rPr>
          <w:rFonts w:ascii="Palatino Linotype" w:eastAsia="Palatino Linotype" w:hAnsi="Palatino Linotype" w:cs="Palatino Linotype"/>
        </w:rPr>
        <w:t xml:space="preserve">, por lo que se procede a dictar la presente resolución, con base en los siguientes: </w:t>
      </w:r>
    </w:p>
    <w:p w:rsidR="001309ED" w:rsidRPr="00980DDD" w:rsidRDefault="001309ED" w:rsidP="001309ED">
      <w:pPr>
        <w:spacing w:line="360" w:lineRule="auto"/>
        <w:jc w:val="both"/>
        <w:rPr>
          <w:rFonts w:ascii="Palatino Linotype" w:eastAsia="Palatino Linotype" w:hAnsi="Palatino Linotype" w:cs="Palatino Linotype"/>
          <w:b/>
        </w:rPr>
      </w:pPr>
    </w:p>
    <w:p w:rsidR="001309ED" w:rsidRPr="00980DDD" w:rsidRDefault="001309ED" w:rsidP="001309ED">
      <w:pPr>
        <w:keepNext/>
        <w:keepLines/>
        <w:spacing w:line="360" w:lineRule="auto"/>
        <w:jc w:val="center"/>
        <w:rPr>
          <w:rFonts w:ascii="Palatino Linotype" w:eastAsia="Palatino Linotype" w:hAnsi="Palatino Linotype" w:cs="Palatino Linotype"/>
          <w:b/>
        </w:rPr>
      </w:pPr>
      <w:bookmarkStart w:id="1" w:name="_heading=h.gjdgxs" w:colFirst="0" w:colLast="0"/>
      <w:bookmarkEnd w:id="1"/>
      <w:r w:rsidRPr="00980DDD">
        <w:rPr>
          <w:rFonts w:ascii="Palatino Linotype" w:eastAsia="Palatino Linotype" w:hAnsi="Palatino Linotype" w:cs="Palatino Linotype"/>
          <w:b/>
        </w:rPr>
        <w:t>A N T E C E D E N T E S</w:t>
      </w:r>
    </w:p>
    <w:p w:rsidR="001309ED" w:rsidRPr="00980DDD" w:rsidRDefault="001309ED" w:rsidP="001309ED">
      <w:pPr>
        <w:spacing w:line="360" w:lineRule="auto"/>
        <w:rPr>
          <w:rFonts w:ascii="Palatino Linotype" w:eastAsia="Palatino Linotype" w:hAnsi="Palatino Linotype" w:cs="Palatino Linotype"/>
        </w:rPr>
      </w:pPr>
    </w:p>
    <w:p w:rsidR="001309ED" w:rsidRPr="00980DDD" w:rsidRDefault="001309ED" w:rsidP="001309ED">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980DDD">
        <w:rPr>
          <w:rFonts w:ascii="Palatino Linotype" w:eastAsia="Palatino Linotype" w:hAnsi="Palatino Linotype" w:cs="Palatino Linotype"/>
          <w:color w:val="000000"/>
        </w:rPr>
        <w:t xml:space="preserve">El </w:t>
      </w:r>
      <w:r w:rsidRPr="00980DDD">
        <w:rPr>
          <w:rFonts w:ascii="Palatino Linotype" w:eastAsia="Palatino Linotype" w:hAnsi="Palatino Linotype" w:cs="Palatino Linotype"/>
          <w:b/>
          <w:color w:val="000000"/>
        </w:rPr>
        <w:t>seis de junio de dos mil veinticinco</w:t>
      </w:r>
      <w:r w:rsidRPr="00980DDD">
        <w:rPr>
          <w:rFonts w:ascii="Palatino Linotype" w:eastAsia="Palatino Linotype" w:hAnsi="Palatino Linotype" w:cs="Palatino Linotype"/>
          <w:color w:val="000000"/>
        </w:rPr>
        <w:t xml:space="preserve">, </w:t>
      </w:r>
      <w:r w:rsidRPr="00980DDD">
        <w:rPr>
          <w:rFonts w:ascii="Palatino Linotype" w:eastAsia="Palatino Linotype" w:hAnsi="Palatino Linotype" w:cs="Palatino Linotype"/>
          <w:b/>
          <w:color w:val="000000"/>
        </w:rPr>
        <w:t>EL RECURRENTE,</w:t>
      </w:r>
      <w:r w:rsidRPr="00980DDD">
        <w:rPr>
          <w:rFonts w:ascii="Palatino Linotype" w:eastAsia="Palatino Linotype" w:hAnsi="Palatino Linotype" w:cs="Palatino Linotype"/>
          <w:color w:val="000000"/>
        </w:rPr>
        <w:t xml:space="preserve"> ante el </w:t>
      </w:r>
      <w:r w:rsidRPr="00980DDD">
        <w:rPr>
          <w:rFonts w:ascii="Palatino Linotype" w:eastAsia="Palatino Linotype" w:hAnsi="Palatino Linotype" w:cs="Palatino Linotype"/>
          <w:b/>
          <w:color w:val="000000"/>
        </w:rPr>
        <w:t>SUJETO OBLIGADO</w:t>
      </w:r>
      <w:r w:rsidRPr="00980DDD">
        <w:rPr>
          <w:rFonts w:ascii="Palatino Linotype" w:eastAsia="Palatino Linotype" w:hAnsi="Palatino Linotype" w:cs="Palatino Linotype"/>
          <w:color w:val="000000"/>
        </w:rPr>
        <w:t xml:space="preserve"> a través del Sistema de Acceso a la Información Mexiquense (SAIMEX), presentó una solicitud de información registrada con el número </w:t>
      </w:r>
      <w:r w:rsidRPr="00980DDD">
        <w:rPr>
          <w:rFonts w:ascii="Palatino Linotype" w:eastAsia="Palatino Linotype" w:hAnsi="Palatino Linotype" w:cs="Palatino Linotype"/>
          <w:b/>
          <w:bCs/>
          <w:color w:val="000000"/>
        </w:rPr>
        <w:t>03325/TOLUCA/IP/2025</w:t>
      </w:r>
      <w:r w:rsidRPr="00980DDD">
        <w:rPr>
          <w:rFonts w:ascii="Palatino Linotype" w:eastAsia="Palatino Linotype" w:hAnsi="Palatino Linotype" w:cs="Palatino Linotype"/>
          <w:b/>
          <w:color w:val="000000"/>
        </w:rPr>
        <w:t xml:space="preserve">, </w:t>
      </w:r>
      <w:r w:rsidRPr="00980DDD">
        <w:rPr>
          <w:rFonts w:ascii="Palatino Linotype" w:eastAsia="Palatino Linotype" w:hAnsi="Palatino Linotype" w:cs="Palatino Linotype"/>
        </w:rPr>
        <w:t>en la que se</w:t>
      </w:r>
      <w:r w:rsidRPr="00980DDD">
        <w:rPr>
          <w:rFonts w:ascii="Palatino Linotype" w:eastAsia="Palatino Linotype" w:hAnsi="Palatino Linotype" w:cs="Palatino Linotype"/>
          <w:color w:val="000000"/>
        </w:rPr>
        <w:t xml:space="preserve"> solicitó lo siguiente:</w:t>
      </w:r>
    </w:p>
    <w:p w:rsidR="001309ED" w:rsidRPr="00980DDD" w:rsidRDefault="001309ED" w:rsidP="001309ED">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1309ED" w:rsidRPr="00980DDD" w:rsidRDefault="001309ED" w:rsidP="001309ED">
      <w:pPr>
        <w:pBdr>
          <w:top w:val="nil"/>
          <w:left w:val="nil"/>
          <w:bottom w:val="nil"/>
          <w:right w:val="nil"/>
          <w:between w:val="nil"/>
        </w:pBdr>
        <w:spacing w:line="360" w:lineRule="auto"/>
        <w:ind w:left="720" w:right="822"/>
        <w:jc w:val="both"/>
        <w:rPr>
          <w:rFonts w:ascii="Palatino Linotype" w:eastAsia="Palatino Linotype" w:hAnsi="Palatino Linotype" w:cs="Palatino Linotype"/>
          <w:i/>
          <w:color w:val="000000"/>
        </w:rPr>
      </w:pPr>
      <w:r w:rsidRPr="00980DDD">
        <w:rPr>
          <w:rFonts w:ascii="Palatino Linotype" w:eastAsia="Palatino Linotype" w:hAnsi="Palatino Linotype" w:cs="Palatino Linotype"/>
          <w:i/>
          <w:color w:val="000000"/>
        </w:rPr>
        <w:t xml:space="preserve">“CON LA FINALIDAD DE TRASPARENTAR Y CORROBORAR LAS ACTIVIDADES REALIZADAS DE ESTA ADMINISTRACIÓN SE SOLICITA LO SIGUIENTE: 1. POR AREA INDICAR CUANTOS SERVIDORES ADSCRITOS CUENTA DICHA AREA INCLUYENDO PRESIDENCIA, SECRETARIA DEL AYUNTAMIENTO CON SUS AREAS ADSCRITAS SU CORODINACIONES COMO JURIDICO, TRANSPARNECIA, DERECHOS HUMANOS , SINDICATURAS, REGIDURIAS, DIRECCIONES, JEFATURAS ETC.(PLANILLA DE SERVIDORES PÚBLICOS DURANTE EL PERÍODO DEL </w:t>
      </w:r>
      <w:r w:rsidRPr="00980DDD">
        <w:rPr>
          <w:rFonts w:ascii="Palatino Linotype" w:eastAsia="Palatino Linotype" w:hAnsi="Palatino Linotype" w:cs="Palatino Linotype"/>
          <w:i/>
          <w:color w:val="000000"/>
        </w:rPr>
        <w:lastRenderedPageBreak/>
        <w:t xml:space="preserve">01 DE ENERO AL 31 DE MAYO DEL 2025. 2. POR AREA INDICAR CUANTOS SERVIDORES ADSCRITOS CUENTA DICHA AREA INCLUYENDO PRESIDENCIA, SECRETARIA DEL AYUNTAMIENTO, SINDICATURAS, REGIDURIAS, DIRECCIONES, JEFATURAS ETC.(PLANILLA DE SERVIDORES PÚBLICOS DURANTE EL PERÍODO DEL 01 DE ENERO AL 31 DE DICIEMBRE DEL 2024. 3. LISTADO DE SERVIDORES PÚBLICOS QUE AUN LE QUEDA PENDIENTE EL PAGO DE PRESTACIONES COMO SON AGUINALDO Y PRIMA VACACIONAL DEL 2021, ASÍ COMO LAS QUINCENAS PENDIENTES DE PAGO QUE NO SON SINDICALIZADOS. 4. TOTAL DE DESPIDOS DEL 01 DE ENERO AL 31 DICIEMBRE DEL 2024; ASÍ COMO DEL 01 DE ENERO AL 31 DE MAYO DEL 2022 5. POR ÁREAS INDICAR EL MONTO EJERCIDO DE SU PRESUPUETO Y CUANTO SE LES ASIGNO DEL 01 DE ENERO AL 31 DE MAYO EL AÑO 2025 POR CONCEPTO DE PAGO A: QUINCENAS, PRIMA VACACIONAL, Y/ AGUINALDO EN EL H. AYUNTAMIENTO DE TOLUCA, INCLUYENDO PRESIDENCIA, SECRETARIA, DEL AYUNTAMIENTO CON SU AREAS ADCRITAS , COORDINAICONES ADSCRITAS DE PRESIDENCIA, SECRETARIA Y REGIDURIAS). 5. POR ÁREAS INDICAR EL MONTO EJERCIDO DEL 01 DE ENERO AL 31 DE DICIEMBRE DEL AÑO 2024 POR CONCEPTO DE PAGO A: QUINCENAS, PRIMA VACACIONAL, Y/ AGUINALDO EN EL H. AYUNTAMIENTO DE TOLUCA.” (Sic) </w:t>
      </w:r>
    </w:p>
    <w:p w:rsidR="001309ED" w:rsidRPr="00980DDD" w:rsidRDefault="001309ED" w:rsidP="001309ED">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1309ED" w:rsidRPr="00980DDD" w:rsidRDefault="001309ED" w:rsidP="001309ED">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980DDD">
        <w:rPr>
          <w:rFonts w:ascii="Palatino Linotype" w:eastAsia="Palatino Linotype" w:hAnsi="Palatino Linotype" w:cs="Palatino Linotype"/>
          <w:color w:val="000000"/>
        </w:rPr>
        <w:t>Se señaló como modalidad de entrega a través de SAIMEX.</w:t>
      </w:r>
    </w:p>
    <w:p w:rsidR="001309ED" w:rsidRPr="00980DDD" w:rsidRDefault="001309ED" w:rsidP="001309ED">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1309ED" w:rsidRPr="00980DDD" w:rsidRDefault="001309ED" w:rsidP="001309ED">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980DDD">
        <w:rPr>
          <w:rFonts w:ascii="Palatino Linotype" w:eastAsia="Palatino Linotype" w:hAnsi="Palatino Linotype" w:cs="Palatino Linotype"/>
          <w:color w:val="000000"/>
        </w:rPr>
        <w:lastRenderedPageBreak/>
        <w:t xml:space="preserve">El </w:t>
      </w:r>
      <w:r w:rsidRPr="00980DDD">
        <w:rPr>
          <w:rFonts w:ascii="Palatino Linotype" w:eastAsia="Palatino Linotype" w:hAnsi="Palatino Linotype" w:cs="Palatino Linotype"/>
          <w:b/>
          <w:color w:val="000000"/>
        </w:rPr>
        <w:t>nueve de junio de dos mil veinticinco</w:t>
      </w:r>
      <w:r w:rsidRPr="00980DDD">
        <w:rPr>
          <w:rFonts w:ascii="Palatino Linotype" w:eastAsia="Palatino Linotype" w:hAnsi="Palatino Linotype" w:cs="Palatino Linotype"/>
          <w:color w:val="000000"/>
        </w:rPr>
        <w:t xml:space="preserve">, se realizó un requerimiento de información al servidor público habilitado. </w:t>
      </w:r>
    </w:p>
    <w:p w:rsidR="001309ED" w:rsidRPr="00980DDD" w:rsidRDefault="001309ED" w:rsidP="001309ED">
      <w:pPr>
        <w:pStyle w:val="Prrafodelista"/>
        <w:rPr>
          <w:rFonts w:ascii="Palatino Linotype" w:eastAsia="Palatino Linotype" w:hAnsi="Palatino Linotype" w:cs="Palatino Linotype"/>
          <w:color w:val="000000"/>
        </w:rPr>
      </w:pPr>
    </w:p>
    <w:p w:rsidR="001309ED" w:rsidRPr="00980DDD" w:rsidRDefault="001309ED" w:rsidP="001309ED">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980DDD">
        <w:rPr>
          <w:rFonts w:ascii="Palatino Linotype" w:eastAsia="Palatino Linotype" w:hAnsi="Palatino Linotype" w:cs="Palatino Linotype"/>
          <w:color w:val="000000"/>
        </w:rPr>
        <w:t xml:space="preserve">El </w:t>
      </w:r>
      <w:r w:rsidRPr="00980DDD">
        <w:rPr>
          <w:rFonts w:ascii="Palatino Linotype" w:eastAsia="Palatino Linotype" w:hAnsi="Palatino Linotype" w:cs="Palatino Linotype"/>
          <w:b/>
          <w:color w:val="000000"/>
        </w:rPr>
        <w:t>veintisiete de junio de dos mil veinticinco</w:t>
      </w:r>
      <w:r w:rsidRPr="00980DDD">
        <w:rPr>
          <w:rFonts w:ascii="Palatino Linotype" w:eastAsia="Palatino Linotype" w:hAnsi="Palatino Linotype" w:cs="Palatino Linotype"/>
          <w:color w:val="000000"/>
        </w:rPr>
        <w:t>, el Sujeto Obligado dio respuesta a la solicitud de información en los siguientes términos:</w:t>
      </w:r>
    </w:p>
    <w:p w:rsidR="001309ED" w:rsidRPr="00980DDD" w:rsidRDefault="001309ED" w:rsidP="001309ED">
      <w:pPr>
        <w:pBdr>
          <w:top w:val="nil"/>
          <w:left w:val="nil"/>
          <w:bottom w:val="nil"/>
          <w:right w:val="nil"/>
          <w:between w:val="nil"/>
        </w:pBdr>
        <w:spacing w:line="360" w:lineRule="auto"/>
        <w:jc w:val="both"/>
        <w:rPr>
          <w:rFonts w:ascii="Palatino Linotype" w:eastAsia="Palatino Linotype" w:hAnsi="Palatino Linotype" w:cs="Palatino Linotype"/>
          <w:color w:val="000000"/>
        </w:rPr>
      </w:pPr>
    </w:p>
    <w:tbl>
      <w:tblPr>
        <w:tblW w:w="7509" w:type="dxa"/>
        <w:jc w:val="center"/>
        <w:tblCellSpacing w:w="0" w:type="dxa"/>
        <w:tblCellMar>
          <w:left w:w="0" w:type="dxa"/>
          <w:right w:w="0" w:type="dxa"/>
        </w:tblCellMar>
        <w:tblLook w:val="04A0" w:firstRow="1" w:lastRow="0" w:firstColumn="1" w:lastColumn="0" w:noHBand="0" w:noVBand="1"/>
      </w:tblPr>
      <w:tblGrid>
        <w:gridCol w:w="7509"/>
      </w:tblGrid>
      <w:tr w:rsidR="001309ED" w:rsidRPr="00980DDD" w:rsidTr="001309ED">
        <w:trPr>
          <w:trHeight w:val="295"/>
          <w:tblCellSpacing w:w="0" w:type="dxa"/>
          <w:jc w:val="center"/>
        </w:trPr>
        <w:tc>
          <w:tcPr>
            <w:tcW w:w="0" w:type="auto"/>
            <w:vAlign w:val="center"/>
            <w:hideMark/>
          </w:tcPr>
          <w:p w:rsidR="001309ED" w:rsidRPr="00980DDD" w:rsidRDefault="001309ED" w:rsidP="001309ED">
            <w:pPr>
              <w:jc w:val="right"/>
              <w:rPr>
                <w:rFonts w:ascii="Palatino Linotype" w:hAnsi="Palatino Linotype"/>
                <w:i/>
              </w:rPr>
            </w:pPr>
            <w:r w:rsidRPr="00980DDD">
              <w:rPr>
                <w:rFonts w:ascii="Palatino Linotype" w:hAnsi="Palatino Linotype"/>
                <w:i/>
              </w:rPr>
              <w:t>“Toluca, México a 27 de Junio de 2025</w:t>
            </w:r>
          </w:p>
        </w:tc>
      </w:tr>
      <w:tr w:rsidR="001309ED" w:rsidRPr="00980DDD" w:rsidTr="001309ED">
        <w:trPr>
          <w:trHeight w:val="295"/>
          <w:tblCellSpacing w:w="0" w:type="dxa"/>
          <w:jc w:val="center"/>
        </w:trPr>
        <w:tc>
          <w:tcPr>
            <w:tcW w:w="0" w:type="auto"/>
            <w:vAlign w:val="center"/>
            <w:hideMark/>
          </w:tcPr>
          <w:p w:rsidR="001309ED" w:rsidRPr="00980DDD" w:rsidRDefault="001309ED" w:rsidP="001309ED">
            <w:pPr>
              <w:jc w:val="right"/>
              <w:rPr>
                <w:rFonts w:ascii="Palatino Linotype" w:hAnsi="Palatino Linotype"/>
                <w:i/>
              </w:rPr>
            </w:pPr>
            <w:r w:rsidRPr="00980DDD">
              <w:rPr>
                <w:rFonts w:ascii="Palatino Linotype" w:hAnsi="Palatino Linotype"/>
                <w:i/>
              </w:rPr>
              <w:t>Nombre del solicitante: C. Solicitante</w:t>
            </w:r>
          </w:p>
        </w:tc>
      </w:tr>
      <w:tr w:rsidR="001309ED" w:rsidRPr="00980DDD" w:rsidTr="001309ED">
        <w:trPr>
          <w:trHeight w:val="295"/>
          <w:tblCellSpacing w:w="0" w:type="dxa"/>
          <w:jc w:val="center"/>
        </w:trPr>
        <w:tc>
          <w:tcPr>
            <w:tcW w:w="0" w:type="auto"/>
            <w:vAlign w:val="center"/>
            <w:hideMark/>
          </w:tcPr>
          <w:p w:rsidR="001309ED" w:rsidRPr="00980DDD" w:rsidRDefault="001309ED" w:rsidP="001309ED">
            <w:pPr>
              <w:jc w:val="right"/>
              <w:rPr>
                <w:rFonts w:ascii="Palatino Linotype" w:hAnsi="Palatino Linotype"/>
                <w:i/>
              </w:rPr>
            </w:pPr>
            <w:r w:rsidRPr="00980DDD">
              <w:rPr>
                <w:rFonts w:ascii="Palatino Linotype" w:hAnsi="Palatino Linotype"/>
                <w:i/>
              </w:rPr>
              <w:t>Folio de la solicitud: 03325/TOLUCA/IP/2025</w:t>
            </w:r>
          </w:p>
        </w:tc>
      </w:tr>
      <w:tr w:rsidR="001309ED" w:rsidRPr="00980DDD" w:rsidTr="001309ED">
        <w:trPr>
          <w:trHeight w:val="443"/>
          <w:tblCellSpacing w:w="0" w:type="dxa"/>
          <w:jc w:val="center"/>
        </w:trPr>
        <w:tc>
          <w:tcPr>
            <w:tcW w:w="0" w:type="auto"/>
            <w:vAlign w:val="center"/>
            <w:hideMark/>
          </w:tcPr>
          <w:p w:rsidR="001309ED" w:rsidRPr="00980DDD" w:rsidRDefault="001309ED" w:rsidP="001309ED">
            <w:pPr>
              <w:jc w:val="right"/>
              <w:rPr>
                <w:rFonts w:ascii="Palatino Linotype" w:hAnsi="Palatino Linotype"/>
                <w:i/>
              </w:rPr>
            </w:pPr>
          </w:p>
        </w:tc>
      </w:tr>
      <w:tr w:rsidR="001309ED" w:rsidRPr="00980DDD" w:rsidTr="001309ED">
        <w:trPr>
          <w:trHeight w:val="147"/>
          <w:tblCellSpacing w:w="0" w:type="dxa"/>
          <w:jc w:val="center"/>
        </w:trPr>
        <w:tc>
          <w:tcPr>
            <w:tcW w:w="0" w:type="auto"/>
            <w:vAlign w:val="center"/>
            <w:hideMark/>
          </w:tcPr>
          <w:p w:rsidR="001309ED" w:rsidRPr="00980DDD" w:rsidRDefault="001309ED" w:rsidP="001309ED">
            <w:pPr>
              <w:rPr>
                <w:rFonts w:ascii="Palatino Linotype" w:hAnsi="Palatino Linotype"/>
                <w:i/>
              </w:rPr>
            </w:pPr>
            <w:r w:rsidRPr="00980DDD">
              <w:rPr>
                <w:rFonts w:ascii="Palatino Linotype" w:hAnsi="Palatino Linotype"/>
                <w:i/>
              </w:rPr>
              <w:t>En respuesta a la solicitud recibida, nos permitimos hacer de su conocimiento que con fundamento en el artículo 53, Fracciones: II, V y VI de la Ley de Transparencia y Acceso a la Información Pública del Estado de México y Municipios, le contestamos que:</w:t>
            </w:r>
          </w:p>
        </w:tc>
      </w:tr>
      <w:tr w:rsidR="001309ED" w:rsidRPr="00980DDD" w:rsidTr="001309ED">
        <w:trPr>
          <w:trHeight w:val="369"/>
          <w:tblCellSpacing w:w="0" w:type="dxa"/>
          <w:jc w:val="center"/>
        </w:trPr>
        <w:tc>
          <w:tcPr>
            <w:tcW w:w="0" w:type="auto"/>
            <w:vAlign w:val="center"/>
            <w:hideMark/>
          </w:tcPr>
          <w:p w:rsidR="001309ED" w:rsidRPr="00980DDD" w:rsidRDefault="001309ED" w:rsidP="001309ED">
            <w:pPr>
              <w:rPr>
                <w:rFonts w:ascii="Palatino Linotype" w:hAnsi="Palatino Linotype"/>
                <w:i/>
              </w:rPr>
            </w:pPr>
          </w:p>
        </w:tc>
      </w:tr>
      <w:tr w:rsidR="001309ED" w:rsidRPr="00980DDD" w:rsidTr="001309ED">
        <w:trPr>
          <w:trHeight w:val="147"/>
          <w:tblCellSpacing w:w="0" w:type="dxa"/>
          <w:jc w:val="center"/>
        </w:trPr>
        <w:tc>
          <w:tcPr>
            <w:tcW w:w="0" w:type="auto"/>
            <w:vAlign w:val="center"/>
            <w:hideMark/>
          </w:tcPr>
          <w:p w:rsidR="001309ED" w:rsidRPr="00980DDD" w:rsidRDefault="001309ED" w:rsidP="001309ED">
            <w:pPr>
              <w:rPr>
                <w:rFonts w:ascii="Palatino Linotype" w:hAnsi="Palatino Linotype"/>
                <w:i/>
              </w:rPr>
            </w:pPr>
            <w:r w:rsidRPr="00980DDD">
              <w:rPr>
                <w:rFonts w:ascii="Palatino Linotype" w:hAnsi="Palatino Linotype"/>
                <w:i/>
              </w:rPr>
              <w:t>En atención a la solicitud con folio 03325/TOLUCA/IP/2025, me permito adjuntar al presente la respuesta correspondiente, Sin más por el momento, reciba un saludo.</w:t>
            </w:r>
          </w:p>
        </w:tc>
      </w:tr>
      <w:tr w:rsidR="001309ED" w:rsidRPr="00980DDD" w:rsidTr="001309ED">
        <w:trPr>
          <w:trHeight w:val="369"/>
          <w:tblCellSpacing w:w="0" w:type="dxa"/>
          <w:jc w:val="center"/>
        </w:trPr>
        <w:tc>
          <w:tcPr>
            <w:tcW w:w="0" w:type="auto"/>
            <w:vAlign w:val="center"/>
            <w:hideMark/>
          </w:tcPr>
          <w:p w:rsidR="001309ED" w:rsidRPr="00980DDD" w:rsidRDefault="001309ED" w:rsidP="001309ED">
            <w:pPr>
              <w:rPr>
                <w:rFonts w:ascii="Palatino Linotype" w:hAnsi="Palatino Linotype"/>
                <w:i/>
              </w:rPr>
            </w:pPr>
          </w:p>
        </w:tc>
      </w:tr>
      <w:tr w:rsidR="001309ED" w:rsidRPr="00980DDD" w:rsidTr="001309ED">
        <w:trPr>
          <w:trHeight w:val="147"/>
          <w:tblCellSpacing w:w="0" w:type="dxa"/>
          <w:jc w:val="center"/>
        </w:trPr>
        <w:tc>
          <w:tcPr>
            <w:tcW w:w="0" w:type="auto"/>
            <w:vAlign w:val="center"/>
            <w:hideMark/>
          </w:tcPr>
          <w:p w:rsidR="001309ED" w:rsidRPr="00980DDD" w:rsidRDefault="001309ED" w:rsidP="001309ED">
            <w:pPr>
              <w:jc w:val="center"/>
              <w:rPr>
                <w:rFonts w:ascii="Palatino Linotype" w:hAnsi="Palatino Linotype"/>
                <w:i/>
              </w:rPr>
            </w:pPr>
          </w:p>
        </w:tc>
      </w:tr>
      <w:tr w:rsidR="001309ED" w:rsidRPr="00980DDD" w:rsidTr="001309ED">
        <w:trPr>
          <w:trHeight w:val="147"/>
          <w:tblCellSpacing w:w="0" w:type="dxa"/>
          <w:jc w:val="center"/>
        </w:trPr>
        <w:tc>
          <w:tcPr>
            <w:tcW w:w="0" w:type="auto"/>
            <w:vAlign w:val="center"/>
            <w:hideMark/>
          </w:tcPr>
          <w:p w:rsidR="001309ED" w:rsidRPr="00980DDD" w:rsidRDefault="001309ED" w:rsidP="001309ED">
            <w:pPr>
              <w:rPr>
                <w:rFonts w:ascii="Palatino Linotype" w:hAnsi="Palatino Linotype"/>
                <w:i/>
              </w:rPr>
            </w:pPr>
          </w:p>
        </w:tc>
      </w:tr>
      <w:tr w:rsidR="001309ED" w:rsidRPr="00980DDD" w:rsidTr="001309ED">
        <w:trPr>
          <w:trHeight w:val="147"/>
          <w:tblCellSpacing w:w="0" w:type="dxa"/>
          <w:jc w:val="center"/>
        </w:trPr>
        <w:tc>
          <w:tcPr>
            <w:tcW w:w="0" w:type="auto"/>
            <w:vAlign w:val="center"/>
            <w:hideMark/>
          </w:tcPr>
          <w:p w:rsidR="001309ED" w:rsidRPr="00980DDD" w:rsidRDefault="001309ED" w:rsidP="001309ED">
            <w:pPr>
              <w:rPr>
                <w:rFonts w:ascii="Palatino Linotype" w:hAnsi="Palatino Linotype"/>
                <w:i/>
              </w:rPr>
            </w:pPr>
            <w:r w:rsidRPr="00980DDD">
              <w:rPr>
                <w:rFonts w:ascii="Palatino Linotype" w:hAnsi="Palatino Linotype"/>
                <w:i/>
              </w:rPr>
              <w:t>ATENTAMENTE</w:t>
            </w:r>
          </w:p>
        </w:tc>
      </w:tr>
      <w:tr w:rsidR="001309ED" w:rsidRPr="00980DDD" w:rsidTr="001309ED">
        <w:trPr>
          <w:trHeight w:val="221"/>
          <w:tblCellSpacing w:w="0" w:type="dxa"/>
          <w:jc w:val="center"/>
        </w:trPr>
        <w:tc>
          <w:tcPr>
            <w:tcW w:w="0" w:type="auto"/>
            <w:vAlign w:val="center"/>
            <w:hideMark/>
          </w:tcPr>
          <w:p w:rsidR="001309ED" w:rsidRPr="00980DDD" w:rsidRDefault="001309ED" w:rsidP="001309ED">
            <w:pPr>
              <w:rPr>
                <w:rFonts w:ascii="Palatino Linotype" w:hAnsi="Palatino Linotype"/>
                <w:i/>
              </w:rPr>
            </w:pPr>
          </w:p>
        </w:tc>
      </w:tr>
      <w:tr w:rsidR="001309ED" w:rsidRPr="00980DDD" w:rsidTr="001309ED">
        <w:trPr>
          <w:trHeight w:val="147"/>
          <w:tblCellSpacing w:w="0" w:type="dxa"/>
          <w:jc w:val="center"/>
        </w:trPr>
        <w:tc>
          <w:tcPr>
            <w:tcW w:w="0" w:type="auto"/>
            <w:vAlign w:val="center"/>
            <w:hideMark/>
          </w:tcPr>
          <w:p w:rsidR="001309ED" w:rsidRPr="00980DDD" w:rsidRDefault="001309ED" w:rsidP="001309ED">
            <w:pPr>
              <w:rPr>
                <w:rFonts w:ascii="Palatino Linotype" w:hAnsi="Palatino Linotype"/>
                <w:i/>
              </w:rPr>
            </w:pPr>
            <w:r w:rsidRPr="00980DDD">
              <w:rPr>
                <w:rFonts w:ascii="Palatino Linotype" w:hAnsi="Palatino Linotype"/>
                <w:i/>
              </w:rPr>
              <w:t>Dr. Nahum Miguel Mendoza Morales”</w:t>
            </w:r>
          </w:p>
        </w:tc>
      </w:tr>
    </w:tbl>
    <w:p w:rsidR="001309ED" w:rsidRPr="00980DDD" w:rsidRDefault="001309ED" w:rsidP="001309ED">
      <w:pPr>
        <w:spacing w:line="360" w:lineRule="auto"/>
        <w:jc w:val="both"/>
        <w:rPr>
          <w:rFonts w:ascii="Palatino Linotype" w:eastAsia="Palatino Linotype" w:hAnsi="Palatino Linotype" w:cs="Palatino Linotype"/>
        </w:rPr>
      </w:pPr>
    </w:p>
    <w:p w:rsidR="001309ED" w:rsidRPr="00980DDD" w:rsidRDefault="001309ED" w:rsidP="00980DDD">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980DDD">
        <w:rPr>
          <w:rFonts w:ascii="Palatino Linotype" w:eastAsia="Palatino Linotype" w:hAnsi="Palatino Linotype" w:cs="Palatino Linotype"/>
          <w:color w:val="000000"/>
        </w:rPr>
        <w:t>A la respuesta el Sujeto Obligado adjuntó los archivos que se describen enseguida:</w:t>
      </w:r>
    </w:p>
    <w:p w:rsidR="00891142" w:rsidRPr="00980DDD" w:rsidRDefault="001309ED" w:rsidP="00980DDD">
      <w:pPr>
        <w:pBdr>
          <w:top w:val="nil"/>
          <w:left w:val="nil"/>
          <w:bottom w:val="nil"/>
          <w:right w:val="nil"/>
          <w:between w:val="nil"/>
        </w:pBdr>
        <w:spacing w:line="360" w:lineRule="auto"/>
        <w:ind w:left="708"/>
        <w:jc w:val="both"/>
        <w:rPr>
          <w:rStyle w:val="Hipervnculo"/>
          <w:rFonts w:ascii="Palatino Linotype" w:eastAsiaTheme="majorEastAsia" w:hAnsi="Palatino Linotype" w:cs="Arial"/>
          <w:b/>
          <w:bCs/>
          <w:color w:val="auto"/>
        </w:rPr>
      </w:pPr>
      <w:r w:rsidRPr="00980DDD">
        <w:rPr>
          <w:rStyle w:val="Hipervnculo"/>
          <w:rFonts w:ascii="Palatino Linotype" w:eastAsiaTheme="majorEastAsia" w:hAnsi="Palatino Linotype" w:cs="Arial"/>
          <w:b/>
          <w:bCs/>
          <w:color w:val="auto"/>
        </w:rPr>
        <w:t>3325.pdf</w:t>
      </w:r>
      <w:r w:rsidRPr="00980DDD">
        <w:rPr>
          <w:rStyle w:val="Hipervnculo"/>
          <w:rFonts w:ascii="Palatino Linotype" w:eastAsiaTheme="majorEastAsia" w:hAnsi="Palatino Linotype" w:cs="Arial"/>
          <w:bCs/>
          <w:color w:val="auto"/>
          <w:u w:val="none"/>
        </w:rPr>
        <w:t>: oficio número 202010000/03225/2025 de fecha diez de junio de dos mil veinticinco, suscrito por el Tesorero Municipal quien señaló</w:t>
      </w:r>
      <w:r w:rsidR="00891142" w:rsidRPr="00980DDD">
        <w:rPr>
          <w:rStyle w:val="Hipervnculo"/>
          <w:rFonts w:ascii="Palatino Linotype" w:eastAsiaTheme="majorEastAsia" w:hAnsi="Palatino Linotype" w:cs="Arial"/>
          <w:bCs/>
          <w:color w:val="auto"/>
          <w:u w:val="none"/>
        </w:rPr>
        <w:t>:</w:t>
      </w:r>
    </w:p>
    <w:p w:rsidR="00891142" w:rsidRPr="00980DDD" w:rsidRDefault="00891142" w:rsidP="00891142">
      <w:pPr>
        <w:pStyle w:val="Prrafodelista"/>
        <w:pBdr>
          <w:top w:val="nil"/>
          <w:left w:val="nil"/>
          <w:bottom w:val="nil"/>
          <w:right w:val="nil"/>
          <w:between w:val="nil"/>
        </w:pBdr>
        <w:spacing w:line="360" w:lineRule="auto"/>
        <w:jc w:val="both"/>
        <w:rPr>
          <w:rFonts w:ascii="Palatino Linotype" w:eastAsiaTheme="majorEastAsia" w:hAnsi="Palatino Linotype" w:cs="Arial"/>
          <w:bCs/>
        </w:rPr>
      </w:pPr>
      <w:r w:rsidRPr="00980DDD">
        <w:rPr>
          <w:rFonts w:ascii="Palatino Linotype" w:eastAsiaTheme="majorEastAsia" w:hAnsi="Palatino Linotype" w:cs="Arial"/>
          <w:bCs/>
        </w:rPr>
        <w:t xml:space="preserve">Con fundamento en los artículos 12 y 24 fracción XI de la Ley de Transparencia y Acceso a la Información Pública del Estado de México y Municipios; 3.21 y 3.22 del Código Reglamentario Municipal de Toluca y numeral 202010000 del Manual de Organización </w:t>
      </w:r>
      <w:r w:rsidRPr="00980DDD">
        <w:rPr>
          <w:rFonts w:ascii="Palatino Linotype" w:eastAsiaTheme="majorEastAsia" w:hAnsi="Palatino Linotype" w:cs="Arial"/>
          <w:bCs/>
        </w:rPr>
        <w:lastRenderedPageBreak/>
        <w:t xml:space="preserve">de la Tesorería Municipal; y con el fin de garantizar el derecho de acceso a la información pública de la persona solicitante se adjuntan al presente, el siguiente documento: </w:t>
      </w:r>
    </w:p>
    <w:p w:rsidR="00891142" w:rsidRPr="00980DDD" w:rsidRDefault="00891142" w:rsidP="00891142">
      <w:pPr>
        <w:pStyle w:val="Prrafodelista"/>
        <w:pBdr>
          <w:top w:val="nil"/>
          <w:left w:val="nil"/>
          <w:bottom w:val="nil"/>
          <w:right w:val="nil"/>
          <w:between w:val="nil"/>
        </w:pBdr>
        <w:spacing w:line="360" w:lineRule="auto"/>
        <w:jc w:val="both"/>
        <w:rPr>
          <w:rFonts w:ascii="Palatino Linotype" w:eastAsiaTheme="majorEastAsia" w:hAnsi="Palatino Linotype" w:cs="Arial"/>
          <w:b/>
          <w:bCs/>
        </w:rPr>
      </w:pPr>
      <w:r w:rsidRPr="00980DDD">
        <w:rPr>
          <w:rFonts w:ascii="Palatino Linotype" w:eastAsiaTheme="majorEastAsia" w:hAnsi="Palatino Linotype" w:cs="Arial"/>
          <w:b/>
          <w:bCs/>
        </w:rPr>
        <w:t xml:space="preserve">Estado Analítico del Ejercicio del Presupuesto de Egresos Clasificación por Objeto del Gasto (a diciembre de 2024). </w:t>
      </w:r>
    </w:p>
    <w:p w:rsidR="00891142" w:rsidRPr="00980DDD" w:rsidRDefault="00891142" w:rsidP="00891142">
      <w:pPr>
        <w:pStyle w:val="Prrafodelista"/>
        <w:pBdr>
          <w:top w:val="nil"/>
          <w:left w:val="nil"/>
          <w:bottom w:val="nil"/>
          <w:right w:val="nil"/>
          <w:between w:val="nil"/>
        </w:pBdr>
        <w:spacing w:line="360" w:lineRule="auto"/>
        <w:jc w:val="both"/>
        <w:rPr>
          <w:rFonts w:ascii="Palatino Linotype" w:eastAsiaTheme="majorEastAsia" w:hAnsi="Palatino Linotype" w:cs="Arial"/>
          <w:bCs/>
        </w:rPr>
      </w:pPr>
      <w:r w:rsidRPr="00980DDD">
        <w:rPr>
          <w:rFonts w:ascii="Palatino Linotype" w:eastAsiaTheme="majorEastAsia" w:hAnsi="Palatino Linotype" w:cs="Arial"/>
          <w:bCs/>
        </w:rPr>
        <w:t xml:space="preserve">No omito mencionar que la información se encuentra integrada de forma general y no de forma particular; esto correspondiente al cuarto trimestre del ejercicio fiscal del año 2024, dicha información se encuentra pública en la página oficial del Ayuntamiento de Toluca en la siguiente liga </w:t>
      </w:r>
    </w:p>
    <w:p w:rsidR="00891142" w:rsidRPr="00980DDD" w:rsidRDefault="00891142" w:rsidP="00891142">
      <w:pPr>
        <w:pStyle w:val="Prrafodelista"/>
        <w:pBdr>
          <w:top w:val="nil"/>
          <w:left w:val="nil"/>
          <w:bottom w:val="nil"/>
          <w:right w:val="nil"/>
          <w:between w:val="nil"/>
        </w:pBdr>
        <w:spacing w:line="360" w:lineRule="auto"/>
        <w:jc w:val="both"/>
        <w:rPr>
          <w:rStyle w:val="Hipervnculo"/>
          <w:rFonts w:ascii="Palatino Linotype" w:eastAsiaTheme="majorEastAsia" w:hAnsi="Palatino Linotype" w:cs="Arial"/>
          <w:bCs/>
          <w:color w:val="auto"/>
          <w:u w:val="none"/>
        </w:rPr>
      </w:pPr>
      <w:r w:rsidRPr="00980DDD">
        <w:rPr>
          <w:rStyle w:val="Hipervnculo"/>
          <w:rFonts w:ascii="Palatino Linotype" w:eastAsiaTheme="majorEastAsia" w:hAnsi="Palatino Linotype" w:cs="Arial"/>
          <w:bCs/>
          <w:noProof/>
          <w:color w:val="auto"/>
          <w:u w:val="none"/>
        </w:rPr>
        <w:drawing>
          <wp:inline distT="0" distB="0" distL="0" distR="0" wp14:anchorId="1A5991CB" wp14:editId="62B615FA">
            <wp:extent cx="3352659" cy="218364"/>
            <wp:effectExtent l="0" t="0" r="63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445771" cy="224429"/>
                    </a:xfrm>
                    <a:prstGeom prst="rect">
                      <a:avLst/>
                    </a:prstGeom>
                  </pic:spPr>
                </pic:pic>
              </a:graphicData>
            </a:graphic>
          </wp:inline>
        </w:drawing>
      </w:r>
    </w:p>
    <w:p w:rsidR="00891142" w:rsidRPr="00980DDD" w:rsidRDefault="00891142" w:rsidP="00891142">
      <w:pPr>
        <w:pStyle w:val="Prrafodelista"/>
        <w:pBdr>
          <w:top w:val="nil"/>
          <w:left w:val="nil"/>
          <w:bottom w:val="nil"/>
          <w:right w:val="nil"/>
          <w:between w:val="nil"/>
        </w:pBdr>
        <w:spacing w:line="360" w:lineRule="auto"/>
        <w:jc w:val="both"/>
        <w:rPr>
          <w:rStyle w:val="Hipervnculo"/>
          <w:rFonts w:ascii="Palatino Linotype" w:eastAsiaTheme="majorEastAsia" w:hAnsi="Palatino Linotype" w:cs="Arial"/>
          <w:bCs/>
          <w:color w:val="auto"/>
          <w:u w:val="none"/>
        </w:rPr>
      </w:pPr>
    </w:p>
    <w:p w:rsidR="00891142" w:rsidRPr="00980DDD" w:rsidRDefault="00891142" w:rsidP="00891142">
      <w:pPr>
        <w:pBdr>
          <w:top w:val="nil"/>
          <w:left w:val="nil"/>
          <w:bottom w:val="nil"/>
          <w:right w:val="nil"/>
          <w:between w:val="nil"/>
        </w:pBdr>
        <w:spacing w:line="360" w:lineRule="auto"/>
        <w:ind w:left="709"/>
        <w:jc w:val="both"/>
        <w:rPr>
          <w:rFonts w:ascii="Palatino Linotype" w:eastAsiaTheme="majorEastAsia" w:hAnsi="Palatino Linotype" w:cs="Arial"/>
          <w:bCs/>
        </w:rPr>
      </w:pPr>
      <w:r w:rsidRPr="00980DDD">
        <w:rPr>
          <w:rFonts w:ascii="Palatino Linotype" w:eastAsiaTheme="majorEastAsia" w:hAnsi="Palatino Linotype" w:cs="Arial"/>
          <w:bCs/>
        </w:rPr>
        <w:t xml:space="preserve">Asimismo, me permito informarle que respecto al punto número cinco donde solicita que se le indique el monto ejercido al 31 de mayo del presupuesto durante el año que transcurre, le adjunto al presente, el siguiente documento: </w:t>
      </w:r>
    </w:p>
    <w:p w:rsidR="00891142" w:rsidRPr="00980DDD" w:rsidRDefault="00891142" w:rsidP="00891142">
      <w:pPr>
        <w:pBdr>
          <w:top w:val="nil"/>
          <w:left w:val="nil"/>
          <w:bottom w:val="nil"/>
          <w:right w:val="nil"/>
          <w:between w:val="nil"/>
        </w:pBdr>
        <w:spacing w:line="360" w:lineRule="auto"/>
        <w:ind w:left="709"/>
        <w:jc w:val="both"/>
        <w:rPr>
          <w:rFonts w:ascii="Palatino Linotype" w:eastAsiaTheme="majorEastAsia" w:hAnsi="Palatino Linotype" w:cs="Arial"/>
          <w:bCs/>
        </w:rPr>
      </w:pPr>
      <w:r w:rsidRPr="00980DDD">
        <w:rPr>
          <w:rFonts w:ascii="Palatino Linotype" w:eastAsiaTheme="majorEastAsia" w:hAnsi="Palatino Linotype" w:cs="Arial"/>
          <w:b/>
          <w:bCs/>
        </w:rPr>
        <w:t>Estado Analítico del Ejercicio del Presupuesto de Egresos Clasificación por Objeto del Gasto (a marzo de 2025).</w:t>
      </w:r>
      <w:r w:rsidRPr="00980DDD">
        <w:rPr>
          <w:rFonts w:ascii="Palatino Linotype" w:eastAsiaTheme="majorEastAsia" w:hAnsi="Palatino Linotype" w:cs="Arial"/>
          <w:bCs/>
        </w:rPr>
        <w:t xml:space="preserve"> </w:t>
      </w:r>
    </w:p>
    <w:p w:rsidR="001309ED" w:rsidRPr="00980DDD" w:rsidRDefault="00891142" w:rsidP="00891142">
      <w:pPr>
        <w:pBdr>
          <w:top w:val="nil"/>
          <w:left w:val="nil"/>
          <w:bottom w:val="nil"/>
          <w:right w:val="nil"/>
          <w:between w:val="nil"/>
        </w:pBdr>
        <w:spacing w:line="360" w:lineRule="auto"/>
        <w:ind w:left="709"/>
        <w:jc w:val="both"/>
        <w:rPr>
          <w:rFonts w:ascii="Palatino Linotype" w:eastAsiaTheme="majorEastAsia" w:hAnsi="Palatino Linotype" w:cs="Arial"/>
          <w:bCs/>
        </w:rPr>
      </w:pPr>
      <w:r w:rsidRPr="00980DDD">
        <w:rPr>
          <w:rFonts w:ascii="Palatino Linotype" w:eastAsiaTheme="majorEastAsia" w:hAnsi="Palatino Linotype" w:cs="Arial"/>
          <w:bCs/>
        </w:rPr>
        <w:t xml:space="preserve">El cual se encuentra integrado de forma general y no de forma particular; esto correspondiente al primer trimestre del ejercicio fiscal del año 2025, dicha información se encuentra pública en la página oficial del Ayuntamiento de Toluca en la siguiente liga </w:t>
      </w:r>
      <w:r w:rsidRPr="00980DDD">
        <w:rPr>
          <w:rFonts w:ascii="Palatino Linotype" w:eastAsiaTheme="majorEastAsia" w:hAnsi="Palatino Linotype" w:cs="Arial"/>
          <w:bCs/>
          <w:noProof/>
        </w:rPr>
        <w:drawing>
          <wp:inline distT="0" distB="0" distL="0" distR="0" wp14:anchorId="71F27F85" wp14:editId="4BA141C2">
            <wp:extent cx="3200399" cy="177420"/>
            <wp:effectExtent l="0" t="0" r="63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218716" cy="178435"/>
                    </a:xfrm>
                    <a:prstGeom prst="rect">
                      <a:avLst/>
                    </a:prstGeom>
                  </pic:spPr>
                </pic:pic>
              </a:graphicData>
            </a:graphic>
          </wp:inline>
        </w:drawing>
      </w:r>
    </w:p>
    <w:p w:rsidR="00891142" w:rsidRPr="00980DDD" w:rsidRDefault="00891142" w:rsidP="00891142">
      <w:pPr>
        <w:pBdr>
          <w:top w:val="nil"/>
          <w:left w:val="nil"/>
          <w:bottom w:val="nil"/>
          <w:right w:val="nil"/>
          <w:between w:val="nil"/>
        </w:pBdr>
        <w:spacing w:line="360" w:lineRule="auto"/>
        <w:ind w:left="709"/>
        <w:jc w:val="both"/>
        <w:rPr>
          <w:rFonts w:ascii="Palatino Linotype" w:eastAsiaTheme="majorEastAsia" w:hAnsi="Palatino Linotype" w:cs="Arial"/>
          <w:bCs/>
        </w:rPr>
      </w:pPr>
    </w:p>
    <w:p w:rsidR="00891142" w:rsidRPr="00980DDD" w:rsidRDefault="00891142" w:rsidP="00891142">
      <w:pPr>
        <w:pBdr>
          <w:top w:val="nil"/>
          <w:left w:val="nil"/>
          <w:bottom w:val="nil"/>
          <w:right w:val="nil"/>
          <w:between w:val="nil"/>
        </w:pBdr>
        <w:spacing w:line="360" w:lineRule="auto"/>
        <w:ind w:left="709"/>
        <w:jc w:val="both"/>
        <w:rPr>
          <w:rFonts w:ascii="Palatino Linotype" w:eastAsiaTheme="majorEastAsia" w:hAnsi="Palatino Linotype" w:cs="Arial"/>
          <w:bCs/>
        </w:rPr>
      </w:pPr>
      <w:r w:rsidRPr="00980DDD">
        <w:rPr>
          <w:rFonts w:ascii="Palatino Linotype" w:eastAsiaTheme="majorEastAsia" w:hAnsi="Palatino Linotype" w:cs="Arial"/>
          <w:bCs/>
        </w:rPr>
        <w:t xml:space="preserve">Cabe mencionar que los meses de abril, mayo y junio del año que transcurre no se encuentran publicados ya que forman parte de la integración del segundo informe trimestral de 2025;, dicha integración es normada por los Lineamientos del Órgano Superior de Fiscalización del Estado de México en materia de integración, presentación </w:t>
      </w:r>
      <w:r w:rsidRPr="00980DDD">
        <w:rPr>
          <w:rFonts w:ascii="Palatino Linotype" w:eastAsiaTheme="majorEastAsia" w:hAnsi="Palatino Linotype" w:cs="Arial"/>
          <w:bCs/>
        </w:rPr>
        <w:lastRenderedPageBreak/>
        <w:t xml:space="preserve">y envío de los informes trimestrales del ejercicio fiscal 2025, de las entidades fiscalizables del Estado de México; los cuales ya fueron emitidos por el OSFEM el día 01 de abril de 2025. </w:t>
      </w:r>
    </w:p>
    <w:p w:rsidR="00891142" w:rsidRPr="00980DDD" w:rsidRDefault="00891142" w:rsidP="00891142">
      <w:pPr>
        <w:pBdr>
          <w:top w:val="nil"/>
          <w:left w:val="nil"/>
          <w:bottom w:val="nil"/>
          <w:right w:val="nil"/>
          <w:between w:val="nil"/>
        </w:pBdr>
        <w:spacing w:line="360" w:lineRule="auto"/>
        <w:ind w:left="709"/>
        <w:jc w:val="both"/>
        <w:rPr>
          <w:rFonts w:ascii="Palatino Linotype" w:eastAsiaTheme="majorEastAsia" w:hAnsi="Palatino Linotype" w:cs="Arial"/>
          <w:bCs/>
        </w:rPr>
      </w:pPr>
    </w:p>
    <w:p w:rsidR="00891142" w:rsidRPr="00980DDD" w:rsidRDefault="00891142" w:rsidP="00891142">
      <w:pPr>
        <w:pBdr>
          <w:top w:val="nil"/>
          <w:left w:val="nil"/>
          <w:bottom w:val="nil"/>
          <w:right w:val="nil"/>
          <w:between w:val="nil"/>
        </w:pBdr>
        <w:spacing w:line="360" w:lineRule="auto"/>
        <w:ind w:left="709"/>
        <w:jc w:val="both"/>
        <w:rPr>
          <w:rFonts w:ascii="Palatino Linotype" w:eastAsiaTheme="majorEastAsia" w:hAnsi="Palatino Linotype" w:cs="Arial"/>
          <w:bCs/>
        </w:rPr>
      </w:pPr>
      <w:r w:rsidRPr="00980DDD">
        <w:rPr>
          <w:rFonts w:ascii="Palatino Linotype" w:eastAsiaTheme="majorEastAsia" w:hAnsi="Palatino Linotype" w:cs="Arial"/>
          <w:bCs/>
        </w:rPr>
        <w:t xml:space="preserve">En este sentido, se anexa al presente el Acuerdo 7/2025 publicado por el OSFEM por el que se emiten los lineamientos, fechas de capacitación y calendarización para la integración y presentación de los informes trimestrales estatales y municipales, establecidos en el anexo 1 de este Acuerdo, del ejercicio fiscal 2025. </w:t>
      </w:r>
    </w:p>
    <w:p w:rsidR="00891142" w:rsidRPr="00980DDD" w:rsidRDefault="00891142" w:rsidP="00891142">
      <w:pPr>
        <w:pBdr>
          <w:top w:val="nil"/>
          <w:left w:val="nil"/>
          <w:bottom w:val="nil"/>
          <w:right w:val="nil"/>
          <w:between w:val="nil"/>
        </w:pBdr>
        <w:spacing w:line="360" w:lineRule="auto"/>
        <w:ind w:left="709"/>
        <w:jc w:val="both"/>
        <w:rPr>
          <w:rFonts w:ascii="Palatino Linotype" w:eastAsiaTheme="majorEastAsia" w:hAnsi="Palatino Linotype" w:cs="Arial"/>
          <w:bCs/>
        </w:rPr>
      </w:pPr>
    </w:p>
    <w:p w:rsidR="00891142" w:rsidRPr="00980DDD" w:rsidRDefault="00891142" w:rsidP="00891142">
      <w:pPr>
        <w:pBdr>
          <w:top w:val="nil"/>
          <w:left w:val="nil"/>
          <w:bottom w:val="nil"/>
          <w:right w:val="nil"/>
          <w:between w:val="nil"/>
        </w:pBdr>
        <w:spacing w:line="360" w:lineRule="auto"/>
        <w:ind w:left="709"/>
        <w:jc w:val="both"/>
        <w:rPr>
          <w:rFonts w:ascii="Palatino Linotype" w:eastAsiaTheme="majorEastAsia" w:hAnsi="Palatino Linotype" w:cs="Arial"/>
          <w:bCs/>
        </w:rPr>
      </w:pPr>
      <w:r w:rsidRPr="00980DDD">
        <w:rPr>
          <w:rFonts w:ascii="Palatino Linotype" w:eastAsiaTheme="majorEastAsia" w:hAnsi="Palatino Linotype" w:cs="Arial"/>
          <w:bCs/>
        </w:rPr>
        <w:t>Asimismo, se anexa el link directo de la página oficial del Órgano Superior de Fiscalización del Estado de México, en el apartado de Lineamientos, componentes informes trimestrales, Acuerdo 7/2025:</w:t>
      </w:r>
    </w:p>
    <w:p w:rsidR="00891142" w:rsidRPr="00980DDD" w:rsidRDefault="00891142" w:rsidP="00891142">
      <w:pPr>
        <w:pBdr>
          <w:top w:val="nil"/>
          <w:left w:val="nil"/>
          <w:bottom w:val="nil"/>
          <w:right w:val="nil"/>
          <w:between w:val="nil"/>
        </w:pBdr>
        <w:spacing w:line="360" w:lineRule="auto"/>
        <w:ind w:left="709"/>
        <w:jc w:val="both"/>
        <w:rPr>
          <w:rStyle w:val="Hipervnculo"/>
          <w:rFonts w:ascii="Palatino Linotype" w:eastAsiaTheme="majorEastAsia" w:hAnsi="Palatino Linotype" w:cs="Arial"/>
          <w:b/>
          <w:bCs/>
          <w:color w:val="auto"/>
        </w:rPr>
      </w:pPr>
      <w:r w:rsidRPr="00980DDD">
        <w:rPr>
          <w:rStyle w:val="Hipervnculo"/>
          <w:rFonts w:ascii="Palatino Linotype" w:eastAsiaTheme="majorEastAsia" w:hAnsi="Palatino Linotype" w:cs="Arial"/>
          <w:b/>
          <w:bCs/>
          <w:noProof/>
          <w:color w:val="auto"/>
          <w:u w:val="none"/>
        </w:rPr>
        <w:drawing>
          <wp:inline distT="0" distB="0" distL="0" distR="0" wp14:anchorId="57C39C80" wp14:editId="79E63897">
            <wp:extent cx="5481860" cy="150126"/>
            <wp:effectExtent l="0" t="0" r="0" b="254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04485" cy="156223"/>
                    </a:xfrm>
                    <a:prstGeom prst="rect">
                      <a:avLst/>
                    </a:prstGeom>
                  </pic:spPr>
                </pic:pic>
              </a:graphicData>
            </a:graphic>
          </wp:inline>
        </w:drawing>
      </w:r>
    </w:p>
    <w:p w:rsidR="00891142" w:rsidRPr="00980DDD" w:rsidRDefault="00891142" w:rsidP="00891142">
      <w:pPr>
        <w:pBdr>
          <w:top w:val="nil"/>
          <w:left w:val="nil"/>
          <w:bottom w:val="nil"/>
          <w:right w:val="nil"/>
          <w:between w:val="nil"/>
        </w:pBdr>
        <w:spacing w:line="360" w:lineRule="auto"/>
        <w:ind w:left="709"/>
        <w:jc w:val="both"/>
        <w:rPr>
          <w:rStyle w:val="Hipervnculo"/>
          <w:rFonts w:ascii="Palatino Linotype" w:eastAsiaTheme="majorEastAsia" w:hAnsi="Palatino Linotype" w:cs="Arial"/>
          <w:b/>
          <w:bCs/>
          <w:color w:val="auto"/>
        </w:rPr>
      </w:pPr>
    </w:p>
    <w:p w:rsidR="001309ED" w:rsidRPr="00980DDD" w:rsidRDefault="001309ED" w:rsidP="00980DDD">
      <w:pPr>
        <w:pBdr>
          <w:top w:val="nil"/>
          <w:left w:val="nil"/>
          <w:bottom w:val="nil"/>
          <w:right w:val="nil"/>
          <w:between w:val="nil"/>
        </w:pBdr>
        <w:spacing w:line="360" w:lineRule="auto"/>
        <w:ind w:left="708"/>
        <w:jc w:val="both"/>
        <w:rPr>
          <w:rStyle w:val="Hipervnculo"/>
          <w:rFonts w:ascii="Palatino Linotype" w:eastAsiaTheme="majorEastAsia" w:hAnsi="Palatino Linotype" w:cs="Arial"/>
          <w:b/>
          <w:bCs/>
          <w:color w:val="auto"/>
        </w:rPr>
      </w:pPr>
      <w:r w:rsidRPr="00980DDD">
        <w:rPr>
          <w:rStyle w:val="Hipervnculo"/>
          <w:rFonts w:ascii="Palatino Linotype" w:eastAsiaTheme="majorEastAsia" w:hAnsi="Palatino Linotype" w:cs="Arial"/>
          <w:b/>
          <w:bCs/>
          <w:color w:val="auto"/>
        </w:rPr>
        <w:t>12.Estado-Analitico-del-Ejercicio-del-Presupuesto-de-Egresos_compressed (1).pdf</w:t>
      </w:r>
      <w:r w:rsidRPr="00980DDD">
        <w:rPr>
          <w:rStyle w:val="Hipervnculo"/>
          <w:rFonts w:ascii="Palatino Linotype" w:eastAsiaTheme="majorEastAsia" w:hAnsi="Palatino Linotype" w:cs="Arial"/>
          <w:bCs/>
          <w:color w:val="auto"/>
          <w:u w:val="none"/>
        </w:rPr>
        <w:t>:</w:t>
      </w:r>
      <w:r w:rsidR="00891142" w:rsidRPr="00980DDD">
        <w:rPr>
          <w:rStyle w:val="Hipervnculo"/>
          <w:rFonts w:ascii="Palatino Linotype" w:eastAsiaTheme="majorEastAsia" w:hAnsi="Palatino Linotype" w:cs="Arial"/>
          <w:bCs/>
          <w:color w:val="auto"/>
          <w:u w:val="none"/>
        </w:rPr>
        <w:t xml:space="preserve"> Estado Analítico </w:t>
      </w:r>
      <w:r w:rsidR="004628B3" w:rsidRPr="00980DDD">
        <w:rPr>
          <w:rStyle w:val="Hipervnculo"/>
          <w:rFonts w:ascii="Palatino Linotype" w:eastAsiaTheme="majorEastAsia" w:hAnsi="Palatino Linotype" w:cs="Arial"/>
          <w:bCs/>
          <w:color w:val="auto"/>
          <w:u w:val="none"/>
        </w:rPr>
        <w:t xml:space="preserve">del Ejercicio del Presupuesto de Egresos Clasificación por Objeto del Gasto (Capítulo y Concepto), del 1 de enero al 31 de diciembre de 2024. </w:t>
      </w:r>
    </w:p>
    <w:p w:rsidR="001309ED" w:rsidRPr="00980DDD" w:rsidRDefault="001309ED" w:rsidP="001309ED">
      <w:pPr>
        <w:pBdr>
          <w:top w:val="nil"/>
          <w:left w:val="nil"/>
          <w:bottom w:val="nil"/>
          <w:right w:val="nil"/>
          <w:between w:val="nil"/>
        </w:pBdr>
        <w:spacing w:line="360" w:lineRule="auto"/>
        <w:jc w:val="both"/>
        <w:rPr>
          <w:rStyle w:val="Hipervnculo"/>
          <w:rFonts w:ascii="Palatino Linotype" w:eastAsiaTheme="majorEastAsia" w:hAnsi="Palatino Linotype" w:cs="Arial"/>
          <w:b/>
          <w:bCs/>
          <w:color w:val="auto"/>
        </w:rPr>
      </w:pPr>
    </w:p>
    <w:p w:rsidR="001309ED" w:rsidRPr="00980DDD" w:rsidRDefault="001309ED" w:rsidP="00980DDD">
      <w:pPr>
        <w:pBdr>
          <w:top w:val="nil"/>
          <w:left w:val="nil"/>
          <w:bottom w:val="nil"/>
          <w:right w:val="nil"/>
          <w:between w:val="nil"/>
        </w:pBdr>
        <w:spacing w:line="360" w:lineRule="auto"/>
        <w:jc w:val="both"/>
        <w:rPr>
          <w:rStyle w:val="Hipervnculo"/>
          <w:rFonts w:ascii="Palatino Linotype" w:eastAsiaTheme="majorEastAsia" w:hAnsi="Palatino Linotype" w:cs="Arial"/>
          <w:b/>
          <w:bCs/>
          <w:color w:val="auto"/>
        </w:rPr>
      </w:pPr>
      <w:r w:rsidRPr="00980DDD">
        <w:rPr>
          <w:rStyle w:val="Hipervnculo"/>
          <w:rFonts w:ascii="Palatino Linotype" w:eastAsiaTheme="majorEastAsia" w:hAnsi="Palatino Linotype" w:cs="Arial"/>
          <w:b/>
          <w:bCs/>
          <w:color w:val="auto"/>
        </w:rPr>
        <w:t>NOT 3325.pdf</w:t>
      </w:r>
      <w:r w:rsidRPr="00980DDD">
        <w:rPr>
          <w:rStyle w:val="Hipervnculo"/>
          <w:rFonts w:ascii="Palatino Linotype" w:eastAsiaTheme="majorEastAsia" w:hAnsi="Palatino Linotype" w:cs="Arial"/>
          <w:bCs/>
          <w:color w:val="auto"/>
          <w:u w:val="none"/>
        </w:rPr>
        <w:t>:</w:t>
      </w:r>
      <w:r w:rsidR="00D956EC" w:rsidRPr="00980DDD">
        <w:rPr>
          <w:rStyle w:val="Hipervnculo"/>
          <w:rFonts w:ascii="Palatino Linotype" w:eastAsiaTheme="majorEastAsia" w:hAnsi="Palatino Linotype" w:cs="Arial"/>
          <w:bCs/>
          <w:color w:val="auto"/>
          <w:u w:val="none"/>
        </w:rPr>
        <w:t xml:space="preserve"> oficio número 206010000/3603/2025 de fecha veintisiete de junio de dos mil veinticinco, suscrito por la Directora General de Administración, quien señaló que se remite respuesta de la Dirección de Recursos Humanos.</w:t>
      </w:r>
      <w:r w:rsidR="00363B8B" w:rsidRPr="00980DDD">
        <w:rPr>
          <w:rStyle w:val="Hipervnculo"/>
          <w:rFonts w:ascii="Palatino Linotype" w:eastAsiaTheme="majorEastAsia" w:hAnsi="Palatino Linotype" w:cs="Arial"/>
          <w:bCs/>
          <w:color w:val="auto"/>
          <w:u w:val="none"/>
        </w:rPr>
        <w:t xml:space="preserve"> Nota informativa número 694/2025 de fecha veintiséis de junio de 2025, suscrito por la Directora de Recursos Humanos quien señaló una liga electrónica para consultar la información.  </w:t>
      </w:r>
    </w:p>
    <w:p w:rsidR="001309ED" w:rsidRPr="00980DDD" w:rsidRDefault="001309ED" w:rsidP="001309ED">
      <w:pPr>
        <w:pBdr>
          <w:top w:val="nil"/>
          <w:left w:val="nil"/>
          <w:bottom w:val="nil"/>
          <w:right w:val="nil"/>
          <w:between w:val="nil"/>
        </w:pBdr>
        <w:spacing w:line="360" w:lineRule="auto"/>
        <w:jc w:val="both"/>
        <w:rPr>
          <w:rStyle w:val="Hipervnculo"/>
          <w:rFonts w:ascii="Palatino Linotype" w:eastAsiaTheme="majorEastAsia" w:hAnsi="Palatino Linotype" w:cs="Arial"/>
          <w:b/>
          <w:bCs/>
          <w:color w:val="auto"/>
        </w:rPr>
      </w:pPr>
    </w:p>
    <w:p w:rsidR="001309ED" w:rsidRPr="00980DDD" w:rsidRDefault="001309ED" w:rsidP="00980DDD">
      <w:pPr>
        <w:pStyle w:val="Prrafodelista"/>
        <w:numPr>
          <w:ilvl w:val="0"/>
          <w:numId w:val="5"/>
        </w:numPr>
        <w:pBdr>
          <w:top w:val="nil"/>
          <w:left w:val="nil"/>
          <w:bottom w:val="nil"/>
          <w:right w:val="nil"/>
          <w:between w:val="nil"/>
        </w:pBdr>
        <w:spacing w:line="360" w:lineRule="auto"/>
        <w:ind w:left="0" w:firstLine="0"/>
        <w:jc w:val="both"/>
        <w:rPr>
          <w:rStyle w:val="Hipervnculo"/>
          <w:rFonts w:ascii="Palatino Linotype" w:eastAsia="Palatino Linotype" w:hAnsi="Palatino Linotype" w:cs="Palatino Linotype"/>
          <w:color w:val="000000"/>
          <w:u w:val="none"/>
        </w:rPr>
      </w:pPr>
      <w:r w:rsidRPr="00980DDD">
        <w:rPr>
          <w:rStyle w:val="Hipervnculo"/>
          <w:rFonts w:ascii="Palatino Linotype" w:eastAsiaTheme="majorEastAsia" w:hAnsi="Palatino Linotype" w:cs="Arial"/>
          <w:b/>
          <w:bCs/>
          <w:color w:val="auto"/>
        </w:rPr>
        <w:lastRenderedPageBreak/>
        <w:t>sol-3325.pdf</w:t>
      </w:r>
      <w:r w:rsidRPr="00980DDD">
        <w:rPr>
          <w:rStyle w:val="Hipervnculo"/>
          <w:rFonts w:ascii="Palatino Linotype" w:eastAsiaTheme="majorEastAsia" w:hAnsi="Palatino Linotype" w:cs="Arial"/>
          <w:bCs/>
          <w:color w:val="auto"/>
          <w:u w:val="none"/>
        </w:rPr>
        <w:t>:</w:t>
      </w:r>
      <w:r w:rsidR="00363B8B" w:rsidRPr="00980DDD">
        <w:rPr>
          <w:rStyle w:val="Hipervnculo"/>
          <w:rFonts w:ascii="Palatino Linotype" w:eastAsiaTheme="majorEastAsia" w:hAnsi="Palatino Linotype" w:cs="Arial"/>
          <w:bCs/>
          <w:color w:val="auto"/>
          <w:u w:val="none"/>
        </w:rPr>
        <w:t xml:space="preserve"> oficio de fecha veintisiete de junio de dos mil veinticinco, suscrito por el servidor público habilitado de la Consejería Jurídica, quien señaló que no es competente para conocer de la información solicitada. </w:t>
      </w:r>
    </w:p>
    <w:p w:rsidR="001309ED" w:rsidRPr="00980DDD" w:rsidRDefault="001309ED" w:rsidP="001309ED">
      <w:pPr>
        <w:pStyle w:val="Prrafodelista"/>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1309ED" w:rsidRPr="00980DDD" w:rsidRDefault="001309ED" w:rsidP="001309ED">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980DDD">
        <w:rPr>
          <w:rFonts w:ascii="Palatino Linotype" w:eastAsia="Palatino Linotype" w:hAnsi="Palatino Linotype" w:cs="Palatino Linotype"/>
          <w:color w:val="000000"/>
        </w:rPr>
        <w:t xml:space="preserve">El </w:t>
      </w:r>
      <w:r w:rsidR="00363B8B" w:rsidRPr="00980DDD">
        <w:rPr>
          <w:rFonts w:ascii="Palatino Linotype" w:eastAsia="Palatino Linotype" w:hAnsi="Palatino Linotype" w:cs="Palatino Linotype"/>
          <w:b/>
          <w:color w:val="000000"/>
        </w:rPr>
        <w:t>veintisiete de junio</w:t>
      </w:r>
      <w:r w:rsidRPr="00980DDD">
        <w:rPr>
          <w:rFonts w:ascii="Palatino Linotype" w:eastAsia="Palatino Linotype" w:hAnsi="Palatino Linotype" w:cs="Palatino Linotype"/>
          <w:b/>
          <w:color w:val="000000"/>
        </w:rPr>
        <w:t xml:space="preserve"> de dos mil veinticinco</w:t>
      </w:r>
      <w:r w:rsidRPr="00980DDD">
        <w:rPr>
          <w:rFonts w:ascii="Palatino Linotype" w:eastAsia="Palatino Linotype" w:hAnsi="Palatino Linotype" w:cs="Palatino Linotype"/>
          <w:color w:val="000000"/>
        </w:rPr>
        <w:t xml:space="preserve">, </w:t>
      </w:r>
      <w:r w:rsidRPr="00980DDD">
        <w:rPr>
          <w:rFonts w:ascii="Palatino Linotype" w:eastAsia="Palatino Linotype" w:hAnsi="Palatino Linotype" w:cs="Palatino Linotype"/>
          <w:b/>
          <w:color w:val="000000"/>
        </w:rPr>
        <w:t>EL RECURRENTE</w:t>
      </w:r>
      <w:r w:rsidRPr="00980DDD">
        <w:rPr>
          <w:rFonts w:ascii="Palatino Linotype" w:eastAsia="Palatino Linotype" w:hAnsi="Palatino Linotype" w:cs="Palatino Linotype"/>
          <w:color w:val="000000"/>
        </w:rPr>
        <w:t xml:space="preserve"> interpuso el recurso de revisión, en contra de la respuesta, señalando como:</w:t>
      </w:r>
    </w:p>
    <w:p w:rsidR="001309ED" w:rsidRPr="00980DDD" w:rsidRDefault="001309ED" w:rsidP="001309ED">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1309ED" w:rsidRPr="00980DDD" w:rsidRDefault="00980DDD" w:rsidP="001309ED">
      <w:pPr>
        <w:numPr>
          <w:ilvl w:val="0"/>
          <w:numId w:val="1"/>
        </w:numPr>
        <w:spacing w:line="360" w:lineRule="auto"/>
        <w:ind w:right="822"/>
        <w:jc w:val="both"/>
      </w:pPr>
      <w:r w:rsidRPr="00980DDD">
        <w:rPr>
          <w:rFonts w:ascii="Palatino Linotype" w:eastAsia="Palatino Linotype" w:hAnsi="Palatino Linotype" w:cs="Palatino Linotype"/>
          <w:b/>
        </w:rPr>
        <w:t>ACTO IMPUGNADO</w:t>
      </w:r>
      <w:r w:rsidR="001309ED" w:rsidRPr="00980DDD">
        <w:rPr>
          <w:rFonts w:ascii="Palatino Linotype" w:eastAsia="Palatino Linotype" w:hAnsi="Palatino Linotype" w:cs="Palatino Linotype"/>
          <w:b/>
          <w:i/>
        </w:rPr>
        <w:t>:</w:t>
      </w:r>
      <w:r w:rsidR="001309ED" w:rsidRPr="00980DDD">
        <w:rPr>
          <w:rFonts w:ascii="Palatino Linotype" w:eastAsia="Palatino Linotype" w:hAnsi="Palatino Linotype" w:cs="Palatino Linotype"/>
          <w:i/>
          <w:color w:val="000000"/>
        </w:rPr>
        <w:t xml:space="preserve"> “</w:t>
      </w:r>
      <w:r w:rsidR="00363B8B" w:rsidRPr="00980DDD">
        <w:rPr>
          <w:rFonts w:ascii="Palatino Linotype" w:eastAsia="Palatino Linotype" w:hAnsi="Palatino Linotype" w:cs="Palatino Linotype"/>
          <w:i/>
          <w:color w:val="000000"/>
        </w:rPr>
        <w:t>la entrega de la informaicón esta incompleto</w:t>
      </w:r>
      <w:r w:rsidR="001309ED" w:rsidRPr="00980DDD">
        <w:rPr>
          <w:rFonts w:ascii="Palatino Linotype" w:eastAsia="Palatino Linotype" w:hAnsi="Palatino Linotype" w:cs="Palatino Linotype"/>
          <w:i/>
          <w:color w:val="000000"/>
        </w:rPr>
        <w:t>" (Sic)</w:t>
      </w:r>
    </w:p>
    <w:p w:rsidR="001309ED" w:rsidRPr="00980DDD" w:rsidRDefault="001309ED" w:rsidP="001309ED">
      <w:pPr>
        <w:spacing w:line="360" w:lineRule="auto"/>
        <w:ind w:left="720" w:right="822"/>
        <w:jc w:val="both"/>
      </w:pPr>
    </w:p>
    <w:p w:rsidR="001309ED" w:rsidRPr="00980DDD" w:rsidRDefault="00980DDD" w:rsidP="001309ED">
      <w:pPr>
        <w:numPr>
          <w:ilvl w:val="0"/>
          <w:numId w:val="1"/>
        </w:numPr>
        <w:spacing w:line="360" w:lineRule="auto"/>
        <w:ind w:right="822"/>
        <w:jc w:val="both"/>
        <w:rPr>
          <w:rFonts w:ascii="Palatino Linotype" w:eastAsia="Palatino Linotype" w:hAnsi="Palatino Linotype" w:cs="Palatino Linotype"/>
        </w:rPr>
      </w:pPr>
      <w:r w:rsidRPr="00980DDD">
        <w:rPr>
          <w:rFonts w:ascii="Palatino Linotype" w:eastAsia="Palatino Linotype" w:hAnsi="Palatino Linotype" w:cs="Palatino Linotype"/>
          <w:b/>
        </w:rPr>
        <w:t>RAZONES O MOTIVOS DE INCONFORMIDAD</w:t>
      </w:r>
      <w:r w:rsidR="001309ED" w:rsidRPr="00980DDD">
        <w:rPr>
          <w:rFonts w:ascii="Palatino Linotype" w:eastAsia="Palatino Linotype" w:hAnsi="Palatino Linotype" w:cs="Palatino Linotype"/>
          <w:b/>
        </w:rPr>
        <w:t xml:space="preserve">: </w:t>
      </w:r>
      <w:r w:rsidR="001309ED" w:rsidRPr="00980DDD">
        <w:rPr>
          <w:rFonts w:ascii="Palatino Linotype" w:eastAsia="Palatino Linotype" w:hAnsi="Palatino Linotype" w:cs="Palatino Linotype"/>
          <w:i/>
        </w:rPr>
        <w:t>"</w:t>
      </w:r>
      <w:r w:rsidR="00363B8B" w:rsidRPr="00980DDD">
        <w:rPr>
          <w:rFonts w:ascii="Verdana" w:hAnsi="Verdana"/>
          <w:color w:val="000000"/>
        </w:rPr>
        <w:t xml:space="preserve"> </w:t>
      </w:r>
      <w:r w:rsidR="00363B8B" w:rsidRPr="00980DDD">
        <w:rPr>
          <w:rFonts w:ascii="Palatino Linotype" w:eastAsia="Palatino Linotype" w:hAnsi="Palatino Linotype" w:cs="Palatino Linotype"/>
          <w:i/>
        </w:rPr>
        <w:t>la entrega de la informaicón esta incompleto</w:t>
      </w:r>
      <w:r w:rsidR="001309ED" w:rsidRPr="00980DDD">
        <w:rPr>
          <w:rFonts w:ascii="Palatino Linotype" w:eastAsia="Palatino Linotype" w:hAnsi="Palatino Linotype" w:cs="Palatino Linotype"/>
          <w:i/>
        </w:rPr>
        <w:t>" (Sic)</w:t>
      </w:r>
    </w:p>
    <w:p w:rsidR="001309ED" w:rsidRPr="00980DDD" w:rsidRDefault="001309ED" w:rsidP="001309ED">
      <w:pPr>
        <w:spacing w:line="360" w:lineRule="auto"/>
        <w:jc w:val="both"/>
        <w:rPr>
          <w:rFonts w:ascii="Palatino Linotype" w:eastAsia="Palatino Linotype" w:hAnsi="Palatino Linotype" w:cs="Palatino Linotype"/>
        </w:rPr>
      </w:pPr>
    </w:p>
    <w:p w:rsidR="001309ED" w:rsidRPr="00980DDD" w:rsidRDefault="001309ED" w:rsidP="001309ED">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980DDD">
        <w:rPr>
          <w:rFonts w:ascii="Palatino Linotype" w:eastAsia="Palatino Linotype" w:hAnsi="Palatino Linotype" w:cs="Palatino Linotype"/>
          <w:color w:val="000000"/>
        </w:rPr>
        <w:t xml:space="preserve">Se registró el recurso de revisión bajo el número de expediente al rubro indicado, asimismo con fundamento en lo dispuesto por el artículo 185 fracción I de la </w:t>
      </w:r>
      <w:r w:rsidRPr="00980DDD">
        <w:rPr>
          <w:rFonts w:ascii="Palatino Linotype" w:eastAsia="Palatino Linotype" w:hAnsi="Palatino Linotype" w:cs="Palatino Linotype"/>
          <w:b/>
          <w:color w:val="000000"/>
        </w:rPr>
        <w:t xml:space="preserve">Ley de Transparencia y Acceso a la Información Pública del Estado de México y Municipios </w:t>
      </w:r>
      <w:r w:rsidRPr="00980DDD">
        <w:rPr>
          <w:rFonts w:ascii="Palatino Linotype" w:eastAsia="Palatino Linotype" w:hAnsi="Palatino Linotype" w:cs="Palatino Linotype"/>
          <w:color w:val="000000"/>
        </w:rPr>
        <w:t xml:space="preserve">se </w:t>
      </w:r>
      <w:r w:rsidRPr="00980DDD">
        <w:rPr>
          <w:rFonts w:ascii="Palatino Linotype" w:eastAsia="Palatino Linotype" w:hAnsi="Palatino Linotype" w:cs="Palatino Linotype"/>
        </w:rPr>
        <w:t>turna</w:t>
      </w:r>
      <w:r w:rsidRPr="00980DDD">
        <w:rPr>
          <w:rFonts w:ascii="Palatino Linotype" w:eastAsia="Palatino Linotype" w:hAnsi="Palatino Linotype" w:cs="Palatino Linotype"/>
          <w:color w:val="000000"/>
        </w:rPr>
        <w:t xml:space="preserve"> a la </w:t>
      </w:r>
      <w:r w:rsidRPr="00980DDD">
        <w:rPr>
          <w:rFonts w:ascii="Palatino Linotype" w:eastAsia="Palatino Linotype" w:hAnsi="Palatino Linotype" w:cs="Palatino Linotype"/>
          <w:b/>
          <w:color w:val="000000"/>
        </w:rPr>
        <w:t xml:space="preserve">Comisionada María del Rosario Mejía Ayala, </w:t>
      </w:r>
      <w:r w:rsidRPr="00980DDD">
        <w:rPr>
          <w:rFonts w:ascii="Palatino Linotype" w:eastAsia="Palatino Linotype" w:hAnsi="Palatino Linotype" w:cs="Palatino Linotype"/>
        </w:rPr>
        <w:t xml:space="preserve">para </w:t>
      </w:r>
      <w:r w:rsidRPr="00980DDD">
        <w:rPr>
          <w:rFonts w:ascii="Palatino Linotype" w:eastAsia="Palatino Linotype" w:hAnsi="Palatino Linotype" w:cs="Palatino Linotype"/>
          <w:color w:val="000000"/>
        </w:rPr>
        <w:t xml:space="preserve">su análisis. </w:t>
      </w:r>
    </w:p>
    <w:p w:rsidR="001309ED" w:rsidRPr="00980DDD" w:rsidRDefault="001309ED" w:rsidP="001309ED">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1309ED" w:rsidRPr="00980DDD" w:rsidRDefault="001309ED" w:rsidP="001309ED">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980DDD">
        <w:rPr>
          <w:rFonts w:ascii="Palatino Linotype" w:eastAsia="Palatino Linotype" w:hAnsi="Palatino Linotype" w:cs="Palatino Linotype"/>
        </w:rPr>
        <w:t>La</w:t>
      </w:r>
      <w:r w:rsidRPr="00980DDD">
        <w:rPr>
          <w:rFonts w:ascii="Palatino Linotype" w:eastAsia="Palatino Linotype" w:hAnsi="Palatino Linotype" w:cs="Palatino Linotype"/>
          <w:color w:val="000000"/>
        </w:rPr>
        <w:t xml:space="preserve"> Comisionad</w:t>
      </w:r>
      <w:r w:rsidRPr="00980DDD">
        <w:rPr>
          <w:rFonts w:ascii="Palatino Linotype" w:eastAsia="Palatino Linotype" w:hAnsi="Palatino Linotype" w:cs="Palatino Linotype"/>
        </w:rPr>
        <w:t>a</w:t>
      </w:r>
      <w:r w:rsidR="00980DDD">
        <w:rPr>
          <w:rFonts w:ascii="Palatino Linotype" w:eastAsia="Palatino Linotype" w:hAnsi="Palatino Linotype" w:cs="Palatino Linotype"/>
          <w:color w:val="000000"/>
        </w:rPr>
        <w:t xml:space="preserve"> p</w:t>
      </w:r>
      <w:r w:rsidRPr="00980DDD">
        <w:rPr>
          <w:rFonts w:ascii="Palatino Linotype" w:eastAsia="Palatino Linotype" w:hAnsi="Palatino Linotype" w:cs="Palatino Linotype"/>
          <w:color w:val="000000"/>
        </w:rPr>
        <w:t xml:space="preserve">onente con fundamento en lo dispuesto por el artículo 185 fracción II de la ley de la materia, a través del acuerdo de admisión del </w:t>
      </w:r>
      <w:r w:rsidR="00364139" w:rsidRPr="00980DDD">
        <w:rPr>
          <w:rFonts w:ascii="Palatino Linotype" w:eastAsia="Palatino Linotype" w:hAnsi="Palatino Linotype" w:cs="Palatino Linotype"/>
          <w:b/>
          <w:color w:val="000000"/>
        </w:rPr>
        <w:t>treinta de junio</w:t>
      </w:r>
      <w:r w:rsidRPr="00980DDD">
        <w:rPr>
          <w:rFonts w:ascii="Palatino Linotype" w:eastAsia="Palatino Linotype" w:hAnsi="Palatino Linotype" w:cs="Palatino Linotype"/>
          <w:b/>
          <w:color w:val="000000"/>
        </w:rPr>
        <w:t xml:space="preserve"> de dos mil veinticinco</w:t>
      </w:r>
      <w:r w:rsidRPr="00980DDD">
        <w:rPr>
          <w:rFonts w:ascii="Palatino Linotype" w:eastAsia="Palatino Linotype" w:hAnsi="Palatino Linotype" w:cs="Palatino Linotype"/>
          <w:color w:val="000000"/>
        </w:rPr>
        <w:t xml:space="preserve">, puso a disposición de las partes el expediente electrónico vía </w:t>
      </w:r>
      <w:r w:rsidRPr="00980DDD">
        <w:rPr>
          <w:rFonts w:ascii="Palatino Linotype" w:eastAsia="Palatino Linotype" w:hAnsi="Palatino Linotype" w:cs="Palatino Linotype"/>
          <w:b/>
          <w:color w:val="000000"/>
        </w:rPr>
        <w:t xml:space="preserve">SAIMEX </w:t>
      </w:r>
      <w:r w:rsidRPr="00980DDD">
        <w:rPr>
          <w:rFonts w:ascii="Palatino Linotype" w:eastAsia="Palatino Linotype" w:hAnsi="Palatino Linotype" w:cs="Palatino Linotype"/>
          <w:color w:val="000000"/>
        </w:rPr>
        <w:t xml:space="preserve">a efecto de que en un plazo máximo de siete días </w:t>
      </w:r>
      <w:r w:rsidRPr="00980DDD">
        <w:rPr>
          <w:rFonts w:ascii="Palatino Linotype" w:eastAsia="Palatino Linotype" w:hAnsi="Palatino Linotype" w:cs="Palatino Linotype"/>
        </w:rPr>
        <w:t>manifestara</w:t>
      </w:r>
      <w:r w:rsidRPr="00980DDD">
        <w:rPr>
          <w:rFonts w:ascii="Palatino Linotype" w:eastAsia="Palatino Linotype" w:hAnsi="Palatino Linotype" w:cs="Palatino Linotype"/>
          <w:color w:val="000000"/>
        </w:rPr>
        <w:t xml:space="preserve"> lo que a derecho </w:t>
      </w:r>
      <w:r w:rsidRPr="00980DDD">
        <w:rPr>
          <w:rFonts w:ascii="Palatino Linotype" w:eastAsia="Palatino Linotype" w:hAnsi="Palatino Linotype" w:cs="Palatino Linotype"/>
        </w:rPr>
        <w:t>conviniera</w:t>
      </w:r>
      <w:r w:rsidRPr="00980DDD">
        <w:rPr>
          <w:rFonts w:ascii="Palatino Linotype" w:eastAsia="Palatino Linotype" w:hAnsi="Palatino Linotype" w:cs="Palatino Linotype"/>
          <w:color w:val="000000"/>
        </w:rPr>
        <w:t xml:space="preserve">, </w:t>
      </w:r>
      <w:r w:rsidRPr="00980DDD">
        <w:rPr>
          <w:rFonts w:ascii="Palatino Linotype" w:eastAsia="Palatino Linotype" w:hAnsi="Palatino Linotype" w:cs="Palatino Linotype"/>
        </w:rPr>
        <w:t>ofreciera</w:t>
      </w:r>
      <w:r w:rsidRPr="00980DDD">
        <w:rPr>
          <w:rFonts w:ascii="Palatino Linotype" w:eastAsia="Palatino Linotype" w:hAnsi="Palatino Linotype" w:cs="Palatino Linotype"/>
          <w:color w:val="000000"/>
        </w:rPr>
        <w:t xml:space="preserve"> pruebas y alegatos según corresponda al caso concreto, de esta forma para que el </w:t>
      </w:r>
      <w:r w:rsidRPr="00980DDD">
        <w:rPr>
          <w:rFonts w:ascii="Palatino Linotype" w:eastAsia="Palatino Linotype" w:hAnsi="Palatino Linotype" w:cs="Palatino Linotype"/>
          <w:b/>
          <w:color w:val="000000"/>
        </w:rPr>
        <w:t>SUJETO OBLIGADO</w:t>
      </w:r>
      <w:r w:rsidRPr="00980DDD">
        <w:rPr>
          <w:rFonts w:ascii="Palatino Linotype" w:eastAsia="Palatino Linotype" w:hAnsi="Palatino Linotype" w:cs="Palatino Linotype"/>
          <w:color w:val="000000"/>
        </w:rPr>
        <w:t xml:space="preserve"> </w:t>
      </w:r>
      <w:r w:rsidRPr="00980DDD">
        <w:rPr>
          <w:rFonts w:ascii="Palatino Linotype" w:eastAsia="Palatino Linotype" w:hAnsi="Palatino Linotype" w:cs="Palatino Linotype"/>
        </w:rPr>
        <w:t>presentará</w:t>
      </w:r>
      <w:r w:rsidRPr="00980DDD">
        <w:rPr>
          <w:rFonts w:ascii="Palatino Linotype" w:eastAsia="Palatino Linotype" w:hAnsi="Palatino Linotype" w:cs="Palatino Linotype"/>
          <w:color w:val="000000"/>
        </w:rPr>
        <w:t xml:space="preserve"> el informe justificado procedente. </w:t>
      </w:r>
    </w:p>
    <w:p w:rsidR="001309ED" w:rsidRPr="00980DDD" w:rsidRDefault="001309ED" w:rsidP="001309ED">
      <w:pPr>
        <w:pBdr>
          <w:top w:val="nil"/>
          <w:left w:val="nil"/>
          <w:bottom w:val="nil"/>
          <w:right w:val="nil"/>
          <w:between w:val="nil"/>
        </w:pBdr>
        <w:ind w:left="720"/>
        <w:rPr>
          <w:rFonts w:ascii="Palatino Linotype" w:eastAsia="Palatino Linotype" w:hAnsi="Palatino Linotype" w:cs="Palatino Linotype"/>
          <w:color w:val="000000"/>
        </w:rPr>
      </w:pPr>
    </w:p>
    <w:p w:rsidR="001309ED" w:rsidRPr="00980DDD" w:rsidRDefault="001309ED" w:rsidP="001309ED">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980DDD">
        <w:rPr>
          <w:rFonts w:ascii="Palatino Linotype" w:eastAsia="Palatino Linotype" w:hAnsi="Palatino Linotype" w:cs="Palatino Linotype"/>
          <w:color w:val="000000"/>
        </w:rPr>
        <w:lastRenderedPageBreak/>
        <w:t xml:space="preserve">De las constancias del expediente electrónico SAIMEX se advierte que el Recurrente no realizó manifestaciones; por su parte, el Sujeto Obligado entregó informe justificado el </w:t>
      </w:r>
      <w:r w:rsidR="00364139" w:rsidRPr="00980DDD">
        <w:rPr>
          <w:rFonts w:ascii="Palatino Linotype" w:eastAsia="Palatino Linotype" w:hAnsi="Palatino Linotype" w:cs="Palatino Linotype"/>
          <w:b/>
          <w:color w:val="000000"/>
        </w:rPr>
        <w:t>nueve de julio</w:t>
      </w:r>
      <w:r w:rsidRPr="00980DDD">
        <w:rPr>
          <w:rFonts w:ascii="Palatino Linotype" w:eastAsia="Palatino Linotype" w:hAnsi="Palatino Linotype" w:cs="Palatino Linotype"/>
          <w:b/>
          <w:color w:val="000000"/>
        </w:rPr>
        <w:t xml:space="preserve"> de dos mil veinticinco</w:t>
      </w:r>
      <w:r w:rsidRPr="00980DDD">
        <w:rPr>
          <w:rFonts w:ascii="Palatino Linotype" w:eastAsia="Palatino Linotype" w:hAnsi="Palatino Linotype" w:cs="Palatino Linotype"/>
          <w:color w:val="000000"/>
        </w:rPr>
        <w:t xml:space="preserve">, mismo que fue puesto a la vista del Recurrente el </w:t>
      </w:r>
      <w:r w:rsidR="00364139" w:rsidRPr="00980DDD">
        <w:rPr>
          <w:rFonts w:ascii="Palatino Linotype" w:eastAsia="Palatino Linotype" w:hAnsi="Palatino Linotype" w:cs="Palatino Linotype"/>
          <w:b/>
          <w:color w:val="000000"/>
        </w:rPr>
        <w:t>diecinueve de enero</w:t>
      </w:r>
      <w:r w:rsidRPr="00980DDD">
        <w:rPr>
          <w:rFonts w:ascii="Palatino Linotype" w:eastAsia="Palatino Linotype" w:hAnsi="Palatino Linotype" w:cs="Palatino Linotype"/>
          <w:b/>
          <w:color w:val="000000"/>
        </w:rPr>
        <w:t xml:space="preserve"> de dos mil veintiséis</w:t>
      </w:r>
      <w:r w:rsidR="00364139" w:rsidRPr="00980DDD">
        <w:rPr>
          <w:rFonts w:ascii="Palatino Linotype" w:eastAsia="Palatino Linotype" w:hAnsi="Palatino Linotype" w:cs="Palatino Linotype"/>
          <w:color w:val="000000"/>
        </w:rPr>
        <w:t xml:space="preserve">, a través de los archivos electrónicos </w:t>
      </w:r>
      <w:hyperlink r:id="rId10" w:history="1">
        <w:r w:rsidR="00364139" w:rsidRPr="00980DDD">
          <w:rPr>
            <w:rStyle w:val="Hipervnculo"/>
            <w:rFonts w:ascii="Palatino Linotype" w:eastAsia="Palatino Linotype" w:hAnsi="Palatino Linotype" w:cs="Palatino Linotype"/>
            <w:b/>
            <w:bCs/>
            <w:color w:val="auto"/>
          </w:rPr>
          <w:t>ANEXOS 07878-2025.pdf</w:t>
        </w:r>
      </w:hyperlink>
      <w:r w:rsidR="00364139" w:rsidRPr="00980DDD">
        <w:rPr>
          <w:rFonts w:ascii="Palatino Linotype" w:eastAsia="Palatino Linotype" w:hAnsi="Palatino Linotype" w:cs="Palatino Linotype"/>
        </w:rPr>
        <w:t xml:space="preserve"> y </w:t>
      </w:r>
      <w:hyperlink r:id="rId11" w:history="1">
        <w:r w:rsidR="00364139" w:rsidRPr="00980DDD">
          <w:rPr>
            <w:rStyle w:val="Hipervnculo"/>
            <w:rFonts w:ascii="Palatino Linotype" w:eastAsia="Palatino Linotype" w:hAnsi="Palatino Linotype" w:cs="Palatino Linotype"/>
            <w:b/>
            <w:bCs/>
            <w:color w:val="auto"/>
          </w:rPr>
          <w:t>Ratificación 07878.pdf</w:t>
        </w:r>
      </w:hyperlink>
      <w:r w:rsidR="00364139" w:rsidRPr="00980DDD">
        <w:rPr>
          <w:rFonts w:ascii="Palatino Linotype" w:eastAsia="Palatino Linotype" w:hAnsi="Palatino Linotype" w:cs="Palatino Linotype"/>
        </w:rPr>
        <w:t xml:space="preserve">, a través de los cuales se ratificó la respuesta. </w:t>
      </w:r>
    </w:p>
    <w:p w:rsidR="001309ED" w:rsidRPr="00980DDD" w:rsidRDefault="001309ED" w:rsidP="001309ED">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1309ED" w:rsidRPr="00980DDD" w:rsidRDefault="001309ED" w:rsidP="001309ED">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980DDD">
        <w:rPr>
          <w:rFonts w:ascii="Palatino Linotype" w:eastAsia="Palatino Linotype" w:hAnsi="Palatino Linotype" w:cs="Palatino Linotype"/>
          <w:color w:val="000000"/>
        </w:rPr>
        <w:t xml:space="preserve">El </w:t>
      </w:r>
      <w:r w:rsidR="0003085B" w:rsidRPr="00980DDD">
        <w:rPr>
          <w:rFonts w:ascii="Palatino Linotype" w:eastAsia="Palatino Linotype" w:hAnsi="Palatino Linotype" w:cs="Palatino Linotype"/>
          <w:b/>
          <w:color w:val="000000"/>
        </w:rPr>
        <w:t>diecinueve</w:t>
      </w:r>
      <w:r w:rsidRPr="00980DDD">
        <w:rPr>
          <w:rFonts w:ascii="Palatino Linotype" w:eastAsia="Palatino Linotype" w:hAnsi="Palatino Linotype" w:cs="Palatino Linotype"/>
          <w:b/>
          <w:color w:val="000000"/>
        </w:rPr>
        <w:t xml:space="preserve"> de enero de dos mil veintiséis</w:t>
      </w:r>
      <w:r w:rsidRPr="00980DDD">
        <w:rPr>
          <w:rFonts w:ascii="Palatino Linotype" w:eastAsia="Palatino Linotype" w:hAnsi="Palatino Linotype" w:cs="Palatino Linotype"/>
          <w:color w:val="000000"/>
        </w:rPr>
        <w:t xml:space="preserve">, se notificó el acuerdo mediante el cual se aprobó la ampliación de plazo para emitir resolución. </w:t>
      </w:r>
    </w:p>
    <w:p w:rsidR="001309ED" w:rsidRPr="00980DDD" w:rsidRDefault="001309ED" w:rsidP="001309ED">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1309ED" w:rsidRPr="00980DDD" w:rsidRDefault="001309ED" w:rsidP="001309ED">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980DDD">
        <w:rPr>
          <w:rFonts w:ascii="Palatino Linotype" w:eastAsia="Palatino Linotype" w:hAnsi="Palatino Linotype" w:cs="Palatino Linotype"/>
          <w:color w:val="000000"/>
        </w:rPr>
        <w:t xml:space="preserve">La Comisionada Ponente decretó el cierre de instrucción mediante el acuerdo del </w:t>
      </w:r>
      <w:r w:rsidR="0003085B" w:rsidRPr="00980DDD">
        <w:rPr>
          <w:rFonts w:ascii="Palatino Linotype" w:eastAsia="Palatino Linotype" w:hAnsi="Palatino Linotype" w:cs="Palatino Linotype"/>
          <w:b/>
          <w:color w:val="000000"/>
        </w:rPr>
        <w:t>dieciséis</w:t>
      </w:r>
      <w:r w:rsidRPr="00980DDD">
        <w:rPr>
          <w:rFonts w:ascii="Palatino Linotype" w:eastAsia="Palatino Linotype" w:hAnsi="Palatino Linotype" w:cs="Palatino Linotype"/>
          <w:b/>
          <w:color w:val="000000"/>
        </w:rPr>
        <w:t xml:space="preserve"> de febrero de dos mil veintiséis.</w:t>
      </w:r>
    </w:p>
    <w:p w:rsidR="001309ED" w:rsidRPr="00980DDD" w:rsidRDefault="001309ED" w:rsidP="001309ED">
      <w:pPr>
        <w:spacing w:line="360" w:lineRule="auto"/>
        <w:rPr>
          <w:rFonts w:ascii="Palatino Linotype" w:eastAsia="Palatino Linotype" w:hAnsi="Palatino Linotype" w:cs="Palatino Linotype"/>
        </w:rPr>
      </w:pPr>
    </w:p>
    <w:p w:rsidR="001309ED" w:rsidRPr="00980DDD" w:rsidRDefault="001309ED" w:rsidP="001309ED">
      <w:pPr>
        <w:spacing w:line="360" w:lineRule="auto"/>
        <w:jc w:val="center"/>
        <w:rPr>
          <w:rFonts w:ascii="Palatino Linotype" w:eastAsia="Palatino Linotype" w:hAnsi="Palatino Linotype" w:cs="Palatino Linotype"/>
        </w:rPr>
      </w:pPr>
      <w:bookmarkStart w:id="2" w:name="_heading=h.1fob9te" w:colFirst="0" w:colLast="0"/>
      <w:bookmarkEnd w:id="2"/>
      <w:r w:rsidRPr="00980DDD">
        <w:rPr>
          <w:rFonts w:ascii="Palatino Linotype" w:eastAsia="Palatino Linotype" w:hAnsi="Palatino Linotype" w:cs="Palatino Linotype"/>
          <w:b/>
        </w:rPr>
        <w:t>C O N S I D E R A N D O</w:t>
      </w:r>
    </w:p>
    <w:p w:rsidR="001309ED" w:rsidRPr="00980DDD" w:rsidRDefault="001309ED" w:rsidP="001309ED">
      <w:pPr>
        <w:spacing w:line="360" w:lineRule="auto"/>
        <w:jc w:val="center"/>
        <w:rPr>
          <w:rFonts w:ascii="Palatino Linotype" w:eastAsia="Palatino Linotype" w:hAnsi="Palatino Linotype" w:cs="Palatino Linotype"/>
        </w:rPr>
      </w:pPr>
    </w:p>
    <w:p w:rsidR="001309ED" w:rsidRPr="00980DDD" w:rsidRDefault="001309ED" w:rsidP="001309ED">
      <w:pPr>
        <w:spacing w:line="360" w:lineRule="auto"/>
        <w:jc w:val="both"/>
        <w:rPr>
          <w:rFonts w:ascii="Palatino Linotype" w:eastAsia="Palatino Linotype" w:hAnsi="Palatino Linotype" w:cs="Palatino Linotype"/>
          <w:b/>
        </w:rPr>
      </w:pPr>
      <w:bookmarkStart w:id="3" w:name="_heading=h.3znysh7" w:colFirst="0" w:colLast="0"/>
      <w:bookmarkEnd w:id="3"/>
      <w:r w:rsidRPr="00980DDD">
        <w:rPr>
          <w:rFonts w:ascii="Palatino Linotype" w:eastAsia="Palatino Linotype" w:hAnsi="Palatino Linotype" w:cs="Palatino Linotype"/>
          <w:b/>
        </w:rPr>
        <w:t>PRIMERO. De la competencia</w:t>
      </w:r>
    </w:p>
    <w:p w:rsidR="001309ED" w:rsidRPr="00980DDD" w:rsidRDefault="001309ED" w:rsidP="001309ED">
      <w:pPr>
        <w:numPr>
          <w:ilvl w:val="0"/>
          <w:numId w:val="2"/>
        </w:numPr>
        <w:pBdr>
          <w:top w:val="nil"/>
          <w:left w:val="nil"/>
          <w:bottom w:val="nil"/>
          <w:right w:val="nil"/>
          <w:between w:val="nil"/>
        </w:pBdr>
        <w:spacing w:before="240" w:line="360" w:lineRule="auto"/>
        <w:ind w:left="0" w:firstLine="0"/>
        <w:jc w:val="both"/>
        <w:rPr>
          <w:rFonts w:ascii="Palatino Linotype" w:eastAsia="Palatino Linotype" w:hAnsi="Palatino Linotype" w:cs="Palatino Linotype"/>
          <w:color w:val="000000"/>
        </w:rPr>
      </w:pPr>
      <w:r w:rsidRPr="00980DDD">
        <w:rPr>
          <w:rFonts w:ascii="Palatino Linotype" w:eastAsia="Palatino Linotype" w:hAnsi="Palatino Linotype" w:cs="Palatino Linotype"/>
          <w:color w:val="000000"/>
        </w:rPr>
        <w:t xml:space="preserve">Este Instituto de Transparencia, Acceso a la Información Pública y Protección de Datos Personales del Estado de México y Municipios, es competente para conocer y resolver del presente recurso de conformidad con el artículo: 6, apartado A, fracción IV de la Constitución Política de los Estados Unidos Mexicanos; 5, párrafos trigésimo noveno, cuadragésimo y cuadragésimo primero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y 7, 9 fracciones I y XXIII, y 11 del Reglamento Interior del Instituto </w:t>
      </w:r>
      <w:r w:rsidRPr="00980DDD">
        <w:rPr>
          <w:rFonts w:ascii="Palatino Linotype" w:eastAsia="Palatino Linotype" w:hAnsi="Palatino Linotype" w:cs="Palatino Linotype"/>
          <w:color w:val="000000"/>
        </w:rPr>
        <w:lastRenderedPageBreak/>
        <w:t xml:space="preserve">de Transparencia, Acceso a la Información Pública y Protección de Datos Personales del Estado de México y Municipios. </w:t>
      </w:r>
    </w:p>
    <w:p w:rsidR="001309ED" w:rsidRPr="00980DDD" w:rsidRDefault="001309ED" w:rsidP="001309ED">
      <w:pPr>
        <w:pBdr>
          <w:top w:val="nil"/>
          <w:left w:val="nil"/>
          <w:bottom w:val="nil"/>
          <w:right w:val="nil"/>
          <w:between w:val="nil"/>
        </w:pBdr>
        <w:spacing w:before="240" w:line="360" w:lineRule="auto"/>
        <w:jc w:val="both"/>
        <w:rPr>
          <w:rFonts w:ascii="Palatino Linotype" w:eastAsia="Palatino Linotype" w:hAnsi="Palatino Linotype" w:cs="Palatino Linotype"/>
          <w:color w:val="000000"/>
        </w:rPr>
      </w:pPr>
    </w:p>
    <w:p w:rsidR="001309ED" w:rsidRPr="00980DDD" w:rsidRDefault="001309ED" w:rsidP="001309ED">
      <w:pPr>
        <w:keepNext/>
        <w:keepLines/>
        <w:spacing w:line="360" w:lineRule="auto"/>
        <w:rPr>
          <w:rFonts w:ascii="Palatino Linotype" w:eastAsia="Palatino Linotype" w:hAnsi="Palatino Linotype" w:cs="Palatino Linotype"/>
          <w:b/>
        </w:rPr>
      </w:pPr>
      <w:bookmarkStart w:id="4" w:name="_heading=h.2et92p0" w:colFirst="0" w:colLast="0"/>
      <w:bookmarkEnd w:id="4"/>
      <w:r w:rsidRPr="00980DDD">
        <w:rPr>
          <w:rFonts w:ascii="Palatino Linotype" w:eastAsia="Palatino Linotype" w:hAnsi="Palatino Linotype" w:cs="Palatino Linotype"/>
          <w:b/>
        </w:rPr>
        <w:t>SEGUNDO. De la oportunidad y procedencia.</w:t>
      </w:r>
    </w:p>
    <w:p w:rsidR="001309ED" w:rsidRPr="00980DDD" w:rsidRDefault="001309ED" w:rsidP="001309ED">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980DDD">
        <w:rPr>
          <w:rFonts w:ascii="Palatino Linotype" w:eastAsia="Palatino Linotype" w:hAnsi="Palatino Linotype" w:cs="Palatino Linotype"/>
          <w:color w:val="000000"/>
        </w:rPr>
        <w:t xml:space="preserve">El medio de impugnación fue presentado a través del </w:t>
      </w:r>
      <w:r w:rsidRPr="00980DDD">
        <w:rPr>
          <w:rFonts w:ascii="Palatino Linotype" w:eastAsia="Palatino Linotype" w:hAnsi="Palatino Linotype" w:cs="Palatino Linotype"/>
          <w:b/>
          <w:color w:val="000000"/>
        </w:rPr>
        <w:t>SAIMEX,</w:t>
      </w:r>
      <w:r w:rsidRPr="00980DDD">
        <w:rPr>
          <w:rFonts w:ascii="Palatino Linotype" w:eastAsia="Palatino Linotype" w:hAnsi="Palatino Linotype" w:cs="Palatino Linotype"/>
          <w:color w:val="000000"/>
        </w:rPr>
        <w:t xml:space="preserve"> en el formato previamente aprobado para tal efecto y dentro del plazo legal de quince días hábiles otorgados; siendo así que el </w:t>
      </w:r>
      <w:r w:rsidRPr="00980DDD">
        <w:rPr>
          <w:rFonts w:ascii="Palatino Linotype" w:eastAsia="Palatino Linotype" w:hAnsi="Palatino Linotype" w:cs="Palatino Linotype"/>
          <w:b/>
          <w:color w:val="000000"/>
        </w:rPr>
        <w:t>SUJETO OBLIGADO</w:t>
      </w:r>
      <w:r w:rsidRPr="00980DDD">
        <w:rPr>
          <w:rFonts w:ascii="Palatino Linotype" w:eastAsia="Palatino Linotype" w:hAnsi="Palatino Linotype" w:cs="Palatino Linotype"/>
          <w:color w:val="000000"/>
        </w:rPr>
        <w:t xml:space="preserve"> entregó respuesta a la solicitud el día </w:t>
      </w:r>
      <w:r w:rsidR="0003085B" w:rsidRPr="00980DDD">
        <w:rPr>
          <w:rFonts w:ascii="Palatino Linotype" w:eastAsia="Palatino Linotype" w:hAnsi="Palatino Linotype" w:cs="Palatino Linotype"/>
          <w:b/>
          <w:color w:val="000000"/>
        </w:rPr>
        <w:t xml:space="preserve"> veintisiete de junio </w:t>
      </w:r>
      <w:r w:rsidRPr="00980DDD">
        <w:rPr>
          <w:rFonts w:ascii="Palatino Linotype" w:eastAsia="Palatino Linotype" w:hAnsi="Palatino Linotype" w:cs="Palatino Linotype"/>
          <w:b/>
          <w:color w:val="000000"/>
        </w:rPr>
        <w:t>de dos mil veinticinco</w:t>
      </w:r>
      <w:r w:rsidRPr="00980DDD">
        <w:rPr>
          <w:rFonts w:ascii="Palatino Linotype" w:eastAsia="Palatino Linotype" w:hAnsi="Palatino Linotype" w:cs="Palatino Linotype"/>
          <w:color w:val="000000"/>
        </w:rPr>
        <w:t>, de tal forma que el plazo para interponer el recurso de revisión transcurrió del</w:t>
      </w:r>
      <w:r w:rsidRPr="00980DDD">
        <w:rPr>
          <w:rFonts w:ascii="Palatino Linotype" w:eastAsia="Palatino Linotype" w:hAnsi="Palatino Linotype" w:cs="Palatino Linotype"/>
          <w:b/>
          <w:color w:val="000000"/>
        </w:rPr>
        <w:t xml:space="preserve"> </w:t>
      </w:r>
      <w:r w:rsidR="0003085B" w:rsidRPr="00980DDD">
        <w:rPr>
          <w:rFonts w:ascii="Palatino Linotype" w:eastAsia="Palatino Linotype" w:hAnsi="Palatino Linotype" w:cs="Palatino Linotype"/>
          <w:b/>
          <w:color w:val="000000"/>
        </w:rPr>
        <w:t>treinta de junio al dieciocho de julio</w:t>
      </w:r>
      <w:r w:rsidRPr="00980DDD">
        <w:rPr>
          <w:rFonts w:ascii="Palatino Linotype" w:eastAsia="Palatino Linotype" w:hAnsi="Palatino Linotype" w:cs="Palatino Linotype"/>
          <w:b/>
          <w:color w:val="000000"/>
        </w:rPr>
        <w:t xml:space="preserve"> de dos mil veinticinco</w:t>
      </w:r>
      <w:r w:rsidRPr="00980DDD">
        <w:rPr>
          <w:rFonts w:ascii="Palatino Linotype" w:eastAsia="Palatino Linotype" w:hAnsi="Palatino Linotype" w:cs="Palatino Linotype"/>
          <w:color w:val="000000"/>
        </w:rPr>
        <w:t xml:space="preserve">; en consecuencia, presentó su inconformidad el día </w:t>
      </w:r>
      <w:r w:rsidR="0003085B" w:rsidRPr="00980DDD">
        <w:rPr>
          <w:rFonts w:ascii="Palatino Linotype" w:eastAsia="Palatino Linotype" w:hAnsi="Palatino Linotype" w:cs="Palatino Linotype"/>
          <w:b/>
          <w:color w:val="000000"/>
        </w:rPr>
        <w:t>veintisiete de junio</w:t>
      </w:r>
      <w:r w:rsidRPr="00980DDD">
        <w:rPr>
          <w:rFonts w:ascii="Palatino Linotype" w:eastAsia="Palatino Linotype" w:hAnsi="Palatino Linotype" w:cs="Palatino Linotype"/>
          <w:b/>
          <w:color w:val="000000"/>
        </w:rPr>
        <w:t xml:space="preserve"> de dos mil veinticinco</w:t>
      </w:r>
      <w:r w:rsidRPr="00980DDD">
        <w:rPr>
          <w:rFonts w:ascii="Palatino Linotype" w:eastAsia="Palatino Linotype" w:hAnsi="Palatino Linotype" w:cs="Palatino Linotype"/>
          <w:color w:val="000000"/>
        </w:rPr>
        <w:t xml:space="preserve">, por lo que se encuentra dentro de los márgenes temporales previstos en el artículo 178 de la </w:t>
      </w:r>
      <w:r w:rsidRPr="00980DDD">
        <w:rPr>
          <w:rFonts w:ascii="Palatino Linotype" w:eastAsia="Palatino Linotype" w:hAnsi="Palatino Linotype" w:cs="Palatino Linotype"/>
          <w:b/>
          <w:color w:val="000000"/>
        </w:rPr>
        <w:t xml:space="preserve">Ley de Transparencia y Acceso a la Información Pública del Estado de México y Municipios </w:t>
      </w:r>
      <w:r w:rsidRPr="00980DDD">
        <w:rPr>
          <w:rFonts w:ascii="Palatino Linotype" w:eastAsia="Palatino Linotype" w:hAnsi="Palatino Linotype" w:cs="Palatino Linotype"/>
          <w:color w:val="000000"/>
        </w:rPr>
        <w:t>vigente.</w:t>
      </w:r>
    </w:p>
    <w:p w:rsidR="001309ED" w:rsidRPr="00980DDD" w:rsidRDefault="001309ED" w:rsidP="001309ED">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1309ED" w:rsidRPr="00980DDD" w:rsidRDefault="001309ED" w:rsidP="001309ED">
      <w:pPr>
        <w:numPr>
          <w:ilvl w:val="0"/>
          <w:numId w:val="2"/>
        </w:numPr>
        <w:spacing w:line="360" w:lineRule="auto"/>
        <w:ind w:left="0" w:firstLine="0"/>
        <w:contextualSpacing/>
        <w:jc w:val="both"/>
        <w:rPr>
          <w:rFonts w:ascii="Palatino Linotype" w:eastAsia="Calibri" w:hAnsi="Palatino Linotype" w:cs="Arial"/>
          <w:lang w:val="es-ES_tradnl" w:eastAsia="es-ES"/>
        </w:rPr>
      </w:pPr>
      <w:r w:rsidRPr="00980DDD">
        <w:rPr>
          <w:rFonts w:ascii="Palatino Linotype" w:eastAsia="Calibri" w:hAnsi="Palatino Linotype" w:cs="Arial"/>
          <w:lang w:val="es-ES_tradnl" w:eastAsia="es-ES"/>
        </w:rPr>
        <w:t xml:space="preserve">Por otra parte, de la revisión al expediente electrónico del </w:t>
      </w:r>
      <w:r w:rsidRPr="00980DDD">
        <w:rPr>
          <w:rFonts w:ascii="Palatino Linotype" w:eastAsia="Calibri" w:hAnsi="Palatino Linotype" w:cs="Arial"/>
          <w:b/>
          <w:lang w:val="es-ES_tradnl" w:eastAsia="es-ES"/>
        </w:rPr>
        <w:t>SAIMEX</w:t>
      </w:r>
      <w:r w:rsidRPr="00980DDD">
        <w:rPr>
          <w:rFonts w:ascii="Palatino Linotype" w:eastAsia="Calibri" w:hAnsi="Palatino Linotype" w:cs="Arial"/>
          <w:lang w:val="es-ES_tradnl" w:eastAsia="es-ES"/>
        </w:rPr>
        <w:t xml:space="preserve"> se desprende que la parte solicitante en ejercicio de su derecho de acceso a la información pública en el expediente que se revisa, tanto en la solicitud de información como en el recurso de revisión no proporciona su nombre completo para que sea identificado, ni se tiene la certeza sobre su identidad; sin embargo, es importante señalar también que el nombre de los solicitantes y recurrentes no es requisito indispensable para la tramitación del acto procesal específico en materia de acceso a la información, ello en estricto apego al numeral 155 párrafo tercero de la Ley de la materia, en concatenación con el 180 del mismo ordenamiento.</w:t>
      </w:r>
    </w:p>
    <w:p w:rsidR="001309ED" w:rsidRPr="00980DDD" w:rsidRDefault="001309ED" w:rsidP="001309ED">
      <w:pPr>
        <w:pStyle w:val="Prrafodelista"/>
        <w:ind w:left="0"/>
        <w:rPr>
          <w:rFonts w:ascii="Palatino Linotype" w:eastAsia="Calibri" w:hAnsi="Palatino Linotype" w:cs="Arial"/>
          <w:lang w:val="es-ES_tradnl" w:eastAsia="es-ES"/>
        </w:rPr>
      </w:pPr>
    </w:p>
    <w:p w:rsidR="001309ED" w:rsidRPr="00980DDD" w:rsidRDefault="001309ED" w:rsidP="001309ED">
      <w:pPr>
        <w:numPr>
          <w:ilvl w:val="0"/>
          <w:numId w:val="2"/>
        </w:numPr>
        <w:spacing w:line="360" w:lineRule="auto"/>
        <w:ind w:left="0" w:firstLine="0"/>
        <w:contextualSpacing/>
        <w:jc w:val="both"/>
        <w:rPr>
          <w:rFonts w:ascii="Palatino Linotype" w:eastAsia="Calibri" w:hAnsi="Palatino Linotype" w:cs="Arial"/>
          <w:lang w:val="es-ES_tradnl" w:eastAsia="es-ES"/>
        </w:rPr>
      </w:pPr>
      <w:r w:rsidRPr="00980DDD">
        <w:rPr>
          <w:rFonts w:ascii="Palatino Linotype" w:eastAsia="Calibri" w:hAnsi="Palatino Linotype" w:cs="Arial"/>
          <w:lang w:val="es-ES_tradnl" w:eastAsia="es-ES"/>
        </w:rPr>
        <w:lastRenderedPageBreak/>
        <w:t xml:space="preserve">Esto es así, ya que de conformidad con los artículos 6, Apartado A, fracciones III y IV de la Constitución Política de los Estados Unidos Mexicanos y </w:t>
      </w:r>
      <w:r w:rsidRPr="00980DDD">
        <w:rPr>
          <w:rFonts w:ascii="Palatino Linotype" w:eastAsia="Calibri" w:hAnsi="Palatino Linotype" w:cs="Arial"/>
          <w:bCs/>
          <w:lang w:val="es-ES" w:eastAsia="es-ES"/>
        </w:rPr>
        <w:t>5, párrafos vigésimo, vigésimo primero y vigésimo segundo fracciones IV y V </w:t>
      </w:r>
      <w:r w:rsidRPr="00980DDD">
        <w:rPr>
          <w:rFonts w:ascii="Palatino Linotype" w:eastAsia="Calibri" w:hAnsi="Palatino Linotype" w:cs="Arial"/>
          <w:lang w:val="es-ES_tradnl" w:eastAsia="es-ES"/>
        </w:rPr>
        <w:t>de la Constitución Política del Estado Libre y Soberano de México, se establece que toda persona, sin necesidad de acreditar interés alguno o justificar su utilización, tendrá acceso gratuito a la información pública, a sus datos personales o a la rectificación de éstos, además de que se establecerán mecanismos de acceso a la información y procedimientos de revisión expeditos que se sustanciarán ante los organismos autónomos especializados e imparciales que establece la Constitución Federal y local.</w:t>
      </w:r>
    </w:p>
    <w:p w:rsidR="001309ED" w:rsidRPr="00980DDD" w:rsidRDefault="001309ED" w:rsidP="001309ED">
      <w:pPr>
        <w:pStyle w:val="Prrafodelista"/>
        <w:ind w:left="0"/>
        <w:rPr>
          <w:rFonts w:ascii="Palatino Linotype" w:eastAsia="Calibri" w:hAnsi="Palatino Linotype" w:cs="Arial"/>
          <w:lang w:val="es-ES_tradnl" w:eastAsia="es-ES"/>
        </w:rPr>
      </w:pPr>
    </w:p>
    <w:p w:rsidR="001309ED" w:rsidRPr="00980DDD" w:rsidRDefault="001309ED" w:rsidP="001309ED">
      <w:pPr>
        <w:numPr>
          <w:ilvl w:val="0"/>
          <w:numId w:val="2"/>
        </w:numPr>
        <w:spacing w:line="360" w:lineRule="auto"/>
        <w:ind w:left="0" w:firstLine="0"/>
        <w:contextualSpacing/>
        <w:jc w:val="both"/>
        <w:rPr>
          <w:rFonts w:ascii="Palatino Linotype" w:eastAsia="Calibri" w:hAnsi="Palatino Linotype" w:cs="Arial"/>
          <w:lang w:val="es-ES_tradnl" w:eastAsia="es-ES"/>
        </w:rPr>
      </w:pPr>
      <w:r w:rsidRPr="00980DDD">
        <w:rPr>
          <w:rFonts w:ascii="Palatino Linotype" w:eastAsia="Calibri" w:hAnsi="Palatino Linotype" w:cs="Arial"/>
          <w:lang w:val="es-ES_tradnl" w:eastAsia="es-ES"/>
        </w:rPr>
        <w:t>Por lo cual, de una interpretación sistemática, armónica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inclusive, la solicitud de acceso a la información pueda ser anónima o no contener un nombre que identifique al solicitante o que permita tener certeza sobre su identidad.</w:t>
      </w:r>
    </w:p>
    <w:p w:rsidR="001309ED" w:rsidRPr="00980DDD" w:rsidRDefault="001309ED" w:rsidP="001309ED">
      <w:pPr>
        <w:pStyle w:val="Prrafodelista"/>
        <w:ind w:left="0"/>
        <w:rPr>
          <w:rFonts w:ascii="Palatino Linotype" w:eastAsia="Calibri" w:hAnsi="Palatino Linotype" w:cs="Arial"/>
          <w:lang w:val="es-ES_tradnl" w:eastAsia="es-ES"/>
        </w:rPr>
      </w:pPr>
    </w:p>
    <w:p w:rsidR="001309ED" w:rsidRPr="00980DDD" w:rsidRDefault="001309ED" w:rsidP="001309ED">
      <w:pPr>
        <w:numPr>
          <w:ilvl w:val="0"/>
          <w:numId w:val="2"/>
        </w:numPr>
        <w:spacing w:line="360" w:lineRule="auto"/>
        <w:ind w:left="0" w:firstLine="0"/>
        <w:contextualSpacing/>
        <w:jc w:val="both"/>
        <w:rPr>
          <w:rFonts w:ascii="Palatino Linotype" w:eastAsia="Calibri" w:hAnsi="Palatino Linotype" w:cs="Arial"/>
          <w:lang w:val="es-ES_tradnl" w:eastAsia="es-ES"/>
        </w:rPr>
      </w:pPr>
      <w:r w:rsidRPr="00980DDD">
        <w:rPr>
          <w:rFonts w:ascii="Palatino Linotype" w:eastAsia="Calibri" w:hAnsi="Palatino Linotype" w:cs="Arial"/>
          <w:lang w:val="es-ES_tradnl" w:eastAsia="es-ES"/>
        </w:rPr>
        <w:t>En ese entendido, se omite un análisis más profundo en torno a los conceptos de interés jurídico y legitimación, debido a que se estima que a ningún efecto práctico conduciría, puesto que la propia estructura del derecho fundamental bajo análisis no lo exige.</w:t>
      </w:r>
    </w:p>
    <w:p w:rsidR="001309ED" w:rsidRPr="00980DDD" w:rsidRDefault="001309ED" w:rsidP="001309ED">
      <w:pPr>
        <w:pStyle w:val="Prrafodelista"/>
        <w:ind w:left="0"/>
        <w:rPr>
          <w:rFonts w:ascii="Palatino Linotype" w:eastAsia="Calibri" w:hAnsi="Palatino Linotype" w:cs="Arial"/>
          <w:lang w:val="es-ES_tradnl" w:eastAsia="es-ES"/>
        </w:rPr>
      </w:pPr>
    </w:p>
    <w:p w:rsidR="001309ED" w:rsidRPr="00980DDD" w:rsidRDefault="001309ED" w:rsidP="001309ED">
      <w:pPr>
        <w:numPr>
          <w:ilvl w:val="0"/>
          <w:numId w:val="2"/>
        </w:numPr>
        <w:spacing w:line="360" w:lineRule="auto"/>
        <w:ind w:left="0" w:firstLine="0"/>
        <w:contextualSpacing/>
        <w:jc w:val="both"/>
        <w:rPr>
          <w:rFonts w:ascii="Palatino Linotype" w:eastAsia="Calibri" w:hAnsi="Palatino Linotype" w:cs="Arial"/>
          <w:lang w:val="es-ES_tradnl" w:eastAsia="es-ES"/>
        </w:rPr>
      </w:pPr>
      <w:r w:rsidRPr="00980DDD">
        <w:rPr>
          <w:rFonts w:ascii="Palatino Linotype" w:eastAsia="Calibri" w:hAnsi="Palatino Linotype" w:cs="Arial"/>
          <w:lang w:val="es-ES_tradnl" w:eastAsia="es-ES"/>
        </w:rPr>
        <w:t>Por lo que el nombre del solicitando y recurrente no puede ser considerado un requisito indispensable de procedibilidad del recurso de revisión que nos ocupa, ya que el acceso a la información no está condicionado a acreditar algún interés ya sea jurídico o legítimo, máxime que es un elemento subsanable por este Órgano Resolutor.</w:t>
      </w:r>
    </w:p>
    <w:p w:rsidR="001309ED" w:rsidRPr="00980DDD" w:rsidRDefault="001309ED" w:rsidP="001309ED">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980DDD">
        <w:rPr>
          <w:rFonts w:ascii="Palatino Linotype" w:eastAsia="Palatino Linotype" w:hAnsi="Palatino Linotype" w:cs="Palatino Linotype"/>
          <w:color w:val="000000"/>
        </w:rPr>
        <w:lastRenderedPageBreak/>
        <w:t>Por otro lado,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1309ED" w:rsidRPr="00980DDD" w:rsidRDefault="001309ED" w:rsidP="001309ED">
      <w:pPr>
        <w:pStyle w:val="Ttulo1"/>
        <w:spacing w:line="360" w:lineRule="auto"/>
        <w:rPr>
          <w:rFonts w:ascii="Palatino Linotype" w:eastAsia="Palatino Linotype" w:hAnsi="Palatino Linotype" w:cs="Palatino Linotype"/>
          <w:b/>
          <w:i/>
          <w:color w:val="000000"/>
          <w:sz w:val="24"/>
          <w:szCs w:val="24"/>
        </w:rPr>
      </w:pPr>
      <w:r w:rsidRPr="00980DDD">
        <w:rPr>
          <w:rFonts w:ascii="Palatino Linotype" w:eastAsia="Palatino Linotype" w:hAnsi="Palatino Linotype" w:cs="Palatino Linotype"/>
          <w:b/>
          <w:color w:val="000000"/>
          <w:sz w:val="24"/>
          <w:szCs w:val="24"/>
        </w:rPr>
        <w:t>TERCERO. Del planteamiento de la Litis</w:t>
      </w:r>
    </w:p>
    <w:p w:rsidR="001309ED" w:rsidRPr="00980DDD" w:rsidRDefault="0003085B" w:rsidP="001309ED">
      <w:pPr>
        <w:pStyle w:val="Prrafodelista"/>
        <w:numPr>
          <w:ilvl w:val="0"/>
          <w:numId w:val="2"/>
        </w:numPr>
        <w:spacing w:line="360" w:lineRule="auto"/>
        <w:ind w:left="0" w:firstLine="0"/>
        <w:jc w:val="both"/>
        <w:rPr>
          <w:rFonts w:ascii="Palatino Linotype" w:eastAsia="Palatino Linotype" w:hAnsi="Palatino Linotype" w:cs="Palatino Linotype"/>
          <w:i/>
        </w:rPr>
      </w:pPr>
      <w:r w:rsidRPr="00980DDD">
        <w:rPr>
          <w:rFonts w:ascii="Palatino Linotype" w:eastAsia="Palatino Linotype" w:hAnsi="Palatino Linotype" w:cs="Palatino Linotype"/>
        </w:rPr>
        <w:t>El particular solicitó:</w:t>
      </w:r>
    </w:p>
    <w:p w:rsidR="0003085B" w:rsidRPr="00980DDD" w:rsidRDefault="0003085B" w:rsidP="0003085B">
      <w:pPr>
        <w:pStyle w:val="Prrafodelista"/>
        <w:numPr>
          <w:ilvl w:val="0"/>
          <w:numId w:val="7"/>
        </w:numPr>
        <w:spacing w:line="360" w:lineRule="auto"/>
        <w:jc w:val="both"/>
        <w:rPr>
          <w:rFonts w:ascii="Palatino Linotype" w:eastAsia="Palatino Linotype" w:hAnsi="Palatino Linotype" w:cs="Palatino Linotype"/>
          <w:i/>
        </w:rPr>
      </w:pPr>
      <w:r w:rsidRPr="00980DDD">
        <w:rPr>
          <w:rFonts w:ascii="Palatino Linotype" w:eastAsia="Palatino Linotype" w:hAnsi="Palatino Linotype" w:cs="Palatino Linotype"/>
        </w:rPr>
        <w:t>Número de servidores públicos adscritos a cada área del 01 de enero al 31 de mayo de 2025;</w:t>
      </w:r>
      <w:r w:rsidR="00F41911" w:rsidRPr="00980DDD">
        <w:rPr>
          <w:rFonts w:ascii="Palatino Linotype" w:eastAsia="Palatino Linotype" w:hAnsi="Palatino Linotype" w:cs="Palatino Linotype"/>
        </w:rPr>
        <w:t xml:space="preserve"> </w:t>
      </w:r>
    </w:p>
    <w:p w:rsidR="0003085B" w:rsidRPr="00980DDD" w:rsidRDefault="0003085B" w:rsidP="0003085B">
      <w:pPr>
        <w:pStyle w:val="Prrafodelista"/>
        <w:numPr>
          <w:ilvl w:val="0"/>
          <w:numId w:val="7"/>
        </w:numPr>
        <w:spacing w:line="360" w:lineRule="auto"/>
        <w:jc w:val="both"/>
        <w:rPr>
          <w:rFonts w:ascii="Palatino Linotype" w:eastAsia="Palatino Linotype" w:hAnsi="Palatino Linotype" w:cs="Palatino Linotype"/>
          <w:i/>
        </w:rPr>
      </w:pPr>
      <w:r w:rsidRPr="00980DDD">
        <w:rPr>
          <w:rFonts w:ascii="Palatino Linotype" w:eastAsia="Palatino Linotype" w:hAnsi="Palatino Linotype" w:cs="Palatino Linotype"/>
        </w:rPr>
        <w:t>Número de servidores públicos adscritos a cada área del 01 de enero al 31 de diciembre de 2024;</w:t>
      </w:r>
    </w:p>
    <w:p w:rsidR="0003085B" w:rsidRPr="00980DDD" w:rsidRDefault="00861518" w:rsidP="0003085B">
      <w:pPr>
        <w:pStyle w:val="Prrafodelista"/>
        <w:numPr>
          <w:ilvl w:val="0"/>
          <w:numId w:val="7"/>
        </w:numPr>
        <w:spacing w:line="360" w:lineRule="auto"/>
        <w:jc w:val="both"/>
        <w:rPr>
          <w:rFonts w:ascii="Palatino Linotype" w:eastAsia="Palatino Linotype" w:hAnsi="Palatino Linotype" w:cs="Palatino Linotype"/>
          <w:i/>
        </w:rPr>
      </w:pPr>
      <w:r w:rsidRPr="00980DDD">
        <w:rPr>
          <w:rFonts w:ascii="Palatino Linotype" w:eastAsia="Palatino Linotype" w:hAnsi="Palatino Linotype" w:cs="Palatino Linotype"/>
        </w:rPr>
        <w:t>Listado de servidores públicos a quienes no les han pagado prestaciones quincenas, aguinaldo y prima vacacional del ejercicio fiscal 2021;</w:t>
      </w:r>
    </w:p>
    <w:p w:rsidR="00861518" w:rsidRPr="00980DDD" w:rsidRDefault="00861518" w:rsidP="0003085B">
      <w:pPr>
        <w:pStyle w:val="Prrafodelista"/>
        <w:numPr>
          <w:ilvl w:val="0"/>
          <w:numId w:val="7"/>
        </w:numPr>
        <w:spacing w:line="360" w:lineRule="auto"/>
        <w:jc w:val="both"/>
        <w:rPr>
          <w:rFonts w:ascii="Palatino Linotype" w:eastAsia="Palatino Linotype" w:hAnsi="Palatino Linotype" w:cs="Palatino Linotype"/>
          <w:i/>
        </w:rPr>
      </w:pPr>
      <w:r w:rsidRPr="00980DDD">
        <w:rPr>
          <w:rFonts w:ascii="Palatino Linotype" w:eastAsia="Palatino Linotype" w:hAnsi="Palatino Linotype" w:cs="Palatino Linotype"/>
        </w:rPr>
        <w:t>Número de despidos del 01 de enero al 31 de diciembre de 2024 y del 01 de enero al 31 de mayo de 2022;</w:t>
      </w:r>
    </w:p>
    <w:p w:rsidR="00861518" w:rsidRPr="00980DDD" w:rsidRDefault="00861518" w:rsidP="0003085B">
      <w:pPr>
        <w:pStyle w:val="Prrafodelista"/>
        <w:numPr>
          <w:ilvl w:val="0"/>
          <w:numId w:val="7"/>
        </w:numPr>
        <w:spacing w:line="360" w:lineRule="auto"/>
        <w:jc w:val="both"/>
        <w:rPr>
          <w:rFonts w:ascii="Palatino Linotype" w:eastAsia="Palatino Linotype" w:hAnsi="Palatino Linotype" w:cs="Palatino Linotype"/>
          <w:i/>
        </w:rPr>
      </w:pPr>
      <w:r w:rsidRPr="00980DDD">
        <w:rPr>
          <w:rFonts w:ascii="Palatino Linotype" w:eastAsia="Palatino Linotype" w:hAnsi="Palatino Linotype" w:cs="Palatino Linotype"/>
        </w:rPr>
        <w:t>Monto asignado y ejercido de cada área, por concepto de pago de quincenas, prima vacacional y aguinaldo, del 01 de enero al 31 de mayo de 2025; y</w:t>
      </w:r>
    </w:p>
    <w:p w:rsidR="00861518" w:rsidRPr="00980DDD" w:rsidRDefault="00861518" w:rsidP="0003085B">
      <w:pPr>
        <w:pStyle w:val="Prrafodelista"/>
        <w:numPr>
          <w:ilvl w:val="0"/>
          <w:numId w:val="7"/>
        </w:numPr>
        <w:spacing w:line="360" w:lineRule="auto"/>
        <w:jc w:val="both"/>
        <w:rPr>
          <w:rFonts w:ascii="Palatino Linotype" w:eastAsia="Palatino Linotype" w:hAnsi="Palatino Linotype" w:cs="Palatino Linotype"/>
          <w:i/>
        </w:rPr>
      </w:pPr>
      <w:r w:rsidRPr="00980DDD">
        <w:rPr>
          <w:rFonts w:ascii="Palatino Linotype" w:eastAsia="Palatino Linotype" w:hAnsi="Palatino Linotype" w:cs="Palatino Linotype"/>
        </w:rPr>
        <w:t xml:space="preserve">Monto </w:t>
      </w:r>
      <w:r w:rsidR="00DE7FC7" w:rsidRPr="00980DDD">
        <w:rPr>
          <w:rFonts w:ascii="Palatino Linotype" w:eastAsia="Palatino Linotype" w:hAnsi="Palatino Linotype" w:cs="Palatino Linotype"/>
        </w:rPr>
        <w:t xml:space="preserve">ejercido </w:t>
      </w:r>
      <w:r w:rsidRPr="00980DDD">
        <w:rPr>
          <w:rFonts w:ascii="Palatino Linotype" w:eastAsia="Palatino Linotype" w:hAnsi="Palatino Linotype" w:cs="Palatino Linotype"/>
        </w:rPr>
        <w:t>por área</w:t>
      </w:r>
      <w:r w:rsidR="00DE7FC7" w:rsidRPr="00980DDD">
        <w:rPr>
          <w:rFonts w:ascii="Palatino Linotype" w:eastAsia="Palatino Linotype" w:hAnsi="Palatino Linotype" w:cs="Palatino Linotype"/>
        </w:rPr>
        <w:t>,</w:t>
      </w:r>
      <w:r w:rsidRPr="00980DDD">
        <w:rPr>
          <w:rFonts w:ascii="Palatino Linotype" w:eastAsia="Palatino Linotype" w:hAnsi="Palatino Linotype" w:cs="Palatino Linotype"/>
        </w:rPr>
        <w:t xml:space="preserve"> por concepto de pago de quince</w:t>
      </w:r>
      <w:r w:rsidR="00DE7FC7" w:rsidRPr="00980DDD">
        <w:rPr>
          <w:rFonts w:ascii="Palatino Linotype" w:eastAsia="Palatino Linotype" w:hAnsi="Palatino Linotype" w:cs="Palatino Linotype"/>
        </w:rPr>
        <w:t xml:space="preserve">nas, prima vacacional y aguinaldo del 01 de enero al 31 de diciembre de 2024. </w:t>
      </w:r>
    </w:p>
    <w:p w:rsidR="001309ED" w:rsidRPr="00980DDD" w:rsidRDefault="001309ED" w:rsidP="00DE7FC7">
      <w:pPr>
        <w:pStyle w:val="Prrafodelista"/>
        <w:spacing w:line="360" w:lineRule="auto"/>
        <w:jc w:val="both"/>
        <w:rPr>
          <w:rFonts w:ascii="Palatino Linotype" w:eastAsia="Palatino Linotype" w:hAnsi="Palatino Linotype" w:cs="Palatino Linotype"/>
          <w:i/>
        </w:rPr>
      </w:pPr>
    </w:p>
    <w:p w:rsidR="001309ED" w:rsidRPr="00980DDD" w:rsidRDefault="001309ED" w:rsidP="001309ED">
      <w:pPr>
        <w:numPr>
          <w:ilvl w:val="0"/>
          <w:numId w:val="2"/>
        </w:numPr>
        <w:spacing w:line="360" w:lineRule="auto"/>
        <w:ind w:left="0" w:firstLine="0"/>
        <w:jc w:val="both"/>
        <w:rPr>
          <w:rFonts w:ascii="Palatino Linotype" w:hAnsi="Palatino Linotype"/>
        </w:rPr>
      </w:pPr>
      <w:r w:rsidRPr="00980DDD">
        <w:rPr>
          <w:rFonts w:ascii="Palatino Linotype" w:eastAsia="Palatino Linotype" w:hAnsi="Palatino Linotype" w:cs="Palatino Linotype"/>
        </w:rPr>
        <w:t xml:space="preserve">En respuesta, el Sujeto Obligado adjuntó </w:t>
      </w:r>
      <w:r w:rsidR="00DE7FC7" w:rsidRPr="00980DDD">
        <w:rPr>
          <w:rFonts w:ascii="Palatino Linotype" w:eastAsia="Palatino Linotype" w:hAnsi="Palatino Linotype" w:cs="Palatino Linotype"/>
        </w:rPr>
        <w:t xml:space="preserve">el Estado Analítico del Ejercicio del Presupuesto de Egresos Clasificación por Objeto del Gasto (Capítulo y Concepto) del 01 de enero al 31 de diciembre de 2024 </w:t>
      </w:r>
      <w:r w:rsidR="00827B07" w:rsidRPr="00980DDD">
        <w:rPr>
          <w:rFonts w:ascii="Palatino Linotype" w:eastAsia="Palatino Linotype" w:hAnsi="Palatino Linotype" w:cs="Palatino Linotype"/>
        </w:rPr>
        <w:t xml:space="preserve">y señaló diversas ligas electrónicas en las que se podía consultar la información solicitada. Posteriormente, el Recurrente se inconformó por la entrega de información incompleta. </w:t>
      </w:r>
      <w:r w:rsidR="00B92987" w:rsidRPr="00980DDD">
        <w:rPr>
          <w:rFonts w:ascii="Palatino Linotype" w:eastAsia="Palatino Linotype" w:hAnsi="Palatino Linotype" w:cs="Palatino Linotype"/>
        </w:rPr>
        <w:t xml:space="preserve">  </w:t>
      </w:r>
    </w:p>
    <w:p w:rsidR="001309ED" w:rsidRPr="00980DDD" w:rsidRDefault="001309ED" w:rsidP="001309ED">
      <w:pPr>
        <w:numPr>
          <w:ilvl w:val="0"/>
          <w:numId w:val="2"/>
        </w:numPr>
        <w:spacing w:line="360" w:lineRule="auto"/>
        <w:ind w:left="0" w:firstLine="0"/>
        <w:jc w:val="both"/>
        <w:rPr>
          <w:rFonts w:ascii="Palatino Linotype" w:hAnsi="Palatino Linotype"/>
        </w:rPr>
      </w:pPr>
      <w:r w:rsidRPr="00980DDD">
        <w:rPr>
          <w:rFonts w:ascii="Palatino Linotype" w:eastAsia="Palatino Linotype" w:hAnsi="Palatino Linotype" w:cs="Palatino Linotype"/>
        </w:rPr>
        <w:lastRenderedPageBreak/>
        <w:t xml:space="preserve">En consecuencia, la Litis a resolver en este recurso, se circunscribe a determinar si la respuesta colma con lo solicitado o si se actualiza la causal de procedencia prevista en el artículo 179, fracción V de la Ley de Transparencia y Acceso a la Información Pública del Estado de México y Municipios; que establece la entrega de información incompleta.   </w:t>
      </w:r>
    </w:p>
    <w:p w:rsidR="001309ED" w:rsidRPr="00980DDD" w:rsidRDefault="001309ED" w:rsidP="00FE703C">
      <w:pPr>
        <w:pStyle w:val="Ttulo1"/>
        <w:spacing w:line="360" w:lineRule="auto"/>
        <w:rPr>
          <w:rFonts w:ascii="Palatino Linotype" w:eastAsia="Palatino Linotype" w:hAnsi="Palatino Linotype" w:cs="Palatino Linotype"/>
          <w:b/>
          <w:color w:val="000000"/>
          <w:sz w:val="24"/>
          <w:szCs w:val="24"/>
        </w:rPr>
      </w:pPr>
      <w:bookmarkStart w:id="5" w:name="_heading=h.3dy6vkm" w:colFirst="0" w:colLast="0"/>
      <w:bookmarkEnd w:id="5"/>
      <w:r w:rsidRPr="00980DDD">
        <w:rPr>
          <w:rFonts w:ascii="Palatino Linotype" w:eastAsia="Palatino Linotype" w:hAnsi="Palatino Linotype" w:cs="Palatino Linotype"/>
          <w:b/>
          <w:color w:val="000000"/>
          <w:sz w:val="24"/>
          <w:szCs w:val="24"/>
        </w:rPr>
        <w:t xml:space="preserve">CUARTO. Estudio y resolución del recurso de revisión. </w:t>
      </w:r>
    </w:p>
    <w:p w:rsidR="001309ED" w:rsidRPr="00980DDD" w:rsidRDefault="001309ED" w:rsidP="001309ED">
      <w:pPr>
        <w:numPr>
          <w:ilvl w:val="0"/>
          <w:numId w:val="2"/>
        </w:numPr>
        <w:pBdr>
          <w:top w:val="nil"/>
          <w:left w:val="nil"/>
          <w:bottom w:val="nil"/>
          <w:right w:val="nil"/>
          <w:between w:val="nil"/>
        </w:pBdr>
        <w:tabs>
          <w:tab w:val="left" w:pos="567"/>
        </w:tabs>
        <w:spacing w:line="360" w:lineRule="auto"/>
        <w:ind w:left="0" w:firstLine="0"/>
        <w:jc w:val="both"/>
        <w:rPr>
          <w:rFonts w:ascii="Palatino Linotype" w:hAnsi="Palatino Linotype"/>
          <w:color w:val="000000"/>
        </w:rPr>
      </w:pPr>
      <w:r w:rsidRPr="00980DDD">
        <w:rPr>
          <w:rFonts w:ascii="Palatino Linotype" w:eastAsia="Palatino Linotype" w:hAnsi="Palatino Linotype" w:cs="Palatino Linotype"/>
          <w:color w:val="000000"/>
        </w:rPr>
        <w:t xml:space="preserve">Consecuentemente y derivado del Planteamiento de la Litis, se procede analizar el contenido íntegro de las actuaciones que obran en el expediente electrónico, y así este Órgano Garante dicte la resolución correspondiente, tomando en consideración los elementos aportados por las partes y apegándose en todo momento al principio de máxima publicidad de acuerdo con lo establecido en el artículo 8 de la </w:t>
      </w:r>
      <w:r w:rsidRPr="00980DDD">
        <w:rPr>
          <w:rFonts w:ascii="Palatino Linotype" w:eastAsia="Palatino Linotype" w:hAnsi="Palatino Linotype" w:cs="Palatino Linotype"/>
          <w:b/>
          <w:color w:val="000000"/>
        </w:rPr>
        <w:t>Ley de Transparencia y Acceso a la Información Pública del Estado de México y Municipios</w:t>
      </w:r>
      <w:r w:rsidRPr="00980DDD">
        <w:rPr>
          <w:rFonts w:ascii="Palatino Linotype" w:eastAsia="Palatino Linotype" w:hAnsi="Palatino Linotype" w:cs="Palatino Linotype"/>
          <w:color w:val="000000"/>
        </w:rPr>
        <w:t>.</w:t>
      </w:r>
    </w:p>
    <w:p w:rsidR="001309ED" w:rsidRPr="00980DDD" w:rsidRDefault="001309ED" w:rsidP="001309ED">
      <w:pPr>
        <w:spacing w:line="360" w:lineRule="auto"/>
        <w:jc w:val="both"/>
        <w:rPr>
          <w:rFonts w:ascii="Palatino Linotype" w:eastAsia="Palatino Linotype" w:hAnsi="Palatino Linotype" w:cs="Palatino Linotype"/>
        </w:rPr>
      </w:pPr>
      <w:bookmarkStart w:id="6" w:name="_heading=h.4d34og8" w:colFirst="0" w:colLast="0"/>
      <w:bookmarkEnd w:id="6"/>
    </w:p>
    <w:p w:rsidR="001309ED" w:rsidRPr="00980DDD" w:rsidRDefault="001309ED" w:rsidP="001309ED">
      <w:pPr>
        <w:numPr>
          <w:ilvl w:val="0"/>
          <w:numId w:val="2"/>
        </w:numPr>
        <w:tabs>
          <w:tab w:val="left" w:pos="0"/>
          <w:tab w:val="left" w:pos="567"/>
        </w:tabs>
        <w:spacing w:after="240" w:line="360" w:lineRule="auto"/>
        <w:ind w:left="0" w:firstLine="0"/>
        <w:jc w:val="both"/>
        <w:rPr>
          <w:rFonts w:ascii="Palatino Linotype" w:hAnsi="Palatino Linotype"/>
        </w:rPr>
      </w:pPr>
      <w:r w:rsidRPr="00980DDD">
        <w:rPr>
          <w:rFonts w:ascii="Palatino Linotype" w:eastAsia="Palatino Linotype" w:hAnsi="Palatino Linotype" w:cs="Palatino Linotype"/>
          <w:color w:val="000000"/>
        </w:rPr>
        <w:t xml:space="preserve">Así, este Instituto de Transparencia, de conformidad con los principios de eficacia y profesionalismo, procederá a verificar la información remitida por el </w:t>
      </w:r>
      <w:r w:rsidRPr="00980DDD">
        <w:rPr>
          <w:rFonts w:ascii="Palatino Linotype" w:eastAsia="Palatino Linotype" w:hAnsi="Palatino Linotype" w:cs="Palatino Linotype"/>
          <w:b/>
          <w:color w:val="000000"/>
        </w:rPr>
        <w:t>SUJETO OBLIGADO y</w:t>
      </w:r>
      <w:r w:rsidRPr="00980DDD">
        <w:rPr>
          <w:rFonts w:ascii="Palatino Linotype" w:eastAsia="Palatino Linotype" w:hAnsi="Palatino Linotype" w:cs="Palatino Linotype"/>
          <w:color w:val="000000"/>
        </w:rPr>
        <w:t xml:space="preserve"> las manifestaciones realizadas por el </w:t>
      </w:r>
      <w:r w:rsidRPr="00980DDD">
        <w:rPr>
          <w:rFonts w:ascii="Palatino Linotype" w:eastAsia="Palatino Linotype" w:hAnsi="Palatino Linotype" w:cs="Palatino Linotype"/>
          <w:b/>
        </w:rPr>
        <w:t>SOLICITANTE</w:t>
      </w:r>
      <w:r w:rsidRPr="00980DDD">
        <w:rPr>
          <w:rFonts w:ascii="Palatino Linotype" w:eastAsia="Palatino Linotype" w:hAnsi="Palatino Linotype" w:cs="Palatino Linotype"/>
          <w:b/>
          <w:color w:val="000000"/>
        </w:rPr>
        <w:t xml:space="preserve"> </w:t>
      </w:r>
      <w:r w:rsidRPr="00980DDD">
        <w:rPr>
          <w:rFonts w:ascii="Palatino Linotype" w:eastAsia="Palatino Linotype" w:hAnsi="Palatino Linotype" w:cs="Palatino Linotype"/>
          <w:color w:val="000000"/>
        </w:rPr>
        <w:t xml:space="preserve">a efecto de determinar si la información remitida se encuentra apegada a lo que establece la Ley en materia de Transparencia. </w:t>
      </w:r>
    </w:p>
    <w:p w:rsidR="001309ED" w:rsidRPr="00980DDD" w:rsidRDefault="001309ED" w:rsidP="001309ED">
      <w:pPr>
        <w:numPr>
          <w:ilvl w:val="0"/>
          <w:numId w:val="2"/>
        </w:numPr>
        <w:tabs>
          <w:tab w:val="left" w:pos="0"/>
          <w:tab w:val="left" w:pos="567"/>
        </w:tabs>
        <w:spacing w:after="240" w:line="360" w:lineRule="auto"/>
        <w:ind w:left="0" w:firstLine="0"/>
        <w:jc w:val="both"/>
        <w:rPr>
          <w:rFonts w:ascii="Palatino Linotype" w:hAnsi="Palatino Linotype"/>
        </w:rPr>
      </w:pPr>
      <w:r w:rsidRPr="00980DDD">
        <w:rPr>
          <w:rFonts w:ascii="Palatino Linotype" w:hAnsi="Palatino Linotype"/>
        </w:rPr>
        <w:t>En ese sentido, conviene recapit</w:t>
      </w:r>
      <w:r w:rsidR="00BD1BD2" w:rsidRPr="00980DDD">
        <w:rPr>
          <w:rFonts w:ascii="Palatino Linotype" w:hAnsi="Palatino Linotype"/>
        </w:rPr>
        <w:t>ular que el Recurrente solicitó:</w:t>
      </w:r>
    </w:p>
    <w:p w:rsidR="00BD1BD2" w:rsidRPr="00980DDD" w:rsidRDefault="00BD1BD2" w:rsidP="00F900B9">
      <w:pPr>
        <w:pStyle w:val="Prrafodelista"/>
        <w:numPr>
          <w:ilvl w:val="0"/>
          <w:numId w:val="11"/>
        </w:numPr>
        <w:spacing w:line="360" w:lineRule="auto"/>
        <w:jc w:val="both"/>
        <w:rPr>
          <w:rFonts w:ascii="Palatino Linotype" w:eastAsia="Palatino Linotype" w:hAnsi="Palatino Linotype" w:cs="Palatino Linotype"/>
          <w:i/>
        </w:rPr>
      </w:pPr>
      <w:r w:rsidRPr="00980DDD">
        <w:rPr>
          <w:rFonts w:ascii="Palatino Linotype" w:eastAsia="Palatino Linotype" w:hAnsi="Palatino Linotype" w:cs="Palatino Linotype"/>
        </w:rPr>
        <w:t xml:space="preserve">Número de servidores públicos adscritos a cada área del 01 de enero al 31 de mayo de 2025; </w:t>
      </w:r>
    </w:p>
    <w:p w:rsidR="00BD1BD2" w:rsidRPr="00980DDD" w:rsidRDefault="00BD1BD2" w:rsidP="00F900B9">
      <w:pPr>
        <w:pStyle w:val="Prrafodelista"/>
        <w:numPr>
          <w:ilvl w:val="0"/>
          <w:numId w:val="11"/>
        </w:numPr>
        <w:spacing w:line="360" w:lineRule="auto"/>
        <w:jc w:val="both"/>
        <w:rPr>
          <w:rFonts w:ascii="Palatino Linotype" w:eastAsia="Palatino Linotype" w:hAnsi="Palatino Linotype" w:cs="Palatino Linotype"/>
          <w:i/>
        </w:rPr>
      </w:pPr>
      <w:r w:rsidRPr="00980DDD">
        <w:rPr>
          <w:rFonts w:ascii="Palatino Linotype" w:eastAsia="Palatino Linotype" w:hAnsi="Palatino Linotype" w:cs="Palatino Linotype"/>
        </w:rPr>
        <w:t>Número de servidores públicos adscritos a cada área del 01 de enero al 31 de diciembre de 2024;</w:t>
      </w:r>
    </w:p>
    <w:p w:rsidR="00BD1BD2" w:rsidRPr="00980DDD" w:rsidRDefault="00BD1BD2" w:rsidP="00F900B9">
      <w:pPr>
        <w:pStyle w:val="Prrafodelista"/>
        <w:numPr>
          <w:ilvl w:val="0"/>
          <w:numId w:val="11"/>
        </w:numPr>
        <w:spacing w:line="360" w:lineRule="auto"/>
        <w:jc w:val="both"/>
        <w:rPr>
          <w:rFonts w:ascii="Palatino Linotype" w:eastAsia="Palatino Linotype" w:hAnsi="Palatino Linotype" w:cs="Palatino Linotype"/>
          <w:i/>
        </w:rPr>
      </w:pPr>
      <w:r w:rsidRPr="00980DDD">
        <w:rPr>
          <w:rFonts w:ascii="Palatino Linotype" w:eastAsia="Palatino Linotype" w:hAnsi="Palatino Linotype" w:cs="Palatino Linotype"/>
        </w:rPr>
        <w:t>Listado de servidores públicos a quienes no les han pagado prestaciones quincenas, aguinaldo y prima vacacional del ejercicio fiscal 2021;</w:t>
      </w:r>
    </w:p>
    <w:p w:rsidR="00BD1BD2" w:rsidRPr="00980DDD" w:rsidRDefault="00BD1BD2" w:rsidP="00F900B9">
      <w:pPr>
        <w:pStyle w:val="Prrafodelista"/>
        <w:numPr>
          <w:ilvl w:val="0"/>
          <w:numId w:val="11"/>
        </w:numPr>
        <w:spacing w:line="360" w:lineRule="auto"/>
        <w:jc w:val="both"/>
        <w:rPr>
          <w:rFonts w:ascii="Palatino Linotype" w:eastAsia="Palatino Linotype" w:hAnsi="Palatino Linotype" w:cs="Palatino Linotype"/>
          <w:i/>
        </w:rPr>
      </w:pPr>
      <w:r w:rsidRPr="00980DDD">
        <w:rPr>
          <w:rFonts w:ascii="Palatino Linotype" w:eastAsia="Palatino Linotype" w:hAnsi="Palatino Linotype" w:cs="Palatino Linotype"/>
        </w:rPr>
        <w:lastRenderedPageBreak/>
        <w:t>Número de despidos del 01 de enero al 31 de diciembre de 2024 y del 01 de enero al 31 de mayo de 2022;</w:t>
      </w:r>
    </w:p>
    <w:p w:rsidR="00BD1BD2" w:rsidRPr="00980DDD" w:rsidRDefault="00BD1BD2" w:rsidP="00F900B9">
      <w:pPr>
        <w:pStyle w:val="Prrafodelista"/>
        <w:numPr>
          <w:ilvl w:val="0"/>
          <w:numId w:val="11"/>
        </w:numPr>
        <w:spacing w:line="360" w:lineRule="auto"/>
        <w:jc w:val="both"/>
        <w:rPr>
          <w:rFonts w:ascii="Palatino Linotype" w:eastAsia="Palatino Linotype" w:hAnsi="Palatino Linotype" w:cs="Palatino Linotype"/>
          <w:i/>
        </w:rPr>
      </w:pPr>
      <w:r w:rsidRPr="00980DDD">
        <w:rPr>
          <w:rFonts w:ascii="Palatino Linotype" w:eastAsia="Palatino Linotype" w:hAnsi="Palatino Linotype" w:cs="Palatino Linotype"/>
        </w:rPr>
        <w:t>Monto asignado y ejercido de cada área, por concepto de pago de quincenas, prima vacacional y aguinaldo, del 01 de enero al 31 de mayo de 2025; y</w:t>
      </w:r>
    </w:p>
    <w:p w:rsidR="00BD1BD2" w:rsidRPr="00980DDD" w:rsidRDefault="00BD1BD2" w:rsidP="00F900B9">
      <w:pPr>
        <w:pStyle w:val="Prrafodelista"/>
        <w:numPr>
          <w:ilvl w:val="0"/>
          <w:numId w:val="11"/>
        </w:numPr>
        <w:spacing w:line="360" w:lineRule="auto"/>
        <w:jc w:val="both"/>
        <w:rPr>
          <w:rFonts w:ascii="Palatino Linotype" w:eastAsia="Palatino Linotype" w:hAnsi="Palatino Linotype" w:cs="Palatino Linotype"/>
        </w:rPr>
      </w:pPr>
      <w:r w:rsidRPr="00980DDD">
        <w:rPr>
          <w:rFonts w:ascii="Palatino Linotype" w:eastAsia="Palatino Linotype" w:hAnsi="Palatino Linotype" w:cs="Palatino Linotype"/>
        </w:rPr>
        <w:t xml:space="preserve">Monto ejercido por área, por concepto de pago de quincenas, prima vacacional y aguinaldo del 01 de enero al 31 de diciembre de 2024. </w:t>
      </w:r>
    </w:p>
    <w:p w:rsidR="00BD1BD2" w:rsidRPr="00980DDD" w:rsidRDefault="00BD1BD2" w:rsidP="00F900B9">
      <w:pPr>
        <w:spacing w:line="360" w:lineRule="auto"/>
        <w:jc w:val="both"/>
        <w:rPr>
          <w:rFonts w:ascii="Palatino Linotype" w:eastAsia="Palatino Linotype" w:hAnsi="Palatino Linotype" w:cs="Palatino Linotype"/>
          <w:i/>
        </w:rPr>
      </w:pPr>
    </w:p>
    <w:p w:rsidR="00F900B9" w:rsidRPr="00980DDD" w:rsidRDefault="00F900B9" w:rsidP="00F900B9">
      <w:pPr>
        <w:pStyle w:val="Prrafodelista"/>
        <w:numPr>
          <w:ilvl w:val="0"/>
          <w:numId w:val="8"/>
        </w:numPr>
        <w:spacing w:line="360" w:lineRule="auto"/>
        <w:jc w:val="both"/>
        <w:rPr>
          <w:rFonts w:ascii="Palatino Linotype" w:eastAsia="Palatino Linotype" w:hAnsi="Palatino Linotype" w:cs="Palatino Linotype"/>
          <w:b/>
        </w:rPr>
      </w:pPr>
      <w:r w:rsidRPr="00980DDD">
        <w:rPr>
          <w:rFonts w:ascii="Palatino Linotype" w:eastAsia="Palatino Linotype" w:hAnsi="Palatino Linotype" w:cs="Palatino Linotype"/>
          <w:b/>
        </w:rPr>
        <w:t xml:space="preserve">De la naturaleza de la información solicitada. </w:t>
      </w:r>
    </w:p>
    <w:p w:rsidR="00F900B9" w:rsidRPr="00980DDD" w:rsidRDefault="00F900B9" w:rsidP="00F900B9">
      <w:pPr>
        <w:pStyle w:val="Prrafodelista"/>
        <w:numPr>
          <w:ilvl w:val="0"/>
          <w:numId w:val="2"/>
        </w:numPr>
        <w:spacing w:line="360" w:lineRule="auto"/>
        <w:ind w:left="0" w:firstLine="0"/>
        <w:jc w:val="both"/>
        <w:rPr>
          <w:rFonts w:ascii="Palatino Linotype" w:hAnsi="Palatino Linotype"/>
        </w:rPr>
      </w:pPr>
      <w:r w:rsidRPr="00980DDD">
        <w:rPr>
          <w:rFonts w:ascii="Palatino Linotype" w:hAnsi="Palatino Linotype"/>
        </w:rPr>
        <w:t xml:space="preserve">Primeramente, se precisa que se obvia el análisis de la competencia por parte del </w:t>
      </w:r>
      <w:r w:rsidRPr="00980DDD">
        <w:rPr>
          <w:rFonts w:ascii="Palatino Linotype" w:hAnsi="Palatino Linotype"/>
          <w:b/>
          <w:bCs/>
        </w:rPr>
        <w:t>SUJETO OBLIGADO</w:t>
      </w:r>
      <w:r w:rsidRPr="00980DDD">
        <w:rPr>
          <w:rFonts w:ascii="Palatino Linotype" w:hAnsi="Palatino Linotype"/>
        </w:rPr>
        <w:t>, para generar, administrar o poseer la información solicitada, dado que éste ha asumido la misma, en razón de que en su respuesta admitió contar con dicha información.</w:t>
      </w:r>
    </w:p>
    <w:p w:rsidR="00F900B9" w:rsidRPr="00980DDD" w:rsidRDefault="00F900B9" w:rsidP="00F900B9">
      <w:pPr>
        <w:pStyle w:val="Prrafodelista"/>
        <w:spacing w:line="360" w:lineRule="auto"/>
        <w:ind w:left="0"/>
        <w:jc w:val="both"/>
        <w:rPr>
          <w:rFonts w:ascii="Palatino Linotype" w:hAnsi="Palatino Linotype"/>
        </w:rPr>
      </w:pPr>
    </w:p>
    <w:p w:rsidR="00F900B9" w:rsidRPr="00980DDD" w:rsidRDefault="00F900B9" w:rsidP="00F900B9">
      <w:pPr>
        <w:pStyle w:val="Prrafodelista"/>
        <w:numPr>
          <w:ilvl w:val="0"/>
          <w:numId w:val="2"/>
        </w:numPr>
        <w:spacing w:line="360" w:lineRule="auto"/>
        <w:ind w:left="0" w:firstLine="0"/>
        <w:jc w:val="both"/>
        <w:rPr>
          <w:rFonts w:ascii="Palatino Linotype" w:hAnsi="Palatino Linotype"/>
        </w:rPr>
      </w:pPr>
      <w:r w:rsidRPr="00980DDD">
        <w:rPr>
          <w:rFonts w:ascii="Palatino Linotype" w:hAnsi="Palatino Linotype"/>
        </w:rPr>
        <w:t xml:space="preserve">En efecto, el hecho de que </w:t>
      </w:r>
      <w:r w:rsidRPr="00980DDD">
        <w:rPr>
          <w:rFonts w:ascii="Palatino Linotype" w:hAnsi="Palatino Linotype"/>
          <w:b/>
          <w:bCs/>
        </w:rPr>
        <w:t>EL SUJETO OBLIGADO</w:t>
      </w:r>
      <w:r w:rsidRPr="00980DDD">
        <w:rPr>
          <w:rFonts w:ascii="Palatino Linotype" w:hAnsi="Palatino Linotype"/>
        </w:rPr>
        <w:t xml:space="preserve"> haya admitido contar con la información pública solicitada, acepta que l</w:t>
      </w:r>
      <w:bookmarkStart w:id="7" w:name="_Hlk94787977"/>
      <w:r w:rsidRPr="00980DDD">
        <w:rPr>
          <w:rFonts w:ascii="Palatino Linotype" w:hAnsi="Palatino Linotype"/>
        </w:rPr>
        <w:t>a genera, posee y administra, en ejercicio de sus funciones</w:t>
      </w:r>
      <w:bookmarkEnd w:id="7"/>
      <w:r w:rsidRPr="00980DDD">
        <w:rPr>
          <w:rFonts w:ascii="Palatino Linotype" w:hAnsi="Palatino Linotype"/>
        </w:rPr>
        <w:t xml:space="preserve"> de derecho público, motivo por el cual se actualiza el supuesto jurídico, previsto en el artículo 12 de la Ley de Transparencia y Acceso a la Información Pública del Estado de México y Municipios.</w:t>
      </w:r>
    </w:p>
    <w:p w:rsidR="00F900B9" w:rsidRPr="00980DDD" w:rsidRDefault="00F900B9" w:rsidP="00F900B9">
      <w:pPr>
        <w:pStyle w:val="Prrafodelista"/>
        <w:spacing w:line="276" w:lineRule="auto"/>
        <w:ind w:left="851" w:right="822"/>
        <w:jc w:val="both"/>
        <w:rPr>
          <w:rFonts w:ascii="Palatino Linotype" w:hAnsi="Palatino Linotype"/>
          <w:i/>
          <w:iCs/>
        </w:rPr>
      </w:pPr>
      <w:r w:rsidRPr="00980DDD">
        <w:rPr>
          <w:rFonts w:ascii="Palatino Linotype" w:hAnsi="Palatino Linotype"/>
          <w:i/>
          <w:iCs/>
        </w:rPr>
        <w:t>“</w:t>
      </w:r>
      <w:r w:rsidRPr="00980DDD">
        <w:rPr>
          <w:rFonts w:ascii="Palatino Linotype" w:hAnsi="Palatino Linotype"/>
          <w:b/>
          <w:bCs/>
          <w:i/>
          <w:iCs/>
        </w:rPr>
        <w:t>Artículo 12.</w:t>
      </w:r>
      <w:r w:rsidRPr="00980DDD">
        <w:rPr>
          <w:rFonts w:ascii="Palatino Linotype" w:hAnsi="Palatino Linotype"/>
          <w:i/>
          <w:iCs/>
        </w:rPr>
        <w:t> Quienes generen, recopilen, administren, manejen, procesen, archiven o conserven información pública serán responsables de la misma en los términos de las disposiciones jurídicas aplicables.</w:t>
      </w:r>
    </w:p>
    <w:p w:rsidR="00F900B9" w:rsidRPr="00980DDD" w:rsidRDefault="00F900B9" w:rsidP="00F900B9">
      <w:pPr>
        <w:pStyle w:val="Prrafodelista"/>
        <w:spacing w:line="276" w:lineRule="auto"/>
        <w:ind w:left="851" w:right="822"/>
        <w:jc w:val="both"/>
        <w:rPr>
          <w:rFonts w:ascii="Palatino Linotype" w:hAnsi="Palatino Linotype"/>
          <w:i/>
          <w:iCs/>
        </w:rPr>
      </w:pPr>
    </w:p>
    <w:p w:rsidR="00F900B9" w:rsidRPr="00980DDD" w:rsidRDefault="00F900B9" w:rsidP="00F900B9">
      <w:pPr>
        <w:pStyle w:val="Prrafodelista"/>
        <w:spacing w:line="276" w:lineRule="auto"/>
        <w:ind w:left="851" w:right="822"/>
        <w:jc w:val="both"/>
        <w:rPr>
          <w:rFonts w:ascii="Palatino Linotype" w:hAnsi="Palatino Linotype"/>
          <w:i/>
          <w:iCs/>
        </w:rPr>
      </w:pPr>
      <w:r w:rsidRPr="00980DDD">
        <w:rPr>
          <w:rFonts w:ascii="Palatino Linotype" w:hAnsi="Palatino Linotype"/>
          <w:i/>
          <w:iCs/>
        </w:rPr>
        <w:t xml:space="preserve">Los sujetos obligados sólo proporcionarán la información pública que se les requiera y que obre en sus archivos y en el estado en que ésta se encuentre. La obligación de proporcionar información no comprende el procesamiento de la misma, ni el </w:t>
      </w:r>
      <w:r w:rsidRPr="00980DDD">
        <w:rPr>
          <w:rFonts w:ascii="Palatino Linotype" w:hAnsi="Palatino Linotype"/>
          <w:i/>
          <w:iCs/>
        </w:rPr>
        <w:lastRenderedPageBreak/>
        <w:t>presentarla conforme al interés del solicitante; no estarán obligados a generarla, resumirla, efectuar cálculos o practicar investigaciones.”</w:t>
      </w:r>
    </w:p>
    <w:p w:rsidR="00F900B9" w:rsidRPr="00980DDD" w:rsidRDefault="00F900B9" w:rsidP="00F900B9">
      <w:pPr>
        <w:pStyle w:val="Prrafodelista"/>
        <w:ind w:left="360" w:right="902"/>
        <w:jc w:val="both"/>
        <w:rPr>
          <w:rFonts w:ascii="Palatino Linotype" w:hAnsi="Palatino Linotype"/>
        </w:rPr>
      </w:pPr>
    </w:p>
    <w:p w:rsidR="00F900B9" w:rsidRPr="00980DDD" w:rsidRDefault="00F900B9" w:rsidP="00F900B9">
      <w:pPr>
        <w:pStyle w:val="Prrafodelista"/>
        <w:numPr>
          <w:ilvl w:val="0"/>
          <w:numId w:val="2"/>
        </w:numPr>
        <w:spacing w:line="360" w:lineRule="auto"/>
        <w:ind w:left="0" w:firstLine="0"/>
        <w:jc w:val="both"/>
        <w:rPr>
          <w:rFonts w:ascii="Palatino Linotype" w:hAnsi="Palatino Linotype"/>
        </w:rPr>
      </w:pPr>
      <w:r w:rsidRPr="00980DDD">
        <w:rPr>
          <w:rFonts w:ascii="Palatino Linotype" w:hAnsi="Palatino Linotype"/>
        </w:rPr>
        <w:t>Así, el estudio de la naturaleza jurídica de la información pública solicitada, tiene por objeto determinar si ésta la genera, posee o administra </w:t>
      </w:r>
      <w:r w:rsidRPr="00980DDD">
        <w:rPr>
          <w:rFonts w:ascii="Palatino Linotype" w:hAnsi="Palatino Linotype"/>
          <w:b/>
          <w:bCs/>
        </w:rPr>
        <w:t>EL SUJETO OBLIGADO</w:t>
      </w:r>
      <w:r w:rsidRPr="00980DDD">
        <w:rPr>
          <w:rFonts w:ascii="Palatino Linotype" w:hAnsi="Palatino Linotype"/>
        </w:rPr>
        <w:t>; sin embargo, en aquellos casos en que éste la asume, a nada práctico nos conduciría su estudio, ya que se insiste, dicha información, fue admitida por el mismo; por lo que, la genera, posee y administra, en ejercicio de sus funciones de derecho público, motivo por el cual, se actualiza el supuesto jurídico, previsto en el artículo 12 de la Ley de la materia, anteriormente referido.</w:t>
      </w:r>
    </w:p>
    <w:p w:rsidR="00F900B9" w:rsidRPr="00980DDD" w:rsidRDefault="00F900B9" w:rsidP="00F900B9">
      <w:pPr>
        <w:pStyle w:val="Prrafodelista"/>
        <w:spacing w:line="360" w:lineRule="auto"/>
        <w:ind w:left="0"/>
        <w:jc w:val="both"/>
        <w:rPr>
          <w:rFonts w:ascii="Palatino Linotype" w:eastAsia="MS Mincho" w:hAnsi="Palatino Linotype"/>
        </w:rPr>
      </w:pPr>
    </w:p>
    <w:p w:rsidR="00F900B9" w:rsidRPr="00980DDD" w:rsidRDefault="00F900B9" w:rsidP="00F900B9">
      <w:pPr>
        <w:pStyle w:val="Prrafodelista"/>
        <w:numPr>
          <w:ilvl w:val="0"/>
          <w:numId w:val="10"/>
        </w:numPr>
        <w:spacing w:line="360" w:lineRule="auto"/>
        <w:jc w:val="both"/>
        <w:rPr>
          <w:rFonts w:ascii="Palatino Linotype" w:eastAsia="MS Mincho" w:hAnsi="Palatino Linotype"/>
          <w:b/>
        </w:rPr>
      </w:pPr>
      <w:r w:rsidRPr="00980DDD">
        <w:rPr>
          <w:rFonts w:ascii="Palatino Linotype" w:eastAsia="MS Mincho" w:hAnsi="Palatino Linotype"/>
          <w:b/>
        </w:rPr>
        <w:t>De la búsqueda exhaustiva.</w:t>
      </w:r>
    </w:p>
    <w:p w:rsidR="001309ED" w:rsidRPr="00980DDD" w:rsidRDefault="001309ED" w:rsidP="001309ED">
      <w:pPr>
        <w:pStyle w:val="Prrafodelista"/>
        <w:numPr>
          <w:ilvl w:val="0"/>
          <w:numId w:val="2"/>
        </w:numPr>
        <w:spacing w:line="360" w:lineRule="auto"/>
        <w:ind w:left="0" w:firstLine="0"/>
        <w:jc w:val="both"/>
        <w:rPr>
          <w:rFonts w:ascii="Palatino Linotype" w:eastAsia="MS Mincho" w:hAnsi="Palatino Linotype"/>
        </w:rPr>
      </w:pPr>
      <w:r w:rsidRPr="00980DDD">
        <w:rPr>
          <w:rFonts w:ascii="Palatino Linotype" w:eastAsia="MS Mincho" w:hAnsi="Palatino Linotype"/>
        </w:rPr>
        <w:t xml:space="preserve">Ahora bien, debemos mencionar que el acceso a la información es un derecho humano constitucional y convencionalmente reconocido y para tal efecto </w:t>
      </w:r>
      <w:r w:rsidRPr="00980DDD">
        <w:rPr>
          <w:rFonts w:ascii="Palatino Linotype" w:eastAsia="Calibri" w:hAnsi="Palatino Linotype"/>
          <w:lang w:val="es-ES"/>
        </w:rPr>
        <w:t xml:space="preserve">el párrafo tercero del artículo primero de la Constitución Política de los Estados Unidos Mexicanos establece que el deber de todas las autoridades, </w:t>
      </w:r>
      <w:r w:rsidRPr="00980DDD">
        <w:rPr>
          <w:rFonts w:ascii="Palatino Linotype" w:eastAsia="Calibri" w:hAnsi="Palatino Linotype"/>
          <w:i/>
          <w:lang w:val="es-ES"/>
        </w:rPr>
        <w:t xml:space="preserve">en el ámbito de sus atribuciones, de promover, respetar, proteger y </w:t>
      </w:r>
      <w:r w:rsidRPr="00980DDD">
        <w:rPr>
          <w:rFonts w:ascii="Palatino Linotype" w:eastAsia="Calibri" w:hAnsi="Palatino Linotype"/>
          <w:b/>
          <w:i/>
          <w:lang w:val="es-ES"/>
        </w:rPr>
        <w:t>garantizar</w:t>
      </w:r>
      <w:r w:rsidRPr="00980DDD">
        <w:rPr>
          <w:rFonts w:ascii="Palatino Linotype" w:eastAsia="Calibri" w:hAnsi="Palatino Linotype"/>
          <w:i/>
          <w:lang w:val="es-ES"/>
        </w:rPr>
        <w:t xml:space="preserve"> los derechos humanos. </w:t>
      </w:r>
      <w:r w:rsidRPr="00980DDD">
        <w:rPr>
          <w:rFonts w:ascii="Palatino Linotype" w:eastAsia="Calibri" w:hAnsi="Palatino Linotype"/>
          <w:b/>
          <w:i/>
          <w:lang w:val="es-ES"/>
        </w:rPr>
        <w:t>En cuanto al derecho de acceso a la información, la Ley de Transparencia y Acceso a la Información Pública del Estado de México y Municipios prevé establece que e</w:t>
      </w:r>
      <w:r w:rsidRPr="00980DDD">
        <w:rPr>
          <w:rFonts w:ascii="Palatino Linotype" w:hAnsi="Palatino Linotype"/>
          <w:i/>
        </w:rPr>
        <w:t>l procedimiento de acceso a la información es la garantía primaria del derecho en cuestión y se rige por los principios de simplicidad, rapidez y gratuidad del procedimiento, auxilio y orientación a los particulares</w:t>
      </w:r>
      <w:r w:rsidRPr="00980DDD">
        <w:rPr>
          <w:rStyle w:val="Refdenotaalpie"/>
          <w:i/>
        </w:rPr>
        <w:footnoteReference w:id="1"/>
      </w:r>
      <w:r w:rsidRPr="00980DDD">
        <w:rPr>
          <w:rFonts w:ascii="Palatino Linotype" w:hAnsi="Palatino Linotype"/>
          <w:i/>
        </w:rPr>
        <w:t xml:space="preserve">, </w:t>
      </w:r>
      <w:r w:rsidRPr="00980DDD">
        <w:rPr>
          <w:rFonts w:ascii="Palatino Linotype" w:hAnsi="Palatino Linotype"/>
        </w:rPr>
        <w:t>asimismo establece</w:t>
      </w:r>
      <w:r w:rsidRPr="00980DDD">
        <w:rPr>
          <w:rFonts w:ascii="Palatino Linotype" w:hAnsi="Palatino Linotype"/>
          <w:i/>
        </w:rPr>
        <w:t xml:space="preserve"> que las unidades de transparencia de los Sujetos Obligados deberán garantizar las medidas y condiciones de accesibilidad para que toda persona pueda ejercer el derecho de acceso a la información, mediante solicitudes de información y deberá apoyar al solicitante en la elaboración de las mismas.</w:t>
      </w:r>
    </w:p>
    <w:p w:rsidR="001309ED" w:rsidRPr="00980DDD" w:rsidRDefault="001309ED" w:rsidP="001309ED">
      <w:pPr>
        <w:pStyle w:val="Prrafodelista"/>
        <w:ind w:left="0"/>
        <w:rPr>
          <w:rFonts w:ascii="Palatino Linotype" w:eastAsia="Calibri" w:hAnsi="Palatino Linotype" w:cs="Arial"/>
        </w:rPr>
      </w:pPr>
    </w:p>
    <w:p w:rsidR="001309ED" w:rsidRPr="00980DDD" w:rsidRDefault="001309ED" w:rsidP="001309ED">
      <w:pPr>
        <w:pStyle w:val="Prrafodelista"/>
        <w:numPr>
          <w:ilvl w:val="0"/>
          <w:numId w:val="2"/>
        </w:numPr>
        <w:spacing w:line="360" w:lineRule="auto"/>
        <w:ind w:left="0" w:firstLine="0"/>
        <w:jc w:val="both"/>
        <w:rPr>
          <w:rFonts w:ascii="Palatino Linotype" w:eastAsia="Calibri" w:hAnsi="Palatino Linotype" w:cs="Arial"/>
        </w:rPr>
      </w:pPr>
      <w:r w:rsidRPr="00980DDD">
        <w:rPr>
          <w:rFonts w:ascii="Palatino Linotype" w:hAnsi="Palatino Linotype"/>
        </w:rPr>
        <w:lastRenderedPageBreak/>
        <w:t>Por lo que, las actuaciones diligentes que lleven a cabo en un primer momento las Unidades de Transparencia y posteriormente  cada servidor público en su área es fundamental para la correcta tutela y el eficaz cumplimiento al derecho de acceso a la información, pues los primeros son el vínculo entre los particulares y los servidores públicos que generan, administra o poseen la información, mientras que los segundos tienen la responsabilidad de realizar una correcta gestión documental que permita localizar de manera rápida los documentos que se soliciten o bien, simplemente para el desarrollo de sus facultades, competencias y atribuciones que a diario desempeñan.</w:t>
      </w:r>
    </w:p>
    <w:p w:rsidR="001309ED" w:rsidRPr="00980DDD" w:rsidRDefault="001309ED" w:rsidP="001309ED">
      <w:pPr>
        <w:pStyle w:val="Prrafodelista"/>
        <w:ind w:left="0"/>
        <w:rPr>
          <w:rFonts w:ascii="Palatino Linotype" w:hAnsi="Palatino Linotype"/>
        </w:rPr>
      </w:pPr>
    </w:p>
    <w:p w:rsidR="001309ED" w:rsidRPr="00980DDD" w:rsidRDefault="001309ED" w:rsidP="001309ED">
      <w:pPr>
        <w:pStyle w:val="Prrafodelista"/>
        <w:numPr>
          <w:ilvl w:val="0"/>
          <w:numId w:val="2"/>
        </w:numPr>
        <w:spacing w:line="360" w:lineRule="auto"/>
        <w:ind w:left="0" w:firstLine="0"/>
        <w:jc w:val="both"/>
        <w:rPr>
          <w:rFonts w:ascii="Palatino Linotype" w:eastAsia="Calibri" w:hAnsi="Palatino Linotype" w:cs="Arial"/>
        </w:rPr>
      </w:pPr>
      <w:r w:rsidRPr="00980DDD">
        <w:rPr>
          <w:rFonts w:ascii="Palatino Linotype" w:hAnsi="Palatino Linotype"/>
        </w:rPr>
        <w:t xml:space="preserve">Es así que, su obligación es </w:t>
      </w:r>
      <w:r w:rsidRPr="00980DDD">
        <w:rPr>
          <w:rFonts w:ascii="Palatino Linotype" w:hAnsi="Palatino Linotype"/>
          <w:i/>
        </w:rPr>
        <w:t>realizar, con efectividad, los trámites internos necesarios para la atención de las solicitudes de información</w:t>
      </w:r>
      <w:r w:rsidRPr="00980DDD">
        <w:rPr>
          <w:rStyle w:val="Refdenotaalpie"/>
        </w:rPr>
        <w:footnoteReference w:id="2"/>
      </w:r>
      <w:r w:rsidRPr="00980DDD">
        <w:rPr>
          <w:rFonts w:ascii="Palatino Linotype" w:hAnsi="Palatino Linotype"/>
        </w:rPr>
        <w:t>, es decir, deben otorgar respuestas concisas, contundentes y sobre todo que den la certeza de los actos que realizan.</w:t>
      </w:r>
    </w:p>
    <w:p w:rsidR="001309ED" w:rsidRPr="00980DDD" w:rsidRDefault="001309ED" w:rsidP="001309ED">
      <w:pPr>
        <w:pStyle w:val="Prrafodelista"/>
        <w:ind w:left="0"/>
        <w:rPr>
          <w:rFonts w:ascii="Palatino Linotype" w:eastAsia="Calibri" w:hAnsi="Palatino Linotype" w:cs="Arial"/>
        </w:rPr>
      </w:pPr>
    </w:p>
    <w:p w:rsidR="001309ED" w:rsidRPr="00980DDD" w:rsidRDefault="001309ED" w:rsidP="001309ED">
      <w:pPr>
        <w:pStyle w:val="Prrafodelista"/>
        <w:numPr>
          <w:ilvl w:val="0"/>
          <w:numId w:val="2"/>
        </w:numPr>
        <w:spacing w:line="360" w:lineRule="auto"/>
        <w:ind w:left="0" w:firstLine="0"/>
        <w:jc w:val="both"/>
        <w:rPr>
          <w:rFonts w:ascii="Palatino Linotype" w:eastAsia="MS Mincho" w:hAnsi="Palatino Linotype"/>
        </w:rPr>
      </w:pPr>
      <w:r w:rsidRPr="00980DDD">
        <w:rPr>
          <w:rFonts w:ascii="Palatino Linotype" w:eastAsia="Palatino Linotype" w:hAnsi="Palatino Linotype" w:cs="Palatino Linotype"/>
        </w:rPr>
        <w:t xml:space="preserve">Al respecto, es menester hacer referencia a lo establecido en los artículos 50, 53 fracciones II, IV y V, 58, 59 fracciones I y II, y 162 </w:t>
      </w:r>
      <w:r w:rsidRPr="00980DDD">
        <w:rPr>
          <w:rFonts w:ascii="Palatino Linotype" w:eastAsia="Arial Unicode MS" w:hAnsi="Palatino Linotype" w:cs="Arial"/>
          <w:lang w:eastAsia="en-US"/>
        </w:rPr>
        <w:t>de la Ley de Transparencia y Acceso a la Información del Estado de México y Municipios, que a la letra estipulan lo siguiente:</w:t>
      </w:r>
    </w:p>
    <w:p w:rsidR="001309ED" w:rsidRPr="00980DDD" w:rsidRDefault="001309ED" w:rsidP="001309ED">
      <w:pPr>
        <w:ind w:left="567" w:right="616"/>
        <w:jc w:val="both"/>
        <w:rPr>
          <w:rFonts w:ascii="Palatino Linotype" w:eastAsia="Palatino Linotype" w:hAnsi="Palatino Linotype" w:cs="Palatino Linotype"/>
          <w:i/>
          <w:iCs/>
        </w:rPr>
      </w:pPr>
      <w:r w:rsidRPr="00980DDD">
        <w:rPr>
          <w:rFonts w:ascii="Palatino Linotype" w:eastAsia="Palatino Linotype" w:hAnsi="Palatino Linotype" w:cs="Palatino Linotype"/>
          <w:b/>
          <w:i/>
          <w:iCs/>
        </w:rPr>
        <w:t xml:space="preserve">Artículo 50. </w:t>
      </w:r>
      <w:r w:rsidRPr="00980DDD">
        <w:rPr>
          <w:rFonts w:ascii="Palatino Linotype" w:eastAsia="Palatino Linotype" w:hAnsi="Palatino Linotype" w:cs="Palatino Linotype"/>
          <w:i/>
          <w:iCs/>
        </w:rPr>
        <w:t>Los sujetos obligados contarán con un área responsable para la atención de las solicitudes de información, a la que se le denominará Unidad de Transparencia.</w:t>
      </w:r>
    </w:p>
    <w:p w:rsidR="001309ED" w:rsidRPr="00980DDD" w:rsidRDefault="001309ED" w:rsidP="001309ED">
      <w:pPr>
        <w:ind w:left="567" w:right="616"/>
        <w:jc w:val="both"/>
        <w:rPr>
          <w:rFonts w:ascii="Palatino Linotype" w:eastAsia="Palatino Linotype" w:hAnsi="Palatino Linotype" w:cs="Palatino Linotype"/>
          <w:i/>
          <w:iCs/>
        </w:rPr>
      </w:pPr>
    </w:p>
    <w:p w:rsidR="001309ED" w:rsidRPr="00980DDD" w:rsidRDefault="001309ED" w:rsidP="001309ED">
      <w:pPr>
        <w:ind w:left="567" w:right="616"/>
        <w:jc w:val="both"/>
        <w:rPr>
          <w:rFonts w:ascii="Palatino Linotype" w:eastAsia="Palatino Linotype" w:hAnsi="Palatino Linotype" w:cs="Palatino Linotype"/>
          <w:i/>
          <w:iCs/>
        </w:rPr>
      </w:pPr>
      <w:r w:rsidRPr="00980DDD">
        <w:rPr>
          <w:rFonts w:ascii="Palatino Linotype" w:eastAsia="Palatino Linotype" w:hAnsi="Palatino Linotype" w:cs="Palatino Linotype"/>
          <w:b/>
          <w:i/>
          <w:iCs/>
        </w:rPr>
        <w:t xml:space="preserve">Artículo 53. </w:t>
      </w:r>
      <w:r w:rsidRPr="00980DDD">
        <w:rPr>
          <w:rFonts w:ascii="Palatino Linotype" w:eastAsia="Palatino Linotype" w:hAnsi="Palatino Linotype" w:cs="Palatino Linotype"/>
          <w:i/>
          <w:iCs/>
        </w:rPr>
        <w:t>Las Unidades de Transparencia tendrán las siguientes funciones:</w:t>
      </w:r>
    </w:p>
    <w:p w:rsidR="001309ED" w:rsidRPr="00980DDD" w:rsidRDefault="001309ED" w:rsidP="001309ED">
      <w:pPr>
        <w:ind w:left="567" w:right="616"/>
        <w:jc w:val="both"/>
        <w:rPr>
          <w:rFonts w:ascii="Palatino Linotype" w:eastAsia="Palatino Linotype" w:hAnsi="Palatino Linotype" w:cs="Palatino Linotype"/>
          <w:i/>
          <w:iCs/>
        </w:rPr>
      </w:pPr>
      <w:r w:rsidRPr="00980DDD">
        <w:rPr>
          <w:rFonts w:ascii="Palatino Linotype" w:eastAsia="Palatino Linotype" w:hAnsi="Palatino Linotype" w:cs="Palatino Linotype"/>
          <w:i/>
          <w:iCs/>
        </w:rPr>
        <w:t>(…)</w:t>
      </w:r>
    </w:p>
    <w:p w:rsidR="001309ED" w:rsidRPr="00980DDD" w:rsidRDefault="001309ED" w:rsidP="001309ED">
      <w:pPr>
        <w:ind w:left="567" w:right="616"/>
        <w:jc w:val="both"/>
        <w:rPr>
          <w:rFonts w:ascii="Palatino Linotype" w:eastAsia="Palatino Linotype" w:hAnsi="Palatino Linotype" w:cs="Palatino Linotype"/>
          <w:i/>
          <w:iCs/>
        </w:rPr>
      </w:pPr>
      <w:r w:rsidRPr="00980DDD">
        <w:rPr>
          <w:rFonts w:ascii="Palatino Linotype" w:eastAsia="Palatino Linotype" w:hAnsi="Palatino Linotype" w:cs="Palatino Linotype"/>
          <w:b/>
          <w:bCs/>
          <w:i/>
          <w:iCs/>
        </w:rPr>
        <w:t>II.</w:t>
      </w:r>
      <w:r w:rsidRPr="00980DDD">
        <w:rPr>
          <w:rFonts w:ascii="Palatino Linotype" w:eastAsia="Palatino Linotype" w:hAnsi="Palatino Linotype" w:cs="Palatino Linotype"/>
          <w:i/>
          <w:iCs/>
        </w:rPr>
        <w:t xml:space="preserve"> Recibir, tramitar y dar respuesta a las solicitudes de acceso a la información;</w:t>
      </w:r>
    </w:p>
    <w:p w:rsidR="001309ED" w:rsidRPr="00980DDD" w:rsidRDefault="001309ED" w:rsidP="001309ED">
      <w:pPr>
        <w:ind w:left="567" w:right="616"/>
        <w:jc w:val="both"/>
        <w:rPr>
          <w:rFonts w:ascii="Palatino Linotype" w:eastAsia="Palatino Linotype" w:hAnsi="Palatino Linotype" w:cs="Palatino Linotype"/>
          <w:i/>
          <w:iCs/>
        </w:rPr>
      </w:pPr>
      <w:r w:rsidRPr="00980DDD">
        <w:rPr>
          <w:rFonts w:ascii="Palatino Linotype" w:eastAsia="Palatino Linotype" w:hAnsi="Palatino Linotype" w:cs="Palatino Linotype"/>
          <w:i/>
          <w:iCs/>
        </w:rPr>
        <w:t>(…)</w:t>
      </w:r>
    </w:p>
    <w:p w:rsidR="001309ED" w:rsidRPr="00980DDD" w:rsidRDefault="001309ED" w:rsidP="001309ED">
      <w:pPr>
        <w:ind w:left="567" w:right="616"/>
        <w:jc w:val="both"/>
        <w:rPr>
          <w:rFonts w:ascii="Palatino Linotype" w:eastAsia="Palatino Linotype" w:hAnsi="Palatino Linotype" w:cs="Palatino Linotype"/>
          <w:i/>
          <w:iCs/>
        </w:rPr>
      </w:pPr>
      <w:r w:rsidRPr="00980DDD">
        <w:rPr>
          <w:rFonts w:ascii="Palatino Linotype" w:eastAsia="Palatino Linotype" w:hAnsi="Palatino Linotype" w:cs="Palatino Linotype"/>
          <w:b/>
          <w:bCs/>
          <w:i/>
          <w:iCs/>
        </w:rPr>
        <w:t>IV.</w:t>
      </w:r>
      <w:r w:rsidRPr="00980DDD">
        <w:rPr>
          <w:rFonts w:ascii="Palatino Linotype" w:eastAsia="Palatino Linotype" w:hAnsi="Palatino Linotype" w:cs="Palatino Linotype"/>
          <w:i/>
          <w:iCs/>
        </w:rPr>
        <w:t xml:space="preserve"> Realizar, con efectividad, los trámites internos necesarios para la atención de las solicitudes de acceso a la información;</w:t>
      </w:r>
    </w:p>
    <w:p w:rsidR="001309ED" w:rsidRPr="00980DDD" w:rsidRDefault="001309ED" w:rsidP="001309ED">
      <w:pPr>
        <w:ind w:left="567" w:right="616"/>
        <w:jc w:val="both"/>
        <w:rPr>
          <w:rFonts w:ascii="Palatino Linotype" w:eastAsia="Palatino Linotype" w:hAnsi="Palatino Linotype" w:cs="Palatino Linotype"/>
          <w:i/>
          <w:iCs/>
        </w:rPr>
      </w:pPr>
      <w:r w:rsidRPr="00980DDD">
        <w:rPr>
          <w:rFonts w:ascii="Palatino Linotype" w:eastAsia="Palatino Linotype" w:hAnsi="Palatino Linotype" w:cs="Palatino Linotype"/>
          <w:b/>
          <w:bCs/>
          <w:i/>
          <w:iCs/>
        </w:rPr>
        <w:t>V.</w:t>
      </w:r>
      <w:r w:rsidRPr="00980DDD">
        <w:rPr>
          <w:rFonts w:ascii="Palatino Linotype" w:eastAsia="Palatino Linotype" w:hAnsi="Palatino Linotype" w:cs="Palatino Linotype"/>
          <w:i/>
          <w:iCs/>
        </w:rPr>
        <w:t xml:space="preserve"> Entregar, en su caso, a los particulares la información solicitada;</w:t>
      </w:r>
    </w:p>
    <w:p w:rsidR="001309ED" w:rsidRPr="00980DDD" w:rsidRDefault="001309ED" w:rsidP="001309ED">
      <w:pPr>
        <w:ind w:left="567" w:right="616"/>
        <w:jc w:val="both"/>
        <w:rPr>
          <w:rFonts w:ascii="Palatino Linotype" w:eastAsia="Palatino Linotype" w:hAnsi="Palatino Linotype" w:cs="Palatino Linotype"/>
          <w:i/>
          <w:iCs/>
        </w:rPr>
      </w:pPr>
      <w:r w:rsidRPr="00980DDD">
        <w:rPr>
          <w:rFonts w:ascii="Palatino Linotype" w:eastAsia="Palatino Linotype" w:hAnsi="Palatino Linotype" w:cs="Palatino Linotype"/>
          <w:i/>
          <w:iCs/>
        </w:rPr>
        <w:t>(…)</w:t>
      </w:r>
    </w:p>
    <w:p w:rsidR="001309ED" w:rsidRPr="00980DDD" w:rsidRDefault="001309ED" w:rsidP="001309ED">
      <w:pPr>
        <w:ind w:left="567" w:right="616"/>
        <w:jc w:val="both"/>
        <w:rPr>
          <w:rFonts w:ascii="Palatino Linotype" w:eastAsia="Palatino Linotype" w:hAnsi="Palatino Linotype" w:cs="Palatino Linotype"/>
          <w:i/>
          <w:iCs/>
        </w:rPr>
      </w:pPr>
    </w:p>
    <w:p w:rsidR="001309ED" w:rsidRPr="00980DDD" w:rsidRDefault="001309ED" w:rsidP="001309ED">
      <w:pPr>
        <w:ind w:left="567" w:right="616"/>
        <w:jc w:val="both"/>
        <w:rPr>
          <w:rFonts w:ascii="Palatino Linotype" w:eastAsia="Palatino Linotype" w:hAnsi="Palatino Linotype" w:cs="Palatino Linotype"/>
          <w:i/>
          <w:iCs/>
        </w:rPr>
      </w:pPr>
      <w:r w:rsidRPr="00980DDD">
        <w:rPr>
          <w:rFonts w:ascii="Palatino Linotype" w:eastAsia="Palatino Linotype" w:hAnsi="Palatino Linotype" w:cs="Palatino Linotype"/>
          <w:b/>
          <w:i/>
          <w:iCs/>
        </w:rPr>
        <w:lastRenderedPageBreak/>
        <w:t xml:space="preserve">Artículo 58. </w:t>
      </w:r>
      <w:r w:rsidRPr="00980DDD">
        <w:rPr>
          <w:rFonts w:ascii="Palatino Linotype" w:eastAsia="Palatino Linotype" w:hAnsi="Palatino Linotype" w:cs="Palatino Linotype"/>
          <w:i/>
          <w:iCs/>
        </w:rPr>
        <w:t>Los servidores públicos habilitados serán designados por el titular del sujeto obligado a propuesta del responsable de la Unidad de Transparencia.</w:t>
      </w:r>
    </w:p>
    <w:p w:rsidR="001309ED" w:rsidRPr="00980DDD" w:rsidRDefault="001309ED" w:rsidP="001309ED">
      <w:pPr>
        <w:ind w:left="567" w:right="616"/>
        <w:jc w:val="both"/>
        <w:rPr>
          <w:rFonts w:ascii="Palatino Linotype" w:eastAsia="Palatino Linotype" w:hAnsi="Palatino Linotype" w:cs="Palatino Linotype"/>
          <w:i/>
          <w:iCs/>
        </w:rPr>
      </w:pPr>
    </w:p>
    <w:p w:rsidR="001309ED" w:rsidRPr="00980DDD" w:rsidRDefault="001309ED" w:rsidP="001309ED">
      <w:pPr>
        <w:ind w:left="567" w:right="616"/>
        <w:jc w:val="both"/>
        <w:rPr>
          <w:rFonts w:ascii="Palatino Linotype" w:eastAsia="Palatino Linotype" w:hAnsi="Palatino Linotype" w:cs="Palatino Linotype"/>
          <w:i/>
          <w:iCs/>
        </w:rPr>
      </w:pPr>
      <w:r w:rsidRPr="00980DDD">
        <w:rPr>
          <w:rFonts w:ascii="Palatino Linotype" w:eastAsia="Palatino Linotype" w:hAnsi="Palatino Linotype" w:cs="Palatino Linotype"/>
          <w:b/>
          <w:i/>
          <w:iCs/>
        </w:rPr>
        <w:t xml:space="preserve">Artículo 59. </w:t>
      </w:r>
      <w:r w:rsidRPr="00980DDD">
        <w:rPr>
          <w:rFonts w:ascii="Palatino Linotype" w:eastAsia="Palatino Linotype" w:hAnsi="Palatino Linotype" w:cs="Palatino Linotype"/>
          <w:i/>
          <w:iCs/>
        </w:rPr>
        <w:t>Los servidores públicos habilitados tendrán las funciones siguientes:</w:t>
      </w:r>
    </w:p>
    <w:p w:rsidR="001309ED" w:rsidRPr="00980DDD" w:rsidRDefault="001309ED" w:rsidP="001309ED">
      <w:pPr>
        <w:ind w:left="567" w:right="616"/>
        <w:jc w:val="both"/>
        <w:rPr>
          <w:rFonts w:ascii="Palatino Linotype" w:eastAsia="Palatino Linotype" w:hAnsi="Palatino Linotype" w:cs="Palatino Linotype"/>
          <w:i/>
          <w:iCs/>
        </w:rPr>
      </w:pPr>
    </w:p>
    <w:p w:rsidR="001309ED" w:rsidRPr="00980DDD" w:rsidRDefault="001309ED" w:rsidP="001309ED">
      <w:pPr>
        <w:ind w:left="567" w:right="616"/>
        <w:jc w:val="both"/>
        <w:rPr>
          <w:rFonts w:ascii="Palatino Linotype" w:eastAsia="Palatino Linotype" w:hAnsi="Palatino Linotype" w:cs="Palatino Linotype"/>
          <w:i/>
          <w:iCs/>
        </w:rPr>
      </w:pPr>
      <w:r w:rsidRPr="00980DDD">
        <w:rPr>
          <w:rFonts w:ascii="Palatino Linotype" w:eastAsia="Palatino Linotype" w:hAnsi="Palatino Linotype" w:cs="Palatino Linotype"/>
          <w:b/>
          <w:bCs/>
          <w:i/>
          <w:iCs/>
        </w:rPr>
        <w:t>I.</w:t>
      </w:r>
      <w:r w:rsidRPr="00980DDD">
        <w:rPr>
          <w:rFonts w:ascii="Palatino Linotype" w:eastAsia="Palatino Linotype" w:hAnsi="Palatino Linotype" w:cs="Palatino Linotype"/>
          <w:i/>
          <w:iCs/>
        </w:rPr>
        <w:t xml:space="preserve"> Localizar la información que le solicite la Unidad de Transparencia;</w:t>
      </w:r>
    </w:p>
    <w:p w:rsidR="001309ED" w:rsidRPr="00980DDD" w:rsidRDefault="001309ED" w:rsidP="001309ED">
      <w:pPr>
        <w:ind w:left="567" w:right="616"/>
        <w:jc w:val="both"/>
        <w:rPr>
          <w:rFonts w:ascii="Palatino Linotype" w:eastAsia="Palatino Linotype" w:hAnsi="Palatino Linotype" w:cs="Palatino Linotype"/>
          <w:i/>
          <w:iCs/>
        </w:rPr>
      </w:pPr>
      <w:r w:rsidRPr="00980DDD">
        <w:rPr>
          <w:rFonts w:ascii="Palatino Linotype" w:eastAsia="Palatino Linotype" w:hAnsi="Palatino Linotype" w:cs="Palatino Linotype"/>
          <w:b/>
          <w:bCs/>
          <w:i/>
          <w:iCs/>
        </w:rPr>
        <w:t>II.</w:t>
      </w:r>
      <w:r w:rsidRPr="00980DDD">
        <w:rPr>
          <w:rFonts w:ascii="Palatino Linotype" w:eastAsia="Palatino Linotype" w:hAnsi="Palatino Linotype" w:cs="Palatino Linotype"/>
          <w:i/>
          <w:iCs/>
        </w:rPr>
        <w:t xml:space="preserve"> Proporcionar la información que obre en los archivos y que le sea solicitada por la Unidad de Transparencia;</w:t>
      </w:r>
    </w:p>
    <w:p w:rsidR="001309ED" w:rsidRPr="00980DDD" w:rsidRDefault="001309ED" w:rsidP="001309ED">
      <w:pPr>
        <w:ind w:left="567" w:right="616"/>
        <w:jc w:val="both"/>
        <w:rPr>
          <w:rFonts w:ascii="Palatino Linotype" w:eastAsia="Palatino Linotype" w:hAnsi="Palatino Linotype" w:cs="Palatino Linotype"/>
          <w:i/>
          <w:iCs/>
        </w:rPr>
      </w:pPr>
      <w:r w:rsidRPr="00980DDD">
        <w:rPr>
          <w:rFonts w:ascii="Palatino Linotype" w:eastAsia="Palatino Linotype" w:hAnsi="Palatino Linotype" w:cs="Palatino Linotype"/>
          <w:i/>
          <w:iCs/>
        </w:rPr>
        <w:t>(...)</w:t>
      </w:r>
    </w:p>
    <w:p w:rsidR="001309ED" w:rsidRPr="00980DDD" w:rsidRDefault="001309ED" w:rsidP="001309ED">
      <w:pPr>
        <w:ind w:left="567" w:right="616"/>
        <w:jc w:val="both"/>
        <w:rPr>
          <w:rFonts w:ascii="Palatino Linotype" w:eastAsia="Palatino Linotype" w:hAnsi="Palatino Linotype" w:cs="Palatino Linotype"/>
          <w:i/>
          <w:iCs/>
        </w:rPr>
      </w:pPr>
    </w:p>
    <w:p w:rsidR="001309ED" w:rsidRPr="00980DDD" w:rsidRDefault="001309ED" w:rsidP="001309ED">
      <w:pPr>
        <w:ind w:left="567" w:right="616"/>
        <w:jc w:val="both"/>
        <w:rPr>
          <w:rFonts w:ascii="Palatino Linotype" w:eastAsia="Palatino Linotype" w:hAnsi="Palatino Linotype" w:cs="Palatino Linotype"/>
          <w:i/>
          <w:iCs/>
        </w:rPr>
      </w:pPr>
      <w:r w:rsidRPr="00980DDD">
        <w:rPr>
          <w:rFonts w:ascii="Palatino Linotype" w:eastAsia="Palatino Linotype" w:hAnsi="Palatino Linotype" w:cs="Palatino Linotype"/>
          <w:b/>
          <w:i/>
          <w:iCs/>
        </w:rPr>
        <w:t xml:space="preserve">Artículo 162. </w:t>
      </w:r>
      <w:r w:rsidRPr="00980DDD">
        <w:rPr>
          <w:rFonts w:ascii="Palatino Linotype" w:eastAsia="Palatino Linotype" w:hAnsi="Palatino Linotype" w:cs="Palatino Linotype"/>
          <w:i/>
          <w:iCs/>
        </w:rPr>
        <w:t>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w:t>
      </w:r>
    </w:p>
    <w:p w:rsidR="001309ED" w:rsidRPr="00980DDD" w:rsidRDefault="001309ED" w:rsidP="001309ED">
      <w:pPr>
        <w:spacing w:line="360" w:lineRule="auto"/>
        <w:jc w:val="both"/>
        <w:rPr>
          <w:rFonts w:ascii="Palatino Linotype" w:eastAsia="Palatino Linotype" w:hAnsi="Palatino Linotype" w:cs="Palatino Linotype"/>
        </w:rPr>
      </w:pPr>
    </w:p>
    <w:p w:rsidR="001309ED" w:rsidRPr="00980DDD" w:rsidRDefault="001309ED" w:rsidP="001309ED">
      <w:pPr>
        <w:pStyle w:val="Prrafodelista"/>
        <w:numPr>
          <w:ilvl w:val="0"/>
          <w:numId w:val="2"/>
        </w:numPr>
        <w:spacing w:line="360" w:lineRule="auto"/>
        <w:ind w:left="0" w:firstLine="0"/>
        <w:jc w:val="both"/>
        <w:rPr>
          <w:rFonts w:ascii="Palatino Linotype" w:eastAsia="Arial Unicode MS" w:hAnsi="Palatino Linotype" w:cs="Arial"/>
          <w:lang w:eastAsia="en-US"/>
        </w:rPr>
      </w:pPr>
      <w:r w:rsidRPr="00980DDD">
        <w:rPr>
          <w:rFonts w:ascii="Palatino Linotype" w:eastAsia="Palatino Linotype" w:hAnsi="Palatino Linotype" w:cs="Palatino Linotype"/>
        </w:rPr>
        <w:t xml:space="preserve">De los artículos citados se desprende que las Unidades de Transparencia de los sujetos obligados son las encargadas de tramitar internamente </w:t>
      </w:r>
      <w:r w:rsidRPr="00980DDD">
        <w:rPr>
          <w:rFonts w:ascii="Palatino Linotype" w:eastAsia="Arial Unicode MS" w:hAnsi="Palatino Linotype" w:cs="Arial"/>
          <w:lang w:eastAsia="en-US"/>
        </w:rPr>
        <w:t>las solicitudes de información y tienen, entre otras funciones, las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 Por su parte, los servidores públicos habilitados auxiliarán a las Unidades de Transparencia localizando la información solicitada y proporcionando la misma que obre en sus archivos. Asimismo, es una obligación de las Unidades de Transparencia turnar a todas las áreas que se consideren competentes para que realicen una búsqueda exhaustiva y razonable de la información solicitada a fin de que ésta sea entregada a los solicitantes.</w:t>
      </w:r>
    </w:p>
    <w:p w:rsidR="001309ED" w:rsidRPr="00980DDD" w:rsidRDefault="001309ED" w:rsidP="001309ED">
      <w:pPr>
        <w:pStyle w:val="Prrafodelista"/>
        <w:spacing w:line="360" w:lineRule="auto"/>
        <w:ind w:left="0"/>
        <w:jc w:val="both"/>
        <w:rPr>
          <w:rFonts w:ascii="Palatino Linotype" w:eastAsia="Arial Unicode MS" w:hAnsi="Palatino Linotype" w:cs="Arial"/>
          <w:lang w:eastAsia="en-US"/>
        </w:rPr>
      </w:pPr>
    </w:p>
    <w:p w:rsidR="0018534F" w:rsidRPr="00980DDD" w:rsidRDefault="001309ED" w:rsidP="000875E4">
      <w:pPr>
        <w:pStyle w:val="Prrafodelista"/>
        <w:numPr>
          <w:ilvl w:val="0"/>
          <w:numId w:val="2"/>
        </w:numPr>
        <w:spacing w:line="360" w:lineRule="auto"/>
        <w:ind w:left="0" w:firstLine="0"/>
        <w:jc w:val="both"/>
        <w:rPr>
          <w:rFonts w:ascii="Palatino Linotype" w:eastAsia="Arial Unicode MS" w:hAnsi="Palatino Linotype" w:cs="Arial"/>
          <w:lang w:eastAsia="en-US"/>
        </w:rPr>
      </w:pPr>
      <w:r w:rsidRPr="00980DDD">
        <w:rPr>
          <w:rFonts w:ascii="Palatino Linotype" w:eastAsia="Arial Unicode MS" w:hAnsi="Palatino Linotype" w:cs="Arial"/>
          <w:lang w:eastAsia="en-US"/>
        </w:rPr>
        <w:t xml:space="preserve">Así, se debe entender que el trámite interno que se realice a las solicitudes de acceso a la información, es con el propósito de que se realice una búsqueda exhaustiva y razonable de </w:t>
      </w:r>
      <w:r w:rsidRPr="00980DDD">
        <w:rPr>
          <w:rFonts w:ascii="Palatino Linotype" w:eastAsia="Arial Unicode MS" w:hAnsi="Palatino Linotype" w:cs="Arial"/>
          <w:lang w:eastAsia="en-US"/>
        </w:rPr>
        <w:lastRenderedPageBreak/>
        <w:t xml:space="preserve">la información entre sus archivos y, en su caso, se entregue la información de interés para el particular. En el caso que se resuelve, </w:t>
      </w:r>
      <w:r w:rsidR="00434B30" w:rsidRPr="00980DDD">
        <w:rPr>
          <w:rFonts w:ascii="Palatino Linotype" w:eastAsia="Arial Unicode MS" w:hAnsi="Palatino Linotype" w:cs="Arial"/>
          <w:lang w:eastAsia="en-US"/>
        </w:rPr>
        <w:t xml:space="preserve">la respuesta fue emitida por el Tesorero Municipal y la Directora de Recursos Humanos, quienes de acuerdo al Código Reglamentario de Toluca </w:t>
      </w:r>
      <w:r w:rsidR="0018534F" w:rsidRPr="00980DDD">
        <w:rPr>
          <w:rFonts w:ascii="Palatino Linotype" w:eastAsia="Arial Unicode MS" w:hAnsi="Palatino Linotype" w:cs="Arial"/>
          <w:lang w:eastAsia="en-US"/>
        </w:rPr>
        <w:t>tienen las siguientes atribuciones:</w:t>
      </w:r>
    </w:p>
    <w:p w:rsidR="0018534F" w:rsidRPr="00980DDD" w:rsidRDefault="000875E4" w:rsidP="000875E4">
      <w:pPr>
        <w:ind w:left="851" w:right="822"/>
        <w:jc w:val="both"/>
        <w:rPr>
          <w:rFonts w:ascii="Palatino Linotype" w:eastAsia="Arial Unicode MS" w:hAnsi="Palatino Linotype" w:cs="Arial"/>
          <w:i/>
          <w:lang w:eastAsia="en-US"/>
        </w:rPr>
      </w:pPr>
      <w:r w:rsidRPr="00980DDD">
        <w:rPr>
          <w:rFonts w:ascii="Palatino Linotype" w:eastAsia="Arial Unicode MS" w:hAnsi="Palatino Linotype" w:cs="Arial"/>
          <w:i/>
          <w:lang w:eastAsia="en-US"/>
        </w:rPr>
        <w:t>“</w:t>
      </w:r>
      <w:r w:rsidR="0018534F" w:rsidRPr="00980DDD">
        <w:rPr>
          <w:rFonts w:ascii="Palatino Linotype" w:eastAsia="Arial Unicode MS" w:hAnsi="Palatino Linotype" w:cs="Arial"/>
          <w:i/>
          <w:lang w:eastAsia="en-US"/>
        </w:rPr>
        <w:t>Artículo 3.21. La o el titular de la Tesorería Municipal tendrá las siguientes atribuciones:</w:t>
      </w:r>
    </w:p>
    <w:p w:rsidR="0018534F" w:rsidRPr="00980DDD" w:rsidRDefault="0018534F" w:rsidP="000875E4">
      <w:pPr>
        <w:ind w:left="851" w:right="822"/>
        <w:jc w:val="both"/>
        <w:rPr>
          <w:rFonts w:ascii="Palatino Linotype" w:eastAsia="Arial Unicode MS" w:hAnsi="Palatino Linotype" w:cs="Arial"/>
          <w:i/>
          <w:lang w:eastAsia="en-US"/>
        </w:rPr>
      </w:pPr>
    </w:p>
    <w:p w:rsidR="0018534F" w:rsidRPr="00980DDD" w:rsidRDefault="00254E43" w:rsidP="000875E4">
      <w:pPr>
        <w:ind w:left="851" w:right="822"/>
        <w:jc w:val="both"/>
        <w:rPr>
          <w:rFonts w:ascii="Palatino Linotype" w:eastAsia="Arial Unicode MS" w:hAnsi="Palatino Linotype" w:cs="Arial"/>
          <w:i/>
          <w:lang w:eastAsia="en-US"/>
        </w:rPr>
      </w:pPr>
      <w:r w:rsidRPr="00980DDD">
        <w:rPr>
          <w:rFonts w:ascii="Palatino Linotype" w:eastAsia="Arial Unicode MS" w:hAnsi="Palatino Linotype" w:cs="Arial"/>
          <w:i/>
          <w:lang w:eastAsia="en-US"/>
        </w:rPr>
        <w:t>…</w:t>
      </w:r>
    </w:p>
    <w:p w:rsidR="0018534F" w:rsidRPr="00980DDD" w:rsidRDefault="0018534F" w:rsidP="000875E4">
      <w:pPr>
        <w:ind w:left="851" w:right="822"/>
        <w:jc w:val="both"/>
        <w:rPr>
          <w:rFonts w:ascii="Palatino Linotype" w:eastAsia="Arial Unicode MS" w:hAnsi="Palatino Linotype" w:cs="Arial"/>
          <w:i/>
          <w:lang w:eastAsia="en-US"/>
        </w:rPr>
      </w:pPr>
      <w:r w:rsidRPr="00980DDD">
        <w:rPr>
          <w:rFonts w:ascii="Palatino Linotype" w:eastAsia="Arial Unicode MS" w:hAnsi="Palatino Linotype" w:cs="Arial"/>
          <w:i/>
          <w:lang w:eastAsia="en-US"/>
        </w:rPr>
        <w:t>VII. Supervisar el registro y control de las operaciones financieras presupuestales y contables, revisar y autorizar la integración de los informes mensuales y la cuenta pública anual del Municipio para que se entregue de manera oportuna y con apego a los lineamientos establecidos en los ordenamientos jurídicos aplicables;</w:t>
      </w:r>
    </w:p>
    <w:p w:rsidR="00254E43" w:rsidRPr="00980DDD" w:rsidRDefault="00254E43" w:rsidP="000875E4">
      <w:pPr>
        <w:ind w:left="851" w:right="822"/>
        <w:jc w:val="both"/>
        <w:rPr>
          <w:rFonts w:ascii="Palatino Linotype" w:eastAsia="Arial Unicode MS" w:hAnsi="Palatino Linotype" w:cs="Arial"/>
          <w:i/>
          <w:lang w:eastAsia="en-US"/>
        </w:rPr>
      </w:pPr>
      <w:r w:rsidRPr="00980DDD">
        <w:rPr>
          <w:rFonts w:ascii="Palatino Linotype" w:eastAsia="Arial Unicode MS" w:hAnsi="Palatino Linotype" w:cs="Arial"/>
          <w:i/>
          <w:lang w:eastAsia="en-US"/>
        </w:rPr>
        <w:t>…</w:t>
      </w:r>
    </w:p>
    <w:p w:rsidR="00254E43" w:rsidRPr="00980DDD" w:rsidRDefault="00254E43" w:rsidP="000875E4">
      <w:pPr>
        <w:ind w:left="851" w:right="822"/>
        <w:jc w:val="both"/>
        <w:rPr>
          <w:rFonts w:ascii="Palatino Linotype" w:eastAsia="Arial Unicode MS" w:hAnsi="Palatino Linotype" w:cs="Arial"/>
          <w:i/>
          <w:lang w:eastAsia="en-US"/>
        </w:rPr>
      </w:pPr>
      <w:r w:rsidRPr="00980DDD">
        <w:rPr>
          <w:rFonts w:ascii="Palatino Linotype" w:eastAsia="Arial Unicode MS" w:hAnsi="Palatino Linotype" w:cs="Arial"/>
          <w:i/>
          <w:lang w:eastAsia="en-US"/>
        </w:rPr>
        <w:t>XXV. Pagar la nómina mediante depósito bancario o bajo la modalidad convenida por el Sindicato que mayor seguridad brinde a las y los servidores públicos en días y horas hábiles, en el lugar más cercano al centro de trabajo del servidor público los días quince y último de cada mes o el día hábil inmediato anterior, si no fueran laborables esas fechas;</w:t>
      </w:r>
    </w:p>
    <w:p w:rsidR="000875E4" w:rsidRPr="00980DDD" w:rsidRDefault="000875E4" w:rsidP="000875E4">
      <w:pPr>
        <w:ind w:left="851" w:right="822"/>
        <w:jc w:val="both"/>
        <w:rPr>
          <w:rFonts w:ascii="Palatino Linotype" w:eastAsia="Arial Unicode MS" w:hAnsi="Palatino Linotype" w:cs="Arial"/>
          <w:i/>
          <w:lang w:eastAsia="en-US"/>
        </w:rPr>
      </w:pPr>
      <w:r w:rsidRPr="00980DDD">
        <w:rPr>
          <w:rFonts w:ascii="Palatino Linotype" w:eastAsia="Arial Unicode MS" w:hAnsi="Palatino Linotype" w:cs="Arial"/>
          <w:i/>
          <w:lang w:eastAsia="en-US"/>
        </w:rPr>
        <w:t>…”</w:t>
      </w:r>
    </w:p>
    <w:p w:rsidR="000875E4" w:rsidRPr="00980DDD" w:rsidRDefault="000875E4" w:rsidP="000875E4">
      <w:pPr>
        <w:ind w:left="851" w:right="822"/>
        <w:jc w:val="both"/>
        <w:rPr>
          <w:rFonts w:ascii="Palatino Linotype" w:eastAsia="Arial Unicode MS" w:hAnsi="Palatino Linotype" w:cs="Arial"/>
          <w:i/>
          <w:lang w:eastAsia="en-US"/>
        </w:rPr>
      </w:pPr>
    </w:p>
    <w:p w:rsidR="000875E4" w:rsidRPr="00980DDD" w:rsidRDefault="000875E4" w:rsidP="000875E4">
      <w:pPr>
        <w:ind w:left="851" w:right="822"/>
        <w:jc w:val="both"/>
        <w:rPr>
          <w:rFonts w:ascii="Palatino Linotype" w:eastAsia="Arial Unicode MS" w:hAnsi="Palatino Linotype" w:cs="Arial"/>
          <w:i/>
          <w:lang w:eastAsia="en-US"/>
        </w:rPr>
      </w:pPr>
      <w:r w:rsidRPr="00980DDD">
        <w:rPr>
          <w:rFonts w:ascii="Palatino Linotype" w:eastAsia="Arial Unicode MS" w:hAnsi="Palatino Linotype" w:cs="Arial"/>
          <w:i/>
          <w:lang w:eastAsia="en-US"/>
        </w:rPr>
        <w:t>“Artículo 3.33. La o el titular de la Dirección de Recursos Humanos cuenta con las siguientes atribuciones:</w:t>
      </w:r>
    </w:p>
    <w:p w:rsidR="000875E4" w:rsidRPr="00980DDD" w:rsidRDefault="000875E4" w:rsidP="000875E4">
      <w:pPr>
        <w:pStyle w:val="Prrafodelista"/>
        <w:numPr>
          <w:ilvl w:val="0"/>
          <w:numId w:val="9"/>
        </w:numPr>
        <w:ind w:left="851" w:right="822" w:firstLine="0"/>
        <w:jc w:val="both"/>
        <w:rPr>
          <w:rFonts w:ascii="Palatino Linotype" w:eastAsia="Arial Unicode MS" w:hAnsi="Palatino Linotype" w:cs="Arial"/>
          <w:i/>
          <w:lang w:eastAsia="en-US"/>
        </w:rPr>
      </w:pPr>
      <w:r w:rsidRPr="00980DDD">
        <w:rPr>
          <w:rFonts w:ascii="Palatino Linotype" w:eastAsia="Arial Unicode MS" w:hAnsi="Palatino Linotype" w:cs="Arial"/>
          <w:i/>
          <w:lang w:eastAsia="en-US"/>
        </w:rPr>
        <w:t>Elaborar, operar y mejorar los procedimientos administrativos para la selección, reclutamiento, contratación, escalafón, inducción, evaluación del desempeño, capacitación, baja, comisión, licencias prejubilatorias, y desarrollo del personal al servicio del Municipio de acuerdo a lo dispuesto en la normatividad aplicable;</w:t>
      </w:r>
    </w:p>
    <w:p w:rsidR="000875E4" w:rsidRPr="00980DDD" w:rsidRDefault="000875E4" w:rsidP="000875E4">
      <w:pPr>
        <w:ind w:left="851" w:right="822"/>
        <w:jc w:val="both"/>
        <w:rPr>
          <w:rFonts w:ascii="Palatino Linotype" w:eastAsia="Arial Unicode MS" w:hAnsi="Palatino Linotype" w:cs="Arial"/>
          <w:i/>
          <w:lang w:eastAsia="en-US"/>
        </w:rPr>
      </w:pPr>
      <w:r w:rsidRPr="00980DDD">
        <w:rPr>
          <w:rFonts w:ascii="Palatino Linotype" w:eastAsia="Arial Unicode MS" w:hAnsi="Palatino Linotype" w:cs="Arial"/>
          <w:i/>
          <w:lang w:eastAsia="en-US"/>
        </w:rPr>
        <w:t>…</w:t>
      </w:r>
    </w:p>
    <w:p w:rsidR="000875E4" w:rsidRPr="00980DDD" w:rsidRDefault="000875E4" w:rsidP="000875E4">
      <w:pPr>
        <w:ind w:left="851" w:right="822"/>
        <w:jc w:val="both"/>
        <w:rPr>
          <w:rFonts w:ascii="Palatino Linotype" w:eastAsia="Arial Unicode MS" w:hAnsi="Palatino Linotype" w:cs="Arial"/>
          <w:i/>
          <w:lang w:eastAsia="en-US"/>
        </w:rPr>
      </w:pPr>
      <w:r w:rsidRPr="00980DDD">
        <w:rPr>
          <w:rFonts w:ascii="Palatino Linotype" w:eastAsia="Arial Unicode MS" w:hAnsi="Palatino Linotype" w:cs="Arial"/>
          <w:i/>
          <w:lang w:eastAsia="en-US"/>
        </w:rPr>
        <w:t>IV. Aplicar las disposiciones legales laborales que rigen al personal del Ayuntamiento;</w:t>
      </w:r>
    </w:p>
    <w:p w:rsidR="000875E4" w:rsidRPr="00980DDD" w:rsidRDefault="000875E4" w:rsidP="000875E4">
      <w:pPr>
        <w:ind w:left="851" w:right="822"/>
        <w:jc w:val="both"/>
        <w:rPr>
          <w:rFonts w:ascii="Palatino Linotype" w:eastAsia="Arial Unicode MS" w:hAnsi="Palatino Linotype" w:cs="Arial"/>
          <w:i/>
          <w:lang w:eastAsia="en-US"/>
        </w:rPr>
      </w:pPr>
      <w:r w:rsidRPr="00980DDD">
        <w:rPr>
          <w:rFonts w:ascii="Palatino Linotype" w:eastAsia="Arial Unicode MS" w:hAnsi="Palatino Linotype" w:cs="Arial"/>
          <w:i/>
          <w:lang w:eastAsia="en-US"/>
        </w:rPr>
        <w:t>V. Registrar, controlar y dar seguimiento a los movimientos de personal como, altas, reingresos, bajas, remociones, renuncias, retiro, cambios de categoría y adscripción, promociones, comisiones, entre otras;</w:t>
      </w:r>
    </w:p>
    <w:p w:rsidR="000875E4" w:rsidRPr="00980DDD" w:rsidRDefault="000875E4" w:rsidP="000875E4">
      <w:pPr>
        <w:ind w:left="851" w:right="822"/>
        <w:jc w:val="both"/>
        <w:rPr>
          <w:rFonts w:ascii="Palatino Linotype" w:eastAsia="Arial Unicode MS" w:hAnsi="Palatino Linotype" w:cs="Arial"/>
          <w:i/>
          <w:lang w:eastAsia="en-US"/>
        </w:rPr>
      </w:pPr>
      <w:r w:rsidRPr="00980DDD">
        <w:rPr>
          <w:rFonts w:ascii="Palatino Linotype" w:eastAsia="Arial Unicode MS" w:hAnsi="Palatino Linotype" w:cs="Arial"/>
          <w:i/>
          <w:lang w:eastAsia="en-US"/>
        </w:rPr>
        <w:t xml:space="preserve">VI. Coadyuvar con la Tesorería Municipal en la elaboración y distribución oportuna de la nómina para el pago al personal que labora en el Ayuntamiento, por concepto de sueldos, prestaciones, liquidaciones y finiquitos apegándose al presupuesto autorizado </w:t>
      </w:r>
      <w:r w:rsidRPr="00980DDD">
        <w:rPr>
          <w:rFonts w:ascii="Palatino Linotype" w:eastAsia="Arial Unicode MS" w:hAnsi="Palatino Linotype" w:cs="Arial"/>
          <w:i/>
          <w:lang w:eastAsia="en-US"/>
        </w:rPr>
        <w:lastRenderedPageBreak/>
        <w:t>aplicado a través del capítulo 1000; así como en lo relativo a las determinaciones de los impuestos y la emisión de los CFDI correspondientes una vez realizado el pago;</w:t>
      </w:r>
    </w:p>
    <w:p w:rsidR="000875E4" w:rsidRPr="00980DDD" w:rsidRDefault="000875E4" w:rsidP="000875E4">
      <w:pPr>
        <w:ind w:left="851" w:right="822"/>
        <w:jc w:val="both"/>
        <w:rPr>
          <w:rFonts w:ascii="Palatino Linotype" w:eastAsia="Arial Unicode MS" w:hAnsi="Palatino Linotype" w:cs="Arial"/>
          <w:i/>
          <w:lang w:eastAsia="en-US"/>
        </w:rPr>
      </w:pPr>
      <w:r w:rsidRPr="00980DDD">
        <w:rPr>
          <w:rFonts w:ascii="Palatino Linotype" w:eastAsia="Arial Unicode MS" w:hAnsi="Palatino Linotype" w:cs="Arial"/>
          <w:i/>
          <w:lang w:eastAsia="en-US"/>
        </w:rPr>
        <w:t>…”</w:t>
      </w:r>
    </w:p>
    <w:p w:rsidR="0018534F" w:rsidRPr="00980DDD" w:rsidRDefault="0018534F" w:rsidP="000875E4">
      <w:pPr>
        <w:rPr>
          <w:rFonts w:ascii="Palatino Linotype" w:eastAsia="Arial Unicode MS" w:hAnsi="Palatino Linotype" w:cs="Arial"/>
          <w:lang w:eastAsia="en-US"/>
        </w:rPr>
      </w:pPr>
    </w:p>
    <w:p w:rsidR="001309ED" w:rsidRPr="00980DDD" w:rsidRDefault="000875E4" w:rsidP="000875E4">
      <w:pPr>
        <w:pStyle w:val="Prrafodelista"/>
        <w:numPr>
          <w:ilvl w:val="0"/>
          <w:numId w:val="2"/>
        </w:numPr>
        <w:spacing w:line="360" w:lineRule="auto"/>
        <w:ind w:left="0" w:firstLine="0"/>
        <w:jc w:val="both"/>
        <w:rPr>
          <w:rFonts w:ascii="Palatino Linotype" w:eastAsia="Arial Unicode MS" w:hAnsi="Palatino Linotype" w:cs="Arial"/>
          <w:lang w:eastAsia="en-US"/>
        </w:rPr>
      </w:pPr>
      <w:r w:rsidRPr="00980DDD">
        <w:rPr>
          <w:rFonts w:ascii="Palatino Linotype" w:eastAsia="Arial Unicode MS" w:hAnsi="Palatino Linotype" w:cs="Arial"/>
          <w:lang w:eastAsia="en-US"/>
        </w:rPr>
        <w:t xml:space="preserve">Como se advierte, la respuesta fue emitida por las áreas que de acuerdo a sus facultades generan, poseen y administran la información solicitada, es decir, que el Sujeto Obligado dio cumplimiento al proceso de búsqueda establecido en la legislación Local. </w:t>
      </w:r>
      <w:r w:rsidR="00434B30" w:rsidRPr="00980DDD">
        <w:rPr>
          <w:rFonts w:ascii="Palatino Linotype" w:eastAsia="Arial Unicode MS" w:hAnsi="Palatino Linotype" w:cs="Arial"/>
          <w:lang w:eastAsia="en-US"/>
        </w:rPr>
        <w:t xml:space="preserve"> </w:t>
      </w:r>
    </w:p>
    <w:p w:rsidR="00434B30" w:rsidRPr="00980DDD" w:rsidRDefault="00434B30" w:rsidP="00434B30">
      <w:pPr>
        <w:pStyle w:val="Prrafodelista"/>
        <w:rPr>
          <w:rFonts w:ascii="Palatino Linotype" w:eastAsia="Arial Unicode MS" w:hAnsi="Palatino Linotype" w:cs="Arial"/>
          <w:lang w:eastAsia="en-US"/>
        </w:rPr>
      </w:pPr>
    </w:p>
    <w:p w:rsidR="00434B30" w:rsidRPr="00980DDD" w:rsidRDefault="00F900B9" w:rsidP="00F900B9">
      <w:pPr>
        <w:pStyle w:val="Prrafodelista"/>
        <w:numPr>
          <w:ilvl w:val="0"/>
          <w:numId w:val="12"/>
        </w:numPr>
        <w:spacing w:line="360" w:lineRule="auto"/>
        <w:jc w:val="both"/>
        <w:rPr>
          <w:rFonts w:ascii="Palatino Linotype" w:eastAsia="Arial Unicode MS" w:hAnsi="Palatino Linotype" w:cs="Arial"/>
          <w:b/>
          <w:lang w:eastAsia="en-US"/>
        </w:rPr>
      </w:pPr>
      <w:r w:rsidRPr="00980DDD">
        <w:rPr>
          <w:rFonts w:ascii="Palatino Linotype" w:eastAsia="Arial Unicode MS" w:hAnsi="Palatino Linotype" w:cs="Arial"/>
          <w:b/>
          <w:lang w:eastAsia="en-US"/>
        </w:rPr>
        <w:t xml:space="preserve">De la información contenida en ligas electrónicas. </w:t>
      </w:r>
    </w:p>
    <w:p w:rsidR="00F900B9" w:rsidRPr="00980DDD" w:rsidRDefault="00F900B9" w:rsidP="00F900B9">
      <w:pPr>
        <w:pStyle w:val="Prrafodelista"/>
        <w:numPr>
          <w:ilvl w:val="0"/>
          <w:numId w:val="2"/>
        </w:numPr>
        <w:spacing w:line="360" w:lineRule="auto"/>
        <w:ind w:left="0" w:right="49" w:firstLine="0"/>
        <w:jc w:val="both"/>
        <w:rPr>
          <w:rFonts w:ascii="Palatino Linotype" w:eastAsiaTheme="minorEastAsia" w:hAnsi="Palatino Linotype"/>
          <w:lang w:eastAsia="es-ES"/>
        </w:rPr>
      </w:pPr>
      <w:r w:rsidRPr="00980DDD">
        <w:rPr>
          <w:rFonts w:ascii="Palatino Linotype" w:eastAsia="MS Mincho" w:hAnsi="Palatino Linotype"/>
          <w:lang w:val="es-ES_tradnl" w:eastAsia="es-ES"/>
        </w:rPr>
        <w:t xml:space="preserve">Ahora bien,  la Ley en la materia en términos generales, establece que como uno de los objetivos con el que cuenta es el de garantizar a toda persona el derecho de acceso a la información pública, mediante los procedimientos establecidos de forma </w:t>
      </w:r>
      <w:r w:rsidRPr="00980DDD">
        <w:rPr>
          <w:rFonts w:ascii="Palatino Linotype" w:eastAsia="MS Mincho" w:hAnsi="Palatino Linotype"/>
          <w:b/>
          <w:lang w:val="es-ES_tradnl" w:eastAsia="es-ES"/>
        </w:rPr>
        <w:t>sencilla</w:t>
      </w:r>
      <w:r w:rsidRPr="00980DDD">
        <w:rPr>
          <w:rFonts w:ascii="Palatino Linotype" w:eastAsia="MS Mincho" w:hAnsi="Palatino Linotype"/>
          <w:lang w:val="es-ES_tradnl" w:eastAsia="es-ES"/>
        </w:rPr>
        <w:t xml:space="preserve">, expeditos, </w:t>
      </w:r>
      <w:r w:rsidRPr="00980DDD">
        <w:rPr>
          <w:rFonts w:ascii="Palatino Linotype" w:eastAsia="MS Mincho" w:hAnsi="Palatino Linotype"/>
          <w:b/>
          <w:lang w:val="es-ES_tradnl" w:eastAsia="es-ES"/>
        </w:rPr>
        <w:t>oportunos</w:t>
      </w:r>
      <w:r w:rsidRPr="00980DDD">
        <w:rPr>
          <w:rFonts w:ascii="Palatino Linotype" w:eastAsia="MS Mincho" w:hAnsi="Palatino Linotype"/>
          <w:lang w:val="es-ES_tradnl" w:eastAsia="es-ES"/>
        </w:rPr>
        <w:t xml:space="preserve"> y gratuitos, y con ello contribuir a la mejora de procedimientos y mecanismos que permitan trasparentar la gestión pública y mejora la toma decisiones, a través de la difusión de la información que obra en poder de los sujeto obligados.</w:t>
      </w:r>
    </w:p>
    <w:p w:rsidR="00F900B9" w:rsidRPr="00980DDD" w:rsidRDefault="00F900B9" w:rsidP="00F900B9">
      <w:pPr>
        <w:spacing w:line="360" w:lineRule="auto"/>
        <w:ind w:right="49"/>
        <w:contextualSpacing/>
        <w:jc w:val="both"/>
        <w:rPr>
          <w:rFonts w:ascii="Palatino Linotype" w:eastAsiaTheme="minorEastAsia" w:hAnsi="Palatino Linotype"/>
          <w:lang w:eastAsia="es-ES"/>
        </w:rPr>
      </w:pPr>
    </w:p>
    <w:p w:rsidR="00F900B9" w:rsidRPr="00980DDD" w:rsidRDefault="00F900B9" w:rsidP="00F900B9">
      <w:pPr>
        <w:pStyle w:val="Prrafodelista"/>
        <w:numPr>
          <w:ilvl w:val="0"/>
          <w:numId w:val="2"/>
        </w:numPr>
        <w:spacing w:line="360" w:lineRule="auto"/>
        <w:ind w:left="0" w:firstLine="0"/>
        <w:jc w:val="both"/>
        <w:rPr>
          <w:rFonts w:ascii="Palatino Linotype" w:eastAsia="MS Mincho" w:hAnsi="Palatino Linotype"/>
        </w:rPr>
      </w:pPr>
      <w:r w:rsidRPr="00980DDD">
        <w:rPr>
          <w:rFonts w:ascii="Palatino Linotype" w:hAnsi="Palatino Linotype"/>
          <w:lang w:val="es-ES"/>
        </w:rPr>
        <w:t>El formato prediseñado para que los particulares formulen su solicitud de acceso a la información contiene opciones para seleccionar la modalidad de entrega de la información. En el presente asunto en particular, se solicitó la información a través del SAIMEX. En consecuencia, lo idóneo es que, los Sujetos Obligados proporcionen la información por el medio solicitado; no obstante, la Ley de Transparencia y Acceso</w:t>
      </w:r>
      <w:r w:rsidRPr="00980DDD">
        <w:rPr>
          <w:rFonts w:ascii="Palatino Linotype" w:hAnsi="Palatino Linotype"/>
          <w:b/>
          <w:lang w:val="es-ES"/>
        </w:rPr>
        <w:t xml:space="preserve"> </w:t>
      </w:r>
      <w:r w:rsidRPr="00980DDD">
        <w:rPr>
          <w:rFonts w:ascii="Palatino Linotype" w:hAnsi="Palatino Linotype"/>
          <w:lang w:val="es-ES"/>
        </w:rPr>
        <w:t>a la Información Pública del Estado de México y Municipios establece dos puntos importantes que impactan sobre la modalidad de entrega de la información.</w:t>
      </w:r>
    </w:p>
    <w:p w:rsidR="00F900B9" w:rsidRPr="00980DDD" w:rsidRDefault="00F900B9" w:rsidP="00F900B9">
      <w:pPr>
        <w:pStyle w:val="Prrafodelista"/>
        <w:tabs>
          <w:tab w:val="left" w:pos="851"/>
        </w:tabs>
        <w:spacing w:before="240" w:after="240" w:line="360" w:lineRule="auto"/>
        <w:ind w:left="0" w:right="49"/>
        <w:jc w:val="both"/>
        <w:rPr>
          <w:rFonts w:ascii="Palatino Linotype" w:hAnsi="Palatino Linotype"/>
          <w:lang w:val="es-ES"/>
        </w:rPr>
      </w:pPr>
    </w:p>
    <w:p w:rsidR="00F900B9" w:rsidRPr="00980DDD" w:rsidRDefault="00F900B9" w:rsidP="00F900B9">
      <w:pPr>
        <w:pStyle w:val="Prrafodelista"/>
        <w:numPr>
          <w:ilvl w:val="0"/>
          <w:numId w:val="2"/>
        </w:numPr>
        <w:tabs>
          <w:tab w:val="left" w:pos="851"/>
        </w:tabs>
        <w:spacing w:before="240" w:after="240" w:line="360" w:lineRule="auto"/>
        <w:ind w:left="0" w:right="49" w:firstLine="0"/>
        <w:jc w:val="both"/>
        <w:rPr>
          <w:rFonts w:ascii="Palatino Linotype" w:hAnsi="Palatino Linotype"/>
          <w:lang w:val="es-ES"/>
        </w:rPr>
      </w:pPr>
      <w:r w:rsidRPr="00980DDD">
        <w:rPr>
          <w:rFonts w:ascii="Palatino Linotype" w:hAnsi="Palatino Linotype"/>
          <w:lang w:val="es-ES"/>
        </w:rPr>
        <w:t xml:space="preserve">El primer punto a analizar es que la ley en materia contempla </w:t>
      </w:r>
      <w:r w:rsidRPr="00980DDD">
        <w:rPr>
          <w:rFonts w:ascii="Palatino Linotype" w:hAnsi="Palatino Linotype"/>
          <w:b/>
          <w:lang w:val="es-ES"/>
        </w:rPr>
        <w:t>información pública de oficio</w:t>
      </w:r>
      <w:r w:rsidRPr="00980DDD">
        <w:rPr>
          <w:rFonts w:ascii="Palatino Linotype" w:hAnsi="Palatino Linotype"/>
          <w:lang w:val="es-ES"/>
        </w:rPr>
        <w:t xml:space="preserve"> que los Sujetos Obligados deben poner a disposición del público de manera </w:t>
      </w:r>
      <w:r w:rsidRPr="00980DDD">
        <w:rPr>
          <w:rFonts w:ascii="Palatino Linotype" w:hAnsi="Palatino Linotype"/>
          <w:lang w:val="es-ES"/>
        </w:rPr>
        <w:lastRenderedPageBreak/>
        <w:t>permanente y actualizada de forma sencilla, precisa y entendible, en los respectivos medios electrónicos la información pública que generen, administren o posean.</w:t>
      </w:r>
    </w:p>
    <w:p w:rsidR="00F900B9" w:rsidRPr="00980DDD" w:rsidRDefault="00F900B9" w:rsidP="00F900B9">
      <w:pPr>
        <w:pStyle w:val="Prrafodelista"/>
        <w:tabs>
          <w:tab w:val="left" w:pos="851"/>
        </w:tabs>
        <w:spacing w:before="240" w:after="240" w:line="360" w:lineRule="auto"/>
        <w:ind w:left="0" w:right="49"/>
        <w:jc w:val="both"/>
        <w:rPr>
          <w:rFonts w:ascii="Palatino Linotype" w:hAnsi="Palatino Linotype"/>
          <w:lang w:val="es-ES"/>
        </w:rPr>
      </w:pPr>
    </w:p>
    <w:p w:rsidR="00F900B9" w:rsidRPr="00980DDD" w:rsidRDefault="00F900B9" w:rsidP="00F900B9">
      <w:pPr>
        <w:pStyle w:val="Prrafodelista"/>
        <w:numPr>
          <w:ilvl w:val="0"/>
          <w:numId w:val="2"/>
        </w:numPr>
        <w:tabs>
          <w:tab w:val="left" w:pos="851"/>
        </w:tabs>
        <w:spacing w:before="240" w:after="240" w:line="360" w:lineRule="auto"/>
        <w:ind w:left="0" w:right="49" w:firstLine="0"/>
        <w:jc w:val="both"/>
        <w:rPr>
          <w:rFonts w:ascii="Palatino Linotype" w:hAnsi="Palatino Linotype"/>
          <w:lang w:val="es-ES"/>
        </w:rPr>
      </w:pPr>
      <w:r w:rsidRPr="00980DDD">
        <w:rPr>
          <w:rFonts w:ascii="Palatino Linotype" w:hAnsi="Palatino Linotype"/>
          <w:lang w:val="es-ES"/>
        </w:rPr>
        <w:t>El segundo punto a analizar y que guarda estricta relación con el punto anterior, se encuentra en el artículo 161 de la citada Ley de Transparencia Local:</w:t>
      </w:r>
    </w:p>
    <w:p w:rsidR="00F900B9" w:rsidRPr="00980DDD" w:rsidRDefault="00F900B9" w:rsidP="00F900B9">
      <w:pPr>
        <w:autoSpaceDE w:val="0"/>
        <w:autoSpaceDN w:val="0"/>
        <w:adjustRightInd w:val="0"/>
        <w:spacing w:line="360" w:lineRule="auto"/>
        <w:ind w:left="567" w:right="567"/>
        <w:jc w:val="both"/>
        <w:rPr>
          <w:rFonts w:ascii="Palatino Linotype" w:hAnsi="Palatino Linotype"/>
          <w:i/>
          <w:lang w:val="es-ES"/>
        </w:rPr>
      </w:pPr>
      <w:r w:rsidRPr="00980DDD">
        <w:rPr>
          <w:rFonts w:ascii="Palatino Linotype" w:hAnsi="Palatino Linotype" w:cs="Bookman Old Style,Bold"/>
          <w:b/>
          <w:bCs/>
          <w:i/>
        </w:rPr>
        <w:t xml:space="preserve">Artículo 161. </w:t>
      </w:r>
      <w:r w:rsidRPr="00980DDD">
        <w:rPr>
          <w:rFonts w:ascii="Palatino Linotype" w:hAnsi="Palatino Linotype" w:cs="Bookman Old Style"/>
          <w:b/>
          <w:i/>
        </w:rPr>
        <w:t>Cuando la información requerida por el solicitante ya esté disponible</w:t>
      </w:r>
      <w:r w:rsidRPr="00980DDD">
        <w:rPr>
          <w:rFonts w:ascii="Palatino Linotype" w:hAnsi="Palatino Linotype" w:cs="Bookman Old Style"/>
          <w:i/>
        </w:rPr>
        <w:t xml:space="preserve"> al público en medios impresos, tales como libros, compendios, trípticos, registros públicos, </w:t>
      </w:r>
      <w:r w:rsidRPr="00980DDD">
        <w:rPr>
          <w:rFonts w:ascii="Palatino Linotype" w:hAnsi="Palatino Linotype" w:cs="Bookman Old Style"/>
          <w:b/>
          <w:i/>
        </w:rPr>
        <w:t xml:space="preserve">en formatos electrónicos disponibles en Internet </w:t>
      </w:r>
      <w:r w:rsidRPr="00980DDD">
        <w:rPr>
          <w:rFonts w:ascii="Palatino Linotype" w:hAnsi="Palatino Linotype" w:cs="Bookman Old Style"/>
          <w:i/>
        </w:rPr>
        <w:t xml:space="preserve">o en cualquier otro medio, se le hará saber por el medio requerido por el solicitante la fuente, el lugar y la forma en que puede consultar, reproducir o adquirir dicha información </w:t>
      </w:r>
      <w:r w:rsidRPr="00980DDD">
        <w:rPr>
          <w:rFonts w:ascii="Palatino Linotype" w:hAnsi="Palatino Linotype" w:cs="Bookman Old Style"/>
          <w:b/>
          <w:i/>
        </w:rPr>
        <w:t>en un plazo no mayor a cinco días hábiles</w:t>
      </w:r>
      <w:r w:rsidRPr="00980DDD">
        <w:rPr>
          <w:rFonts w:ascii="Palatino Linotype" w:hAnsi="Palatino Linotype" w:cs="Bookman Old Style"/>
          <w:i/>
        </w:rPr>
        <w:t xml:space="preserve">. </w:t>
      </w:r>
      <w:r w:rsidRPr="00980DDD">
        <w:rPr>
          <w:rFonts w:ascii="Palatino Linotype" w:hAnsi="Palatino Linotype" w:cs="Bookman Old Style"/>
          <w:b/>
          <w:i/>
        </w:rPr>
        <w:t>La fuente deberá ser precisa y concreta y no debe implicar que el solicitante realice una búsqueda en toda la información que se encuentre disponible</w:t>
      </w:r>
      <w:r w:rsidRPr="00980DDD">
        <w:rPr>
          <w:rFonts w:ascii="Palatino Linotype" w:hAnsi="Palatino Linotype" w:cs="Bookman Old Style"/>
          <w:i/>
        </w:rPr>
        <w:t>.</w:t>
      </w:r>
    </w:p>
    <w:p w:rsidR="00F900B9" w:rsidRPr="00980DDD" w:rsidRDefault="00F900B9" w:rsidP="00F900B9">
      <w:pPr>
        <w:pStyle w:val="Prrafodelista"/>
        <w:numPr>
          <w:ilvl w:val="0"/>
          <w:numId w:val="2"/>
        </w:numPr>
        <w:tabs>
          <w:tab w:val="left" w:pos="851"/>
        </w:tabs>
        <w:spacing w:before="240" w:after="240" w:line="360" w:lineRule="auto"/>
        <w:ind w:left="0" w:right="49" w:firstLine="0"/>
        <w:jc w:val="both"/>
        <w:rPr>
          <w:rFonts w:ascii="Palatino Linotype" w:hAnsi="Palatino Linotype"/>
          <w:i/>
          <w:lang w:val="es-ES"/>
        </w:rPr>
      </w:pPr>
      <w:r w:rsidRPr="00980DDD">
        <w:rPr>
          <w:rFonts w:ascii="Palatino Linotype" w:hAnsi="Palatino Linotype"/>
          <w:lang w:val="es-ES"/>
        </w:rPr>
        <w:t>Es así que, toda aquella información que sea requerida por los particulares pero que, previamente se encuentre disponible en sitios electrónicos, como puede ser de manera enunciativa más no limitativa, el sitio oficial del Sujeto Obligado o el portal IPOMEX o las páginas institucionales. Los Sujetos Obligado pueden indicar la dirección electrónica donde obra la información solicitada. Esta dirección electrónica debe ser precisa, de tal modo que no implique realizar una búsqueda en toda la información que ahí se encuentre. Además, debe ir acompañada del procedimiento a seguir, en caso de que la información se encuentre en distintos puntos del sitio electrónico referido.</w:t>
      </w:r>
    </w:p>
    <w:p w:rsidR="00F900B9" w:rsidRPr="00980DDD" w:rsidRDefault="00F900B9" w:rsidP="00F900B9">
      <w:pPr>
        <w:pStyle w:val="Prrafodelista"/>
        <w:tabs>
          <w:tab w:val="left" w:pos="851"/>
        </w:tabs>
        <w:spacing w:before="240" w:after="240" w:line="360" w:lineRule="auto"/>
        <w:ind w:left="0" w:right="49"/>
        <w:jc w:val="both"/>
        <w:rPr>
          <w:rFonts w:ascii="Palatino Linotype" w:hAnsi="Palatino Linotype"/>
          <w:i/>
          <w:lang w:val="es-ES"/>
        </w:rPr>
      </w:pPr>
    </w:p>
    <w:p w:rsidR="00F900B9" w:rsidRPr="00980DDD" w:rsidRDefault="00F900B9" w:rsidP="00F900B9">
      <w:pPr>
        <w:pStyle w:val="Prrafodelista"/>
        <w:numPr>
          <w:ilvl w:val="0"/>
          <w:numId w:val="2"/>
        </w:numPr>
        <w:tabs>
          <w:tab w:val="left" w:pos="851"/>
        </w:tabs>
        <w:spacing w:before="240" w:after="240" w:line="360" w:lineRule="auto"/>
        <w:ind w:left="0" w:right="49" w:firstLine="0"/>
        <w:jc w:val="both"/>
        <w:rPr>
          <w:rFonts w:ascii="Palatino Linotype" w:hAnsi="Palatino Linotype"/>
          <w:i/>
          <w:lang w:val="es-ES"/>
        </w:rPr>
      </w:pPr>
      <w:r w:rsidRPr="00980DDD">
        <w:rPr>
          <w:rFonts w:ascii="Palatino Linotype" w:hAnsi="Palatino Linotype"/>
          <w:b/>
          <w:lang w:val="es-ES"/>
        </w:rPr>
        <w:t>La orientación</w:t>
      </w:r>
      <w:r w:rsidRPr="00980DDD">
        <w:rPr>
          <w:rFonts w:ascii="Palatino Linotype" w:hAnsi="Palatino Linotype"/>
          <w:lang w:val="es-ES"/>
        </w:rPr>
        <w:t xml:space="preserve"> que realicen los Sujetos Obligados a los sitios electrónicos para la consulta de la información </w:t>
      </w:r>
      <w:r w:rsidRPr="00980DDD">
        <w:rPr>
          <w:rFonts w:ascii="Palatino Linotype" w:hAnsi="Palatino Linotype"/>
          <w:b/>
          <w:lang w:val="es-ES"/>
        </w:rPr>
        <w:t>debe cumplir con las características de tiempo y forma.</w:t>
      </w:r>
      <w:r w:rsidRPr="00980DDD">
        <w:rPr>
          <w:rFonts w:ascii="Palatino Linotype" w:hAnsi="Palatino Linotype"/>
          <w:i/>
          <w:lang w:val="es-ES"/>
        </w:rPr>
        <w:t xml:space="preserve"> </w:t>
      </w:r>
      <w:r w:rsidRPr="00980DDD">
        <w:rPr>
          <w:rFonts w:ascii="Palatino Linotype" w:hAnsi="Palatino Linotype"/>
          <w:lang w:val="es-ES"/>
        </w:rPr>
        <w:t xml:space="preserve">Ahora bien, la normatividad en materia establece que las direcciones electrónicas deben ser precisas, </w:t>
      </w:r>
      <w:r w:rsidRPr="00980DDD">
        <w:rPr>
          <w:rFonts w:ascii="Palatino Linotype" w:hAnsi="Palatino Linotype"/>
          <w:lang w:val="es-ES"/>
        </w:rPr>
        <w:lastRenderedPageBreak/>
        <w:t>de tal modo que no implique que el Recurrente deba de realizar una búsqueda dentro de toda la información disponible. En este caso, el Sujeto Obligado adjuntó cuatro ligas electrónicas en las que señaló que se podía consultar la información solicitada, sin embargo, estas no se encuentran en datos abiertos.</w:t>
      </w:r>
      <w:r w:rsidR="00C53535" w:rsidRPr="00980DDD">
        <w:rPr>
          <w:rFonts w:ascii="Palatino Linotype" w:hAnsi="Palatino Linotype"/>
          <w:lang w:val="es-ES"/>
        </w:rPr>
        <w:t xml:space="preserve"> </w:t>
      </w:r>
    </w:p>
    <w:p w:rsidR="00F900B9" w:rsidRPr="00980DDD" w:rsidRDefault="00F900B9" w:rsidP="00F900B9">
      <w:pPr>
        <w:pStyle w:val="Prrafodelista"/>
        <w:rPr>
          <w:rFonts w:ascii="Palatino Linotype" w:hAnsi="Palatino Linotype"/>
          <w:i/>
          <w:lang w:val="es-ES"/>
        </w:rPr>
      </w:pPr>
    </w:p>
    <w:p w:rsidR="00F900B9" w:rsidRPr="00980DDD" w:rsidRDefault="00F900B9" w:rsidP="00F900B9">
      <w:pPr>
        <w:pStyle w:val="Prrafodelista"/>
        <w:numPr>
          <w:ilvl w:val="0"/>
          <w:numId w:val="2"/>
        </w:numPr>
        <w:spacing w:line="360" w:lineRule="auto"/>
        <w:ind w:left="0" w:firstLine="0"/>
        <w:jc w:val="both"/>
        <w:rPr>
          <w:rFonts w:ascii="Palatino Linotype" w:eastAsia="Arial Unicode MS" w:hAnsi="Palatino Linotype" w:cs="Arial"/>
          <w:lang w:eastAsia="en-US"/>
        </w:rPr>
      </w:pPr>
      <w:r w:rsidRPr="00980DDD">
        <w:rPr>
          <w:rFonts w:ascii="Palatino Linotype" w:eastAsia="Palatino Linotype" w:hAnsi="Palatino Linotype" w:cs="Palatino Linotype"/>
          <w:color w:val="222222"/>
        </w:rPr>
        <w:t>En ese sentido, es oportuno mencionar lo que debemos entender por datos abiertos, siendo estos los datos digitales de carácter público que pueden ser usados, reutilizados y redistribuidos por cualquier interesado y que tienen como característica ser accesibles, integrales, gratuitos, no discriminatorios, oportunos, permanentes, primarios, legibles por las máquinas, en formatos abiertos y de libre uso.  En este mismo sentido, nuestra Ley de Transparencia y Acceso a la Información Pública del Estado de México y Municipios, expresa en su artículo 3, de manera textual lo siguiente:</w:t>
      </w:r>
    </w:p>
    <w:p w:rsidR="00F900B9" w:rsidRPr="00980DDD" w:rsidRDefault="00F900B9" w:rsidP="00F900B9">
      <w:pPr>
        <w:pBdr>
          <w:top w:val="nil"/>
          <w:left w:val="nil"/>
          <w:bottom w:val="nil"/>
          <w:right w:val="nil"/>
          <w:between w:val="nil"/>
        </w:pBdr>
        <w:shd w:val="clear" w:color="auto" w:fill="FFFFFF"/>
        <w:spacing w:line="276" w:lineRule="auto"/>
        <w:ind w:left="851" w:right="822"/>
        <w:jc w:val="both"/>
        <w:rPr>
          <w:rFonts w:ascii="Palatino Linotype" w:eastAsia="Palatino Linotype" w:hAnsi="Palatino Linotype" w:cs="Palatino Linotype"/>
          <w:color w:val="222222"/>
        </w:rPr>
      </w:pPr>
      <w:r w:rsidRPr="00980DDD">
        <w:rPr>
          <w:rFonts w:ascii="Palatino Linotype" w:eastAsia="Palatino Linotype" w:hAnsi="Palatino Linotype" w:cs="Palatino Linotype"/>
          <w:b/>
          <w:i/>
          <w:color w:val="222222"/>
        </w:rPr>
        <w:t>“VIII. Datos abiertos: Los datos digitales de carácter público que son accesibles en línea que pueden ser usados, reutilizados y redistribuidos por cualquier interesado y que tienen las siguientes características:</w:t>
      </w:r>
    </w:p>
    <w:p w:rsidR="00F900B9" w:rsidRPr="00980DDD" w:rsidRDefault="00F900B9" w:rsidP="00F900B9">
      <w:pPr>
        <w:pBdr>
          <w:top w:val="nil"/>
          <w:left w:val="nil"/>
          <w:bottom w:val="nil"/>
          <w:right w:val="nil"/>
          <w:between w:val="nil"/>
        </w:pBdr>
        <w:shd w:val="clear" w:color="auto" w:fill="FFFFFF"/>
        <w:spacing w:line="276" w:lineRule="auto"/>
        <w:ind w:left="851" w:right="822"/>
        <w:jc w:val="both"/>
        <w:rPr>
          <w:rFonts w:ascii="Palatino Linotype" w:eastAsia="Palatino Linotype" w:hAnsi="Palatino Linotype" w:cs="Palatino Linotype"/>
          <w:color w:val="222222"/>
        </w:rPr>
      </w:pPr>
      <w:r w:rsidRPr="00980DDD">
        <w:rPr>
          <w:rFonts w:ascii="Palatino Linotype" w:eastAsia="Palatino Linotype" w:hAnsi="Palatino Linotype" w:cs="Palatino Linotype"/>
          <w:i/>
          <w:color w:val="222222"/>
        </w:rPr>
        <w:t>a) Accesibles: Los datos están disponibles para la gama más amplia de usuarios, para cualquier propósito;</w:t>
      </w:r>
    </w:p>
    <w:p w:rsidR="00F900B9" w:rsidRPr="00980DDD" w:rsidRDefault="00F900B9" w:rsidP="00F900B9">
      <w:pPr>
        <w:pBdr>
          <w:top w:val="nil"/>
          <w:left w:val="nil"/>
          <w:bottom w:val="nil"/>
          <w:right w:val="nil"/>
          <w:between w:val="nil"/>
        </w:pBdr>
        <w:shd w:val="clear" w:color="auto" w:fill="FFFFFF"/>
        <w:spacing w:line="276" w:lineRule="auto"/>
        <w:ind w:left="851" w:right="822"/>
        <w:jc w:val="both"/>
        <w:rPr>
          <w:rFonts w:ascii="Palatino Linotype" w:eastAsia="Palatino Linotype" w:hAnsi="Palatino Linotype" w:cs="Palatino Linotype"/>
          <w:color w:val="222222"/>
        </w:rPr>
      </w:pPr>
      <w:r w:rsidRPr="00980DDD">
        <w:rPr>
          <w:rFonts w:ascii="Palatino Linotype" w:eastAsia="Palatino Linotype" w:hAnsi="Palatino Linotype" w:cs="Palatino Linotype"/>
          <w:i/>
          <w:color w:val="222222"/>
        </w:rPr>
        <w:t>b) Integrales: Contienen el tema que describen a detalle y con los metadatos necesarios;</w:t>
      </w:r>
    </w:p>
    <w:p w:rsidR="00F900B9" w:rsidRPr="00980DDD" w:rsidRDefault="00F900B9" w:rsidP="00F900B9">
      <w:pPr>
        <w:pBdr>
          <w:top w:val="nil"/>
          <w:left w:val="nil"/>
          <w:bottom w:val="nil"/>
          <w:right w:val="nil"/>
          <w:between w:val="nil"/>
        </w:pBdr>
        <w:shd w:val="clear" w:color="auto" w:fill="FFFFFF"/>
        <w:spacing w:line="276" w:lineRule="auto"/>
        <w:ind w:left="851" w:right="822"/>
        <w:jc w:val="both"/>
        <w:rPr>
          <w:rFonts w:ascii="Palatino Linotype" w:eastAsia="Palatino Linotype" w:hAnsi="Palatino Linotype" w:cs="Palatino Linotype"/>
          <w:color w:val="222222"/>
        </w:rPr>
      </w:pPr>
      <w:r w:rsidRPr="00980DDD">
        <w:rPr>
          <w:rFonts w:ascii="Palatino Linotype" w:eastAsia="Palatino Linotype" w:hAnsi="Palatino Linotype" w:cs="Palatino Linotype"/>
          <w:i/>
          <w:color w:val="222222"/>
        </w:rPr>
        <w:t>c) Gratuitos: Se obtienen sin entregar a cambio contraprestación alguna;</w:t>
      </w:r>
    </w:p>
    <w:p w:rsidR="00F900B9" w:rsidRPr="00980DDD" w:rsidRDefault="00F900B9" w:rsidP="00F900B9">
      <w:pPr>
        <w:pBdr>
          <w:top w:val="nil"/>
          <w:left w:val="nil"/>
          <w:bottom w:val="nil"/>
          <w:right w:val="nil"/>
          <w:between w:val="nil"/>
        </w:pBdr>
        <w:shd w:val="clear" w:color="auto" w:fill="FFFFFF"/>
        <w:spacing w:line="276" w:lineRule="auto"/>
        <w:ind w:left="851" w:right="822"/>
        <w:jc w:val="both"/>
        <w:rPr>
          <w:rFonts w:ascii="Palatino Linotype" w:eastAsia="Palatino Linotype" w:hAnsi="Palatino Linotype" w:cs="Palatino Linotype"/>
          <w:color w:val="222222"/>
        </w:rPr>
      </w:pPr>
      <w:r w:rsidRPr="00980DDD">
        <w:rPr>
          <w:rFonts w:ascii="Palatino Linotype" w:eastAsia="Palatino Linotype" w:hAnsi="Palatino Linotype" w:cs="Palatino Linotype"/>
          <w:i/>
          <w:color w:val="222222"/>
        </w:rPr>
        <w:t>d) No discriminatorios: Los datos están disponibles para cualquier persona, sin necesidad de registro;</w:t>
      </w:r>
    </w:p>
    <w:p w:rsidR="00F900B9" w:rsidRPr="00980DDD" w:rsidRDefault="00F900B9" w:rsidP="00F900B9">
      <w:pPr>
        <w:pBdr>
          <w:top w:val="nil"/>
          <w:left w:val="nil"/>
          <w:bottom w:val="nil"/>
          <w:right w:val="nil"/>
          <w:between w:val="nil"/>
        </w:pBdr>
        <w:shd w:val="clear" w:color="auto" w:fill="FFFFFF"/>
        <w:spacing w:line="276" w:lineRule="auto"/>
        <w:ind w:left="851" w:right="822"/>
        <w:jc w:val="both"/>
        <w:rPr>
          <w:rFonts w:ascii="Palatino Linotype" w:eastAsia="Palatino Linotype" w:hAnsi="Palatino Linotype" w:cs="Palatino Linotype"/>
          <w:color w:val="222222"/>
        </w:rPr>
      </w:pPr>
      <w:r w:rsidRPr="00980DDD">
        <w:rPr>
          <w:rFonts w:ascii="Palatino Linotype" w:eastAsia="Palatino Linotype" w:hAnsi="Palatino Linotype" w:cs="Palatino Linotype"/>
          <w:i/>
          <w:color w:val="222222"/>
        </w:rPr>
        <w:t>e) Oportunos: Son actualizados, periódicamente, conforme se generen;</w:t>
      </w:r>
    </w:p>
    <w:p w:rsidR="00F900B9" w:rsidRPr="00980DDD" w:rsidRDefault="00F900B9" w:rsidP="00F900B9">
      <w:pPr>
        <w:pBdr>
          <w:top w:val="nil"/>
          <w:left w:val="nil"/>
          <w:bottom w:val="nil"/>
          <w:right w:val="nil"/>
          <w:between w:val="nil"/>
        </w:pBdr>
        <w:shd w:val="clear" w:color="auto" w:fill="FFFFFF"/>
        <w:spacing w:line="276" w:lineRule="auto"/>
        <w:ind w:left="851" w:right="822"/>
        <w:jc w:val="both"/>
        <w:rPr>
          <w:rFonts w:ascii="Palatino Linotype" w:eastAsia="Palatino Linotype" w:hAnsi="Palatino Linotype" w:cs="Palatino Linotype"/>
          <w:color w:val="222222"/>
        </w:rPr>
      </w:pPr>
      <w:r w:rsidRPr="00980DDD">
        <w:rPr>
          <w:rFonts w:ascii="Palatino Linotype" w:eastAsia="Palatino Linotype" w:hAnsi="Palatino Linotype" w:cs="Palatino Linotype"/>
          <w:i/>
          <w:color w:val="222222"/>
        </w:rPr>
        <w:t>f) Permanentes: Se conservan en el tiempo, para lo cual, las versiones históricas relevantes para uso público se mantendrán disponibles con identificadores adecuados al efecto;</w:t>
      </w:r>
    </w:p>
    <w:p w:rsidR="00F900B9" w:rsidRPr="00980DDD" w:rsidRDefault="00F900B9" w:rsidP="00F900B9">
      <w:pPr>
        <w:pBdr>
          <w:top w:val="nil"/>
          <w:left w:val="nil"/>
          <w:bottom w:val="nil"/>
          <w:right w:val="nil"/>
          <w:between w:val="nil"/>
        </w:pBdr>
        <w:shd w:val="clear" w:color="auto" w:fill="FFFFFF"/>
        <w:spacing w:line="276" w:lineRule="auto"/>
        <w:ind w:left="851" w:right="822"/>
        <w:jc w:val="both"/>
        <w:rPr>
          <w:rFonts w:ascii="Palatino Linotype" w:eastAsia="Palatino Linotype" w:hAnsi="Palatino Linotype" w:cs="Palatino Linotype"/>
          <w:color w:val="222222"/>
        </w:rPr>
      </w:pPr>
      <w:r w:rsidRPr="00980DDD">
        <w:rPr>
          <w:rFonts w:ascii="Palatino Linotype" w:eastAsia="Palatino Linotype" w:hAnsi="Palatino Linotype" w:cs="Palatino Linotype"/>
          <w:i/>
          <w:color w:val="222222"/>
        </w:rPr>
        <w:t>g) Primarios: Provienen de la fuente de origen con el máximo nivel de desagregación posible;</w:t>
      </w:r>
    </w:p>
    <w:p w:rsidR="00F900B9" w:rsidRPr="00980DDD" w:rsidRDefault="00F900B9" w:rsidP="00F900B9">
      <w:pPr>
        <w:pBdr>
          <w:top w:val="nil"/>
          <w:left w:val="nil"/>
          <w:bottom w:val="nil"/>
          <w:right w:val="nil"/>
          <w:between w:val="nil"/>
        </w:pBdr>
        <w:shd w:val="clear" w:color="auto" w:fill="FFFFFF"/>
        <w:spacing w:line="276" w:lineRule="auto"/>
        <w:ind w:left="851" w:right="822"/>
        <w:jc w:val="both"/>
        <w:rPr>
          <w:rFonts w:ascii="Palatino Linotype" w:eastAsia="Palatino Linotype" w:hAnsi="Palatino Linotype" w:cs="Palatino Linotype"/>
          <w:color w:val="222222"/>
        </w:rPr>
      </w:pPr>
      <w:r w:rsidRPr="00980DDD">
        <w:rPr>
          <w:rFonts w:ascii="Palatino Linotype" w:eastAsia="Palatino Linotype" w:hAnsi="Palatino Linotype" w:cs="Palatino Linotype"/>
          <w:i/>
          <w:color w:val="222222"/>
        </w:rPr>
        <w:t>h) Legibles por máquinas: Deberán estar estructurados, total o parcialmente, para ser procesados e interpretados por equipos electrónicos de manera automática;</w:t>
      </w:r>
    </w:p>
    <w:p w:rsidR="00F900B9" w:rsidRPr="00980DDD" w:rsidRDefault="00F900B9" w:rsidP="00F900B9">
      <w:pPr>
        <w:pBdr>
          <w:top w:val="nil"/>
          <w:left w:val="nil"/>
          <w:bottom w:val="nil"/>
          <w:right w:val="nil"/>
          <w:between w:val="nil"/>
        </w:pBdr>
        <w:shd w:val="clear" w:color="auto" w:fill="FFFFFF"/>
        <w:spacing w:line="276" w:lineRule="auto"/>
        <w:ind w:left="851" w:right="822"/>
        <w:jc w:val="both"/>
        <w:rPr>
          <w:rFonts w:ascii="Palatino Linotype" w:eastAsia="Palatino Linotype" w:hAnsi="Palatino Linotype" w:cs="Palatino Linotype"/>
          <w:color w:val="222222"/>
        </w:rPr>
      </w:pPr>
      <w:r w:rsidRPr="00980DDD">
        <w:rPr>
          <w:rFonts w:ascii="Palatino Linotype" w:eastAsia="Palatino Linotype" w:hAnsi="Palatino Linotype" w:cs="Palatino Linotype"/>
          <w:b/>
          <w:i/>
          <w:color w:val="222222"/>
        </w:rPr>
        <w:lastRenderedPageBreak/>
        <w:t>i) En formatos abiertos: Los datos estarán disponibles con el conjunto de características técnicas y de presentación que corresponden a la estructura lógica usada para almacenar datos en un archivo digital, cuyas especificaciones técnicas están disponibles públicamente, que no suponen una dificultad de acceso y que su aplicación y reproducción no estén condicionadas a contraprestación alguna</w:t>
      </w:r>
      <w:r w:rsidRPr="00980DDD">
        <w:rPr>
          <w:rFonts w:ascii="Palatino Linotype" w:eastAsia="Palatino Linotype" w:hAnsi="Palatino Linotype" w:cs="Palatino Linotype"/>
          <w:i/>
          <w:color w:val="222222"/>
        </w:rPr>
        <w:t>; y</w:t>
      </w:r>
    </w:p>
    <w:p w:rsidR="00F900B9" w:rsidRPr="00980DDD" w:rsidRDefault="00F900B9" w:rsidP="00F900B9">
      <w:pPr>
        <w:pBdr>
          <w:top w:val="nil"/>
          <w:left w:val="nil"/>
          <w:bottom w:val="nil"/>
          <w:right w:val="nil"/>
          <w:between w:val="nil"/>
        </w:pBdr>
        <w:shd w:val="clear" w:color="auto" w:fill="FFFFFF"/>
        <w:spacing w:line="276" w:lineRule="auto"/>
        <w:ind w:left="851" w:right="822"/>
        <w:jc w:val="both"/>
        <w:rPr>
          <w:rFonts w:ascii="Palatino Linotype" w:eastAsia="Palatino Linotype" w:hAnsi="Palatino Linotype" w:cs="Palatino Linotype"/>
          <w:color w:val="222222"/>
        </w:rPr>
      </w:pPr>
      <w:r w:rsidRPr="00980DDD">
        <w:rPr>
          <w:rFonts w:ascii="Palatino Linotype" w:eastAsia="Palatino Linotype" w:hAnsi="Palatino Linotype" w:cs="Palatino Linotype"/>
          <w:i/>
          <w:color w:val="222222"/>
        </w:rPr>
        <w:t>j) De libre uso: Citan la fuente de origen como único requerimiento para ser utilizados libremente.</w:t>
      </w:r>
    </w:p>
    <w:p w:rsidR="00F900B9" w:rsidRPr="00980DDD" w:rsidRDefault="00F900B9" w:rsidP="00F900B9">
      <w:pPr>
        <w:pBdr>
          <w:top w:val="nil"/>
          <w:left w:val="nil"/>
          <w:bottom w:val="nil"/>
          <w:right w:val="nil"/>
          <w:between w:val="nil"/>
        </w:pBdr>
        <w:shd w:val="clear" w:color="auto" w:fill="FFFFFF"/>
        <w:spacing w:line="276" w:lineRule="auto"/>
        <w:ind w:left="851" w:right="822"/>
        <w:jc w:val="both"/>
        <w:rPr>
          <w:rFonts w:ascii="Palatino Linotype" w:eastAsia="Palatino Linotype" w:hAnsi="Palatino Linotype" w:cs="Palatino Linotype"/>
          <w:i/>
          <w:color w:val="222222"/>
        </w:rPr>
      </w:pPr>
      <w:r w:rsidRPr="00980DDD">
        <w:rPr>
          <w:rFonts w:ascii="Palatino Linotype" w:eastAsia="Palatino Linotype" w:hAnsi="Palatino Linotype" w:cs="Palatino Linotype"/>
          <w:i/>
          <w:color w:val="222222"/>
        </w:rPr>
        <w:t>(Énfasis añadido)</w:t>
      </w:r>
    </w:p>
    <w:p w:rsidR="00F900B9" w:rsidRPr="00980DDD" w:rsidRDefault="00F900B9" w:rsidP="00F900B9">
      <w:pPr>
        <w:pStyle w:val="Prrafodelista"/>
        <w:spacing w:line="360" w:lineRule="auto"/>
        <w:ind w:left="0"/>
        <w:jc w:val="both"/>
        <w:rPr>
          <w:rFonts w:ascii="Palatino Linotype" w:eastAsia="Palatino Linotype" w:hAnsi="Palatino Linotype" w:cs="Palatino Linotype"/>
          <w:b/>
        </w:rPr>
      </w:pPr>
    </w:p>
    <w:p w:rsidR="00F900B9" w:rsidRPr="00980DDD" w:rsidRDefault="00F900B9" w:rsidP="00F900B9">
      <w:pPr>
        <w:pStyle w:val="Prrafodelista"/>
        <w:numPr>
          <w:ilvl w:val="0"/>
          <w:numId w:val="2"/>
        </w:numPr>
        <w:spacing w:line="360" w:lineRule="auto"/>
        <w:ind w:left="0" w:firstLine="0"/>
        <w:jc w:val="both"/>
        <w:rPr>
          <w:rFonts w:ascii="Palatino Linotype" w:eastAsia="Palatino Linotype" w:hAnsi="Palatino Linotype" w:cs="Palatino Linotype"/>
        </w:rPr>
      </w:pPr>
      <w:r w:rsidRPr="00980DDD">
        <w:rPr>
          <w:rFonts w:ascii="Palatino Linotype" w:eastAsia="Palatino Linotype" w:hAnsi="Palatino Linotype" w:cs="Palatino Linotype"/>
        </w:rPr>
        <w:t xml:space="preserve">El dispositivo legal estatal aplicable a la materia, establece en su artículo 41 que el Instituto promoverá la publicación de la información en datos abiertos y accesibles, de tal manera que este Órgano Garante se encuentra en posibilidades de ordenar al Sujeto Obligado, en caso de tener la información en formatos abiertos entregar la misma en el formato solicitado. Por lo tanto, </w:t>
      </w:r>
      <w:r w:rsidR="00C53535" w:rsidRPr="00980DDD">
        <w:rPr>
          <w:rFonts w:ascii="Palatino Linotype" w:eastAsia="Palatino Linotype" w:hAnsi="Palatino Linotype" w:cs="Palatino Linotype"/>
        </w:rPr>
        <w:t>con las ligas entregadas en respuesta</w:t>
      </w:r>
      <w:r w:rsidRPr="00980DDD">
        <w:rPr>
          <w:rFonts w:ascii="Palatino Linotype" w:eastAsia="Palatino Linotype" w:hAnsi="Palatino Linotype" w:cs="Palatino Linotype"/>
        </w:rPr>
        <w:t xml:space="preserve">, no </w:t>
      </w:r>
      <w:r w:rsidR="00C53535" w:rsidRPr="00980DDD">
        <w:rPr>
          <w:rFonts w:ascii="Palatino Linotype" w:eastAsia="Palatino Linotype" w:hAnsi="Palatino Linotype" w:cs="Palatino Linotype"/>
        </w:rPr>
        <w:t xml:space="preserve">se puede </w:t>
      </w:r>
      <w:r w:rsidRPr="00980DDD">
        <w:rPr>
          <w:rFonts w:ascii="Palatino Linotype" w:eastAsia="Palatino Linotype" w:hAnsi="Palatino Linotype" w:cs="Palatino Linotype"/>
        </w:rPr>
        <w:t>colma</w:t>
      </w:r>
      <w:r w:rsidR="00C53535" w:rsidRPr="00980DDD">
        <w:rPr>
          <w:rFonts w:ascii="Palatino Linotype" w:eastAsia="Palatino Linotype" w:hAnsi="Palatino Linotype" w:cs="Palatino Linotype"/>
        </w:rPr>
        <w:t>r</w:t>
      </w:r>
      <w:r w:rsidRPr="00980DDD">
        <w:rPr>
          <w:rFonts w:ascii="Palatino Linotype" w:eastAsia="Palatino Linotype" w:hAnsi="Palatino Linotype" w:cs="Palatino Linotype"/>
        </w:rPr>
        <w:t xml:space="preserve"> el requerimiento del Recurrente.</w:t>
      </w:r>
    </w:p>
    <w:p w:rsidR="00BD1BD2" w:rsidRPr="00980DDD" w:rsidRDefault="00BD1BD2" w:rsidP="00C53535">
      <w:pPr>
        <w:rPr>
          <w:rFonts w:ascii="Palatino Linotype" w:hAnsi="Palatino Linotype" w:cs="Arial"/>
          <w:color w:val="000000" w:themeColor="text1"/>
        </w:rPr>
      </w:pPr>
    </w:p>
    <w:p w:rsidR="00A374F5" w:rsidRPr="00980DDD" w:rsidRDefault="00A374F5" w:rsidP="00A374F5">
      <w:pPr>
        <w:pStyle w:val="Prrafodelista"/>
        <w:numPr>
          <w:ilvl w:val="0"/>
          <w:numId w:val="12"/>
        </w:numPr>
        <w:rPr>
          <w:rFonts w:ascii="Palatino Linotype" w:hAnsi="Palatino Linotype" w:cs="Arial"/>
          <w:b/>
          <w:color w:val="000000" w:themeColor="text1"/>
        </w:rPr>
      </w:pPr>
      <w:r w:rsidRPr="00980DDD">
        <w:rPr>
          <w:rFonts w:ascii="Palatino Linotype" w:hAnsi="Palatino Linotype" w:cs="Arial"/>
          <w:b/>
          <w:color w:val="000000" w:themeColor="text1"/>
        </w:rPr>
        <w:t>Del presupuesto asignado y ejercido.</w:t>
      </w:r>
    </w:p>
    <w:p w:rsidR="00A374F5" w:rsidRPr="00980DDD" w:rsidRDefault="00022270" w:rsidP="00A374F5">
      <w:pPr>
        <w:pStyle w:val="Prrafodelista"/>
        <w:numPr>
          <w:ilvl w:val="0"/>
          <w:numId w:val="2"/>
        </w:numPr>
        <w:spacing w:line="360" w:lineRule="auto"/>
        <w:ind w:left="0" w:firstLine="0"/>
        <w:jc w:val="both"/>
        <w:rPr>
          <w:rFonts w:ascii="Palatino Linotype" w:hAnsi="Palatino Linotype"/>
        </w:rPr>
      </w:pPr>
      <w:r w:rsidRPr="00980DDD">
        <w:rPr>
          <w:rFonts w:ascii="Palatino Linotype" w:hAnsi="Palatino Linotype"/>
        </w:rPr>
        <w:t>E</w:t>
      </w:r>
      <w:r w:rsidR="00A374F5" w:rsidRPr="00980DDD">
        <w:rPr>
          <w:rFonts w:ascii="Palatino Linotype" w:hAnsi="Palatino Linotype"/>
        </w:rPr>
        <w:t>l Manual para la Planeación, Programación y Presupuesto de Egresos Municipal para el ejercicio fiscal dos mil veintitrés y para el dos mil veinticuatro, establece que el Presupuesto es la estimación financiera anticipada de los ingresos y egresos del gobierno, necesarios para cumplir con los objetivos establecidos; además, que el mismo involucra planes, políticas, programas, proyectos, estrategias y objetivos del municipio.</w:t>
      </w:r>
    </w:p>
    <w:p w:rsidR="00A374F5" w:rsidRPr="00980DDD" w:rsidRDefault="00A374F5" w:rsidP="00A374F5">
      <w:pPr>
        <w:pStyle w:val="Prrafodelista"/>
        <w:spacing w:line="360" w:lineRule="auto"/>
        <w:ind w:left="0"/>
        <w:jc w:val="both"/>
        <w:rPr>
          <w:rFonts w:ascii="Palatino Linotype" w:hAnsi="Palatino Linotype"/>
        </w:rPr>
      </w:pPr>
    </w:p>
    <w:p w:rsidR="00A374F5" w:rsidRPr="00980DDD" w:rsidRDefault="00A374F5" w:rsidP="00A374F5">
      <w:pPr>
        <w:pStyle w:val="Prrafodelista"/>
        <w:numPr>
          <w:ilvl w:val="0"/>
          <w:numId w:val="2"/>
        </w:numPr>
        <w:spacing w:line="360" w:lineRule="auto"/>
        <w:ind w:left="0" w:firstLine="0"/>
        <w:jc w:val="both"/>
        <w:rPr>
          <w:rFonts w:ascii="Palatino Linotype" w:hAnsi="Palatino Linotype"/>
        </w:rPr>
      </w:pPr>
      <w:r w:rsidRPr="00980DDD">
        <w:rPr>
          <w:rFonts w:ascii="Palatino Linotype" w:hAnsi="Palatino Linotype"/>
        </w:rPr>
        <w:t>Asimismo, el Glosario de Términos, de dichos Manuales, establecen que el presupuesto es la estimación financiera anticipada de los egresos e ingresos del gobierno, necesario para cumplir con los propósitos de un programa determinado; por otra parte, establece lo siguiente:</w:t>
      </w:r>
    </w:p>
    <w:p w:rsidR="00A374F5" w:rsidRPr="00980DDD" w:rsidRDefault="00A374F5" w:rsidP="00A374F5">
      <w:pPr>
        <w:numPr>
          <w:ilvl w:val="0"/>
          <w:numId w:val="16"/>
        </w:numPr>
        <w:pBdr>
          <w:top w:val="nil"/>
          <w:left w:val="nil"/>
          <w:bottom w:val="nil"/>
          <w:right w:val="nil"/>
          <w:between w:val="nil"/>
        </w:pBdr>
        <w:spacing w:line="360" w:lineRule="auto"/>
        <w:jc w:val="both"/>
        <w:rPr>
          <w:rFonts w:ascii="Palatino Linotype" w:hAnsi="Palatino Linotype"/>
          <w:color w:val="000000"/>
        </w:rPr>
      </w:pPr>
      <w:r w:rsidRPr="00980DDD">
        <w:rPr>
          <w:rFonts w:ascii="Palatino Linotype" w:hAnsi="Palatino Linotype"/>
          <w:b/>
          <w:color w:val="000000"/>
        </w:rPr>
        <w:lastRenderedPageBreak/>
        <w:t xml:space="preserve">Presupuesto Autorizado: </w:t>
      </w:r>
      <w:r w:rsidRPr="00980DDD">
        <w:rPr>
          <w:rFonts w:ascii="Palatino Linotype" w:hAnsi="Palatino Linotype"/>
          <w:color w:val="000000"/>
        </w:rPr>
        <w:t>Es el monto de recursos que se autoriza ejercer en un ejercicio fiscal, a través del Decreto del Presupuesto de Egresos.</w:t>
      </w:r>
    </w:p>
    <w:p w:rsidR="00A374F5" w:rsidRPr="00980DDD" w:rsidRDefault="00A374F5" w:rsidP="00A374F5">
      <w:pPr>
        <w:numPr>
          <w:ilvl w:val="0"/>
          <w:numId w:val="16"/>
        </w:numPr>
        <w:pBdr>
          <w:top w:val="nil"/>
          <w:left w:val="nil"/>
          <w:bottom w:val="nil"/>
          <w:right w:val="nil"/>
          <w:between w:val="nil"/>
        </w:pBdr>
        <w:spacing w:line="360" w:lineRule="auto"/>
        <w:jc w:val="both"/>
        <w:rPr>
          <w:rFonts w:ascii="Palatino Linotype" w:hAnsi="Palatino Linotype"/>
          <w:color w:val="000000"/>
        </w:rPr>
      </w:pPr>
      <w:r w:rsidRPr="00980DDD">
        <w:rPr>
          <w:rFonts w:ascii="Palatino Linotype" w:hAnsi="Palatino Linotype"/>
          <w:color w:val="000000"/>
        </w:rPr>
        <w:t xml:space="preserve"> </w:t>
      </w:r>
      <w:r w:rsidRPr="00980DDD">
        <w:rPr>
          <w:rFonts w:ascii="Palatino Linotype" w:hAnsi="Palatino Linotype"/>
          <w:b/>
          <w:color w:val="000000"/>
        </w:rPr>
        <w:t>Presupuesto Ejercido</w:t>
      </w:r>
      <w:r w:rsidRPr="00980DDD">
        <w:rPr>
          <w:rFonts w:ascii="Palatino Linotype" w:hAnsi="Palatino Linotype"/>
          <w:color w:val="000000"/>
        </w:rPr>
        <w:t>: Es el importe de erogaciones realizadas, respaldadas por los documentos comprobatorios presentados a la dependencia una vez autorizadas para su pago, con cargo al presupuesto autorizado.</w:t>
      </w:r>
    </w:p>
    <w:p w:rsidR="00A374F5" w:rsidRPr="00980DDD" w:rsidRDefault="00A374F5" w:rsidP="00A374F5">
      <w:pPr>
        <w:tabs>
          <w:tab w:val="left" w:pos="4962"/>
        </w:tabs>
        <w:spacing w:line="360" w:lineRule="auto"/>
        <w:jc w:val="both"/>
        <w:rPr>
          <w:rFonts w:ascii="Palatino Linotype" w:hAnsi="Palatino Linotype"/>
        </w:rPr>
      </w:pPr>
    </w:p>
    <w:p w:rsidR="00A374F5" w:rsidRPr="00980DDD" w:rsidRDefault="00A374F5" w:rsidP="00A374F5">
      <w:pPr>
        <w:pStyle w:val="Prrafodelista"/>
        <w:numPr>
          <w:ilvl w:val="0"/>
          <w:numId w:val="2"/>
        </w:numPr>
        <w:spacing w:line="360" w:lineRule="auto"/>
        <w:ind w:left="0" w:right="-93" w:firstLine="0"/>
        <w:jc w:val="both"/>
        <w:rPr>
          <w:rFonts w:ascii="Palatino Linotype" w:hAnsi="Palatino Linotype"/>
        </w:rPr>
      </w:pPr>
      <w:r w:rsidRPr="00980DDD">
        <w:rPr>
          <w:rFonts w:ascii="Palatino Linotype" w:hAnsi="Palatino Linotype"/>
        </w:rPr>
        <w:t>Además, los Manuales citados, contienen el Clasificador por Objeto del Gasto Estatal y Municipal, la cual establece la estructura del Clasificador por Objeto del Gasto, que se conforma de la siguiente manera:</w:t>
      </w:r>
    </w:p>
    <w:p w:rsidR="00A374F5" w:rsidRPr="00980DDD" w:rsidRDefault="00A374F5" w:rsidP="00A374F5">
      <w:pPr>
        <w:numPr>
          <w:ilvl w:val="0"/>
          <w:numId w:val="17"/>
        </w:numPr>
        <w:pBdr>
          <w:top w:val="nil"/>
          <w:left w:val="nil"/>
          <w:bottom w:val="nil"/>
          <w:right w:val="nil"/>
          <w:between w:val="nil"/>
        </w:pBdr>
        <w:spacing w:line="360" w:lineRule="auto"/>
        <w:ind w:right="-93"/>
        <w:jc w:val="both"/>
        <w:rPr>
          <w:rFonts w:ascii="Palatino Linotype" w:hAnsi="Palatino Linotype"/>
          <w:b/>
          <w:color w:val="000000"/>
        </w:rPr>
      </w:pPr>
      <w:r w:rsidRPr="00980DDD">
        <w:rPr>
          <w:rFonts w:ascii="Palatino Linotype" w:hAnsi="Palatino Linotype"/>
          <w:b/>
          <w:color w:val="000000"/>
        </w:rPr>
        <w:t xml:space="preserve">Capítulo: </w:t>
      </w:r>
      <w:r w:rsidRPr="00980DDD">
        <w:rPr>
          <w:rFonts w:ascii="Palatino Linotype" w:hAnsi="Palatino Linotype"/>
          <w:color w:val="000000"/>
        </w:rPr>
        <w:t>Es el mayor nivel de agregación que identifica el conjunto homogéneo y ordenado de los bienes y servicios requeridos por los entes públicos, es el primer dígito de la codificación;</w:t>
      </w:r>
    </w:p>
    <w:p w:rsidR="00A374F5" w:rsidRPr="00980DDD" w:rsidRDefault="00A374F5" w:rsidP="00A374F5">
      <w:pPr>
        <w:numPr>
          <w:ilvl w:val="0"/>
          <w:numId w:val="17"/>
        </w:numPr>
        <w:pBdr>
          <w:top w:val="nil"/>
          <w:left w:val="nil"/>
          <w:bottom w:val="nil"/>
          <w:right w:val="nil"/>
          <w:between w:val="nil"/>
        </w:pBdr>
        <w:spacing w:line="360" w:lineRule="auto"/>
        <w:ind w:right="-93"/>
        <w:jc w:val="both"/>
        <w:rPr>
          <w:rFonts w:ascii="Palatino Linotype" w:hAnsi="Palatino Linotype"/>
          <w:b/>
          <w:color w:val="000000"/>
        </w:rPr>
      </w:pPr>
      <w:r w:rsidRPr="00980DDD">
        <w:rPr>
          <w:rFonts w:ascii="Palatino Linotype" w:hAnsi="Palatino Linotype"/>
          <w:b/>
          <w:color w:val="000000"/>
        </w:rPr>
        <w:t xml:space="preserve">Concepto (Subcapítulo): </w:t>
      </w:r>
      <w:r w:rsidRPr="00980DDD">
        <w:rPr>
          <w:rFonts w:ascii="Palatino Linotype" w:hAnsi="Palatino Linotype"/>
          <w:color w:val="000000"/>
        </w:rPr>
        <w:t>Son los subconjuntos homogéneos y ordenados en forma específica, producto de la desagregación de los bienes y servicios, incluidos en cada capítulo, por lo que, es el segundo dígito de la estructura, y</w:t>
      </w:r>
    </w:p>
    <w:p w:rsidR="00A374F5" w:rsidRPr="00980DDD" w:rsidRDefault="00A374F5" w:rsidP="00A374F5">
      <w:pPr>
        <w:numPr>
          <w:ilvl w:val="0"/>
          <w:numId w:val="17"/>
        </w:numPr>
        <w:pBdr>
          <w:top w:val="nil"/>
          <w:left w:val="nil"/>
          <w:bottom w:val="nil"/>
          <w:right w:val="nil"/>
          <w:between w:val="nil"/>
        </w:pBdr>
        <w:spacing w:line="360" w:lineRule="auto"/>
        <w:ind w:right="-93"/>
        <w:jc w:val="both"/>
        <w:rPr>
          <w:rFonts w:ascii="Palatino Linotype" w:hAnsi="Palatino Linotype"/>
          <w:color w:val="000000"/>
        </w:rPr>
      </w:pPr>
      <w:r w:rsidRPr="00980DDD">
        <w:rPr>
          <w:rFonts w:ascii="Palatino Linotype" w:hAnsi="Palatino Linotype"/>
          <w:b/>
          <w:color w:val="000000"/>
        </w:rPr>
        <w:t xml:space="preserve">Partida: </w:t>
      </w:r>
      <w:r w:rsidRPr="00980DDD">
        <w:rPr>
          <w:rFonts w:ascii="Palatino Linotype" w:hAnsi="Palatino Linotype"/>
          <w:color w:val="000000"/>
        </w:rPr>
        <w:t>Corresponde al nivel de agregación más específico en el cual se describen las expresiones concretas y detalladas de los bienes y servicios que se adquieren, el cual se subdivide en:</w:t>
      </w:r>
    </w:p>
    <w:p w:rsidR="00A374F5" w:rsidRPr="00980DDD" w:rsidRDefault="00A374F5" w:rsidP="00A374F5">
      <w:pPr>
        <w:numPr>
          <w:ilvl w:val="0"/>
          <w:numId w:val="15"/>
        </w:numPr>
        <w:pBdr>
          <w:top w:val="nil"/>
          <w:left w:val="nil"/>
          <w:bottom w:val="nil"/>
          <w:right w:val="nil"/>
          <w:between w:val="nil"/>
        </w:pBdr>
        <w:spacing w:line="360" w:lineRule="auto"/>
        <w:ind w:right="-93"/>
        <w:jc w:val="both"/>
        <w:rPr>
          <w:rFonts w:ascii="Palatino Linotype" w:hAnsi="Palatino Linotype"/>
          <w:b/>
          <w:color w:val="000000"/>
        </w:rPr>
      </w:pPr>
      <w:r w:rsidRPr="00980DDD">
        <w:rPr>
          <w:rFonts w:ascii="Palatino Linotype" w:hAnsi="Palatino Linotype"/>
          <w:b/>
          <w:color w:val="000000"/>
        </w:rPr>
        <w:t xml:space="preserve">Genérica: </w:t>
      </w:r>
      <w:r w:rsidRPr="00980DDD">
        <w:rPr>
          <w:rFonts w:ascii="Palatino Linotype" w:hAnsi="Palatino Linotype"/>
          <w:color w:val="000000"/>
        </w:rPr>
        <w:t>Se refiere al tercer dígito, el cual busca la armonización de todos los niveles de gobierno, y</w:t>
      </w:r>
    </w:p>
    <w:p w:rsidR="00A374F5" w:rsidRPr="00980DDD" w:rsidRDefault="00A374F5" w:rsidP="00A374F5">
      <w:pPr>
        <w:numPr>
          <w:ilvl w:val="0"/>
          <w:numId w:val="15"/>
        </w:numPr>
        <w:pBdr>
          <w:top w:val="nil"/>
          <w:left w:val="nil"/>
          <w:bottom w:val="nil"/>
          <w:right w:val="nil"/>
          <w:between w:val="nil"/>
        </w:pBdr>
        <w:spacing w:line="360" w:lineRule="auto"/>
        <w:ind w:right="-93"/>
        <w:jc w:val="both"/>
        <w:rPr>
          <w:rFonts w:ascii="Palatino Linotype" w:hAnsi="Palatino Linotype"/>
          <w:color w:val="000000"/>
        </w:rPr>
      </w:pPr>
      <w:r w:rsidRPr="00980DDD">
        <w:rPr>
          <w:rFonts w:ascii="Palatino Linotype" w:hAnsi="Palatino Linotype"/>
          <w:b/>
          <w:color w:val="000000"/>
        </w:rPr>
        <w:t xml:space="preserve">Específica: </w:t>
      </w:r>
      <w:r w:rsidRPr="00980DDD">
        <w:rPr>
          <w:rFonts w:ascii="Palatino Linotype" w:hAnsi="Palatino Linotype"/>
          <w:color w:val="000000"/>
        </w:rPr>
        <w:t>Es el cuarto digito, mismo que permite a las unidades administrativas, generar su apertura, conservando la estructura básica, con el fin de mantener la armonización contable.</w:t>
      </w:r>
    </w:p>
    <w:p w:rsidR="00A374F5" w:rsidRPr="00980DDD" w:rsidRDefault="00A374F5" w:rsidP="00A374F5">
      <w:pPr>
        <w:spacing w:line="360" w:lineRule="auto"/>
        <w:jc w:val="both"/>
        <w:rPr>
          <w:rFonts w:ascii="Palatino Linotype" w:hAnsi="Palatino Linotype"/>
          <w:color w:val="000000"/>
        </w:rPr>
      </w:pPr>
    </w:p>
    <w:p w:rsidR="00A374F5" w:rsidRPr="00980DDD" w:rsidRDefault="00A374F5" w:rsidP="00022270">
      <w:pPr>
        <w:pStyle w:val="Prrafodelista"/>
        <w:numPr>
          <w:ilvl w:val="0"/>
          <w:numId w:val="2"/>
        </w:numPr>
        <w:shd w:val="clear" w:color="auto" w:fill="FFFFFF"/>
        <w:spacing w:line="360" w:lineRule="auto"/>
        <w:ind w:left="0" w:firstLine="0"/>
        <w:jc w:val="both"/>
        <w:rPr>
          <w:rFonts w:ascii="Palatino Linotype" w:hAnsi="Palatino Linotype"/>
          <w:color w:val="000000"/>
        </w:rPr>
      </w:pPr>
      <w:r w:rsidRPr="00980DDD">
        <w:rPr>
          <w:rFonts w:ascii="Palatino Linotype" w:hAnsi="Palatino Linotype"/>
          <w:color w:val="000000"/>
        </w:rPr>
        <w:lastRenderedPageBreak/>
        <w:t xml:space="preserve">En ese orden de ideas, el Clasificador por Objeto del Gasto Municipal, entre las que se encuentra la </w:t>
      </w:r>
      <w:r w:rsidR="00022270" w:rsidRPr="00980DDD">
        <w:rPr>
          <w:rFonts w:ascii="Palatino Linotype" w:hAnsi="Palatino Linotype"/>
          <w:b/>
          <w:color w:val="000000"/>
        </w:rPr>
        <w:t>1000</w:t>
      </w:r>
      <w:r w:rsidRPr="00980DDD">
        <w:rPr>
          <w:rFonts w:ascii="Palatino Linotype" w:hAnsi="Palatino Linotype"/>
          <w:b/>
          <w:color w:val="000000"/>
        </w:rPr>
        <w:t>, correspondiente a</w:t>
      </w:r>
      <w:r w:rsidRPr="00980DDD">
        <w:rPr>
          <w:rFonts w:ascii="Palatino Linotype" w:hAnsi="Palatino Linotype"/>
          <w:color w:val="000000"/>
        </w:rPr>
        <w:t xml:space="preserve"> </w:t>
      </w:r>
      <w:r w:rsidRPr="00980DDD">
        <w:rPr>
          <w:rFonts w:ascii="Palatino Linotype" w:hAnsi="Palatino Linotype"/>
          <w:b/>
          <w:color w:val="000000"/>
        </w:rPr>
        <w:t xml:space="preserve">Servicios </w:t>
      </w:r>
      <w:r w:rsidR="00022270" w:rsidRPr="00980DDD">
        <w:rPr>
          <w:rFonts w:ascii="Palatino Linotype" w:hAnsi="Palatino Linotype"/>
          <w:b/>
          <w:color w:val="000000"/>
        </w:rPr>
        <w:t>Personale</w:t>
      </w:r>
      <w:r w:rsidRPr="00980DDD">
        <w:rPr>
          <w:rFonts w:ascii="Palatino Linotype" w:hAnsi="Palatino Linotype"/>
          <w:b/>
          <w:color w:val="000000"/>
        </w:rPr>
        <w:t xml:space="preserve">s, </w:t>
      </w:r>
      <w:r w:rsidRPr="00980DDD">
        <w:rPr>
          <w:rFonts w:ascii="Palatino Linotype" w:hAnsi="Palatino Linotype"/>
          <w:color w:val="000000"/>
        </w:rPr>
        <w:t xml:space="preserve">la cual contiene la partida </w:t>
      </w:r>
      <w:r w:rsidR="00022270" w:rsidRPr="00980DDD">
        <w:rPr>
          <w:rFonts w:ascii="Palatino Linotype" w:hAnsi="Palatino Linotype"/>
          <w:b/>
          <w:color w:val="000000"/>
        </w:rPr>
        <w:t>1100</w:t>
      </w:r>
      <w:r w:rsidRPr="00980DDD">
        <w:rPr>
          <w:rFonts w:ascii="Palatino Linotype" w:hAnsi="Palatino Linotype"/>
          <w:b/>
          <w:color w:val="000000"/>
        </w:rPr>
        <w:t xml:space="preserve"> </w:t>
      </w:r>
      <w:r w:rsidR="00022270" w:rsidRPr="00980DDD">
        <w:rPr>
          <w:rFonts w:ascii="Palatino Linotype" w:hAnsi="Palatino Linotype"/>
          <w:b/>
          <w:color w:val="000000"/>
        </w:rPr>
        <w:t>Remuneraciones al Personal de Carácter Permanente, 1200</w:t>
      </w:r>
      <w:r w:rsidR="00022270" w:rsidRPr="00980DDD">
        <w:t xml:space="preserve"> </w:t>
      </w:r>
      <w:r w:rsidR="00022270" w:rsidRPr="00980DDD">
        <w:rPr>
          <w:rFonts w:ascii="Palatino Linotype" w:hAnsi="Palatino Linotype"/>
          <w:b/>
          <w:color w:val="000000"/>
        </w:rPr>
        <w:t>Remuneraciones al Personal de Carácter Transitorio y 1300</w:t>
      </w:r>
      <w:r w:rsidRPr="00980DDD">
        <w:rPr>
          <w:rFonts w:ascii="Palatino Linotype" w:hAnsi="Palatino Linotype"/>
          <w:color w:val="000000"/>
        </w:rPr>
        <w:t xml:space="preserve"> </w:t>
      </w:r>
      <w:r w:rsidR="00022270" w:rsidRPr="00980DDD">
        <w:rPr>
          <w:rFonts w:ascii="Palatino Linotype" w:hAnsi="Palatino Linotype"/>
          <w:b/>
          <w:color w:val="000000"/>
        </w:rPr>
        <w:t>Remuneraciones Adicionales y Especiales,</w:t>
      </w:r>
      <w:r w:rsidR="00022270" w:rsidRPr="00980DDD">
        <w:rPr>
          <w:rFonts w:ascii="Palatino Linotype" w:hAnsi="Palatino Linotype"/>
          <w:color w:val="000000"/>
        </w:rPr>
        <w:t xml:space="preserve"> </w:t>
      </w:r>
      <w:r w:rsidRPr="00980DDD">
        <w:rPr>
          <w:rFonts w:ascii="Palatino Linotype" w:hAnsi="Palatino Linotype"/>
          <w:color w:val="000000"/>
        </w:rPr>
        <w:t xml:space="preserve">que son las asignaciones destinadas a cubrir las erogaciones por concepto de servicios </w:t>
      </w:r>
      <w:r w:rsidR="00022270" w:rsidRPr="00980DDD">
        <w:rPr>
          <w:rFonts w:ascii="Palatino Linotype" w:hAnsi="Palatino Linotype"/>
          <w:color w:val="000000"/>
        </w:rPr>
        <w:t xml:space="preserve">personales que </w:t>
      </w:r>
      <w:r w:rsidR="00271D91" w:rsidRPr="00980DDD">
        <w:rPr>
          <w:rFonts w:ascii="Palatino Linotype" w:hAnsi="Palatino Linotype"/>
          <w:color w:val="000000"/>
        </w:rPr>
        <w:t xml:space="preserve">comprenden las remuneraciones de los servidores públicos. </w:t>
      </w:r>
    </w:p>
    <w:p w:rsidR="00BD1BD2" w:rsidRPr="00980DDD" w:rsidRDefault="00BD1BD2" w:rsidP="00271D91">
      <w:pPr>
        <w:pStyle w:val="Prrafodelista"/>
        <w:spacing w:line="360" w:lineRule="auto"/>
        <w:ind w:left="0"/>
        <w:jc w:val="both"/>
        <w:rPr>
          <w:rFonts w:ascii="Palatino Linotype" w:hAnsi="Palatino Linotype" w:cs="Arial"/>
          <w:color w:val="000000" w:themeColor="text1"/>
        </w:rPr>
      </w:pPr>
    </w:p>
    <w:p w:rsidR="00C53535" w:rsidRPr="00980DDD" w:rsidRDefault="00271D91" w:rsidP="001309ED">
      <w:pPr>
        <w:pStyle w:val="Prrafodelista"/>
        <w:numPr>
          <w:ilvl w:val="0"/>
          <w:numId w:val="2"/>
        </w:numPr>
        <w:tabs>
          <w:tab w:val="left" w:pos="426"/>
        </w:tabs>
        <w:spacing w:before="240" w:after="360" w:line="360" w:lineRule="auto"/>
        <w:ind w:left="0" w:firstLine="0"/>
        <w:jc w:val="both"/>
        <w:rPr>
          <w:rFonts w:ascii="Palatino Linotype" w:hAnsi="Palatino Linotype" w:cs="Arial"/>
          <w:color w:val="000000" w:themeColor="text1"/>
        </w:rPr>
      </w:pPr>
      <w:r w:rsidRPr="00980DDD">
        <w:rPr>
          <w:rFonts w:ascii="Palatino Linotype" w:hAnsi="Palatino Linotype" w:cs="Arial"/>
          <w:color w:val="000000" w:themeColor="text1"/>
        </w:rPr>
        <w:t xml:space="preserve">Ahora bien, en este caso el Sujeto Obligado remitió el Estado Analítico del Ejercicio del Presupuesto de Egresos Clasificación por Objeto del Gasto (Capítulo y Concepto), del primero de enero al treinta y uno de diciembre de dos mil veinticuatro, en ese sentido, se puede colmar el requerimiento referente al monto asignado y ejercido por concepto de pago de quincenas, prima vacacional y aguinaldo del 01 de enero al 31 de diciembre de 2024, sin embargo, falta el referente del primero de enero al treinta y uno de mayo de dos mil veinticinco. </w:t>
      </w:r>
    </w:p>
    <w:p w:rsidR="00C53535" w:rsidRPr="00980DDD" w:rsidRDefault="00C53535" w:rsidP="00271D91">
      <w:pPr>
        <w:pStyle w:val="Prrafodelista"/>
        <w:tabs>
          <w:tab w:val="left" w:pos="426"/>
        </w:tabs>
        <w:spacing w:before="240" w:after="360" w:line="360" w:lineRule="auto"/>
        <w:ind w:left="0"/>
        <w:jc w:val="both"/>
        <w:rPr>
          <w:rFonts w:ascii="Palatino Linotype" w:hAnsi="Palatino Linotype" w:cs="Arial"/>
          <w:color w:val="000000" w:themeColor="text1"/>
        </w:rPr>
      </w:pPr>
    </w:p>
    <w:p w:rsidR="001309ED" w:rsidRPr="00980DDD" w:rsidRDefault="001309ED" w:rsidP="001309ED">
      <w:pPr>
        <w:pStyle w:val="Prrafodelista"/>
        <w:numPr>
          <w:ilvl w:val="0"/>
          <w:numId w:val="2"/>
        </w:numPr>
        <w:tabs>
          <w:tab w:val="left" w:pos="426"/>
        </w:tabs>
        <w:spacing w:before="240" w:after="360" w:line="360" w:lineRule="auto"/>
        <w:ind w:left="0" w:firstLine="0"/>
        <w:jc w:val="both"/>
        <w:rPr>
          <w:rFonts w:ascii="Palatino Linotype" w:hAnsi="Palatino Linotype" w:cs="Arial"/>
          <w:i/>
          <w:color w:val="000000" w:themeColor="text1"/>
        </w:rPr>
      </w:pPr>
      <w:r w:rsidRPr="00980DDD">
        <w:rPr>
          <w:rFonts w:ascii="Palatino Linotype" w:hAnsi="Palatino Linotype"/>
          <w:color w:val="000000" w:themeColor="text1"/>
        </w:rPr>
        <w:t xml:space="preserve">Así, resulta necesario referir que, el </w:t>
      </w:r>
      <w:r w:rsidRPr="00980DDD">
        <w:rPr>
          <w:rFonts w:ascii="Palatino Linotype" w:eastAsia="Calibri" w:hAnsi="Palatino Linotype" w:cs="Arial"/>
        </w:rPr>
        <w:t xml:space="preserve">artículo 6° apartado A fracción I, de la Constitución Política de los Estados Unidos Mexicanos, artículo 5 fracción I de la Constitución Política del Estado Libre y Soberano de México y el artículo 18 de la Ley de Transparencia y Acceso a la Información Pública del Estado de México y Municipios, guardan una estrecha relación, puesto que los ordenamientos citados concurren refiriendo que </w:t>
      </w:r>
      <w:r w:rsidRPr="00980DDD">
        <w:rPr>
          <w:rFonts w:ascii="Palatino Linotype" w:eastAsia="Calibri" w:hAnsi="Palatino Linotype" w:cs="Arial"/>
          <w:b/>
        </w:rPr>
        <w:t>los Sujetos Obligados deberán documentar todo acto que se derive del ejercicio de sus facultades, competencias o funciones,</w:t>
      </w:r>
      <w:r w:rsidRPr="00980DDD">
        <w:rPr>
          <w:rFonts w:ascii="Palatino Linotype" w:eastAsia="Calibri" w:hAnsi="Palatino Linotype" w:cs="Arial"/>
        </w:rPr>
        <w:t xml:space="preserve"> considerando desde su origen la eventual publicidad y reutilización de la información que generen, posean o administren.</w:t>
      </w:r>
    </w:p>
    <w:p w:rsidR="001309ED" w:rsidRPr="00980DDD" w:rsidRDefault="001309ED" w:rsidP="001309ED">
      <w:pPr>
        <w:pStyle w:val="Prrafodelista"/>
        <w:spacing w:line="360" w:lineRule="auto"/>
        <w:ind w:left="0"/>
        <w:rPr>
          <w:rFonts w:ascii="Palatino Linotype" w:hAnsi="Palatino Linotype" w:cs="Arial"/>
          <w:i/>
          <w:color w:val="000000" w:themeColor="text1"/>
        </w:rPr>
      </w:pPr>
    </w:p>
    <w:p w:rsidR="001309ED" w:rsidRPr="00980DDD" w:rsidRDefault="001309ED" w:rsidP="001309ED">
      <w:pPr>
        <w:pStyle w:val="Prrafodelista"/>
        <w:numPr>
          <w:ilvl w:val="0"/>
          <w:numId w:val="2"/>
        </w:numPr>
        <w:spacing w:line="360" w:lineRule="auto"/>
        <w:ind w:left="0" w:right="49" w:firstLine="0"/>
        <w:jc w:val="both"/>
        <w:rPr>
          <w:rFonts w:ascii="Palatino Linotype" w:hAnsi="Palatino Linotype" w:cs="Arial"/>
          <w:color w:val="000000"/>
        </w:rPr>
      </w:pPr>
      <w:r w:rsidRPr="00980DDD">
        <w:rPr>
          <w:rFonts w:ascii="Palatino Linotype" w:hAnsi="Palatino Linotype" w:cs="Arial"/>
          <w:color w:val="000000"/>
        </w:rPr>
        <w:lastRenderedPageBreak/>
        <w:t>Además, debemos tomar en cuenta los artículos 4 y 12, de la Ley de Transparencia y Acceso a la Información Pública del Estado de México y Municipios, los cuales establecen lo siguiente:</w:t>
      </w:r>
    </w:p>
    <w:p w:rsidR="001309ED" w:rsidRPr="00980DDD" w:rsidRDefault="001309ED" w:rsidP="00271D91">
      <w:pPr>
        <w:autoSpaceDE w:val="0"/>
        <w:autoSpaceDN w:val="0"/>
        <w:adjustRightInd w:val="0"/>
        <w:spacing w:line="276" w:lineRule="auto"/>
        <w:ind w:left="567" w:right="567"/>
        <w:jc w:val="both"/>
        <w:rPr>
          <w:rFonts w:ascii="Palatino Linotype" w:hAnsi="Palatino Linotype" w:cs="Bookman Old Style"/>
          <w:i/>
        </w:rPr>
      </w:pPr>
      <w:r w:rsidRPr="00980DDD">
        <w:rPr>
          <w:rFonts w:ascii="Palatino Linotype" w:hAnsi="Palatino Linotype" w:cs="Bookman Old Style,Bold"/>
          <w:b/>
          <w:bCs/>
          <w:i/>
        </w:rPr>
        <w:t xml:space="preserve">Artículo 4. </w:t>
      </w:r>
      <w:r w:rsidRPr="00980DDD">
        <w:rPr>
          <w:rFonts w:ascii="Palatino Linotype" w:hAnsi="Palatino Linotype" w:cs="Bookman Old Style"/>
          <w:i/>
        </w:rPr>
        <w:t>El derecho humano de acceso a la información pública es la prerrogativa de las personas para buscar, difundir, investigar, recabar, recibir y solicitar información pública, sin necesidad de acreditar personalidad ni interés jurídico.</w:t>
      </w:r>
    </w:p>
    <w:p w:rsidR="001309ED" w:rsidRPr="00980DDD" w:rsidRDefault="001309ED" w:rsidP="00271D91">
      <w:pPr>
        <w:autoSpaceDE w:val="0"/>
        <w:autoSpaceDN w:val="0"/>
        <w:adjustRightInd w:val="0"/>
        <w:spacing w:line="276" w:lineRule="auto"/>
        <w:ind w:left="567" w:right="567"/>
        <w:jc w:val="both"/>
        <w:rPr>
          <w:rFonts w:ascii="Palatino Linotype" w:hAnsi="Palatino Linotype" w:cs="Bookman Old Style"/>
          <w:i/>
        </w:rPr>
      </w:pPr>
    </w:p>
    <w:p w:rsidR="001309ED" w:rsidRPr="00980DDD" w:rsidRDefault="001309ED" w:rsidP="00271D91">
      <w:pPr>
        <w:autoSpaceDE w:val="0"/>
        <w:autoSpaceDN w:val="0"/>
        <w:adjustRightInd w:val="0"/>
        <w:spacing w:line="276" w:lineRule="auto"/>
        <w:ind w:left="567" w:right="567"/>
        <w:jc w:val="both"/>
        <w:rPr>
          <w:rFonts w:ascii="Palatino Linotype" w:hAnsi="Palatino Linotype" w:cs="Bookman Old Style"/>
          <w:i/>
        </w:rPr>
      </w:pPr>
      <w:r w:rsidRPr="00980DDD">
        <w:rPr>
          <w:rFonts w:ascii="Palatino Linotype" w:hAnsi="Palatino Linotype" w:cs="Bookman Old Style"/>
          <w:i/>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1309ED" w:rsidRPr="00980DDD" w:rsidRDefault="001309ED" w:rsidP="00271D91">
      <w:pPr>
        <w:autoSpaceDE w:val="0"/>
        <w:autoSpaceDN w:val="0"/>
        <w:adjustRightInd w:val="0"/>
        <w:spacing w:line="276" w:lineRule="auto"/>
        <w:ind w:left="567" w:right="567"/>
        <w:jc w:val="both"/>
        <w:rPr>
          <w:rFonts w:ascii="Palatino Linotype" w:hAnsi="Palatino Linotype" w:cs="Bookman Old Style"/>
          <w:i/>
        </w:rPr>
      </w:pPr>
    </w:p>
    <w:p w:rsidR="001309ED" w:rsidRPr="00980DDD" w:rsidRDefault="001309ED" w:rsidP="00271D91">
      <w:pPr>
        <w:autoSpaceDE w:val="0"/>
        <w:autoSpaceDN w:val="0"/>
        <w:adjustRightInd w:val="0"/>
        <w:spacing w:line="276" w:lineRule="auto"/>
        <w:ind w:left="567" w:right="567"/>
        <w:jc w:val="both"/>
        <w:rPr>
          <w:rFonts w:ascii="Palatino Linotype" w:hAnsi="Palatino Linotype" w:cs="Bookman Old Style"/>
          <w:i/>
        </w:rPr>
      </w:pPr>
      <w:r w:rsidRPr="00980DDD">
        <w:rPr>
          <w:rFonts w:ascii="Palatino Linotype" w:hAnsi="Palatino Linotype" w:cs="Bookman Old Style"/>
          <w:i/>
        </w:rPr>
        <w:t>Los sujetos obligados deben poner en práctica, políticas y programas de acceso a la información que se apeguen a criterios de publicidad, veracidad, oportunidad, precisión y suficiencia en beneficio de los solicitantes.</w:t>
      </w:r>
    </w:p>
    <w:p w:rsidR="001309ED" w:rsidRPr="00980DDD" w:rsidRDefault="001309ED" w:rsidP="00271D91">
      <w:pPr>
        <w:autoSpaceDE w:val="0"/>
        <w:autoSpaceDN w:val="0"/>
        <w:adjustRightInd w:val="0"/>
        <w:spacing w:line="276" w:lineRule="auto"/>
        <w:ind w:right="567"/>
        <w:jc w:val="both"/>
        <w:rPr>
          <w:rFonts w:ascii="Palatino Linotype" w:hAnsi="Palatino Linotype" w:cs="Arial"/>
          <w:i/>
          <w:color w:val="000000"/>
        </w:rPr>
      </w:pPr>
    </w:p>
    <w:p w:rsidR="001309ED" w:rsidRPr="00980DDD" w:rsidRDefault="001309ED" w:rsidP="00271D91">
      <w:pPr>
        <w:autoSpaceDE w:val="0"/>
        <w:autoSpaceDN w:val="0"/>
        <w:adjustRightInd w:val="0"/>
        <w:spacing w:line="276" w:lineRule="auto"/>
        <w:ind w:left="567" w:right="567"/>
        <w:jc w:val="both"/>
        <w:rPr>
          <w:rFonts w:ascii="Palatino Linotype" w:hAnsi="Palatino Linotype" w:cs="Bookman Old Style"/>
          <w:i/>
        </w:rPr>
      </w:pPr>
      <w:r w:rsidRPr="00980DDD">
        <w:rPr>
          <w:rFonts w:ascii="Palatino Linotype" w:hAnsi="Palatino Linotype" w:cs="Bookman Old Style,Bold"/>
          <w:b/>
          <w:bCs/>
          <w:i/>
        </w:rPr>
        <w:t xml:space="preserve">Artículo 12. </w:t>
      </w:r>
      <w:r w:rsidRPr="00980DDD">
        <w:rPr>
          <w:rFonts w:ascii="Palatino Linotype" w:hAnsi="Palatino Linotype" w:cs="Bookman Old Style"/>
          <w:i/>
        </w:rPr>
        <w:t xml:space="preserve">Quienes generen, recopilen, administren, manejen, procesen, archiven o conserven información pública serán responsables de la misma en los términos de las disposiciones jurídicas aplicables. </w:t>
      </w:r>
    </w:p>
    <w:p w:rsidR="001309ED" w:rsidRPr="00980DDD" w:rsidRDefault="001309ED" w:rsidP="00271D91">
      <w:pPr>
        <w:autoSpaceDE w:val="0"/>
        <w:autoSpaceDN w:val="0"/>
        <w:adjustRightInd w:val="0"/>
        <w:spacing w:line="276" w:lineRule="auto"/>
        <w:ind w:left="567" w:right="567"/>
        <w:jc w:val="both"/>
        <w:rPr>
          <w:rFonts w:ascii="Palatino Linotype" w:hAnsi="Palatino Linotype" w:cs="Bookman Old Style"/>
          <w:i/>
        </w:rPr>
      </w:pPr>
    </w:p>
    <w:p w:rsidR="001309ED" w:rsidRPr="00980DDD" w:rsidRDefault="001309ED" w:rsidP="00271D91">
      <w:pPr>
        <w:autoSpaceDE w:val="0"/>
        <w:autoSpaceDN w:val="0"/>
        <w:adjustRightInd w:val="0"/>
        <w:spacing w:line="276" w:lineRule="auto"/>
        <w:ind w:left="567" w:right="567"/>
        <w:jc w:val="both"/>
        <w:rPr>
          <w:rFonts w:ascii="Palatino Linotype" w:hAnsi="Palatino Linotype" w:cs="Bookman Old Style"/>
          <w:i/>
        </w:rPr>
      </w:pPr>
      <w:r w:rsidRPr="00980DDD">
        <w:rPr>
          <w:rFonts w:ascii="Palatino Linotype" w:hAnsi="Palatino Linotype" w:cs="Bookman Old Style"/>
          <w:i/>
        </w:rPr>
        <w:t xml:space="preserve">Los sujetos obligados sólo proporcionarán la información pública que se les requiera y que obre en sus archivos y en el estado en que ésta se encuentre. </w:t>
      </w:r>
      <w:r w:rsidRPr="00980DDD">
        <w:rPr>
          <w:rFonts w:ascii="Palatino Linotype" w:hAnsi="Palatino Linotype" w:cs="Bookman Old Style"/>
          <w:b/>
          <w:i/>
        </w:rPr>
        <w:t>La obligación de proporcionar información no comprende el procesamiento de la misma, ni el presentarla conforme al interés del solicitante; no estarán obligados a generarla, resumirla, efectuar cálculos o practicar investigaciones.</w:t>
      </w:r>
    </w:p>
    <w:p w:rsidR="001309ED" w:rsidRPr="00980DDD" w:rsidRDefault="001309ED" w:rsidP="001309ED">
      <w:pPr>
        <w:autoSpaceDE w:val="0"/>
        <w:autoSpaceDN w:val="0"/>
        <w:adjustRightInd w:val="0"/>
        <w:spacing w:line="360" w:lineRule="auto"/>
        <w:ind w:left="567" w:right="567"/>
        <w:jc w:val="both"/>
        <w:rPr>
          <w:rFonts w:ascii="Palatino Linotype" w:hAnsi="Palatino Linotype" w:cs="Arial"/>
          <w:i/>
          <w:color w:val="000000"/>
        </w:rPr>
      </w:pPr>
    </w:p>
    <w:p w:rsidR="001309ED" w:rsidRPr="00980DDD" w:rsidRDefault="001309ED" w:rsidP="001309ED">
      <w:pPr>
        <w:pStyle w:val="Prrafodelista"/>
        <w:numPr>
          <w:ilvl w:val="0"/>
          <w:numId w:val="2"/>
        </w:numPr>
        <w:tabs>
          <w:tab w:val="left" w:pos="851"/>
        </w:tabs>
        <w:spacing w:line="360" w:lineRule="auto"/>
        <w:ind w:left="0" w:right="49" w:firstLine="0"/>
        <w:jc w:val="both"/>
        <w:rPr>
          <w:rFonts w:ascii="Palatino Linotype" w:hAnsi="Palatino Linotype"/>
          <w:lang w:val="es-ES"/>
        </w:rPr>
      </w:pPr>
      <w:r w:rsidRPr="00980DDD">
        <w:rPr>
          <w:rFonts w:ascii="Palatino Linotype" w:hAnsi="Palatino Linotype"/>
          <w:lang w:val="es-ES"/>
        </w:rPr>
        <w:lastRenderedPageBreak/>
        <w:t>Es así que, por un lado se tiene la obligación de documentar todos los actos que se lleven a cabo en el ejercicio de sus funciones, atribuciones y competencias, mientras que por otro, se ven impuestos por la obligación de hacer pública toda aquella información que se encuentre en su posesión en estricto apego a los principios de eficacia</w:t>
      </w:r>
      <w:r w:rsidRPr="00980DDD">
        <w:rPr>
          <w:rStyle w:val="Refdenotaalpie"/>
          <w:rFonts w:ascii="Palatino Linotype" w:hAnsi="Palatino Linotype"/>
          <w:lang w:val="es-ES"/>
        </w:rPr>
        <w:footnoteReference w:id="3"/>
      </w:r>
      <w:r w:rsidRPr="00980DDD">
        <w:rPr>
          <w:rFonts w:ascii="Palatino Linotype" w:hAnsi="Palatino Linotype"/>
          <w:lang w:val="es-ES"/>
        </w:rPr>
        <w:t xml:space="preserve"> y máxima publicidad, sobre éste último se debe poner mayor énfasis, puesto que establece que toda la información en posesión de los Sujetos Obligados será pública, completa, oportuna y accesible, lo que permite que la ciudadanía tenga un amplio acceso sobre lo que es el actuar de las autoridades.</w:t>
      </w:r>
    </w:p>
    <w:p w:rsidR="001309ED" w:rsidRPr="00980DDD" w:rsidRDefault="001309ED" w:rsidP="001309ED">
      <w:pPr>
        <w:pStyle w:val="Prrafodelista"/>
        <w:tabs>
          <w:tab w:val="left" w:pos="851"/>
        </w:tabs>
        <w:spacing w:line="360" w:lineRule="auto"/>
        <w:ind w:left="0" w:right="49"/>
        <w:jc w:val="both"/>
        <w:rPr>
          <w:rFonts w:ascii="Palatino Linotype" w:hAnsi="Palatino Linotype"/>
          <w:lang w:val="es-ES"/>
        </w:rPr>
      </w:pPr>
    </w:p>
    <w:p w:rsidR="001309ED" w:rsidRPr="00980DDD" w:rsidRDefault="001309ED" w:rsidP="001309ED">
      <w:pPr>
        <w:pStyle w:val="Prrafodelista"/>
        <w:numPr>
          <w:ilvl w:val="0"/>
          <w:numId w:val="2"/>
        </w:numPr>
        <w:tabs>
          <w:tab w:val="left" w:pos="851"/>
        </w:tabs>
        <w:spacing w:line="360" w:lineRule="auto"/>
        <w:ind w:left="0" w:right="49" w:firstLine="0"/>
        <w:jc w:val="both"/>
        <w:rPr>
          <w:rFonts w:ascii="Palatino Linotype" w:hAnsi="Palatino Linotype"/>
          <w:lang w:val="es-ES"/>
        </w:rPr>
      </w:pPr>
      <w:r w:rsidRPr="00980DDD">
        <w:rPr>
          <w:rFonts w:ascii="Palatino Linotype" w:hAnsi="Palatino Linotype"/>
          <w:lang w:val="es-ES"/>
        </w:rPr>
        <w:t>Robustece lo anterior la Tesis aislada identificada con la clave I.4º.A.40 A del Cuarto Tribunal colegiado en Materia Administrativa del Primer Circuito, publicada en el Seminario Judicial de la Federación y su Gaceta en el libro XVIII, Marzo 2013, Página 1899.</w:t>
      </w:r>
    </w:p>
    <w:p w:rsidR="001309ED" w:rsidRPr="00980DDD" w:rsidRDefault="001309ED" w:rsidP="00271D91">
      <w:pPr>
        <w:pStyle w:val="Prrafodelista"/>
        <w:tabs>
          <w:tab w:val="left" w:pos="851"/>
        </w:tabs>
        <w:spacing w:line="276" w:lineRule="auto"/>
        <w:ind w:left="567" w:right="567"/>
        <w:jc w:val="both"/>
        <w:rPr>
          <w:rFonts w:ascii="Palatino Linotype" w:hAnsi="Palatino Linotype"/>
          <w:i/>
        </w:rPr>
      </w:pPr>
      <w:r w:rsidRPr="00980DDD">
        <w:rPr>
          <w:rFonts w:ascii="Palatino Linotype" w:hAnsi="Palatino Linotype"/>
          <w:b/>
          <w:i/>
        </w:rPr>
        <w:t>ACCESO A LA INFORMACIÓN. IMPLICACIÓN DEL PRINCIPIO DE MÁXIMA PUBLICIDAD EN EL DERECHO FUNDAMENTAL RELATIVO.</w:t>
      </w:r>
      <w:r w:rsidRPr="00980DDD">
        <w:rPr>
          <w:rFonts w:ascii="Palatino Linotype" w:hAnsi="Palatino Linotype"/>
          <w:i/>
        </w:rPr>
        <w:t xml:space="preserve"> Del artículo 6o. de la Constitución Política de los Estados Unidos Mexicanos se advierte que el Estado Mexicano está constreñido a publicitar sus actos, pues se reconoce el derecho fundamental de los ciudadanos a acceder a la información que obra en poder de la autoridad, que como lo ha expuesto el Pleno de la Suprema Corte de Justicia de la Nación en la tesis P./J. 54/2008, publicada en el Semanario Judicial de la Federación y su Gaceta, Novena Época, Tomo XXVII, junio de 2008, página 743, de rubro: "ACCESO A LA INFORMACIÓN. SU NATURALEZA COMO GARANTÍAS INDIVIDUAL Y SOCIAL.", contiene una doble dimensión: individual y social. En su primer aspecto, cumple con la función de maximizar el campo de la autonomía personal, posibilitando el ejercicio de la libertad de expresión en un contexto de mayor diversidad de datos, voces y opiniones, mientras que en el segundo, brinda un derecho colectivo o social que tiende a revelar el empleo instrumental de la información no sólo como factor de autorrealización personal, sino como un mecanismo de control institucional, pues se trata de un derecho fundado en una de las características </w:t>
      </w:r>
      <w:r w:rsidRPr="00980DDD">
        <w:rPr>
          <w:rFonts w:ascii="Palatino Linotype" w:hAnsi="Palatino Linotype"/>
          <w:i/>
        </w:rPr>
        <w:lastRenderedPageBreak/>
        <w:t xml:space="preserve">principales del gobierno republicano, que es la publicidad de los actos de gobierno y la transparencia en el actuar de la administración, conducente y necesaria para la rendición de cuentas. Por ello, el principio de máxima publicidad incorporado en el texto constitucional, implica para cualquier autoridad, realizar un manejo de la información bajo la premisa inicial que toda ella es pública y sólo por excepción, en los casos expresamente previstos en la legislación secundaria y justificados bajo determinadas circunstancias, se podrá clasificar como confidencial o reservada, esto es, considerarla con una calidad diversa. </w:t>
      </w:r>
    </w:p>
    <w:p w:rsidR="001309ED" w:rsidRPr="00980DDD" w:rsidRDefault="001309ED" w:rsidP="00271D91">
      <w:pPr>
        <w:pStyle w:val="Prrafodelista"/>
        <w:tabs>
          <w:tab w:val="left" w:pos="851"/>
        </w:tabs>
        <w:spacing w:line="276" w:lineRule="auto"/>
        <w:ind w:left="567" w:right="567"/>
        <w:jc w:val="both"/>
        <w:rPr>
          <w:rFonts w:ascii="Palatino Linotype" w:hAnsi="Palatino Linotype"/>
          <w:i/>
        </w:rPr>
      </w:pPr>
    </w:p>
    <w:p w:rsidR="001309ED" w:rsidRPr="00980DDD" w:rsidRDefault="001309ED" w:rsidP="00271D91">
      <w:pPr>
        <w:pStyle w:val="Prrafodelista"/>
        <w:tabs>
          <w:tab w:val="left" w:pos="851"/>
        </w:tabs>
        <w:spacing w:line="276" w:lineRule="auto"/>
        <w:ind w:left="567" w:right="567"/>
        <w:jc w:val="both"/>
        <w:rPr>
          <w:rFonts w:ascii="Palatino Linotype" w:hAnsi="Palatino Linotype"/>
          <w:i/>
        </w:rPr>
      </w:pPr>
      <w:r w:rsidRPr="00980DDD">
        <w:rPr>
          <w:rFonts w:ascii="Palatino Linotype" w:hAnsi="Palatino Linotype"/>
          <w:i/>
        </w:rPr>
        <w:t xml:space="preserve">CUARTO TRIBUNAL COLEGIADO EN MATERIA ADMINISTRATIVA DEL PRIMER CIRCUITO. </w:t>
      </w:r>
    </w:p>
    <w:p w:rsidR="001309ED" w:rsidRPr="00980DDD" w:rsidRDefault="001309ED" w:rsidP="00271D91">
      <w:pPr>
        <w:pStyle w:val="Prrafodelista"/>
        <w:tabs>
          <w:tab w:val="left" w:pos="851"/>
        </w:tabs>
        <w:spacing w:line="276" w:lineRule="auto"/>
        <w:ind w:left="567" w:right="567"/>
        <w:jc w:val="both"/>
        <w:rPr>
          <w:rFonts w:ascii="Palatino Linotype" w:hAnsi="Palatino Linotype"/>
          <w:i/>
        </w:rPr>
      </w:pPr>
    </w:p>
    <w:p w:rsidR="001309ED" w:rsidRPr="00980DDD" w:rsidRDefault="001309ED" w:rsidP="00271D91">
      <w:pPr>
        <w:pStyle w:val="Prrafodelista"/>
        <w:tabs>
          <w:tab w:val="left" w:pos="851"/>
        </w:tabs>
        <w:spacing w:line="276" w:lineRule="auto"/>
        <w:ind w:left="567" w:right="567"/>
        <w:jc w:val="both"/>
        <w:rPr>
          <w:rFonts w:ascii="Palatino Linotype" w:hAnsi="Palatino Linotype"/>
          <w:i/>
          <w:lang w:val="es-ES"/>
        </w:rPr>
      </w:pPr>
      <w:r w:rsidRPr="00980DDD">
        <w:rPr>
          <w:rFonts w:ascii="Palatino Linotype" w:hAnsi="Palatino Linotype"/>
          <w:i/>
        </w:rPr>
        <w:t>Amparo en revisión 257/2012. Ruth Corona Muñoz. 6 de diciembre de 2012. Unanimidad de votos. Ponente: Jean Claude Tron Petit. Secretaria: Mayra Susana Martínez López.</w:t>
      </w:r>
    </w:p>
    <w:p w:rsidR="001309ED" w:rsidRPr="00980DDD" w:rsidRDefault="001309ED" w:rsidP="001309ED">
      <w:pPr>
        <w:pStyle w:val="Prrafodelista"/>
        <w:spacing w:line="360" w:lineRule="auto"/>
        <w:rPr>
          <w:rFonts w:ascii="Palatino Linotype" w:hAnsi="Palatino Linotype"/>
          <w:lang w:val="es-ES"/>
        </w:rPr>
      </w:pPr>
    </w:p>
    <w:p w:rsidR="001309ED" w:rsidRPr="00980DDD" w:rsidRDefault="001309ED" w:rsidP="001309ED">
      <w:pPr>
        <w:pStyle w:val="Prrafodelista"/>
        <w:numPr>
          <w:ilvl w:val="0"/>
          <w:numId w:val="2"/>
        </w:numPr>
        <w:tabs>
          <w:tab w:val="left" w:pos="851"/>
        </w:tabs>
        <w:spacing w:before="240" w:after="240" w:line="360" w:lineRule="auto"/>
        <w:ind w:left="0" w:right="49" w:firstLine="0"/>
        <w:jc w:val="both"/>
        <w:rPr>
          <w:rFonts w:ascii="Palatino Linotype" w:hAnsi="Palatino Linotype" w:cs="Arial"/>
          <w:lang w:val="es-ES"/>
        </w:rPr>
      </w:pPr>
      <w:r w:rsidRPr="00980DDD">
        <w:rPr>
          <w:rFonts w:ascii="Palatino Linotype" w:hAnsi="Palatino Linotype"/>
          <w:lang w:val="es-ES"/>
        </w:rPr>
        <w:t>El derecho de acceso a la información encuentra su materia elemental en los documentos, y la Ley de Transparencia local  nos brinda el siguiente concepto, para darnos un mejor panorama:</w:t>
      </w:r>
    </w:p>
    <w:p w:rsidR="001309ED" w:rsidRPr="00980DDD" w:rsidRDefault="001309ED" w:rsidP="00271D91">
      <w:pPr>
        <w:autoSpaceDE w:val="0"/>
        <w:autoSpaceDN w:val="0"/>
        <w:adjustRightInd w:val="0"/>
        <w:spacing w:line="276" w:lineRule="auto"/>
        <w:ind w:left="567" w:right="567"/>
        <w:jc w:val="both"/>
        <w:rPr>
          <w:rFonts w:ascii="Palatino Linotype" w:hAnsi="Palatino Linotype"/>
          <w:i/>
          <w:lang w:val="es-ES"/>
        </w:rPr>
      </w:pPr>
      <w:r w:rsidRPr="00980DDD">
        <w:rPr>
          <w:rFonts w:ascii="Palatino Linotype" w:eastAsiaTheme="minorHAnsi" w:hAnsi="Palatino Linotype" w:cs="Bookman Old Style,Bold"/>
          <w:b/>
          <w:bCs/>
          <w:i/>
          <w:lang w:eastAsia="en-US"/>
        </w:rPr>
        <w:t xml:space="preserve">XI. Documento: </w:t>
      </w:r>
      <w:r w:rsidRPr="00980DDD">
        <w:rPr>
          <w:rFonts w:ascii="Palatino Linotype" w:eastAsiaTheme="minorHAnsi" w:hAnsi="Palatino Linotype" w:cs="Bookman Old Style"/>
          <w:i/>
          <w:lang w:eastAsia="en-US"/>
        </w:rPr>
        <w:t xml:space="preserve">Los expedientes, reportes, estudios, actas, resoluciones, oficios, correspondencia, acuerdos, directivas, directrices, circulares, contratos, convenios, instructivos, notas, memorandos, estadísticas o bien, </w:t>
      </w:r>
      <w:r w:rsidRPr="00980DDD">
        <w:rPr>
          <w:rFonts w:ascii="Palatino Linotype" w:eastAsiaTheme="minorHAnsi" w:hAnsi="Palatino Linotype" w:cs="Bookman Old Style"/>
          <w:b/>
          <w:i/>
          <w:lang w:eastAsia="en-US"/>
        </w:rPr>
        <w:t>cualquier otro registro</w:t>
      </w:r>
      <w:r w:rsidRPr="00980DDD">
        <w:rPr>
          <w:rFonts w:ascii="Palatino Linotype" w:eastAsiaTheme="minorHAnsi" w:hAnsi="Palatino Linotype" w:cs="Bookman Old Style"/>
          <w:i/>
          <w:lang w:eastAsia="en-US"/>
        </w:rPr>
        <w:t xml:space="preserve">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1309ED" w:rsidRPr="00980DDD" w:rsidRDefault="001309ED" w:rsidP="001309ED">
      <w:pPr>
        <w:pStyle w:val="Prrafodelista"/>
        <w:tabs>
          <w:tab w:val="left" w:pos="851"/>
        </w:tabs>
        <w:spacing w:line="360" w:lineRule="auto"/>
        <w:ind w:left="0" w:right="49"/>
        <w:jc w:val="both"/>
        <w:rPr>
          <w:rFonts w:ascii="Palatino Linotype" w:hAnsi="Palatino Linotype"/>
          <w:lang w:val="es-ES"/>
        </w:rPr>
      </w:pPr>
    </w:p>
    <w:p w:rsidR="001309ED" w:rsidRPr="00980DDD" w:rsidRDefault="001309ED" w:rsidP="001309ED">
      <w:pPr>
        <w:pStyle w:val="Prrafodelista"/>
        <w:numPr>
          <w:ilvl w:val="0"/>
          <w:numId w:val="2"/>
        </w:numPr>
        <w:tabs>
          <w:tab w:val="left" w:pos="851"/>
        </w:tabs>
        <w:spacing w:line="360" w:lineRule="auto"/>
        <w:ind w:left="0" w:right="49" w:firstLine="0"/>
        <w:jc w:val="both"/>
        <w:rPr>
          <w:rFonts w:ascii="Palatino Linotype" w:hAnsi="Palatino Linotype"/>
          <w:lang w:val="es-ES"/>
        </w:rPr>
      </w:pPr>
      <w:r w:rsidRPr="00980DDD">
        <w:rPr>
          <w:rFonts w:ascii="Palatino Linotype" w:hAnsi="Palatino Linotype"/>
          <w:lang w:val="es-ES"/>
        </w:rPr>
        <w:t>Es así que, todos los actos de autoridad que realicen los Sujetos Obligados deben estar documentados y, bajo el más alto estándar de transparencia deberán poner toda la información que se encuentre en su posesión, a disposición de los particulares que la soliciten.</w:t>
      </w:r>
    </w:p>
    <w:p w:rsidR="001309ED" w:rsidRPr="00980DDD" w:rsidRDefault="001309ED" w:rsidP="001309ED">
      <w:pPr>
        <w:pStyle w:val="Prrafodelista"/>
        <w:tabs>
          <w:tab w:val="left" w:pos="851"/>
        </w:tabs>
        <w:spacing w:line="360" w:lineRule="auto"/>
        <w:ind w:left="0" w:right="49"/>
        <w:jc w:val="both"/>
        <w:rPr>
          <w:rFonts w:ascii="Palatino Linotype" w:hAnsi="Palatino Linotype"/>
          <w:lang w:val="es-ES"/>
        </w:rPr>
      </w:pPr>
    </w:p>
    <w:p w:rsidR="001309ED" w:rsidRPr="00980DDD" w:rsidRDefault="001309ED" w:rsidP="001309ED">
      <w:pPr>
        <w:numPr>
          <w:ilvl w:val="0"/>
          <w:numId w:val="2"/>
        </w:numPr>
        <w:pBdr>
          <w:top w:val="nil"/>
          <w:left w:val="nil"/>
          <w:bottom w:val="nil"/>
          <w:right w:val="nil"/>
          <w:between w:val="nil"/>
        </w:pBdr>
        <w:tabs>
          <w:tab w:val="left" w:pos="567"/>
        </w:tabs>
        <w:spacing w:line="360" w:lineRule="auto"/>
        <w:ind w:left="0" w:firstLine="0"/>
        <w:jc w:val="both"/>
        <w:rPr>
          <w:rFonts w:ascii="Palatino Linotype" w:hAnsi="Palatino Linotype"/>
        </w:rPr>
      </w:pPr>
      <w:r w:rsidRPr="00980DDD">
        <w:rPr>
          <w:rFonts w:ascii="Palatino Linotype" w:eastAsia="Palatino Linotype" w:hAnsi="Palatino Linotype" w:cs="Palatino Linotype"/>
          <w:color w:val="000000"/>
        </w:rPr>
        <w:lastRenderedPageBreak/>
        <w:t xml:space="preserve">Por lo tanto, en consecuencia y en mérito de lo expuesto en líneas anteriores, resultan </w:t>
      </w:r>
      <w:r w:rsidR="00F100E2" w:rsidRPr="00980DDD">
        <w:rPr>
          <w:rFonts w:ascii="Palatino Linotype" w:eastAsia="Palatino Linotype" w:hAnsi="Palatino Linotype" w:cs="Palatino Linotype"/>
          <w:color w:val="000000"/>
        </w:rPr>
        <w:t>fundadas</w:t>
      </w:r>
      <w:r w:rsidRPr="00980DDD">
        <w:rPr>
          <w:rFonts w:ascii="Palatino Linotype" w:eastAsia="Palatino Linotype" w:hAnsi="Palatino Linotype" w:cs="Palatino Linotype"/>
          <w:color w:val="000000"/>
        </w:rPr>
        <w:t xml:space="preserve"> las razones o motivos de inconformidad hechos valer por el </w:t>
      </w:r>
      <w:r w:rsidRPr="00980DDD">
        <w:rPr>
          <w:rFonts w:ascii="Palatino Linotype" w:eastAsia="Palatino Linotype" w:hAnsi="Palatino Linotype" w:cs="Palatino Linotype"/>
          <w:b/>
          <w:color w:val="000000"/>
        </w:rPr>
        <w:t>RECURRENTE</w:t>
      </w:r>
      <w:r w:rsidRPr="00980DDD">
        <w:rPr>
          <w:rFonts w:ascii="Palatino Linotype" w:eastAsia="Palatino Linotype" w:hAnsi="Palatino Linotype" w:cs="Palatino Linotype"/>
          <w:color w:val="000000"/>
        </w:rPr>
        <w:t xml:space="preserve"> dentro del recurso de revisión </w:t>
      </w:r>
      <w:r w:rsidR="00F100E2" w:rsidRPr="00980DDD">
        <w:rPr>
          <w:rFonts w:ascii="Palatino Linotype" w:eastAsia="Palatino Linotype" w:hAnsi="Palatino Linotype" w:cs="Palatino Linotype"/>
          <w:b/>
          <w:color w:val="000000"/>
        </w:rPr>
        <w:t>07878</w:t>
      </w:r>
      <w:r w:rsidRPr="00980DDD">
        <w:rPr>
          <w:rFonts w:ascii="Palatino Linotype" w:eastAsia="Palatino Linotype" w:hAnsi="Palatino Linotype" w:cs="Palatino Linotype"/>
          <w:b/>
          <w:color w:val="000000"/>
        </w:rPr>
        <w:t>/INFOEM/IP/RR/2025</w:t>
      </w:r>
      <w:r w:rsidRPr="00980DDD">
        <w:rPr>
          <w:rFonts w:ascii="Palatino Linotype" w:eastAsia="Palatino Linotype" w:hAnsi="Palatino Linotype" w:cs="Palatino Linotype"/>
          <w:color w:val="000000"/>
        </w:rPr>
        <w:t xml:space="preserve">; por ello, y con fundamento en la fracción III del numeral 186 de la Ley de Transparencia y Acceso a la Información Pública del Estado de México y Municipios, se </w:t>
      </w:r>
      <w:r w:rsidRPr="00980DDD">
        <w:rPr>
          <w:rFonts w:ascii="Palatino Linotype" w:eastAsia="Palatino Linotype" w:hAnsi="Palatino Linotype" w:cs="Palatino Linotype"/>
          <w:b/>
          <w:color w:val="000000"/>
        </w:rPr>
        <w:t>MODIFICA</w:t>
      </w:r>
      <w:r w:rsidRPr="00980DDD">
        <w:rPr>
          <w:rFonts w:ascii="Palatino Linotype" w:eastAsia="Palatino Linotype" w:hAnsi="Palatino Linotype" w:cs="Palatino Linotype"/>
          <w:color w:val="000000"/>
        </w:rPr>
        <w:t xml:space="preserve"> la respuesta a la solicitud de información número </w:t>
      </w:r>
      <w:bookmarkStart w:id="8" w:name="_heading=h.2s8eyo1" w:colFirst="0" w:colLast="0"/>
      <w:bookmarkEnd w:id="8"/>
      <w:r w:rsidR="00F100E2" w:rsidRPr="00980DDD">
        <w:rPr>
          <w:rFonts w:ascii="Palatino Linotype" w:eastAsia="Palatino Linotype" w:hAnsi="Palatino Linotype" w:cs="Palatino Linotype"/>
          <w:b/>
          <w:bCs/>
          <w:color w:val="000000"/>
        </w:rPr>
        <w:t>03325/TOLUCA/IP/2025</w:t>
      </w:r>
      <w:r w:rsidRPr="00980DDD">
        <w:rPr>
          <w:rFonts w:ascii="Palatino Linotype" w:eastAsia="Palatino Linotype" w:hAnsi="Palatino Linotype" w:cs="Palatino Linotype"/>
          <w:b/>
          <w:bCs/>
          <w:color w:val="000000"/>
        </w:rPr>
        <w:t xml:space="preserve"> </w:t>
      </w:r>
      <w:r w:rsidRPr="00980DDD">
        <w:rPr>
          <w:rFonts w:ascii="Palatino Linotype" w:eastAsia="Palatino Linotype" w:hAnsi="Palatino Linotype" w:cs="Palatino Linotype"/>
          <w:bCs/>
          <w:color w:val="000000"/>
        </w:rPr>
        <w:t xml:space="preserve">y se </w:t>
      </w:r>
      <w:r w:rsidRPr="00980DDD">
        <w:rPr>
          <w:rFonts w:ascii="Palatino Linotype" w:eastAsia="Palatino Linotype" w:hAnsi="Palatino Linotype" w:cs="Palatino Linotype"/>
          <w:b/>
          <w:bCs/>
          <w:color w:val="000000"/>
        </w:rPr>
        <w:t xml:space="preserve">ORDENA </w:t>
      </w:r>
      <w:r w:rsidRPr="00980DDD">
        <w:rPr>
          <w:rFonts w:ascii="Palatino Linotype" w:eastAsia="Palatino Linotype" w:hAnsi="Palatino Linotype" w:cs="Palatino Linotype"/>
          <w:bCs/>
          <w:color w:val="000000"/>
        </w:rPr>
        <w:t xml:space="preserve">entregar, de ser procedente en versión pública, </w:t>
      </w:r>
      <w:r w:rsidR="00F100E2" w:rsidRPr="00980DDD">
        <w:rPr>
          <w:rFonts w:ascii="Palatino Linotype" w:eastAsia="Palatino Linotype" w:hAnsi="Palatino Linotype" w:cs="Palatino Linotype"/>
          <w:bCs/>
          <w:color w:val="000000"/>
        </w:rPr>
        <w:t xml:space="preserve">el soporte documental donde conste, </w:t>
      </w:r>
      <w:r w:rsidRPr="00980DDD">
        <w:rPr>
          <w:rFonts w:ascii="Palatino Linotype" w:eastAsia="Palatino Linotype" w:hAnsi="Palatino Linotype" w:cs="Palatino Linotype"/>
          <w:bCs/>
          <w:color w:val="000000"/>
        </w:rPr>
        <w:t>la siguiente información:</w:t>
      </w:r>
    </w:p>
    <w:p w:rsidR="00F100E2" w:rsidRPr="00980DDD" w:rsidRDefault="00F100E2" w:rsidP="00F100E2">
      <w:pPr>
        <w:pStyle w:val="Prrafodelista"/>
        <w:numPr>
          <w:ilvl w:val="0"/>
          <w:numId w:val="7"/>
        </w:numPr>
        <w:spacing w:line="360" w:lineRule="auto"/>
        <w:jc w:val="both"/>
        <w:rPr>
          <w:rFonts w:ascii="Palatino Linotype" w:eastAsia="Palatino Linotype" w:hAnsi="Palatino Linotype" w:cs="Palatino Linotype"/>
          <w:b/>
          <w:i/>
        </w:rPr>
      </w:pPr>
      <w:r w:rsidRPr="00980DDD">
        <w:rPr>
          <w:rFonts w:ascii="Palatino Linotype" w:eastAsia="Palatino Linotype" w:hAnsi="Palatino Linotype" w:cs="Palatino Linotype"/>
          <w:b/>
        </w:rPr>
        <w:t xml:space="preserve">Número de servidores públicos adscritos a cada área del 01 de enero al 31 de mayo de 2025; </w:t>
      </w:r>
    </w:p>
    <w:p w:rsidR="00F100E2" w:rsidRPr="00980DDD" w:rsidRDefault="00F100E2" w:rsidP="00F100E2">
      <w:pPr>
        <w:pStyle w:val="Prrafodelista"/>
        <w:numPr>
          <w:ilvl w:val="0"/>
          <w:numId w:val="7"/>
        </w:numPr>
        <w:spacing w:line="360" w:lineRule="auto"/>
        <w:jc w:val="both"/>
        <w:rPr>
          <w:rFonts w:ascii="Palatino Linotype" w:eastAsia="Palatino Linotype" w:hAnsi="Palatino Linotype" w:cs="Palatino Linotype"/>
          <w:b/>
          <w:i/>
        </w:rPr>
      </w:pPr>
      <w:r w:rsidRPr="00980DDD">
        <w:rPr>
          <w:rFonts w:ascii="Palatino Linotype" w:eastAsia="Palatino Linotype" w:hAnsi="Palatino Linotype" w:cs="Palatino Linotype"/>
          <w:b/>
        </w:rPr>
        <w:t>Número de servidores públicos adscritos a cada área del 01 de enero al 31 de diciembre de 2024;</w:t>
      </w:r>
    </w:p>
    <w:p w:rsidR="00F100E2" w:rsidRPr="00980DDD" w:rsidRDefault="00F100E2" w:rsidP="00F100E2">
      <w:pPr>
        <w:pStyle w:val="Prrafodelista"/>
        <w:numPr>
          <w:ilvl w:val="0"/>
          <w:numId w:val="7"/>
        </w:numPr>
        <w:spacing w:line="360" w:lineRule="auto"/>
        <w:jc w:val="both"/>
        <w:rPr>
          <w:rFonts w:ascii="Palatino Linotype" w:eastAsia="Palatino Linotype" w:hAnsi="Palatino Linotype" w:cs="Palatino Linotype"/>
          <w:b/>
          <w:i/>
        </w:rPr>
      </w:pPr>
      <w:r w:rsidRPr="00980DDD">
        <w:rPr>
          <w:rFonts w:ascii="Palatino Linotype" w:eastAsia="Palatino Linotype" w:hAnsi="Palatino Linotype" w:cs="Palatino Linotype"/>
          <w:b/>
        </w:rPr>
        <w:t>Listado de servidores públicos a quienes no les han pagado prestaciones quincenas, aguinaldo y prima vacacional del ejercicio fiscal 2021;</w:t>
      </w:r>
    </w:p>
    <w:p w:rsidR="00F100E2" w:rsidRPr="00980DDD" w:rsidRDefault="00F100E2" w:rsidP="00F100E2">
      <w:pPr>
        <w:pStyle w:val="Prrafodelista"/>
        <w:numPr>
          <w:ilvl w:val="0"/>
          <w:numId w:val="7"/>
        </w:numPr>
        <w:spacing w:line="360" w:lineRule="auto"/>
        <w:jc w:val="both"/>
        <w:rPr>
          <w:rFonts w:ascii="Palatino Linotype" w:eastAsia="Palatino Linotype" w:hAnsi="Palatino Linotype" w:cs="Palatino Linotype"/>
          <w:b/>
          <w:i/>
        </w:rPr>
      </w:pPr>
      <w:r w:rsidRPr="00980DDD">
        <w:rPr>
          <w:rFonts w:ascii="Palatino Linotype" w:eastAsia="Palatino Linotype" w:hAnsi="Palatino Linotype" w:cs="Palatino Linotype"/>
          <w:b/>
        </w:rPr>
        <w:t>Número de despidos del 01 de enero al 31 de diciembre de 2024 y del 01 de enero al 31 de mayo de 2022;</w:t>
      </w:r>
    </w:p>
    <w:p w:rsidR="00F100E2" w:rsidRPr="00980DDD" w:rsidRDefault="00F100E2" w:rsidP="00F100E2">
      <w:pPr>
        <w:pStyle w:val="Prrafodelista"/>
        <w:numPr>
          <w:ilvl w:val="0"/>
          <w:numId w:val="7"/>
        </w:numPr>
        <w:spacing w:line="360" w:lineRule="auto"/>
        <w:jc w:val="both"/>
        <w:rPr>
          <w:rFonts w:ascii="Palatino Linotype" w:eastAsia="Palatino Linotype" w:hAnsi="Palatino Linotype" w:cs="Palatino Linotype"/>
          <w:b/>
          <w:i/>
        </w:rPr>
      </w:pPr>
      <w:r w:rsidRPr="00980DDD">
        <w:rPr>
          <w:rFonts w:ascii="Palatino Linotype" w:eastAsia="Palatino Linotype" w:hAnsi="Palatino Linotype" w:cs="Palatino Linotype"/>
          <w:b/>
        </w:rPr>
        <w:t>Monto asignado y ejercido de cada área, por concepto de pago de quincenas, prima vacacional y aguinaldo, del 01 de enero al 31 de mayo de 2025.</w:t>
      </w:r>
    </w:p>
    <w:p w:rsidR="00F100E2" w:rsidRPr="00980DDD" w:rsidRDefault="00F100E2" w:rsidP="00F100E2">
      <w:pPr>
        <w:pStyle w:val="Prrafodelista"/>
        <w:spacing w:line="360" w:lineRule="auto"/>
        <w:jc w:val="both"/>
        <w:rPr>
          <w:rFonts w:ascii="Palatino Linotype" w:eastAsia="Palatino Linotype" w:hAnsi="Palatino Linotype" w:cs="Palatino Linotype"/>
          <w:i/>
        </w:rPr>
      </w:pPr>
    </w:p>
    <w:p w:rsidR="001309ED" w:rsidRPr="00980DDD" w:rsidRDefault="001309ED" w:rsidP="001309ED">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b/>
          <w:color w:val="000000"/>
        </w:rPr>
      </w:pPr>
      <w:r w:rsidRPr="00980DDD">
        <w:rPr>
          <w:rFonts w:ascii="Palatino Linotype" w:eastAsia="Palatino Linotype" w:hAnsi="Palatino Linotype" w:cs="Palatino Linotype"/>
          <w:b/>
          <w:color w:val="000000"/>
        </w:rPr>
        <w:t>QUINTO. De la versión pública.</w:t>
      </w:r>
    </w:p>
    <w:p w:rsidR="001309ED" w:rsidRPr="00980DDD" w:rsidRDefault="001309ED" w:rsidP="001309ED">
      <w:pPr>
        <w:numPr>
          <w:ilvl w:val="0"/>
          <w:numId w:val="2"/>
        </w:numPr>
        <w:pBdr>
          <w:top w:val="nil"/>
          <w:left w:val="nil"/>
          <w:bottom w:val="nil"/>
          <w:right w:val="nil"/>
          <w:between w:val="nil"/>
        </w:pBdr>
        <w:tabs>
          <w:tab w:val="left" w:pos="426"/>
        </w:tabs>
        <w:spacing w:line="360" w:lineRule="auto"/>
        <w:ind w:left="0" w:firstLine="0"/>
        <w:jc w:val="both"/>
        <w:rPr>
          <w:rFonts w:ascii="Palatino Linotype" w:hAnsi="Palatino Linotype"/>
          <w:color w:val="000000"/>
        </w:rPr>
      </w:pPr>
      <w:r w:rsidRPr="00980DDD">
        <w:rPr>
          <w:rFonts w:ascii="Palatino Linotype" w:eastAsia="Palatino Linotype" w:hAnsi="Palatino Linotype" w:cs="Palatino Linotype"/>
          <w:color w:val="000000"/>
        </w:rPr>
        <w:t>Debe destacarse que, debido a la naturaleza de la información solicitada</w:t>
      </w:r>
      <w:r w:rsidRPr="00980DDD">
        <w:rPr>
          <w:rFonts w:ascii="Palatino Linotype" w:eastAsia="Palatino Linotype" w:hAnsi="Palatino Linotype" w:cs="Palatino Linotype"/>
          <w:b/>
          <w:color w:val="000000"/>
        </w:rPr>
        <w:t xml:space="preserve"> </w:t>
      </w:r>
      <w:r w:rsidRPr="00980DDD">
        <w:rPr>
          <w:rFonts w:ascii="Palatino Linotype" w:eastAsia="Palatino Linotype" w:hAnsi="Palatino Linotype" w:cs="Palatino Linotype"/>
          <w:color w:val="000000"/>
        </w:rPr>
        <w:t>eventualmente pudieran obrar datos personales susceptibles de protegerse, y toda vez que este Instituto de Transparencia, Acceso a la Información Pública y Protección de Datos Personales del Estado de México tiene el deber de velar por la protección de los datos personales aun tratándose de servidores públicos y en su caso generar la versión pública de los documentos por las consideraciones que se estimen pertinentes.</w:t>
      </w:r>
    </w:p>
    <w:p w:rsidR="001309ED" w:rsidRPr="00980DDD" w:rsidRDefault="001309ED" w:rsidP="001309ED">
      <w:pPr>
        <w:numPr>
          <w:ilvl w:val="0"/>
          <w:numId w:val="2"/>
        </w:numPr>
        <w:pBdr>
          <w:top w:val="nil"/>
          <w:left w:val="nil"/>
          <w:bottom w:val="nil"/>
          <w:right w:val="nil"/>
          <w:between w:val="nil"/>
        </w:pBdr>
        <w:tabs>
          <w:tab w:val="left" w:pos="284"/>
        </w:tabs>
        <w:spacing w:line="360" w:lineRule="auto"/>
        <w:ind w:left="0" w:firstLine="0"/>
        <w:jc w:val="both"/>
        <w:rPr>
          <w:rFonts w:ascii="Palatino Linotype" w:hAnsi="Palatino Linotype"/>
          <w:color w:val="000000"/>
        </w:rPr>
      </w:pPr>
      <w:r w:rsidRPr="00980DDD">
        <w:rPr>
          <w:rFonts w:ascii="Palatino Linotype" w:eastAsia="Palatino Linotype" w:hAnsi="Palatino Linotype" w:cs="Palatino Linotype"/>
          <w:color w:val="000000"/>
        </w:rPr>
        <w:lastRenderedPageBreak/>
        <w:t xml:space="preserve">La clasificación total o parcial de la información requerida, mediante solicitud de acceso a la información pública, constituye una restricción al derecho humano de acceso a la información. Actualmente, el grave problema que enfrentamos son los Acuerdos de Clasificación de la Información que emiten los </w:t>
      </w:r>
      <w:r w:rsidRPr="00980DDD">
        <w:rPr>
          <w:rFonts w:ascii="Palatino Linotype" w:eastAsia="Palatino Linotype" w:hAnsi="Palatino Linotype" w:cs="Palatino Linotype"/>
          <w:b/>
          <w:color w:val="000000"/>
        </w:rPr>
        <w:t>SUJETOS OBLIGADOS</w:t>
      </w:r>
      <w:r w:rsidRPr="00980DDD">
        <w:rPr>
          <w:rFonts w:ascii="Palatino Linotype" w:eastAsia="Palatino Linotype" w:hAnsi="Palatino Linotype" w:cs="Palatino Linotype"/>
          <w:color w:val="000000"/>
        </w:rPr>
        <w:t>, ya que no observan los requisitos que deben de llevar a cabo para la realización de la clasificación de la información, tanto por la complejidad del procedimiento como por la falta de atención de los operadores jurídicos, por lo que es menester reiterar los mismos:</w:t>
      </w:r>
    </w:p>
    <w:p w:rsidR="001309ED" w:rsidRPr="00980DDD" w:rsidRDefault="001309ED" w:rsidP="001309ED">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color w:val="000000"/>
        </w:rPr>
      </w:pPr>
    </w:p>
    <w:tbl>
      <w:tblPr>
        <w:tblW w:w="9986"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2689"/>
        <w:gridCol w:w="7297"/>
      </w:tblGrid>
      <w:tr w:rsidR="001309ED" w:rsidRPr="00980DDD" w:rsidTr="00980DDD">
        <w:trPr>
          <w:trHeight w:val="952"/>
        </w:trPr>
        <w:tc>
          <w:tcPr>
            <w:tcW w:w="2689" w:type="dxa"/>
            <w:tcBorders>
              <w:top w:val="single" w:sz="4" w:space="0" w:color="666666"/>
              <w:left w:val="single" w:sz="4" w:space="0" w:color="666666"/>
              <w:right w:val="single" w:sz="4" w:space="0" w:color="666666"/>
            </w:tcBorders>
          </w:tcPr>
          <w:p w:rsidR="001309ED" w:rsidRPr="00980DDD" w:rsidRDefault="001309ED" w:rsidP="00D956EC">
            <w:pPr>
              <w:spacing w:line="276" w:lineRule="auto"/>
              <w:rPr>
                <w:rFonts w:ascii="Palatino Linotype" w:eastAsia="Palatino Linotype" w:hAnsi="Palatino Linotype" w:cs="Palatino Linotype"/>
              </w:rPr>
            </w:pPr>
            <w:r w:rsidRPr="00980DDD">
              <w:rPr>
                <w:rFonts w:ascii="Palatino Linotype" w:eastAsia="Palatino Linotype" w:hAnsi="Palatino Linotype" w:cs="Palatino Linotype"/>
                <w:b/>
              </w:rPr>
              <w:t>a) Requisitos previos.</w:t>
            </w:r>
          </w:p>
        </w:tc>
        <w:tc>
          <w:tcPr>
            <w:tcW w:w="7297" w:type="dxa"/>
            <w:tcBorders>
              <w:top w:val="single" w:sz="4" w:space="0" w:color="666666"/>
              <w:left w:val="single" w:sz="4" w:space="0" w:color="666666"/>
              <w:right w:val="single" w:sz="4" w:space="0" w:color="666666"/>
            </w:tcBorders>
          </w:tcPr>
          <w:p w:rsidR="001309ED" w:rsidRPr="00980DDD" w:rsidRDefault="001309ED" w:rsidP="00D956EC">
            <w:pPr>
              <w:spacing w:line="276" w:lineRule="auto"/>
              <w:jc w:val="both"/>
              <w:rPr>
                <w:rFonts w:ascii="Palatino Linotype" w:eastAsia="Palatino Linotype" w:hAnsi="Palatino Linotype" w:cs="Palatino Linotype"/>
              </w:rPr>
            </w:pPr>
            <w:r w:rsidRPr="00980DDD">
              <w:rPr>
                <w:rFonts w:ascii="Palatino Linotype" w:eastAsia="Palatino Linotype" w:hAnsi="Palatino Linotype" w:cs="Palatino Linotype"/>
              </w:rPr>
              <w:t xml:space="preserve">Los artículos 100 y 122 de la Ley Estatal y de la Ley General, respectivamente, señalan que si los </w:t>
            </w:r>
            <w:r w:rsidRPr="00980DDD">
              <w:rPr>
                <w:rFonts w:ascii="Palatino Linotype" w:eastAsia="Palatino Linotype" w:hAnsi="Palatino Linotype" w:cs="Palatino Linotype"/>
                <w:b/>
              </w:rPr>
              <w:t>Sujetos Obligados</w:t>
            </w:r>
            <w:r w:rsidRPr="00980DDD">
              <w:rPr>
                <w:rFonts w:ascii="Palatino Linotype" w:eastAsia="Palatino Linotype" w:hAnsi="Palatino Linotype" w:cs="Palatino Linotype"/>
              </w:rPr>
              <w:t xml:space="preserve"> determinan que la información actualiza alguno de los supuestos de clasificación, es deber de los titulares de las áreas proponer su clasificación y no del Comité de Transparencia. </w:t>
            </w:r>
          </w:p>
          <w:p w:rsidR="001309ED" w:rsidRPr="00980DDD" w:rsidRDefault="001309ED" w:rsidP="00D956EC">
            <w:pPr>
              <w:spacing w:line="276" w:lineRule="auto"/>
              <w:jc w:val="both"/>
              <w:rPr>
                <w:rFonts w:ascii="Palatino Linotype" w:eastAsia="Palatino Linotype" w:hAnsi="Palatino Linotype" w:cs="Palatino Linotype"/>
              </w:rPr>
            </w:pPr>
            <w:r w:rsidRPr="00980DDD">
              <w:rPr>
                <w:rFonts w:ascii="Palatino Linotype" w:eastAsia="Palatino Linotype" w:hAnsi="Palatino Linotype" w:cs="Palatino Linotype"/>
              </w:rPr>
              <w:t>Al hacerlo tienen que precisar de qué información se trata, señalando el supuesto de clasificación (confidencialidad o reserva).</w:t>
            </w:r>
          </w:p>
          <w:p w:rsidR="001309ED" w:rsidRPr="00980DDD" w:rsidRDefault="001309ED" w:rsidP="00D956EC">
            <w:pPr>
              <w:spacing w:line="276" w:lineRule="auto"/>
              <w:jc w:val="both"/>
              <w:rPr>
                <w:rFonts w:ascii="Palatino Linotype" w:eastAsia="Palatino Linotype" w:hAnsi="Palatino Linotype" w:cs="Palatino Linotype"/>
              </w:rPr>
            </w:pPr>
            <w:r w:rsidRPr="00980DDD">
              <w:rPr>
                <w:rFonts w:ascii="Palatino Linotype" w:eastAsia="Palatino Linotype" w:hAnsi="Palatino Linotype" w:cs="Palatino Linotype"/>
              </w:rPr>
              <w:t>Además, se debe señalar el procedimiento, de los tres que establecen los artículos 132 y 106 de la Ley Estatal y General, respectivamente.</w:t>
            </w:r>
          </w:p>
          <w:p w:rsidR="001309ED" w:rsidRPr="00980DDD" w:rsidRDefault="001309ED" w:rsidP="00D956EC">
            <w:pPr>
              <w:spacing w:line="276" w:lineRule="auto"/>
              <w:jc w:val="both"/>
              <w:rPr>
                <w:rFonts w:ascii="Palatino Linotype" w:eastAsia="Palatino Linotype" w:hAnsi="Palatino Linotype" w:cs="Palatino Linotype"/>
              </w:rPr>
            </w:pPr>
            <w:r w:rsidRPr="00980DDD">
              <w:rPr>
                <w:rFonts w:ascii="Palatino Linotype" w:eastAsia="Palatino Linotype" w:hAnsi="Palatino Linotype" w:cs="Palatino Linotype"/>
              </w:rPr>
              <w:t xml:space="preserve">El último de estos requisitos previos consiste en que no se pueden emitir acuerdos de carácter general ni particular, esto es, </w:t>
            </w:r>
            <w:r w:rsidRPr="00980DDD">
              <w:rPr>
                <w:rFonts w:ascii="Palatino Linotype" w:eastAsia="Palatino Linotype" w:hAnsi="Palatino Linotype" w:cs="Palatino Linotype"/>
                <w:b/>
                <w:u w:val="single"/>
              </w:rPr>
              <w:t xml:space="preserve">no se puede hacer un acuerdo para clasificar de manera general todos los documentos de un expediente o área,  </w:t>
            </w:r>
            <w:r w:rsidRPr="00980DDD">
              <w:rPr>
                <w:rFonts w:ascii="Palatino Linotype" w:eastAsia="Palatino Linotype" w:hAnsi="Palatino Linotype" w:cs="Palatino Linotype"/>
              </w:rPr>
              <w:t>sin individualizar su análisis y tampoco se puede hacer un acuerdo por cada dato que se vaya a clasificar dentro de un documento con diez datos, por ejemplo, susceptibles de ser clasificados.</w:t>
            </w:r>
          </w:p>
        </w:tc>
      </w:tr>
      <w:tr w:rsidR="001309ED" w:rsidRPr="00980DDD" w:rsidTr="00980DDD">
        <w:trPr>
          <w:trHeight w:val="3711"/>
        </w:trPr>
        <w:tc>
          <w:tcPr>
            <w:tcW w:w="2689" w:type="dxa"/>
            <w:tcBorders>
              <w:top w:val="single" w:sz="4" w:space="0" w:color="666666"/>
              <w:left w:val="single" w:sz="4" w:space="0" w:color="666666"/>
              <w:bottom w:val="single" w:sz="4" w:space="0" w:color="666666"/>
              <w:right w:val="single" w:sz="4" w:space="0" w:color="666666"/>
            </w:tcBorders>
          </w:tcPr>
          <w:p w:rsidR="001309ED" w:rsidRPr="00980DDD" w:rsidRDefault="001309ED" w:rsidP="00D956EC">
            <w:pPr>
              <w:spacing w:line="276" w:lineRule="auto"/>
              <w:rPr>
                <w:rFonts w:ascii="Palatino Linotype" w:eastAsia="Palatino Linotype" w:hAnsi="Palatino Linotype" w:cs="Palatino Linotype"/>
              </w:rPr>
            </w:pPr>
            <w:r w:rsidRPr="00980DDD">
              <w:rPr>
                <w:rFonts w:ascii="Palatino Linotype" w:eastAsia="Palatino Linotype" w:hAnsi="Palatino Linotype" w:cs="Palatino Linotype"/>
                <w:b/>
              </w:rPr>
              <w:lastRenderedPageBreak/>
              <w:t>b) Supuestos de clasificación.</w:t>
            </w:r>
          </w:p>
        </w:tc>
        <w:tc>
          <w:tcPr>
            <w:tcW w:w="7297" w:type="dxa"/>
            <w:tcBorders>
              <w:top w:val="single" w:sz="4" w:space="0" w:color="666666"/>
              <w:left w:val="single" w:sz="4" w:space="0" w:color="666666"/>
              <w:bottom w:val="single" w:sz="4" w:space="0" w:color="666666"/>
              <w:right w:val="single" w:sz="4" w:space="0" w:color="666666"/>
            </w:tcBorders>
          </w:tcPr>
          <w:p w:rsidR="001309ED" w:rsidRPr="00980DDD" w:rsidRDefault="001309ED" w:rsidP="00D956EC">
            <w:pPr>
              <w:spacing w:line="276" w:lineRule="auto"/>
              <w:jc w:val="both"/>
              <w:rPr>
                <w:rFonts w:ascii="Palatino Linotype" w:eastAsia="Palatino Linotype" w:hAnsi="Palatino Linotype" w:cs="Palatino Linotype"/>
              </w:rPr>
            </w:pPr>
            <w:r w:rsidRPr="00980DDD">
              <w:rPr>
                <w:rFonts w:ascii="Palatino Linotype" w:eastAsia="Palatino Linotype" w:hAnsi="Palatino Linotype" w:cs="Palatino Linotype"/>
              </w:rPr>
              <w:t>Las disposiciones constitucionales y legales en la materia establecen los dos supuestos generales para clasificar la información: por reserva y por confidencialidad.</w:t>
            </w:r>
          </w:p>
          <w:p w:rsidR="001309ED" w:rsidRPr="00980DDD" w:rsidRDefault="001309ED" w:rsidP="00D956EC">
            <w:pPr>
              <w:spacing w:line="276" w:lineRule="auto"/>
              <w:jc w:val="both"/>
              <w:rPr>
                <w:rFonts w:ascii="Palatino Linotype" w:eastAsia="Palatino Linotype" w:hAnsi="Palatino Linotype" w:cs="Palatino Linotype"/>
              </w:rPr>
            </w:pPr>
            <w:r w:rsidRPr="00980DDD">
              <w:rPr>
                <w:rFonts w:ascii="Palatino Linotype" w:eastAsia="Palatino Linotype" w:hAnsi="Palatino Linotype" w:cs="Palatino Linotype"/>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1309ED" w:rsidRPr="00980DDD" w:rsidRDefault="001309ED" w:rsidP="00D956EC">
            <w:pPr>
              <w:spacing w:line="276" w:lineRule="auto"/>
              <w:jc w:val="both"/>
              <w:rPr>
                <w:rFonts w:ascii="Palatino Linotype" w:eastAsia="Palatino Linotype" w:hAnsi="Palatino Linotype" w:cs="Palatino Linotype"/>
              </w:rPr>
            </w:pPr>
            <w:r w:rsidRPr="00980DDD">
              <w:rPr>
                <w:rFonts w:ascii="Palatino Linotype" w:eastAsia="Palatino Linotype" w:hAnsi="Palatino Linotype" w:cs="Palatino Linotype"/>
              </w:rPr>
              <w:t xml:space="preserve">El </w:t>
            </w:r>
            <w:r w:rsidRPr="00980DDD">
              <w:rPr>
                <w:rFonts w:ascii="Palatino Linotype" w:eastAsia="Palatino Linotype" w:hAnsi="Palatino Linotype" w:cs="Palatino Linotype"/>
                <w:b/>
              </w:rPr>
              <w:t>SUJETO OBLIGADO</w:t>
            </w:r>
            <w:r w:rsidRPr="00980DDD">
              <w:rPr>
                <w:rFonts w:ascii="Palatino Linotype" w:eastAsia="Palatino Linotype" w:hAnsi="Palatino Linotype" w:cs="Palatino Linotype"/>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1309ED" w:rsidRPr="00980DDD" w:rsidTr="00980DDD">
        <w:trPr>
          <w:trHeight w:val="3711"/>
        </w:trPr>
        <w:tc>
          <w:tcPr>
            <w:tcW w:w="2689" w:type="dxa"/>
            <w:tcBorders>
              <w:top w:val="single" w:sz="4" w:space="0" w:color="666666"/>
              <w:left w:val="single" w:sz="4" w:space="0" w:color="666666"/>
              <w:bottom w:val="single" w:sz="4" w:space="0" w:color="666666"/>
              <w:right w:val="single" w:sz="4" w:space="0" w:color="666666"/>
            </w:tcBorders>
          </w:tcPr>
          <w:p w:rsidR="001309ED" w:rsidRPr="00980DDD" w:rsidRDefault="001309ED" w:rsidP="00D956EC">
            <w:pPr>
              <w:spacing w:line="276" w:lineRule="auto"/>
              <w:rPr>
                <w:rFonts w:ascii="Palatino Linotype" w:eastAsia="Palatino Linotype" w:hAnsi="Palatino Linotype" w:cs="Palatino Linotype"/>
              </w:rPr>
            </w:pPr>
            <w:r w:rsidRPr="00980DDD">
              <w:rPr>
                <w:rFonts w:ascii="Palatino Linotype" w:eastAsia="Palatino Linotype" w:hAnsi="Palatino Linotype" w:cs="Palatino Linotype"/>
                <w:b/>
              </w:rPr>
              <w:t>c) Formalidades para emitir el acuerdo de clasificación.</w:t>
            </w:r>
          </w:p>
        </w:tc>
        <w:tc>
          <w:tcPr>
            <w:tcW w:w="7297" w:type="dxa"/>
            <w:tcBorders>
              <w:top w:val="single" w:sz="4" w:space="0" w:color="666666"/>
              <w:left w:val="single" w:sz="4" w:space="0" w:color="666666"/>
              <w:bottom w:val="single" w:sz="4" w:space="0" w:color="666666"/>
              <w:right w:val="single" w:sz="4" w:space="0" w:color="666666"/>
            </w:tcBorders>
          </w:tcPr>
          <w:p w:rsidR="001309ED" w:rsidRPr="00980DDD" w:rsidRDefault="001309ED" w:rsidP="00D956EC">
            <w:pPr>
              <w:spacing w:line="276" w:lineRule="auto"/>
              <w:jc w:val="both"/>
              <w:rPr>
                <w:rFonts w:ascii="Palatino Linotype" w:eastAsia="Palatino Linotype" w:hAnsi="Palatino Linotype" w:cs="Palatino Linotype"/>
              </w:rPr>
            </w:pPr>
            <w:r w:rsidRPr="00980DDD">
              <w:rPr>
                <w:rFonts w:ascii="Palatino Linotype" w:eastAsia="Palatino Linotype" w:hAnsi="Palatino Linotype" w:cs="Palatino Linotype"/>
              </w:rPr>
              <w:t xml:space="preserve">El Comité de Transparencia, según lo dispuesto en los artículos cuenta con las facultades para aprobar, modificar o revocar la clasificación de la información que haya propuesto. </w:t>
            </w:r>
          </w:p>
          <w:p w:rsidR="001309ED" w:rsidRPr="00980DDD" w:rsidRDefault="001309ED" w:rsidP="00D956EC">
            <w:pPr>
              <w:spacing w:line="276" w:lineRule="auto"/>
              <w:jc w:val="both"/>
              <w:rPr>
                <w:rFonts w:ascii="Palatino Linotype" w:eastAsia="Palatino Linotype" w:hAnsi="Palatino Linotype" w:cs="Palatino Linotype"/>
              </w:rPr>
            </w:pPr>
            <w:r w:rsidRPr="00980DDD">
              <w:rPr>
                <w:rFonts w:ascii="Palatino Linotype" w:eastAsia="Palatino Linotype" w:hAnsi="Palatino Linotype" w:cs="Palatino Linotype"/>
              </w:rPr>
              <w:t xml:space="preserve">Es necesario que </w:t>
            </w:r>
            <w:r w:rsidRPr="00980DDD">
              <w:rPr>
                <w:rFonts w:ascii="Palatino Linotype" w:eastAsia="Palatino Linotype" w:hAnsi="Palatino Linotype" w:cs="Palatino Linotype"/>
                <w:b/>
                <w:u w:val="single"/>
              </w:rPr>
              <w:t>el acto reúna con los requisitos elementales</w:t>
            </w:r>
            <w:r w:rsidRPr="00980DDD">
              <w:rPr>
                <w:rFonts w:ascii="Palatino Linotype" w:eastAsia="Palatino Linotype" w:hAnsi="Palatino Linotype" w:cs="Palatino Linotype"/>
              </w:rPr>
              <w:t>, entre ellos, que la autoridad que va a emitir el acto de autoridad sea la legalmente facultada para ello.</w:t>
            </w:r>
          </w:p>
          <w:p w:rsidR="001309ED" w:rsidRPr="00980DDD" w:rsidRDefault="001309ED" w:rsidP="00D956EC">
            <w:pPr>
              <w:spacing w:line="276" w:lineRule="auto"/>
              <w:jc w:val="both"/>
              <w:rPr>
                <w:rFonts w:ascii="Palatino Linotype" w:eastAsia="Palatino Linotype" w:hAnsi="Palatino Linotype" w:cs="Palatino Linotype"/>
              </w:rPr>
            </w:pPr>
            <w:r w:rsidRPr="00980DDD">
              <w:rPr>
                <w:rFonts w:ascii="Palatino Linotype" w:eastAsia="Palatino Linotype" w:hAnsi="Palatino Linotype" w:cs="Palatino Linotype"/>
              </w:rPr>
              <w:t>La decisión de aprobar, modificar o revocar la clasificación deberá de asentarse en un documento que registre la determinación a la que se llegue después de un análisis minucioso a partir de lo propuesto por el Titular del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1309ED" w:rsidRPr="00980DDD" w:rsidTr="00980DDD">
        <w:trPr>
          <w:trHeight w:val="4854"/>
        </w:trPr>
        <w:tc>
          <w:tcPr>
            <w:tcW w:w="2689" w:type="dxa"/>
            <w:tcBorders>
              <w:top w:val="single" w:sz="4" w:space="0" w:color="666666"/>
              <w:left w:val="single" w:sz="4" w:space="0" w:color="666666"/>
              <w:bottom w:val="single" w:sz="4" w:space="0" w:color="666666"/>
              <w:right w:val="single" w:sz="4" w:space="0" w:color="666666"/>
            </w:tcBorders>
          </w:tcPr>
          <w:p w:rsidR="001309ED" w:rsidRPr="00980DDD" w:rsidRDefault="001309ED" w:rsidP="00D956EC">
            <w:pPr>
              <w:spacing w:line="276" w:lineRule="auto"/>
              <w:rPr>
                <w:rFonts w:ascii="Palatino Linotype" w:eastAsia="Palatino Linotype" w:hAnsi="Palatino Linotype" w:cs="Palatino Linotype"/>
              </w:rPr>
            </w:pPr>
          </w:p>
          <w:p w:rsidR="001309ED" w:rsidRPr="00980DDD" w:rsidRDefault="001309ED" w:rsidP="00D956EC">
            <w:pPr>
              <w:spacing w:line="276" w:lineRule="auto"/>
              <w:jc w:val="both"/>
              <w:rPr>
                <w:rFonts w:ascii="Palatino Linotype" w:eastAsia="Palatino Linotype" w:hAnsi="Palatino Linotype" w:cs="Palatino Linotype"/>
              </w:rPr>
            </w:pPr>
            <w:r w:rsidRPr="00980DDD">
              <w:rPr>
                <w:rFonts w:ascii="Palatino Linotype" w:eastAsia="Palatino Linotype" w:hAnsi="Palatino Linotype" w:cs="Palatino Linotype"/>
                <w:b/>
              </w:rPr>
              <w:t xml:space="preserve">d) Requisitos de fondo del acuerdo de clasificación. </w:t>
            </w:r>
          </w:p>
        </w:tc>
        <w:tc>
          <w:tcPr>
            <w:tcW w:w="7297" w:type="dxa"/>
            <w:tcBorders>
              <w:top w:val="single" w:sz="4" w:space="0" w:color="666666"/>
              <w:left w:val="single" w:sz="4" w:space="0" w:color="666666"/>
              <w:bottom w:val="single" w:sz="4" w:space="0" w:color="666666"/>
              <w:right w:val="single" w:sz="4" w:space="0" w:color="666666"/>
            </w:tcBorders>
          </w:tcPr>
          <w:p w:rsidR="001309ED" w:rsidRPr="00980DDD" w:rsidRDefault="001309ED" w:rsidP="00D956EC">
            <w:pPr>
              <w:spacing w:line="276" w:lineRule="auto"/>
              <w:jc w:val="both"/>
              <w:rPr>
                <w:rFonts w:ascii="Palatino Linotype" w:eastAsia="Palatino Linotype" w:hAnsi="Palatino Linotype" w:cs="Palatino Linotype"/>
              </w:rPr>
            </w:pPr>
            <w:r w:rsidRPr="00980DDD">
              <w:rPr>
                <w:rFonts w:ascii="Palatino Linotype" w:eastAsia="Palatino Linotype" w:hAnsi="Palatino Linotype" w:cs="Palatino Linotype"/>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980DDD">
              <w:rPr>
                <w:rFonts w:ascii="Palatino Linotype" w:eastAsia="Palatino Linotype" w:hAnsi="Palatino Linotype" w:cs="Palatino Linotype"/>
                <w:b/>
              </w:rPr>
              <w:t>Sujetos Obligados</w:t>
            </w:r>
            <w:r w:rsidRPr="00980DDD">
              <w:rPr>
                <w:rFonts w:ascii="Palatino Linotype" w:eastAsia="Palatino Linotype" w:hAnsi="Palatino Linotype" w:cs="Palatino Linotype"/>
              </w:rPr>
              <w:t xml:space="preserve">, por lo que deberán fundar y motivar debidamente la clasificación. </w:t>
            </w:r>
          </w:p>
          <w:p w:rsidR="001309ED" w:rsidRPr="00980DDD" w:rsidRDefault="001309ED" w:rsidP="00D956EC">
            <w:pPr>
              <w:spacing w:line="276" w:lineRule="auto"/>
              <w:jc w:val="both"/>
              <w:rPr>
                <w:rFonts w:ascii="Palatino Linotype" w:eastAsia="Palatino Linotype" w:hAnsi="Palatino Linotype" w:cs="Palatino Linotype"/>
              </w:rPr>
            </w:pPr>
            <w:r w:rsidRPr="00980DDD">
              <w:rPr>
                <w:rFonts w:ascii="Palatino Linotype" w:eastAsia="Palatino Linotype" w:hAnsi="Palatino Linotype" w:cs="Palatino Linotype"/>
              </w:rPr>
              <w:t xml:space="preserve">De lo anterior, se desprende que para una correcta </w:t>
            </w:r>
            <w:r w:rsidRPr="00980DDD">
              <w:rPr>
                <w:rFonts w:ascii="Palatino Linotype" w:eastAsia="Palatino Linotype" w:hAnsi="Palatino Linotype" w:cs="Palatino Linotype"/>
                <w:b/>
              </w:rPr>
              <w:t>clasificación total o parcial</w:t>
            </w:r>
            <w:r w:rsidRPr="00980DDD">
              <w:rPr>
                <w:rFonts w:ascii="Palatino Linotype" w:eastAsia="Palatino Linotype" w:hAnsi="Palatino Linotype" w:cs="Palatino Linotype"/>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1309ED" w:rsidRPr="00980DDD" w:rsidRDefault="001309ED" w:rsidP="00D956EC">
            <w:pPr>
              <w:spacing w:line="276" w:lineRule="auto"/>
              <w:jc w:val="both"/>
              <w:rPr>
                <w:rFonts w:ascii="Palatino Linotype" w:eastAsia="Palatino Linotype" w:hAnsi="Palatino Linotype" w:cs="Palatino Linotype"/>
              </w:rPr>
            </w:pPr>
            <w:r w:rsidRPr="00980DDD">
              <w:rPr>
                <w:rFonts w:ascii="Palatino Linotype" w:eastAsia="Palatino Linotype" w:hAnsi="Palatino Linotype" w:cs="Palatino Linotype"/>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1309ED" w:rsidRPr="00980DDD" w:rsidRDefault="001309ED" w:rsidP="00D956EC">
            <w:pPr>
              <w:spacing w:line="276" w:lineRule="auto"/>
              <w:jc w:val="both"/>
              <w:rPr>
                <w:rFonts w:ascii="Palatino Linotype" w:eastAsia="Palatino Linotype" w:hAnsi="Palatino Linotype" w:cs="Palatino Linotype"/>
              </w:rPr>
            </w:pPr>
            <w:r w:rsidRPr="00980DDD">
              <w:rPr>
                <w:rFonts w:ascii="Palatino Linotype" w:eastAsia="Palatino Linotype" w:hAnsi="Palatino Linotype" w:cs="Palatino Linotype"/>
              </w:rPr>
              <w:t>En ese mismo sentido, el numeral trigésimo tercero fracción V de los Lineamientos Generales, precisa que para motivar la clasificación se deben acreditar las circunstancias de tiempo, modo y lugar.</w:t>
            </w:r>
          </w:p>
          <w:p w:rsidR="001309ED" w:rsidRPr="00980DDD" w:rsidRDefault="001309ED" w:rsidP="00D956EC">
            <w:pPr>
              <w:spacing w:line="276" w:lineRule="auto"/>
              <w:jc w:val="both"/>
              <w:rPr>
                <w:rFonts w:ascii="Palatino Linotype" w:eastAsia="Palatino Linotype" w:hAnsi="Palatino Linotype" w:cs="Palatino Linotype"/>
              </w:rPr>
            </w:pPr>
            <w:r w:rsidRPr="00980DDD">
              <w:rPr>
                <w:rFonts w:ascii="Palatino Linotype" w:eastAsia="Palatino Linotype" w:hAnsi="Palatino Linotype" w:cs="Palatino Linotype"/>
              </w:rPr>
              <w:t xml:space="preserve">Ahora bien, </w:t>
            </w:r>
            <w:r w:rsidRPr="00980DDD">
              <w:rPr>
                <w:rFonts w:ascii="Palatino Linotype" w:eastAsia="Palatino Linotype" w:hAnsi="Palatino Linotype" w:cs="Palatino Linotype"/>
                <w:b/>
                <w:u w:val="single"/>
              </w:rPr>
              <w:t>para cada caso además de fundar y motivar</w:t>
            </w:r>
            <w:r w:rsidRPr="00980DDD">
              <w:rPr>
                <w:rFonts w:ascii="Palatino Linotype" w:eastAsia="Palatino Linotype" w:hAnsi="Palatino Linotype" w:cs="Palatino Linotype"/>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1309ED" w:rsidRPr="00980DDD" w:rsidTr="00980DDD">
        <w:trPr>
          <w:trHeight w:val="3131"/>
        </w:trPr>
        <w:tc>
          <w:tcPr>
            <w:tcW w:w="2689" w:type="dxa"/>
            <w:tcBorders>
              <w:top w:val="single" w:sz="4" w:space="0" w:color="666666"/>
              <w:left w:val="single" w:sz="4" w:space="0" w:color="666666"/>
              <w:bottom w:val="single" w:sz="4" w:space="0" w:color="666666"/>
              <w:right w:val="single" w:sz="4" w:space="0" w:color="666666"/>
            </w:tcBorders>
          </w:tcPr>
          <w:p w:rsidR="001309ED" w:rsidRPr="00980DDD" w:rsidRDefault="001309ED" w:rsidP="00D956EC">
            <w:pPr>
              <w:spacing w:line="276" w:lineRule="auto"/>
              <w:jc w:val="both"/>
              <w:rPr>
                <w:rFonts w:ascii="Palatino Linotype" w:eastAsia="Palatino Linotype" w:hAnsi="Palatino Linotype" w:cs="Palatino Linotype"/>
              </w:rPr>
            </w:pPr>
            <w:r w:rsidRPr="00980DDD">
              <w:rPr>
                <w:rFonts w:ascii="Palatino Linotype" w:eastAsia="Palatino Linotype" w:hAnsi="Palatino Linotype" w:cs="Palatino Linotype"/>
                <w:b/>
              </w:rPr>
              <w:lastRenderedPageBreak/>
              <w:t xml:space="preserve">e) Condiciones especiales de la clasificación de la información como confidencial. </w:t>
            </w:r>
          </w:p>
          <w:p w:rsidR="001309ED" w:rsidRPr="00980DDD" w:rsidRDefault="001309ED" w:rsidP="00D956EC">
            <w:pPr>
              <w:spacing w:line="276" w:lineRule="auto"/>
              <w:rPr>
                <w:rFonts w:ascii="Palatino Linotype" w:eastAsia="Palatino Linotype" w:hAnsi="Palatino Linotype" w:cs="Palatino Linotype"/>
              </w:rPr>
            </w:pPr>
          </w:p>
        </w:tc>
        <w:tc>
          <w:tcPr>
            <w:tcW w:w="7297" w:type="dxa"/>
            <w:tcBorders>
              <w:top w:val="single" w:sz="4" w:space="0" w:color="666666"/>
              <w:left w:val="single" w:sz="4" w:space="0" w:color="666666"/>
              <w:bottom w:val="single" w:sz="4" w:space="0" w:color="666666"/>
              <w:right w:val="single" w:sz="4" w:space="0" w:color="666666"/>
            </w:tcBorders>
          </w:tcPr>
          <w:p w:rsidR="001309ED" w:rsidRPr="00980DDD" w:rsidRDefault="001309ED" w:rsidP="00D956EC">
            <w:pPr>
              <w:spacing w:line="276" w:lineRule="auto"/>
              <w:jc w:val="both"/>
              <w:rPr>
                <w:rFonts w:ascii="Palatino Linotype" w:eastAsia="Palatino Linotype" w:hAnsi="Palatino Linotype" w:cs="Palatino Linotype"/>
              </w:rPr>
            </w:pPr>
            <w:r w:rsidRPr="00980DDD">
              <w:rPr>
                <w:rFonts w:ascii="Palatino Linotype" w:eastAsia="Palatino Linotype" w:hAnsi="Palatino Linotype" w:cs="Palatino Linotype"/>
              </w:rPr>
              <w:t xml:space="preserve">Los artículos 148 y 120 de la Ley Estatal y de la Ley General, respectivamente, establecen que aun tratándose de datos personales, se podrán proporcionar, incluso sin solicitar el consentimiento de su titular. </w:t>
            </w:r>
          </w:p>
          <w:p w:rsidR="001309ED" w:rsidRPr="00980DDD" w:rsidRDefault="001309ED" w:rsidP="00D956EC">
            <w:pPr>
              <w:spacing w:line="276" w:lineRule="auto"/>
              <w:jc w:val="both"/>
              <w:rPr>
                <w:rFonts w:ascii="Palatino Linotype" w:eastAsia="Palatino Linotype" w:hAnsi="Palatino Linotype" w:cs="Palatino Linotype"/>
              </w:rPr>
            </w:pPr>
            <w:r w:rsidRPr="00980DDD">
              <w:rPr>
                <w:rFonts w:ascii="Palatino Linotype" w:eastAsia="Palatino Linotype" w:hAnsi="Palatino Linotype" w:cs="Palatino Linotype"/>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1309ED" w:rsidRPr="00980DDD" w:rsidRDefault="001309ED" w:rsidP="00D956EC">
            <w:pPr>
              <w:spacing w:line="276" w:lineRule="auto"/>
              <w:rPr>
                <w:rFonts w:ascii="Palatino Linotype" w:eastAsia="Palatino Linotype" w:hAnsi="Palatino Linotype" w:cs="Palatino Linotype"/>
              </w:rPr>
            </w:pPr>
            <w:r w:rsidRPr="00980DDD">
              <w:rPr>
                <w:rFonts w:ascii="Palatino Linotype" w:eastAsia="Palatino Linotype" w:hAnsi="Palatino Linotype" w:cs="Palatino Linotype"/>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1309ED" w:rsidRPr="00980DDD" w:rsidRDefault="001309ED" w:rsidP="001309ED">
      <w:pPr>
        <w:spacing w:line="360" w:lineRule="auto"/>
        <w:jc w:val="both"/>
        <w:rPr>
          <w:rFonts w:ascii="Palatino Linotype" w:hAnsi="Palatino Linotype"/>
        </w:rPr>
      </w:pPr>
    </w:p>
    <w:p w:rsidR="00BC16DE" w:rsidRPr="00980DDD" w:rsidRDefault="00BC16DE" w:rsidP="00BC16DE">
      <w:pPr>
        <w:keepNext/>
        <w:keepLines/>
        <w:spacing w:before="240" w:line="259" w:lineRule="auto"/>
        <w:outlineLvl w:val="0"/>
        <w:rPr>
          <w:rFonts w:ascii="Palatino Linotype" w:eastAsia="MS Gothic" w:hAnsi="Palatino Linotype"/>
          <w:b/>
          <w:color w:val="000000"/>
        </w:rPr>
      </w:pPr>
      <w:bookmarkStart w:id="9" w:name="_Toc96007420"/>
      <w:bookmarkStart w:id="10" w:name="_Toc98429042"/>
      <w:bookmarkStart w:id="11" w:name="_Toc98978657"/>
      <w:bookmarkStart w:id="12" w:name="_Toc102644153"/>
      <w:r w:rsidRPr="00980DDD">
        <w:rPr>
          <w:rFonts w:ascii="Palatino Linotype" w:eastAsia="MS Gothic" w:hAnsi="Palatino Linotype"/>
          <w:b/>
          <w:color w:val="000000"/>
        </w:rPr>
        <w:t>a) Del nombre de policías.</w:t>
      </w:r>
      <w:bookmarkEnd w:id="9"/>
      <w:bookmarkEnd w:id="10"/>
      <w:bookmarkEnd w:id="11"/>
      <w:bookmarkEnd w:id="12"/>
      <w:r w:rsidRPr="00980DDD">
        <w:rPr>
          <w:rFonts w:ascii="Palatino Linotype" w:eastAsia="MS Gothic" w:hAnsi="Palatino Linotype"/>
          <w:b/>
          <w:color w:val="000000"/>
        </w:rPr>
        <w:t xml:space="preserve"> </w:t>
      </w:r>
    </w:p>
    <w:p w:rsidR="00BC16DE" w:rsidRPr="00980DDD" w:rsidRDefault="00BC16DE" w:rsidP="00BC16DE">
      <w:pPr>
        <w:numPr>
          <w:ilvl w:val="0"/>
          <w:numId w:val="2"/>
        </w:numPr>
        <w:tabs>
          <w:tab w:val="left" w:pos="0"/>
        </w:tabs>
        <w:spacing w:before="240" w:after="240" w:line="360" w:lineRule="auto"/>
        <w:ind w:left="0" w:right="49" w:firstLine="0"/>
        <w:contextualSpacing/>
        <w:jc w:val="both"/>
        <w:rPr>
          <w:rFonts w:ascii="Palatino Linotype" w:eastAsia="Calibri" w:hAnsi="Palatino Linotype"/>
        </w:rPr>
      </w:pPr>
      <w:r w:rsidRPr="00980DDD">
        <w:rPr>
          <w:rFonts w:ascii="Palatino Linotype" w:eastAsia="Calibri" w:hAnsi="Palatino Linotype"/>
        </w:rPr>
        <w:t xml:space="preserve">Precisado lo anterior y en atención a que se observa que la información de la que se requiere acceso contiene información de los elementos de seguridad pública, es necesario señalar que las condiciones en las cuales se deberá entregar la información solicitada adquieren una especial naturaleza. </w:t>
      </w:r>
    </w:p>
    <w:p w:rsidR="00BC16DE" w:rsidRPr="00980DDD" w:rsidRDefault="00BC16DE" w:rsidP="00BC16DE">
      <w:pPr>
        <w:spacing w:before="240" w:after="240" w:line="360" w:lineRule="auto"/>
        <w:ind w:right="49"/>
        <w:contextualSpacing/>
        <w:jc w:val="both"/>
        <w:rPr>
          <w:rFonts w:ascii="Palatino Linotype" w:eastAsia="Calibri" w:hAnsi="Palatino Linotype"/>
        </w:rPr>
      </w:pPr>
    </w:p>
    <w:p w:rsidR="00BC16DE" w:rsidRPr="00980DDD" w:rsidRDefault="00BC16DE" w:rsidP="00BC16DE">
      <w:pPr>
        <w:numPr>
          <w:ilvl w:val="0"/>
          <w:numId w:val="2"/>
        </w:numPr>
        <w:tabs>
          <w:tab w:val="left" w:pos="0"/>
        </w:tabs>
        <w:spacing w:before="240" w:after="240" w:line="360" w:lineRule="auto"/>
        <w:ind w:left="0" w:right="49" w:firstLine="0"/>
        <w:contextualSpacing/>
        <w:jc w:val="both"/>
        <w:rPr>
          <w:rFonts w:ascii="Palatino Linotype" w:eastAsia="Calibri" w:hAnsi="Palatino Linotype"/>
        </w:rPr>
      </w:pPr>
      <w:r w:rsidRPr="00980DDD">
        <w:rPr>
          <w:rFonts w:ascii="Palatino Linotype" w:eastAsia="Calibri" w:hAnsi="Palatino Linotype"/>
        </w:rPr>
        <w:t>En efecto</w:t>
      </w:r>
      <w:r w:rsidRPr="00980DDD">
        <w:rPr>
          <w:rFonts w:ascii="Palatino Linotype" w:hAnsi="Palatino Linotype"/>
        </w:rPr>
        <w:t xml:space="preserve">, este instituto advierte que otorgar acceso al nombre de policías operativos podría comprometer la integridad de los mismos, de conformidad con lo que establece el artículo 140 de la Ley de Transparencia y Acceso a la Información Pública del Estado de México y Municipios: </w:t>
      </w:r>
    </w:p>
    <w:p w:rsidR="00BC16DE" w:rsidRPr="00980DDD" w:rsidRDefault="00BC16DE" w:rsidP="00BC16DE">
      <w:pPr>
        <w:spacing w:line="360" w:lineRule="auto"/>
        <w:ind w:left="708"/>
        <w:rPr>
          <w:rFonts w:ascii="Palatino Linotype" w:hAnsi="Palatino Linotype"/>
        </w:rPr>
      </w:pPr>
    </w:p>
    <w:p w:rsidR="00BC16DE" w:rsidRPr="00980DDD" w:rsidRDefault="00BC16DE" w:rsidP="00BC16DE">
      <w:pPr>
        <w:tabs>
          <w:tab w:val="left" w:pos="8222"/>
        </w:tabs>
        <w:spacing w:before="240" w:after="240" w:line="276" w:lineRule="auto"/>
        <w:ind w:left="851" w:right="822"/>
        <w:contextualSpacing/>
        <w:jc w:val="both"/>
        <w:rPr>
          <w:rFonts w:ascii="Palatino Linotype" w:hAnsi="Palatino Linotype"/>
          <w:i/>
        </w:rPr>
      </w:pPr>
      <w:r w:rsidRPr="00980DDD">
        <w:rPr>
          <w:rFonts w:ascii="Palatino Linotype" w:hAnsi="Palatino Linotype"/>
          <w:b/>
          <w:i/>
        </w:rPr>
        <w:lastRenderedPageBreak/>
        <w:t>“Artículo 140.</w:t>
      </w:r>
      <w:r w:rsidRPr="00980DDD">
        <w:rPr>
          <w:rFonts w:ascii="Palatino Linotype" w:hAnsi="Palatino Linotype"/>
          <w:i/>
        </w:rPr>
        <w:t xml:space="preserve"> El acceso a la información pública será restringido excepcionalmente, cuando por razones de interés público, ésta sea clasificada como reservada, conforme a los criterios siguientes: </w:t>
      </w:r>
    </w:p>
    <w:p w:rsidR="00BC16DE" w:rsidRPr="00980DDD" w:rsidRDefault="00BC16DE" w:rsidP="00BC16DE">
      <w:pPr>
        <w:tabs>
          <w:tab w:val="left" w:pos="8222"/>
        </w:tabs>
        <w:spacing w:before="240" w:after="240" w:line="276" w:lineRule="auto"/>
        <w:ind w:left="851" w:right="822"/>
        <w:contextualSpacing/>
        <w:jc w:val="both"/>
        <w:rPr>
          <w:rFonts w:ascii="Palatino Linotype" w:hAnsi="Palatino Linotype"/>
          <w:i/>
        </w:rPr>
      </w:pPr>
      <w:r w:rsidRPr="00980DDD">
        <w:rPr>
          <w:rFonts w:ascii="Palatino Linotype" w:hAnsi="Palatino Linotype"/>
          <w:i/>
        </w:rPr>
        <w:t xml:space="preserve">I. Comprometa la seguridad pública y cuente con un propósito genuino y un efecto demostrable; </w:t>
      </w:r>
    </w:p>
    <w:p w:rsidR="00BC16DE" w:rsidRPr="00980DDD" w:rsidRDefault="00BC16DE" w:rsidP="00BC16DE">
      <w:pPr>
        <w:tabs>
          <w:tab w:val="left" w:pos="8222"/>
        </w:tabs>
        <w:spacing w:before="240" w:after="240" w:line="276" w:lineRule="auto"/>
        <w:ind w:left="851" w:right="822"/>
        <w:contextualSpacing/>
        <w:jc w:val="both"/>
        <w:rPr>
          <w:rFonts w:ascii="Palatino Linotype" w:hAnsi="Palatino Linotype"/>
          <w:i/>
        </w:rPr>
      </w:pPr>
      <w:r w:rsidRPr="00980DDD">
        <w:rPr>
          <w:rFonts w:ascii="Palatino Linotype" w:hAnsi="Palatino Linotype"/>
          <w:i/>
        </w:rPr>
        <w:t xml:space="preserve">II. Pueda menoscabar la conducción de las negociaciones y relaciones internacionales; </w:t>
      </w:r>
    </w:p>
    <w:p w:rsidR="00BC16DE" w:rsidRPr="00980DDD" w:rsidRDefault="00BC16DE" w:rsidP="00BC16DE">
      <w:pPr>
        <w:tabs>
          <w:tab w:val="left" w:pos="8222"/>
        </w:tabs>
        <w:spacing w:before="240" w:after="240" w:line="276" w:lineRule="auto"/>
        <w:ind w:left="851" w:right="822"/>
        <w:contextualSpacing/>
        <w:jc w:val="both"/>
        <w:rPr>
          <w:rFonts w:ascii="Palatino Linotype" w:hAnsi="Palatino Linotype"/>
          <w:i/>
        </w:rPr>
      </w:pPr>
      <w:r w:rsidRPr="00980DDD">
        <w:rPr>
          <w:rFonts w:ascii="Palatino Linotype" w:hAnsi="Palatino Linotype"/>
          <w:i/>
        </w:rPr>
        <w:t xml:space="preserve">III. Se entregue a la Entidad expresamente con ese carácter o el de confidencialidad por otro u otros sujetos de derecho internacional, excepto cuando se trate de violaciones graves de derechos humanos o delitos de lesa humanidad de conformidad con el derecho internacional; </w:t>
      </w:r>
    </w:p>
    <w:p w:rsidR="00BC16DE" w:rsidRPr="00980DDD" w:rsidRDefault="00BC16DE" w:rsidP="00BC16DE">
      <w:pPr>
        <w:tabs>
          <w:tab w:val="left" w:pos="8222"/>
        </w:tabs>
        <w:spacing w:before="240" w:after="240" w:line="276" w:lineRule="auto"/>
        <w:ind w:left="851" w:right="822"/>
        <w:contextualSpacing/>
        <w:jc w:val="both"/>
        <w:rPr>
          <w:rFonts w:ascii="Palatino Linotype" w:hAnsi="Palatino Linotype"/>
          <w:b/>
          <w:i/>
        </w:rPr>
      </w:pPr>
      <w:r w:rsidRPr="00980DDD">
        <w:rPr>
          <w:rFonts w:ascii="Palatino Linotype" w:hAnsi="Palatino Linotype"/>
          <w:b/>
          <w:i/>
        </w:rPr>
        <w:t>IV. Ponga en riesgo la vida, la seguridad o la salud de una persona física;</w:t>
      </w:r>
    </w:p>
    <w:p w:rsidR="00BC16DE" w:rsidRPr="00980DDD" w:rsidRDefault="00BC16DE" w:rsidP="00BC16DE">
      <w:pPr>
        <w:tabs>
          <w:tab w:val="left" w:pos="8222"/>
        </w:tabs>
        <w:spacing w:before="240" w:after="240" w:line="276" w:lineRule="auto"/>
        <w:ind w:left="851" w:right="822"/>
        <w:contextualSpacing/>
        <w:jc w:val="both"/>
        <w:rPr>
          <w:rFonts w:ascii="Palatino Linotype" w:eastAsia="Calibri" w:hAnsi="Palatino Linotype"/>
          <w:i/>
        </w:rPr>
      </w:pPr>
      <w:r w:rsidRPr="00980DDD">
        <w:rPr>
          <w:rFonts w:ascii="Palatino Linotype" w:hAnsi="Palatino Linotype"/>
          <w:i/>
        </w:rPr>
        <w:t xml:space="preserve"> (…)” (Sic)</w:t>
      </w:r>
    </w:p>
    <w:p w:rsidR="00BC16DE" w:rsidRPr="00980DDD" w:rsidRDefault="00BC16DE" w:rsidP="00BC16DE">
      <w:pPr>
        <w:spacing w:before="240" w:after="240" w:line="360" w:lineRule="auto"/>
        <w:ind w:right="49"/>
        <w:contextualSpacing/>
        <w:jc w:val="both"/>
        <w:rPr>
          <w:rFonts w:ascii="Palatino Linotype" w:eastAsia="Calibri" w:hAnsi="Palatino Linotype"/>
        </w:rPr>
      </w:pPr>
    </w:p>
    <w:p w:rsidR="00BC16DE" w:rsidRPr="00980DDD" w:rsidRDefault="00BC16DE" w:rsidP="00BC16DE">
      <w:pPr>
        <w:numPr>
          <w:ilvl w:val="0"/>
          <w:numId w:val="2"/>
        </w:numPr>
        <w:tabs>
          <w:tab w:val="left" w:pos="0"/>
        </w:tabs>
        <w:spacing w:after="160" w:line="360" w:lineRule="auto"/>
        <w:ind w:left="0" w:firstLine="0"/>
        <w:contextualSpacing/>
        <w:jc w:val="both"/>
        <w:rPr>
          <w:rFonts w:ascii="Palatino Linotype" w:hAnsi="Palatino Linotype"/>
        </w:rPr>
      </w:pPr>
      <w:r w:rsidRPr="00980DDD">
        <w:rPr>
          <w:rFonts w:ascii="Palatino Linotype" w:hAnsi="Palatino Linotype"/>
        </w:rPr>
        <w:t>En este contexto, este Pleno considera que dar a conocer los nombres de servidores públicos que realizan funciones en materia de seguridad, tal como es el caso de los policías, los vuelve identificables y posiblemente reconocibles para grupos delictivos</w:t>
      </w:r>
      <w:r w:rsidRPr="00980DDD">
        <w:rPr>
          <w:rFonts w:ascii="Palatino Linotype" w:hAnsi="Palatino Linotype" w:cs="Tahoma"/>
          <w:bCs/>
        </w:rPr>
        <w:t xml:space="preserve">; así, dicha información puede ser utilizada para </w:t>
      </w:r>
      <w:r w:rsidRPr="00980DDD">
        <w:rPr>
          <w:rFonts w:ascii="Palatino Linotype" w:hAnsi="Palatino Linotype" w:cs="Tahoma"/>
          <w:b/>
          <w:bCs/>
        </w:rPr>
        <w:t xml:space="preserve">vulnerar la vida, seguridad o salud de dichos elementos, incluso la de sus familias o entorno social, </w:t>
      </w:r>
      <w:r w:rsidRPr="00980DDD">
        <w:rPr>
          <w:rFonts w:ascii="Palatino Linotype" w:hAnsi="Palatino Linotype" w:cs="Tahoma"/>
          <w:bCs/>
        </w:rPr>
        <w:t>demás, de que aumenta el riesgo de que personas ajenas a los intereses institucionales e intenten realizar actos tendientes a inhibir o entrometerse en las funciones de los policías municipales, lo cual causaría una vulneración a la seguridad municipal.</w:t>
      </w:r>
    </w:p>
    <w:p w:rsidR="00BC16DE" w:rsidRPr="00980DDD" w:rsidRDefault="00BC16DE" w:rsidP="00BC16DE">
      <w:pPr>
        <w:spacing w:line="360" w:lineRule="auto"/>
        <w:contextualSpacing/>
        <w:jc w:val="both"/>
        <w:rPr>
          <w:rFonts w:ascii="Palatino Linotype" w:hAnsi="Palatino Linotype"/>
        </w:rPr>
      </w:pPr>
    </w:p>
    <w:p w:rsidR="00BC16DE" w:rsidRPr="00980DDD" w:rsidRDefault="00BC16DE" w:rsidP="00BC16DE">
      <w:pPr>
        <w:numPr>
          <w:ilvl w:val="0"/>
          <w:numId w:val="2"/>
        </w:numPr>
        <w:spacing w:after="160" w:line="360" w:lineRule="auto"/>
        <w:ind w:left="0" w:firstLine="0"/>
        <w:contextualSpacing/>
        <w:jc w:val="both"/>
        <w:rPr>
          <w:rFonts w:ascii="Palatino Linotype" w:eastAsia="Calibri" w:hAnsi="Palatino Linotype" w:cs="Tahoma"/>
          <w:bCs/>
        </w:rPr>
      </w:pPr>
      <w:r w:rsidRPr="00980DDD">
        <w:rPr>
          <w:rFonts w:ascii="Palatino Linotype" w:eastAsia="Calibri" w:hAnsi="Palatino Linotype" w:cs="Tahoma"/>
          <w:bCs/>
        </w:rPr>
        <w:t xml:space="preserve">En ese sentido, el proporcionar el nombre de los elementos policiales operativos, pone en riesgo de manera directa la vida y la seguridad de dicho servidor, siendo obligación de la Institución protegerla en todo momento para salvaguarda de sus integrantes. </w:t>
      </w:r>
    </w:p>
    <w:p w:rsidR="00BC16DE" w:rsidRPr="00980DDD" w:rsidRDefault="00BC16DE" w:rsidP="00BC16DE">
      <w:pPr>
        <w:spacing w:line="360" w:lineRule="auto"/>
        <w:rPr>
          <w:rFonts w:ascii="Palatino Linotype" w:eastAsia="Calibri" w:hAnsi="Palatino Linotype" w:cs="Tahoma"/>
          <w:bCs/>
        </w:rPr>
      </w:pPr>
    </w:p>
    <w:p w:rsidR="00BC16DE" w:rsidRPr="00980DDD" w:rsidRDefault="00BC16DE" w:rsidP="00BC16DE">
      <w:pPr>
        <w:numPr>
          <w:ilvl w:val="0"/>
          <w:numId w:val="2"/>
        </w:numPr>
        <w:spacing w:after="160" w:line="360" w:lineRule="auto"/>
        <w:ind w:left="0" w:firstLine="0"/>
        <w:contextualSpacing/>
        <w:jc w:val="both"/>
        <w:rPr>
          <w:rFonts w:ascii="Palatino Linotype" w:eastAsia="Calibri" w:hAnsi="Palatino Linotype" w:cs="Tahoma"/>
          <w:bCs/>
        </w:rPr>
      </w:pPr>
      <w:r w:rsidRPr="00980DDD">
        <w:rPr>
          <w:rFonts w:ascii="Palatino Linotype" w:eastAsia="Calibri" w:hAnsi="Palatino Linotype" w:cs="Tahoma"/>
          <w:bCs/>
        </w:rPr>
        <w:lastRenderedPageBreak/>
        <w:t xml:space="preserve">Lo anterior adquiere razón toda vez que la información solicitada hace identificable a los integrantes de seguridad pública, ya que permite que su identidad pueda determinarse de manera directa, pudiéndose ocasionar riesgos por la posible utilización y difusión de la información por grupos delictivos. </w:t>
      </w:r>
    </w:p>
    <w:p w:rsidR="00BC16DE" w:rsidRPr="00980DDD" w:rsidRDefault="00BC16DE" w:rsidP="00BC16DE">
      <w:pPr>
        <w:spacing w:line="360" w:lineRule="auto"/>
        <w:contextualSpacing/>
        <w:jc w:val="both"/>
        <w:rPr>
          <w:rFonts w:ascii="Palatino Linotype" w:eastAsia="Calibri" w:hAnsi="Palatino Linotype" w:cs="Tahoma"/>
          <w:bCs/>
        </w:rPr>
      </w:pPr>
    </w:p>
    <w:p w:rsidR="00BC16DE" w:rsidRPr="00980DDD" w:rsidRDefault="00BC16DE" w:rsidP="00BC16DE">
      <w:pPr>
        <w:numPr>
          <w:ilvl w:val="0"/>
          <w:numId w:val="2"/>
        </w:numPr>
        <w:spacing w:after="160" w:line="360" w:lineRule="auto"/>
        <w:ind w:left="0" w:firstLine="0"/>
        <w:contextualSpacing/>
        <w:jc w:val="both"/>
        <w:rPr>
          <w:rFonts w:ascii="Palatino Linotype" w:eastAsia="Calibri" w:hAnsi="Palatino Linotype" w:cs="Tahoma"/>
          <w:bCs/>
        </w:rPr>
      </w:pPr>
      <w:r w:rsidRPr="00980DDD">
        <w:rPr>
          <w:rFonts w:ascii="Palatino Linotype" w:eastAsia="Calibri" w:hAnsi="Palatino Linotype" w:cs="Tahoma"/>
          <w:bCs/>
        </w:rPr>
        <w:t>Asimismo, existe la posibilidad de que personas ajenas a la Institución la utilicen para sorprender a la ciudadanía y realicen extorsiones telefónicas al amparo de usurpar la identidad de algún servidor público encargado de la seguridad pública; o que integrantes de organizaciones criminales los contacten para presionar en entregar información, como por ejemplo, la relacionada con investigaciones, nombres de integrantes que participan en los operativos e incluso documentación emitida por el</w:t>
      </w:r>
      <w:r w:rsidRPr="00980DDD">
        <w:rPr>
          <w:rFonts w:ascii="Palatino Linotype" w:eastAsia="Calibri" w:hAnsi="Palatino Linotype" w:cs="Tahoma"/>
          <w:b/>
          <w:bCs/>
        </w:rPr>
        <w:t xml:space="preserve"> SUJETO OBLIGADO</w:t>
      </w:r>
      <w:r w:rsidRPr="00980DDD">
        <w:rPr>
          <w:rFonts w:ascii="Palatino Linotype" w:eastAsia="Calibri" w:hAnsi="Palatino Linotype" w:cs="Tahoma"/>
          <w:bCs/>
        </w:rPr>
        <w:t>, colocando en inminente riesgo la vida de todos los integrantes, menoscabando así las actividades de prevención del delito y combate a la delincuencia.</w:t>
      </w:r>
    </w:p>
    <w:p w:rsidR="00BC16DE" w:rsidRPr="00980DDD" w:rsidRDefault="00BC16DE" w:rsidP="00BC16DE">
      <w:pPr>
        <w:spacing w:line="360" w:lineRule="auto"/>
        <w:contextualSpacing/>
        <w:jc w:val="both"/>
        <w:rPr>
          <w:rFonts w:ascii="Palatino Linotype" w:eastAsia="Calibri" w:hAnsi="Palatino Linotype" w:cs="Tahoma"/>
          <w:bCs/>
        </w:rPr>
      </w:pPr>
    </w:p>
    <w:p w:rsidR="00BC16DE" w:rsidRPr="00980DDD" w:rsidRDefault="00BC16DE" w:rsidP="00BC16DE">
      <w:pPr>
        <w:numPr>
          <w:ilvl w:val="0"/>
          <w:numId w:val="2"/>
        </w:numPr>
        <w:spacing w:after="160" w:line="360" w:lineRule="auto"/>
        <w:ind w:left="0" w:firstLine="0"/>
        <w:contextualSpacing/>
        <w:jc w:val="both"/>
        <w:rPr>
          <w:rFonts w:ascii="Palatino Linotype" w:eastAsia="Calibri" w:hAnsi="Palatino Linotype" w:cs="Tahoma"/>
          <w:bCs/>
        </w:rPr>
      </w:pPr>
      <w:r w:rsidRPr="00980DDD">
        <w:rPr>
          <w:rFonts w:ascii="Palatino Linotype" w:eastAsia="Calibri" w:hAnsi="Palatino Linotype" w:cs="Tahoma"/>
          <w:bCs/>
        </w:rPr>
        <w:t xml:space="preserve">Así como el artículo 6º Constitucional por un lado garantiza el derecho de acceso a la información, por otro lado, el derecho a la vida y la seguridad de las personas se encuentran protegidos por la Declaración Universal de los Derechos Humanos en su artículo 30. Bajo este contexto es necesario confrontar ambos derechos fundamentales, cuyo ejercicio en este caso particular es por lo que es necesaria la ponderación de ambos para que uno de ellos sea ejercido en la mayor medida posible. </w:t>
      </w:r>
    </w:p>
    <w:p w:rsidR="00BC16DE" w:rsidRPr="00980DDD" w:rsidRDefault="00BC16DE" w:rsidP="00BC16DE">
      <w:pPr>
        <w:spacing w:line="360" w:lineRule="auto"/>
        <w:contextualSpacing/>
        <w:jc w:val="both"/>
        <w:rPr>
          <w:rFonts w:ascii="Palatino Linotype" w:eastAsia="Calibri" w:hAnsi="Palatino Linotype" w:cs="Tahoma"/>
          <w:bCs/>
        </w:rPr>
      </w:pPr>
    </w:p>
    <w:p w:rsidR="00BC16DE" w:rsidRPr="00980DDD" w:rsidRDefault="00BC16DE" w:rsidP="00BC16DE">
      <w:pPr>
        <w:numPr>
          <w:ilvl w:val="0"/>
          <w:numId w:val="2"/>
        </w:numPr>
        <w:spacing w:after="160" w:line="360" w:lineRule="auto"/>
        <w:ind w:left="0" w:firstLine="0"/>
        <w:contextualSpacing/>
        <w:jc w:val="both"/>
        <w:rPr>
          <w:rFonts w:ascii="Palatino Linotype" w:eastAsia="Calibri" w:hAnsi="Palatino Linotype" w:cs="Tahoma"/>
          <w:bCs/>
        </w:rPr>
      </w:pPr>
      <w:r w:rsidRPr="00980DDD">
        <w:rPr>
          <w:rFonts w:ascii="Palatino Linotype" w:eastAsia="Calibri" w:hAnsi="Palatino Linotype" w:cs="Tahoma"/>
          <w:bCs/>
        </w:rPr>
        <w:t xml:space="preserve">El dar el nombre de los servidores públicos operativos pone en riesgo sus vidas y seguridad, ya que pueden ser identificarles, provocando que se utilice la información para amenazar, intimidar o extorsionar al integrante.  </w:t>
      </w:r>
    </w:p>
    <w:p w:rsidR="00BC16DE" w:rsidRPr="00980DDD" w:rsidRDefault="00BC16DE" w:rsidP="00BC16DE">
      <w:pPr>
        <w:spacing w:line="360" w:lineRule="auto"/>
        <w:contextualSpacing/>
        <w:jc w:val="both"/>
        <w:rPr>
          <w:rFonts w:ascii="Palatino Linotype" w:eastAsia="Calibri" w:hAnsi="Palatino Linotype" w:cs="Tahoma"/>
          <w:bCs/>
        </w:rPr>
      </w:pPr>
    </w:p>
    <w:p w:rsidR="00BC16DE" w:rsidRPr="00980DDD" w:rsidRDefault="00BC16DE" w:rsidP="00BC16DE">
      <w:pPr>
        <w:numPr>
          <w:ilvl w:val="0"/>
          <w:numId w:val="2"/>
        </w:numPr>
        <w:spacing w:after="160" w:line="360" w:lineRule="auto"/>
        <w:ind w:left="0" w:firstLine="0"/>
        <w:contextualSpacing/>
        <w:jc w:val="both"/>
        <w:rPr>
          <w:rFonts w:ascii="Palatino Linotype" w:eastAsia="Calibri" w:hAnsi="Palatino Linotype" w:cs="Tahoma"/>
          <w:bCs/>
        </w:rPr>
      </w:pPr>
      <w:r w:rsidRPr="00980DDD">
        <w:rPr>
          <w:rFonts w:ascii="Palatino Linotype" w:eastAsia="Calibri" w:hAnsi="Palatino Linotype" w:cs="Tahoma"/>
          <w:bCs/>
        </w:rPr>
        <w:lastRenderedPageBreak/>
        <w:t xml:space="preserve">El riesgo de perder la vida, la seguridad o la integridad se encuentra presente y es de mayor gravedad que la negativa de acceso a la información solicitada, la divulgación de la información, puede generar un daño desproporcionado o innecesario, lo cual debe evitarse en la medida de lo posible, frente a aquella que se solicita. Es de interés público y socialmente relevante la protección a la vida y seguridad de todas y cada una de las personas sobre cualquier otro derecho fundamental, por lo que se debe proteger a quienes trabajan y ayudan al logro de la seguridad pública. </w:t>
      </w:r>
    </w:p>
    <w:p w:rsidR="00BC16DE" w:rsidRPr="00980DDD" w:rsidRDefault="00BC16DE" w:rsidP="00BC16DE">
      <w:pPr>
        <w:spacing w:line="360" w:lineRule="auto"/>
        <w:contextualSpacing/>
        <w:jc w:val="both"/>
        <w:rPr>
          <w:rFonts w:ascii="Palatino Linotype" w:eastAsia="Calibri" w:hAnsi="Palatino Linotype" w:cs="Tahoma"/>
          <w:bCs/>
        </w:rPr>
      </w:pPr>
    </w:p>
    <w:p w:rsidR="00BC16DE" w:rsidRPr="00980DDD" w:rsidRDefault="00BC16DE" w:rsidP="00BC16DE">
      <w:pPr>
        <w:numPr>
          <w:ilvl w:val="0"/>
          <w:numId w:val="2"/>
        </w:numPr>
        <w:tabs>
          <w:tab w:val="left" w:pos="0"/>
        </w:tabs>
        <w:spacing w:after="160" w:line="360" w:lineRule="auto"/>
        <w:ind w:left="0" w:firstLine="0"/>
        <w:contextualSpacing/>
        <w:jc w:val="both"/>
        <w:rPr>
          <w:rFonts w:ascii="Palatino Linotype" w:eastAsia="Calibri" w:hAnsi="Palatino Linotype" w:cs="Tahoma"/>
          <w:bCs/>
        </w:rPr>
      </w:pPr>
      <w:r w:rsidRPr="00980DDD">
        <w:rPr>
          <w:rFonts w:ascii="Palatino Linotype" w:eastAsia="Calibri" w:hAnsi="Palatino Linotype" w:cs="Tahoma"/>
          <w:bCs/>
        </w:rPr>
        <w:t>En ese mismo contexto, resulta pertinente establecer que la Constitución Política de los Estados unidos mexicanos y los Tratados Internacionales suscritos por el Estado mexicano en materia de Derechos Humanos, establecen que el derecho a la vida y la seguridad personal son los bienes supremos tutelados por los gobiernos, esto quiere decir, que no existe derecho alguno por encima de la vida y la seguridad personal. El derecho al acceso a la información, tutelado en el artículo sexto de nuestra Carta Magna, no es absoluto per se, toda vez que su objetivo es facultar a las personas a tener acceso a la información que les permita conocer cómo funcionan los órganos de gobierno, como parte fundamental de todo Estado democrático; dicho derecho permite a las personas tener una participación activa en la toma de decisiones de los gobernantes y a su vez, funciona como un ejercicio de fiscalización para supervisar las actividades que realiza eh Estado.</w:t>
      </w:r>
    </w:p>
    <w:p w:rsidR="00BC16DE" w:rsidRPr="00980DDD" w:rsidRDefault="00BC16DE" w:rsidP="00BC16DE">
      <w:pPr>
        <w:tabs>
          <w:tab w:val="left" w:pos="0"/>
        </w:tabs>
        <w:spacing w:line="360" w:lineRule="auto"/>
        <w:contextualSpacing/>
        <w:jc w:val="both"/>
        <w:rPr>
          <w:rFonts w:ascii="Palatino Linotype" w:eastAsia="Calibri" w:hAnsi="Palatino Linotype" w:cs="Tahoma"/>
          <w:bCs/>
        </w:rPr>
      </w:pPr>
    </w:p>
    <w:p w:rsidR="00BC16DE" w:rsidRPr="00980DDD" w:rsidRDefault="00BC16DE" w:rsidP="00BC16DE">
      <w:pPr>
        <w:numPr>
          <w:ilvl w:val="0"/>
          <w:numId w:val="2"/>
        </w:numPr>
        <w:tabs>
          <w:tab w:val="left" w:pos="0"/>
        </w:tabs>
        <w:spacing w:after="160" w:line="360" w:lineRule="auto"/>
        <w:ind w:left="0" w:firstLine="0"/>
        <w:contextualSpacing/>
        <w:jc w:val="both"/>
        <w:rPr>
          <w:rFonts w:ascii="Palatino Linotype" w:eastAsia="Calibri" w:hAnsi="Palatino Linotype" w:cs="Tahoma"/>
          <w:bCs/>
        </w:rPr>
      </w:pPr>
      <w:r w:rsidRPr="00980DDD">
        <w:rPr>
          <w:rFonts w:ascii="Palatino Linotype" w:eastAsia="Calibri" w:hAnsi="Palatino Linotype" w:cs="Tahoma"/>
          <w:bCs/>
        </w:rPr>
        <w:t xml:space="preserve">Por lo que, el derecho a la vida y seguridad nacional tiene una-primacía que el derecho al acceso a la información, por lo que el bien jurídico a salvaguardarse primordialmente, es la vida y la seguridad de los servidores públicos encargados de la seguridad pública. </w:t>
      </w:r>
    </w:p>
    <w:p w:rsidR="00BC16DE" w:rsidRPr="00980DDD" w:rsidRDefault="00BC16DE" w:rsidP="00BC16DE">
      <w:pPr>
        <w:tabs>
          <w:tab w:val="left" w:pos="0"/>
        </w:tabs>
        <w:spacing w:line="360" w:lineRule="auto"/>
        <w:contextualSpacing/>
        <w:jc w:val="both"/>
        <w:rPr>
          <w:rFonts w:ascii="Palatino Linotype" w:eastAsia="Calibri" w:hAnsi="Palatino Linotype" w:cs="Tahoma"/>
          <w:bCs/>
        </w:rPr>
      </w:pPr>
    </w:p>
    <w:p w:rsidR="00BC16DE" w:rsidRPr="00980DDD" w:rsidRDefault="00BC16DE" w:rsidP="00BC16DE">
      <w:pPr>
        <w:numPr>
          <w:ilvl w:val="0"/>
          <w:numId w:val="2"/>
        </w:numPr>
        <w:tabs>
          <w:tab w:val="left" w:pos="0"/>
        </w:tabs>
        <w:spacing w:after="160" w:line="360" w:lineRule="auto"/>
        <w:ind w:left="0" w:firstLine="0"/>
        <w:contextualSpacing/>
        <w:jc w:val="both"/>
        <w:rPr>
          <w:rFonts w:ascii="Palatino Linotype" w:eastAsia="MS Mincho" w:hAnsi="Palatino Linotype" w:cs="Arial"/>
        </w:rPr>
      </w:pPr>
      <w:r w:rsidRPr="00980DDD">
        <w:rPr>
          <w:rFonts w:ascii="Palatino Linotype" w:eastAsia="MS Mincho" w:hAnsi="Palatino Linotype" w:cs="Arial"/>
          <w:lang w:val="es-ES_tradnl"/>
        </w:rPr>
        <w:lastRenderedPageBreak/>
        <w:t xml:space="preserve">Al respecto, cabe hacer mención que el artículo 81 fracción III de la Ley de Seguridad del Estado de México, establece lo siguiente: </w:t>
      </w:r>
    </w:p>
    <w:p w:rsidR="00BC16DE" w:rsidRPr="00980DDD" w:rsidRDefault="00BC16DE" w:rsidP="00BC16DE">
      <w:pPr>
        <w:spacing w:line="276" w:lineRule="auto"/>
        <w:ind w:left="720" w:right="567"/>
        <w:contextualSpacing/>
        <w:jc w:val="both"/>
        <w:rPr>
          <w:rFonts w:ascii="Palatino Linotype" w:eastAsia="MS Mincho" w:hAnsi="Palatino Linotype" w:cs="Arial"/>
          <w:i/>
          <w:lang w:val="es-ES_tradnl"/>
        </w:rPr>
      </w:pPr>
      <w:r w:rsidRPr="00980DDD">
        <w:rPr>
          <w:rFonts w:ascii="Palatino Linotype" w:eastAsia="MS Mincho" w:hAnsi="Palatino Linotype" w:cs="Arial"/>
          <w:i/>
          <w:lang w:val="es-ES_tradnl"/>
        </w:rPr>
        <w:t>“</w:t>
      </w:r>
      <w:r w:rsidRPr="00980DDD">
        <w:rPr>
          <w:rFonts w:ascii="Palatino Linotype" w:eastAsia="MS Mincho" w:hAnsi="Palatino Linotype" w:cs="Arial"/>
          <w:b/>
          <w:i/>
          <w:lang w:val="es-ES_tradnl"/>
        </w:rPr>
        <w:t>Artículo 81.-</w:t>
      </w:r>
      <w:r w:rsidRPr="00980DDD">
        <w:rPr>
          <w:rFonts w:ascii="Palatino Linotype" w:eastAsia="MS Mincho" w:hAnsi="Palatino Linotype" w:cs="Arial"/>
          <w:i/>
          <w:lang w:val="es-ES_tradnl"/>
        </w:rPr>
        <w:t xml:space="preserve"> </w:t>
      </w:r>
      <w:r w:rsidRPr="00980DDD">
        <w:rPr>
          <w:rFonts w:ascii="Palatino Linotype" w:eastAsia="MS Mincho" w:hAnsi="Palatino Linotype" w:cs="Arial"/>
          <w:b/>
          <w:i/>
          <w:lang w:val="es-ES_tradnl"/>
        </w:rPr>
        <w:t>Toda información para la seguridad pública generada o en poder de Instituciones de Seguridad Pública o de cualquier instancia del Sistema Estatal debe registrarse, clasificarse y tratarse de conformidad con las disposiciones aplicables. No obstante lo anterior, esta información se considerará reservada</w:t>
      </w:r>
      <w:r w:rsidRPr="00980DDD">
        <w:rPr>
          <w:rFonts w:ascii="Palatino Linotype" w:eastAsia="MS Mincho" w:hAnsi="Palatino Linotype" w:cs="Arial"/>
          <w:i/>
          <w:lang w:val="es-ES_tradnl"/>
        </w:rPr>
        <w:t xml:space="preserve"> en los casos siguientes:</w:t>
      </w:r>
    </w:p>
    <w:p w:rsidR="00BC16DE" w:rsidRPr="00980DDD" w:rsidRDefault="00BC16DE" w:rsidP="00BC16DE">
      <w:pPr>
        <w:spacing w:line="276" w:lineRule="auto"/>
        <w:ind w:left="720" w:right="567"/>
        <w:contextualSpacing/>
        <w:jc w:val="both"/>
        <w:rPr>
          <w:rFonts w:ascii="Palatino Linotype" w:eastAsia="MS Mincho" w:hAnsi="Palatino Linotype" w:cs="Arial"/>
          <w:i/>
          <w:lang w:val="es-ES_tradnl"/>
        </w:rPr>
      </w:pPr>
      <w:r w:rsidRPr="00980DDD">
        <w:rPr>
          <w:rFonts w:ascii="Palatino Linotype" w:eastAsia="MS Mincho" w:hAnsi="Palatino Linotype" w:cs="Arial"/>
          <w:i/>
          <w:lang w:val="es-ES_tradnl"/>
        </w:rPr>
        <w:t>…</w:t>
      </w:r>
    </w:p>
    <w:p w:rsidR="00BC16DE" w:rsidRPr="00980DDD" w:rsidRDefault="00BC16DE" w:rsidP="00BC16DE">
      <w:pPr>
        <w:spacing w:line="276" w:lineRule="auto"/>
        <w:ind w:left="720" w:right="567"/>
        <w:contextualSpacing/>
        <w:jc w:val="both"/>
        <w:rPr>
          <w:rFonts w:ascii="Palatino Linotype" w:eastAsia="MS Mincho" w:hAnsi="Palatino Linotype" w:cs="Arial"/>
          <w:i/>
          <w:lang w:val="es-ES_tradnl"/>
        </w:rPr>
      </w:pPr>
      <w:r w:rsidRPr="00980DDD">
        <w:rPr>
          <w:rFonts w:ascii="Palatino Linotype" w:eastAsia="MS Mincho" w:hAnsi="Palatino Linotype" w:cs="Arial"/>
          <w:b/>
          <w:i/>
          <w:lang w:val="es-ES_tradnl"/>
        </w:rPr>
        <w:t>III.</w:t>
      </w:r>
      <w:r w:rsidRPr="00980DDD">
        <w:rPr>
          <w:rFonts w:ascii="Palatino Linotype" w:eastAsia="MS Mincho" w:hAnsi="Palatino Linotype" w:cs="Arial"/>
          <w:i/>
          <w:lang w:val="es-ES_tradnl"/>
        </w:rPr>
        <w:t xml:space="preserve"> </w:t>
      </w:r>
      <w:r w:rsidRPr="00980DDD">
        <w:rPr>
          <w:rFonts w:ascii="Palatino Linotype" w:eastAsia="MS Mincho" w:hAnsi="Palatino Linotype" w:cs="Arial"/>
          <w:b/>
          <w:i/>
          <w:lang w:val="es-ES_tradnl"/>
        </w:rPr>
        <w:t>La relativa a servidores públicos miembros de las instituciones de seguridad pública, cuya revelación pueda poner en riesgo su vida e integridad física con motivo de sus funciones;</w:t>
      </w:r>
      <w:r w:rsidRPr="00980DDD">
        <w:rPr>
          <w:rFonts w:ascii="Palatino Linotype" w:eastAsia="MS Mincho" w:hAnsi="Palatino Linotype" w:cs="Arial"/>
          <w:i/>
          <w:lang w:val="es-ES_tradnl"/>
        </w:rPr>
        <w:t>”</w:t>
      </w:r>
    </w:p>
    <w:p w:rsidR="00BC16DE" w:rsidRPr="00980DDD" w:rsidRDefault="00BC16DE" w:rsidP="00BC16DE">
      <w:pPr>
        <w:spacing w:line="276" w:lineRule="auto"/>
        <w:ind w:left="720" w:right="851"/>
        <w:contextualSpacing/>
        <w:jc w:val="both"/>
        <w:rPr>
          <w:rFonts w:ascii="Palatino Linotype" w:eastAsia="MS Mincho" w:hAnsi="Palatino Linotype" w:cs="Arial"/>
          <w:lang w:val="es-ES_tradnl"/>
        </w:rPr>
      </w:pPr>
      <w:r w:rsidRPr="00980DDD">
        <w:rPr>
          <w:rFonts w:ascii="Palatino Linotype" w:eastAsia="MS Mincho" w:hAnsi="Palatino Linotype" w:cs="Arial"/>
          <w:lang w:val="es-ES_tradnl"/>
        </w:rPr>
        <w:t>(Énfasis añadido)</w:t>
      </w:r>
    </w:p>
    <w:p w:rsidR="00BC16DE" w:rsidRPr="00980DDD" w:rsidRDefault="00BC16DE" w:rsidP="00BC16DE">
      <w:pPr>
        <w:spacing w:line="360" w:lineRule="auto"/>
        <w:contextualSpacing/>
        <w:jc w:val="both"/>
        <w:rPr>
          <w:rFonts w:ascii="Palatino Linotype" w:eastAsia="MS Mincho" w:hAnsi="Palatino Linotype" w:cs="Arial"/>
        </w:rPr>
      </w:pPr>
    </w:p>
    <w:p w:rsidR="00BC16DE" w:rsidRPr="00980DDD" w:rsidRDefault="00BC16DE" w:rsidP="00BC16DE">
      <w:pPr>
        <w:numPr>
          <w:ilvl w:val="0"/>
          <w:numId w:val="2"/>
        </w:numPr>
        <w:tabs>
          <w:tab w:val="left" w:pos="0"/>
        </w:tabs>
        <w:spacing w:after="160" w:line="360" w:lineRule="auto"/>
        <w:ind w:left="0" w:firstLine="0"/>
        <w:contextualSpacing/>
        <w:jc w:val="both"/>
        <w:rPr>
          <w:rFonts w:ascii="Palatino Linotype" w:eastAsia="MS Mincho" w:hAnsi="Palatino Linotype" w:cs="Arial"/>
        </w:rPr>
      </w:pPr>
      <w:r w:rsidRPr="00980DDD">
        <w:rPr>
          <w:rFonts w:ascii="Palatino Linotype" w:hAnsi="Palatino Linotype" w:cs="Arial"/>
        </w:rPr>
        <w:t>Argumento que se fortalece con lo estipulado en el criterio número 6-09, del Instituto Nacional de Transparencia, Acceso a la Información y Protección de Datos Personales, antes (INAI)</w:t>
      </w:r>
      <w:r w:rsidRPr="00980DDD">
        <w:rPr>
          <w:rFonts w:ascii="Palatino Linotype" w:hAnsi="Palatino Linotype" w:cs="Arial"/>
          <w:b/>
          <w:bCs/>
        </w:rPr>
        <w:t xml:space="preserve">, </w:t>
      </w:r>
      <w:r w:rsidRPr="00980DDD">
        <w:rPr>
          <w:rFonts w:ascii="Palatino Linotype" w:hAnsi="Palatino Linotype" w:cs="Arial"/>
        </w:rPr>
        <w:t xml:space="preserve">el cual refiere: </w:t>
      </w:r>
    </w:p>
    <w:p w:rsidR="00BC16DE" w:rsidRPr="00980DDD" w:rsidRDefault="00BC16DE" w:rsidP="00BC16DE">
      <w:pPr>
        <w:autoSpaceDE w:val="0"/>
        <w:autoSpaceDN w:val="0"/>
        <w:adjustRightInd w:val="0"/>
        <w:spacing w:line="276" w:lineRule="auto"/>
        <w:ind w:left="720" w:right="567"/>
        <w:contextualSpacing/>
        <w:jc w:val="center"/>
        <w:rPr>
          <w:rFonts w:ascii="Palatino Linotype" w:hAnsi="Palatino Linotype" w:cs="Arial"/>
          <w:i/>
        </w:rPr>
      </w:pPr>
      <w:r w:rsidRPr="00980DDD">
        <w:rPr>
          <w:rFonts w:ascii="Palatino Linotype" w:hAnsi="Palatino Linotype" w:cs="Arial"/>
          <w:b/>
          <w:bCs/>
          <w:i/>
        </w:rPr>
        <w:t>“Criterio 6-09</w:t>
      </w:r>
    </w:p>
    <w:p w:rsidR="00BC16DE" w:rsidRPr="00980DDD" w:rsidRDefault="00BC16DE" w:rsidP="00BC16DE">
      <w:pPr>
        <w:autoSpaceDE w:val="0"/>
        <w:autoSpaceDN w:val="0"/>
        <w:adjustRightInd w:val="0"/>
        <w:spacing w:line="276" w:lineRule="auto"/>
        <w:ind w:left="720" w:right="567"/>
        <w:contextualSpacing/>
        <w:jc w:val="both"/>
        <w:rPr>
          <w:rFonts w:ascii="Palatino Linotype" w:hAnsi="Palatino Linotype" w:cs="Arial"/>
          <w:i/>
        </w:rPr>
      </w:pPr>
      <w:r w:rsidRPr="00980DDD">
        <w:rPr>
          <w:rFonts w:ascii="Palatino Linotype" w:hAnsi="Palatino Linotype" w:cs="Arial"/>
          <w:b/>
          <w:bCs/>
          <w:i/>
        </w:rPr>
        <w:t xml:space="preserve">Nombres de servidores públicos dedicados a actividades en materia de seguridad, por excepción pueden considerarse información reservada. </w:t>
      </w:r>
      <w:r w:rsidRPr="00980DDD">
        <w:rPr>
          <w:rFonts w:ascii="Palatino Linotype" w:hAnsi="Palatino Linotype" w:cs="Arial"/>
          <w:bCs/>
          <w:i/>
        </w:rPr>
        <w:t xml:space="preserve">De conformidad con el artículo 7, fracciones I y III de la Ley Federal de Transparencia y Acceso a la Información Pública Gubernamental </w:t>
      </w:r>
      <w:r w:rsidRPr="00980DDD">
        <w:rPr>
          <w:rFonts w:ascii="Palatino Linotype" w:hAnsi="Palatino Linotype" w:cs="Arial"/>
          <w:b/>
          <w:bCs/>
          <w:i/>
        </w:rPr>
        <w:t>el nombre de los servidores públicos es información de naturaleza pública. No obstante lo anterior, el mismo precepto establece la posibilidad de que existan excepciones a las obligaciones ahí establecidas cuando la información actualice algunos de los supuestos de reserva o confidencialidad previstos en los artículos 13, 14 y 18 de la citada ley</w:t>
      </w:r>
      <w:r w:rsidRPr="00980DDD">
        <w:rPr>
          <w:rFonts w:ascii="Palatino Linotype" w:hAnsi="Palatino Linotype" w:cs="Arial"/>
          <w:bCs/>
          <w:i/>
        </w:rPr>
        <w:t xml:space="preserve">. En este sentido, se debe señalar que existen funciones a cargo de servidores públicos, tendientes a garantizar de manera directa la seguridad nacional y pública, a través de acciones preventivas y correctivas encaminadas a combatir a la delincuencia en sus diferentes manifestaciones. Así, es pertinente señalar que en </w:t>
      </w:r>
      <w:r w:rsidRPr="00980DDD">
        <w:rPr>
          <w:rFonts w:ascii="Palatino Linotype" w:hAnsi="Palatino Linotype" w:cs="Arial"/>
          <w:b/>
          <w:bCs/>
          <w:i/>
        </w:rPr>
        <w:t xml:space="preserve">el artículo 13, fracción I de la ley de referencia se establece que podrá clasificarse aquella información cuya difusión pueda comprometer la </w:t>
      </w:r>
      <w:r w:rsidRPr="00980DDD">
        <w:rPr>
          <w:rFonts w:ascii="Palatino Linotype" w:hAnsi="Palatino Linotype" w:cs="Arial"/>
          <w:b/>
          <w:bCs/>
          <w:i/>
        </w:rPr>
        <w:lastRenderedPageBreak/>
        <w:t>seguridad nacional y pública</w:t>
      </w:r>
      <w:r w:rsidRPr="00980DDD">
        <w:rPr>
          <w:rFonts w:ascii="Palatino Linotype" w:hAnsi="Palatino Linotype" w:cs="Arial"/>
          <w:bCs/>
          <w:i/>
        </w:rPr>
        <w:t xml:space="preserve">. En este orden de ideas, una de las formas en que la delincuencia puede llegar a poner en riesgo la seguridad del país es precisamente anulando, impidiendo u obstaculizando la actuación de los servidores públicos que realizan funciones de carácter operativo, mediante el conocimiento de dicha situación, </w:t>
      </w:r>
      <w:r w:rsidRPr="00980DDD">
        <w:rPr>
          <w:rFonts w:ascii="Palatino Linotype" w:hAnsi="Palatino Linotype" w:cs="Arial"/>
          <w:b/>
          <w:bCs/>
          <w:i/>
        </w:rPr>
        <w:t>por lo que la reserva de la relación de los nombres y las funciones que desempeñan los servidores públicos que prestan sus servicios en áreas de seguridad nacional o pública</w:t>
      </w:r>
      <w:r w:rsidRPr="00980DDD">
        <w:rPr>
          <w:rFonts w:ascii="Palatino Linotype" w:hAnsi="Palatino Linotype" w:cs="Arial"/>
          <w:bCs/>
          <w:i/>
        </w:rPr>
        <w:t>, puede llegar a constituirse en un componente fundamental en el esfuerzo que realiza el Estado Mexicano para garantizar la seguridad del país en sus diferentes vertientes</w:t>
      </w:r>
      <w:r w:rsidRPr="00980DDD">
        <w:rPr>
          <w:rFonts w:ascii="Palatino Linotype" w:hAnsi="Palatino Linotype" w:cs="Arial"/>
          <w:i/>
        </w:rPr>
        <w:t>” (Sic)</w:t>
      </w:r>
    </w:p>
    <w:p w:rsidR="00BC16DE" w:rsidRPr="00980DDD" w:rsidRDefault="00BC16DE" w:rsidP="00BC16DE">
      <w:pPr>
        <w:tabs>
          <w:tab w:val="left" w:pos="3583"/>
        </w:tabs>
        <w:autoSpaceDE w:val="0"/>
        <w:autoSpaceDN w:val="0"/>
        <w:adjustRightInd w:val="0"/>
        <w:spacing w:line="276" w:lineRule="auto"/>
        <w:ind w:left="720" w:right="567"/>
        <w:contextualSpacing/>
        <w:jc w:val="both"/>
        <w:rPr>
          <w:rFonts w:ascii="Palatino Linotype" w:hAnsi="Palatino Linotype" w:cs="Arial"/>
        </w:rPr>
      </w:pPr>
      <w:r w:rsidRPr="00980DDD">
        <w:rPr>
          <w:rFonts w:ascii="Palatino Linotype" w:hAnsi="Palatino Linotype" w:cs="Arial"/>
        </w:rPr>
        <w:t>(Énfasis añadido).</w:t>
      </w:r>
    </w:p>
    <w:p w:rsidR="00BC16DE" w:rsidRPr="00980DDD" w:rsidRDefault="00BC16DE" w:rsidP="00BC16DE">
      <w:pPr>
        <w:spacing w:before="240" w:after="240" w:line="360" w:lineRule="auto"/>
        <w:ind w:right="49"/>
        <w:contextualSpacing/>
        <w:jc w:val="both"/>
        <w:rPr>
          <w:rFonts w:ascii="Palatino Linotype" w:eastAsia="Calibri" w:hAnsi="Palatino Linotype"/>
        </w:rPr>
      </w:pPr>
    </w:p>
    <w:p w:rsidR="00BC16DE" w:rsidRPr="00980DDD" w:rsidRDefault="00BC16DE" w:rsidP="00BC16DE">
      <w:pPr>
        <w:numPr>
          <w:ilvl w:val="0"/>
          <w:numId w:val="2"/>
        </w:numPr>
        <w:spacing w:before="240" w:after="240" w:line="360" w:lineRule="auto"/>
        <w:ind w:left="0" w:right="49" w:firstLine="0"/>
        <w:contextualSpacing/>
        <w:jc w:val="both"/>
        <w:rPr>
          <w:rFonts w:ascii="Palatino Linotype" w:eastAsia="Calibri" w:hAnsi="Palatino Linotype"/>
        </w:rPr>
      </w:pPr>
      <w:r w:rsidRPr="00980DDD">
        <w:rPr>
          <w:rFonts w:ascii="Palatino Linotype" w:hAnsi="Palatino Linotype"/>
        </w:rPr>
        <w:t xml:space="preserve">Precisado lo anterior, se advierte que pretendió clasificar información solicitada, no obstante, la Ley de Transparencia y Acceso a la Información Pública del Estado de México y Municipios señala que para la clasificación formal de la información solicitada, el </w:t>
      </w:r>
      <w:r w:rsidRPr="00980DDD">
        <w:rPr>
          <w:rFonts w:ascii="Palatino Linotype" w:hAnsi="Palatino Linotype"/>
          <w:b/>
        </w:rPr>
        <w:t>SUJETO OBLIGADO</w:t>
      </w:r>
      <w:r w:rsidRPr="00980DDD">
        <w:rPr>
          <w:rFonts w:ascii="Palatino Linotype" w:hAnsi="Palatino Linotype"/>
        </w:rPr>
        <w:t xml:space="preserve"> deberá remitir el debido Acuerdo de clasificación fundado y motivado donde determine la clasificación de la información como reservada, de conformidad con lo dispuesto en los numerales 49, fracción VIII y 132 fracciones I, II y III de la Ley de Transparencia y Acceso a la Información Pública del Estado de México y Municipios, así como los numerales del Cuarto al Décimo Primero de los Lineamientos Generales en materia de Clasificación y Desclasificación de la Información, así como para la elaboración de Versiones Públicas, que literalmente expresan: </w:t>
      </w:r>
    </w:p>
    <w:p w:rsidR="00BC16DE" w:rsidRPr="00980DDD" w:rsidRDefault="00BC16DE" w:rsidP="00BC16DE">
      <w:pPr>
        <w:spacing w:line="276" w:lineRule="auto"/>
        <w:ind w:left="720" w:right="538"/>
        <w:contextualSpacing/>
        <w:jc w:val="both"/>
        <w:rPr>
          <w:rFonts w:ascii="Palatino Linotype" w:hAnsi="Palatino Linotype"/>
          <w:i/>
        </w:rPr>
      </w:pPr>
      <w:r w:rsidRPr="00980DDD">
        <w:rPr>
          <w:rFonts w:ascii="Palatino Linotype" w:hAnsi="Palatino Linotype"/>
          <w:b/>
          <w:i/>
        </w:rPr>
        <w:t>“Artículo 49</w:t>
      </w:r>
      <w:r w:rsidRPr="00980DDD">
        <w:rPr>
          <w:rFonts w:ascii="Palatino Linotype" w:hAnsi="Palatino Linotype"/>
          <w:i/>
        </w:rPr>
        <w:t xml:space="preserve">. Los Comités de Transparencia tendrán las siguientes atribuciones: </w:t>
      </w:r>
    </w:p>
    <w:p w:rsidR="00BC16DE" w:rsidRPr="00980DDD" w:rsidRDefault="00BC16DE" w:rsidP="00BC16DE">
      <w:pPr>
        <w:spacing w:line="276" w:lineRule="auto"/>
        <w:ind w:left="720" w:right="538"/>
        <w:contextualSpacing/>
        <w:jc w:val="both"/>
        <w:rPr>
          <w:rFonts w:ascii="Palatino Linotype" w:hAnsi="Palatino Linotype"/>
          <w:i/>
        </w:rPr>
      </w:pPr>
      <w:r w:rsidRPr="00980DDD">
        <w:rPr>
          <w:rFonts w:ascii="Palatino Linotype" w:hAnsi="Palatino Linotype"/>
          <w:i/>
        </w:rPr>
        <w:t xml:space="preserve">VIII. Aprobar, modificar o revocar la clasificación de la información; </w:t>
      </w:r>
    </w:p>
    <w:p w:rsidR="00BC16DE" w:rsidRPr="00980DDD" w:rsidRDefault="00BC16DE" w:rsidP="00BC16DE">
      <w:pPr>
        <w:spacing w:line="276" w:lineRule="auto"/>
        <w:ind w:left="720" w:right="538"/>
        <w:contextualSpacing/>
        <w:jc w:val="both"/>
        <w:rPr>
          <w:rFonts w:ascii="Palatino Linotype" w:hAnsi="Palatino Linotype"/>
          <w:i/>
        </w:rPr>
      </w:pPr>
    </w:p>
    <w:p w:rsidR="00BC16DE" w:rsidRPr="00980DDD" w:rsidRDefault="00BC16DE" w:rsidP="00BC16DE">
      <w:pPr>
        <w:spacing w:line="276" w:lineRule="auto"/>
        <w:ind w:left="720" w:right="538"/>
        <w:contextualSpacing/>
        <w:jc w:val="both"/>
        <w:rPr>
          <w:rFonts w:ascii="Palatino Linotype" w:hAnsi="Palatino Linotype"/>
          <w:i/>
        </w:rPr>
      </w:pPr>
      <w:r w:rsidRPr="00980DDD">
        <w:rPr>
          <w:rFonts w:ascii="Palatino Linotype" w:hAnsi="Palatino Linotype"/>
          <w:b/>
          <w:i/>
        </w:rPr>
        <w:t>Artículo 132</w:t>
      </w:r>
      <w:r w:rsidRPr="00980DDD">
        <w:rPr>
          <w:rFonts w:ascii="Palatino Linotype" w:hAnsi="Palatino Linotype"/>
          <w:i/>
        </w:rPr>
        <w:t xml:space="preserve">. La clasificación de la información se llevará a cabo en el momento en que: </w:t>
      </w:r>
    </w:p>
    <w:p w:rsidR="00BC16DE" w:rsidRPr="00980DDD" w:rsidRDefault="00BC16DE" w:rsidP="00BC16DE">
      <w:pPr>
        <w:spacing w:line="276" w:lineRule="auto"/>
        <w:ind w:left="720" w:right="538"/>
        <w:contextualSpacing/>
        <w:jc w:val="both"/>
        <w:rPr>
          <w:rFonts w:ascii="Palatino Linotype" w:hAnsi="Palatino Linotype"/>
          <w:i/>
        </w:rPr>
      </w:pPr>
      <w:r w:rsidRPr="00980DDD">
        <w:rPr>
          <w:rFonts w:ascii="Palatino Linotype" w:hAnsi="Palatino Linotype"/>
          <w:i/>
        </w:rPr>
        <w:t xml:space="preserve">I. Se reciba una solicitud de acceso a la información; </w:t>
      </w:r>
    </w:p>
    <w:p w:rsidR="00BC16DE" w:rsidRPr="00980DDD" w:rsidRDefault="00BC16DE" w:rsidP="00BC16DE">
      <w:pPr>
        <w:spacing w:line="276" w:lineRule="auto"/>
        <w:ind w:left="720" w:right="538"/>
        <w:contextualSpacing/>
        <w:jc w:val="both"/>
        <w:rPr>
          <w:rFonts w:ascii="Palatino Linotype" w:hAnsi="Palatino Linotype"/>
          <w:i/>
        </w:rPr>
      </w:pPr>
      <w:r w:rsidRPr="00980DDD">
        <w:rPr>
          <w:rFonts w:ascii="Palatino Linotype" w:hAnsi="Palatino Linotype"/>
          <w:i/>
        </w:rPr>
        <w:t xml:space="preserve">II. Se determine mediante resolución de autoridad competente; o </w:t>
      </w:r>
    </w:p>
    <w:p w:rsidR="00BC16DE" w:rsidRPr="00980DDD" w:rsidRDefault="00BC16DE" w:rsidP="00BC16DE">
      <w:pPr>
        <w:spacing w:line="276" w:lineRule="auto"/>
        <w:ind w:left="720" w:right="538"/>
        <w:contextualSpacing/>
        <w:jc w:val="both"/>
        <w:rPr>
          <w:rFonts w:ascii="Palatino Linotype" w:hAnsi="Palatino Linotype"/>
          <w:i/>
        </w:rPr>
      </w:pPr>
      <w:r w:rsidRPr="00980DDD">
        <w:rPr>
          <w:rFonts w:ascii="Palatino Linotype" w:hAnsi="Palatino Linotype"/>
          <w:i/>
        </w:rPr>
        <w:t xml:space="preserve">III. Se generen versiones públicas para dar cumplimiento a las obligaciones de transparencia previstas en esta Ley.” </w:t>
      </w:r>
    </w:p>
    <w:p w:rsidR="00BC16DE" w:rsidRPr="00980DDD" w:rsidRDefault="00BC16DE" w:rsidP="00BC16DE">
      <w:pPr>
        <w:spacing w:line="276" w:lineRule="auto"/>
        <w:ind w:left="720" w:right="538"/>
        <w:contextualSpacing/>
        <w:jc w:val="both"/>
        <w:rPr>
          <w:rFonts w:ascii="Palatino Linotype" w:hAnsi="Palatino Linotype"/>
          <w:i/>
        </w:rPr>
      </w:pPr>
    </w:p>
    <w:p w:rsidR="00BC16DE" w:rsidRPr="00980DDD" w:rsidRDefault="00BC16DE" w:rsidP="00BC16DE">
      <w:pPr>
        <w:spacing w:line="276" w:lineRule="auto"/>
        <w:ind w:left="720" w:right="538"/>
        <w:contextualSpacing/>
        <w:jc w:val="both"/>
        <w:rPr>
          <w:rFonts w:ascii="Palatino Linotype" w:hAnsi="Palatino Linotype"/>
          <w:i/>
        </w:rPr>
      </w:pPr>
      <w:r w:rsidRPr="00980DDD">
        <w:rPr>
          <w:rFonts w:ascii="Palatino Linotype" w:hAnsi="Palatino Linotype"/>
          <w:b/>
          <w:i/>
        </w:rPr>
        <w:lastRenderedPageBreak/>
        <w:t>Cuarto.</w:t>
      </w:r>
      <w:r w:rsidRPr="00980DDD">
        <w:rPr>
          <w:rFonts w:ascii="Palatino Linotype" w:hAnsi="Palatino Linotype"/>
          <w:i/>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 Los Sujetos Obligados deberán aplicar, de manera estricta, las excepciones al derecho de acceso a la información y sólo podrán invocarlas cuando acrediten su procedencia. </w:t>
      </w:r>
    </w:p>
    <w:p w:rsidR="00BC16DE" w:rsidRPr="00980DDD" w:rsidRDefault="00BC16DE" w:rsidP="00BC16DE">
      <w:pPr>
        <w:spacing w:line="276" w:lineRule="auto"/>
        <w:ind w:left="720" w:right="538"/>
        <w:contextualSpacing/>
        <w:jc w:val="both"/>
        <w:rPr>
          <w:rFonts w:ascii="Palatino Linotype" w:hAnsi="Palatino Linotype"/>
          <w:i/>
        </w:rPr>
      </w:pPr>
    </w:p>
    <w:p w:rsidR="00BC16DE" w:rsidRPr="00980DDD" w:rsidRDefault="00BC16DE" w:rsidP="00BC16DE">
      <w:pPr>
        <w:spacing w:line="276" w:lineRule="auto"/>
        <w:ind w:left="720" w:right="538"/>
        <w:contextualSpacing/>
        <w:jc w:val="both"/>
        <w:rPr>
          <w:rFonts w:ascii="Palatino Linotype" w:hAnsi="Palatino Linotype"/>
          <w:i/>
        </w:rPr>
      </w:pPr>
      <w:r w:rsidRPr="00980DDD">
        <w:rPr>
          <w:rFonts w:ascii="Palatino Linotype" w:hAnsi="Palatino Linotype"/>
          <w:b/>
          <w:i/>
        </w:rPr>
        <w:t>Quinto.</w:t>
      </w:r>
      <w:r w:rsidRPr="00980DDD">
        <w:rPr>
          <w:rFonts w:ascii="Palatino Linotype" w:hAnsi="Palatino Linotype"/>
          <w:i/>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rsidR="00BC16DE" w:rsidRPr="00980DDD" w:rsidRDefault="00BC16DE" w:rsidP="00BC16DE">
      <w:pPr>
        <w:spacing w:line="276" w:lineRule="auto"/>
        <w:ind w:left="720" w:right="538"/>
        <w:contextualSpacing/>
        <w:jc w:val="both"/>
        <w:rPr>
          <w:rFonts w:ascii="Palatino Linotype" w:hAnsi="Palatino Linotype"/>
          <w:i/>
        </w:rPr>
      </w:pPr>
    </w:p>
    <w:p w:rsidR="00BC16DE" w:rsidRPr="00980DDD" w:rsidRDefault="00BC16DE" w:rsidP="00BC16DE">
      <w:pPr>
        <w:spacing w:line="276" w:lineRule="auto"/>
        <w:ind w:left="720" w:right="538"/>
        <w:contextualSpacing/>
        <w:jc w:val="both"/>
        <w:rPr>
          <w:rFonts w:ascii="Palatino Linotype" w:hAnsi="Palatino Linotype"/>
          <w:i/>
        </w:rPr>
      </w:pPr>
      <w:r w:rsidRPr="00980DDD">
        <w:rPr>
          <w:rFonts w:ascii="Palatino Linotype" w:hAnsi="Palatino Linotype"/>
          <w:b/>
          <w:i/>
        </w:rPr>
        <w:t>Sexto.</w:t>
      </w:r>
      <w:r w:rsidRPr="00980DDD">
        <w:rPr>
          <w:rFonts w:ascii="Palatino Linotype" w:hAnsi="Palatino Linotype"/>
          <w:i/>
        </w:rPr>
        <w:t xml:space="preserve"> Los Sujetos Obligados no podrán emitir acuerdos de carácter general ni particular que clasifiquen documentos o expedientes como reservados, ni clasificar documentos antes de que se genere la información o cuando éstos no obren en sus archivos. </w:t>
      </w:r>
    </w:p>
    <w:p w:rsidR="00BC16DE" w:rsidRPr="00980DDD" w:rsidRDefault="00BC16DE" w:rsidP="00BC16DE">
      <w:pPr>
        <w:spacing w:line="276" w:lineRule="auto"/>
        <w:ind w:left="720" w:right="538"/>
        <w:contextualSpacing/>
        <w:jc w:val="both"/>
        <w:rPr>
          <w:rFonts w:ascii="Palatino Linotype" w:hAnsi="Palatino Linotype"/>
          <w:i/>
        </w:rPr>
      </w:pPr>
    </w:p>
    <w:p w:rsidR="00BC16DE" w:rsidRPr="00980DDD" w:rsidRDefault="00BC16DE" w:rsidP="00BC16DE">
      <w:pPr>
        <w:spacing w:line="276" w:lineRule="auto"/>
        <w:ind w:left="720" w:right="538"/>
        <w:contextualSpacing/>
        <w:jc w:val="both"/>
        <w:rPr>
          <w:rFonts w:ascii="Palatino Linotype" w:hAnsi="Palatino Linotype"/>
          <w:i/>
        </w:rPr>
      </w:pPr>
      <w:r w:rsidRPr="00980DDD">
        <w:rPr>
          <w:rFonts w:ascii="Palatino Linotype" w:hAnsi="Palatino Linotype"/>
          <w:i/>
        </w:rPr>
        <w:t xml:space="preserve">La clasificación de información se realizará conforme a un análisis caso por caso, mediante la aplicación de la prueba de daño y de interés público. </w:t>
      </w:r>
    </w:p>
    <w:p w:rsidR="00BC16DE" w:rsidRPr="00980DDD" w:rsidRDefault="00BC16DE" w:rsidP="00BC16DE">
      <w:pPr>
        <w:spacing w:line="276" w:lineRule="auto"/>
        <w:ind w:left="720" w:right="538"/>
        <w:contextualSpacing/>
        <w:jc w:val="both"/>
        <w:rPr>
          <w:rFonts w:ascii="Palatino Linotype" w:hAnsi="Palatino Linotype"/>
          <w:i/>
        </w:rPr>
      </w:pPr>
    </w:p>
    <w:p w:rsidR="00BC16DE" w:rsidRPr="00980DDD" w:rsidRDefault="00BC16DE" w:rsidP="00BC16DE">
      <w:pPr>
        <w:spacing w:line="276" w:lineRule="auto"/>
        <w:ind w:left="720" w:right="538"/>
        <w:contextualSpacing/>
        <w:jc w:val="both"/>
        <w:rPr>
          <w:rFonts w:ascii="Palatino Linotype" w:hAnsi="Palatino Linotype"/>
          <w:i/>
        </w:rPr>
      </w:pPr>
      <w:r w:rsidRPr="00980DDD">
        <w:rPr>
          <w:rFonts w:ascii="Palatino Linotype" w:hAnsi="Palatino Linotype"/>
          <w:b/>
          <w:i/>
        </w:rPr>
        <w:t>Séptimo.</w:t>
      </w:r>
      <w:r w:rsidRPr="00980DDD">
        <w:rPr>
          <w:rFonts w:ascii="Palatino Linotype" w:hAnsi="Palatino Linotype"/>
          <w:i/>
        </w:rPr>
        <w:t xml:space="preserve"> La clasificación de la información se llevará a cabo en el momento en que: I. Se reciba una solicitud de acceso a la información; </w:t>
      </w:r>
    </w:p>
    <w:p w:rsidR="00BC16DE" w:rsidRPr="00980DDD" w:rsidRDefault="00BC16DE" w:rsidP="00BC16DE">
      <w:pPr>
        <w:spacing w:line="276" w:lineRule="auto"/>
        <w:ind w:left="720" w:right="538"/>
        <w:contextualSpacing/>
        <w:jc w:val="both"/>
        <w:rPr>
          <w:rFonts w:ascii="Palatino Linotype" w:hAnsi="Palatino Linotype"/>
          <w:i/>
        </w:rPr>
      </w:pPr>
    </w:p>
    <w:p w:rsidR="00BC16DE" w:rsidRPr="00980DDD" w:rsidRDefault="00BC16DE" w:rsidP="00BC16DE">
      <w:pPr>
        <w:spacing w:line="276" w:lineRule="auto"/>
        <w:ind w:left="720" w:right="538"/>
        <w:contextualSpacing/>
        <w:jc w:val="both"/>
        <w:rPr>
          <w:rFonts w:ascii="Palatino Linotype" w:hAnsi="Palatino Linotype"/>
          <w:i/>
        </w:rPr>
      </w:pPr>
      <w:r w:rsidRPr="00980DDD">
        <w:rPr>
          <w:rFonts w:ascii="Palatino Linotype" w:hAnsi="Palatino Linotype"/>
          <w:i/>
        </w:rPr>
        <w:t xml:space="preserve">II. Se determine mediante resolución de autoridad competente, o </w:t>
      </w:r>
    </w:p>
    <w:p w:rsidR="00BC16DE" w:rsidRPr="00980DDD" w:rsidRDefault="00BC16DE" w:rsidP="00BC16DE">
      <w:pPr>
        <w:spacing w:line="276" w:lineRule="auto"/>
        <w:ind w:left="720" w:right="538"/>
        <w:contextualSpacing/>
        <w:jc w:val="both"/>
        <w:rPr>
          <w:rFonts w:ascii="Palatino Linotype" w:hAnsi="Palatino Linotype"/>
          <w:i/>
        </w:rPr>
      </w:pPr>
      <w:r w:rsidRPr="00980DDD">
        <w:rPr>
          <w:rFonts w:ascii="Palatino Linotype" w:hAnsi="Palatino Linotype"/>
          <w:i/>
        </w:rPr>
        <w:t xml:space="preserve">III. Se generen versiones públicas para dar cumplimiento a las obligaciones de transparencia previstas en la Ley General, la Ley Federal y las correspondientes de las entidades federativas. </w:t>
      </w:r>
    </w:p>
    <w:p w:rsidR="00BC16DE" w:rsidRPr="00980DDD" w:rsidRDefault="00BC16DE" w:rsidP="00BC16DE">
      <w:pPr>
        <w:spacing w:line="276" w:lineRule="auto"/>
        <w:ind w:left="720" w:right="538"/>
        <w:contextualSpacing/>
        <w:jc w:val="both"/>
        <w:rPr>
          <w:rFonts w:ascii="Palatino Linotype" w:hAnsi="Palatino Linotype"/>
          <w:i/>
        </w:rPr>
      </w:pPr>
    </w:p>
    <w:p w:rsidR="00BC16DE" w:rsidRPr="00980DDD" w:rsidRDefault="00BC16DE" w:rsidP="00BC16DE">
      <w:pPr>
        <w:spacing w:line="276" w:lineRule="auto"/>
        <w:ind w:left="720" w:right="538"/>
        <w:contextualSpacing/>
        <w:jc w:val="both"/>
        <w:rPr>
          <w:rFonts w:ascii="Palatino Linotype" w:hAnsi="Palatino Linotype"/>
          <w:i/>
        </w:rPr>
      </w:pPr>
      <w:r w:rsidRPr="00980DDD">
        <w:rPr>
          <w:rFonts w:ascii="Palatino Linotype" w:hAnsi="Palatino Linotype"/>
          <w:i/>
        </w:rPr>
        <w:lastRenderedPageBreak/>
        <w:t xml:space="preserve">Los titulares de las áreas deberán revisar la clasificación al momento de la recepción de una solicitud de acceso a la información, para verificar si encuadra en una causal de reserva o de confidencialidad. </w:t>
      </w:r>
    </w:p>
    <w:p w:rsidR="00BC16DE" w:rsidRPr="00980DDD" w:rsidRDefault="00BC16DE" w:rsidP="00BC16DE">
      <w:pPr>
        <w:spacing w:line="276" w:lineRule="auto"/>
        <w:ind w:left="720" w:right="538"/>
        <w:contextualSpacing/>
        <w:jc w:val="both"/>
        <w:rPr>
          <w:rFonts w:ascii="Palatino Linotype" w:hAnsi="Palatino Linotype"/>
          <w:i/>
        </w:rPr>
      </w:pPr>
    </w:p>
    <w:p w:rsidR="00BC16DE" w:rsidRPr="00980DDD" w:rsidRDefault="00BC16DE" w:rsidP="00BC16DE">
      <w:pPr>
        <w:spacing w:line="276" w:lineRule="auto"/>
        <w:ind w:left="720" w:right="538"/>
        <w:contextualSpacing/>
        <w:jc w:val="both"/>
        <w:rPr>
          <w:rFonts w:ascii="Palatino Linotype" w:hAnsi="Palatino Linotype"/>
          <w:i/>
        </w:rPr>
      </w:pPr>
      <w:r w:rsidRPr="00980DDD">
        <w:rPr>
          <w:rFonts w:ascii="Palatino Linotype" w:hAnsi="Palatino Linotype"/>
          <w:b/>
          <w:i/>
        </w:rPr>
        <w:t>Octavo.</w:t>
      </w:r>
      <w:r w:rsidRPr="00980DDD">
        <w:rPr>
          <w:rFonts w:ascii="Palatino Linotype" w:hAnsi="Palatino Linotype"/>
          <w:i/>
        </w:rPr>
        <w:t xml:space="preserve"> Para fundar la clasificación de la información se debe señalar el artículo, fracción, inciso, párrafo o numeral de la ley o tratado internacional suscrito por el Estado mexicano que expresamente le otorga el carácter de reservada o confidencial. </w:t>
      </w:r>
    </w:p>
    <w:p w:rsidR="00BC16DE" w:rsidRPr="00980DDD" w:rsidRDefault="00BC16DE" w:rsidP="00BC16DE">
      <w:pPr>
        <w:spacing w:line="276" w:lineRule="auto"/>
        <w:ind w:left="720" w:right="538"/>
        <w:contextualSpacing/>
        <w:jc w:val="both"/>
        <w:rPr>
          <w:rFonts w:ascii="Palatino Linotype" w:hAnsi="Palatino Linotype"/>
          <w:i/>
        </w:rPr>
      </w:pPr>
      <w:r w:rsidRPr="00980DDD">
        <w:rPr>
          <w:rFonts w:ascii="Palatino Linotype" w:hAnsi="Palatino Linotype"/>
          <w:i/>
        </w:rPr>
        <w:t xml:space="preserve">Para motivar la clasificación se deberán señalar las razones o circunstancias especiales que lo llevaron a concluir que el caso particular se ajusta al supuesto previsto por la norma legal invocada como fundamento. </w:t>
      </w:r>
    </w:p>
    <w:p w:rsidR="00BC16DE" w:rsidRPr="00980DDD" w:rsidRDefault="00BC16DE" w:rsidP="00BC16DE">
      <w:pPr>
        <w:spacing w:line="276" w:lineRule="auto"/>
        <w:ind w:left="720" w:right="538"/>
        <w:contextualSpacing/>
        <w:jc w:val="both"/>
        <w:rPr>
          <w:rFonts w:ascii="Palatino Linotype" w:hAnsi="Palatino Linotype"/>
          <w:i/>
        </w:rPr>
      </w:pPr>
    </w:p>
    <w:p w:rsidR="00BC16DE" w:rsidRPr="00980DDD" w:rsidRDefault="00BC16DE" w:rsidP="00BC16DE">
      <w:pPr>
        <w:spacing w:line="276" w:lineRule="auto"/>
        <w:ind w:left="720" w:right="538"/>
        <w:contextualSpacing/>
        <w:jc w:val="both"/>
        <w:rPr>
          <w:rFonts w:ascii="Palatino Linotype" w:hAnsi="Palatino Linotype"/>
          <w:i/>
        </w:rPr>
      </w:pPr>
      <w:r w:rsidRPr="00980DDD">
        <w:rPr>
          <w:rFonts w:ascii="Palatino Linotype" w:hAnsi="Palatino Linotype"/>
          <w:i/>
        </w:rPr>
        <w:t xml:space="preserve">En caso de referirse a información reservada, la motivación de la clasificación también deberá comprender las circunstancias que justifican el establecimiento de determinado plazo de reserva. </w:t>
      </w:r>
    </w:p>
    <w:p w:rsidR="00BC16DE" w:rsidRPr="00980DDD" w:rsidRDefault="00BC16DE" w:rsidP="00BC16DE">
      <w:pPr>
        <w:spacing w:line="276" w:lineRule="auto"/>
        <w:ind w:left="720" w:right="538"/>
        <w:contextualSpacing/>
        <w:jc w:val="both"/>
        <w:rPr>
          <w:rFonts w:ascii="Palatino Linotype" w:hAnsi="Palatino Linotype"/>
          <w:i/>
        </w:rPr>
      </w:pPr>
    </w:p>
    <w:p w:rsidR="00BC16DE" w:rsidRPr="00980DDD" w:rsidRDefault="00BC16DE" w:rsidP="00BC16DE">
      <w:pPr>
        <w:spacing w:line="276" w:lineRule="auto"/>
        <w:ind w:left="720" w:right="538"/>
        <w:contextualSpacing/>
        <w:jc w:val="both"/>
        <w:rPr>
          <w:rFonts w:ascii="Palatino Linotype" w:hAnsi="Palatino Linotype"/>
          <w:i/>
        </w:rPr>
      </w:pPr>
      <w:r w:rsidRPr="00980DDD">
        <w:rPr>
          <w:rFonts w:ascii="Palatino Linotype" w:hAnsi="Palatino Linotype"/>
          <w:i/>
        </w:rPr>
        <w:t>Tratándose de información clasificada como confidencial respecto de la cual se haya determinado su conservación permanente por tener valor histórico, ésta conservará tal carácter de conformidad con la normativa aplicable en materia de archivos.</w:t>
      </w:r>
    </w:p>
    <w:p w:rsidR="00BC16DE" w:rsidRPr="00980DDD" w:rsidRDefault="00BC16DE" w:rsidP="00BC16DE">
      <w:pPr>
        <w:spacing w:line="276" w:lineRule="auto"/>
        <w:ind w:left="720" w:right="538"/>
        <w:contextualSpacing/>
        <w:jc w:val="both"/>
        <w:rPr>
          <w:rFonts w:ascii="Palatino Linotype" w:hAnsi="Palatino Linotype"/>
          <w:i/>
        </w:rPr>
      </w:pPr>
    </w:p>
    <w:p w:rsidR="00BC16DE" w:rsidRPr="00980DDD" w:rsidRDefault="00BC16DE" w:rsidP="00BC16DE">
      <w:pPr>
        <w:spacing w:line="276" w:lineRule="auto"/>
        <w:ind w:left="720" w:right="538"/>
        <w:contextualSpacing/>
        <w:jc w:val="both"/>
        <w:rPr>
          <w:rFonts w:ascii="Palatino Linotype" w:hAnsi="Palatino Linotype"/>
          <w:i/>
        </w:rPr>
      </w:pPr>
      <w:r w:rsidRPr="00980DDD">
        <w:rPr>
          <w:rFonts w:ascii="Palatino Linotype" w:hAnsi="Palatino Linotype"/>
          <w:i/>
        </w:rPr>
        <w:t xml:space="preserve">Los documentos contenidos en los archivos históricos y los identificados como históricos confidenciales no serán susceptibles de clasificación como reservados. Noveno.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 </w:t>
      </w:r>
    </w:p>
    <w:p w:rsidR="00BC16DE" w:rsidRPr="00980DDD" w:rsidRDefault="00BC16DE" w:rsidP="00BC16DE">
      <w:pPr>
        <w:spacing w:line="276" w:lineRule="auto"/>
        <w:ind w:left="720" w:right="538"/>
        <w:contextualSpacing/>
        <w:jc w:val="both"/>
        <w:rPr>
          <w:rFonts w:ascii="Palatino Linotype" w:hAnsi="Palatino Linotype"/>
          <w:i/>
        </w:rPr>
      </w:pPr>
    </w:p>
    <w:p w:rsidR="00BC16DE" w:rsidRPr="00980DDD" w:rsidRDefault="00BC16DE" w:rsidP="00BC16DE">
      <w:pPr>
        <w:spacing w:line="276" w:lineRule="auto"/>
        <w:ind w:left="720" w:right="538"/>
        <w:contextualSpacing/>
        <w:jc w:val="both"/>
        <w:rPr>
          <w:rFonts w:ascii="Palatino Linotype" w:hAnsi="Palatino Linotype"/>
          <w:i/>
        </w:rPr>
      </w:pPr>
      <w:r w:rsidRPr="00980DDD">
        <w:rPr>
          <w:rFonts w:ascii="Palatino Linotype" w:hAnsi="Palatino Linotype"/>
          <w:b/>
          <w:i/>
        </w:rPr>
        <w:t>Décimo</w:t>
      </w:r>
      <w:r w:rsidRPr="00980DDD">
        <w:rPr>
          <w:rFonts w:ascii="Palatino Linotype" w:hAnsi="Palatino Linotype"/>
          <w:i/>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los Lineamientos para la Organización y Conservación de Archivos. </w:t>
      </w:r>
    </w:p>
    <w:p w:rsidR="00BC16DE" w:rsidRPr="00980DDD" w:rsidRDefault="00BC16DE" w:rsidP="00BC16DE">
      <w:pPr>
        <w:spacing w:line="276" w:lineRule="auto"/>
        <w:ind w:left="720" w:right="538"/>
        <w:contextualSpacing/>
        <w:jc w:val="both"/>
        <w:rPr>
          <w:rFonts w:ascii="Palatino Linotype" w:hAnsi="Palatino Linotype"/>
          <w:i/>
        </w:rPr>
      </w:pPr>
      <w:r w:rsidRPr="00980DDD">
        <w:rPr>
          <w:rFonts w:ascii="Palatino Linotype" w:hAnsi="Palatino Linotype"/>
          <w:i/>
        </w:rPr>
        <w:lastRenderedPageBreak/>
        <w:t xml:space="preserve">En ausencia de los titulares de las áreas, la información será clasificada o desclasificada por la persona que lo supla, en términos de la normativa que rija la actuación del sujeto obligado. </w:t>
      </w:r>
    </w:p>
    <w:p w:rsidR="00BC16DE" w:rsidRPr="00980DDD" w:rsidRDefault="00BC16DE" w:rsidP="00BC16DE">
      <w:pPr>
        <w:spacing w:line="276" w:lineRule="auto"/>
        <w:ind w:left="720" w:right="538"/>
        <w:contextualSpacing/>
        <w:jc w:val="both"/>
        <w:rPr>
          <w:rFonts w:ascii="Palatino Linotype" w:hAnsi="Palatino Linotype"/>
          <w:i/>
        </w:rPr>
      </w:pPr>
    </w:p>
    <w:p w:rsidR="00BC16DE" w:rsidRPr="00980DDD" w:rsidRDefault="00BC16DE" w:rsidP="00BC16DE">
      <w:pPr>
        <w:spacing w:line="276" w:lineRule="auto"/>
        <w:ind w:left="720" w:right="538"/>
        <w:contextualSpacing/>
        <w:jc w:val="both"/>
        <w:rPr>
          <w:rFonts w:ascii="Palatino Linotype" w:hAnsi="Palatino Linotype"/>
          <w:i/>
        </w:rPr>
      </w:pPr>
      <w:r w:rsidRPr="00980DDD">
        <w:rPr>
          <w:rFonts w:ascii="Palatino Linotype" w:hAnsi="Palatino Linotype"/>
          <w:b/>
          <w:i/>
        </w:rPr>
        <w:t>Décimo primero</w:t>
      </w:r>
      <w:r w:rsidRPr="00980DDD">
        <w:rPr>
          <w:rFonts w:ascii="Palatino Linotype" w:hAnsi="Palatino Linotype"/>
          <w:i/>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 </w:t>
      </w:r>
    </w:p>
    <w:p w:rsidR="00BC16DE" w:rsidRPr="00980DDD" w:rsidRDefault="00BC16DE" w:rsidP="00BC16DE">
      <w:pPr>
        <w:spacing w:line="360" w:lineRule="auto"/>
        <w:ind w:left="720" w:right="538"/>
        <w:contextualSpacing/>
        <w:jc w:val="both"/>
        <w:rPr>
          <w:rFonts w:ascii="Palatino Linotype" w:hAnsi="Palatino Linotype"/>
          <w:i/>
        </w:rPr>
      </w:pPr>
    </w:p>
    <w:p w:rsidR="00BC16DE" w:rsidRPr="00980DDD" w:rsidRDefault="00BC16DE" w:rsidP="00BC16DE">
      <w:pPr>
        <w:pStyle w:val="Prrafodelista"/>
        <w:numPr>
          <w:ilvl w:val="0"/>
          <w:numId w:val="2"/>
        </w:numPr>
        <w:spacing w:line="360" w:lineRule="auto"/>
        <w:ind w:left="0" w:right="538" w:firstLine="0"/>
        <w:jc w:val="both"/>
        <w:rPr>
          <w:rFonts w:ascii="Palatino Linotype" w:hAnsi="Palatino Linotype"/>
          <w:i/>
        </w:rPr>
      </w:pPr>
      <w:r w:rsidRPr="00980DDD">
        <w:rPr>
          <w:rFonts w:ascii="Palatino Linotype" w:hAnsi="Palatino Linotype"/>
        </w:rPr>
        <w:t xml:space="preserve">En tal contexto se deberá proceder a la clasificación de los nombres de los elementos de policía que realicen actividades operativas en campo. </w:t>
      </w:r>
    </w:p>
    <w:p w:rsidR="00BC16DE" w:rsidRPr="00980DDD" w:rsidRDefault="00BC16DE" w:rsidP="00BC16DE">
      <w:pPr>
        <w:pStyle w:val="Prrafodelista"/>
        <w:spacing w:line="360" w:lineRule="auto"/>
        <w:ind w:left="0" w:right="538"/>
        <w:jc w:val="both"/>
        <w:rPr>
          <w:rFonts w:ascii="Palatino Linotype" w:hAnsi="Palatino Linotype"/>
          <w:i/>
        </w:rPr>
      </w:pPr>
    </w:p>
    <w:p w:rsidR="001309ED" w:rsidRPr="00980DDD" w:rsidRDefault="001309ED" w:rsidP="001309ED">
      <w:pPr>
        <w:numPr>
          <w:ilvl w:val="0"/>
          <w:numId w:val="2"/>
        </w:numPr>
        <w:spacing w:line="360" w:lineRule="auto"/>
        <w:ind w:left="0" w:firstLine="0"/>
        <w:jc w:val="both"/>
        <w:rPr>
          <w:rFonts w:ascii="Palatino Linotype" w:hAnsi="Palatino Linotype"/>
        </w:rPr>
      </w:pPr>
      <w:r w:rsidRPr="00980DDD">
        <w:rPr>
          <w:rFonts w:ascii="Palatino Linotype" w:eastAsia="Palatino Linotype" w:hAnsi="Palatino Linotype" w:cs="Palatino Linotype"/>
          <w:color w:val="000000"/>
        </w:rPr>
        <w:t xml:space="preserve">Por lo anteriormente expuesto y fundado, este </w:t>
      </w:r>
      <w:r w:rsidRPr="00980DDD">
        <w:rPr>
          <w:rFonts w:ascii="Palatino Linotype" w:eastAsia="Palatino Linotype" w:hAnsi="Palatino Linotype" w:cs="Palatino Linotype"/>
          <w:b/>
          <w:color w:val="000000"/>
        </w:rPr>
        <w:t>ÓRGANO GARANTE</w:t>
      </w:r>
      <w:r w:rsidRPr="00980DDD">
        <w:rPr>
          <w:rFonts w:ascii="Palatino Linotype" w:eastAsia="Palatino Linotype" w:hAnsi="Palatino Linotype" w:cs="Palatino Linotype"/>
          <w:color w:val="000000"/>
        </w:rPr>
        <w:t xml:space="preserve"> emite los siguientes:</w:t>
      </w:r>
    </w:p>
    <w:p w:rsidR="001309ED" w:rsidRPr="00980DDD" w:rsidRDefault="001309ED" w:rsidP="001309ED">
      <w:pPr>
        <w:keepNext/>
        <w:keepLines/>
        <w:spacing w:before="240" w:line="360" w:lineRule="auto"/>
        <w:jc w:val="center"/>
        <w:rPr>
          <w:rFonts w:ascii="Palatino Linotype" w:eastAsia="Palatino Linotype" w:hAnsi="Palatino Linotype" w:cs="Palatino Linotype"/>
          <w:b/>
          <w:color w:val="000000"/>
        </w:rPr>
      </w:pPr>
      <w:r w:rsidRPr="00980DDD">
        <w:rPr>
          <w:rFonts w:ascii="Palatino Linotype" w:eastAsia="Palatino Linotype" w:hAnsi="Palatino Linotype" w:cs="Palatino Linotype"/>
          <w:b/>
          <w:color w:val="000000"/>
        </w:rPr>
        <w:t>R E S O L U T I V O S</w:t>
      </w:r>
    </w:p>
    <w:p w:rsidR="001309ED" w:rsidRPr="00980DDD" w:rsidRDefault="001309ED" w:rsidP="001309ED">
      <w:pPr>
        <w:keepNext/>
        <w:keepLines/>
        <w:spacing w:before="240" w:line="360" w:lineRule="auto"/>
        <w:jc w:val="center"/>
        <w:rPr>
          <w:rFonts w:ascii="Palatino Linotype" w:eastAsia="Palatino Linotype" w:hAnsi="Palatino Linotype" w:cs="Palatino Linotype"/>
          <w:b/>
          <w:color w:val="000000"/>
        </w:rPr>
      </w:pPr>
    </w:p>
    <w:p w:rsidR="001309ED" w:rsidRPr="00980DDD" w:rsidRDefault="001309ED" w:rsidP="001309ED">
      <w:pPr>
        <w:spacing w:line="360" w:lineRule="auto"/>
        <w:jc w:val="both"/>
        <w:rPr>
          <w:rFonts w:ascii="Palatino Linotype" w:eastAsia="Palatino Linotype" w:hAnsi="Palatino Linotype" w:cs="Palatino Linotype"/>
        </w:rPr>
      </w:pPr>
      <w:r w:rsidRPr="00980DDD">
        <w:rPr>
          <w:rFonts w:ascii="Palatino Linotype" w:eastAsia="Palatino Linotype" w:hAnsi="Palatino Linotype" w:cs="Palatino Linotype"/>
          <w:b/>
        </w:rPr>
        <w:t xml:space="preserve">PRIMERO. </w:t>
      </w:r>
      <w:r w:rsidRPr="00980DDD">
        <w:rPr>
          <w:rFonts w:ascii="Palatino Linotype" w:eastAsia="Palatino Linotype" w:hAnsi="Palatino Linotype" w:cs="Palatino Linotype"/>
        </w:rPr>
        <w:t>Resultan fundadas las</w:t>
      </w:r>
      <w:r w:rsidRPr="00980DDD">
        <w:rPr>
          <w:rFonts w:ascii="Palatino Linotype" w:eastAsia="Palatino Linotype" w:hAnsi="Palatino Linotype" w:cs="Palatino Linotype"/>
          <w:b/>
        </w:rPr>
        <w:t xml:space="preserve"> </w:t>
      </w:r>
      <w:r w:rsidRPr="00980DDD">
        <w:rPr>
          <w:rFonts w:ascii="Palatino Linotype" w:eastAsia="Palatino Linotype" w:hAnsi="Palatino Linotype" w:cs="Palatino Linotype"/>
        </w:rPr>
        <w:t xml:space="preserve">razones o motivos de inconformidad hechos valer en el recurso de revisión </w:t>
      </w:r>
      <w:r w:rsidR="00F100E2" w:rsidRPr="00980DDD">
        <w:rPr>
          <w:rFonts w:ascii="Palatino Linotype" w:eastAsia="Palatino Linotype" w:hAnsi="Palatino Linotype" w:cs="Palatino Linotype"/>
          <w:b/>
        </w:rPr>
        <w:t>07878</w:t>
      </w:r>
      <w:r w:rsidRPr="00980DDD">
        <w:rPr>
          <w:rFonts w:ascii="Palatino Linotype" w:eastAsia="Palatino Linotype" w:hAnsi="Palatino Linotype" w:cs="Palatino Linotype"/>
          <w:b/>
        </w:rPr>
        <w:t xml:space="preserve">/INFOEM/IP/RR/2025 </w:t>
      </w:r>
      <w:r w:rsidRPr="00980DDD">
        <w:rPr>
          <w:rFonts w:ascii="Palatino Linotype" w:eastAsia="Palatino Linotype" w:hAnsi="Palatino Linotype" w:cs="Palatino Linotype"/>
        </w:rPr>
        <w:t xml:space="preserve">en términos de los </w:t>
      </w:r>
      <w:r w:rsidRPr="00980DDD">
        <w:rPr>
          <w:rFonts w:ascii="Palatino Linotype" w:eastAsia="Palatino Linotype" w:hAnsi="Palatino Linotype" w:cs="Palatino Linotype"/>
          <w:b/>
        </w:rPr>
        <w:t>Considerandos</w:t>
      </w:r>
      <w:r w:rsidRPr="00980DDD">
        <w:rPr>
          <w:rFonts w:ascii="Palatino Linotype" w:eastAsia="Palatino Linotype" w:hAnsi="Palatino Linotype" w:cs="Palatino Linotype"/>
        </w:rPr>
        <w:t xml:space="preserve"> </w:t>
      </w:r>
      <w:r w:rsidRPr="00980DDD">
        <w:rPr>
          <w:rFonts w:ascii="Palatino Linotype" w:eastAsia="Palatino Linotype" w:hAnsi="Palatino Linotype" w:cs="Palatino Linotype"/>
          <w:b/>
        </w:rPr>
        <w:t xml:space="preserve">CUARTO y QUINTO </w:t>
      </w:r>
      <w:r w:rsidRPr="00980DDD">
        <w:rPr>
          <w:rFonts w:ascii="Palatino Linotype" w:eastAsia="Palatino Linotype" w:hAnsi="Palatino Linotype" w:cs="Palatino Linotype"/>
        </w:rPr>
        <w:t>de la presente resolución.</w:t>
      </w:r>
    </w:p>
    <w:p w:rsidR="001309ED" w:rsidRPr="00980DDD" w:rsidRDefault="001309ED" w:rsidP="001309ED">
      <w:pPr>
        <w:spacing w:line="360" w:lineRule="auto"/>
        <w:jc w:val="both"/>
        <w:rPr>
          <w:rFonts w:ascii="Palatino Linotype" w:eastAsia="Palatino Linotype" w:hAnsi="Palatino Linotype" w:cs="Palatino Linotype"/>
        </w:rPr>
      </w:pPr>
    </w:p>
    <w:p w:rsidR="001309ED" w:rsidRPr="00980DDD" w:rsidRDefault="001309ED" w:rsidP="001309ED">
      <w:pPr>
        <w:spacing w:line="360" w:lineRule="auto"/>
        <w:jc w:val="both"/>
        <w:rPr>
          <w:rFonts w:ascii="Palatino Linotype" w:eastAsia="Palatino Linotype" w:hAnsi="Palatino Linotype" w:cs="Palatino Linotype"/>
        </w:rPr>
      </w:pPr>
      <w:bookmarkStart w:id="13" w:name="_heading=h.26in1rg" w:colFirst="0" w:colLast="0"/>
      <w:bookmarkEnd w:id="13"/>
      <w:r w:rsidRPr="00980DDD">
        <w:rPr>
          <w:rFonts w:ascii="Palatino Linotype" w:eastAsia="Palatino Linotype" w:hAnsi="Palatino Linotype" w:cs="Palatino Linotype"/>
          <w:b/>
        </w:rPr>
        <w:t>SEGUNDO.</w:t>
      </w:r>
      <w:r w:rsidRPr="00980DDD">
        <w:rPr>
          <w:rFonts w:ascii="Palatino Linotype" w:eastAsia="Palatino Linotype" w:hAnsi="Palatino Linotype" w:cs="Palatino Linotype"/>
          <w:color w:val="2F5496"/>
        </w:rPr>
        <w:t xml:space="preserve"> </w:t>
      </w:r>
      <w:r w:rsidRPr="00980DDD">
        <w:rPr>
          <w:rFonts w:ascii="Palatino Linotype" w:eastAsia="Palatino Linotype" w:hAnsi="Palatino Linotype" w:cs="Palatino Linotype"/>
        </w:rPr>
        <w:t>Se</w:t>
      </w:r>
      <w:r w:rsidRPr="00980DDD">
        <w:rPr>
          <w:rFonts w:ascii="Palatino Linotype" w:eastAsia="Palatino Linotype" w:hAnsi="Palatino Linotype" w:cs="Palatino Linotype"/>
          <w:b/>
        </w:rPr>
        <w:t xml:space="preserve"> MODIFICA </w:t>
      </w:r>
      <w:r w:rsidRPr="00980DDD">
        <w:rPr>
          <w:rFonts w:ascii="Palatino Linotype" w:eastAsia="Palatino Linotype" w:hAnsi="Palatino Linotype" w:cs="Palatino Linotype"/>
        </w:rPr>
        <w:t xml:space="preserve">la respuesta emitida por el </w:t>
      </w:r>
      <w:r w:rsidRPr="00980DDD">
        <w:rPr>
          <w:rFonts w:ascii="Palatino Linotype" w:eastAsia="Palatino Linotype" w:hAnsi="Palatino Linotype" w:cs="Palatino Linotype"/>
          <w:b/>
        </w:rPr>
        <w:t xml:space="preserve">Ayuntamiento de Toluca </w:t>
      </w:r>
      <w:r w:rsidRPr="00980DDD">
        <w:rPr>
          <w:rFonts w:ascii="Palatino Linotype" w:eastAsia="Palatino Linotype" w:hAnsi="Palatino Linotype" w:cs="Palatino Linotype"/>
        </w:rPr>
        <w:t xml:space="preserve">a la solicitud </w:t>
      </w:r>
      <w:r w:rsidR="00F100E2" w:rsidRPr="00980DDD">
        <w:rPr>
          <w:rFonts w:ascii="Palatino Linotype" w:eastAsia="Palatino Linotype" w:hAnsi="Palatino Linotype" w:cs="Palatino Linotype"/>
          <w:b/>
          <w:bCs/>
          <w:color w:val="000000"/>
        </w:rPr>
        <w:t>03325</w:t>
      </w:r>
      <w:r w:rsidRPr="00980DDD">
        <w:rPr>
          <w:rFonts w:ascii="Palatino Linotype" w:eastAsia="Palatino Linotype" w:hAnsi="Palatino Linotype" w:cs="Palatino Linotype"/>
          <w:b/>
          <w:bCs/>
          <w:color w:val="000000"/>
        </w:rPr>
        <w:t>/TOLUCA/IP/2025</w:t>
      </w:r>
      <w:r w:rsidRPr="00980DDD">
        <w:rPr>
          <w:rFonts w:ascii="Palatino Linotype" w:eastAsia="Palatino Linotype" w:hAnsi="Palatino Linotype" w:cs="Palatino Linotype"/>
          <w:b/>
          <w:color w:val="000000"/>
        </w:rPr>
        <w:t>,</w:t>
      </w:r>
      <w:r w:rsidRPr="00980DDD">
        <w:rPr>
          <w:rFonts w:ascii="Palatino Linotype" w:eastAsia="Palatino Linotype" w:hAnsi="Palatino Linotype" w:cs="Palatino Linotype"/>
        </w:rPr>
        <w:t xml:space="preserve"> y se </w:t>
      </w:r>
      <w:r w:rsidRPr="00980DDD">
        <w:rPr>
          <w:rFonts w:ascii="Palatino Linotype" w:eastAsia="Palatino Linotype" w:hAnsi="Palatino Linotype" w:cs="Palatino Linotype"/>
          <w:b/>
        </w:rPr>
        <w:t>ORDENA</w:t>
      </w:r>
      <w:r w:rsidRPr="00980DDD">
        <w:rPr>
          <w:rFonts w:ascii="Palatino Linotype" w:eastAsia="Palatino Linotype" w:hAnsi="Palatino Linotype" w:cs="Palatino Linotype"/>
        </w:rPr>
        <w:t xml:space="preserve"> la entrega, a través del Sistema de Acceso a la Información Mexiquense, de ser procedente en versión pública,</w:t>
      </w:r>
      <w:r w:rsidR="00F100E2" w:rsidRPr="00980DDD">
        <w:rPr>
          <w:rFonts w:ascii="Palatino Linotype" w:eastAsia="Palatino Linotype" w:hAnsi="Palatino Linotype" w:cs="Palatino Linotype"/>
        </w:rPr>
        <w:t xml:space="preserve"> el soporte documental donde conste,</w:t>
      </w:r>
      <w:r w:rsidRPr="00980DDD">
        <w:rPr>
          <w:rFonts w:ascii="Palatino Linotype" w:eastAsia="Palatino Linotype" w:hAnsi="Palatino Linotype" w:cs="Palatino Linotype"/>
        </w:rPr>
        <w:t xml:space="preserve"> la siguiente información:</w:t>
      </w:r>
    </w:p>
    <w:p w:rsidR="001309ED" w:rsidRPr="00980DDD" w:rsidRDefault="001309ED" w:rsidP="001309ED">
      <w:pPr>
        <w:spacing w:line="360" w:lineRule="auto"/>
        <w:jc w:val="both"/>
        <w:rPr>
          <w:rFonts w:ascii="Palatino Linotype" w:eastAsia="Palatino Linotype" w:hAnsi="Palatino Linotype" w:cs="Palatino Linotype"/>
        </w:rPr>
      </w:pPr>
    </w:p>
    <w:p w:rsidR="00F100E2" w:rsidRPr="00980DDD" w:rsidRDefault="00F100E2" w:rsidP="00F100E2">
      <w:pPr>
        <w:pStyle w:val="Prrafodelista"/>
        <w:numPr>
          <w:ilvl w:val="0"/>
          <w:numId w:val="4"/>
        </w:numPr>
        <w:spacing w:line="360" w:lineRule="auto"/>
        <w:jc w:val="both"/>
        <w:rPr>
          <w:rFonts w:ascii="Palatino Linotype" w:eastAsia="Palatino Linotype" w:hAnsi="Palatino Linotype" w:cs="Palatino Linotype"/>
          <w:b/>
        </w:rPr>
      </w:pPr>
      <w:r w:rsidRPr="00980DDD">
        <w:rPr>
          <w:rFonts w:ascii="Palatino Linotype" w:eastAsia="Palatino Linotype" w:hAnsi="Palatino Linotype" w:cs="Palatino Linotype"/>
          <w:b/>
        </w:rPr>
        <w:lastRenderedPageBreak/>
        <w:t xml:space="preserve">Número de servidores públicos adscritos a cada área del 01 de enero al 31 de mayo de 2025; </w:t>
      </w:r>
    </w:p>
    <w:p w:rsidR="00F100E2" w:rsidRPr="00980DDD" w:rsidRDefault="00F100E2" w:rsidP="00F100E2">
      <w:pPr>
        <w:pStyle w:val="Prrafodelista"/>
        <w:numPr>
          <w:ilvl w:val="0"/>
          <w:numId w:val="4"/>
        </w:numPr>
        <w:spacing w:line="360" w:lineRule="auto"/>
        <w:jc w:val="both"/>
        <w:rPr>
          <w:rFonts w:ascii="Palatino Linotype" w:eastAsia="Palatino Linotype" w:hAnsi="Palatino Linotype" w:cs="Palatino Linotype"/>
          <w:b/>
        </w:rPr>
      </w:pPr>
      <w:r w:rsidRPr="00980DDD">
        <w:rPr>
          <w:rFonts w:ascii="Palatino Linotype" w:eastAsia="Palatino Linotype" w:hAnsi="Palatino Linotype" w:cs="Palatino Linotype"/>
          <w:b/>
        </w:rPr>
        <w:t>Número de servidores públicos adscritos a cada área del 01 de enero al 31 de diciembre de 2024;</w:t>
      </w:r>
    </w:p>
    <w:p w:rsidR="00F100E2" w:rsidRPr="00980DDD" w:rsidRDefault="00F100E2" w:rsidP="00F100E2">
      <w:pPr>
        <w:pStyle w:val="Prrafodelista"/>
        <w:numPr>
          <w:ilvl w:val="0"/>
          <w:numId w:val="4"/>
        </w:numPr>
        <w:spacing w:line="360" w:lineRule="auto"/>
        <w:jc w:val="both"/>
        <w:rPr>
          <w:rFonts w:ascii="Palatino Linotype" w:eastAsia="Palatino Linotype" w:hAnsi="Palatino Linotype" w:cs="Palatino Linotype"/>
          <w:b/>
        </w:rPr>
      </w:pPr>
      <w:r w:rsidRPr="00980DDD">
        <w:rPr>
          <w:rFonts w:ascii="Palatino Linotype" w:eastAsia="Palatino Linotype" w:hAnsi="Palatino Linotype" w:cs="Palatino Linotype"/>
          <w:b/>
        </w:rPr>
        <w:t>Listado de servidores públicos a quienes no les han pagado prestaciones quincenas, aguinaldo y prima vacacional del ejercicio fiscal 2021;</w:t>
      </w:r>
    </w:p>
    <w:p w:rsidR="00F100E2" w:rsidRPr="00980DDD" w:rsidRDefault="00F100E2" w:rsidP="00F100E2">
      <w:pPr>
        <w:pStyle w:val="Prrafodelista"/>
        <w:numPr>
          <w:ilvl w:val="0"/>
          <w:numId w:val="4"/>
        </w:numPr>
        <w:spacing w:line="360" w:lineRule="auto"/>
        <w:jc w:val="both"/>
        <w:rPr>
          <w:rFonts w:ascii="Palatino Linotype" w:eastAsia="Palatino Linotype" w:hAnsi="Palatino Linotype" w:cs="Palatino Linotype"/>
          <w:b/>
        </w:rPr>
      </w:pPr>
      <w:r w:rsidRPr="00980DDD">
        <w:rPr>
          <w:rFonts w:ascii="Palatino Linotype" w:eastAsia="Palatino Linotype" w:hAnsi="Palatino Linotype" w:cs="Palatino Linotype"/>
          <w:b/>
        </w:rPr>
        <w:t>Número de despidos del 01 de enero al 31 de diciembre de 2024 y del 01 de enero al 31 de mayo de 2022;</w:t>
      </w:r>
    </w:p>
    <w:p w:rsidR="00F100E2" w:rsidRPr="00980DDD" w:rsidRDefault="00F100E2" w:rsidP="00F100E2">
      <w:pPr>
        <w:pStyle w:val="Prrafodelista"/>
        <w:numPr>
          <w:ilvl w:val="0"/>
          <w:numId w:val="4"/>
        </w:numPr>
        <w:spacing w:line="360" w:lineRule="auto"/>
        <w:jc w:val="both"/>
        <w:rPr>
          <w:rFonts w:ascii="Palatino Linotype" w:eastAsia="Palatino Linotype" w:hAnsi="Palatino Linotype" w:cs="Palatino Linotype"/>
          <w:b/>
        </w:rPr>
      </w:pPr>
      <w:r w:rsidRPr="00980DDD">
        <w:rPr>
          <w:rFonts w:ascii="Palatino Linotype" w:eastAsia="Palatino Linotype" w:hAnsi="Palatino Linotype" w:cs="Palatino Linotype"/>
          <w:b/>
        </w:rPr>
        <w:t>Monto asignado y ejercido de cada área, por concepto de pago de quincenas, prima vacacional y aguinaldo, del 01 de enero al 31 de mayo de 2025.</w:t>
      </w:r>
    </w:p>
    <w:p w:rsidR="00F100E2" w:rsidRPr="00980DDD" w:rsidRDefault="00F100E2" w:rsidP="00F100E2">
      <w:pPr>
        <w:pStyle w:val="Prrafodelista"/>
        <w:spacing w:line="360" w:lineRule="auto"/>
        <w:ind w:left="1211"/>
        <w:rPr>
          <w:rFonts w:ascii="Palatino Linotype" w:eastAsia="Palatino Linotype" w:hAnsi="Palatino Linotype" w:cs="Palatino Linotype"/>
          <w:b/>
          <w:color w:val="000000"/>
        </w:rPr>
      </w:pPr>
    </w:p>
    <w:p w:rsidR="001309ED" w:rsidRPr="00980DDD" w:rsidRDefault="001309ED" w:rsidP="001309ED">
      <w:pPr>
        <w:tabs>
          <w:tab w:val="left" w:pos="993"/>
        </w:tabs>
        <w:spacing w:line="360" w:lineRule="auto"/>
        <w:jc w:val="both"/>
        <w:rPr>
          <w:rFonts w:ascii="Palatino Linotype" w:eastAsia="Palatino Linotype" w:hAnsi="Palatino Linotype" w:cs="Palatino Linotype"/>
        </w:rPr>
      </w:pPr>
      <w:r w:rsidRPr="00980DDD">
        <w:rPr>
          <w:rFonts w:ascii="Palatino Linotype" w:eastAsia="Palatino Linotype" w:hAnsi="Palatino Linotype" w:cs="Palatino Linotype"/>
          <w:color w:val="000000"/>
        </w:rPr>
        <w:t xml:space="preserve">Para </w:t>
      </w:r>
      <w:r w:rsidRPr="00980DDD">
        <w:rPr>
          <w:rFonts w:ascii="Palatino Linotype" w:eastAsia="Palatino Linotype" w:hAnsi="Palatino Linotype" w:cs="Palatino Linotype"/>
        </w:rPr>
        <w:t xml:space="preserve">efectos de lo anterior, se deberá emitir el Acuerdo del Comité de Transparencia, en términos de los artículos 49, fracción VIII, y 132, fracción II, de la Ley de Transparencia y Acceso a la Información Pública del Estado de México y Municipios, en el que se funden y motiven las razones sobre los datos que se supriman o eliminen dentro del soporte documental respectivo objeto de las versiones públicas que se formulen, y se ponga a disposición del </w:t>
      </w:r>
      <w:r w:rsidRPr="00980DDD">
        <w:rPr>
          <w:rFonts w:ascii="Palatino Linotype" w:eastAsia="Palatino Linotype" w:hAnsi="Palatino Linotype" w:cs="Palatino Linotype"/>
          <w:b/>
        </w:rPr>
        <w:t>RECURRENTE</w:t>
      </w:r>
      <w:r w:rsidRPr="00980DDD">
        <w:rPr>
          <w:rFonts w:ascii="Palatino Linotype" w:eastAsia="Palatino Linotype" w:hAnsi="Palatino Linotype" w:cs="Palatino Linotype"/>
        </w:rPr>
        <w:t>.</w:t>
      </w:r>
    </w:p>
    <w:p w:rsidR="001309ED" w:rsidRPr="00980DDD" w:rsidRDefault="001309ED" w:rsidP="001309ED">
      <w:pPr>
        <w:tabs>
          <w:tab w:val="left" w:pos="993"/>
        </w:tabs>
        <w:spacing w:line="360" w:lineRule="auto"/>
        <w:jc w:val="both"/>
        <w:rPr>
          <w:rFonts w:ascii="Palatino Linotype" w:eastAsia="Palatino Linotype" w:hAnsi="Palatino Linotype" w:cs="Palatino Linotype"/>
        </w:rPr>
      </w:pPr>
    </w:p>
    <w:p w:rsidR="001309ED" w:rsidRPr="00980DDD" w:rsidRDefault="001309ED" w:rsidP="001309ED">
      <w:pPr>
        <w:pStyle w:val="Prrafodelista"/>
        <w:pBdr>
          <w:top w:val="nil"/>
          <w:left w:val="nil"/>
          <w:bottom w:val="nil"/>
          <w:right w:val="nil"/>
          <w:between w:val="nil"/>
        </w:pBdr>
        <w:spacing w:line="360" w:lineRule="auto"/>
        <w:ind w:left="0" w:right="49"/>
        <w:jc w:val="both"/>
        <w:rPr>
          <w:rFonts w:ascii="Palatino Linotype" w:eastAsia="Palatino Linotype" w:hAnsi="Palatino Linotype" w:cs="Palatino Linotype"/>
        </w:rPr>
      </w:pPr>
      <w:r w:rsidRPr="00980DDD">
        <w:rPr>
          <w:rFonts w:ascii="Palatino Linotype" w:eastAsia="Palatino Linotype" w:hAnsi="Palatino Linotype" w:cs="Palatino Linotype"/>
        </w:rPr>
        <w:t>Para el caso de que la información que se ordena entregar</w:t>
      </w:r>
      <w:r w:rsidR="00F100E2" w:rsidRPr="00980DDD">
        <w:rPr>
          <w:rFonts w:ascii="Palatino Linotype" w:eastAsia="Palatino Linotype" w:hAnsi="Palatino Linotype" w:cs="Palatino Linotype"/>
        </w:rPr>
        <w:t xml:space="preserve"> en el </w:t>
      </w:r>
      <w:r w:rsidR="00F100E2" w:rsidRPr="00980DDD">
        <w:rPr>
          <w:rFonts w:ascii="Palatino Linotype" w:eastAsia="Palatino Linotype" w:hAnsi="Palatino Linotype" w:cs="Palatino Linotype"/>
          <w:b/>
        </w:rPr>
        <w:t>inciso c</w:t>
      </w:r>
      <w:r w:rsidRPr="00980DDD">
        <w:rPr>
          <w:rFonts w:ascii="Palatino Linotype" w:eastAsia="Palatino Linotype" w:hAnsi="Palatino Linotype" w:cs="Palatino Linotype"/>
        </w:rPr>
        <w:t xml:space="preserve">, no obre en los archivos del Sujeto Obligado, bastará con que así se haga del conocimiento del Particular en términos del artículo 19, párrafo segundo, de la Ley de Transparencia y Acceso a la Información Pública del Estado de México y Municipios, para tenerse por colmado dicho requerimiento. </w:t>
      </w:r>
    </w:p>
    <w:p w:rsidR="001309ED" w:rsidRPr="00980DDD" w:rsidRDefault="001309ED" w:rsidP="001309ED">
      <w:pPr>
        <w:tabs>
          <w:tab w:val="left" w:pos="993"/>
        </w:tabs>
        <w:spacing w:line="360" w:lineRule="auto"/>
        <w:jc w:val="both"/>
        <w:rPr>
          <w:rFonts w:ascii="Palatino Linotype" w:eastAsia="Palatino Linotype" w:hAnsi="Palatino Linotype" w:cs="Palatino Linotype"/>
        </w:rPr>
      </w:pPr>
    </w:p>
    <w:p w:rsidR="001309ED" w:rsidRPr="00980DDD" w:rsidRDefault="001309ED" w:rsidP="001309ED">
      <w:pPr>
        <w:shd w:val="clear" w:color="auto" w:fill="FFFFFF"/>
        <w:spacing w:line="360" w:lineRule="auto"/>
        <w:jc w:val="both"/>
        <w:rPr>
          <w:rFonts w:ascii="Palatino Linotype" w:eastAsia="Palatino Linotype" w:hAnsi="Palatino Linotype" w:cs="Palatino Linotype"/>
          <w:color w:val="222222"/>
        </w:rPr>
      </w:pPr>
      <w:r w:rsidRPr="00980DDD">
        <w:rPr>
          <w:rFonts w:ascii="Palatino Linotype" w:eastAsia="Palatino Linotype" w:hAnsi="Palatino Linotype" w:cs="Palatino Linotype"/>
          <w:b/>
          <w:color w:val="222222"/>
        </w:rPr>
        <w:t xml:space="preserve">TERCERO. </w:t>
      </w:r>
      <w:r w:rsidRPr="00980DDD">
        <w:rPr>
          <w:rFonts w:ascii="Palatino Linotype" w:eastAsia="Palatino Linotype" w:hAnsi="Palatino Linotype" w:cs="Palatino Linotype"/>
          <w:color w:val="222222"/>
        </w:rPr>
        <w:t xml:space="preserve">Notifíquese vía SAIMEX la presente resolución al Titular de la Unidad de Transparencia del Sujeto Obligado, para que conforme al artículo 186 último párrafo, 189 </w:t>
      </w:r>
      <w:r w:rsidRPr="00980DDD">
        <w:rPr>
          <w:rFonts w:ascii="Palatino Linotype" w:eastAsia="Palatino Linotype" w:hAnsi="Palatino Linotype" w:cs="Palatino Linotype"/>
          <w:color w:val="222222"/>
        </w:rPr>
        <w:lastRenderedPageBreak/>
        <w:t xml:space="preserve">segundo párrafo y 194 de la Ley de Transparencia y Acceso a la Información Pública del Estado de México y Municipios </w:t>
      </w:r>
      <w:r w:rsidRPr="00980DDD">
        <w:rPr>
          <w:rFonts w:ascii="Palatino Linotype" w:eastAsia="Palatino Linotype" w:hAnsi="Palatino Linotype" w:cs="Palatino Linotype"/>
          <w:b/>
          <w:color w:val="222222"/>
        </w:rPr>
        <w:t>dé cumplimiento a lo ordenado dentro del plazo de diez días hábiles,</w:t>
      </w:r>
      <w:r w:rsidRPr="00980DDD">
        <w:rPr>
          <w:rFonts w:ascii="Palatino Linotype" w:eastAsia="Palatino Linotype" w:hAnsi="Palatino Linotype" w:cs="Palatino Linotype"/>
          <w:color w:val="222222"/>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1309ED" w:rsidRPr="00980DDD" w:rsidRDefault="001309ED" w:rsidP="001309ED">
      <w:pPr>
        <w:shd w:val="clear" w:color="auto" w:fill="FFFFFF"/>
        <w:spacing w:line="360" w:lineRule="auto"/>
        <w:jc w:val="both"/>
        <w:rPr>
          <w:rFonts w:ascii="Palatino Linotype" w:eastAsia="Palatino Linotype" w:hAnsi="Palatino Linotype" w:cs="Palatino Linotype"/>
          <w:b/>
          <w:color w:val="222222"/>
        </w:rPr>
      </w:pPr>
    </w:p>
    <w:p w:rsidR="001309ED" w:rsidRPr="00980DDD" w:rsidRDefault="001309ED" w:rsidP="001309ED">
      <w:pPr>
        <w:shd w:val="clear" w:color="auto" w:fill="FFFFFF"/>
        <w:spacing w:line="360" w:lineRule="auto"/>
        <w:jc w:val="both"/>
        <w:rPr>
          <w:rFonts w:ascii="Palatino Linotype" w:eastAsia="Palatino Linotype" w:hAnsi="Palatino Linotype" w:cs="Palatino Linotype"/>
          <w:color w:val="000000"/>
        </w:rPr>
      </w:pPr>
      <w:r w:rsidRPr="00980DDD">
        <w:rPr>
          <w:rFonts w:ascii="Palatino Linotype" w:eastAsia="Palatino Linotype" w:hAnsi="Palatino Linotype" w:cs="Palatino Linotype"/>
          <w:b/>
          <w:color w:val="000000"/>
        </w:rPr>
        <w:t>CUARTO.</w:t>
      </w:r>
      <w:r w:rsidRPr="00980DDD">
        <w:rPr>
          <w:rFonts w:ascii="Palatino Linotype" w:eastAsia="Palatino Linotype" w:hAnsi="Palatino Linotype" w:cs="Palatino Linotype"/>
          <w:color w:val="000000"/>
        </w:rPr>
        <w:t xml:space="preserve"> De conformidad con el artículo 198 de la Ley de Transparencia y Acceso a la Información Pública del Estado de México y Municipios, de considerarlo procedente, el </w:t>
      </w:r>
      <w:r w:rsidRPr="00980DDD">
        <w:rPr>
          <w:rFonts w:ascii="Palatino Linotype" w:eastAsia="Palatino Linotype" w:hAnsi="Palatino Linotype" w:cs="Palatino Linotype"/>
          <w:b/>
          <w:color w:val="000000"/>
        </w:rPr>
        <w:t>SUJETO OBLIGADO</w:t>
      </w:r>
      <w:r w:rsidRPr="00980DDD">
        <w:rPr>
          <w:rFonts w:ascii="Palatino Linotype" w:eastAsia="Palatino Linotype" w:hAnsi="Palatino Linotype" w:cs="Palatino Linotype"/>
          <w:color w:val="000000"/>
        </w:rPr>
        <w:t xml:space="preserve"> podrá, de manera fundada y motivada, solicitar una ampliación de plazo para el cumplimiento de la presente resolución.</w:t>
      </w:r>
    </w:p>
    <w:p w:rsidR="001309ED" w:rsidRPr="00980DDD" w:rsidRDefault="001309ED" w:rsidP="001309ED">
      <w:pPr>
        <w:spacing w:line="360" w:lineRule="auto"/>
        <w:rPr>
          <w:rFonts w:ascii="Palatino Linotype" w:eastAsia="Palatino Linotype" w:hAnsi="Palatino Linotype" w:cs="Palatino Linotype"/>
        </w:rPr>
      </w:pPr>
    </w:p>
    <w:p w:rsidR="001309ED" w:rsidRPr="00980DDD" w:rsidRDefault="001309ED" w:rsidP="001309ED">
      <w:pPr>
        <w:shd w:val="clear" w:color="auto" w:fill="FFFFFF"/>
        <w:spacing w:line="360" w:lineRule="auto"/>
        <w:jc w:val="both"/>
        <w:rPr>
          <w:rFonts w:ascii="Palatino Linotype" w:eastAsia="Palatino Linotype" w:hAnsi="Palatino Linotype" w:cs="Palatino Linotype"/>
          <w:color w:val="000000"/>
        </w:rPr>
      </w:pPr>
      <w:r w:rsidRPr="00980DDD">
        <w:rPr>
          <w:rFonts w:ascii="Palatino Linotype" w:eastAsia="Palatino Linotype" w:hAnsi="Palatino Linotype" w:cs="Palatino Linotype"/>
          <w:b/>
        </w:rPr>
        <w:t xml:space="preserve">QUINTO. </w:t>
      </w:r>
      <w:r w:rsidRPr="00980DDD">
        <w:rPr>
          <w:rFonts w:ascii="Palatino Linotype" w:eastAsia="Palatino Linotype" w:hAnsi="Palatino Linotype" w:cs="Palatino Linotype"/>
          <w:b/>
          <w:color w:val="222222"/>
        </w:rPr>
        <w:t xml:space="preserve">Notifíquese </w:t>
      </w:r>
      <w:r w:rsidRPr="00980DDD">
        <w:rPr>
          <w:rFonts w:ascii="Palatino Linotype" w:eastAsia="Palatino Linotype" w:hAnsi="Palatino Linotype" w:cs="Palatino Linotype"/>
          <w:color w:val="222222"/>
        </w:rPr>
        <w:t xml:space="preserve">al </w:t>
      </w:r>
      <w:r w:rsidRPr="00980DDD">
        <w:rPr>
          <w:rFonts w:ascii="Palatino Linotype" w:eastAsia="Palatino Linotype" w:hAnsi="Palatino Linotype" w:cs="Palatino Linotype"/>
          <w:b/>
          <w:color w:val="222222"/>
        </w:rPr>
        <w:t>RECURRENTE</w:t>
      </w:r>
      <w:r w:rsidRPr="00980DDD">
        <w:rPr>
          <w:rFonts w:ascii="Palatino Linotype" w:eastAsia="Palatino Linotype" w:hAnsi="Palatino Linotype" w:cs="Palatino Linotype"/>
          <w:color w:val="222222"/>
        </w:rPr>
        <w:t xml:space="preserve"> </w:t>
      </w:r>
      <w:r w:rsidRPr="00980DDD">
        <w:rPr>
          <w:rFonts w:ascii="Palatino Linotype" w:eastAsia="Palatino Linotype" w:hAnsi="Palatino Linotype" w:cs="Palatino Linotype"/>
        </w:rPr>
        <w:t>la presente resolución vía Sistema de Acceso a la Información Mexiquense (SAIMEX).</w:t>
      </w:r>
    </w:p>
    <w:p w:rsidR="001309ED" w:rsidRPr="00980DDD" w:rsidRDefault="001309ED" w:rsidP="001309ED">
      <w:pPr>
        <w:shd w:val="clear" w:color="auto" w:fill="FFFFFF"/>
        <w:spacing w:line="360" w:lineRule="auto"/>
        <w:jc w:val="both"/>
        <w:rPr>
          <w:rFonts w:ascii="Palatino Linotype" w:eastAsia="Palatino Linotype" w:hAnsi="Palatino Linotype" w:cs="Palatino Linotype"/>
        </w:rPr>
      </w:pPr>
    </w:p>
    <w:p w:rsidR="001309ED" w:rsidRPr="00980DDD" w:rsidRDefault="001309ED" w:rsidP="001309ED">
      <w:pPr>
        <w:spacing w:line="360" w:lineRule="auto"/>
        <w:jc w:val="both"/>
        <w:rPr>
          <w:rFonts w:ascii="Palatino Linotype" w:eastAsia="Palatino Linotype" w:hAnsi="Palatino Linotype" w:cs="Palatino Linotype"/>
        </w:rPr>
      </w:pPr>
      <w:r w:rsidRPr="00980DDD">
        <w:rPr>
          <w:rFonts w:ascii="Palatino Linotype" w:eastAsia="Palatino Linotype" w:hAnsi="Palatino Linotype" w:cs="Palatino Linotype"/>
          <w:b/>
        </w:rPr>
        <w:t>SEXTO.</w:t>
      </w:r>
      <w:r w:rsidRPr="00980DDD">
        <w:rPr>
          <w:rFonts w:ascii="Palatino Linotype" w:eastAsia="Palatino Linotype" w:hAnsi="Palatino Linotype" w:cs="Palatino Linotype"/>
        </w:rPr>
        <w:t xml:space="preserve"> Se hace del conocimiento del </w:t>
      </w:r>
      <w:r w:rsidRPr="00980DDD">
        <w:rPr>
          <w:rFonts w:ascii="Palatino Linotype" w:eastAsia="Palatino Linotype" w:hAnsi="Palatino Linotype" w:cs="Palatino Linotype"/>
          <w:b/>
        </w:rPr>
        <w:t>RECURRENTE</w:t>
      </w:r>
      <w:r w:rsidRPr="00980DDD">
        <w:rPr>
          <w:rFonts w:ascii="Palatino Linotype" w:eastAsia="Palatino Linotype" w:hAnsi="Palatino Linotype" w:cs="Palatino Linotype"/>
          <w:color w:val="222222"/>
        </w:rPr>
        <w:t xml:space="preserve"> </w:t>
      </w:r>
      <w:r w:rsidRPr="00980DDD">
        <w:rPr>
          <w:rFonts w:ascii="Palatino Linotype" w:eastAsia="Palatino Linotype" w:hAnsi="Palatino Linotype" w:cs="Palatino Linotype"/>
        </w:rPr>
        <w:t>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1309ED" w:rsidRPr="00980DDD" w:rsidRDefault="001309ED" w:rsidP="001309ED">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1B7C7D" w:rsidRPr="00980DDD" w:rsidRDefault="001B7C7D" w:rsidP="001B7C7D">
      <w:pPr>
        <w:spacing w:before="240" w:after="240" w:line="360" w:lineRule="auto"/>
        <w:ind w:firstLine="1"/>
        <w:jc w:val="both"/>
        <w:rPr>
          <w:rFonts w:ascii="Palatino Linotype" w:hAnsi="Palatino Linotype"/>
        </w:rPr>
      </w:pPr>
      <w:bookmarkStart w:id="14" w:name="_Hlk99014733"/>
      <w:r w:rsidRPr="00980DDD">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w:t>
      </w:r>
      <w:r w:rsidRPr="00980DDD">
        <w:rPr>
          <w:rFonts w:ascii="Palatino Linotype" w:hAnsi="Palatino Linotype" w:cs="Palatino Linotype"/>
        </w:rPr>
        <w:lastRenderedPageBreak/>
        <w:t>COMISIONADOS JOSÉ MARTÍNEZ VILCHIS, MARÍA DEL ROSARIO MEJÍA AYALA, SHARON CRISTINA MORALES MARTÍNEZ, LUIS GUSTAVO PARRA NORIEGA</w:t>
      </w:r>
      <w:r w:rsidR="00AE2309" w:rsidRPr="00980DDD">
        <w:rPr>
          <w:rFonts w:ascii="Palatino Linotype" w:hAnsi="Palatino Linotype" w:cs="Palatino Linotype"/>
        </w:rPr>
        <w:t xml:space="preserve"> </w:t>
      </w:r>
      <w:r w:rsidR="00AE2309" w:rsidRPr="00980DDD">
        <w:rPr>
          <w:rFonts w:ascii="Palatino Linotype" w:hAnsi="Palatino Linotype"/>
        </w:rPr>
        <w:t>EMITIENDO VOTO PARTICULAR</w:t>
      </w:r>
      <w:r w:rsidRPr="00980DDD">
        <w:rPr>
          <w:rFonts w:ascii="Palatino Linotype" w:hAnsi="Palatino Linotype" w:cs="Palatino Linotype"/>
        </w:rPr>
        <w:t xml:space="preserve"> Y GUADALUPE RAMÍREZ PEÑA; EN LA SÉPTIMA SESIÓN ORDINARIA, CELEBRADA EL VEINTICINCO (25) DE FEBRERO DE DOS MIL VEINTISÉIS, ANTE EL SECRETARIO TÉCNICO DEL PLENO </w:t>
      </w:r>
      <w:r w:rsidRPr="00980DDD">
        <w:rPr>
          <w:rFonts w:ascii="Palatino Linotype" w:hAnsi="Palatino Linotype" w:cs="Palatino Linotype"/>
          <w:color w:val="000000" w:themeColor="text1"/>
        </w:rPr>
        <w:t>ALEXIS TAPIA RAMÍREZ.</w:t>
      </w:r>
    </w:p>
    <w:bookmarkEnd w:id="14"/>
    <w:p w:rsidR="001309ED" w:rsidRPr="00980DDD" w:rsidRDefault="001309ED" w:rsidP="001309ED">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rPr>
      </w:pPr>
    </w:p>
    <w:p w:rsidR="001309ED" w:rsidRPr="00980DDD" w:rsidRDefault="001309ED" w:rsidP="001309ED">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rPr>
      </w:pPr>
    </w:p>
    <w:p w:rsidR="001309ED" w:rsidRPr="00980DDD" w:rsidRDefault="001309ED" w:rsidP="001309ED">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rPr>
      </w:pPr>
    </w:p>
    <w:p w:rsidR="001309ED" w:rsidRPr="00980DDD" w:rsidRDefault="001309ED" w:rsidP="001309ED">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rPr>
      </w:pPr>
    </w:p>
    <w:p w:rsidR="001309ED" w:rsidRPr="00980DDD" w:rsidRDefault="001309ED" w:rsidP="001309ED">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rPr>
      </w:pPr>
    </w:p>
    <w:p w:rsidR="001309ED" w:rsidRPr="00980DDD" w:rsidRDefault="001309ED" w:rsidP="001309ED">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rPr>
      </w:pPr>
    </w:p>
    <w:p w:rsidR="001309ED" w:rsidRPr="00980DDD" w:rsidRDefault="001309ED" w:rsidP="001309ED">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rPr>
      </w:pPr>
    </w:p>
    <w:p w:rsidR="001309ED" w:rsidRPr="00980DDD" w:rsidRDefault="001309ED" w:rsidP="001309ED">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1309ED" w:rsidRPr="00980DDD" w:rsidRDefault="001309ED" w:rsidP="001309ED">
      <w:pPr>
        <w:pBdr>
          <w:top w:val="nil"/>
          <w:left w:val="nil"/>
          <w:bottom w:val="nil"/>
          <w:right w:val="nil"/>
          <w:between w:val="nil"/>
        </w:pBdr>
        <w:ind w:left="720"/>
        <w:rPr>
          <w:rFonts w:ascii="Palatino Linotype" w:eastAsia="Palatino Linotype" w:hAnsi="Palatino Linotype" w:cs="Palatino Linotype"/>
          <w:color w:val="000000"/>
        </w:rPr>
      </w:pPr>
    </w:p>
    <w:p w:rsidR="001309ED" w:rsidRPr="00980DDD" w:rsidRDefault="001309ED" w:rsidP="001309ED">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1309ED" w:rsidRDefault="001309ED" w:rsidP="001309ED"/>
    <w:p w:rsidR="00980DDD" w:rsidRDefault="00980DDD" w:rsidP="001309ED"/>
    <w:p w:rsidR="00980DDD" w:rsidRDefault="00980DDD" w:rsidP="001309ED"/>
    <w:p w:rsidR="00980DDD" w:rsidRDefault="00980DDD" w:rsidP="001309ED"/>
    <w:p w:rsidR="00980DDD" w:rsidRDefault="00980DDD" w:rsidP="001309ED"/>
    <w:p w:rsidR="00980DDD" w:rsidRDefault="00980DDD" w:rsidP="001309ED"/>
    <w:p w:rsidR="00980DDD" w:rsidRDefault="00980DDD" w:rsidP="001309ED"/>
    <w:p w:rsidR="00980DDD" w:rsidRDefault="00980DDD" w:rsidP="001309ED"/>
    <w:p w:rsidR="00980DDD" w:rsidRDefault="00980DDD" w:rsidP="001309ED"/>
    <w:p w:rsidR="00980DDD" w:rsidRDefault="00980DDD" w:rsidP="001309ED"/>
    <w:p w:rsidR="00980DDD" w:rsidRDefault="00980DDD" w:rsidP="001309ED"/>
    <w:p w:rsidR="00980DDD" w:rsidRDefault="00980DDD" w:rsidP="001309ED"/>
    <w:p w:rsidR="00980DDD" w:rsidRPr="00980DDD" w:rsidRDefault="00980DDD" w:rsidP="001309ED"/>
    <w:p w:rsidR="001309ED" w:rsidRPr="00980DDD" w:rsidRDefault="001309ED" w:rsidP="001309ED"/>
    <w:p w:rsidR="001309ED" w:rsidRPr="00980DDD" w:rsidRDefault="001309ED" w:rsidP="001309ED"/>
    <w:p w:rsidR="001309ED" w:rsidRPr="00980DDD" w:rsidRDefault="001309ED" w:rsidP="001309ED"/>
    <w:p w:rsidR="001309ED" w:rsidRPr="00980DDD" w:rsidRDefault="001309ED" w:rsidP="001309ED"/>
    <w:p w:rsidR="001309ED" w:rsidRPr="00980DDD" w:rsidRDefault="001309ED" w:rsidP="001309ED"/>
    <w:p w:rsidR="00C7474F" w:rsidRPr="00980DDD" w:rsidRDefault="00C7474F"/>
    <w:sectPr w:rsidR="00C7474F" w:rsidRPr="00980DDD" w:rsidSect="00980DDD">
      <w:headerReference w:type="even" r:id="rId12"/>
      <w:headerReference w:type="default" r:id="rId13"/>
      <w:footerReference w:type="default" r:id="rId14"/>
      <w:headerReference w:type="first" r:id="rId15"/>
      <w:footerReference w:type="first" r:id="rId16"/>
      <w:pgSz w:w="12240" w:h="15840"/>
      <w:pgMar w:top="80" w:right="758"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1BE4" w:rsidRDefault="00991BE4" w:rsidP="001309ED">
      <w:r>
        <w:separator/>
      </w:r>
    </w:p>
  </w:endnote>
  <w:endnote w:type="continuationSeparator" w:id="0">
    <w:p w:rsidR="00991BE4" w:rsidRDefault="00991BE4" w:rsidP="001309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Bookman Old Style,Bold">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75E4" w:rsidRPr="00980DDD" w:rsidRDefault="000875E4">
    <w:pPr>
      <w:pBdr>
        <w:top w:val="nil"/>
        <w:left w:val="nil"/>
        <w:bottom w:val="nil"/>
        <w:right w:val="nil"/>
        <w:between w:val="nil"/>
      </w:pBdr>
      <w:tabs>
        <w:tab w:val="center" w:pos="4419"/>
        <w:tab w:val="right" w:pos="8838"/>
      </w:tabs>
      <w:jc w:val="right"/>
      <w:rPr>
        <w:rFonts w:ascii="Palatino Linotype" w:hAnsi="Palatino Linotype"/>
        <w:b/>
        <w:color w:val="000000"/>
        <w:sz w:val="22"/>
      </w:rPr>
    </w:pPr>
    <w:r w:rsidRPr="00980DDD">
      <w:rPr>
        <w:rFonts w:ascii="Palatino Linotype" w:hAnsi="Palatino Linotype"/>
        <w:b/>
        <w:color w:val="000000"/>
        <w:sz w:val="22"/>
      </w:rPr>
      <w:t xml:space="preserve">Página </w:t>
    </w:r>
    <w:r w:rsidRPr="00980DDD">
      <w:rPr>
        <w:rFonts w:ascii="Palatino Linotype" w:hAnsi="Palatino Linotype"/>
        <w:b/>
        <w:color w:val="000000"/>
        <w:sz w:val="22"/>
      </w:rPr>
      <w:fldChar w:fldCharType="begin"/>
    </w:r>
    <w:r w:rsidRPr="00980DDD">
      <w:rPr>
        <w:rFonts w:ascii="Palatino Linotype" w:hAnsi="Palatino Linotype"/>
        <w:b/>
        <w:color w:val="000000"/>
        <w:sz w:val="22"/>
      </w:rPr>
      <w:instrText>PAGE</w:instrText>
    </w:r>
    <w:r w:rsidRPr="00980DDD">
      <w:rPr>
        <w:rFonts w:ascii="Palatino Linotype" w:hAnsi="Palatino Linotype"/>
        <w:b/>
        <w:color w:val="000000"/>
        <w:sz w:val="22"/>
      </w:rPr>
      <w:fldChar w:fldCharType="separate"/>
    </w:r>
    <w:r w:rsidR="00E55445">
      <w:rPr>
        <w:rFonts w:ascii="Palatino Linotype" w:hAnsi="Palatino Linotype"/>
        <w:b/>
        <w:noProof/>
        <w:color w:val="000000"/>
        <w:sz w:val="22"/>
      </w:rPr>
      <w:t>21</w:t>
    </w:r>
    <w:r w:rsidRPr="00980DDD">
      <w:rPr>
        <w:rFonts w:ascii="Palatino Linotype" w:hAnsi="Palatino Linotype"/>
        <w:b/>
        <w:color w:val="000000"/>
        <w:sz w:val="22"/>
      </w:rPr>
      <w:fldChar w:fldCharType="end"/>
    </w:r>
    <w:r w:rsidRPr="00980DDD">
      <w:rPr>
        <w:rFonts w:ascii="Palatino Linotype" w:hAnsi="Palatino Linotype"/>
        <w:b/>
        <w:color w:val="000000"/>
        <w:sz w:val="22"/>
      </w:rPr>
      <w:t xml:space="preserve"> de </w:t>
    </w:r>
    <w:r w:rsidRPr="00980DDD">
      <w:rPr>
        <w:rFonts w:ascii="Palatino Linotype" w:hAnsi="Palatino Linotype"/>
        <w:b/>
        <w:color w:val="000000"/>
        <w:sz w:val="22"/>
      </w:rPr>
      <w:fldChar w:fldCharType="begin"/>
    </w:r>
    <w:r w:rsidRPr="00980DDD">
      <w:rPr>
        <w:rFonts w:ascii="Palatino Linotype" w:hAnsi="Palatino Linotype"/>
        <w:b/>
        <w:color w:val="000000"/>
        <w:sz w:val="22"/>
      </w:rPr>
      <w:instrText>NUMPAGES</w:instrText>
    </w:r>
    <w:r w:rsidRPr="00980DDD">
      <w:rPr>
        <w:rFonts w:ascii="Palatino Linotype" w:hAnsi="Palatino Linotype"/>
        <w:b/>
        <w:color w:val="000000"/>
        <w:sz w:val="22"/>
      </w:rPr>
      <w:fldChar w:fldCharType="separate"/>
    </w:r>
    <w:r w:rsidR="00E55445">
      <w:rPr>
        <w:rFonts w:ascii="Palatino Linotype" w:hAnsi="Palatino Linotype"/>
        <w:b/>
        <w:noProof/>
        <w:color w:val="000000"/>
        <w:sz w:val="22"/>
      </w:rPr>
      <w:t>42</w:t>
    </w:r>
    <w:r w:rsidRPr="00980DDD">
      <w:rPr>
        <w:rFonts w:ascii="Palatino Linotype" w:hAnsi="Palatino Linotype"/>
        <w:b/>
        <w:color w:val="000000"/>
        <w:sz w:val="22"/>
      </w:rPr>
      <w:fldChar w:fldCharType="end"/>
    </w:r>
  </w:p>
  <w:p w:rsidR="000875E4" w:rsidRDefault="000875E4">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75E4" w:rsidRPr="00980DDD" w:rsidRDefault="000875E4">
    <w:pPr>
      <w:pBdr>
        <w:top w:val="nil"/>
        <w:left w:val="nil"/>
        <w:bottom w:val="nil"/>
        <w:right w:val="nil"/>
        <w:between w:val="nil"/>
      </w:pBdr>
      <w:tabs>
        <w:tab w:val="center" w:pos="4419"/>
        <w:tab w:val="right" w:pos="8838"/>
      </w:tabs>
      <w:jc w:val="right"/>
      <w:rPr>
        <w:rFonts w:ascii="Palatino Linotype" w:hAnsi="Palatino Linotype"/>
        <w:b/>
        <w:color w:val="000000"/>
        <w:sz w:val="22"/>
      </w:rPr>
    </w:pPr>
    <w:r w:rsidRPr="00980DDD">
      <w:rPr>
        <w:rFonts w:ascii="Palatino Linotype" w:hAnsi="Palatino Linotype"/>
        <w:b/>
        <w:color w:val="000000"/>
        <w:sz w:val="22"/>
      </w:rPr>
      <w:t xml:space="preserve">Página </w:t>
    </w:r>
    <w:r w:rsidRPr="00980DDD">
      <w:rPr>
        <w:rFonts w:ascii="Palatino Linotype" w:hAnsi="Palatino Linotype"/>
        <w:b/>
        <w:color w:val="000000"/>
        <w:sz w:val="22"/>
      </w:rPr>
      <w:fldChar w:fldCharType="begin"/>
    </w:r>
    <w:r w:rsidRPr="00980DDD">
      <w:rPr>
        <w:rFonts w:ascii="Palatino Linotype" w:hAnsi="Palatino Linotype"/>
        <w:b/>
        <w:color w:val="000000"/>
        <w:sz w:val="22"/>
      </w:rPr>
      <w:instrText>PAGE</w:instrText>
    </w:r>
    <w:r w:rsidRPr="00980DDD">
      <w:rPr>
        <w:rFonts w:ascii="Palatino Linotype" w:hAnsi="Palatino Linotype"/>
        <w:b/>
        <w:color w:val="000000"/>
        <w:sz w:val="22"/>
      </w:rPr>
      <w:fldChar w:fldCharType="separate"/>
    </w:r>
    <w:r w:rsidR="00E55445">
      <w:rPr>
        <w:rFonts w:ascii="Palatino Linotype" w:hAnsi="Palatino Linotype"/>
        <w:b/>
        <w:noProof/>
        <w:color w:val="000000"/>
        <w:sz w:val="22"/>
      </w:rPr>
      <w:t>1</w:t>
    </w:r>
    <w:r w:rsidRPr="00980DDD">
      <w:rPr>
        <w:rFonts w:ascii="Palatino Linotype" w:hAnsi="Palatino Linotype"/>
        <w:b/>
        <w:color w:val="000000"/>
        <w:sz w:val="22"/>
      </w:rPr>
      <w:fldChar w:fldCharType="end"/>
    </w:r>
    <w:r w:rsidRPr="00980DDD">
      <w:rPr>
        <w:rFonts w:ascii="Palatino Linotype" w:hAnsi="Palatino Linotype"/>
        <w:b/>
        <w:color w:val="000000"/>
        <w:sz w:val="22"/>
      </w:rPr>
      <w:t xml:space="preserve"> de </w:t>
    </w:r>
    <w:r w:rsidRPr="00980DDD">
      <w:rPr>
        <w:rFonts w:ascii="Palatino Linotype" w:hAnsi="Palatino Linotype"/>
        <w:b/>
        <w:color w:val="000000"/>
        <w:sz w:val="22"/>
      </w:rPr>
      <w:fldChar w:fldCharType="begin"/>
    </w:r>
    <w:r w:rsidRPr="00980DDD">
      <w:rPr>
        <w:rFonts w:ascii="Palatino Linotype" w:hAnsi="Palatino Linotype"/>
        <w:b/>
        <w:color w:val="000000"/>
        <w:sz w:val="22"/>
      </w:rPr>
      <w:instrText>NUMPAGES</w:instrText>
    </w:r>
    <w:r w:rsidRPr="00980DDD">
      <w:rPr>
        <w:rFonts w:ascii="Palatino Linotype" w:hAnsi="Palatino Linotype"/>
        <w:b/>
        <w:color w:val="000000"/>
        <w:sz w:val="22"/>
      </w:rPr>
      <w:fldChar w:fldCharType="separate"/>
    </w:r>
    <w:r w:rsidR="00E55445">
      <w:rPr>
        <w:rFonts w:ascii="Palatino Linotype" w:hAnsi="Palatino Linotype"/>
        <w:b/>
        <w:noProof/>
        <w:color w:val="000000"/>
        <w:sz w:val="22"/>
      </w:rPr>
      <w:t>42</w:t>
    </w:r>
    <w:r w:rsidRPr="00980DDD">
      <w:rPr>
        <w:rFonts w:ascii="Palatino Linotype" w:hAnsi="Palatino Linotype"/>
        <w:b/>
        <w:color w:val="000000"/>
        <w:sz w:val="22"/>
      </w:rPr>
      <w:fldChar w:fldCharType="end"/>
    </w:r>
  </w:p>
  <w:p w:rsidR="000875E4" w:rsidRDefault="000875E4">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1BE4" w:rsidRDefault="00991BE4" w:rsidP="001309ED">
      <w:r>
        <w:separator/>
      </w:r>
    </w:p>
  </w:footnote>
  <w:footnote w:type="continuationSeparator" w:id="0">
    <w:p w:rsidR="00991BE4" w:rsidRDefault="00991BE4" w:rsidP="001309ED">
      <w:r>
        <w:continuationSeparator/>
      </w:r>
    </w:p>
  </w:footnote>
  <w:footnote w:id="1">
    <w:p w:rsidR="000875E4" w:rsidRDefault="000875E4" w:rsidP="001309ED">
      <w:pPr>
        <w:pStyle w:val="Textonotapie"/>
      </w:pPr>
      <w:r>
        <w:rPr>
          <w:rStyle w:val="Refdenotaalpie"/>
        </w:rPr>
        <w:footnoteRef/>
      </w:r>
      <w:r>
        <w:t xml:space="preserve"> Artículo 150. Ley de Transparencia y Acceso a la Información Pública del Estado de México y Municipios.</w:t>
      </w:r>
    </w:p>
    <w:p w:rsidR="000875E4" w:rsidRDefault="000875E4" w:rsidP="001309ED">
      <w:pPr>
        <w:pStyle w:val="Textonotapie"/>
      </w:pPr>
      <w:r>
        <w:t>Artículo 151. Ibídem.</w:t>
      </w:r>
    </w:p>
  </w:footnote>
  <w:footnote w:id="2">
    <w:p w:rsidR="000875E4" w:rsidRDefault="000875E4" w:rsidP="001309ED">
      <w:pPr>
        <w:pStyle w:val="Textonotapie"/>
      </w:pPr>
      <w:r>
        <w:rPr>
          <w:rStyle w:val="Refdenotaalpie"/>
        </w:rPr>
        <w:footnoteRef/>
      </w:r>
      <w:r>
        <w:t xml:space="preserve"> Fracción IV. Artículo 53. Ibídem.</w:t>
      </w:r>
    </w:p>
  </w:footnote>
  <w:footnote w:id="3">
    <w:p w:rsidR="000875E4" w:rsidRDefault="000875E4" w:rsidP="001309ED">
      <w:pPr>
        <w:pStyle w:val="Textonotapie"/>
      </w:pPr>
      <w:r>
        <w:rPr>
          <w:rStyle w:val="Refdenotaalpie"/>
        </w:rPr>
        <w:footnoteRef/>
      </w:r>
      <w:r>
        <w:t xml:space="preserve"> Ley de Transparencia y Acceso a la Información Pública del Estado de México y Municipios. Artículo 9. …</w:t>
      </w:r>
    </w:p>
    <w:p w:rsidR="000875E4" w:rsidRDefault="000875E4" w:rsidP="001309ED">
      <w:pPr>
        <w:pStyle w:val="Textonotapie"/>
      </w:pPr>
      <w:r>
        <w:t>II. Eficacia: Obligación del Instituto para tutelar, de manera efectiva, el derecho de acceso a la información;</w:t>
      </w:r>
    </w:p>
    <w:p w:rsidR="000875E4" w:rsidRDefault="000875E4" w:rsidP="001309ED">
      <w:pPr>
        <w:pStyle w:val="Textonotapie"/>
      </w:pP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75E4" w:rsidRDefault="00991BE4">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589.8pt;height:768pt;z-index:-251659776;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Layout w:type="fixed"/>
      <w:tblLook w:val="0400" w:firstRow="0" w:lastRow="0" w:firstColumn="0" w:lastColumn="0" w:noHBand="0" w:noVBand="1"/>
    </w:tblPr>
    <w:tblGrid>
      <w:gridCol w:w="2268"/>
      <w:gridCol w:w="7797"/>
    </w:tblGrid>
    <w:tr w:rsidR="000875E4" w:rsidTr="00980DDD">
      <w:trPr>
        <w:trHeight w:val="1435"/>
      </w:trPr>
      <w:tc>
        <w:tcPr>
          <w:tcW w:w="2268" w:type="dxa"/>
          <w:shd w:val="clear" w:color="auto" w:fill="auto"/>
        </w:tcPr>
        <w:p w:rsidR="000875E4" w:rsidRDefault="000875E4">
          <w:pPr>
            <w:tabs>
              <w:tab w:val="right" w:pos="4273"/>
            </w:tabs>
            <w:rPr>
              <w:rFonts w:ascii="Garamond" w:eastAsia="Garamond" w:hAnsi="Garamond" w:cs="Garamond"/>
              <w:sz w:val="16"/>
              <w:szCs w:val="16"/>
            </w:rPr>
          </w:pPr>
        </w:p>
      </w:tc>
      <w:tc>
        <w:tcPr>
          <w:tcW w:w="7797" w:type="dxa"/>
          <w:shd w:val="clear" w:color="auto" w:fill="auto"/>
        </w:tcPr>
        <w:tbl>
          <w:tblPr>
            <w:tblW w:w="7082" w:type="dxa"/>
            <w:tblInd w:w="1026" w:type="dxa"/>
            <w:tblLayout w:type="fixed"/>
            <w:tblLook w:val="0400" w:firstRow="0" w:lastRow="0" w:firstColumn="0" w:lastColumn="0" w:noHBand="0" w:noVBand="1"/>
          </w:tblPr>
          <w:tblGrid>
            <w:gridCol w:w="2971"/>
            <w:gridCol w:w="4111"/>
          </w:tblGrid>
          <w:tr w:rsidR="000875E4" w:rsidTr="00980DDD">
            <w:trPr>
              <w:trHeight w:val="150"/>
            </w:trPr>
            <w:tc>
              <w:tcPr>
                <w:tcW w:w="2971" w:type="dxa"/>
                <w:shd w:val="clear" w:color="auto" w:fill="auto"/>
              </w:tcPr>
              <w:p w:rsidR="000875E4" w:rsidRPr="00980DDD" w:rsidRDefault="000875E4">
                <w:pPr>
                  <w:tabs>
                    <w:tab w:val="right" w:pos="8838"/>
                  </w:tabs>
                  <w:ind w:right="-105"/>
                  <w:rPr>
                    <w:rFonts w:ascii="Palatino Linotype" w:eastAsia="Palatino Linotype" w:hAnsi="Palatino Linotype" w:cs="Palatino Linotype"/>
                    <w:b/>
                    <w:szCs w:val="22"/>
                  </w:rPr>
                </w:pPr>
                <w:r w:rsidRPr="00980DDD">
                  <w:rPr>
                    <w:rFonts w:ascii="Palatino Linotype" w:eastAsia="Palatino Linotype" w:hAnsi="Palatino Linotype" w:cs="Palatino Linotype"/>
                    <w:b/>
                    <w:szCs w:val="22"/>
                  </w:rPr>
                  <w:t>Recurso de Revisión:</w:t>
                </w:r>
              </w:p>
            </w:tc>
            <w:tc>
              <w:tcPr>
                <w:tcW w:w="4111" w:type="dxa"/>
                <w:shd w:val="clear" w:color="auto" w:fill="auto"/>
              </w:tcPr>
              <w:p w:rsidR="000875E4" w:rsidRPr="00980DDD" w:rsidRDefault="000875E4">
                <w:pPr>
                  <w:tabs>
                    <w:tab w:val="right" w:pos="8838"/>
                  </w:tabs>
                  <w:ind w:left="-108" w:right="-1090"/>
                  <w:jc w:val="both"/>
                  <w:rPr>
                    <w:rFonts w:ascii="Palatino Linotype" w:eastAsia="Palatino Linotype" w:hAnsi="Palatino Linotype" w:cs="Palatino Linotype"/>
                    <w:szCs w:val="22"/>
                  </w:rPr>
                </w:pPr>
                <w:r w:rsidRPr="00980DDD">
                  <w:rPr>
                    <w:rFonts w:ascii="Palatino Linotype" w:eastAsia="Palatino Linotype" w:hAnsi="Palatino Linotype" w:cs="Palatino Linotype"/>
                    <w:szCs w:val="22"/>
                  </w:rPr>
                  <w:t>07878/INFOEM/IP/RR/2025</w:t>
                </w:r>
                <w:r w:rsidRPr="00980DDD">
                  <w:rPr>
                    <w:rFonts w:ascii="Palatino Linotype" w:eastAsia="Palatino Linotype" w:hAnsi="Palatino Linotype" w:cs="Palatino Linotype"/>
                    <w:b/>
                    <w:szCs w:val="22"/>
                  </w:rPr>
                  <w:t xml:space="preserve"> </w:t>
                </w:r>
              </w:p>
            </w:tc>
          </w:tr>
          <w:tr w:rsidR="000875E4" w:rsidTr="00980DDD">
            <w:trPr>
              <w:trHeight w:val="295"/>
            </w:trPr>
            <w:tc>
              <w:tcPr>
                <w:tcW w:w="2971" w:type="dxa"/>
                <w:shd w:val="clear" w:color="auto" w:fill="auto"/>
              </w:tcPr>
              <w:p w:rsidR="000875E4" w:rsidRPr="00980DDD" w:rsidRDefault="000875E4">
                <w:pPr>
                  <w:tabs>
                    <w:tab w:val="right" w:pos="8838"/>
                  </w:tabs>
                  <w:ind w:right="-105"/>
                  <w:rPr>
                    <w:rFonts w:ascii="Palatino Linotype" w:eastAsia="Palatino Linotype" w:hAnsi="Palatino Linotype" w:cs="Palatino Linotype"/>
                    <w:b/>
                    <w:szCs w:val="22"/>
                  </w:rPr>
                </w:pPr>
                <w:r w:rsidRPr="00980DDD">
                  <w:rPr>
                    <w:rFonts w:ascii="Palatino Linotype" w:eastAsia="Palatino Linotype" w:hAnsi="Palatino Linotype" w:cs="Palatino Linotype"/>
                    <w:b/>
                    <w:szCs w:val="22"/>
                  </w:rPr>
                  <w:t>Sujeto Obligado:</w:t>
                </w:r>
              </w:p>
            </w:tc>
            <w:tc>
              <w:tcPr>
                <w:tcW w:w="4111" w:type="dxa"/>
                <w:shd w:val="clear" w:color="auto" w:fill="auto"/>
              </w:tcPr>
              <w:p w:rsidR="000875E4" w:rsidRPr="00980DDD" w:rsidRDefault="000875E4" w:rsidP="00D956EC">
                <w:pPr>
                  <w:tabs>
                    <w:tab w:val="left" w:pos="2834"/>
                    <w:tab w:val="right" w:pos="8838"/>
                  </w:tabs>
                  <w:ind w:left="-108" w:right="-1090"/>
                  <w:jc w:val="both"/>
                  <w:rPr>
                    <w:rFonts w:ascii="Palatino Linotype" w:eastAsia="Palatino Linotype" w:hAnsi="Palatino Linotype" w:cs="Palatino Linotype"/>
                    <w:szCs w:val="22"/>
                  </w:rPr>
                </w:pPr>
                <w:r w:rsidRPr="00980DDD">
                  <w:rPr>
                    <w:rFonts w:ascii="Palatino Linotype" w:eastAsia="Palatino Linotype" w:hAnsi="Palatino Linotype" w:cs="Palatino Linotype"/>
                    <w:bCs/>
                    <w:szCs w:val="22"/>
                  </w:rPr>
                  <w:t>Ayuntamiento de Toluca</w:t>
                </w:r>
              </w:p>
            </w:tc>
          </w:tr>
          <w:tr w:rsidR="000875E4" w:rsidTr="00980DDD">
            <w:trPr>
              <w:trHeight w:val="295"/>
            </w:trPr>
            <w:tc>
              <w:tcPr>
                <w:tcW w:w="2971" w:type="dxa"/>
                <w:shd w:val="clear" w:color="auto" w:fill="auto"/>
              </w:tcPr>
              <w:p w:rsidR="000875E4" w:rsidRPr="00980DDD" w:rsidRDefault="000875E4">
                <w:pPr>
                  <w:tabs>
                    <w:tab w:val="right" w:pos="8838"/>
                  </w:tabs>
                  <w:ind w:right="-105"/>
                  <w:rPr>
                    <w:rFonts w:ascii="Palatino Linotype" w:eastAsia="Palatino Linotype" w:hAnsi="Palatino Linotype" w:cs="Palatino Linotype"/>
                    <w:b/>
                    <w:szCs w:val="22"/>
                  </w:rPr>
                </w:pPr>
                <w:r w:rsidRPr="00980DDD">
                  <w:rPr>
                    <w:rFonts w:ascii="Palatino Linotype" w:eastAsia="Palatino Linotype" w:hAnsi="Palatino Linotype" w:cs="Palatino Linotype"/>
                    <w:b/>
                    <w:szCs w:val="22"/>
                  </w:rPr>
                  <w:t>Comisionado ponente:</w:t>
                </w:r>
              </w:p>
            </w:tc>
            <w:tc>
              <w:tcPr>
                <w:tcW w:w="4111" w:type="dxa"/>
                <w:shd w:val="clear" w:color="auto" w:fill="auto"/>
              </w:tcPr>
              <w:p w:rsidR="000875E4" w:rsidRPr="00980DDD" w:rsidRDefault="000875E4">
                <w:pPr>
                  <w:tabs>
                    <w:tab w:val="right" w:pos="8838"/>
                  </w:tabs>
                  <w:ind w:left="-108" w:right="-1090"/>
                  <w:jc w:val="both"/>
                  <w:rPr>
                    <w:rFonts w:ascii="Palatino Linotype" w:eastAsia="Palatino Linotype" w:hAnsi="Palatino Linotype" w:cs="Palatino Linotype"/>
                    <w:szCs w:val="22"/>
                  </w:rPr>
                </w:pPr>
                <w:r w:rsidRPr="00980DDD">
                  <w:rPr>
                    <w:rFonts w:ascii="Palatino Linotype" w:eastAsia="Palatino Linotype" w:hAnsi="Palatino Linotype" w:cs="Palatino Linotype"/>
                    <w:szCs w:val="22"/>
                  </w:rPr>
                  <w:t>María del Rosario Mejía Ayala</w:t>
                </w:r>
              </w:p>
              <w:p w:rsidR="000875E4" w:rsidRPr="00980DDD" w:rsidRDefault="000875E4">
                <w:pPr>
                  <w:tabs>
                    <w:tab w:val="right" w:pos="8838"/>
                  </w:tabs>
                  <w:ind w:left="-108" w:right="-1090"/>
                  <w:jc w:val="both"/>
                  <w:rPr>
                    <w:rFonts w:ascii="Palatino Linotype" w:eastAsia="Palatino Linotype" w:hAnsi="Palatino Linotype" w:cs="Palatino Linotype"/>
                    <w:b/>
                    <w:szCs w:val="22"/>
                  </w:rPr>
                </w:pPr>
              </w:p>
            </w:tc>
          </w:tr>
        </w:tbl>
        <w:p w:rsidR="000875E4" w:rsidRDefault="000875E4">
          <w:pPr>
            <w:tabs>
              <w:tab w:val="right" w:pos="8838"/>
            </w:tabs>
            <w:ind w:left="-28"/>
            <w:jc w:val="both"/>
            <w:rPr>
              <w:rFonts w:ascii="Arial" w:eastAsia="Arial" w:hAnsi="Arial" w:cs="Arial"/>
              <w:b/>
              <w:sz w:val="22"/>
              <w:szCs w:val="22"/>
            </w:rPr>
          </w:pPr>
        </w:p>
      </w:tc>
    </w:tr>
  </w:tbl>
  <w:p w:rsidR="000875E4" w:rsidRDefault="00991BE4">
    <w:pPr>
      <w:pBdr>
        <w:top w:val="nil"/>
        <w:left w:val="nil"/>
        <w:bottom w:val="nil"/>
        <w:right w:val="nil"/>
        <w:between w:val="nil"/>
      </w:pBdr>
      <w:tabs>
        <w:tab w:val="center" w:pos="4419"/>
        <w:tab w:val="right" w:pos="8838"/>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68.8pt;margin-top:-120.5pt;width:589.8pt;height:768pt;z-index:-251658752;mso-position-horizontal:absolute;mso-position-horizontal-relative:margin;mso-position-vertical:absolute;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20" w:type="dxa"/>
      <w:tblLayout w:type="fixed"/>
      <w:tblLook w:val="0400" w:firstRow="0" w:lastRow="0" w:firstColumn="0" w:lastColumn="0" w:noHBand="0" w:noVBand="1"/>
    </w:tblPr>
    <w:tblGrid>
      <w:gridCol w:w="2265"/>
      <w:gridCol w:w="7755"/>
    </w:tblGrid>
    <w:tr w:rsidR="000875E4">
      <w:trPr>
        <w:trHeight w:val="1435"/>
      </w:trPr>
      <w:tc>
        <w:tcPr>
          <w:tcW w:w="2265" w:type="dxa"/>
          <w:shd w:val="clear" w:color="auto" w:fill="auto"/>
        </w:tcPr>
        <w:p w:rsidR="000875E4" w:rsidRDefault="000875E4">
          <w:pPr>
            <w:tabs>
              <w:tab w:val="right" w:pos="4273"/>
            </w:tabs>
            <w:rPr>
              <w:rFonts w:ascii="Garamond" w:eastAsia="Garamond" w:hAnsi="Garamond" w:cs="Garamond"/>
              <w:sz w:val="22"/>
              <w:szCs w:val="22"/>
            </w:rPr>
          </w:pPr>
        </w:p>
      </w:tc>
      <w:tc>
        <w:tcPr>
          <w:tcW w:w="7755" w:type="dxa"/>
          <w:shd w:val="clear" w:color="auto" w:fill="auto"/>
        </w:tcPr>
        <w:tbl>
          <w:tblPr>
            <w:tblW w:w="7797" w:type="dxa"/>
            <w:tblInd w:w="1313" w:type="dxa"/>
            <w:tblLayout w:type="fixed"/>
            <w:tblLook w:val="0400" w:firstRow="0" w:lastRow="0" w:firstColumn="0" w:lastColumn="0" w:noHBand="0" w:noVBand="1"/>
          </w:tblPr>
          <w:tblGrid>
            <w:gridCol w:w="2832"/>
            <w:gridCol w:w="4965"/>
          </w:tblGrid>
          <w:tr w:rsidR="000875E4" w:rsidTr="00980DDD">
            <w:trPr>
              <w:trHeight w:val="144"/>
            </w:trPr>
            <w:tc>
              <w:tcPr>
                <w:tcW w:w="2832" w:type="dxa"/>
                <w:shd w:val="clear" w:color="auto" w:fill="auto"/>
              </w:tcPr>
              <w:p w:rsidR="000875E4" w:rsidRPr="00980DDD" w:rsidRDefault="000875E4">
                <w:pPr>
                  <w:tabs>
                    <w:tab w:val="right" w:pos="8838"/>
                  </w:tabs>
                  <w:ind w:left="-264" w:right="-105" w:firstLine="195"/>
                  <w:rPr>
                    <w:rFonts w:ascii="Palatino Linotype" w:eastAsia="Palatino Linotype" w:hAnsi="Palatino Linotype" w:cs="Palatino Linotype"/>
                    <w:b/>
                    <w:szCs w:val="22"/>
                  </w:rPr>
                </w:pPr>
                <w:r w:rsidRPr="00980DDD">
                  <w:rPr>
                    <w:rFonts w:ascii="Palatino Linotype" w:eastAsia="Palatino Linotype" w:hAnsi="Palatino Linotype" w:cs="Palatino Linotype"/>
                    <w:b/>
                    <w:szCs w:val="22"/>
                  </w:rPr>
                  <w:t>Recurso de Revisión:</w:t>
                </w:r>
              </w:p>
            </w:tc>
            <w:tc>
              <w:tcPr>
                <w:tcW w:w="4965" w:type="dxa"/>
                <w:shd w:val="clear" w:color="auto" w:fill="auto"/>
              </w:tcPr>
              <w:p w:rsidR="000875E4" w:rsidRPr="00980DDD" w:rsidRDefault="000875E4">
                <w:pPr>
                  <w:tabs>
                    <w:tab w:val="right" w:pos="8838"/>
                  </w:tabs>
                  <w:ind w:left="-74" w:right="-1269"/>
                  <w:rPr>
                    <w:rFonts w:ascii="Palatino Linotype" w:eastAsia="Palatino Linotype" w:hAnsi="Palatino Linotype" w:cs="Palatino Linotype"/>
                    <w:szCs w:val="22"/>
                  </w:rPr>
                </w:pPr>
                <w:r w:rsidRPr="00980DDD">
                  <w:rPr>
                    <w:rFonts w:ascii="Palatino Linotype" w:eastAsia="Palatino Linotype" w:hAnsi="Palatino Linotype" w:cs="Palatino Linotype"/>
                    <w:szCs w:val="22"/>
                  </w:rPr>
                  <w:t>07878/INFOEM/IP/RR/2025</w:t>
                </w:r>
              </w:p>
            </w:tc>
          </w:tr>
          <w:tr w:rsidR="000875E4" w:rsidTr="00980DDD">
            <w:trPr>
              <w:trHeight w:val="144"/>
            </w:trPr>
            <w:tc>
              <w:tcPr>
                <w:tcW w:w="2832" w:type="dxa"/>
                <w:shd w:val="clear" w:color="auto" w:fill="auto"/>
              </w:tcPr>
              <w:p w:rsidR="000875E4" w:rsidRPr="00980DDD" w:rsidRDefault="000875E4">
                <w:pPr>
                  <w:tabs>
                    <w:tab w:val="right" w:pos="8838"/>
                  </w:tabs>
                  <w:ind w:left="-74" w:right="-105"/>
                  <w:rPr>
                    <w:rFonts w:ascii="Palatino Linotype" w:eastAsia="Palatino Linotype" w:hAnsi="Palatino Linotype" w:cs="Palatino Linotype"/>
                    <w:b/>
                    <w:szCs w:val="22"/>
                  </w:rPr>
                </w:pPr>
                <w:r w:rsidRPr="00980DDD">
                  <w:rPr>
                    <w:rFonts w:ascii="Palatino Linotype" w:eastAsia="Palatino Linotype" w:hAnsi="Palatino Linotype" w:cs="Palatino Linotype"/>
                    <w:b/>
                    <w:szCs w:val="22"/>
                  </w:rPr>
                  <w:t>Recurrente:</w:t>
                </w:r>
              </w:p>
            </w:tc>
            <w:tc>
              <w:tcPr>
                <w:tcW w:w="4965" w:type="dxa"/>
                <w:shd w:val="clear" w:color="auto" w:fill="auto"/>
              </w:tcPr>
              <w:p w:rsidR="000875E4" w:rsidRPr="00980DDD" w:rsidRDefault="000875E4" w:rsidP="00D956EC">
                <w:pPr>
                  <w:tabs>
                    <w:tab w:val="left" w:pos="3122"/>
                    <w:tab w:val="right" w:pos="8838"/>
                  </w:tabs>
                  <w:ind w:left="-74" w:right="-1269"/>
                  <w:rPr>
                    <w:rFonts w:ascii="Palatino Linotype" w:eastAsia="Palatino Linotype" w:hAnsi="Palatino Linotype" w:cs="Palatino Linotype"/>
                    <w:szCs w:val="22"/>
                  </w:rPr>
                </w:pPr>
                <w:r w:rsidRPr="00980DDD">
                  <w:rPr>
                    <w:rFonts w:ascii="Palatino Linotype" w:eastAsia="Palatino Linotype" w:hAnsi="Palatino Linotype" w:cs="Palatino Linotype"/>
                    <w:b/>
                    <w:bCs/>
                    <w:szCs w:val="22"/>
                  </w:rPr>
                  <w:t> </w:t>
                </w:r>
              </w:p>
            </w:tc>
          </w:tr>
          <w:tr w:rsidR="000875E4" w:rsidTr="00980DDD">
            <w:trPr>
              <w:trHeight w:val="283"/>
            </w:trPr>
            <w:tc>
              <w:tcPr>
                <w:tcW w:w="2832" w:type="dxa"/>
                <w:shd w:val="clear" w:color="auto" w:fill="auto"/>
              </w:tcPr>
              <w:p w:rsidR="000875E4" w:rsidRPr="00980DDD" w:rsidRDefault="000875E4">
                <w:pPr>
                  <w:tabs>
                    <w:tab w:val="right" w:pos="8838"/>
                  </w:tabs>
                  <w:ind w:left="-74" w:right="-105"/>
                  <w:rPr>
                    <w:rFonts w:ascii="Palatino Linotype" w:eastAsia="Palatino Linotype" w:hAnsi="Palatino Linotype" w:cs="Palatino Linotype"/>
                    <w:b/>
                    <w:szCs w:val="22"/>
                  </w:rPr>
                </w:pPr>
                <w:r w:rsidRPr="00980DDD">
                  <w:rPr>
                    <w:rFonts w:ascii="Palatino Linotype" w:eastAsia="Palatino Linotype" w:hAnsi="Palatino Linotype" w:cs="Palatino Linotype"/>
                    <w:b/>
                    <w:szCs w:val="22"/>
                  </w:rPr>
                  <w:t>Sujeto Obligado:</w:t>
                </w:r>
              </w:p>
            </w:tc>
            <w:tc>
              <w:tcPr>
                <w:tcW w:w="4965" w:type="dxa"/>
                <w:shd w:val="clear" w:color="auto" w:fill="auto"/>
              </w:tcPr>
              <w:p w:rsidR="000875E4" w:rsidRPr="00980DDD" w:rsidRDefault="000875E4" w:rsidP="00D956EC">
                <w:pPr>
                  <w:tabs>
                    <w:tab w:val="left" w:pos="2834"/>
                    <w:tab w:val="right" w:pos="8838"/>
                  </w:tabs>
                  <w:ind w:left="-74" w:right="-1269"/>
                  <w:rPr>
                    <w:rFonts w:ascii="Palatino Linotype" w:eastAsia="Palatino Linotype" w:hAnsi="Palatino Linotype" w:cs="Palatino Linotype"/>
                    <w:szCs w:val="22"/>
                  </w:rPr>
                </w:pPr>
                <w:r w:rsidRPr="00980DDD">
                  <w:rPr>
                    <w:rFonts w:ascii="Palatino Linotype" w:eastAsia="Palatino Linotype" w:hAnsi="Palatino Linotype" w:cs="Palatino Linotype"/>
                    <w:bCs/>
                    <w:szCs w:val="22"/>
                  </w:rPr>
                  <w:t>Ayuntamiento de Toluca</w:t>
                </w:r>
              </w:p>
            </w:tc>
          </w:tr>
          <w:tr w:rsidR="000875E4" w:rsidTr="00980DDD">
            <w:trPr>
              <w:trHeight w:val="283"/>
            </w:trPr>
            <w:tc>
              <w:tcPr>
                <w:tcW w:w="2832" w:type="dxa"/>
                <w:shd w:val="clear" w:color="auto" w:fill="auto"/>
              </w:tcPr>
              <w:p w:rsidR="000875E4" w:rsidRPr="00980DDD" w:rsidRDefault="000875E4">
                <w:pPr>
                  <w:tabs>
                    <w:tab w:val="right" w:pos="8838"/>
                  </w:tabs>
                  <w:ind w:left="-74" w:right="-105"/>
                  <w:rPr>
                    <w:rFonts w:ascii="Palatino Linotype" w:eastAsia="Palatino Linotype" w:hAnsi="Palatino Linotype" w:cs="Palatino Linotype"/>
                    <w:b/>
                    <w:szCs w:val="22"/>
                  </w:rPr>
                </w:pPr>
                <w:r w:rsidRPr="00980DDD">
                  <w:rPr>
                    <w:rFonts w:ascii="Palatino Linotype" w:eastAsia="Palatino Linotype" w:hAnsi="Palatino Linotype" w:cs="Palatino Linotype"/>
                    <w:b/>
                    <w:szCs w:val="22"/>
                  </w:rPr>
                  <w:t>Comisionado ponente:</w:t>
                </w:r>
              </w:p>
            </w:tc>
            <w:tc>
              <w:tcPr>
                <w:tcW w:w="4965" w:type="dxa"/>
                <w:shd w:val="clear" w:color="auto" w:fill="auto"/>
              </w:tcPr>
              <w:p w:rsidR="000875E4" w:rsidRPr="00980DDD" w:rsidRDefault="000875E4">
                <w:pPr>
                  <w:tabs>
                    <w:tab w:val="right" w:pos="8838"/>
                  </w:tabs>
                  <w:ind w:left="-74" w:right="-1269"/>
                  <w:rPr>
                    <w:rFonts w:ascii="Palatino Linotype" w:eastAsia="Palatino Linotype" w:hAnsi="Palatino Linotype" w:cs="Palatino Linotype"/>
                    <w:szCs w:val="22"/>
                  </w:rPr>
                </w:pPr>
                <w:r w:rsidRPr="00980DDD">
                  <w:rPr>
                    <w:rFonts w:ascii="Palatino Linotype" w:eastAsia="Palatino Linotype" w:hAnsi="Palatino Linotype" w:cs="Palatino Linotype"/>
                    <w:szCs w:val="22"/>
                  </w:rPr>
                  <w:t>María del Rosario Mejía Ayala</w:t>
                </w:r>
              </w:p>
              <w:p w:rsidR="000875E4" w:rsidRPr="00980DDD" w:rsidRDefault="000875E4">
                <w:pPr>
                  <w:tabs>
                    <w:tab w:val="right" w:pos="8838"/>
                  </w:tabs>
                  <w:ind w:left="-74" w:right="-1269"/>
                  <w:rPr>
                    <w:rFonts w:ascii="Palatino Linotype" w:eastAsia="Palatino Linotype" w:hAnsi="Palatino Linotype" w:cs="Palatino Linotype"/>
                    <w:b/>
                    <w:szCs w:val="22"/>
                  </w:rPr>
                </w:pPr>
              </w:p>
            </w:tc>
          </w:tr>
        </w:tbl>
        <w:p w:rsidR="000875E4" w:rsidRDefault="000875E4">
          <w:pPr>
            <w:tabs>
              <w:tab w:val="right" w:pos="8838"/>
            </w:tabs>
            <w:ind w:left="-28"/>
            <w:jc w:val="both"/>
            <w:rPr>
              <w:rFonts w:ascii="Arial" w:eastAsia="Arial" w:hAnsi="Arial" w:cs="Arial"/>
              <w:b/>
              <w:sz w:val="22"/>
              <w:szCs w:val="22"/>
            </w:rPr>
          </w:pPr>
        </w:p>
      </w:tc>
    </w:tr>
  </w:tbl>
  <w:p w:rsidR="000875E4" w:rsidRDefault="00980DDD">
    <w:pPr>
      <w:pBdr>
        <w:top w:val="nil"/>
        <w:left w:val="nil"/>
        <w:bottom w:val="nil"/>
        <w:right w:val="nil"/>
        <w:between w:val="nil"/>
      </w:pBdr>
      <w:tabs>
        <w:tab w:val="center" w:pos="4419"/>
        <w:tab w:val="right" w:pos="8838"/>
      </w:tabs>
      <w:rPr>
        <w:color w:val="000000"/>
        <w:sz w:val="2"/>
        <w:szCs w:val="2"/>
      </w:rPr>
    </w:pPr>
    <w:r>
      <w:rPr>
        <w:color w:val="000000"/>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60.4pt;margin-top:-121.8pt;width:589.8pt;height:768pt;z-index:-251657728;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A61661"/>
    <w:multiLevelType w:val="hybridMultilevel"/>
    <w:tmpl w:val="2E1E7D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D766FA5"/>
    <w:multiLevelType w:val="hybridMultilevel"/>
    <w:tmpl w:val="6AF23AA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 w15:restartNumberingAfterBreak="0">
    <w:nsid w:val="220130EE"/>
    <w:multiLevelType w:val="multilevel"/>
    <w:tmpl w:val="D2ACB9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A9963F5"/>
    <w:multiLevelType w:val="hybridMultilevel"/>
    <w:tmpl w:val="FA52E190"/>
    <w:lvl w:ilvl="0" w:tplc="C4BE3086">
      <w:numFmt w:val="bullet"/>
      <w:lvlText w:val="-"/>
      <w:lvlJc w:val="left"/>
      <w:pPr>
        <w:ind w:left="720" w:hanging="360"/>
      </w:pPr>
      <w:rPr>
        <w:rFonts w:ascii="Palatino Linotype" w:eastAsia="Palatino Linotype" w:hAnsi="Palatino Linotype" w:cs="Palatino Linotype" w:hint="default"/>
        <w:i w:val="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EBA5260"/>
    <w:multiLevelType w:val="multilevel"/>
    <w:tmpl w:val="DB304A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4317490"/>
    <w:multiLevelType w:val="hybridMultilevel"/>
    <w:tmpl w:val="8AB0FB78"/>
    <w:lvl w:ilvl="0" w:tplc="92BE0B36">
      <w:start w:val="1"/>
      <w:numFmt w:val="decimal"/>
      <w:lvlText w:val="%1."/>
      <w:lvlJc w:val="left"/>
      <w:pPr>
        <w:ind w:left="644" w:hanging="360"/>
      </w:pPr>
      <w:rPr>
        <w:rFonts w:ascii="Palatino Linotype" w:hAnsi="Palatino Linotype" w:hint="default"/>
        <w:b/>
        <w:i w:val="0"/>
        <w:color w:val="auto"/>
        <w:sz w:val="24"/>
      </w:rPr>
    </w:lvl>
    <w:lvl w:ilvl="1" w:tplc="080A0013">
      <w:start w:val="1"/>
      <w:numFmt w:val="upperRoman"/>
      <w:lvlText w:val="%2."/>
      <w:lvlJc w:val="right"/>
      <w:pPr>
        <w:ind w:left="7525" w:hanging="720"/>
      </w:pPr>
      <w:rPr>
        <w:rFonts w:hint="default"/>
      </w:rPr>
    </w:lvl>
    <w:lvl w:ilvl="2" w:tplc="362EE9DC">
      <w:start w:val="4"/>
      <w:numFmt w:val="lowerLetter"/>
      <w:lvlText w:val="%3)"/>
      <w:lvlJc w:val="left"/>
      <w:pPr>
        <w:ind w:left="2340" w:hanging="360"/>
      </w:pPr>
      <w:rPr>
        <w:rFonts w:hint="default"/>
      </w:rPr>
    </w:lvl>
    <w:lvl w:ilvl="3" w:tplc="080A000F">
      <w:start w:val="1"/>
      <w:numFmt w:val="decimal"/>
      <w:lvlText w:val="%4."/>
      <w:lvlJc w:val="left"/>
      <w:pPr>
        <w:ind w:left="2880" w:hanging="360"/>
      </w:pPr>
    </w:lvl>
    <w:lvl w:ilvl="4" w:tplc="3B14BCD2">
      <w:start w:val="104"/>
      <w:numFmt w:val="decimal"/>
      <w:lvlText w:val="%5"/>
      <w:lvlJc w:val="left"/>
      <w:pPr>
        <w:ind w:left="3600" w:hanging="360"/>
      </w:pPr>
      <w:rPr>
        <w:rFonts w:hint="default"/>
        <w:b/>
      </w:r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2CA106C"/>
    <w:multiLevelType w:val="multilevel"/>
    <w:tmpl w:val="5BA6425E"/>
    <w:lvl w:ilvl="0">
      <w:numFmt w:val="bullet"/>
      <w:lvlText w:val="-"/>
      <w:lvlJc w:val="left"/>
      <w:pPr>
        <w:ind w:left="720" w:hanging="360"/>
      </w:pPr>
      <w:rPr>
        <w:rFonts w:ascii="Palatino Linotype" w:eastAsia="Palatino Linotype" w:hAnsi="Palatino Linotype" w:cs="Palatino Linotype" w:hint="default"/>
        <w:i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306766A"/>
    <w:multiLevelType w:val="multilevel"/>
    <w:tmpl w:val="40B48C68"/>
    <w:lvl w:ilvl="0">
      <w:start w:val="1"/>
      <w:numFmt w:val="lowerLetter"/>
      <w:lvlText w:val="%1)"/>
      <w:lvlJc w:val="left"/>
      <w:pPr>
        <w:ind w:left="1440" w:hanging="360"/>
      </w:pPr>
      <w:rPr>
        <w:b/>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 w15:restartNumberingAfterBreak="0">
    <w:nsid w:val="4A753B8E"/>
    <w:multiLevelType w:val="hybridMultilevel"/>
    <w:tmpl w:val="B77E0594"/>
    <w:lvl w:ilvl="0" w:tplc="9D401B7C">
      <w:numFmt w:val="bullet"/>
      <w:lvlText w:val="-"/>
      <w:lvlJc w:val="left"/>
      <w:pPr>
        <w:ind w:left="1080" w:hanging="360"/>
      </w:pPr>
      <w:rPr>
        <w:rFonts w:ascii="Palatino Linotype" w:eastAsia="Times New Roman" w:hAnsi="Palatino Linotype" w:cs="Times New Roman" w:hint="default"/>
        <w:color w:val="auto"/>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9" w15:restartNumberingAfterBreak="0">
    <w:nsid w:val="51E33076"/>
    <w:multiLevelType w:val="hybridMultilevel"/>
    <w:tmpl w:val="D9AC4B6A"/>
    <w:lvl w:ilvl="0" w:tplc="C4BE3086">
      <w:numFmt w:val="bullet"/>
      <w:lvlText w:val="-"/>
      <w:lvlJc w:val="left"/>
      <w:pPr>
        <w:ind w:left="1080" w:hanging="360"/>
      </w:pPr>
      <w:rPr>
        <w:rFonts w:ascii="Palatino Linotype" w:eastAsia="Palatino Linotype" w:hAnsi="Palatino Linotype" w:cs="Palatino Linotype" w:hint="default"/>
        <w:i w:val="0"/>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0" w15:restartNumberingAfterBreak="0">
    <w:nsid w:val="5F1D2345"/>
    <w:multiLevelType w:val="multilevel"/>
    <w:tmpl w:val="9F98307C"/>
    <w:lvl w:ilvl="0">
      <w:numFmt w:val="bullet"/>
      <w:lvlText w:val="-"/>
      <w:lvlJc w:val="left"/>
      <w:pPr>
        <w:ind w:left="720" w:hanging="360"/>
      </w:pPr>
      <w:rPr>
        <w:rFonts w:ascii="Palatino Linotype" w:eastAsia="Palatino Linotype" w:hAnsi="Palatino Linotype" w:cs="Palatino Linotype" w:hint="default"/>
        <w:i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6035E91"/>
    <w:multiLevelType w:val="multilevel"/>
    <w:tmpl w:val="4638584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8E141A6"/>
    <w:multiLevelType w:val="hybridMultilevel"/>
    <w:tmpl w:val="976804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6B9F0C8D"/>
    <w:multiLevelType w:val="multilevel"/>
    <w:tmpl w:val="4E8E0B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6DD95CB9"/>
    <w:multiLevelType w:val="multilevel"/>
    <w:tmpl w:val="DD72E26C"/>
    <w:lvl w:ilvl="0">
      <w:start w:val="1"/>
      <w:numFmt w:val="decimal"/>
      <w:lvlText w:val="%1."/>
      <w:lvlJc w:val="left"/>
      <w:pPr>
        <w:ind w:left="360" w:hanging="360"/>
      </w:pPr>
      <w:rPr>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3CE7B48"/>
    <w:multiLevelType w:val="multilevel"/>
    <w:tmpl w:val="835600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76322281"/>
    <w:multiLevelType w:val="hybridMultilevel"/>
    <w:tmpl w:val="8F600118"/>
    <w:lvl w:ilvl="0" w:tplc="7FE86D10">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7" w15:restartNumberingAfterBreak="0">
    <w:nsid w:val="7DC963E5"/>
    <w:multiLevelType w:val="hybridMultilevel"/>
    <w:tmpl w:val="81FAE0AE"/>
    <w:lvl w:ilvl="0" w:tplc="711A4D44">
      <w:start w:val="1"/>
      <w:numFmt w:val="lowerLetter"/>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num w:numId="1">
    <w:abstractNumId w:val="2"/>
  </w:num>
  <w:num w:numId="2">
    <w:abstractNumId w:val="14"/>
  </w:num>
  <w:num w:numId="3">
    <w:abstractNumId w:val="13"/>
  </w:num>
  <w:num w:numId="4">
    <w:abstractNumId w:val="17"/>
  </w:num>
  <w:num w:numId="5">
    <w:abstractNumId w:val="11"/>
  </w:num>
  <w:num w:numId="6">
    <w:abstractNumId w:val="8"/>
  </w:num>
  <w:num w:numId="7">
    <w:abstractNumId w:val="3"/>
  </w:num>
  <w:num w:numId="8">
    <w:abstractNumId w:val="1"/>
  </w:num>
  <w:num w:numId="9">
    <w:abstractNumId w:val="16"/>
  </w:num>
  <w:num w:numId="10">
    <w:abstractNumId w:val="12"/>
  </w:num>
  <w:num w:numId="11">
    <w:abstractNumId w:val="9"/>
  </w:num>
  <w:num w:numId="12">
    <w:abstractNumId w:val="0"/>
  </w:num>
  <w:num w:numId="13">
    <w:abstractNumId w:val="4"/>
  </w:num>
  <w:num w:numId="14">
    <w:abstractNumId w:val="15"/>
  </w:num>
  <w:num w:numId="15">
    <w:abstractNumId w:val="7"/>
  </w:num>
  <w:num w:numId="16">
    <w:abstractNumId w:val="6"/>
  </w:num>
  <w:num w:numId="17">
    <w:abstractNumId w:val="10"/>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09ED"/>
    <w:rsid w:val="00022270"/>
    <w:rsid w:val="0003085B"/>
    <w:rsid w:val="000875E4"/>
    <w:rsid w:val="001309ED"/>
    <w:rsid w:val="0018534F"/>
    <w:rsid w:val="001B7C7D"/>
    <w:rsid w:val="00214A58"/>
    <w:rsid w:val="00254E43"/>
    <w:rsid w:val="00271D91"/>
    <w:rsid w:val="002A19C6"/>
    <w:rsid w:val="002C1BC3"/>
    <w:rsid w:val="00317E01"/>
    <w:rsid w:val="00363B8B"/>
    <w:rsid w:val="00364139"/>
    <w:rsid w:val="00386D19"/>
    <w:rsid w:val="003D5DD4"/>
    <w:rsid w:val="00434B30"/>
    <w:rsid w:val="004628B3"/>
    <w:rsid w:val="0053562C"/>
    <w:rsid w:val="00596D9B"/>
    <w:rsid w:val="006204A5"/>
    <w:rsid w:val="00827B07"/>
    <w:rsid w:val="00861518"/>
    <w:rsid w:val="00891142"/>
    <w:rsid w:val="00980DDD"/>
    <w:rsid w:val="00991BE4"/>
    <w:rsid w:val="00A374F5"/>
    <w:rsid w:val="00AE2309"/>
    <w:rsid w:val="00B92987"/>
    <w:rsid w:val="00BC16DE"/>
    <w:rsid w:val="00BD1BD2"/>
    <w:rsid w:val="00C53535"/>
    <w:rsid w:val="00C7474F"/>
    <w:rsid w:val="00D956EC"/>
    <w:rsid w:val="00DA516B"/>
    <w:rsid w:val="00DE7FC7"/>
    <w:rsid w:val="00E55445"/>
    <w:rsid w:val="00F100E2"/>
    <w:rsid w:val="00F2248C"/>
    <w:rsid w:val="00F41911"/>
    <w:rsid w:val="00F56AAE"/>
    <w:rsid w:val="00F900B9"/>
    <w:rsid w:val="00FE703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D73C9E1D-BFCB-48FB-8843-29830DFC1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09ED"/>
    <w:pPr>
      <w:spacing w:after="0" w:line="240" w:lineRule="auto"/>
    </w:pPr>
    <w:rPr>
      <w:rFonts w:ascii="Times New Roman" w:eastAsia="Times New Roman" w:hAnsi="Times New Roman" w:cs="Times New Roman"/>
      <w:sz w:val="24"/>
      <w:szCs w:val="24"/>
      <w:lang w:eastAsia="es-MX"/>
    </w:rPr>
  </w:style>
  <w:style w:type="paragraph" w:styleId="Ttulo1">
    <w:name w:val="heading 1"/>
    <w:basedOn w:val="Normal"/>
    <w:next w:val="Normal"/>
    <w:link w:val="Ttulo1Car"/>
    <w:uiPriority w:val="9"/>
    <w:qFormat/>
    <w:rsid w:val="001309ED"/>
    <w:pPr>
      <w:keepNext/>
      <w:keepLines/>
      <w:spacing w:before="240"/>
      <w:outlineLvl w:val="0"/>
    </w:pPr>
    <w:rPr>
      <w:rFonts w:asciiTheme="majorHAnsi" w:eastAsiaTheme="majorEastAsia" w:hAnsiTheme="majorHAnsi" w:cstheme="majorBidi"/>
      <w:color w:val="2E74B5" w:themeColor="accent1" w:themeShade="BF"/>
      <w:sz w:val="32"/>
      <w:szCs w:val="32"/>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309ED"/>
    <w:rPr>
      <w:rFonts w:asciiTheme="majorHAnsi" w:eastAsiaTheme="majorEastAsia" w:hAnsiTheme="majorHAnsi" w:cstheme="majorBidi"/>
      <w:color w:val="2E74B5" w:themeColor="accent1" w:themeShade="BF"/>
      <w:sz w:val="32"/>
      <w:szCs w:val="32"/>
      <w:lang w:val="es-ES" w:eastAsia="es-ES"/>
    </w:rPr>
  </w:style>
  <w:style w:type="character" w:styleId="Hipervnculo">
    <w:name w:val="Hyperlink"/>
    <w:basedOn w:val="Fuentedeprrafopredeter"/>
    <w:uiPriority w:val="99"/>
    <w:unhideWhenUsed/>
    <w:rsid w:val="001309ED"/>
    <w:rPr>
      <w:color w:val="0000FF"/>
      <w:u w:val="single"/>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1309ED"/>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1309ED"/>
    <w:rPr>
      <w:rFonts w:ascii="Times New Roman" w:eastAsia="Times New Roman" w:hAnsi="Times New Roman" w:cs="Times New Roman"/>
      <w:sz w:val="24"/>
      <w:szCs w:val="24"/>
      <w:lang w:eastAsia="es-MX"/>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1309ED"/>
    <w:rPr>
      <w:rFonts w:asciiTheme="minorHAnsi" w:eastAsiaTheme="minorHAnsi" w:hAnsiTheme="minorHAnsi" w:cstheme="minorBidi"/>
      <w:sz w:val="20"/>
      <w:szCs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1309ED"/>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iPriority w:val="99"/>
    <w:unhideWhenUsed/>
    <w:qFormat/>
    <w:rsid w:val="001309ED"/>
    <w:rPr>
      <w:vertAlign w:val="superscript"/>
    </w:rPr>
  </w:style>
  <w:style w:type="paragraph" w:styleId="Piedepgina">
    <w:name w:val="footer"/>
    <w:basedOn w:val="Normal"/>
    <w:link w:val="PiedepginaCar"/>
    <w:uiPriority w:val="99"/>
    <w:unhideWhenUsed/>
    <w:rsid w:val="001309ED"/>
    <w:pPr>
      <w:tabs>
        <w:tab w:val="center" w:pos="4419"/>
        <w:tab w:val="right" w:pos="8838"/>
      </w:tabs>
    </w:pPr>
  </w:style>
  <w:style w:type="character" w:customStyle="1" w:styleId="PiedepginaCar">
    <w:name w:val="Pie de página Car"/>
    <w:basedOn w:val="Fuentedeprrafopredeter"/>
    <w:link w:val="Piedepgina"/>
    <w:uiPriority w:val="99"/>
    <w:rsid w:val="001309ED"/>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2728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aimex.org.mx/saimex/solicitud/downloadAttach/2503108.page" TargetMode="Externa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saimex.org.mx/saimex/solicitud/downloadAttach/2503107.page"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504</TotalTime>
  <Pages>42</Pages>
  <Words>10583</Words>
  <Characters>58208</Characters>
  <Application>Microsoft Office Word</Application>
  <DocSecurity>0</DocSecurity>
  <Lines>485</Lines>
  <Paragraphs>137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68654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INFOEM549</dc:creator>
  <cp:keywords/>
  <dc:description/>
  <cp:lastModifiedBy>Cuenta Microsoft</cp:lastModifiedBy>
  <cp:revision>11</cp:revision>
  <cp:lastPrinted>2026-02-27T16:03:00Z</cp:lastPrinted>
  <dcterms:created xsi:type="dcterms:W3CDTF">2026-02-17T17:37:00Z</dcterms:created>
  <dcterms:modified xsi:type="dcterms:W3CDTF">2026-03-03T23:06:00Z</dcterms:modified>
</cp:coreProperties>
</file>