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ED9E9" w14:textId="1E6C8B4B" w:rsidR="00ED4BF8" w:rsidRPr="002C3A49" w:rsidRDefault="00ED4BF8" w:rsidP="00D84010">
      <w:pPr>
        <w:spacing w:before="240" w:after="240" w:line="360" w:lineRule="auto"/>
        <w:ind w:right="49"/>
        <w:jc w:val="both"/>
        <w:rPr>
          <w:rFonts w:ascii="Palatino Linotype" w:eastAsia="Palatino Linotype" w:hAnsi="Palatino Linotype" w:cs="Palatino Linotype"/>
          <w:strike/>
        </w:rPr>
      </w:pPr>
      <w:r w:rsidRPr="002C3A4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E5157F" w:rsidRPr="002C3A49">
        <w:rPr>
          <w:rFonts w:ascii="Palatino Linotype" w:eastAsia="Palatino Linotype" w:hAnsi="Palatino Linotype" w:cs="Palatino Linotype"/>
        </w:rPr>
        <w:t>dieci</w:t>
      </w:r>
      <w:r w:rsidR="00D27D7D" w:rsidRPr="002C3A49">
        <w:rPr>
          <w:rFonts w:ascii="Palatino Linotype" w:eastAsia="Palatino Linotype" w:hAnsi="Palatino Linotype" w:cs="Palatino Linotype"/>
        </w:rPr>
        <w:t xml:space="preserve">nueve </w:t>
      </w:r>
      <w:r w:rsidR="008117F1" w:rsidRPr="002C3A49">
        <w:rPr>
          <w:rFonts w:ascii="Palatino Linotype" w:eastAsia="Palatino Linotype" w:hAnsi="Palatino Linotype" w:cs="Palatino Linotype"/>
        </w:rPr>
        <w:t xml:space="preserve">de </w:t>
      </w:r>
      <w:r w:rsidR="00BA743A" w:rsidRPr="002C3A49">
        <w:rPr>
          <w:rFonts w:ascii="Palatino Linotype" w:eastAsia="Palatino Linotype" w:hAnsi="Palatino Linotype" w:cs="Palatino Linotype"/>
        </w:rPr>
        <w:t>marzo</w:t>
      </w:r>
      <w:r w:rsidR="008117F1" w:rsidRPr="002C3A49">
        <w:rPr>
          <w:rFonts w:ascii="Palatino Linotype" w:eastAsia="Palatino Linotype" w:hAnsi="Palatino Linotype" w:cs="Palatino Linotype"/>
        </w:rPr>
        <w:t xml:space="preserve"> de dos mil veintiséis</w:t>
      </w:r>
      <w:r w:rsidRPr="002C3A49">
        <w:rPr>
          <w:rFonts w:ascii="Palatino Linotype" w:eastAsia="Palatino Linotype" w:hAnsi="Palatino Linotype" w:cs="Palatino Linotype"/>
        </w:rPr>
        <w:t>.</w:t>
      </w:r>
    </w:p>
    <w:p w14:paraId="03A5F670" w14:textId="4D6DEE31" w:rsidR="00BF6672" w:rsidRPr="002C3A49" w:rsidRDefault="00ED4BF8"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Visto </w:t>
      </w:r>
      <w:r w:rsidRPr="002C3A49">
        <w:rPr>
          <w:rFonts w:ascii="Palatino Linotype" w:eastAsia="Palatino Linotype" w:hAnsi="Palatino Linotype" w:cs="Palatino Linotype"/>
        </w:rPr>
        <w:t xml:space="preserve">el expediente relativo al recurso de revisión </w:t>
      </w:r>
      <w:r w:rsidR="00BA743A" w:rsidRPr="002C3A49">
        <w:rPr>
          <w:rFonts w:ascii="Palatino Linotype" w:eastAsia="Palatino Linotype" w:hAnsi="Palatino Linotype" w:cs="Palatino Linotype"/>
          <w:b/>
        </w:rPr>
        <w:t>09084</w:t>
      </w:r>
      <w:r w:rsidRPr="002C3A49">
        <w:rPr>
          <w:rFonts w:ascii="Palatino Linotype" w:eastAsia="Palatino Linotype" w:hAnsi="Palatino Linotype" w:cs="Palatino Linotype"/>
          <w:b/>
        </w:rPr>
        <w:t>/INFOEM/IP/RR/2025</w:t>
      </w:r>
      <w:r w:rsidRPr="002C3A49">
        <w:rPr>
          <w:rFonts w:ascii="Palatino Linotype" w:eastAsia="Palatino Linotype" w:hAnsi="Palatino Linotype" w:cs="Palatino Linotype"/>
        </w:rPr>
        <w:t>, interpuesto por</w:t>
      </w:r>
      <w:r w:rsidRPr="002C3A49">
        <w:rPr>
          <w:rFonts w:ascii="Palatino Linotype" w:eastAsia="Palatino Linotype" w:hAnsi="Palatino Linotype" w:cs="Palatino Linotype"/>
          <w:b/>
        </w:rPr>
        <w:t xml:space="preserve"> </w:t>
      </w:r>
      <w:r w:rsidR="004B2C19">
        <w:rPr>
          <w:rFonts w:ascii="Palatino Linotype" w:eastAsia="Palatino Linotype" w:hAnsi="Palatino Linotype" w:cs="Palatino Linotype"/>
          <w:b/>
        </w:rPr>
        <w:t>XXXXXXXX</w:t>
      </w:r>
      <w:r w:rsidRPr="002C3A49">
        <w:rPr>
          <w:rFonts w:ascii="Palatino Linotype" w:eastAsia="Palatino Linotype" w:hAnsi="Palatino Linotype" w:cs="Palatino Linotype"/>
        </w:rPr>
        <w:t xml:space="preserve">, en lo sucesivo se le denominara </w:t>
      </w:r>
      <w:r w:rsidR="008117F1" w:rsidRPr="002C3A49">
        <w:rPr>
          <w:rFonts w:ascii="Palatino Linotype" w:eastAsia="Palatino Linotype" w:hAnsi="Palatino Linotype" w:cs="Palatino Linotype"/>
        </w:rPr>
        <w:t>la parte</w:t>
      </w:r>
      <w:r w:rsidR="008117F1" w:rsidRPr="002C3A49">
        <w:rPr>
          <w:rFonts w:ascii="Palatino Linotype" w:eastAsia="Palatino Linotype" w:hAnsi="Palatino Linotype" w:cs="Palatino Linotype"/>
          <w:b/>
        </w:rPr>
        <w:t xml:space="preserve"> Recurrente</w:t>
      </w:r>
      <w:r w:rsidRPr="002C3A49">
        <w:rPr>
          <w:rFonts w:ascii="Palatino Linotype" w:eastAsia="Palatino Linotype" w:hAnsi="Palatino Linotype" w:cs="Palatino Linotype"/>
        </w:rPr>
        <w:t xml:space="preserve">, en contra de la </w:t>
      </w:r>
      <w:r w:rsidR="00BA743A" w:rsidRPr="002C3A49">
        <w:rPr>
          <w:rFonts w:ascii="Palatino Linotype" w:eastAsia="Palatino Linotype" w:hAnsi="Palatino Linotype" w:cs="Palatino Linotype"/>
        </w:rPr>
        <w:t xml:space="preserve">falta de </w:t>
      </w:r>
      <w:r w:rsidRPr="002C3A49">
        <w:rPr>
          <w:rFonts w:ascii="Palatino Linotype" w:eastAsia="Palatino Linotype" w:hAnsi="Palatino Linotype" w:cs="Palatino Linotype"/>
        </w:rPr>
        <w:t xml:space="preserve">respuesta a la solicitud de información con número de folio </w:t>
      </w:r>
      <w:r w:rsidR="00BA743A" w:rsidRPr="002C3A49">
        <w:rPr>
          <w:rFonts w:ascii="Palatino Linotype" w:eastAsia="Palatino Linotype" w:hAnsi="Palatino Linotype" w:cs="Palatino Linotype"/>
          <w:b/>
        </w:rPr>
        <w:t>00056/VIALLEN/IP/2025</w:t>
      </w:r>
      <w:r w:rsidRPr="002C3A49">
        <w:rPr>
          <w:rFonts w:ascii="Palatino Linotype" w:eastAsia="Palatino Linotype" w:hAnsi="Palatino Linotype" w:cs="Palatino Linotype"/>
        </w:rPr>
        <w:t xml:space="preserve">, por parte del </w:t>
      </w:r>
      <w:r w:rsidR="00BA743A" w:rsidRPr="002C3A49">
        <w:rPr>
          <w:rFonts w:ascii="Palatino Linotype" w:eastAsia="Palatino Linotype" w:hAnsi="Palatino Linotype" w:cs="Palatino Linotype"/>
          <w:b/>
          <w:bCs/>
        </w:rPr>
        <w:t>Ayuntamiento de Villa de Allende</w:t>
      </w:r>
      <w:r w:rsidRPr="002C3A49">
        <w:rPr>
          <w:rFonts w:ascii="Palatino Linotype" w:eastAsia="Palatino Linotype" w:hAnsi="Palatino Linotype" w:cs="Palatino Linotype"/>
        </w:rPr>
        <w:t>, en lo sucesivo</w:t>
      </w:r>
      <w:r w:rsidRPr="002C3A49">
        <w:rPr>
          <w:rFonts w:ascii="Palatino Linotype" w:eastAsia="Palatino Linotype" w:hAnsi="Palatino Linotype" w:cs="Palatino Linotype"/>
          <w:b/>
        </w:rPr>
        <w:t xml:space="preserve"> </w:t>
      </w:r>
      <w:r w:rsidR="008117F1" w:rsidRPr="002C3A49">
        <w:rPr>
          <w:rFonts w:ascii="Palatino Linotype" w:eastAsia="Palatino Linotype" w:hAnsi="Palatino Linotype" w:cs="Palatino Linotype"/>
        </w:rPr>
        <w:t>el</w:t>
      </w:r>
      <w:r w:rsidRPr="002C3A49">
        <w:rPr>
          <w:rFonts w:ascii="Palatino Linotype" w:eastAsia="Palatino Linotype" w:hAnsi="Palatino Linotype" w:cs="Palatino Linotype"/>
          <w:b/>
        </w:rPr>
        <w:t xml:space="preserve"> </w:t>
      </w:r>
      <w:r w:rsidR="008117F1"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se procede a dictar la presente resolución, con base en lo siguiente. </w:t>
      </w:r>
    </w:p>
    <w:p w14:paraId="41B8DEF7" w14:textId="77777777" w:rsidR="00ED4BF8" w:rsidRPr="002C3A49" w:rsidRDefault="00ED4BF8" w:rsidP="00D84010">
      <w:pPr>
        <w:spacing w:before="240" w:after="240" w:line="360" w:lineRule="auto"/>
        <w:ind w:right="49"/>
        <w:jc w:val="center"/>
        <w:rPr>
          <w:rFonts w:ascii="Palatino Linotype" w:eastAsia="Palatino Linotype" w:hAnsi="Palatino Linotype" w:cs="Palatino Linotype"/>
        </w:rPr>
      </w:pPr>
      <w:r w:rsidRPr="002C3A49">
        <w:rPr>
          <w:rFonts w:ascii="Palatino Linotype" w:eastAsia="Palatino Linotype" w:hAnsi="Palatino Linotype" w:cs="Palatino Linotype"/>
          <w:b/>
        </w:rPr>
        <w:t>A N T E C E D E N T E S</w:t>
      </w:r>
    </w:p>
    <w:p w14:paraId="1CE07548" w14:textId="6E11A773" w:rsidR="00ED4BF8" w:rsidRPr="002C3A49" w:rsidRDefault="00ED4BF8" w:rsidP="00D84010">
      <w:p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b/>
        </w:rPr>
        <w:t>1.</w:t>
      </w:r>
      <w:r w:rsidRPr="002C3A49">
        <w:rPr>
          <w:rFonts w:ascii="Palatino Linotype" w:eastAsia="Palatino Linotype" w:hAnsi="Palatino Linotype" w:cs="Palatino Linotype"/>
        </w:rPr>
        <w:t xml:space="preserve"> </w:t>
      </w:r>
      <w:r w:rsidR="008117F1" w:rsidRPr="002C3A49">
        <w:rPr>
          <w:rFonts w:ascii="Palatino Linotype" w:eastAsia="Palatino Linotype" w:hAnsi="Palatino Linotype" w:cs="Palatino Linotype"/>
          <w:b/>
        </w:rPr>
        <w:t>Solicitud de Información</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Con fecha veinticuatro </w:t>
      </w:r>
      <w:r w:rsidR="008117F1" w:rsidRPr="002C3A49">
        <w:rPr>
          <w:rFonts w:ascii="Palatino Linotype" w:eastAsia="Palatino Linotype" w:hAnsi="Palatino Linotype" w:cs="Palatino Linotype"/>
        </w:rPr>
        <w:t xml:space="preserve">de </w:t>
      </w:r>
      <w:r w:rsidR="00BA743A" w:rsidRPr="002C3A49">
        <w:rPr>
          <w:rFonts w:ascii="Palatino Linotype" w:eastAsia="Palatino Linotype" w:hAnsi="Palatino Linotype" w:cs="Palatino Linotype"/>
        </w:rPr>
        <w:t>junio</w:t>
      </w:r>
      <w:r w:rsidRPr="002C3A49">
        <w:rPr>
          <w:rFonts w:ascii="Palatino Linotype" w:eastAsia="Palatino Linotype" w:hAnsi="Palatino Linotype" w:cs="Palatino Linotype"/>
        </w:rPr>
        <w:t xml:space="preserve"> de dos mil veinticinco, </w:t>
      </w:r>
      <w:r w:rsidR="008117F1" w:rsidRPr="002C3A49">
        <w:rPr>
          <w:rFonts w:ascii="Palatino Linotype" w:eastAsia="Palatino Linotype" w:hAnsi="Palatino Linotype" w:cs="Palatino Linotype"/>
        </w:rPr>
        <w:t>la parte</w:t>
      </w:r>
      <w:r w:rsidR="008117F1" w:rsidRPr="002C3A49">
        <w:rPr>
          <w:rFonts w:ascii="Palatino Linotype" w:eastAsia="Palatino Linotype" w:hAnsi="Palatino Linotype" w:cs="Palatino Linotype"/>
          <w:b/>
        </w:rPr>
        <w:t xml:space="preserve"> Recurrente</w:t>
      </w:r>
      <w:r w:rsidRPr="002C3A49">
        <w:rPr>
          <w:rFonts w:ascii="Palatino Linotype" w:eastAsia="Palatino Linotype" w:hAnsi="Palatino Linotype" w:cs="Palatino Linotype"/>
        </w:rPr>
        <w:t xml:space="preserve">, presentó a través </w:t>
      </w:r>
      <w:r w:rsidR="00BA743A" w:rsidRPr="002C3A49">
        <w:rPr>
          <w:rFonts w:ascii="Palatino Linotype" w:eastAsia="Palatino Linotype" w:hAnsi="Palatino Linotype" w:cs="Palatino Linotype"/>
        </w:rPr>
        <w:t>del</w:t>
      </w:r>
      <w:r w:rsidR="008117F1"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rPr>
        <w:t>Sistema de Acceso a la Información Mexiquense (</w:t>
      </w:r>
      <w:r w:rsidRPr="002C3A49">
        <w:rPr>
          <w:rFonts w:ascii="Palatino Linotype" w:eastAsia="Palatino Linotype" w:hAnsi="Palatino Linotype" w:cs="Palatino Linotype"/>
          <w:b/>
        </w:rPr>
        <w:t>SAIMEX)</w:t>
      </w:r>
      <w:r w:rsidRPr="002C3A49">
        <w:rPr>
          <w:rFonts w:ascii="Palatino Linotype" w:eastAsia="Palatino Linotype" w:hAnsi="Palatino Linotype" w:cs="Palatino Linotype"/>
        </w:rPr>
        <w:t xml:space="preserve"> ante </w:t>
      </w:r>
      <w:r w:rsidR="008117F1" w:rsidRPr="002C3A49">
        <w:rPr>
          <w:rFonts w:ascii="Palatino Linotype" w:eastAsia="Palatino Linotype" w:hAnsi="Palatino Linotype" w:cs="Palatino Linotype"/>
        </w:rPr>
        <w:t>el</w:t>
      </w:r>
      <w:r w:rsidRPr="002C3A49">
        <w:rPr>
          <w:rFonts w:ascii="Palatino Linotype" w:eastAsia="Palatino Linotype" w:hAnsi="Palatino Linotype" w:cs="Palatino Linotype"/>
          <w:b/>
        </w:rPr>
        <w:t xml:space="preserve"> </w:t>
      </w:r>
      <w:r w:rsidR="008117F1"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solicitud de acceso a la información pública, registrada bajo el número de expediente</w:t>
      </w:r>
      <w:r w:rsidRPr="002C3A49">
        <w:rPr>
          <w:rFonts w:ascii="Palatino Linotype" w:eastAsia="Verdana" w:hAnsi="Palatino Linotype" w:cs="Verdana"/>
          <w:b/>
        </w:rPr>
        <w:t> </w:t>
      </w:r>
      <w:r w:rsidR="00BA743A" w:rsidRPr="002C3A49">
        <w:rPr>
          <w:rFonts w:ascii="Palatino Linotype" w:eastAsia="Palatino Linotype" w:hAnsi="Palatino Linotype" w:cs="Palatino Linotype"/>
          <w:b/>
        </w:rPr>
        <w:t>00056/VIALLEN/IP/2025</w:t>
      </w:r>
      <w:r w:rsidRPr="002C3A49">
        <w:rPr>
          <w:rFonts w:ascii="Palatino Linotype" w:eastAsia="Palatino Linotype" w:hAnsi="Palatino Linotype" w:cs="Palatino Linotype"/>
        </w:rPr>
        <w:t>,</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mediante la cual solicitó la siguiente información:</w:t>
      </w:r>
    </w:p>
    <w:p w14:paraId="1CEF5D7E" w14:textId="5E91134B" w:rsidR="00ED4BF8" w:rsidRPr="002C3A49" w:rsidRDefault="00ED4BF8" w:rsidP="00D84010">
      <w:pPr>
        <w:spacing w:before="240" w:after="240" w:line="276"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00BA743A" w:rsidRPr="002C3A49">
        <w:rPr>
          <w:rFonts w:ascii="Palatino Linotype" w:eastAsia="Palatino Linotype" w:hAnsi="Palatino Linotype" w:cs="Palatino Linotype"/>
          <w:i/>
        </w:rPr>
        <w:t>REQUIERO CONOCER EL CONSUMO DE COMBUSTIBLE DEL SECRETARIO DEL AYUNTAMIENTO ASI COMO BITACORAS DE COMBUSTIBLE Y DOCUMENTALES QUE AMPAREN EL SUMINISTRO Y GASTO CON CARGO AL HERARIO PUBLICO DEL AREA, TALES COMO OFICIOS DE COMISION, INVITACIONES A EVENTOS QUE COMPRUEBEN EL SUMINISTRO Y CONSUMO Y GASTO DE SU SALIDAS</w:t>
      </w:r>
      <w:r w:rsidR="008117F1" w:rsidRPr="002C3A49">
        <w:rPr>
          <w:rFonts w:ascii="Palatino Linotype" w:eastAsia="Palatino Linotype" w:hAnsi="Palatino Linotype" w:cs="Palatino Linotype"/>
          <w:i/>
        </w:rPr>
        <w:t>.</w:t>
      </w:r>
      <w:r w:rsidRPr="002C3A49">
        <w:rPr>
          <w:rFonts w:ascii="Palatino Linotype" w:eastAsia="Palatino Linotype" w:hAnsi="Palatino Linotype" w:cs="Palatino Linotype"/>
          <w:i/>
        </w:rPr>
        <w:t>” (Sic).</w:t>
      </w:r>
    </w:p>
    <w:p w14:paraId="79044662" w14:textId="77777777" w:rsidR="00ED4BF8" w:rsidRPr="002C3A49" w:rsidRDefault="00ED4BF8" w:rsidP="00D84010">
      <w:p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Modalidad de entrega: A través del </w:t>
      </w:r>
      <w:r w:rsidRPr="002C3A49">
        <w:rPr>
          <w:rFonts w:ascii="Palatino Linotype" w:eastAsia="Palatino Linotype" w:hAnsi="Palatino Linotype" w:cs="Palatino Linotype"/>
          <w:b/>
        </w:rPr>
        <w:t>SAIMEX</w:t>
      </w:r>
      <w:r w:rsidRPr="002C3A49">
        <w:rPr>
          <w:rFonts w:ascii="Palatino Linotype" w:eastAsia="Palatino Linotype" w:hAnsi="Palatino Linotype" w:cs="Palatino Linotype"/>
        </w:rPr>
        <w:t xml:space="preserve">. </w:t>
      </w:r>
    </w:p>
    <w:p w14:paraId="043AAC95" w14:textId="77777777" w:rsidR="00206057" w:rsidRPr="002C3A49" w:rsidRDefault="00206057" w:rsidP="00D84010">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 xml:space="preserve">2. Respuesta. </w:t>
      </w:r>
      <w:r w:rsidRPr="002C3A49">
        <w:rPr>
          <w:rFonts w:ascii="Palatino Linotype" w:eastAsia="Palatino Linotype" w:hAnsi="Palatino Linotype" w:cs="Palatino Linotype"/>
        </w:rPr>
        <w:t xml:space="preserve">De las constancias que obran en SAIMEX, se observa que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no emitió respuesta a la solicitud de información formulada por la persona solicitante.</w:t>
      </w:r>
    </w:p>
    <w:p w14:paraId="78E2C4AD" w14:textId="4A33228F" w:rsidR="00ED4BF8" w:rsidRPr="002C3A49" w:rsidRDefault="00ED4BF8" w:rsidP="00D84010">
      <w:pPr>
        <w:spacing w:before="240" w:after="240" w:line="360" w:lineRule="auto"/>
        <w:ind w:right="-234"/>
        <w:jc w:val="both"/>
        <w:rPr>
          <w:rFonts w:ascii="Palatino Linotype" w:eastAsia="Palatino Linotype" w:hAnsi="Palatino Linotype" w:cs="Palatino Linotype"/>
        </w:rPr>
      </w:pPr>
      <w:r w:rsidRPr="002C3A49">
        <w:rPr>
          <w:rFonts w:ascii="Palatino Linotype" w:eastAsia="Palatino Linotype" w:hAnsi="Palatino Linotype" w:cs="Palatino Linotype"/>
          <w:b/>
        </w:rPr>
        <w:lastRenderedPageBreak/>
        <w:t xml:space="preserve">3. </w:t>
      </w:r>
      <w:r w:rsidR="00E54B0B" w:rsidRPr="002C3A49">
        <w:rPr>
          <w:rFonts w:ascii="Palatino Linotype" w:eastAsia="Palatino Linotype" w:hAnsi="Palatino Linotype" w:cs="Palatino Linotype"/>
          <w:b/>
        </w:rPr>
        <w:t>Del Recurso de Revisión</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Inconforme con la</w:t>
      </w:r>
      <w:r w:rsidR="000149E9" w:rsidRPr="002C3A49">
        <w:rPr>
          <w:rFonts w:ascii="Palatino Linotype" w:eastAsia="Palatino Linotype" w:hAnsi="Palatino Linotype" w:cs="Palatino Linotype"/>
        </w:rPr>
        <w:t xml:space="preserve"> falta de</w:t>
      </w:r>
      <w:r w:rsidRPr="002C3A49">
        <w:rPr>
          <w:rFonts w:ascii="Palatino Linotype" w:eastAsia="Palatino Linotype" w:hAnsi="Palatino Linotype" w:cs="Palatino Linotype"/>
        </w:rPr>
        <w:t xml:space="preserve"> respuesta del</w:t>
      </w:r>
      <w:r w:rsidRPr="002C3A49">
        <w:rPr>
          <w:rFonts w:ascii="Palatino Linotype" w:eastAsia="Palatino Linotype" w:hAnsi="Palatino Linotype" w:cs="Palatino Linotype"/>
          <w:b/>
        </w:rPr>
        <w:t xml:space="preserve"> </w:t>
      </w:r>
      <w:r w:rsidR="00E54B0B"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en fecha </w:t>
      </w:r>
      <w:r w:rsidR="00206057" w:rsidRPr="002C3A49">
        <w:rPr>
          <w:rFonts w:ascii="Palatino Linotype" w:eastAsia="Palatino Linotype" w:hAnsi="Palatino Linotype" w:cs="Palatino Linotype"/>
          <w:b/>
        </w:rPr>
        <w:t>veintiocho de julio</w:t>
      </w:r>
      <w:r w:rsidR="00E54B0B" w:rsidRPr="002C3A49">
        <w:rPr>
          <w:rFonts w:ascii="Palatino Linotype" w:eastAsia="Palatino Linotype" w:hAnsi="Palatino Linotype" w:cs="Palatino Linotype"/>
          <w:b/>
        </w:rPr>
        <w:t xml:space="preserve"> de dos mil veinticinco</w:t>
      </w:r>
      <w:r w:rsidR="00E54B0B" w:rsidRPr="002C3A49">
        <w:rPr>
          <w:rFonts w:ascii="Palatino Linotype" w:eastAsia="Palatino Linotype" w:hAnsi="Palatino Linotype" w:cs="Palatino Linotype"/>
        </w:rPr>
        <w:t>, la parte</w:t>
      </w:r>
      <w:r w:rsidR="00E54B0B" w:rsidRPr="002C3A49">
        <w:rPr>
          <w:rFonts w:ascii="Palatino Linotype" w:eastAsia="Palatino Linotype" w:hAnsi="Palatino Linotype" w:cs="Palatino Linotype"/>
          <w:b/>
        </w:rPr>
        <w:t xml:space="preserve"> Recurrente </w:t>
      </w:r>
      <w:r w:rsidRPr="002C3A49">
        <w:rPr>
          <w:rFonts w:ascii="Palatino Linotype" w:eastAsia="Palatino Linotype" w:hAnsi="Palatino Linotype" w:cs="Palatino Linotype"/>
        </w:rPr>
        <w:t xml:space="preserve">interpuso el recurso de revisión, el cual fue </w:t>
      </w:r>
      <w:r w:rsidR="00206057" w:rsidRPr="002C3A49">
        <w:rPr>
          <w:rFonts w:ascii="Palatino Linotype" w:eastAsia="Palatino Linotype" w:hAnsi="Palatino Linotype" w:cs="Palatino Linotype"/>
        </w:rPr>
        <w:t xml:space="preserve">al ser presentado en día inhábil se tuvo por </w:t>
      </w:r>
      <w:r w:rsidRPr="002C3A49">
        <w:rPr>
          <w:rFonts w:ascii="Palatino Linotype" w:eastAsia="Palatino Linotype" w:hAnsi="Palatino Linotype" w:cs="Palatino Linotype"/>
        </w:rPr>
        <w:t>registrado</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en el sistema electrónico </w:t>
      </w:r>
      <w:r w:rsidR="00206057" w:rsidRPr="002C3A49">
        <w:rPr>
          <w:rFonts w:ascii="Palatino Linotype" w:eastAsia="Palatino Linotype" w:hAnsi="Palatino Linotype" w:cs="Palatino Linotype"/>
        </w:rPr>
        <w:t xml:space="preserve">el día </w:t>
      </w:r>
      <w:r w:rsidR="00206057" w:rsidRPr="002C3A49">
        <w:rPr>
          <w:rFonts w:ascii="Palatino Linotype" w:eastAsia="Palatino Linotype" w:hAnsi="Palatino Linotype" w:cs="Palatino Linotype"/>
          <w:b/>
          <w:bCs/>
        </w:rPr>
        <w:t xml:space="preserve">cuatro de agosto de dos mil </w:t>
      </w:r>
      <w:r w:rsidR="00D84010" w:rsidRPr="002C3A49">
        <w:rPr>
          <w:rFonts w:ascii="Palatino Linotype" w:eastAsia="Palatino Linotype" w:hAnsi="Palatino Linotype" w:cs="Palatino Linotype"/>
          <w:b/>
          <w:bCs/>
        </w:rPr>
        <w:t>veinticinco</w:t>
      </w:r>
      <w:r w:rsidR="00206057"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rPr>
        <w:t xml:space="preserve">con el expediente número </w:t>
      </w:r>
      <w:r w:rsidR="00206057" w:rsidRPr="002C3A49">
        <w:rPr>
          <w:rFonts w:ascii="Palatino Linotype" w:eastAsia="Palatino Linotype" w:hAnsi="Palatino Linotype" w:cs="Palatino Linotype"/>
          <w:b/>
        </w:rPr>
        <w:t>09084</w:t>
      </w:r>
      <w:r w:rsidRPr="002C3A49">
        <w:rPr>
          <w:rFonts w:ascii="Palatino Linotype" w:eastAsia="Palatino Linotype" w:hAnsi="Palatino Linotype" w:cs="Palatino Linotype"/>
          <w:b/>
        </w:rPr>
        <w:t>/INFOEM/IP/RR/2025</w:t>
      </w:r>
      <w:r w:rsidRPr="002C3A49">
        <w:rPr>
          <w:rFonts w:ascii="Palatino Linotype" w:eastAsia="Palatino Linotype" w:hAnsi="Palatino Linotype" w:cs="Palatino Linotype"/>
        </w:rPr>
        <w:t>, en el cual manifiesta, lo siguiente:</w:t>
      </w:r>
    </w:p>
    <w:p w14:paraId="4FB94620" w14:textId="77777777" w:rsidR="00ED4BF8" w:rsidRPr="002C3A49" w:rsidRDefault="00ED4BF8" w:rsidP="00D84010">
      <w:pPr>
        <w:numPr>
          <w:ilvl w:val="0"/>
          <w:numId w:val="1"/>
        </w:numPr>
        <w:pBdr>
          <w:top w:val="nil"/>
          <w:left w:val="nil"/>
          <w:bottom w:val="nil"/>
          <w:right w:val="nil"/>
          <w:between w:val="nil"/>
        </w:pBdr>
        <w:spacing w:before="240" w:after="240" w:line="360" w:lineRule="auto"/>
        <w:ind w:left="851" w:right="616"/>
        <w:jc w:val="both"/>
        <w:rPr>
          <w:rFonts w:ascii="Palatino Linotype" w:eastAsia="Palatino Linotype" w:hAnsi="Palatino Linotype" w:cs="Palatino Linotype"/>
          <w:b/>
          <w:i/>
        </w:rPr>
      </w:pPr>
      <w:r w:rsidRPr="002C3A49">
        <w:rPr>
          <w:rFonts w:ascii="Palatino Linotype" w:eastAsia="Palatino Linotype" w:hAnsi="Palatino Linotype" w:cs="Palatino Linotype"/>
          <w:b/>
          <w:i/>
        </w:rPr>
        <w:t>Acto Impugnado:</w:t>
      </w:r>
    </w:p>
    <w:p w14:paraId="2A622B72" w14:textId="681A14C0" w:rsidR="00ED4BF8" w:rsidRPr="002C3A49" w:rsidRDefault="00ED4BF8" w:rsidP="00D84010">
      <w:pPr>
        <w:tabs>
          <w:tab w:val="left" w:pos="8222"/>
        </w:tabs>
        <w:spacing w:before="240" w:after="240" w:line="276"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00206057" w:rsidRPr="002C3A49">
        <w:rPr>
          <w:rFonts w:ascii="Palatino Linotype" w:eastAsia="Palatino Linotype" w:hAnsi="Palatino Linotype" w:cs="Palatino Linotype"/>
          <w:i/>
        </w:rPr>
        <w:t>NEGATIVA DE LA INFORMACION SOLICITADA POR PARTE DEL SUJETO OBLIGADO: REQUIERO CONOCER EL CONSUMO DE COMBUSTIBLE DEL SECRETARIO DEL AYUNTAMIENTO ASI COMO BITACORAS DE COMBUSTIBLE Y DOCUMENTALES QUE AMPAREN EL SUMINISTRO Y GASTO CON CARGO AL HERARIO PUBLICO DEL AREA, TALES COMO OFICIOS DE COMISION, INVITACIONES A EVENTOS QUE COMPRUEBEN EL SUMINISTRO Y CONSUMO Y GASTO DE SU SALIDAS</w:t>
      </w:r>
      <w:r w:rsidRPr="002C3A49">
        <w:rPr>
          <w:rFonts w:ascii="Palatino Linotype" w:eastAsia="Palatino Linotype" w:hAnsi="Palatino Linotype" w:cs="Palatino Linotype"/>
          <w:i/>
        </w:rPr>
        <w:t>.” [sic]</w:t>
      </w:r>
    </w:p>
    <w:p w14:paraId="3BF588C7" w14:textId="77777777" w:rsidR="00ED4BF8" w:rsidRPr="002C3A49" w:rsidRDefault="00ED4BF8" w:rsidP="00D84010">
      <w:pPr>
        <w:numPr>
          <w:ilvl w:val="0"/>
          <w:numId w:val="1"/>
        </w:numPr>
        <w:pBdr>
          <w:top w:val="nil"/>
          <w:left w:val="nil"/>
          <w:bottom w:val="nil"/>
          <w:right w:val="nil"/>
          <w:between w:val="nil"/>
        </w:pBdr>
        <w:spacing w:before="240" w:after="240" w:line="360" w:lineRule="auto"/>
        <w:ind w:left="851" w:right="616"/>
        <w:rPr>
          <w:rFonts w:ascii="Palatino Linotype" w:eastAsia="Palatino Linotype" w:hAnsi="Palatino Linotype" w:cs="Palatino Linotype"/>
          <w:i/>
        </w:rPr>
      </w:pPr>
      <w:r w:rsidRPr="002C3A49">
        <w:rPr>
          <w:rFonts w:ascii="Palatino Linotype" w:eastAsia="Palatino Linotype" w:hAnsi="Palatino Linotype" w:cs="Palatino Linotype"/>
          <w:b/>
          <w:i/>
        </w:rPr>
        <w:t>Razones o Motivos de Inconformidad</w:t>
      </w:r>
      <w:r w:rsidRPr="002C3A49">
        <w:rPr>
          <w:rFonts w:ascii="Palatino Linotype" w:eastAsia="Palatino Linotype" w:hAnsi="Palatino Linotype" w:cs="Palatino Linotype"/>
          <w:i/>
        </w:rPr>
        <w:t>:</w:t>
      </w:r>
    </w:p>
    <w:p w14:paraId="1FA65566" w14:textId="752ABBE4" w:rsidR="00ED4BF8" w:rsidRPr="002C3A49" w:rsidRDefault="00ED4BF8" w:rsidP="00D84010">
      <w:pPr>
        <w:spacing w:before="240" w:after="240" w:line="276"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00206057" w:rsidRPr="002C3A49">
        <w:rPr>
          <w:rFonts w:ascii="Palatino Linotype" w:eastAsia="Palatino Linotype" w:hAnsi="Palatino Linotype" w:cs="Palatino Linotype"/>
          <w:i/>
        </w:rPr>
        <w:t>EL SUJETO OBLIGADO SE NIEGA O EN SU CASO OCULTA LA INFORMACCION SOLICTADA</w:t>
      </w:r>
      <w:r w:rsidRPr="002C3A49">
        <w:rPr>
          <w:rFonts w:ascii="Palatino Linotype" w:eastAsia="Palatino Linotype" w:hAnsi="Palatino Linotype" w:cs="Palatino Linotype"/>
          <w:i/>
        </w:rPr>
        <w:t>” [sic]</w:t>
      </w:r>
    </w:p>
    <w:p w14:paraId="5E17AAD0" w14:textId="77777777" w:rsidR="00ED4BF8" w:rsidRPr="002C3A49" w:rsidRDefault="00ED4BF8"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4. </w:t>
      </w:r>
      <w:r w:rsidR="00E54B0B" w:rsidRPr="002C3A49">
        <w:rPr>
          <w:rFonts w:ascii="Palatino Linotype" w:eastAsia="Palatino Linotype" w:hAnsi="Palatino Linotype" w:cs="Palatino Linotype"/>
          <w:b/>
        </w:rPr>
        <w:t>Turno</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2C3A49">
        <w:rPr>
          <w:rFonts w:ascii="Palatino Linotype" w:eastAsia="Palatino Linotype" w:hAnsi="Palatino Linotype" w:cs="Palatino Linotype"/>
          <w:b/>
        </w:rPr>
        <w:t xml:space="preserve">Guadalupe Ramírez Peña, </w:t>
      </w:r>
      <w:r w:rsidRPr="002C3A49">
        <w:rPr>
          <w:rFonts w:ascii="Palatino Linotype" w:eastAsia="Palatino Linotype" w:hAnsi="Palatino Linotype" w:cs="Palatino Linotype"/>
        </w:rPr>
        <w:t>a efecto de que analizara sobre su admisión o su desechamiento.</w:t>
      </w:r>
    </w:p>
    <w:p w14:paraId="150A6081" w14:textId="4A24F514" w:rsidR="00D84010" w:rsidRPr="002C3A49" w:rsidRDefault="00ED4BF8"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5. </w:t>
      </w:r>
      <w:r w:rsidR="00E54B0B" w:rsidRPr="002C3A49">
        <w:rPr>
          <w:rFonts w:ascii="Palatino Linotype" w:eastAsia="Palatino Linotype" w:hAnsi="Palatino Linotype" w:cs="Palatino Linotype"/>
          <w:b/>
        </w:rPr>
        <w:t>Admisión del Recurso de Revisión</w:t>
      </w:r>
      <w:r w:rsidRPr="002C3A49">
        <w:rPr>
          <w:rFonts w:ascii="Palatino Linotype" w:eastAsia="Palatino Linotype" w:hAnsi="Palatino Linotype" w:cs="Palatino Linotype"/>
          <w:b/>
        </w:rPr>
        <w:t>.</w:t>
      </w:r>
      <w:r w:rsidRPr="002C3A49">
        <w:rPr>
          <w:rFonts w:ascii="Palatino Linotype" w:eastAsia="Palatino Linotype" w:hAnsi="Palatino Linotype" w:cs="Palatino Linotype"/>
        </w:rPr>
        <w:t xml:space="preserve"> Con fecha</w:t>
      </w:r>
      <w:r w:rsidR="00C712D4" w:rsidRPr="002C3A49">
        <w:rPr>
          <w:rFonts w:ascii="Palatino Linotype" w:eastAsia="Palatino Linotype" w:hAnsi="Palatino Linotype" w:cs="Palatino Linotype"/>
          <w:b/>
        </w:rPr>
        <w:t xml:space="preserve"> </w:t>
      </w:r>
      <w:r w:rsidR="00206057" w:rsidRPr="002C3A49">
        <w:rPr>
          <w:rFonts w:ascii="Palatino Linotype" w:eastAsia="Palatino Linotype" w:hAnsi="Palatino Linotype" w:cs="Palatino Linotype"/>
          <w:b/>
        </w:rPr>
        <w:t>ocho de agosto</w:t>
      </w:r>
      <w:r w:rsidR="00E54B0B"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b/>
        </w:rPr>
        <w:t>de dos mil veinticinco</w:t>
      </w:r>
      <w:r w:rsidRPr="002C3A49">
        <w:rPr>
          <w:rFonts w:ascii="Palatino Linotype" w:eastAsia="Palatino Linotype" w:hAnsi="Palatino Linotype" w:cs="Palatino Linotype"/>
        </w:rPr>
        <w:t>,</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w:t>
      </w:r>
      <w:r w:rsidRPr="002C3A49">
        <w:rPr>
          <w:rFonts w:ascii="Palatino Linotype" w:eastAsia="Palatino Linotype" w:hAnsi="Palatino Linotype" w:cs="Palatino Linotype"/>
        </w:rPr>
        <w:lastRenderedPageBreak/>
        <w:t xml:space="preserve">manifestaran lo que a su derecho resultara conveniente, ofrecieran pruebas, formularan alegatos y </w:t>
      </w:r>
      <w:r w:rsidR="00E54B0B" w:rsidRPr="002C3A49">
        <w:rPr>
          <w:rFonts w:ascii="Palatino Linotype" w:eastAsia="Palatino Linotype" w:hAnsi="Palatino Linotype" w:cs="Palatino Linotype"/>
        </w:rPr>
        <w:t>el</w:t>
      </w:r>
      <w:r w:rsidRPr="002C3A49">
        <w:rPr>
          <w:rFonts w:ascii="Palatino Linotype" w:eastAsia="Palatino Linotype" w:hAnsi="Palatino Linotype" w:cs="Palatino Linotype"/>
          <w:b/>
        </w:rPr>
        <w:t xml:space="preserve"> </w:t>
      </w:r>
      <w:r w:rsidR="00E54B0B" w:rsidRPr="002C3A49">
        <w:rPr>
          <w:rFonts w:ascii="Palatino Linotype" w:eastAsia="Palatino Linotype" w:hAnsi="Palatino Linotype" w:cs="Palatino Linotype"/>
          <w:b/>
        </w:rPr>
        <w:t xml:space="preserve">Sujeto Obligado </w:t>
      </w:r>
      <w:r w:rsidRPr="002C3A49">
        <w:rPr>
          <w:rFonts w:ascii="Palatino Linotype" w:eastAsia="Palatino Linotype" w:hAnsi="Palatino Linotype" w:cs="Palatino Linotype"/>
        </w:rPr>
        <w:t>presentará su informe justificado.</w:t>
      </w:r>
    </w:p>
    <w:p w14:paraId="00B734BF" w14:textId="6273D4F9" w:rsidR="00206057" w:rsidRPr="002C3A49" w:rsidRDefault="00ED4BF8" w:rsidP="00D84010">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6. </w:t>
      </w:r>
      <w:r w:rsidR="00E54B0B" w:rsidRPr="002C3A49">
        <w:rPr>
          <w:rFonts w:ascii="Palatino Linotype" w:eastAsia="Palatino Linotype" w:hAnsi="Palatino Linotype" w:cs="Palatino Linotype"/>
          <w:b/>
        </w:rPr>
        <w:t>Manifestaciones</w:t>
      </w:r>
      <w:r w:rsidRPr="002C3A49">
        <w:rPr>
          <w:rFonts w:ascii="Palatino Linotype" w:eastAsia="Palatino Linotype" w:hAnsi="Palatino Linotype" w:cs="Palatino Linotype"/>
          <w:b/>
        </w:rPr>
        <w:t>.</w:t>
      </w:r>
      <w:r w:rsidR="00A9421D" w:rsidRPr="002C3A49">
        <w:rPr>
          <w:rFonts w:ascii="Palatino Linotype" w:eastAsia="Palatino Linotype" w:hAnsi="Palatino Linotype" w:cs="Palatino Linotype"/>
        </w:rPr>
        <w:t xml:space="preserve"> </w:t>
      </w:r>
      <w:r w:rsidR="00206057" w:rsidRPr="002C3A49">
        <w:rPr>
          <w:rFonts w:ascii="Palatino Linotype" w:eastAsia="Palatino Linotype" w:hAnsi="Palatino Linotype" w:cs="Palatino Linotype"/>
        </w:rPr>
        <w:t xml:space="preserve">De las constancias que integran el expediente en que se actúa, se advierte que, durante el periodo de manifestaciones, el </w:t>
      </w:r>
      <w:r w:rsidR="00206057" w:rsidRPr="002C3A49">
        <w:rPr>
          <w:rFonts w:ascii="Palatino Linotype" w:eastAsia="Palatino Linotype" w:hAnsi="Palatino Linotype" w:cs="Palatino Linotype"/>
          <w:b/>
        </w:rPr>
        <w:t xml:space="preserve">Sujeto Obligado </w:t>
      </w:r>
      <w:r w:rsidR="00206057" w:rsidRPr="002C3A49">
        <w:rPr>
          <w:rFonts w:ascii="Palatino Linotype" w:eastAsia="Palatino Linotype" w:hAnsi="Palatino Linotype" w:cs="Palatino Linotype"/>
        </w:rPr>
        <w:t xml:space="preserve">rindió informe justificado en fecha </w:t>
      </w:r>
      <w:r w:rsidR="00206057" w:rsidRPr="002C3A49">
        <w:rPr>
          <w:rFonts w:ascii="Palatino Linotype" w:eastAsia="Palatino Linotype" w:hAnsi="Palatino Linotype" w:cs="Palatino Linotype"/>
          <w:b/>
        </w:rPr>
        <w:t xml:space="preserve">catorce de noviembre de dos mil veinticinco, </w:t>
      </w:r>
      <w:r w:rsidR="00206057" w:rsidRPr="002C3A49">
        <w:rPr>
          <w:rFonts w:ascii="Palatino Linotype" w:eastAsia="Palatino Linotype" w:hAnsi="Palatino Linotype" w:cs="Palatino Linotype"/>
        </w:rPr>
        <w:t>a través de la información siguiente:</w:t>
      </w:r>
    </w:p>
    <w:p w14:paraId="0F6F3A03" w14:textId="7619C642" w:rsidR="00206057" w:rsidRPr="002C3A49" w:rsidRDefault="00206057" w:rsidP="00D84010">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b/>
          <w:bCs/>
          <w:i/>
          <w:iCs/>
        </w:rPr>
      </w:pPr>
      <w:r w:rsidRPr="002C3A49">
        <w:rPr>
          <w:rFonts w:ascii="Palatino Linotype" w:eastAsia="Palatino Linotype" w:hAnsi="Palatino Linotype" w:cs="Palatino Linotype"/>
          <w:b/>
          <w:bCs/>
          <w:i/>
          <w:iCs/>
        </w:rPr>
        <w:t xml:space="preserve">Respuesta solicitud 056-2025.pdf. </w:t>
      </w:r>
    </w:p>
    <w:p w14:paraId="4B5A217E" w14:textId="7B1E4CDB" w:rsidR="00D27D7D" w:rsidRPr="002C3A49" w:rsidRDefault="00206057" w:rsidP="00D84010">
      <w:pPr>
        <w:pStyle w:val="Prrafodelista"/>
        <w:numPr>
          <w:ilvl w:val="0"/>
          <w:numId w:val="9"/>
        </w:num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 Anexa oficio de la Titular de la Unidad de Transparencia quien refiere que en relación a la solicitud de información se presentó al Comité de Transparencia la respuesta por parte de la Tesorería Municipal (en el oficio se refiere el número correcto de la solicitud, pero la transcripción de la solicitud no corresponde con la del expediente en análisis.) </w:t>
      </w:r>
    </w:p>
    <w:p w14:paraId="55113029" w14:textId="374E1961" w:rsidR="00206057" w:rsidRPr="002C3A49" w:rsidRDefault="00206057" w:rsidP="00D84010">
      <w:pPr>
        <w:pStyle w:val="Prrafodelista"/>
        <w:numPr>
          <w:ilvl w:val="0"/>
          <w:numId w:val="9"/>
        </w:num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Acta de la Octava Sesión Extraordinaria del Comité de Transparencia, a través de la cual </w:t>
      </w:r>
      <w:r w:rsidR="00D27D7D" w:rsidRPr="002C3A49">
        <w:rPr>
          <w:rFonts w:ascii="Palatino Linotype" w:eastAsia="Palatino Linotype" w:hAnsi="Palatino Linotype" w:cs="Palatino Linotype"/>
        </w:rPr>
        <w:t>en el punto 11 del orden del día se aborda el cambio de modalidad a consulta directa de la información relacionada con la solicitud del expediente en análisis, bajo el argumento de que la información podría ocasionar una afectación en su esfera profesional o profesional y que contiene datos sensibles sobre rutas consumos, horarios, comisiones oficiales y movimientos de combustible que pudieran poner en riesgo la seguridad e integridad del servidor público, tal como se advierte a continuación:</w:t>
      </w:r>
    </w:p>
    <w:p w14:paraId="5688EFCE" w14:textId="50DCEB69" w:rsidR="00D27D7D" w:rsidRPr="002C3A49" w:rsidRDefault="00D27D7D" w:rsidP="00D84010">
      <w:pPr>
        <w:pStyle w:val="Prrafodelista"/>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noProof/>
          <w:lang w:eastAsia="es-MX"/>
        </w:rPr>
        <w:drawing>
          <wp:inline distT="0" distB="0" distL="0" distR="0" wp14:anchorId="46400AF0" wp14:editId="09B3338D">
            <wp:extent cx="5612130" cy="398780"/>
            <wp:effectExtent l="0" t="0" r="762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612130" cy="398780"/>
                    </a:xfrm>
                    <a:prstGeom prst="rect">
                      <a:avLst/>
                    </a:prstGeom>
                  </pic:spPr>
                </pic:pic>
              </a:graphicData>
            </a:graphic>
          </wp:inline>
        </w:drawing>
      </w:r>
    </w:p>
    <w:p w14:paraId="369725A6" w14:textId="2B557B4C" w:rsidR="00D27D7D" w:rsidRPr="002C3A49" w:rsidRDefault="00D27D7D" w:rsidP="00D84010">
      <w:pPr>
        <w:pStyle w:val="Prrafodelista"/>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noProof/>
          <w:lang w:eastAsia="es-MX"/>
        </w:rPr>
        <w:lastRenderedPageBreak/>
        <w:drawing>
          <wp:inline distT="0" distB="0" distL="0" distR="0" wp14:anchorId="6CA3A3D5" wp14:editId="3BD667B6">
            <wp:extent cx="5612130" cy="1422400"/>
            <wp:effectExtent l="0" t="0" r="7620"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22400"/>
                    </a:xfrm>
                    <a:prstGeom prst="rect">
                      <a:avLst/>
                    </a:prstGeom>
                  </pic:spPr>
                </pic:pic>
              </a:graphicData>
            </a:graphic>
          </wp:inline>
        </w:drawing>
      </w:r>
    </w:p>
    <w:p w14:paraId="0967E5B5" w14:textId="7440EE58" w:rsidR="00D27D7D" w:rsidRPr="002C3A49" w:rsidRDefault="00D27D7D" w:rsidP="00D84010">
      <w:pPr>
        <w:pStyle w:val="Prrafodelista"/>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noProof/>
          <w:lang w:eastAsia="es-MX"/>
        </w:rPr>
        <w:drawing>
          <wp:inline distT="0" distB="0" distL="0" distR="0" wp14:anchorId="7A04911D" wp14:editId="46CE503A">
            <wp:extent cx="5612130" cy="339407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3394075"/>
                    </a:xfrm>
                    <a:prstGeom prst="rect">
                      <a:avLst/>
                    </a:prstGeom>
                  </pic:spPr>
                </pic:pic>
              </a:graphicData>
            </a:graphic>
          </wp:inline>
        </w:drawing>
      </w:r>
    </w:p>
    <w:p w14:paraId="056E81F5" w14:textId="77777777" w:rsidR="00206057" w:rsidRPr="002C3A49" w:rsidRDefault="00206057" w:rsidP="00D84010">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Documento el anterior que fue puesto a la vista de la parte </w:t>
      </w:r>
      <w:r w:rsidRPr="002C3A49">
        <w:rPr>
          <w:rFonts w:ascii="Palatino Linotype" w:eastAsia="Palatino Linotype" w:hAnsi="Palatino Linotype" w:cs="Palatino Linotype"/>
          <w:b/>
        </w:rPr>
        <w:t xml:space="preserve">Recurrente </w:t>
      </w:r>
      <w:r w:rsidRPr="002C3A49">
        <w:rPr>
          <w:rFonts w:ascii="Palatino Linotype" w:eastAsia="Palatino Linotype" w:hAnsi="Palatino Linotype" w:cs="Palatino Linotype"/>
        </w:rPr>
        <w:t>para efecto de que hiciera valer sus manifestaciones o rindiera alegatos que conforme a derecho resultaran procedentes; no obstante, fue omisa en ejercer dicha prerrogativa.</w:t>
      </w:r>
    </w:p>
    <w:p w14:paraId="7699C837" w14:textId="465C159F" w:rsidR="00206057" w:rsidRPr="002C3A49" w:rsidRDefault="00206057" w:rsidP="00D84010">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b/>
        </w:rPr>
        <w:t>7. Ampliación del término para resolver</w:t>
      </w:r>
      <w:r w:rsidRPr="002C3A49">
        <w:rPr>
          <w:rFonts w:ascii="Palatino Linotype" w:eastAsia="Palatino Linotype" w:hAnsi="Palatino Linotype" w:cs="Palatino Linotype"/>
        </w:rPr>
        <w:t xml:space="preserve">. Mediante acuerdo del </w:t>
      </w:r>
      <w:r w:rsidR="002110E8" w:rsidRPr="002C3A49">
        <w:rPr>
          <w:rFonts w:ascii="Palatino Linotype" w:eastAsia="Palatino Linotype" w:hAnsi="Palatino Linotype" w:cs="Palatino Linotype"/>
          <w:b/>
        </w:rPr>
        <w:t>doce</w:t>
      </w:r>
      <w:r w:rsidR="00D27D7D" w:rsidRPr="002C3A49">
        <w:rPr>
          <w:rFonts w:ascii="Palatino Linotype" w:eastAsia="Palatino Linotype" w:hAnsi="Palatino Linotype" w:cs="Palatino Linotype"/>
          <w:b/>
        </w:rPr>
        <w:t xml:space="preserve"> de marzo</w:t>
      </w:r>
      <w:r w:rsidRPr="002C3A49">
        <w:rPr>
          <w:rFonts w:ascii="Palatino Linotype" w:eastAsia="Palatino Linotype" w:hAnsi="Palatino Linotype" w:cs="Palatino Linotype"/>
          <w:b/>
        </w:rPr>
        <w:t xml:space="preserve"> de dos mil </w:t>
      </w:r>
      <w:r w:rsidR="00D27D7D" w:rsidRPr="002C3A49">
        <w:rPr>
          <w:rFonts w:ascii="Palatino Linotype" w:eastAsia="Palatino Linotype" w:hAnsi="Palatino Linotype" w:cs="Palatino Linotype"/>
          <w:b/>
        </w:rPr>
        <w:t>veintiséis</w:t>
      </w:r>
      <w:r w:rsidRPr="002C3A49">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04A2E42A" w14:textId="77777777" w:rsidR="00206057" w:rsidRPr="002C3A49" w:rsidRDefault="00206057" w:rsidP="00D84010">
      <w:pPr>
        <w:pBdr>
          <w:top w:val="nil"/>
          <w:left w:val="nil"/>
          <w:bottom w:val="nil"/>
          <w:right w:val="nil"/>
          <w:between w:val="nil"/>
        </w:pBdr>
        <w:tabs>
          <w:tab w:val="left" w:pos="284"/>
        </w:tabs>
        <w:spacing w:before="240" w:after="240" w:line="360" w:lineRule="auto"/>
        <w:ind w:right="49"/>
        <w:jc w:val="both"/>
        <w:rPr>
          <w:rFonts w:ascii="Palatino Linotype" w:eastAsia="Palatino Linotype" w:hAnsi="Palatino Linotype" w:cs="Palatino Linotype"/>
        </w:rPr>
      </w:pPr>
    </w:p>
    <w:p w14:paraId="7817D9C6"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1B3CB035"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62012DF"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EAA021E"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8F5D8CD" w14:textId="77777777" w:rsidR="00206057" w:rsidRPr="002C3A49" w:rsidRDefault="00206057" w:rsidP="00D84010">
      <w:pPr>
        <w:spacing w:before="240" w:after="240" w:line="360" w:lineRule="auto"/>
        <w:jc w:val="both"/>
        <w:rPr>
          <w:rFonts w:ascii="Palatino Linotype" w:eastAsia="Palatino Linotype" w:hAnsi="Palatino Linotype" w:cs="Palatino Linotype"/>
          <w:strike/>
        </w:rPr>
      </w:pPr>
      <w:r w:rsidRPr="002C3A49">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F405CF7" w14:textId="77777777" w:rsidR="00206057" w:rsidRPr="002C3A49" w:rsidRDefault="00206057" w:rsidP="00D84010">
      <w:pPr>
        <w:numPr>
          <w:ilvl w:val="0"/>
          <w:numId w:val="10"/>
        </w:numPr>
        <w:spacing w:before="240" w:after="240" w:line="360" w:lineRule="auto"/>
        <w:ind w:hanging="360"/>
        <w:jc w:val="both"/>
        <w:rPr>
          <w:rFonts w:ascii="Palatino Linotype" w:eastAsia="Palatino Linotype" w:hAnsi="Palatino Linotype" w:cs="Palatino Linotype"/>
        </w:rPr>
      </w:pPr>
      <w:r w:rsidRPr="002C3A49">
        <w:rPr>
          <w:rFonts w:ascii="Palatino Linotype" w:eastAsia="Palatino Linotype" w:hAnsi="Palatino Linotype" w:cs="Palatino Linotype"/>
          <w:b/>
        </w:rPr>
        <w:t>Complejidad del Asunto:</w:t>
      </w:r>
      <w:r w:rsidRPr="002C3A49">
        <w:rPr>
          <w:rFonts w:ascii="Palatino Linotype" w:eastAsia="Palatino Linotype" w:hAnsi="Palatino Linotype" w:cs="Palatino Linotype"/>
        </w:rPr>
        <w:t xml:space="preserve"> La complejidad de la prueba, la pluralidad de sujetos procesales, el tiempo transcurrido, las características y contexto del recurso. </w:t>
      </w:r>
    </w:p>
    <w:p w14:paraId="42EFC9D1" w14:textId="77777777" w:rsidR="00206057" w:rsidRPr="002C3A49" w:rsidRDefault="00206057" w:rsidP="00D84010">
      <w:pPr>
        <w:numPr>
          <w:ilvl w:val="0"/>
          <w:numId w:val="10"/>
        </w:numPr>
        <w:spacing w:before="240" w:after="240" w:line="360" w:lineRule="auto"/>
        <w:ind w:hanging="360"/>
        <w:jc w:val="both"/>
        <w:rPr>
          <w:rFonts w:ascii="Palatino Linotype" w:eastAsia="Palatino Linotype" w:hAnsi="Palatino Linotype" w:cs="Palatino Linotype"/>
        </w:rPr>
      </w:pPr>
      <w:r w:rsidRPr="002C3A49">
        <w:rPr>
          <w:rFonts w:ascii="Palatino Linotype" w:eastAsia="Palatino Linotype" w:hAnsi="Palatino Linotype" w:cs="Palatino Linotype"/>
          <w:b/>
        </w:rPr>
        <w:t>Actividad Procesal del interesado.</w:t>
      </w:r>
      <w:r w:rsidRPr="002C3A49">
        <w:rPr>
          <w:rFonts w:ascii="Palatino Linotype" w:eastAsia="Palatino Linotype" w:hAnsi="Palatino Linotype" w:cs="Palatino Linotype"/>
        </w:rPr>
        <w:t xml:space="preserve"> Acciones u omisiones del interesado.</w:t>
      </w:r>
    </w:p>
    <w:p w14:paraId="156F9ECF" w14:textId="77777777" w:rsidR="00206057" w:rsidRPr="002C3A49" w:rsidRDefault="00206057" w:rsidP="00D84010">
      <w:pPr>
        <w:numPr>
          <w:ilvl w:val="0"/>
          <w:numId w:val="10"/>
        </w:numPr>
        <w:spacing w:before="240" w:after="240" w:line="360" w:lineRule="auto"/>
        <w:ind w:hanging="360"/>
        <w:jc w:val="both"/>
        <w:rPr>
          <w:rFonts w:ascii="Palatino Linotype" w:eastAsia="Palatino Linotype" w:hAnsi="Palatino Linotype" w:cs="Palatino Linotype"/>
        </w:rPr>
      </w:pPr>
      <w:r w:rsidRPr="002C3A49">
        <w:rPr>
          <w:rFonts w:ascii="Palatino Linotype" w:eastAsia="Palatino Linotype" w:hAnsi="Palatino Linotype" w:cs="Palatino Linotype"/>
          <w:b/>
        </w:rPr>
        <w:lastRenderedPageBreak/>
        <w:t>Conducta de la Autoridad:</w:t>
      </w:r>
      <w:r w:rsidRPr="002C3A49">
        <w:rPr>
          <w:rFonts w:ascii="Palatino Linotype" w:eastAsia="Palatino Linotype" w:hAnsi="Palatino Linotype" w:cs="Palatino Linotype"/>
        </w:rPr>
        <w:t xml:space="preserve"> Las Acciones u omisiones realizadas en el procedimiento. Así como si la autoridad actuó con la debida diligencia.</w:t>
      </w:r>
    </w:p>
    <w:p w14:paraId="172E52AD" w14:textId="77777777" w:rsidR="00206057" w:rsidRPr="002C3A49" w:rsidRDefault="00206057" w:rsidP="00D84010">
      <w:pPr>
        <w:numPr>
          <w:ilvl w:val="0"/>
          <w:numId w:val="10"/>
        </w:numPr>
        <w:spacing w:before="240" w:after="240" w:line="360" w:lineRule="auto"/>
        <w:ind w:hanging="360"/>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b/>
        </w:rPr>
        <w:t xml:space="preserve">La afectación generada en la situación jurídica de la persona involucrada en el proceso: </w:t>
      </w:r>
      <w:r w:rsidRPr="002C3A49">
        <w:rPr>
          <w:rFonts w:ascii="Palatino Linotype" w:eastAsia="Palatino Linotype" w:hAnsi="Palatino Linotype" w:cs="Palatino Linotype"/>
        </w:rPr>
        <w:t>Violación a sus derechos humanos.</w:t>
      </w:r>
    </w:p>
    <w:p w14:paraId="48BB38F6"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8717840" w14:textId="77777777" w:rsidR="00206057" w:rsidRPr="002C3A49" w:rsidRDefault="00206057" w:rsidP="00D84010">
      <w:pP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C3A49">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C3A49">
        <w:rPr>
          <w:rFonts w:ascii="Palatino Linotype" w:eastAsia="Palatino Linotype" w:hAnsi="Palatino Linotype" w:cs="Palatino Linotype"/>
        </w:rPr>
        <w:t>, visible en la Gaceta del Seminario Judicial de la Federación con el registro digital 205635.</w:t>
      </w:r>
    </w:p>
    <w:p w14:paraId="2AF94C10"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ED1AAA6" w14:textId="77777777"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70927681" w14:textId="77777777" w:rsidR="00206057" w:rsidRPr="002C3A49" w:rsidRDefault="00206057" w:rsidP="00D84010">
      <w:pPr>
        <w:spacing w:before="240" w:after="240" w:line="360" w:lineRule="auto"/>
        <w:ind w:left="567" w:right="616"/>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i/>
        </w:rPr>
        <w:t>“PLAZO RAZONABLE PARA RESOLVER. DIMENSIÓN Y EFECTOS DE ESTE CONCEPTO CUANDO SE ADUCE EXCESIVA CARGA DE TRABAJO.”</w:t>
      </w:r>
      <w:r w:rsidRPr="002C3A49">
        <w:rPr>
          <w:rFonts w:ascii="Palatino Linotype" w:eastAsia="Palatino Linotype" w:hAnsi="Palatino Linotype" w:cs="Palatino Linotype"/>
        </w:rPr>
        <w:t xml:space="preserve"> consultable en el Seminario Judicial de la Federación y su gaceta, con el registro digital 2002351.</w:t>
      </w:r>
    </w:p>
    <w:p w14:paraId="4EC5994D" w14:textId="77777777" w:rsidR="00206057" w:rsidRPr="002C3A49" w:rsidRDefault="00206057" w:rsidP="00D84010">
      <w:pPr>
        <w:spacing w:before="240" w:after="240" w:line="360" w:lineRule="auto"/>
        <w:ind w:left="567" w:right="616"/>
        <w:jc w:val="both"/>
        <w:rPr>
          <w:rFonts w:ascii="Palatino Linotype" w:eastAsia="Palatino Linotype" w:hAnsi="Palatino Linotype" w:cs="Palatino Linotype"/>
        </w:rPr>
      </w:pPr>
      <w:r w:rsidRPr="002C3A49">
        <w:rPr>
          <w:rFonts w:ascii="Palatino Linotype" w:eastAsia="Palatino Linotype" w:hAnsi="Palatino Linotype" w:cs="Palatino Linotype"/>
          <w:i/>
        </w:rPr>
        <w:t>“PLAZO RAZONABLE PARA RESOLVER. CONCEPTO Y ELEMENTOS QUE LO INTEGRAN A LA LUZ DEL DERECHO INTERNACIONAL DE LOS DERECHOS HUMANOS.”</w:t>
      </w:r>
      <w:r w:rsidRPr="002C3A49">
        <w:rPr>
          <w:rFonts w:ascii="Palatino Linotype" w:eastAsia="Palatino Linotype" w:hAnsi="Palatino Linotype" w:cs="Palatino Linotype"/>
        </w:rPr>
        <w:t>, visible en el Seminario Judicial de la Federación y su gaceta, con el registro digital 2002350.</w:t>
      </w:r>
    </w:p>
    <w:p w14:paraId="015A0C62" w14:textId="33D4F2E9" w:rsidR="00206057" w:rsidRPr="002C3A49" w:rsidRDefault="00206057"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39E31B4B" w14:textId="39188B97" w:rsidR="00A9421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8</w:t>
      </w:r>
      <w:r w:rsidR="00A9421D" w:rsidRPr="002C3A49">
        <w:rPr>
          <w:rFonts w:ascii="Palatino Linotype" w:eastAsia="Palatino Linotype" w:hAnsi="Palatino Linotype" w:cs="Palatino Linotype"/>
          <w:b/>
        </w:rPr>
        <w:t xml:space="preserve">. </w:t>
      </w:r>
      <w:r w:rsidR="00E54B0B" w:rsidRPr="002C3A49">
        <w:rPr>
          <w:rFonts w:ascii="Palatino Linotype" w:eastAsia="Palatino Linotype" w:hAnsi="Palatino Linotype" w:cs="Palatino Linotype"/>
          <w:b/>
        </w:rPr>
        <w:t>Cierre de Instrucción</w:t>
      </w:r>
      <w:r w:rsidR="00A9421D" w:rsidRPr="002C3A49">
        <w:rPr>
          <w:rFonts w:ascii="Palatino Linotype" w:eastAsia="Palatino Linotype" w:hAnsi="Palatino Linotype" w:cs="Palatino Linotype"/>
          <w:b/>
        </w:rPr>
        <w:t xml:space="preserve">. </w:t>
      </w:r>
      <w:r w:rsidR="00A9421D" w:rsidRPr="002C3A49">
        <w:rPr>
          <w:rFonts w:ascii="Palatino Linotype" w:eastAsia="Palatino Linotype" w:hAnsi="Palatino Linotype" w:cs="Palatino Linotype"/>
        </w:rPr>
        <w:t xml:space="preserve">El </w:t>
      </w:r>
      <w:r w:rsidRPr="002C3A49">
        <w:rPr>
          <w:rFonts w:ascii="Palatino Linotype" w:eastAsia="Palatino Linotype" w:hAnsi="Palatino Linotype" w:cs="Palatino Linotype"/>
          <w:b/>
        </w:rPr>
        <w:t>dieci</w:t>
      </w:r>
      <w:r w:rsidR="002110E8" w:rsidRPr="002C3A49">
        <w:rPr>
          <w:rFonts w:ascii="Palatino Linotype" w:eastAsia="Palatino Linotype" w:hAnsi="Palatino Linotype" w:cs="Palatino Linotype"/>
          <w:b/>
        </w:rPr>
        <w:t>nueve</w:t>
      </w:r>
      <w:r w:rsidRPr="002C3A49">
        <w:rPr>
          <w:rFonts w:ascii="Palatino Linotype" w:eastAsia="Palatino Linotype" w:hAnsi="Palatino Linotype" w:cs="Palatino Linotype"/>
          <w:b/>
        </w:rPr>
        <w:t xml:space="preserve"> de marzo</w:t>
      </w:r>
      <w:r w:rsidR="00E54B0B" w:rsidRPr="002C3A49">
        <w:rPr>
          <w:rFonts w:ascii="Palatino Linotype" w:eastAsia="Palatino Linotype" w:hAnsi="Palatino Linotype" w:cs="Palatino Linotype"/>
          <w:b/>
        </w:rPr>
        <w:t xml:space="preserve"> de dos mil veintiséis</w:t>
      </w:r>
      <w:r w:rsidR="00A9421D" w:rsidRPr="002C3A49">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4B009A13" w14:textId="77777777" w:rsidR="00A9421D" w:rsidRPr="002C3A49" w:rsidRDefault="00A9421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58666357" w14:textId="77777777" w:rsidR="006F032C" w:rsidRPr="002C3A49" w:rsidRDefault="006F032C" w:rsidP="00D84010">
      <w:pPr>
        <w:spacing w:before="240" w:after="240" w:line="360" w:lineRule="auto"/>
        <w:jc w:val="both"/>
        <w:rPr>
          <w:rFonts w:ascii="Palatino Linotype" w:eastAsia="Palatino Linotype" w:hAnsi="Palatino Linotype" w:cs="Palatino Linotype"/>
        </w:rPr>
      </w:pPr>
    </w:p>
    <w:p w14:paraId="01A1859C" w14:textId="77777777" w:rsidR="009E03A0" w:rsidRPr="002C3A49" w:rsidRDefault="009E03A0" w:rsidP="00D84010">
      <w:pPr>
        <w:widowControl w:val="0"/>
        <w:spacing w:before="240" w:after="240" w:line="360" w:lineRule="auto"/>
        <w:jc w:val="center"/>
        <w:rPr>
          <w:rFonts w:ascii="Palatino Linotype" w:eastAsia="Palatino Linotype" w:hAnsi="Palatino Linotype" w:cs="Palatino Linotype"/>
          <w:b/>
        </w:rPr>
      </w:pPr>
      <w:r w:rsidRPr="002C3A49">
        <w:rPr>
          <w:rFonts w:ascii="Palatino Linotype" w:eastAsia="Palatino Linotype" w:hAnsi="Palatino Linotype" w:cs="Palatino Linotype"/>
          <w:b/>
        </w:rPr>
        <w:lastRenderedPageBreak/>
        <w:t>C O N S I D E R A N D O S</w:t>
      </w:r>
    </w:p>
    <w:p w14:paraId="1502AAA7" w14:textId="2C1BFBEA" w:rsidR="009E03A0" w:rsidRPr="002C3A49" w:rsidRDefault="00E54B0B"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Primero. Competencia</w:t>
      </w:r>
      <w:r w:rsidR="009E03A0" w:rsidRPr="002C3A49">
        <w:rPr>
          <w:rFonts w:ascii="Palatino Linotype" w:eastAsia="Palatino Linotype" w:hAnsi="Palatino Linotype" w:cs="Palatino Linotype"/>
          <w:b/>
        </w:rPr>
        <w:t>.</w:t>
      </w:r>
      <w:r w:rsidR="009E03A0" w:rsidRPr="002C3A4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2C3A49">
        <w:rPr>
          <w:rFonts w:ascii="Palatino Linotype" w:eastAsia="Palatino Linotype" w:hAnsi="Palatino Linotype" w:cs="Palatino Linotype"/>
        </w:rPr>
        <w:t>cuadragésimo cuarto, cuadragé</w:t>
      </w:r>
      <w:r w:rsidR="00D84010" w:rsidRPr="002C3A49">
        <w:rPr>
          <w:rFonts w:ascii="Palatino Linotype" w:eastAsia="Palatino Linotype" w:hAnsi="Palatino Linotype" w:cs="Palatino Linotype"/>
        </w:rPr>
        <w:t>si</w:t>
      </w:r>
      <w:r w:rsidRPr="002C3A49">
        <w:rPr>
          <w:rFonts w:ascii="Palatino Linotype" w:eastAsia="Palatino Linotype" w:hAnsi="Palatino Linotype" w:cs="Palatino Linotype"/>
        </w:rPr>
        <w:t>mo quinto y cuadragésimo sexto, fracciones IV y V de la Constitución Política del Estado Libre y Soberano de México; Transitorio Cuarto, párrafo segundo del Decreto número 198 de la “LXII” Legislatura del Estado de México</w:t>
      </w:r>
      <w:r w:rsidR="009E03A0" w:rsidRPr="002C3A49">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D4FE7DE"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Segundo. Oportunidad y Procedibilidad. </w:t>
      </w:r>
      <w:r w:rsidRPr="002C3A49">
        <w:rPr>
          <w:rFonts w:ascii="Palatino Linotype" w:eastAsia="Palatino Linotype" w:hAnsi="Palatino Linotype" w:cs="Palatino Linotype"/>
        </w:rPr>
        <w:t>Es de precisar que la</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6D7F0896"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Pr="002C3A49">
        <w:rPr>
          <w:rFonts w:ascii="Palatino Linotype" w:eastAsia="Palatino Linotype" w:hAnsi="Palatino Linotype" w:cs="Palatino Linotype"/>
          <w:b/>
          <w:i/>
        </w:rPr>
        <w:t xml:space="preserve">Artículo 163. </w:t>
      </w:r>
      <w:r w:rsidRPr="002C3A49">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D7953A2"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p>
    <w:p w14:paraId="728A527A"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b/>
          <w:i/>
        </w:rPr>
        <w:t>Artículo 166.</w:t>
      </w:r>
      <w:r w:rsidRPr="002C3A49">
        <w:rPr>
          <w:rFonts w:ascii="Palatino Linotype" w:eastAsia="Palatino Linotype" w:hAnsi="Palatino Linotype" w:cs="Palatino Linotype"/>
          <w:i/>
        </w:rPr>
        <w:t xml:space="preserve"> […]</w:t>
      </w:r>
    </w:p>
    <w:p w14:paraId="3F8B105A"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t xml:space="preserve">Cuando el sujeto obligado no entregue la respuesta a la solicitud dentro del plazo previsto en la Ley, la solicitud se entenderá negada y el solicitante podrá interponer el recurso de revisión previsto en este ordenamiento.” </w:t>
      </w:r>
    </w:p>
    <w:p w14:paraId="54FF1440" w14:textId="77777777" w:rsidR="00D27D7D" w:rsidRPr="002C3A49" w:rsidRDefault="00D27D7D" w:rsidP="00D84010">
      <w:pPr>
        <w:spacing w:before="240" w:after="240" w:line="360" w:lineRule="auto"/>
        <w:jc w:val="both"/>
        <w:rPr>
          <w:rFonts w:ascii="Palatino Linotype" w:eastAsia="Palatino Linotype" w:hAnsi="Palatino Linotype" w:cs="Palatino Linotype"/>
        </w:rPr>
      </w:pPr>
    </w:p>
    <w:p w14:paraId="58B8C6FF"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lastRenderedPageBreak/>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14:paraId="5F7292CD"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668578AA"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Por su parte, el artículo 178 del citado ordenamiento, establece:</w:t>
      </w:r>
    </w:p>
    <w:p w14:paraId="3A51CC68"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Pr="002C3A49">
        <w:rPr>
          <w:rFonts w:ascii="Palatino Linotype" w:eastAsia="Palatino Linotype" w:hAnsi="Palatino Linotype" w:cs="Palatino Linotype"/>
          <w:b/>
          <w:i/>
        </w:rPr>
        <w:t xml:space="preserve">Artículo 178. </w:t>
      </w:r>
      <w:r w:rsidRPr="002C3A49">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F1B91E9"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5E454EAD"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2C3A49">
        <w:rPr>
          <w:rFonts w:ascii="Palatino Linotype" w:eastAsia="Palatino Linotype" w:hAnsi="Palatino Linotype" w:cs="Palatino Linotype"/>
          <w:b/>
        </w:rPr>
        <w:t xml:space="preserve">Sujeto Obligado </w:t>
      </w:r>
      <w:r w:rsidRPr="002C3A49">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1FB1C349"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La negativa ficta constituye una presunción legal, en el entendido de que donde no hubo respuesta por parte del </w:t>
      </w:r>
      <w:r w:rsidRPr="002C3A49">
        <w:rPr>
          <w:rFonts w:ascii="Palatino Linotype" w:eastAsia="Palatino Linotype" w:hAnsi="Palatino Linotype" w:cs="Palatino Linotype"/>
          <w:b/>
        </w:rPr>
        <w:t xml:space="preserve">Sujeto Obligado </w:t>
      </w:r>
      <w:r w:rsidRPr="002C3A49">
        <w:rPr>
          <w:rFonts w:ascii="Palatino Linotype" w:eastAsia="Palatino Linotype" w:hAnsi="Palatino Linotype" w:cs="Palatino Linotype"/>
        </w:rPr>
        <w:t xml:space="preserve">existe por lo tanto, una resolución de rechazo ante la solicitud del ciudadano; ya que efectivamente, dicha figura se encuentra íntimamente </w:t>
      </w:r>
      <w:r w:rsidRPr="002C3A49">
        <w:rPr>
          <w:rFonts w:ascii="Palatino Linotype" w:eastAsia="Palatino Linotype" w:hAnsi="Palatino Linotype" w:cs="Palatino Linotype"/>
        </w:rPr>
        <w:lastRenderedPageBreak/>
        <w:t>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14A0967D"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4C17AE3F" w14:textId="2399198C"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w:t>
      </w:r>
      <w:r w:rsidR="00D84010" w:rsidRPr="002C3A49">
        <w:rPr>
          <w:rFonts w:ascii="Palatino Linotype" w:eastAsia="Palatino Linotype" w:hAnsi="Palatino Linotype" w:cs="Palatino Linotype"/>
        </w:rPr>
        <w:t>e</w:t>
      </w:r>
      <w:r w:rsidRPr="002C3A49">
        <w:rPr>
          <w:rFonts w:ascii="Palatino Linotype" w:eastAsia="Palatino Linotype" w:hAnsi="Palatino Linotype" w:cs="Palatino Linotype"/>
        </w:rPr>
        <w:t>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50AF4A2F"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b/>
          <w:i/>
        </w:rPr>
        <w:t>“CRITERIO 0001-15. NEGATIVA FICTA. PLAZO PARA INTERPONER EL RECURSO DE REVISIÓN TRATÁNDOSE DE</w:t>
      </w:r>
      <w:r w:rsidRPr="002C3A49">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w:t>
      </w:r>
      <w:r w:rsidRPr="002C3A49">
        <w:rPr>
          <w:rFonts w:ascii="Palatino Linotype" w:eastAsia="Palatino Linotype" w:hAnsi="Palatino Linotype" w:cs="Palatino Linotype"/>
          <w:i/>
        </w:rPr>
        <w:lastRenderedPageBreak/>
        <w:t xml:space="preserve">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 </w:t>
      </w:r>
    </w:p>
    <w:p w14:paraId="61A9AC77" w14:textId="4375CC2D"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2C3A49">
        <w:rPr>
          <w:rFonts w:ascii="Palatino Linotype" w:eastAsia="Palatino Linotype" w:hAnsi="Palatino Linotype" w:cs="Palatino Linotype"/>
          <w:b/>
        </w:rPr>
        <w:t>SAIMEX</w:t>
      </w:r>
      <w:r w:rsidRPr="002C3A49">
        <w:rPr>
          <w:rFonts w:ascii="Palatino Linotype" w:eastAsia="Palatino Linotype" w:hAnsi="Palatino Linotype" w:cs="Palatino Linotype"/>
        </w:rPr>
        <w:t>.</w:t>
      </w:r>
    </w:p>
    <w:p w14:paraId="2693364B" w14:textId="2211614A" w:rsidR="00D84010" w:rsidRPr="002C3A49" w:rsidRDefault="00D84010"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A efecto de sustentar lo anterior, es de suma importancia mencionar que si bien la persona solicitante</w:t>
      </w:r>
      <w:r w:rsidRPr="002C3A49">
        <w:rPr>
          <w:rFonts w:ascii="Palatino Linotype" w:eastAsia="Palatino Linotype" w:hAnsi="Palatino Linotype" w:cs="Palatino Linotype"/>
          <w:b/>
        </w:rPr>
        <w:t xml:space="preserve"> no proporcionó nombre completo, </w:t>
      </w:r>
      <w:r w:rsidRPr="002C3A49">
        <w:rPr>
          <w:rFonts w:ascii="Palatino Linotype" w:eastAsia="Palatino Linotype" w:hAnsi="Palatino Linotype" w:cs="Palatino Linotype"/>
        </w:rPr>
        <w:t>como se advierte en el detalle de seguimiento del SAIMEX,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896959D" w14:textId="77777777" w:rsidR="00D84010" w:rsidRPr="002C3A49" w:rsidRDefault="00D84010" w:rsidP="00D84010">
      <w:pPr>
        <w:spacing w:before="240" w:after="240" w:line="276" w:lineRule="auto"/>
        <w:ind w:left="851" w:right="902"/>
        <w:jc w:val="both"/>
        <w:rPr>
          <w:rFonts w:ascii="Palatino Linotype" w:eastAsia="Palatino Linotype" w:hAnsi="Palatino Linotype" w:cs="Palatino Linotype"/>
        </w:rPr>
      </w:pPr>
      <w:r w:rsidRPr="002C3A49">
        <w:rPr>
          <w:rFonts w:ascii="Palatino Linotype" w:eastAsia="Palatino Linotype" w:hAnsi="Palatino Linotype" w:cs="Palatino Linotype"/>
          <w:i/>
        </w:rPr>
        <w:t>"</w:t>
      </w:r>
      <w:r w:rsidRPr="002C3A49">
        <w:rPr>
          <w:rFonts w:ascii="Palatino Linotype" w:eastAsia="Palatino Linotype" w:hAnsi="Palatino Linotype" w:cs="Palatino Linotype"/>
          <w:b/>
          <w:i/>
        </w:rPr>
        <w:t>Las solicitudes anónimas</w:t>
      </w:r>
      <w:r w:rsidRPr="002C3A49">
        <w:rPr>
          <w:rFonts w:ascii="Palatino Linotype" w:eastAsia="Palatino Linotype" w:hAnsi="Palatino Linotype" w:cs="Palatino Linotype"/>
          <w:i/>
        </w:rPr>
        <w:t xml:space="preserve">, con nombre incompleto o seudónimo </w:t>
      </w:r>
      <w:r w:rsidRPr="002C3A49">
        <w:rPr>
          <w:rFonts w:ascii="Palatino Linotype" w:eastAsia="Palatino Linotype" w:hAnsi="Palatino Linotype" w:cs="Palatino Linotype"/>
          <w:b/>
          <w:i/>
        </w:rPr>
        <w:t>serán procedentes para su trámite por parte del sujeto obligado ante quien se presente</w:t>
      </w:r>
      <w:r w:rsidRPr="002C3A49">
        <w:rPr>
          <w:rFonts w:ascii="Palatino Linotype" w:eastAsia="Palatino Linotype" w:hAnsi="Palatino Linotype" w:cs="Palatino Linotype"/>
          <w:i/>
        </w:rPr>
        <w:t>. No podrá requerirse información adicional con motivo del nombre proporcionado por el solicitante."</w:t>
      </w:r>
    </w:p>
    <w:p w14:paraId="4EA466B0"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dicen:</w:t>
      </w:r>
    </w:p>
    <w:p w14:paraId="019EC1DA" w14:textId="77777777" w:rsidR="00D27D7D" w:rsidRPr="002C3A49" w:rsidRDefault="00D27D7D" w:rsidP="00D84010">
      <w:pPr>
        <w:spacing w:before="240" w:after="240" w:line="276" w:lineRule="auto"/>
        <w:ind w:left="851"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lastRenderedPageBreak/>
        <w:t>“</w:t>
      </w:r>
      <w:r w:rsidRPr="002C3A49">
        <w:rPr>
          <w:rFonts w:ascii="Palatino Linotype" w:eastAsia="Palatino Linotype" w:hAnsi="Palatino Linotype" w:cs="Palatino Linotype"/>
          <w:b/>
          <w:i/>
        </w:rPr>
        <w:t xml:space="preserve">Artículo 179. </w:t>
      </w:r>
      <w:r w:rsidRPr="002C3A49">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27F6F15" w14:textId="77777777" w:rsidR="00D27D7D" w:rsidRPr="002C3A49" w:rsidRDefault="00D27D7D" w:rsidP="00D84010">
      <w:pPr>
        <w:spacing w:before="240" w:after="240" w:line="276" w:lineRule="auto"/>
        <w:ind w:left="1134" w:right="851"/>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p>
    <w:p w14:paraId="2DD55CE3" w14:textId="77777777" w:rsidR="00D27D7D" w:rsidRPr="002C3A49" w:rsidRDefault="00D27D7D" w:rsidP="00D84010">
      <w:pPr>
        <w:spacing w:before="240" w:after="240" w:line="276" w:lineRule="auto"/>
        <w:ind w:left="1134" w:right="851"/>
        <w:jc w:val="both"/>
        <w:rPr>
          <w:rFonts w:ascii="Palatino Linotype" w:eastAsia="Palatino Linotype" w:hAnsi="Palatino Linotype" w:cs="Palatino Linotype"/>
          <w:i/>
        </w:rPr>
      </w:pPr>
      <w:r w:rsidRPr="002C3A49">
        <w:rPr>
          <w:rFonts w:ascii="Palatino Linotype" w:eastAsia="Palatino Linotype" w:hAnsi="Palatino Linotype" w:cs="Palatino Linotype"/>
          <w:b/>
          <w:i/>
        </w:rPr>
        <w:t xml:space="preserve">VII. </w:t>
      </w:r>
      <w:r w:rsidRPr="002C3A49">
        <w:rPr>
          <w:rFonts w:ascii="Palatino Linotype" w:eastAsia="Palatino Linotype" w:hAnsi="Palatino Linotype" w:cs="Palatino Linotype"/>
          <w:i/>
        </w:rPr>
        <w:t>La falta de respuesta a una solicitud de acceso a la información;”</w:t>
      </w:r>
    </w:p>
    <w:p w14:paraId="11B0301C"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El precepto legal citado, establece como supuesto de procedencia del recurso de revisión, en aquellos casos en que la parte </w:t>
      </w:r>
      <w:r w:rsidRPr="002C3A49">
        <w:rPr>
          <w:rFonts w:ascii="Palatino Linotype" w:eastAsia="Palatino Linotype" w:hAnsi="Palatino Linotype" w:cs="Palatino Linotype"/>
          <w:b/>
        </w:rPr>
        <w:t xml:space="preserve">Recurrente </w:t>
      </w:r>
      <w:r w:rsidRPr="002C3A49">
        <w:rPr>
          <w:rFonts w:ascii="Palatino Linotype" w:eastAsia="Palatino Linotype" w:hAnsi="Palatino Linotype" w:cs="Palatino Linotype"/>
        </w:rPr>
        <w:t xml:space="preserve">estime negado el acceso a la información por la falta de respuesta por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en este asunto se actualiza la hipótesis jurídica citada, en atención a que la parte </w:t>
      </w:r>
      <w:r w:rsidRPr="002C3A49">
        <w:rPr>
          <w:rFonts w:ascii="Palatino Linotype" w:eastAsia="Palatino Linotype" w:hAnsi="Palatino Linotype" w:cs="Palatino Linotype"/>
          <w:b/>
        </w:rPr>
        <w:t>Recurrente</w:t>
      </w:r>
      <w:r w:rsidRPr="002C3A49">
        <w:rPr>
          <w:rFonts w:ascii="Palatino Linotype" w:eastAsia="Palatino Linotype" w:hAnsi="Palatino Linotype" w:cs="Palatino Linotype"/>
        </w:rPr>
        <w:t xml:space="preserve"> combate falta de trámite por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y expresa motivos de inconformidad en contra de dicha circunstancia.</w:t>
      </w:r>
    </w:p>
    <w:p w14:paraId="3C9EA9DA"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Tercero. Materia de Revisión</w:t>
      </w:r>
      <w:r w:rsidRPr="002C3A49">
        <w:rPr>
          <w:rFonts w:ascii="Palatino Linotype" w:eastAsia="Palatino Linotype" w:hAnsi="Palatino Linotype" w:cs="Palatino Linotype"/>
        </w:rPr>
        <w:t xml:space="preserve">: De las constancias que integran el expediente electrónico se advierte que el tema sobre el que este Instituto se pronunciará será en determinar si se actualiza la fracción VII del artículo 179 de la Ley de Transparencia y Acceso a la Información Pública del Estado de México y Municipios.  </w:t>
      </w:r>
    </w:p>
    <w:p w14:paraId="08305BD0" w14:textId="5F3D66DB"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Cuarto. Estudio del asunto. </w:t>
      </w:r>
      <w:r w:rsidRPr="002C3A49">
        <w:rPr>
          <w:rFonts w:ascii="Palatino Linotype" w:eastAsia="Palatino Linotype" w:hAnsi="Palatino Linotype" w:cs="Palatino Linotype"/>
        </w:rPr>
        <w:t xml:space="preserve">Antes de entrar al análisis de los pronunciamientos del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en</w:t>
      </w:r>
      <w:r w:rsidR="00D84010" w:rsidRPr="002C3A49">
        <w:rPr>
          <w:rFonts w:ascii="Palatino Linotype" w:eastAsia="Palatino Linotype" w:hAnsi="Palatino Linotype" w:cs="Palatino Linotype"/>
        </w:rPr>
        <w:t xml:space="preserve"> el informe justificado</w:t>
      </w:r>
      <w:r w:rsidRPr="002C3A49">
        <w:rPr>
          <w:rFonts w:ascii="Palatino Linotype" w:eastAsia="Palatino Linotype" w:hAnsi="Palatino Linotype" w:cs="Palatino Linotype"/>
        </w:rPr>
        <w:t>, es necesario mencionar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1339ED9"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lastRenderedPageBreak/>
        <w:t>“</w:t>
      </w:r>
      <w:r w:rsidRPr="002C3A49">
        <w:rPr>
          <w:rFonts w:ascii="Palatino Linotype" w:eastAsia="Palatino Linotype" w:hAnsi="Palatino Linotype" w:cs="Palatino Linotype"/>
          <w:b/>
          <w:i/>
        </w:rPr>
        <w:t>Artículo 4</w:t>
      </w:r>
      <w:r w:rsidRPr="002C3A4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D5CACE5"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C3A4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63F5770"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2C3A49">
        <w:rPr>
          <w:rFonts w:ascii="Palatino Linotype" w:eastAsia="Palatino Linotype" w:hAnsi="Palatino Linotype" w:cs="Palatino Linotype"/>
          <w:i/>
        </w:rPr>
        <w:t>.”</w:t>
      </w:r>
    </w:p>
    <w:p w14:paraId="30ABF162"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24D741F"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b/>
          <w:i/>
        </w:rPr>
        <w:t>“Artículo 12.-</w:t>
      </w:r>
      <w:r w:rsidRPr="002C3A4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0E02A471"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b/>
          <w:i/>
        </w:rPr>
      </w:pPr>
      <w:r w:rsidRPr="002C3A4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2C3A49">
        <w:rPr>
          <w:rFonts w:ascii="Palatino Linotype" w:eastAsia="Palatino Linotype" w:hAnsi="Palatino Linotype" w:cs="Palatino Linotype"/>
          <w:i/>
        </w:rPr>
        <w:t xml:space="preserve">. </w:t>
      </w:r>
      <w:r w:rsidRPr="002C3A4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8687E1E" w14:textId="77777777" w:rsidR="00D27D7D" w:rsidRPr="002C3A49" w:rsidRDefault="00D27D7D" w:rsidP="00D84010">
      <w:pPr>
        <w:spacing w:before="240" w:after="240" w:line="360" w:lineRule="auto"/>
        <w:ind w:right="-93"/>
        <w:jc w:val="both"/>
        <w:rPr>
          <w:rFonts w:ascii="Palatino Linotype" w:eastAsia="Palatino Linotype" w:hAnsi="Palatino Linotype" w:cs="Palatino Linotype"/>
        </w:rPr>
      </w:pPr>
      <w:r w:rsidRPr="002C3A49">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5F6CC5D2" w14:textId="77777777" w:rsidR="00D27D7D" w:rsidRPr="002C3A49" w:rsidRDefault="00D27D7D" w:rsidP="00D84010">
      <w:pP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rPr>
        <w:t>Sirve de apoyo a lo anterior, el criterio orientador 03-17, expuesto por el entonces Instituto Nacional de Transparencia, Acceso a la Información y Protección de Datos Personales, que dice:</w:t>
      </w:r>
      <w:r w:rsidRPr="002C3A49">
        <w:rPr>
          <w:rFonts w:ascii="Palatino Linotype" w:eastAsia="Palatino Linotype" w:hAnsi="Palatino Linotype" w:cs="Palatino Linotype"/>
          <w:b/>
        </w:rPr>
        <w:t xml:space="preserve"> </w:t>
      </w:r>
    </w:p>
    <w:p w14:paraId="457F6005"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Pr="002C3A49">
        <w:rPr>
          <w:rFonts w:ascii="Palatino Linotype" w:eastAsia="Palatino Linotype" w:hAnsi="Palatino Linotype" w:cs="Palatino Linotype"/>
          <w:b/>
          <w:i/>
        </w:rPr>
        <w:t>No existe obligación de elaborar documentos ad hoc para atender las solicitudes de acceso a la información.</w:t>
      </w:r>
      <w:r w:rsidRPr="002C3A49">
        <w:rPr>
          <w:rFonts w:ascii="Palatino Linotype" w:eastAsia="Palatino Linotype" w:hAnsi="Palatino Linotype" w:cs="Palatino Linotype"/>
          <w:i/>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DDFFD04"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4FA51A8" w14:textId="77777777" w:rsidR="00D27D7D" w:rsidRPr="002C3A49" w:rsidRDefault="00D27D7D" w:rsidP="00D84010">
      <w:pPr>
        <w:spacing w:before="240" w:after="240" w:line="360" w:lineRule="auto"/>
        <w:jc w:val="both"/>
        <w:rPr>
          <w:rFonts w:ascii="Palatino Linotype" w:eastAsia="Palatino Linotype" w:hAnsi="Palatino Linotype" w:cs="Palatino Linotype"/>
        </w:rPr>
      </w:pPr>
    </w:p>
    <w:p w14:paraId="121B4D49" w14:textId="77777777" w:rsidR="00D27D7D" w:rsidRPr="002C3A49" w:rsidRDefault="00D27D7D" w:rsidP="00D84010">
      <w:p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8A82446"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722B5DB9"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r w:rsidRPr="002C3A49">
        <w:rPr>
          <w:rFonts w:ascii="Palatino Linotype" w:eastAsia="Palatino Linotype" w:hAnsi="Palatino Linotype" w:cs="Palatino Linotype"/>
          <w:b/>
          <w:i/>
        </w:rPr>
        <w:t xml:space="preserve">Artículo 3. </w:t>
      </w:r>
      <w:r w:rsidRPr="002C3A49">
        <w:rPr>
          <w:rFonts w:ascii="Palatino Linotype" w:eastAsia="Palatino Linotype" w:hAnsi="Palatino Linotype" w:cs="Palatino Linotype"/>
          <w:i/>
        </w:rPr>
        <w:t>Para los efectos de la presente Ley se entenderá por:</w:t>
      </w:r>
    </w:p>
    <w:p w14:paraId="04B765A4"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p>
    <w:p w14:paraId="0AC2F98E"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b/>
          <w:i/>
        </w:rPr>
        <w:t>XI. Documento:</w:t>
      </w:r>
      <w:r w:rsidRPr="002C3A49">
        <w:rPr>
          <w:rFonts w:ascii="Palatino Linotype" w:eastAsia="Palatino Linotype" w:hAnsi="Palatino Linotype" w:cs="Palatino Linotype"/>
          <w:i/>
        </w:rPr>
        <w:t xml:space="preserve"> Los expedientes, reportes, estudios, actas</w:t>
      </w:r>
      <w:r w:rsidRPr="002C3A49">
        <w:rPr>
          <w:rFonts w:ascii="Palatino Linotype" w:eastAsia="Palatino Linotype" w:hAnsi="Palatino Linotype" w:cs="Palatino Linotype"/>
          <w:b/>
          <w:i/>
        </w:rPr>
        <w:t>,</w:t>
      </w:r>
      <w:r w:rsidRPr="002C3A4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FFDEBAE"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w:t>
      </w:r>
      <w:r w:rsidRPr="002C3A49">
        <w:rPr>
          <w:rFonts w:ascii="Palatino Linotype" w:eastAsia="Palatino Linotype" w:hAnsi="Palatino Linotype" w:cs="Palatino Linotype"/>
        </w:rPr>
        <w:lastRenderedPageBreak/>
        <w:t>del Estado Libre y Soberano de México “Gaceta del Gobierno”, el diecinueve de octubre de dos mil once, cuyo rubro y texto refieren lo siguiente:</w:t>
      </w:r>
    </w:p>
    <w:p w14:paraId="38A22761"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b/>
          <w:i/>
        </w:rPr>
      </w:pPr>
      <w:r w:rsidRPr="002C3A49">
        <w:rPr>
          <w:rFonts w:ascii="Palatino Linotype" w:eastAsia="Palatino Linotype" w:hAnsi="Palatino Linotype" w:cs="Palatino Linotype"/>
          <w:b/>
        </w:rPr>
        <w:t>“</w:t>
      </w:r>
      <w:r w:rsidRPr="002C3A49">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2C3A4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FCD85FC"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En consecuencia el acceso a la información se refiere a que se cumplan cualquiera de los siguientes tres supuestos:</w:t>
      </w:r>
    </w:p>
    <w:p w14:paraId="4A99F4E8"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0F553263"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b/>
          <w:i/>
        </w:rPr>
      </w:pPr>
      <w:r w:rsidRPr="002C3A49">
        <w:rPr>
          <w:rFonts w:ascii="Palatino Linotype" w:eastAsia="Palatino Linotype" w:hAnsi="Palatino Linotype" w:cs="Palatino Linotype"/>
          <w:b/>
          <w:i/>
        </w:rPr>
        <w:t>2) Que se trate de información registrada en cualquier soporte documental, que en ejercicio de las atribuciones conferidas, sea administrada por los Sujetos Obligados, y</w:t>
      </w:r>
    </w:p>
    <w:p w14:paraId="527ACC17" w14:textId="77777777" w:rsidR="00D27D7D" w:rsidRPr="002C3A49" w:rsidRDefault="00D27D7D" w:rsidP="00D84010">
      <w:pPr>
        <w:spacing w:before="240" w:after="240" w:line="276" w:lineRule="auto"/>
        <w:ind w:left="567" w:right="616"/>
        <w:jc w:val="both"/>
        <w:rPr>
          <w:rFonts w:ascii="Palatino Linotype" w:eastAsia="Palatino Linotype" w:hAnsi="Palatino Linotype" w:cs="Palatino Linotype"/>
          <w:b/>
          <w:i/>
        </w:rPr>
      </w:pPr>
      <w:r w:rsidRPr="002C3A49">
        <w:rPr>
          <w:rFonts w:ascii="Palatino Linotype" w:eastAsia="Palatino Linotype" w:hAnsi="Palatino Linotype" w:cs="Palatino Linotype"/>
          <w:b/>
          <w:i/>
        </w:rPr>
        <w:t xml:space="preserve">3) Que se trate de información registrada en cualquier soporte documental, que en ejercicio de las atribuciones conferidas, se encuentre en posesión de los Sujetos Obligados.” </w:t>
      </w:r>
    </w:p>
    <w:p w14:paraId="7D72F39F"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De ahí que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2C3A49">
        <w:rPr>
          <w:rFonts w:ascii="Palatino Linotype" w:eastAsia="Palatino Linotype" w:hAnsi="Palatino Linotype" w:cs="Palatino Linotype"/>
          <w:vertAlign w:val="superscript"/>
        </w:rPr>
        <w:footnoteReference w:id="1"/>
      </w:r>
      <w:r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rPr>
        <w:lastRenderedPageBreak/>
        <w:t>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2C3A49">
        <w:rPr>
          <w:rFonts w:ascii="Palatino Linotype" w:eastAsia="Palatino Linotype" w:hAnsi="Palatino Linotype" w:cs="Palatino Linotype"/>
          <w:vertAlign w:val="superscript"/>
        </w:rPr>
        <w:footnoteReference w:id="2"/>
      </w:r>
      <w:r w:rsidRPr="002C3A49">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18080D6E" w14:textId="716A03D6" w:rsidR="00D27D7D" w:rsidRPr="002C3A49" w:rsidRDefault="00D27D7D" w:rsidP="00D84010">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bookmarkStart w:id="0" w:name="_heading=h.1y810tw" w:colFirst="0" w:colLast="0"/>
      <w:bookmarkEnd w:id="0"/>
      <w:r w:rsidRPr="002C3A49">
        <w:rPr>
          <w:rFonts w:ascii="Palatino Linotype" w:eastAsia="Palatino Linotype" w:hAnsi="Palatino Linotype" w:cs="Palatino Linotype"/>
        </w:rPr>
        <w:t xml:space="preserve">Para ello, conviene iniciar el presente estudio señalando que la persona solicitante requirió del </w:t>
      </w:r>
      <w:r w:rsidRPr="002C3A49">
        <w:rPr>
          <w:rFonts w:ascii="Palatino Linotype" w:eastAsia="Palatino Linotype" w:hAnsi="Palatino Linotype" w:cs="Palatino Linotype"/>
          <w:b/>
        </w:rPr>
        <w:t>Sujeto Obligado, respecto de</w:t>
      </w:r>
      <w:r w:rsidR="00D84010" w:rsidRPr="002C3A49">
        <w:rPr>
          <w:rFonts w:ascii="Palatino Linotype" w:eastAsia="Palatino Linotype" w:hAnsi="Palatino Linotype" w:cs="Palatino Linotype"/>
          <w:b/>
        </w:rPr>
        <w:t>l Secretario del Ayuntamiento</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medularmente lo siguiente:</w:t>
      </w:r>
    </w:p>
    <w:p w14:paraId="34A42A77" w14:textId="75EADEEA" w:rsidR="00D84010" w:rsidRPr="002C3A49" w:rsidRDefault="00D84010" w:rsidP="00D84010">
      <w:pPr>
        <w:pStyle w:val="Prrafodelista"/>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 xml:space="preserve">Bitácoras de consumo de combustible </w:t>
      </w:r>
    </w:p>
    <w:p w14:paraId="26A599B7" w14:textId="7703C3BB" w:rsidR="00D84010" w:rsidRPr="002C3A49" w:rsidRDefault="00D84010" w:rsidP="00D84010">
      <w:pPr>
        <w:pStyle w:val="Prrafodelista"/>
        <w:numPr>
          <w:ilvl w:val="0"/>
          <w:numId w:val="11"/>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Oficios de Comisión, invitaciones que amparen el gasto</w:t>
      </w:r>
      <w:r w:rsidR="00FB356D" w:rsidRPr="002C3A49">
        <w:rPr>
          <w:rFonts w:ascii="Palatino Linotype" w:eastAsia="Palatino Linotype" w:hAnsi="Palatino Linotype" w:cs="Palatino Linotype"/>
          <w:b/>
        </w:rPr>
        <w:t xml:space="preserve"> gasolina y viáticos </w:t>
      </w:r>
    </w:p>
    <w:p w14:paraId="57754A5C" w14:textId="0B220EF3" w:rsidR="00D27D7D" w:rsidRPr="002C3A49" w:rsidRDefault="00D27D7D" w:rsidP="00D840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El </w:t>
      </w:r>
      <w:r w:rsidRPr="002C3A49">
        <w:rPr>
          <w:rFonts w:ascii="Palatino Linotype" w:eastAsia="Palatino Linotype" w:hAnsi="Palatino Linotype" w:cs="Palatino Linotype"/>
          <w:b/>
        </w:rPr>
        <w:t xml:space="preserve">Sujeto Obligado </w:t>
      </w:r>
      <w:r w:rsidRPr="002C3A49">
        <w:rPr>
          <w:rFonts w:ascii="Palatino Linotype" w:eastAsia="Palatino Linotype" w:hAnsi="Palatino Linotype" w:cs="Palatino Linotype"/>
        </w:rPr>
        <w:t xml:space="preserve">fue omiso en proporcionar respuesta, situación por la que se inconformó la parte </w:t>
      </w:r>
      <w:r w:rsidRPr="002C3A49">
        <w:rPr>
          <w:rFonts w:ascii="Palatino Linotype" w:eastAsia="Palatino Linotype" w:hAnsi="Palatino Linotype" w:cs="Palatino Linotype"/>
          <w:b/>
        </w:rPr>
        <w:t>Recurrente</w:t>
      </w:r>
      <w:r w:rsidRPr="002C3A49">
        <w:rPr>
          <w:rFonts w:ascii="Palatino Linotype" w:eastAsia="Palatino Linotype" w:hAnsi="Palatino Linotype" w:cs="Palatino Linotype"/>
        </w:rPr>
        <w:t>.</w:t>
      </w:r>
    </w:p>
    <w:p w14:paraId="607E4F35" w14:textId="091636CA" w:rsidR="00D27D7D" w:rsidRPr="002C3A49" w:rsidRDefault="00D27D7D" w:rsidP="00D840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En atención a ello, mediante informe justificado el </w:t>
      </w:r>
      <w:r w:rsidRPr="002C3A49">
        <w:rPr>
          <w:rFonts w:ascii="Palatino Linotype" w:eastAsia="Palatino Linotype" w:hAnsi="Palatino Linotype" w:cs="Palatino Linotype"/>
          <w:b/>
        </w:rPr>
        <w:t>Sujeto Obligado</w:t>
      </w:r>
      <w:r w:rsidR="00FB356D" w:rsidRPr="002C3A49">
        <w:rPr>
          <w:rFonts w:ascii="Palatino Linotype" w:eastAsia="Palatino Linotype" w:hAnsi="Palatino Linotype" w:cs="Palatino Linotype"/>
          <w:b/>
        </w:rPr>
        <w:t xml:space="preserve">, remite el </w:t>
      </w:r>
      <w:r w:rsidR="00FB356D" w:rsidRPr="002C3A49">
        <w:rPr>
          <w:rFonts w:ascii="Palatino Linotype" w:eastAsia="Palatino Linotype" w:hAnsi="Palatino Linotype" w:cs="Palatino Linotype"/>
        </w:rPr>
        <w:t xml:space="preserve">Acta de la Octava Sesión Extraordinaria del Comité de Transparencia mediante la cual en el punto 11 del orden del día se aborda el cambio de modalidad a consulta directa, bajo el argumento de que la información podría ocasionar una afectación en su esfera profesional o profesional y que contiene datos sensibles sobre rutas consumos, horarios, comisiones oficiales y movimientos de combustible que pudieran poner en riesgo la seguridad e integridad del servidor público.  </w:t>
      </w:r>
      <w:r w:rsidRPr="002C3A49">
        <w:rPr>
          <w:rFonts w:ascii="Palatino Linotype" w:eastAsia="Palatino Linotype" w:hAnsi="Palatino Linotype" w:cs="Palatino Linotype"/>
        </w:rPr>
        <w:t xml:space="preserve"> </w:t>
      </w:r>
    </w:p>
    <w:p w14:paraId="00EDDA77" w14:textId="1BB6C5AC" w:rsidR="00D27D7D" w:rsidRPr="002C3A49" w:rsidRDefault="00FB356D" w:rsidP="00D84010">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b/>
        </w:rPr>
      </w:pPr>
      <w:r w:rsidRPr="002C3A49">
        <w:rPr>
          <w:rFonts w:ascii="Palatino Linotype" w:eastAsia="Palatino Linotype" w:hAnsi="Palatino Linotype" w:cs="Palatino Linotype"/>
        </w:rPr>
        <w:t>P</w:t>
      </w:r>
      <w:r w:rsidR="00D27D7D" w:rsidRPr="002C3A49">
        <w:rPr>
          <w:rFonts w:ascii="Palatino Linotype" w:eastAsia="Palatino Linotype" w:hAnsi="Palatino Linotype" w:cs="Palatino Linotype"/>
        </w:rPr>
        <w:t xml:space="preserve">or su lado, la parte </w:t>
      </w:r>
      <w:r w:rsidR="00D27D7D" w:rsidRPr="002C3A49">
        <w:rPr>
          <w:rFonts w:ascii="Palatino Linotype" w:eastAsia="Palatino Linotype" w:hAnsi="Palatino Linotype" w:cs="Palatino Linotype"/>
          <w:b/>
        </w:rPr>
        <w:t xml:space="preserve">Recurrente </w:t>
      </w:r>
      <w:r w:rsidR="00D27D7D" w:rsidRPr="002C3A49">
        <w:rPr>
          <w:rFonts w:ascii="Palatino Linotype" w:eastAsia="Palatino Linotype" w:hAnsi="Palatino Linotype" w:cs="Palatino Linotype"/>
        </w:rPr>
        <w:t xml:space="preserve">fue omisa en hacer valer manifestaciones o rendir alegatos que conforme a derecho resulten procedentes con relación al informe justificado por el </w:t>
      </w:r>
      <w:r w:rsidR="00D27D7D" w:rsidRPr="002C3A49">
        <w:rPr>
          <w:rFonts w:ascii="Palatino Linotype" w:eastAsia="Palatino Linotype" w:hAnsi="Palatino Linotype" w:cs="Palatino Linotype"/>
          <w:b/>
        </w:rPr>
        <w:t>Sujeto Obligado.</w:t>
      </w:r>
    </w:p>
    <w:p w14:paraId="3FE2C220" w14:textId="4DCA190C" w:rsidR="00D27D7D" w:rsidRPr="002C3A49" w:rsidRDefault="00D27D7D" w:rsidP="00D84010">
      <w:pPr>
        <w:spacing w:before="240" w:after="240" w:line="360" w:lineRule="auto"/>
        <w:jc w:val="both"/>
        <w:rPr>
          <w:rFonts w:ascii="Palatino Linotype" w:eastAsia="Palatino Linotype" w:hAnsi="Palatino Linotype" w:cs="Palatino Linotype"/>
        </w:rPr>
      </w:pPr>
    </w:p>
    <w:p w14:paraId="307C8887" w14:textId="152A2A6D" w:rsidR="00FB356D" w:rsidRPr="002C3A49" w:rsidRDefault="007360F8" w:rsidP="007360F8">
      <w:pPr>
        <w:spacing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Ahora bien, recordemos </w:t>
      </w:r>
      <w:r w:rsidR="00D26846" w:rsidRPr="002C3A49">
        <w:rPr>
          <w:rFonts w:ascii="Palatino Linotype" w:eastAsia="Palatino Linotype" w:hAnsi="Palatino Linotype" w:cs="Palatino Linotype"/>
        </w:rPr>
        <w:t>que,</w:t>
      </w:r>
      <w:r w:rsidRPr="002C3A49">
        <w:rPr>
          <w:rFonts w:ascii="Palatino Linotype" w:eastAsia="Palatino Linotype" w:hAnsi="Palatino Linotype" w:cs="Palatino Linotype"/>
        </w:rPr>
        <w:t xml:space="preserve"> en el presente caso, la pretensión de la parte Recurrente es obtener bitácoras de consumo de gasolina y los oficios o invitaciones que comprueben el suministro de la misma y de sus gastos. </w:t>
      </w:r>
    </w:p>
    <w:p w14:paraId="793E169F" w14:textId="0F856764"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Expuesto lo anterior, en el caso se procede al análisis de los requerimientos de información atendiendo su naturaleza, bajo las siguientes consideraciones:</w:t>
      </w:r>
    </w:p>
    <w:p w14:paraId="17619279" w14:textId="77777777" w:rsidR="00FB356D" w:rsidRPr="002C3A49" w:rsidRDefault="00FB356D" w:rsidP="00FB356D">
      <w:pPr>
        <w:numPr>
          <w:ilvl w:val="0"/>
          <w:numId w:val="12"/>
        </w:numPr>
        <w:pBdr>
          <w:top w:val="nil"/>
          <w:left w:val="nil"/>
          <w:bottom w:val="nil"/>
          <w:right w:val="nil"/>
          <w:between w:val="nil"/>
        </w:pBdr>
        <w:spacing w:after="0" w:line="360" w:lineRule="auto"/>
        <w:jc w:val="both"/>
        <w:rPr>
          <w:rFonts w:ascii="Palatino Linotype" w:hAnsi="Palatino Linotype"/>
          <w:b/>
        </w:rPr>
      </w:pPr>
      <w:r w:rsidRPr="002C3A49">
        <w:rPr>
          <w:rFonts w:ascii="Palatino Linotype" w:hAnsi="Palatino Linotype"/>
          <w:b/>
        </w:rPr>
        <w:t>De las bitácoras de combustible</w:t>
      </w:r>
    </w:p>
    <w:p w14:paraId="153CF910" w14:textId="77777777" w:rsidR="00FB356D" w:rsidRPr="002C3A49" w:rsidRDefault="00FB356D" w:rsidP="00FB356D">
      <w:pPr>
        <w:spacing w:after="0" w:line="360" w:lineRule="auto"/>
        <w:rPr>
          <w:rFonts w:ascii="Palatino Linotype" w:hAnsi="Palatino Linotype"/>
          <w:b/>
        </w:rPr>
      </w:pPr>
    </w:p>
    <w:p w14:paraId="5F2B8AC4" w14:textId="77777777" w:rsidR="00FB356D" w:rsidRPr="002C3A49" w:rsidRDefault="00FB356D" w:rsidP="007360F8">
      <w:pPr>
        <w:spacing w:after="0" w:line="360" w:lineRule="auto"/>
        <w:jc w:val="both"/>
        <w:rPr>
          <w:rFonts w:ascii="Palatino Linotype" w:hAnsi="Palatino Linotype"/>
        </w:rPr>
      </w:pPr>
      <w:r w:rsidRPr="002C3A49">
        <w:rPr>
          <w:rFonts w:ascii="Palatino Linotype" w:hAnsi="Palatino Linotype"/>
        </w:rPr>
        <w:t>Al respecto, se debe</w:t>
      </w:r>
      <w:r w:rsidRPr="002C3A49">
        <w:rPr>
          <w:rFonts w:ascii="Palatino Linotype" w:hAnsi="Palatino Linotype"/>
          <w:b/>
        </w:rPr>
        <w:t xml:space="preserve"> </w:t>
      </w:r>
      <w:r w:rsidRPr="002C3A49">
        <w:rPr>
          <w:rFonts w:ascii="Palatino Linotype" w:hAnsi="Palatino Linotype"/>
        </w:rPr>
        <w:t>tener en consideración que el artículo 285 del Código Financiero del Estado de México y Municipios, precisa que el Ayuntamiento es el encargado de aprobar el Presupuesto de Egresos del Municipio y el artículo 31, fracción XIX, de la Ley Orgánica Municipal del Estado de México, establece que los Ayuntamientos serán los encargados de aprobar anualmente, el Presupuesto de Egresos, en base a los ingresos presupuestados para el ejercicio de corresponda.</w:t>
      </w:r>
    </w:p>
    <w:p w14:paraId="247764A3" w14:textId="77777777" w:rsidR="00FB356D" w:rsidRPr="002C3A49" w:rsidRDefault="00FB356D" w:rsidP="007360F8">
      <w:pPr>
        <w:spacing w:after="0" w:line="360" w:lineRule="auto"/>
        <w:jc w:val="both"/>
        <w:rPr>
          <w:rFonts w:ascii="Palatino Linotype" w:hAnsi="Palatino Linotype"/>
        </w:rPr>
      </w:pPr>
    </w:p>
    <w:p w14:paraId="135C761E" w14:textId="77777777" w:rsidR="00FB356D" w:rsidRPr="002C3A49" w:rsidRDefault="00FB356D" w:rsidP="007360F8">
      <w:pPr>
        <w:spacing w:after="0" w:line="360" w:lineRule="auto"/>
        <w:jc w:val="both"/>
        <w:rPr>
          <w:rFonts w:ascii="Palatino Linotype" w:hAnsi="Palatino Linotype"/>
        </w:rPr>
      </w:pPr>
      <w:r w:rsidRPr="002C3A49">
        <w:rPr>
          <w:rFonts w:ascii="Palatino Linotype" w:hAnsi="Palatino Linotype"/>
        </w:rPr>
        <w:t xml:space="preserve">En ese orden de ideas, de conformidad con el artículo 100 y 101, fracción II, de dicho ordenamiento jurídico, el Presupuesto de Egresos, deberá contener las previsiones de gasto público y se conformará, entre otras cosas, por la estimación de los ingresos y gastos del ejercicio fiscal calendarizados. </w:t>
      </w:r>
    </w:p>
    <w:p w14:paraId="5D2C1984" w14:textId="77777777" w:rsidR="00FB356D" w:rsidRPr="002C3A49" w:rsidRDefault="00FB356D" w:rsidP="007360F8">
      <w:pPr>
        <w:spacing w:after="0" w:line="360" w:lineRule="auto"/>
        <w:jc w:val="both"/>
        <w:rPr>
          <w:rFonts w:ascii="Palatino Linotype" w:hAnsi="Palatino Linotype"/>
        </w:rPr>
      </w:pPr>
    </w:p>
    <w:p w14:paraId="7FDBB4C4" w14:textId="77777777" w:rsidR="00FB356D" w:rsidRPr="002C3A49" w:rsidRDefault="00FB356D" w:rsidP="007360F8">
      <w:pPr>
        <w:spacing w:after="0" w:line="360" w:lineRule="auto"/>
        <w:jc w:val="both"/>
        <w:rPr>
          <w:rFonts w:ascii="Palatino Linotype" w:hAnsi="Palatino Linotype"/>
        </w:rPr>
      </w:pPr>
      <w:r w:rsidRPr="002C3A49">
        <w:rPr>
          <w:rFonts w:ascii="Palatino Linotype" w:hAnsi="Palatino Linotype"/>
        </w:rPr>
        <w:t>Así, el Manual para la Planeación, Programación y Presupuesto de Egresos Municipal para el ejercicio fiscal dos mil veinticinco, establece que el Presupuesto es la estimación financiera anticipada de los ingresos y egresos del gobierno, necesarios para cumplir con los objetivos establecidos; además, que el mismo involucra planes, políticas, programas, proyectos, estrategias y objetivos del municipio.</w:t>
      </w:r>
    </w:p>
    <w:p w14:paraId="2AB2BEE9" w14:textId="77777777" w:rsidR="00FB356D" w:rsidRPr="002C3A49" w:rsidRDefault="00FB356D" w:rsidP="007360F8">
      <w:pPr>
        <w:spacing w:after="0" w:line="360" w:lineRule="auto"/>
        <w:jc w:val="both"/>
        <w:rPr>
          <w:rFonts w:ascii="Palatino Linotype" w:hAnsi="Palatino Linotype"/>
        </w:rPr>
      </w:pPr>
    </w:p>
    <w:p w14:paraId="2652C64A" w14:textId="77777777" w:rsidR="00FB356D" w:rsidRPr="002C3A49" w:rsidRDefault="00FB356D" w:rsidP="007360F8">
      <w:pPr>
        <w:spacing w:after="0" w:line="360" w:lineRule="auto"/>
        <w:jc w:val="both"/>
        <w:rPr>
          <w:rFonts w:ascii="Palatino Linotype" w:hAnsi="Palatino Linotype"/>
        </w:rPr>
      </w:pPr>
      <w:r w:rsidRPr="002C3A49">
        <w:rPr>
          <w:rFonts w:ascii="Palatino Linotype" w:hAnsi="Palatino Linotype"/>
        </w:rPr>
        <w:lastRenderedPageBreak/>
        <w:t xml:space="preserve">En este se precisa que el Subcapítulo </w:t>
      </w:r>
      <w:r w:rsidRPr="002C3A49">
        <w:rPr>
          <w:rFonts w:ascii="Palatino Linotype" w:hAnsi="Palatino Linotype"/>
          <w:b/>
        </w:rPr>
        <w:t>3700 Servicios de Traslado y Viáticos</w:t>
      </w:r>
      <w:r w:rsidRPr="002C3A49">
        <w:rPr>
          <w:rFonts w:ascii="Palatino Linotype" w:hAnsi="Palatino Linotype"/>
        </w:rPr>
        <w:t xml:space="preserve">. </w:t>
      </w:r>
      <w:r w:rsidRPr="002C3A49">
        <w:rPr>
          <w:rFonts w:ascii="Palatino Linotype" w:hAnsi="Palatino Linotype"/>
          <w:i/>
        </w:rPr>
        <w:t xml:space="preserve">Asignaciones destinadas a cubrir los servicios de traslado, instalación y viáticos del personal, cuando por el desempeño de sus labores propias o comisiones de trabajo, requieran trasladarse a lugares distintos al de su adscripción, </w:t>
      </w:r>
      <w:r w:rsidRPr="002C3A49">
        <w:rPr>
          <w:rFonts w:ascii="Palatino Linotype" w:hAnsi="Palatino Linotype"/>
        </w:rPr>
        <w:t>determina sobre los viáticos lo siguiente:</w:t>
      </w:r>
    </w:p>
    <w:p w14:paraId="508DCFF6" w14:textId="77777777" w:rsidR="00FB356D" w:rsidRPr="002C3A49" w:rsidRDefault="00FB356D" w:rsidP="00FB356D">
      <w:pPr>
        <w:spacing w:after="0" w:line="360" w:lineRule="auto"/>
        <w:rPr>
          <w:rFonts w:ascii="Palatino Linotype" w:hAnsi="Palatino Linotype"/>
        </w:rPr>
      </w:pPr>
    </w:p>
    <w:p w14:paraId="6B6FEA5B" w14:textId="77777777" w:rsidR="00FB356D" w:rsidRPr="002C3A49" w:rsidRDefault="00FB356D" w:rsidP="007360F8">
      <w:pPr>
        <w:spacing w:after="0" w:line="360" w:lineRule="auto"/>
        <w:ind w:left="567" w:right="567"/>
        <w:jc w:val="both"/>
        <w:rPr>
          <w:rFonts w:ascii="Palatino Linotype" w:hAnsi="Palatino Linotype"/>
          <w:i/>
        </w:rPr>
      </w:pPr>
      <w:r w:rsidRPr="002C3A49">
        <w:rPr>
          <w:rFonts w:ascii="Palatino Linotype" w:hAnsi="Palatino Linotype"/>
          <w:i/>
        </w:rPr>
        <w:t>”Viáticos en el país. Asignaciones destinadas a cubrir los gastos por concepto de alimentación, hospedaje y arrendamiento de vehículos en el desempeño de comisiones temporales dentro del país, derivado de la realización de labores en campo o de supervisión e inspección, en lugares distintos a los de su adscripción. Esta partida aplica las cuotas diferenciales que señalen los tabuladores respectivos. Excluye los gastos de pasajes.</w:t>
      </w:r>
    </w:p>
    <w:p w14:paraId="73B46544" w14:textId="77777777" w:rsidR="00FB356D" w:rsidRPr="002C3A49" w:rsidRDefault="00FB356D" w:rsidP="007360F8">
      <w:pPr>
        <w:tabs>
          <w:tab w:val="left" w:pos="4962"/>
        </w:tabs>
        <w:spacing w:after="0" w:line="360" w:lineRule="auto"/>
        <w:ind w:left="567" w:right="567"/>
        <w:jc w:val="both"/>
        <w:rPr>
          <w:rFonts w:ascii="Palatino Linotype" w:hAnsi="Palatino Linotype"/>
          <w:i/>
        </w:rPr>
      </w:pPr>
      <w:r w:rsidRPr="002C3A49">
        <w:rPr>
          <w:rFonts w:ascii="Palatino Linotype" w:hAnsi="Palatino Linotype"/>
          <w:i/>
        </w:rPr>
        <w:t>3751 Gastos de alimentación en territorio nacional. Asignación sujeta a comprobación de acuerdo a la normatividad en la materia, para cubrir la alimentación de los servidores públicos que por comisiones deban asistir a lugares distintos a los de su adscripción.</w:t>
      </w:r>
    </w:p>
    <w:p w14:paraId="6A9DD70A" w14:textId="77777777" w:rsidR="00FB356D" w:rsidRPr="002C3A49" w:rsidRDefault="00FB356D" w:rsidP="007360F8">
      <w:pPr>
        <w:tabs>
          <w:tab w:val="left" w:pos="4962"/>
        </w:tabs>
        <w:spacing w:after="0" w:line="360" w:lineRule="auto"/>
        <w:ind w:left="567" w:right="567"/>
        <w:jc w:val="both"/>
        <w:rPr>
          <w:rFonts w:ascii="Palatino Linotype" w:hAnsi="Palatino Linotype"/>
          <w:i/>
        </w:rPr>
      </w:pPr>
      <w:r w:rsidRPr="002C3A49">
        <w:rPr>
          <w:rFonts w:ascii="Palatino Linotype" w:hAnsi="Palatino Linotype"/>
          <w:i/>
        </w:rPr>
        <w:t>3752 Gastos de hospedaje en territorio nacional. Asignación sujeta a comprobación de acuerdo a la normatividad en la materia, para cubrir el hospedaje de los servidores públicos que por comisiones deban asistir a lugares distintos a los de su adscripción.</w:t>
      </w:r>
    </w:p>
    <w:p w14:paraId="444F85DB" w14:textId="77777777" w:rsidR="00FB356D" w:rsidRPr="002C3A49" w:rsidRDefault="00FB356D" w:rsidP="007360F8">
      <w:pPr>
        <w:tabs>
          <w:tab w:val="left" w:pos="4962"/>
        </w:tabs>
        <w:spacing w:after="0" w:line="360" w:lineRule="auto"/>
        <w:ind w:left="567" w:right="567"/>
        <w:jc w:val="both"/>
        <w:rPr>
          <w:rFonts w:ascii="Palatino Linotype" w:hAnsi="Palatino Linotype"/>
          <w:i/>
        </w:rPr>
      </w:pPr>
      <w:r w:rsidRPr="002C3A49">
        <w:rPr>
          <w:rFonts w:ascii="Palatino Linotype" w:hAnsi="Palatino Linotype"/>
          <w:i/>
        </w:rPr>
        <w:t>3753 Gastos por arrendamiento de vehículos en territorio nacional. Asignación sujeta a comprobación de acuerdo a la normatividad en la materia, para cubrir el arrendamiento de vehículos para los servidores públicos que por comisiones deban hacer uso de estos servicios para asistir a lugares distintos a los de su adscripción.”</w:t>
      </w:r>
    </w:p>
    <w:p w14:paraId="39CEF9A0" w14:textId="77777777" w:rsidR="00FB356D" w:rsidRPr="002C3A49" w:rsidRDefault="00FB356D" w:rsidP="00FB356D">
      <w:pPr>
        <w:tabs>
          <w:tab w:val="left" w:pos="4962"/>
        </w:tabs>
        <w:spacing w:after="0" w:line="360" w:lineRule="auto"/>
        <w:rPr>
          <w:rFonts w:ascii="Palatino Linotype" w:hAnsi="Palatino Linotype"/>
        </w:rPr>
      </w:pPr>
    </w:p>
    <w:p w14:paraId="544B4B83" w14:textId="77777777" w:rsidR="00FB356D" w:rsidRPr="002C3A49" w:rsidRDefault="00FB356D" w:rsidP="007360F8">
      <w:pPr>
        <w:tabs>
          <w:tab w:val="left" w:pos="4962"/>
        </w:tabs>
        <w:spacing w:after="0" w:line="360" w:lineRule="auto"/>
        <w:jc w:val="both"/>
        <w:rPr>
          <w:rFonts w:ascii="Palatino Linotype" w:hAnsi="Palatino Linotype"/>
        </w:rPr>
      </w:pPr>
      <w:r w:rsidRPr="002C3A49">
        <w:rPr>
          <w:rFonts w:ascii="Palatino Linotype" w:hAnsi="Palatino Linotype"/>
        </w:rPr>
        <w:t xml:space="preserve">Por su parte el </w:t>
      </w:r>
      <w:r w:rsidRPr="002C3A49">
        <w:rPr>
          <w:rFonts w:ascii="Palatino Linotype" w:hAnsi="Palatino Linotype"/>
          <w:b/>
        </w:rPr>
        <w:t>Subcapítulo 2600 Combustibles, Lubricantes y Aditivos</w:t>
      </w:r>
      <w:r w:rsidRPr="002C3A49">
        <w:rPr>
          <w:rFonts w:ascii="Palatino Linotype" w:hAnsi="Palatino Linotype"/>
        </w:rPr>
        <w:t xml:space="preserve">. </w:t>
      </w:r>
      <w:r w:rsidRPr="002C3A49">
        <w:rPr>
          <w:rFonts w:ascii="Palatino Linotype" w:hAnsi="Palatino Linotype"/>
          <w:i/>
        </w:rPr>
        <w:t>Asignaciones destinadas a la adquisición de combustibles, lubricantes y aditivos de todo tipo, necesarios para el funcionamiento de vehículos de transportes terrestres, aéreos, marítimos, lacustres y fluviales; así como de maquinaria y equipo</w:t>
      </w:r>
      <w:r w:rsidRPr="002C3A49">
        <w:rPr>
          <w:rFonts w:ascii="Palatino Linotype" w:hAnsi="Palatino Linotype"/>
        </w:rPr>
        <w:t>., determina el pago de combustible (gasolina).</w:t>
      </w:r>
    </w:p>
    <w:p w14:paraId="679CB901" w14:textId="77777777" w:rsidR="00FB356D" w:rsidRPr="002C3A49" w:rsidRDefault="00FB356D" w:rsidP="00FB356D">
      <w:pPr>
        <w:tabs>
          <w:tab w:val="left" w:pos="4962"/>
        </w:tabs>
        <w:spacing w:after="0" w:line="360" w:lineRule="auto"/>
        <w:rPr>
          <w:rFonts w:ascii="Palatino Linotype" w:hAnsi="Palatino Linotype"/>
        </w:rPr>
      </w:pPr>
    </w:p>
    <w:p w14:paraId="02724218" w14:textId="77777777" w:rsidR="00FB356D" w:rsidRPr="002C3A49" w:rsidRDefault="00FB356D" w:rsidP="007360F8">
      <w:pPr>
        <w:tabs>
          <w:tab w:val="left" w:pos="4962"/>
        </w:tabs>
        <w:spacing w:after="0" w:line="360" w:lineRule="auto"/>
        <w:ind w:left="567" w:right="567"/>
        <w:jc w:val="both"/>
        <w:rPr>
          <w:rFonts w:ascii="Palatino Linotype" w:hAnsi="Palatino Linotype"/>
          <w:i/>
        </w:rPr>
      </w:pPr>
      <w:r w:rsidRPr="002C3A49">
        <w:rPr>
          <w:rFonts w:ascii="Palatino Linotype" w:hAnsi="Palatino Linotype"/>
          <w:i/>
        </w:rPr>
        <w:lastRenderedPageBreak/>
        <w:t>“2610 Combustibles, lubricantes y aditivos. Asignaciones destinadas a la adquisición de productos derivados del petróleo (como gasolina, diésel, leña, etc.), aceites y grasas lubricantes para el uso en equipo de transporte e industrial y regeneración de aceite usado. Incluye el etanol y el biogás, entre otros. Excluye el petróleo crudo y gas natural, así como los combustibles utilizados como materia prima.</w:t>
      </w:r>
    </w:p>
    <w:p w14:paraId="745E4751" w14:textId="77777777" w:rsidR="00FB356D" w:rsidRPr="002C3A49" w:rsidRDefault="00FB356D" w:rsidP="007360F8">
      <w:pPr>
        <w:tabs>
          <w:tab w:val="left" w:pos="4962"/>
        </w:tabs>
        <w:spacing w:after="0" w:line="360" w:lineRule="auto"/>
        <w:ind w:left="567" w:right="567"/>
        <w:jc w:val="both"/>
        <w:rPr>
          <w:rFonts w:ascii="Palatino Linotype" w:hAnsi="Palatino Linotype"/>
          <w:i/>
        </w:rPr>
      </w:pPr>
    </w:p>
    <w:p w14:paraId="5FE2DBE6" w14:textId="77777777" w:rsidR="00FB356D" w:rsidRPr="002C3A49" w:rsidRDefault="00FB356D" w:rsidP="007360F8">
      <w:pPr>
        <w:tabs>
          <w:tab w:val="left" w:pos="4962"/>
        </w:tabs>
        <w:spacing w:after="0" w:line="360" w:lineRule="auto"/>
        <w:ind w:left="567" w:right="567"/>
        <w:jc w:val="both"/>
        <w:rPr>
          <w:rFonts w:ascii="Palatino Linotype" w:hAnsi="Palatino Linotype"/>
          <w:i/>
        </w:rPr>
      </w:pPr>
      <w:r w:rsidRPr="002C3A49">
        <w:rPr>
          <w:rFonts w:ascii="Palatino Linotype" w:hAnsi="Palatino Linotype"/>
          <w:i/>
        </w:rPr>
        <w:t>2611 Combustibles, lubricantes y aditivos. Asignaciones destinadas a la adquisición de toda clase de combustibles, en estado líquido o gaseoso, crudos o refinados, así como de lubricantes y aditivos, requeridos para el funcionamiento de vehículos y equipos de transporte terrestre, aéreo o lacustre, así como, para maquinaria, equipo de producción, Plantas de emergencia, servicios administrativos y elaboración de alimentos.”</w:t>
      </w:r>
    </w:p>
    <w:p w14:paraId="1D1ADF7F" w14:textId="77777777" w:rsidR="00FB356D" w:rsidRPr="002C3A49" w:rsidRDefault="00FB356D" w:rsidP="00FB356D">
      <w:pPr>
        <w:tabs>
          <w:tab w:val="left" w:pos="4962"/>
        </w:tabs>
        <w:spacing w:after="0" w:line="360" w:lineRule="auto"/>
        <w:rPr>
          <w:rFonts w:ascii="Palatino Linotype" w:hAnsi="Palatino Linotype"/>
        </w:rPr>
      </w:pPr>
    </w:p>
    <w:p w14:paraId="2AFCD5EB" w14:textId="77777777" w:rsidR="00FB356D" w:rsidRPr="002C3A49" w:rsidRDefault="00FB356D" w:rsidP="007360F8">
      <w:pPr>
        <w:tabs>
          <w:tab w:val="left" w:pos="4962"/>
        </w:tabs>
        <w:spacing w:after="0" w:line="360" w:lineRule="auto"/>
        <w:jc w:val="both"/>
        <w:rPr>
          <w:rFonts w:ascii="Palatino Linotype" w:hAnsi="Palatino Linotype"/>
        </w:rPr>
      </w:pPr>
      <w:r w:rsidRPr="002C3A49">
        <w:rPr>
          <w:rFonts w:ascii="Palatino Linotype" w:hAnsi="Palatino Linotype"/>
        </w:rPr>
        <w:t>En este contexto, la asignación de gasolina no está supeditada a la existencia de un viaje de carácter nacional que implique la movilización fuera del territorio de donde comúnmente, se desarrollan las actividades de los servidores públicos.</w:t>
      </w:r>
    </w:p>
    <w:p w14:paraId="40A7567D" w14:textId="77777777" w:rsidR="00FB356D" w:rsidRPr="002C3A49" w:rsidRDefault="00FB356D" w:rsidP="007360F8">
      <w:pPr>
        <w:tabs>
          <w:tab w:val="left" w:pos="4962"/>
        </w:tabs>
        <w:spacing w:after="0" w:line="360" w:lineRule="auto"/>
        <w:jc w:val="both"/>
        <w:rPr>
          <w:rFonts w:ascii="Palatino Linotype" w:hAnsi="Palatino Linotype"/>
        </w:rPr>
      </w:pPr>
    </w:p>
    <w:p w14:paraId="6EADC323" w14:textId="77777777" w:rsidR="00FB356D" w:rsidRPr="002C3A49" w:rsidRDefault="00FB356D" w:rsidP="007360F8">
      <w:pPr>
        <w:tabs>
          <w:tab w:val="left" w:pos="4962"/>
        </w:tabs>
        <w:spacing w:after="0" w:line="360" w:lineRule="auto"/>
        <w:jc w:val="both"/>
        <w:rPr>
          <w:rFonts w:ascii="Palatino Linotype" w:hAnsi="Palatino Linotype"/>
        </w:rPr>
      </w:pPr>
      <w:r w:rsidRPr="002C3A49">
        <w:rPr>
          <w:rFonts w:ascii="Palatino Linotype" w:hAnsi="Palatino Linotype"/>
        </w:rPr>
        <w:t>Asimismo, el Anexo 4.5 Glosario de Términos, del Manual para la Planeación, Programación y Presupuesto de Egresos Municipal para el ejercicio fiscal dos mil veinticinco, que establece que el presupuesto es la estimación financiera anticipada de los egresos e ingresos del gobierno, necesario para cumplir con los propósitos de un programa determinado; por otra parte, establece lo siguiente:</w:t>
      </w:r>
    </w:p>
    <w:p w14:paraId="1B240BBB" w14:textId="77777777" w:rsidR="00FB356D" w:rsidRPr="002C3A49" w:rsidRDefault="00FB356D" w:rsidP="007360F8">
      <w:pPr>
        <w:tabs>
          <w:tab w:val="left" w:pos="4962"/>
        </w:tabs>
        <w:spacing w:after="0" w:line="360" w:lineRule="auto"/>
        <w:jc w:val="both"/>
        <w:rPr>
          <w:rFonts w:ascii="Palatino Linotype" w:hAnsi="Palatino Linotype"/>
        </w:rPr>
      </w:pPr>
    </w:p>
    <w:p w14:paraId="50E2BBB5" w14:textId="77777777" w:rsidR="00FB356D" w:rsidRPr="002C3A49" w:rsidRDefault="00FB356D" w:rsidP="007360F8">
      <w:pPr>
        <w:numPr>
          <w:ilvl w:val="0"/>
          <w:numId w:val="13"/>
        </w:numPr>
        <w:pBdr>
          <w:top w:val="nil"/>
          <w:left w:val="nil"/>
          <w:bottom w:val="nil"/>
          <w:right w:val="nil"/>
          <w:between w:val="nil"/>
        </w:pBdr>
        <w:tabs>
          <w:tab w:val="left" w:pos="4962"/>
        </w:tabs>
        <w:spacing w:after="0" w:line="360" w:lineRule="auto"/>
        <w:jc w:val="both"/>
        <w:rPr>
          <w:rFonts w:ascii="Palatino Linotype" w:hAnsi="Palatino Linotype"/>
        </w:rPr>
      </w:pPr>
      <w:r w:rsidRPr="002C3A49">
        <w:rPr>
          <w:rFonts w:ascii="Palatino Linotype" w:hAnsi="Palatino Linotype"/>
        </w:rPr>
        <w:t>Presupuesto Autorizado: Es el monto de recursos que se autoriza ejercer en un ejercicio fiscal, a través del Decreto del Presupuesto de Egresos.</w:t>
      </w:r>
    </w:p>
    <w:p w14:paraId="2547E021" w14:textId="77777777" w:rsidR="00FB356D" w:rsidRPr="002C3A49" w:rsidRDefault="00FB356D" w:rsidP="007360F8">
      <w:pPr>
        <w:numPr>
          <w:ilvl w:val="0"/>
          <w:numId w:val="13"/>
        </w:numPr>
        <w:pBdr>
          <w:top w:val="nil"/>
          <w:left w:val="nil"/>
          <w:bottom w:val="nil"/>
          <w:right w:val="nil"/>
          <w:between w:val="nil"/>
        </w:pBdr>
        <w:tabs>
          <w:tab w:val="left" w:pos="4962"/>
        </w:tabs>
        <w:spacing w:after="0" w:line="360" w:lineRule="auto"/>
        <w:jc w:val="both"/>
        <w:rPr>
          <w:rFonts w:ascii="Palatino Linotype" w:hAnsi="Palatino Linotype"/>
        </w:rPr>
      </w:pPr>
      <w:r w:rsidRPr="002C3A49">
        <w:rPr>
          <w:rFonts w:ascii="Palatino Linotype" w:hAnsi="Palatino Linotype"/>
        </w:rPr>
        <w:t>Presupuesto Ejercido: Es el importe de erogaciones realizadas, respaldadas por los documentos comprobatorios presentados a la dependencia una vez autorizadas para su pago, con cargo al presupuesto autorizado.</w:t>
      </w:r>
    </w:p>
    <w:p w14:paraId="516E0F81" w14:textId="77777777" w:rsidR="00FB356D" w:rsidRPr="002C3A49" w:rsidRDefault="00FB356D" w:rsidP="007360F8">
      <w:pPr>
        <w:tabs>
          <w:tab w:val="left" w:pos="4962"/>
        </w:tabs>
        <w:spacing w:after="0" w:line="360" w:lineRule="auto"/>
        <w:jc w:val="both"/>
        <w:rPr>
          <w:rFonts w:ascii="Palatino Linotype" w:hAnsi="Palatino Linotype"/>
        </w:rPr>
      </w:pPr>
    </w:p>
    <w:p w14:paraId="0655A694" w14:textId="77777777" w:rsidR="00FB356D" w:rsidRPr="002C3A49" w:rsidRDefault="00FB356D" w:rsidP="007360F8">
      <w:pPr>
        <w:tabs>
          <w:tab w:val="left" w:pos="4962"/>
        </w:tabs>
        <w:spacing w:after="0" w:line="360" w:lineRule="auto"/>
        <w:jc w:val="both"/>
        <w:rPr>
          <w:rFonts w:ascii="Palatino Linotype" w:hAnsi="Palatino Linotype"/>
        </w:rPr>
      </w:pPr>
      <w:r w:rsidRPr="002C3A49">
        <w:rPr>
          <w:rFonts w:ascii="Palatino Linotype" w:hAnsi="Palatino Linotype"/>
        </w:rPr>
        <w:lastRenderedPageBreak/>
        <w:t>Además, precisa que el gasto público es el conjunto de erogaciones que, por concepto de gasto corriente, inversión física y financiera, así como pagos de pasivo o deuda pública y transferencia realiza el Gobierno Municipal; este se puede subdividir en gasto social que consiste en el gasto público destinado al financiamiento de los servicios sociales básicos, así como gastos de representación.</w:t>
      </w:r>
    </w:p>
    <w:p w14:paraId="1EE41FA9" w14:textId="77777777" w:rsidR="00FB356D" w:rsidRPr="002C3A49" w:rsidRDefault="00FB356D" w:rsidP="007360F8">
      <w:pPr>
        <w:tabs>
          <w:tab w:val="left" w:pos="4962"/>
        </w:tabs>
        <w:spacing w:after="0" w:line="360" w:lineRule="auto"/>
        <w:jc w:val="both"/>
        <w:rPr>
          <w:rFonts w:ascii="Palatino Linotype" w:hAnsi="Palatino Linotype"/>
        </w:rPr>
      </w:pPr>
    </w:p>
    <w:p w14:paraId="309F4A19" w14:textId="77777777" w:rsidR="00FB356D" w:rsidRPr="002C3A49" w:rsidRDefault="00FB356D" w:rsidP="007360F8">
      <w:pPr>
        <w:widowControl w:val="0"/>
        <w:spacing w:after="0" w:line="360" w:lineRule="auto"/>
        <w:jc w:val="both"/>
        <w:rPr>
          <w:rFonts w:ascii="Palatino Linotype" w:hAnsi="Palatino Linotype"/>
        </w:rPr>
      </w:pPr>
      <w:r w:rsidRPr="002C3A49">
        <w:rPr>
          <w:rFonts w:ascii="Palatino Linotype" w:hAnsi="Palatino Linotype"/>
        </w:rPr>
        <w:t xml:space="preserve">Cabe señalar que en función a que dicha información se relaciona con la adquisiciones de bienes en este caso, de combustible, </w:t>
      </w:r>
      <w:r w:rsidRPr="002C3A49">
        <w:rPr>
          <w:rFonts w:ascii="Palatino Linotype" w:hAnsi="Palatino Linotype"/>
          <w:b/>
          <w:bCs/>
          <w:u w:val="single"/>
        </w:rPr>
        <w:t>tiene el carácter de pública</w:t>
      </w:r>
      <w:r w:rsidRPr="002C3A49">
        <w:rPr>
          <w:rFonts w:ascii="Palatino Linotype" w:hAnsi="Palatino Linotype"/>
        </w:rPr>
        <w:t xml:space="preserve">; así mismo, el artículo 92 fracciones IX y XXIX, de la Ley de Transparencia y Acceso a la Información Pública del Estado de México y Municipios, precisa que es información que la información sobre los procesos y resultados sobre procedimientos de adjudicación directa, invitación restringida y licitación de cualquier naturaleza, que incluye la versión pública del expediente respectivo y comprobantes como facturas; de igual forma se advierte que los gastos de representación y viáticos, es información pública de oficio; </w:t>
      </w:r>
      <w:r w:rsidRPr="002C3A49">
        <w:rPr>
          <w:rFonts w:ascii="Palatino Linotype" w:hAnsi="Palatino Linotype"/>
          <w:b/>
        </w:rPr>
        <w:t>por lo que la información solicitada tiene el carácter de pública</w:t>
      </w:r>
      <w:r w:rsidRPr="002C3A49">
        <w:rPr>
          <w:rFonts w:ascii="Palatino Linotype" w:hAnsi="Palatino Linotype"/>
        </w:rPr>
        <w:t xml:space="preserve">. </w:t>
      </w:r>
    </w:p>
    <w:p w14:paraId="1BB1D591" w14:textId="77777777" w:rsidR="00FB356D" w:rsidRPr="002C3A49" w:rsidRDefault="00FB356D" w:rsidP="00FB356D">
      <w:pPr>
        <w:spacing w:after="0" w:line="360" w:lineRule="auto"/>
        <w:rPr>
          <w:rFonts w:ascii="Palatino Linotype" w:hAnsi="Palatino Linotype"/>
          <w:b/>
        </w:rPr>
      </w:pPr>
    </w:p>
    <w:p w14:paraId="105ADCDE" w14:textId="2F9F03E5" w:rsidR="00FB356D" w:rsidRPr="002C3A49" w:rsidRDefault="00FB356D" w:rsidP="00FB356D">
      <w:pPr>
        <w:numPr>
          <w:ilvl w:val="0"/>
          <w:numId w:val="12"/>
        </w:numPr>
        <w:pBdr>
          <w:top w:val="nil"/>
          <w:left w:val="nil"/>
          <w:bottom w:val="nil"/>
          <w:right w:val="nil"/>
          <w:between w:val="nil"/>
        </w:pBdr>
        <w:spacing w:after="0" w:line="360" w:lineRule="auto"/>
        <w:jc w:val="both"/>
        <w:rPr>
          <w:rFonts w:ascii="Palatino Linotype" w:hAnsi="Palatino Linotype"/>
          <w:b/>
        </w:rPr>
      </w:pPr>
      <w:r w:rsidRPr="002C3A49">
        <w:rPr>
          <w:rFonts w:ascii="Palatino Linotype" w:hAnsi="Palatino Linotype"/>
          <w:b/>
        </w:rPr>
        <w:t xml:space="preserve">De los oficios de comisión </w:t>
      </w:r>
      <w:r w:rsidR="007360F8" w:rsidRPr="002C3A49">
        <w:rPr>
          <w:rFonts w:ascii="Palatino Linotype" w:hAnsi="Palatino Linotype"/>
          <w:b/>
        </w:rPr>
        <w:t xml:space="preserve">o invitaciones </w:t>
      </w:r>
      <w:r w:rsidRPr="002C3A49">
        <w:rPr>
          <w:rFonts w:ascii="Palatino Linotype" w:hAnsi="Palatino Linotype"/>
          <w:b/>
        </w:rPr>
        <w:t xml:space="preserve">que justifiquen el pago de </w:t>
      </w:r>
      <w:r w:rsidR="007360F8" w:rsidRPr="002C3A49">
        <w:rPr>
          <w:rFonts w:ascii="Palatino Linotype" w:hAnsi="Palatino Linotype"/>
          <w:b/>
        </w:rPr>
        <w:t xml:space="preserve">combustible y </w:t>
      </w:r>
      <w:r w:rsidRPr="002C3A49">
        <w:rPr>
          <w:rFonts w:ascii="Palatino Linotype" w:hAnsi="Palatino Linotype"/>
          <w:b/>
        </w:rPr>
        <w:t xml:space="preserve">viáticos. </w:t>
      </w:r>
    </w:p>
    <w:p w14:paraId="08D7E52D" w14:textId="77777777" w:rsidR="00FB356D" w:rsidRPr="002C3A49" w:rsidRDefault="00FB356D" w:rsidP="00FB356D">
      <w:pPr>
        <w:spacing w:after="0" w:line="360" w:lineRule="auto"/>
        <w:rPr>
          <w:rFonts w:ascii="Palatino Linotype" w:hAnsi="Palatino Linotype"/>
        </w:rPr>
      </w:pPr>
    </w:p>
    <w:p w14:paraId="5D7FAF7C" w14:textId="0A423DE3" w:rsidR="00FB356D" w:rsidRPr="002C3A49" w:rsidRDefault="00FB356D" w:rsidP="009B3718">
      <w:pPr>
        <w:spacing w:after="0" w:line="360" w:lineRule="auto"/>
        <w:jc w:val="both"/>
        <w:rPr>
          <w:rFonts w:ascii="Palatino Linotype" w:hAnsi="Palatino Linotype"/>
        </w:rPr>
      </w:pPr>
      <w:r w:rsidRPr="002C3A49">
        <w:rPr>
          <w:rFonts w:ascii="Palatino Linotype" w:hAnsi="Palatino Linotype"/>
        </w:rPr>
        <w:t xml:space="preserve">Ahora bien, respecto a </w:t>
      </w:r>
      <w:r w:rsidR="007360F8" w:rsidRPr="002C3A49">
        <w:rPr>
          <w:rFonts w:ascii="Palatino Linotype" w:hAnsi="Palatino Linotype"/>
        </w:rPr>
        <w:t>oficios de comisión o invitaciones</w:t>
      </w:r>
      <w:r w:rsidRPr="002C3A49">
        <w:rPr>
          <w:rFonts w:ascii="Palatino Linotype" w:hAnsi="Palatino Linotype"/>
        </w:rPr>
        <w:t xml:space="preserve"> en materia de asistencia a algún evento que justifique el pago de</w:t>
      </w:r>
      <w:r w:rsidR="007360F8" w:rsidRPr="002C3A49">
        <w:rPr>
          <w:rFonts w:ascii="Palatino Linotype" w:hAnsi="Palatino Linotype"/>
        </w:rPr>
        <w:t xml:space="preserve"> combustible y</w:t>
      </w:r>
      <w:r w:rsidRPr="002C3A49">
        <w:rPr>
          <w:rFonts w:ascii="Palatino Linotype" w:hAnsi="Palatino Linotype"/>
        </w:rPr>
        <w:t xml:space="preserve"> viáticos, vale mencionar que </w:t>
      </w:r>
      <w:r w:rsidR="009B3718" w:rsidRPr="002C3A49">
        <w:rPr>
          <w:rFonts w:ascii="Palatino Linotype" w:hAnsi="Palatino Linotype"/>
        </w:rPr>
        <w:t xml:space="preserve">el Reglamento Interno de la Dirección de Administración y Finanzas </w:t>
      </w:r>
      <w:r w:rsidRPr="002C3A49">
        <w:rPr>
          <w:rFonts w:ascii="Palatino Linotype" w:hAnsi="Palatino Linotype"/>
        </w:rPr>
        <w:t>de Villa de Allende, se advierte que</w:t>
      </w:r>
      <w:r w:rsidR="009B3718" w:rsidRPr="002C3A49">
        <w:rPr>
          <w:rFonts w:ascii="Palatino Linotype" w:hAnsi="Palatino Linotype"/>
        </w:rPr>
        <w:t xml:space="preserve"> dicha unidad administrativa tiene entre sus atribuciones la de administrar los recursos humanos, financieros, técnicos y materiales</w:t>
      </w:r>
      <w:r w:rsidRPr="002C3A49">
        <w:rPr>
          <w:rFonts w:ascii="Palatino Linotype" w:hAnsi="Palatino Linotype"/>
        </w:rPr>
        <w:t xml:space="preserve">, </w:t>
      </w:r>
      <w:r w:rsidR="009B3718" w:rsidRPr="002C3A49">
        <w:rPr>
          <w:rFonts w:ascii="Palatino Linotype" w:hAnsi="Palatino Linotype"/>
        </w:rPr>
        <w:t xml:space="preserve">por lo que </w:t>
      </w:r>
      <w:r w:rsidRPr="002C3A49">
        <w:rPr>
          <w:rFonts w:ascii="Palatino Linotype" w:hAnsi="Palatino Linotype"/>
        </w:rPr>
        <w:t xml:space="preserve">dicha área puede conocer de la información solicitada. </w:t>
      </w:r>
    </w:p>
    <w:p w14:paraId="067C1479" w14:textId="77777777" w:rsidR="00FB356D" w:rsidRPr="002C3A49" w:rsidRDefault="00FB356D" w:rsidP="00FB356D">
      <w:pPr>
        <w:spacing w:after="0" w:line="360" w:lineRule="auto"/>
        <w:rPr>
          <w:rFonts w:ascii="Palatino Linotype" w:hAnsi="Palatino Linotype"/>
        </w:rPr>
      </w:pPr>
    </w:p>
    <w:p w14:paraId="64DFD055" w14:textId="01D79C89" w:rsidR="00FB356D" w:rsidRPr="002C3A49" w:rsidRDefault="00FB356D" w:rsidP="009B3718">
      <w:pPr>
        <w:spacing w:after="0" w:line="360" w:lineRule="auto"/>
        <w:jc w:val="both"/>
        <w:rPr>
          <w:rFonts w:ascii="Palatino Linotype" w:hAnsi="Palatino Linotype"/>
        </w:rPr>
      </w:pPr>
      <w:r w:rsidRPr="002C3A49">
        <w:rPr>
          <w:rFonts w:ascii="Palatino Linotype" w:hAnsi="Palatino Linotype"/>
        </w:rPr>
        <w:t xml:space="preserve">Así, se procede analizar la información proporcionada por el Sujeto Obligado, para lo cual, cabe hacer referencia al </w:t>
      </w:r>
      <w:r w:rsidRPr="002C3A49">
        <w:rPr>
          <w:rFonts w:ascii="Palatino Linotype" w:hAnsi="Palatino Linotype"/>
          <w:b/>
        </w:rPr>
        <w:t xml:space="preserve">procedimiento de búsqueda que deben de seguir los Sujetos </w:t>
      </w:r>
      <w:r w:rsidRPr="002C3A49">
        <w:rPr>
          <w:rFonts w:ascii="Palatino Linotype" w:hAnsi="Palatino Linotype"/>
          <w:b/>
        </w:rPr>
        <w:lastRenderedPageBreak/>
        <w:t>Obligados para localizar la información</w:t>
      </w:r>
      <w:r w:rsidRPr="002C3A49">
        <w:rPr>
          <w:rFonts w:ascii="Palatino Linotype" w:hAnsi="Palatino Linotype"/>
        </w:rPr>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con el objeto de que dichas áreas realicen una búsqueda exhaustiva y razonable de la información requerido.</w:t>
      </w:r>
    </w:p>
    <w:p w14:paraId="410A4186" w14:textId="77777777" w:rsidR="009B3718" w:rsidRPr="002C3A49" w:rsidRDefault="009B3718" w:rsidP="009B3718">
      <w:pPr>
        <w:spacing w:after="0" w:line="360" w:lineRule="auto"/>
        <w:jc w:val="both"/>
        <w:rPr>
          <w:rFonts w:ascii="Palatino Linotype" w:hAnsi="Palatino Linotype"/>
        </w:rPr>
      </w:pPr>
    </w:p>
    <w:p w14:paraId="40C3A9B1" w14:textId="7B0F847E" w:rsidR="009B3718" w:rsidRPr="002C3A49" w:rsidRDefault="009B3718" w:rsidP="00D26846">
      <w:pPr>
        <w:spacing w:after="0" w:line="360" w:lineRule="auto"/>
        <w:ind w:right="-93"/>
        <w:jc w:val="both"/>
        <w:rPr>
          <w:rFonts w:ascii="Palatino Linotype" w:hAnsi="Palatino Linotype"/>
        </w:rPr>
      </w:pPr>
      <w:r w:rsidRPr="002C3A49">
        <w:rPr>
          <w:rFonts w:ascii="Palatino Linotype" w:hAnsi="Palatino Linotype"/>
        </w:rPr>
        <w:t>De lo plasmado en párrafos anteriores, se advierte que el Sujeto Obligado no cumplió con el procedimiento de búsqueda referido, pues no turnó la solicitud de información todas las áreas competentes de conocer lo solicitado, como lo es en este caso la Dirección de Administración y Finanzas del Ayuntamiento</w:t>
      </w:r>
      <w:r w:rsidR="00D26846" w:rsidRPr="002C3A49">
        <w:rPr>
          <w:rFonts w:ascii="Palatino Linotype" w:hAnsi="Palatino Linotype"/>
        </w:rPr>
        <w:t xml:space="preserve"> o la propia Secretaría del Ayuntamiento</w:t>
      </w:r>
      <w:r w:rsidRPr="002C3A49">
        <w:rPr>
          <w:rFonts w:ascii="Palatino Linotype" w:hAnsi="Palatino Linotype"/>
        </w:rPr>
        <w:t>, por lo que hace al segundo requerimiento, esto es, los oficios de comisión o invitaciones que justifiquen el gasto</w:t>
      </w:r>
      <w:r w:rsidR="00D26846" w:rsidRPr="002C3A49">
        <w:rPr>
          <w:rFonts w:ascii="Palatino Linotype" w:hAnsi="Palatino Linotype"/>
        </w:rPr>
        <w:t xml:space="preserve"> de combustible y viáticos</w:t>
      </w:r>
      <w:r w:rsidRPr="002C3A49">
        <w:rPr>
          <w:rFonts w:ascii="Palatino Linotype" w:hAnsi="Palatino Linotype"/>
        </w:rPr>
        <w:t xml:space="preserve">. </w:t>
      </w:r>
    </w:p>
    <w:p w14:paraId="6404084D" w14:textId="09BF4C7D" w:rsidR="009B3718" w:rsidRPr="002C3A49" w:rsidRDefault="009B3718" w:rsidP="009B3718">
      <w:pPr>
        <w:spacing w:after="0" w:line="360" w:lineRule="auto"/>
        <w:ind w:right="-93"/>
        <w:rPr>
          <w:rFonts w:ascii="Palatino Linotype" w:hAnsi="Palatino Linotype"/>
        </w:rPr>
      </w:pPr>
    </w:p>
    <w:p w14:paraId="38A95C34" w14:textId="77777777" w:rsidR="009B3718" w:rsidRPr="002C3A49" w:rsidRDefault="009B3718" w:rsidP="00D26846">
      <w:pPr>
        <w:spacing w:after="0" w:line="360" w:lineRule="auto"/>
        <w:ind w:right="-93"/>
        <w:jc w:val="both"/>
        <w:rPr>
          <w:rFonts w:ascii="Palatino Linotype" w:hAnsi="Palatino Linotype"/>
        </w:rPr>
      </w:pPr>
      <w:r w:rsidRPr="002C3A49">
        <w:rPr>
          <w:rFonts w:ascii="Palatino Linotype" w:hAnsi="Palatino Linotype"/>
        </w:rPr>
        <w:t>Entonces, en el presente caso se debió seguir el procedimiento de búsqueda exhaustiva y razonable de la información, el cual se encuentra previsto en los artículos 160 y 162 de la Ley de Transparencia y Acceso a la Información Pública del Estado de México y Municipios, mismo que es el siguiente:</w:t>
      </w:r>
    </w:p>
    <w:p w14:paraId="5443087D" w14:textId="77777777" w:rsidR="009B3718" w:rsidRPr="002C3A49" w:rsidRDefault="009B3718" w:rsidP="009B3718">
      <w:pPr>
        <w:spacing w:after="0" w:line="360" w:lineRule="auto"/>
        <w:rPr>
          <w:rFonts w:ascii="Palatino Linotype" w:hAnsi="Palatino Linotype"/>
        </w:rPr>
      </w:pPr>
    </w:p>
    <w:p w14:paraId="2AA975D5" w14:textId="77777777" w:rsidR="009B3718" w:rsidRPr="002C3A49" w:rsidRDefault="009B3718" w:rsidP="009B3718">
      <w:pPr>
        <w:numPr>
          <w:ilvl w:val="0"/>
          <w:numId w:val="15"/>
        </w:numPr>
        <w:spacing w:after="0" w:line="360" w:lineRule="auto"/>
        <w:jc w:val="both"/>
        <w:rPr>
          <w:rFonts w:ascii="Palatino Linotype" w:hAnsi="Palatino Linotype"/>
        </w:rPr>
      </w:pPr>
      <w:r w:rsidRPr="002C3A49">
        <w:rPr>
          <w:rFonts w:ascii="Palatino Linotype" w:hAnsi="Palatino Linotype"/>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421A3EBA" w14:textId="77777777" w:rsidR="009B3718" w:rsidRPr="002C3A49" w:rsidRDefault="009B3718" w:rsidP="009B3718">
      <w:pPr>
        <w:spacing w:after="0" w:line="360" w:lineRule="auto"/>
        <w:ind w:left="720"/>
        <w:rPr>
          <w:rFonts w:ascii="Palatino Linotype" w:hAnsi="Palatino Linotype"/>
        </w:rPr>
      </w:pPr>
    </w:p>
    <w:p w14:paraId="03E530F4" w14:textId="77777777" w:rsidR="009B3718" w:rsidRPr="002C3A49" w:rsidRDefault="009B3718" w:rsidP="009B3718">
      <w:pPr>
        <w:numPr>
          <w:ilvl w:val="0"/>
          <w:numId w:val="15"/>
        </w:numPr>
        <w:spacing w:after="0" w:line="360" w:lineRule="auto"/>
        <w:jc w:val="both"/>
        <w:rPr>
          <w:rFonts w:ascii="Palatino Linotype" w:hAnsi="Palatino Linotype"/>
        </w:rPr>
      </w:pPr>
      <w:r w:rsidRPr="002C3A49">
        <w:rPr>
          <w:rFonts w:ascii="Palatino Linotype" w:hAnsi="Palatino Linotype"/>
        </w:rPr>
        <w:t xml:space="preserve">Los sujetos obligados otorgarán acceso a los documentos que se encuentren en sus archivos o que estén obligados a documentar de acuerdo con sus facultades, </w:t>
      </w:r>
      <w:r w:rsidRPr="002C3A49">
        <w:rPr>
          <w:rFonts w:ascii="Palatino Linotype" w:hAnsi="Palatino Linotype"/>
        </w:rPr>
        <w:lastRenderedPageBreak/>
        <w:t>competencias o funciones, en el formato en que el solicitante manifieste, de entre aquellos formatos existentes.</w:t>
      </w:r>
    </w:p>
    <w:p w14:paraId="0A93A9C8" w14:textId="77777777" w:rsidR="009B3718" w:rsidRPr="002C3A49" w:rsidRDefault="009B3718" w:rsidP="009B3718">
      <w:pPr>
        <w:spacing w:after="0" w:line="360" w:lineRule="auto"/>
        <w:rPr>
          <w:rFonts w:ascii="Palatino Linotype" w:hAnsi="Palatino Linotype"/>
        </w:rPr>
      </w:pPr>
    </w:p>
    <w:p w14:paraId="0AE61B13" w14:textId="7584A963" w:rsidR="009B3718" w:rsidRPr="002C3A49" w:rsidRDefault="009B3718" w:rsidP="00371DD8">
      <w:pPr>
        <w:spacing w:after="0" w:line="360" w:lineRule="auto"/>
        <w:ind w:right="-93"/>
        <w:jc w:val="both"/>
        <w:rPr>
          <w:rFonts w:ascii="Palatino Linotype" w:hAnsi="Palatino Linotype"/>
        </w:rPr>
      </w:pPr>
      <w:r w:rsidRPr="002C3A49">
        <w:rPr>
          <w:rFonts w:ascii="Palatino Linotype" w:hAnsi="Palatino Linotype"/>
        </w:rPr>
        <w:t xml:space="preserve">Así pues, para el caso que nos ocupa, el Sujeto Obligado debió turnar la solicitud de información también a la citada Dirección de Administración y Finanzas o bien </w:t>
      </w:r>
      <w:r w:rsidR="00371DD8" w:rsidRPr="002C3A49">
        <w:rPr>
          <w:rFonts w:ascii="Palatino Linotype" w:hAnsi="Palatino Linotype"/>
        </w:rPr>
        <w:t xml:space="preserve">a la propia Secretaría del Ayuntamiento. </w:t>
      </w:r>
      <w:r w:rsidRPr="002C3A49">
        <w:rPr>
          <w:rFonts w:ascii="Palatino Linotype" w:hAnsi="Palatino Linotype"/>
        </w:rPr>
        <w:t xml:space="preserve"> </w:t>
      </w:r>
    </w:p>
    <w:p w14:paraId="7CD2DEBD" w14:textId="3F6D4590" w:rsidR="009B3718" w:rsidRPr="002C3A49" w:rsidRDefault="009B3718" w:rsidP="009B3718">
      <w:pPr>
        <w:spacing w:after="0" w:line="360" w:lineRule="auto"/>
        <w:ind w:right="-93"/>
        <w:rPr>
          <w:rFonts w:ascii="Palatino Linotype" w:hAnsi="Palatino Linotype"/>
        </w:rPr>
      </w:pPr>
    </w:p>
    <w:p w14:paraId="2D51C9C9" w14:textId="245B5414" w:rsidR="009B3718" w:rsidRPr="002C3A49" w:rsidRDefault="009B3718" w:rsidP="009B3718">
      <w:pPr>
        <w:spacing w:after="0" w:line="360" w:lineRule="auto"/>
        <w:ind w:right="-93"/>
        <w:jc w:val="both"/>
        <w:rPr>
          <w:rFonts w:ascii="Palatino Linotype" w:hAnsi="Palatino Linotype"/>
        </w:rPr>
      </w:pPr>
      <w:r w:rsidRPr="002C3A49">
        <w:rPr>
          <w:rFonts w:ascii="Palatino Linotype" w:hAnsi="Palatino Linotype"/>
        </w:rPr>
        <w:t xml:space="preserve">Ahora bien, de la respuesta se advierte que el Sujeto Obligado señala que la información podría tener información sensible por lo que no era posible su entrega en la vía solicitada y que se invita a consultar la información de manera directa. </w:t>
      </w:r>
    </w:p>
    <w:p w14:paraId="4D7BF99B"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Ahora bien, en lo que respecta al cambio de modalidad propuesto por el Sujeto Obligado, se tiene lo siguiente: </w:t>
      </w:r>
    </w:p>
    <w:p w14:paraId="7FE61225" w14:textId="77777777" w:rsidR="00371DD8" w:rsidRPr="002C3A49" w:rsidRDefault="00371DD8" w:rsidP="00371DD8">
      <w:pPr>
        <w:numPr>
          <w:ilvl w:val="0"/>
          <w:numId w:val="16"/>
        </w:num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Del cambio de modalidad.</w:t>
      </w:r>
      <w:r w:rsidRPr="002C3A49">
        <w:rPr>
          <w:rFonts w:ascii="Palatino Linotype" w:eastAsia="Palatino Linotype" w:hAnsi="Palatino Linotype" w:cs="Palatino Linotype"/>
        </w:rPr>
        <w:t xml:space="preserve"> </w:t>
      </w:r>
    </w:p>
    <w:p w14:paraId="66722CB0"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En principio, es de recordar que el Recurrente al momento de presentar la solicitud de información que dio origen al Recurso de Revisión que nos ocupa, eligió como modalidad de entrega </w:t>
      </w:r>
      <w:r w:rsidRPr="002C3A49">
        <w:rPr>
          <w:rFonts w:ascii="Palatino Linotype" w:eastAsia="Palatino Linotype" w:hAnsi="Palatino Linotype" w:cs="Palatino Linotype"/>
          <w:i/>
        </w:rPr>
        <w:t>“Sistema de Acceso a la Información Pública Mexiquense”</w:t>
      </w:r>
      <w:r w:rsidRPr="002C3A49">
        <w:rPr>
          <w:rFonts w:ascii="Palatino Linotype" w:eastAsia="Palatino Linotype" w:hAnsi="Palatino Linotype" w:cs="Palatino Linotype"/>
        </w:rPr>
        <w:t xml:space="preserve">.  </w:t>
      </w:r>
    </w:p>
    <w:p w14:paraId="59FAF9B6"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De tal forma, resulta necesario traer a colación que el artículo 155, fracción V de la Ley de Transparencia y Acceso a la Información Pública del Estado de México y Municipios precisa que, para presentar una solicitud de información, el particular podrá señalar la modalidad en la que prefiere se otorgue el acceso a esta, tal como se observa a la literalidad:</w:t>
      </w:r>
    </w:p>
    <w:p w14:paraId="27F30221" w14:textId="77777777" w:rsidR="00371DD8" w:rsidRPr="002C3A49" w:rsidRDefault="00371DD8" w:rsidP="00371DD8">
      <w:pPr>
        <w:spacing w:before="240" w:after="240" w:line="360"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b/>
          <w:i/>
        </w:rPr>
        <w:t>Artículo 155.</w:t>
      </w:r>
      <w:r w:rsidRPr="002C3A49">
        <w:rPr>
          <w:rFonts w:ascii="Palatino Linotype" w:eastAsia="Palatino Linotype" w:hAnsi="Palatino Linotype" w:cs="Palatino Linotype"/>
          <w:i/>
        </w:rPr>
        <w:t xml:space="preserve"> Para presentar una solicitud por escrito, no se podrán exigir mayores requisitos que los siguientes:</w:t>
      </w:r>
    </w:p>
    <w:p w14:paraId="30A57844" w14:textId="77777777" w:rsidR="00371DD8" w:rsidRPr="002C3A49" w:rsidRDefault="00371DD8" w:rsidP="00371DD8">
      <w:pPr>
        <w:spacing w:before="240" w:after="240" w:line="360"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p>
    <w:p w14:paraId="57039F18" w14:textId="77777777" w:rsidR="00371DD8" w:rsidRPr="002C3A49" w:rsidRDefault="00371DD8" w:rsidP="00371DD8">
      <w:pPr>
        <w:spacing w:before="240" w:after="240" w:line="360"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lastRenderedPageBreak/>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0FB461E" w14:textId="77777777" w:rsidR="00371DD8" w:rsidRPr="002C3A49" w:rsidRDefault="00371DD8" w:rsidP="00371DD8">
      <w:pPr>
        <w:spacing w:before="240" w:after="240" w:line="360"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w:t>
      </w:r>
    </w:p>
    <w:p w14:paraId="451696FD" w14:textId="77777777" w:rsidR="00371DD8" w:rsidRPr="002C3A49" w:rsidRDefault="00371DD8" w:rsidP="00371DD8">
      <w:pP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rPr>
        <w:t xml:space="preserve">El artículo 158, dispone que, de manera excepcional, cuando de manera fundada y motivada lo determine el Sujeto Obligado, </w:t>
      </w:r>
      <w:r w:rsidRPr="002C3A49">
        <w:rPr>
          <w:rFonts w:ascii="Palatino Linotype" w:eastAsia="Palatino Linotype" w:hAnsi="Palatino Linotype" w:cs="Palatino Linotype"/>
          <w:b/>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5A3194FE"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En el mismo orden de ideas, el artículo 164 de la Ley en la materia dispone que el acceso, se dará en la modalidad de entrega y, en su caso, de envío elegidos por el solicitante, de tal modo que, para el caso que no pueda entregarse o enviarse en la modalidad elegida, el sujeto obligado deberá ofrecer otra y otras modalidades de entrega, para lo que </w:t>
      </w:r>
      <w:r w:rsidRPr="002C3A49">
        <w:rPr>
          <w:rFonts w:ascii="Palatino Linotype" w:eastAsia="Palatino Linotype" w:hAnsi="Palatino Linotype" w:cs="Palatino Linotype"/>
          <w:b/>
        </w:rPr>
        <w:t>se deberá fundar y motivar dicha necesidad</w:t>
      </w:r>
      <w:r w:rsidRPr="002C3A49">
        <w:rPr>
          <w:rFonts w:ascii="Palatino Linotype" w:eastAsia="Palatino Linotype" w:hAnsi="Palatino Linotype" w:cs="Palatino Linotype"/>
        </w:rPr>
        <w:t xml:space="preserve">, como se advierte a continuación: </w:t>
      </w:r>
    </w:p>
    <w:p w14:paraId="668551C7" w14:textId="77777777" w:rsidR="00371DD8" w:rsidRPr="002C3A49" w:rsidRDefault="00371DD8" w:rsidP="00371DD8">
      <w:pPr>
        <w:spacing w:before="240" w:after="240" w:line="360"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b/>
          <w:i/>
        </w:rPr>
        <w:t>Artículo 164.</w:t>
      </w:r>
      <w:r w:rsidRPr="002C3A49">
        <w:rPr>
          <w:rFonts w:ascii="Palatino Linotype" w:eastAsia="Palatino Linotype" w:hAnsi="Palatino Linotype" w:cs="Palatino Linotype"/>
          <w:i/>
        </w:rPr>
        <w:t xml:space="preserve"> El acceso se dará en la modalidad de entrega y, en su caso, de envío elegidos por el solicitante. Cuando la información no pueda entregarse o enviarse en la modalidad solicitada, el sujeto obligado deberá ofrecer otra u otras modalidades de entrega. </w:t>
      </w:r>
    </w:p>
    <w:p w14:paraId="239F2965" w14:textId="77777777" w:rsidR="00371DD8" w:rsidRPr="002C3A49" w:rsidRDefault="00371DD8" w:rsidP="00371DD8">
      <w:pPr>
        <w:spacing w:before="240" w:after="240" w:line="360" w:lineRule="auto"/>
        <w:ind w:left="851" w:right="616"/>
        <w:jc w:val="both"/>
        <w:rPr>
          <w:rFonts w:ascii="Palatino Linotype" w:eastAsia="Palatino Linotype" w:hAnsi="Palatino Linotype" w:cs="Palatino Linotype"/>
          <w:i/>
        </w:rPr>
      </w:pPr>
      <w:r w:rsidRPr="002C3A49">
        <w:rPr>
          <w:rFonts w:ascii="Palatino Linotype" w:eastAsia="Palatino Linotype" w:hAnsi="Palatino Linotype" w:cs="Palatino Linotype"/>
          <w:i/>
        </w:rPr>
        <w:t>En cualquier caso, se deberá fundar y motivar la necesidad de ofrecer otras modalidades.</w:t>
      </w:r>
    </w:p>
    <w:p w14:paraId="275B24D8"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w:t>
      </w:r>
    </w:p>
    <w:p w14:paraId="3BEB1087" w14:textId="77777777" w:rsidR="00371DD8" w:rsidRPr="002C3A49" w:rsidRDefault="00371DD8" w:rsidP="00371DD8">
      <w:pP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rPr>
        <w:lastRenderedPageBreak/>
        <w:t xml:space="preserve">En tales consideraciones, la entrega de la información deberá hacerse, en la medida de lo posible en la forma solicitada por el interesado, salvo que exista un impedimento justificado para atenderla, en cuyo caso, deberán exponerse las razones por las cuales no se es posible utilizar el medio de reproducción solicitado, por lo que, la entrega la modalidad de entrega distinta a la elegida sólo procederán cuando </w:t>
      </w:r>
      <w:r w:rsidRPr="002C3A49">
        <w:rPr>
          <w:rFonts w:ascii="Palatino Linotype" w:eastAsia="Palatino Linotype" w:hAnsi="Palatino Linotype" w:cs="Palatino Linotype"/>
          <w:b/>
        </w:rPr>
        <w:t xml:space="preserve">se acredite la imposibilidad de atenderla. </w:t>
      </w:r>
    </w:p>
    <w:p w14:paraId="6608FE15"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Por lo anterior, en caso de impedimento, los sujetos obligados deberán ofrecer al particular otras modalidades de entrega a la solicitada, tal como lo establece el Criterio orientador 08/17 emitido por el entonces pleno del Instituto Nacional de Transparencia, Acceso a la Información y Protección de Datos Personales, el cual establece lo siguiente: </w:t>
      </w:r>
    </w:p>
    <w:p w14:paraId="13DF0CF0" w14:textId="77777777" w:rsidR="00371DD8" w:rsidRPr="002C3A49" w:rsidRDefault="00371DD8" w:rsidP="00371DD8">
      <w:pPr>
        <w:spacing w:before="240" w:after="240" w:line="276" w:lineRule="auto"/>
        <w:ind w:left="851" w:right="616"/>
        <w:jc w:val="both"/>
        <w:rPr>
          <w:rFonts w:ascii="Palatino Linotype" w:eastAsia="Palatino Linotype" w:hAnsi="Palatino Linotype" w:cs="Palatino Linotype"/>
          <w:b/>
          <w:i/>
          <w:u w:val="single"/>
        </w:rPr>
      </w:pPr>
      <w:r w:rsidRPr="002C3A49">
        <w:rPr>
          <w:rFonts w:ascii="Palatino Linotype" w:eastAsia="Palatino Linotype" w:hAnsi="Palatino Linotype" w:cs="Palatino Linotype"/>
          <w:b/>
          <w:i/>
        </w:rPr>
        <w:t>Modalidad de entrega. Procedencia de proporcionar la información solicitada en una diversa a la elegida por el solicitante.</w:t>
      </w:r>
      <w:r w:rsidRPr="002C3A49">
        <w:rPr>
          <w:rFonts w:ascii="Palatino Linotype" w:eastAsia="Palatino Linotype" w:hAnsi="Palatino Linotype" w:cs="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2C3A49">
        <w:rPr>
          <w:rFonts w:ascii="Palatino Linotype" w:eastAsia="Palatino Linotype" w:hAnsi="Palatino Linotype" w:cs="Palatino Linotype"/>
          <w:b/>
          <w:i/>
          <w:u w:val="single"/>
        </w:rPr>
        <w:t>a) justifique el impedimento para atender la misma y b) se notifique al particular la disposición de la información en todas las modalidades que permita el documento de que se trate, procurando reducir, en todo momento, los costos de entrega.</w:t>
      </w:r>
    </w:p>
    <w:p w14:paraId="7276691D"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w:t>
      </w:r>
    </w:p>
    <w:p w14:paraId="118611AC" w14:textId="169AAEEB" w:rsidR="00371DD8" w:rsidRPr="002C3A49" w:rsidRDefault="00371DD8" w:rsidP="00D26846">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Dicho lo anterior, se destaca que si bien, el Sujeto Obligado argumentó que no se podía proporcionar la información requerida bajo la modalidad solicitada, debido a que la información podría ocasionar una afectación en su esfera profesional o profesional y que contiene datos sensibles sobre rutas consumos, horarios, comisiones oficiales y movimientos de combustible que pudieran poner en riesgo la seguridad e integridad del servidor pública, </w:t>
      </w:r>
      <w:r w:rsidRPr="002C3A49">
        <w:rPr>
          <w:rFonts w:ascii="Palatino Linotype" w:eastAsia="Palatino Linotype" w:hAnsi="Palatino Linotype" w:cs="Palatino Linotype"/>
        </w:rPr>
        <w:lastRenderedPageBreak/>
        <w:t>situación que no fue debidamente fundada y motivada, pero además</w:t>
      </w:r>
      <w:r w:rsidR="00D26846" w:rsidRPr="002C3A49">
        <w:rPr>
          <w:rFonts w:ascii="Palatino Linotype" w:eastAsia="Palatino Linotype" w:hAnsi="Palatino Linotype" w:cs="Palatino Linotype"/>
        </w:rPr>
        <w:t xml:space="preserve"> dichos argumentos resultan contradictorios, ya que la consulta directa</w:t>
      </w:r>
      <w:r w:rsidRPr="002C3A49">
        <w:rPr>
          <w:rFonts w:ascii="Palatino Linotype" w:eastAsia="Palatino Linotype" w:hAnsi="Palatino Linotype" w:cs="Palatino Linotype"/>
        </w:rPr>
        <w:t xml:space="preserve"> </w:t>
      </w:r>
      <w:r w:rsidR="00D26846" w:rsidRPr="002C3A49">
        <w:rPr>
          <w:rFonts w:ascii="Palatino Linotype" w:eastAsia="Palatino Linotype" w:hAnsi="Palatino Linotype" w:cs="Palatino Linotype"/>
        </w:rPr>
        <w:t xml:space="preserve">no eliminaría en su caso dicha afectación, pues la información de igual forma se pone a disposición del particular. Asimismo, es de mencionar que </w:t>
      </w:r>
      <w:r w:rsidRPr="002C3A49">
        <w:rPr>
          <w:rFonts w:ascii="Palatino Linotype" w:eastAsia="Palatino Linotype" w:hAnsi="Palatino Linotype" w:cs="Palatino Linotype"/>
        </w:rPr>
        <w:t xml:space="preserve">este Organismo Garante </w:t>
      </w:r>
      <w:r w:rsidR="00D26846" w:rsidRPr="002C3A49">
        <w:rPr>
          <w:rFonts w:ascii="Palatino Linotype" w:eastAsia="Palatino Linotype" w:hAnsi="Palatino Linotype" w:cs="Palatino Linotype"/>
        </w:rPr>
        <w:t xml:space="preserve">ya </w:t>
      </w:r>
      <w:r w:rsidRPr="002C3A49">
        <w:rPr>
          <w:rFonts w:ascii="Palatino Linotype" w:eastAsia="Palatino Linotype" w:hAnsi="Palatino Linotype" w:cs="Palatino Linotype"/>
        </w:rPr>
        <w:t>ha determinado la publicidad de dicha información, tal como se le ha hecho del conocimiento al propio Sujeto Obligado, a través de la resolución recaída al recurso de revisión 11216/INFOEM/IP/RR/2025, situación por la que se considera que no son argumentos suficientes para sustentar el cambio de modalidad a consulta directa.</w:t>
      </w:r>
    </w:p>
    <w:p w14:paraId="18073485"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Es así que, se concluye que respecto al cambio de modalidad, el Sujeto Obligado no justificó y tampoco </w:t>
      </w:r>
      <w:r w:rsidRPr="002C3A49">
        <w:rPr>
          <w:rFonts w:ascii="Palatino Linotype" w:eastAsia="Palatino Linotype" w:hAnsi="Palatino Linotype" w:cs="Palatino Linotype"/>
          <w:b/>
        </w:rPr>
        <w:t xml:space="preserve">aportó elementos suficientes que permitan determinar que efectivamente existen impedimentos </w:t>
      </w:r>
      <w:r w:rsidRPr="002C3A49">
        <w:rPr>
          <w:rFonts w:ascii="Palatino Linotype" w:eastAsia="Palatino Linotype" w:hAnsi="Palatino Linotype" w:cs="Palatino Linotype"/>
          <w:b/>
          <w:u w:val="single"/>
        </w:rPr>
        <w:t>administrativos, técnicos y humanos</w:t>
      </w:r>
      <w:r w:rsidRPr="002C3A49">
        <w:rPr>
          <w:rFonts w:ascii="Palatino Linotype" w:eastAsia="Palatino Linotype" w:hAnsi="Palatino Linotype" w:cs="Palatino Linotype"/>
          <w:b/>
        </w:rPr>
        <w:t xml:space="preserve"> para entregar la información requerida a través del medio solicitado. </w:t>
      </w:r>
    </w:p>
    <w:p w14:paraId="4C7E25CF"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Aunado a lo anterior, Calero, Natalia (2016), en la entonces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49EFD03C" w14:textId="77777777" w:rsidR="00371DD8" w:rsidRPr="002C3A49" w:rsidRDefault="00371DD8" w:rsidP="00371DD8">
      <w:pPr>
        <w:numPr>
          <w:ilvl w:val="0"/>
          <w:numId w:val="17"/>
        </w:num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Las razones por las cuales la información implicaba un análisis, estudio o procesamiento de datos;</w:t>
      </w:r>
    </w:p>
    <w:p w14:paraId="1014604C" w14:textId="77777777" w:rsidR="00371DD8" w:rsidRPr="002C3A49" w:rsidRDefault="00371DD8" w:rsidP="00371DD8">
      <w:pPr>
        <w:numPr>
          <w:ilvl w:val="0"/>
          <w:numId w:val="17"/>
        </w:num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Por qué motivo el tiempo, que se le otorga al Sujeto Obligado para dar respuesta, en la modalidad elegida a la solicitud de información, no le es suficiente, y</w:t>
      </w:r>
    </w:p>
    <w:p w14:paraId="78BEF68F" w14:textId="77777777" w:rsidR="00371DD8" w:rsidRPr="002C3A49" w:rsidRDefault="00371DD8" w:rsidP="00371DD8">
      <w:pPr>
        <w:numPr>
          <w:ilvl w:val="0"/>
          <w:numId w:val="17"/>
        </w:num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La cantidad de recursos humanos y materiales con los que cuenta el Sujeto Obligado son insuficientes.</w:t>
      </w:r>
    </w:p>
    <w:p w14:paraId="63ACE5FC"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lastRenderedPageBreak/>
        <w:t xml:space="preserve">En ese contexto, es de señalar que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no señaló de manera puntual las imposibilidades para dar atención a la solicitud, esto en observancia a las siguientes circunstancias:</w:t>
      </w:r>
    </w:p>
    <w:p w14:paraId="474667F7" w14:textId="77777777" w:rsidR="00371DD8" w:rsidRPr="002C3A49" w:rsidRDefault="00371DD8" w:rsidP="00371DD8">
      <w:pPr>
        <w:numPr>
          <w:ilvl w:val="0"/>
          <w:numId w:val="18"/>
        </w:num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El formato, en que se encontraba la información, es decir, de manera digital o física, y</w:t>
      </w:r>
    </w:p>
    <w:p w14:paraId="730F584D" w14:textId="77777777" w:rsidR="00371DD8" w:rsidRPr="002C3A49" w:rsidRDefault="00371DD8" w:rsidP="00371DD8">
      <w:pPr>
        <w:numPr>
          <w:ilvl w:val="0"/>
          <w:numId w:val="18"/>
        </w:numPr>
        <w:spacing w:before="240" w:after="240" w:line="360" w:lineRule="auto"/>
        <w:jc w:val="both"/>
        <w:rPr>
          <w:rFonts w:ascii="Palatino Linotype" w:eastAsia="Palatino Linotype" w:hAnsi="Palatino Linotype" w:cs="Palatino Linotype"/>
          <w:b/>
          <w:u w:val="single"/>
        </w:rPr>
      </w:pPr>
      <w:bookmarkStart w:id="1" w:name="_heading=h.2et92p0" w:colFirst="0" w:colLast="0"/>
      <w:bookmarkEnd w:id="1"/>
      <w:r w:rsidRPr="002C3A49">
        <w:rPr>
          <w:rFonts w:ascii="Palatino Linotype" w:eastAsia="Palatino Linotype" w:hAnsi="Palatino Linotype" w:cs="Palatino Linotype"/>
        </w:rPr>
        <w:t xml:space="preserve">Tampoco acreditó que lo peticionado implicaba un análisis, procesamiento o estudio de documentos cuya reproducción sobrepasará las capacidades técnicas, administrativas y humanas del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pues como se refirió, no se precisó el número de personas que se encontraban en las áreas, ni el formato; esto es, </w:t>
      </w:r>
      <w:r w:rsidRPr="002C3A49">
        <w:rPr>
          <w:rFonts w:ascii="Palatino Linotype" w:eastAsia="Palatino Linotype" w:hAnsi="Palatino Linotype" w:cs="Palatino Linotype"/>
          <w:u w:val="single"/>
        </w:rPr>
        <w:t>no proporcionó los elementos necesarios para acreditar el cambio de modalidad, pues no justificó dicho cambio.</w:t>
      </w:r>
    </w:p>
    <w:p w14:paraId="6A192E8B"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Aunado a lo anterior, conviene referir que el Organismo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que permitieran tener como imposibilidad la entrega de la información en el medio elegido por los solicitantes. </w:t>
      </w:r>
    </w:p>
    <w:p w14:paraId="3131F762" w14:textId="77777777" w:rsidR="00371DD8" w:rsidRPr="002C3A49" w:rsidRDefault="00371DD8" w:rsidP="00371DD8">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Además, precisan que no se debe ceñir el cambio de modalidad, directamente a consulta directa, sino que los Sujetos Obligados, deben de buscar la posibilidad de proporcionarla en las otras formas que establecen en la Ley, ya sean electrónicas o físicas. </w:t>
      </w:r>
    </w:p>
    <w:p w14:paraId="63589EFE"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Por lo anterior, y toda vez que sobre el requerimiento en cuestión el ente obligado fue omiso en pronunciarse, los agravios hechos valer por el Solicitante devienen </w:t>
      </w:r>
      <w:r w:rsidRPr="002C3A49">
        <w:rPr>
          <w:rFonts w:ascii="Palatino Linotype" w:eastAsia="Palatino Linotype" w:hAnsi="Palatino Linotype" w:cs="Palatino Linotype"/>
          <w:b/>
        </w:rPr>
        <w:t>FUNDADOS</w:t>
      </w:r>
      <w:r w:rsidRPr="002C3A49">
        <w:rPr>
          <w:rFonts w:ascii="Palatino Linotype" w:eastAsia="Palatino Linotype" w:hAnsi="Palatino Linotype" w:cs="Palatino Linotype"/>
        </w:rPr>
        <w:t xml:space="preserve">, en consecuencia, se </w:t>
      </w:r>
      <w:r w:rsidRPr="002C3A49">
        <w:rPr>
          <w:rFonts w:ascii="Palatino Linotype" w:eastAsia="Palatino Linotype" w:hAnsi="Palatino Linotype" w:cs="Palatino Linotype"/>
          <w:b/>
        </w:rPr>
        <w:t xml:space="preserve">ORDENA </w:t>
      </w:r>
      <w:r w:rsidRPr="002C3A49">
        <w:rPr>
          <w:rFonts w:ascii="Palatino Linotype" w:eastAsia="Palatino Linotype" w:hAnsi="Palatino Linotype" w:cs="Palatino Linotype"/>
        </w:rPr>
        <w:t xml:space="preserve">al </w:t>
      </w:r>
      <w:r w:rsidRPr="002C3A49">
        <w:rPr>
          <w:rFonts w:ascii="Palatino Linotype" w:eastAsia="Palatino Linotype" w:hAnsi="Palatino Linotype" w:cs="Palatino Linotype"/>
          <w:b/>
        </w:rPr>
        <w:t xml:space="preserve">Sujeto Obligado </w:t>
      </w:r>
      <w:r w:rsidRPr="002C3A49">
        <w:rPr>
          <w:rFonts w:ascii="Palatino Linotype" w:eastAsia="Palatino Linotype" w:hAnsi="Palatino Linotype" w:cs="Palatino Linotype"/>
        </w:rPr>
        <w:t xml:space="preserve">haga entrega, previa búsqueda exhaustiva y razonable, de la siguiente información: </w:t>
      </w:r>
    </w:p>
    <w:p w14:paraId="59D85368" w14:textId="77777777" w:rsidR="00D27D7D" w:rsidRPr="002C3A49" w:rsidRDefault="00D27D7D" w:rsidP="00D84010">
      <w:pPr>
        <w:spacing w:before="240" w:after="240" w:line="360" w:lineRule="auto"/>
        <w:jc w:val="both"/>
        <w:rPr>
          <w:rFonts w:ascii="Palatino Linotype" w:eastAsia="Palatino Linotype" w:hAnsi="Palatino Linotype" w:cs="Palatino Linotype"/>
        </w:rPr>
      </w:pPr>
    </w:p>
    <w:p w14:paraId="14E1BDFF" w14:textId="18F0D6A5" w:rsidR="00371DD8" w:rsidRPr="002C3A49" w:rsidRDefault="00371DD8" w:rsidP="00371DD8">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 xml:space="preserve">Del Secretario del Ayuntamiento, del primero de enero al veinticuatro de junio de dos mil veinticinco: </w:t>
      </w:r>
    </w:p>
    <w:p w14:paraId="5B04B484" w14:textId="0E8B868A" w:rsidR="00D27D7D" w:rsidRPr="002C3A49" w:rsidRDefault="00C56EB5" w:rsidP="00371DD8">
      <w:pPr>
        <w:pStyle w:val="Prrafodelista"/>
        <w:numPr>
          <w:ilvl w:val="0"/>
          <w:numId w:val="16"/>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 xml:space="preserve">A) </w:t>
      </w:r>
      <w:r w:rsidR="00371DD8" w:rsidRPr="002C3A49">
        <w:rPr>
          <w:rFonts w:ascii="Palatino Linotype" w:eastAsia="Palatino Linotype" w:hAnsi="Palatino Linotype" w:cs="Palatino Linotype"/>
          <w:b/>
        </w:rPr>
        <w:t>Bitácoras de combustible</w:t>
      </w:r>
    </w:p>
    <w:p w14:paraId="59CE6673" w14:textId="4B6E59FB" w:rsidR="00C56EB5" w:rsidRPr="002C3A49" w:rsidRDefault="00C56EB5" w:rsidP="00371DD8">
      <w:pPr>
        <w:pStyle w:val="Prrafodelista"/>
        <w:numPr>
          <w:ilvl w:val="0"/>
          <w:numId w:val="16"/>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 xml:space="preserve">B) Oficios de comisión o documento donde justifique el pago de </w:t>
      </w:r>
      <w:r w:rsidR="000904AC" w:rsidRPr="002C3A49">
        <w:rPr>
          <w:rFonts w:ascii="Palatino Linotype" w:eastAsia="Palatino Linotype" w:hAnsi="Palatino Linotype" w:cs="Palatino Linotype"/>
          <w:b/>
        </w:rPr>
        <w:t xml:space="preserve">combustible y </w:t>
      </w:r>
      <w:r w:rsidRPr="002C3A49">
        <w:rPr>
          <w:rFonts w:ascii="Palatino Linotype" w:eastAsia="Palatino Linotype" w:hAnsi="Palatino Linotype" w:cs="Palatino Linotype"/>
          <w:b/>
        </w:rPr>
        <w:t>viáticos</w:t>
      </w:r>
    </w:p>
    <w:p w14:paraId="23EB5D56" w14:textId="77777777" w:rsidR="00C56EB5" w:rsidRPr="002C3A49" w:rsidRDefault="00C56EB5" w:rsidP="00C56EB5">
      <w:pPr>
        <w:spacing w:before="240" w:after="240" w:line="360" w:lineRule="auto"/>
        <w:ind w:left="360"/>
        <w:jc w:val="both"/>
        <w:rPr>
          <w:rFonts w:ascii="Palatino Linotype" w:eastAsia="Palatino Linotype" w:hAnsi="Palatino Linotype" w:cs="Palatino Linotype"/>
        </w:rPr>
      </w:pPr>
      <w:r w:rsidRPr="002C3A49">
        <w:rPr>
          <w:rFonts w:ascii="Palatino Linotype" w:eastAsia="Palatino Linotype" w:hAnsi="Palatino Linotype" w:cs="Palatino Linotype"/>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0012A9" w14:textId="78F9D849" w:rsidR="00C56EB5" w:rsidRPr="002C3A49" w:rsidRDefault="00C56EB5" w:rsidP="00C56EB5">
      <w:pPr>
        <w:pBdr>
          <w:top w:val="nil"/>
          <w:left w:val="nil"/>
          <w:bottom w:val="nil"/>
          <w:right w:val="nil"/>
          <w:between w:val="nil"/>
        </w:pBdr>
        <w:spacing w:before="240" w:after="240" w:line="360" w:lineRule="auto"/>
        <w:ind w:left="360"/>
        <w:jc w:val="both"/>
        <w:rPr>
          <w:rFonts w:ascii="Palatino Linotype" w:eastAsia="Palatino Linotype" w:hAnsi="Palatino Linotype" w:cs="Palatino Linotype"/>
          <w:bCs/>
        </w:rPr>
      </w:pPr>
      <w:r w:rsidRPr="002C3A49">
        <w:rPr>
          <w:rFonts w:ascii="Palatino Linotype" w:eastAsia="Palatino Linotype" w:hAnsi="Palatino Linotype" w:cs="Palatino Linotype"/>
          <w:bCs/>
        </w:rPr>
        <w:t>De lo ordenado en el inciso B), en caso de no contar con oficios al no haber comisiones o pago de viáticos; bastará con que lo haga del conocimiento de la parte Recurrente de manera precisa y clara.</w:t>
      </w:r>
    </w:p>
    <w:p w14:paraId="6A6EAD00" w14:textId="77777777" w:rsidR="00D27D7D" w:rsidRPr="002C3A49" w:rsidRDefault="00D27D7D" w:rsidP="00D84010">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Finalmente, es de señalar que, como ya se mencionó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2C3A49">
        <w:rPr>
          <w:rFonts w:ascii="Palatino Linotype" w:eastAsia="Palatino Linotype" w:hAnsi="Palatino Linotype" w:cs="Palatino Linotype"/>
          <w:b/>
        </w:rPr>
        <w:t xml:space="preserve">ORDENA </w:t>
      </w:r>
      <w:r w:rsidRPr="002C3A49">
        <w:rPr>
          <w:rFonts w:ascii="Palatino Linotype" w:eastAsia="Palatino Linotype" w:hAnsi="Palatino Linotype" w:cs="Palatino Linotype"/>
        </w:rPr>
        <w:t>dar vista a la Secretaría Técnica del Pleno a efecto de que ejerza las atribuciones previstas en la normatividad aplicable y comunique al Órgano Interno de Control Competente para que éste último, en ejercicio de sus atribuciones resuelva lo conducente y determine en su caso el grado de responsabilidad en el incumplimiento de las obligaciones establecidas en la citada ley.</w:t>
      </w:r>
    </w:p>
    <w:p w14:paraId="39395E9A" w14:textId="77777777" w:rsidR="00C56EB5" w:rsidRPr="002C3A49" w:rsidRDefault="00C56EB5" w:rsidP="000904AC">
      <w:pPr>
        <w:spacing w:after="0" w:line="360" w:lineRule="auto"/>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lang w:eastAsia="es-MX"/>
        </w:rPr>
        <w:lastRenderedPageBreak/>
        <w:t xml:space="preserve">Quinto. Versión Pública. </w:t>
      </w:r>
      <w:r w:rsidRPr="002C3A49">
        <w:rPr>
          <w:rFonts w:ascii="Palatino Linotype" w:eastAsia="Times New Roman" w:hAnsi="Palatino Linotype" w:cs="Times New Roman"/>
          <w:lang w:eastAsia="es-MX"/>
        </w:rPr>
        <w:t>Finalmente, para la entrega de la información que se determina ordenar, el Sujeto Obligado deberá realizar un análisis con la finalidad de advertir si esta contiene datos que deben ser clasificados en los términos que la misma Ley en la materia señala. </w:t>
      </w:r>
    </w:p>
    <w:p w14:paraId="68EF17D4" w14:textId="77777777" w:rsidR="00C56EB5" w:rsidRPr="002C3A49" w:rsidRDefault="00C56EB5" w:rsidP="000904AC">
      <w:pPr>
        <w:spacing w:after="0" w:line="360" w:lineRule="auto"/>
        <w:rPr>
          <w:rFonts w:ascii="Palatino Linotype" w:eastAsia="Times New Roman" w:hAnsi="Palatino Linotype" w:cs="Times New Roman"/>
          <w:lang w:eastAsia="es-MX"/>
        </w:rPr>
      </w:pPr>
    </w:p>
    <w:p w14:paraId="377210B5" w14:textId="77777777" w:rsidR="00C56EB5" w:rsidRPr="002C3A49" w:rsidRDefault="00C56EB5" w:rsidP="000904AC">
      <w:pPr>
        <w:spacing w:after="0" w:line="360" w:lineRule="auto"/>
        <w:jc w:val="both"/>
        <w:rPr>
          <w:rFonts w:ascii="Palatino Linotype" w:eastAsia="Times New Roman" w:hAnsi="Palatino Linotype" w:cs="Times New Roman"/>
          <w:lang w:eastAsia="es-MX"/>
        </w:rPr>
      </w:pPr>
      <w:r w:rsidRPr="002C3A49">
        <w:rPr>
          <w:rFonts w:ascii="Palatino Linotype" w:eastAsia="Times New Roman" w:hAnsi="Palatino Linotype" w:cs="Times New Roman"/>
          <w:lang w:eastAsia="es-MX"/>
        </w:rPr>
        <w:t>En ese sentido, el Sujeto Obligado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w:t>
      </w:r>
    </w:p>
    <w:p w14:paraId="2DF7D0CA" w14:textId="77777777" w:rsidR="00C56EB5" w:rsidRPr="002C3A49" w:rsidRDefault="00C56EB5" w:rsidP="000904AC">
      <w:pPr>
        <w:spacing w:after="0" w:line="360" w:lineRule="auto"/>
        <w:rPr>
          <w:rFonts w:ascii="Palatino Linotype" w:eastAsia="Times New Roman" w:hAnsi="Palatino Linotype" w:cs="Times New Roman"/>
          <w:lang w:eastAsia="es-MX"/>
        </w:rPr>
      </w:pPr>
    </w:p>
    <w:p w14:paraId="1711917A" w14:textId="77777777" w:rsidR="00C56EB5" w:rsidRPr="002C3A49" w:rsidRDefault="00C56EB5" w:rsidP="000904AC">
      <w:pPr>
        <w:spacing w:after="0" w:line="360" w:lineRule="auto"/>
        <w:ind w:right="50"/>
        <w:jc w:val="both"/>
        <w:rPr>
          <w:rFonts w:ascii="Palatino Linotype" w:eastAsia="Times New Roman" w:hAnsi="Palatino Linotype" w:cs="Times New Roman"/>
          <w:lang w:eastAsia="es-MX"/>
        </w:rPr>
      </w:pPr>
      <w:r w:rsidRPr="002C3A49">
        <w:rPr>
          <w:rFonts w:ascii="Palatino Linotype" w:eastAsia="Times New Roman" w:hAnsi="Palatino Linotype" w:cs="Times New Roman"/>
          <w:lang w:eastAsia="es-MX"/>
        </w:rPr>
        <w:t>Lo anterior, de conformidad con lo que señalan los artículos 3 fracciones IX, XX, XXI y XLV, 91, 132 fracciones II y III, y 143 de la Ley de Transparencia y Acceso a la Información Pública del Estado de México y Municipios que establecen:</w:t>
      </w:r>
    </w:p>
    <w:p w14:paraId="1806C2B9" w14:textId="77777777" w:rsidR="00C56EB5" w:rsidRPr="002C3A49" w:rsidRDefault="00C56EB5" w:rsidP="000904AC">
      <w:pPr>
        <w:spacing w:after="0" w:line="360" w:lineRule="auto"/>
        <w:rPr>
          <w:rFonts w:ascii="Palatino Linotype" w:eastAsia="Times New Roman" w:hAnsi="Palatino Linotype" w:cs="Times New Roman"/>
          <w:lang w:eastAsia="es-MX"/>
        </w:rPr>
      </w:pPr>
    </w:p>
    <w:p w14:paraId="5668FF09" w14:textId="77777777" w:rsidR="00C56EB5" w:rsidRPr="002C3A49" w:rsidRDefault="00C56EB5" w:rsidP="000904AC">
      <w:pPr>
        <w:spacing w:after="0" w:line="36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w:t>
      </w:r>
      <w:r w:rsidRPr="002C3A49">
        <w:rPr>
          <w:rFonts w:ascii="Palatino Linotype" w:eastAsia="Times New Roman" w:hAnsi="Palatino Linotype" w:cs="Times New Roman"/>
          <w:b/>
          <w:bCs/>
          <w:i/>
          <w:iCs/>
          <w:lang w:eastAsia="es-MX"/>
        </w:rPr>
        <w:t>Artículo 3.</w:t>
      </w:r>
      <w:r w:rsidRPr="002C3A49">
        <w:rPr>
          <w:rFonts w:ascii="Palatino Linotype" w:eastAsia="Times New Roman" w:hAnsi="Palatino Linotype" w:cs="Times New Roman"/>
          <w:i/>
          <w:iCs/>
          <w:lang w:eastAsia="es-MX"/>
        </w:rPr>
        <w:t xml:space="preserve"> Para los efectos de la presente Ley se entenderá por:</w:t>
      </w:r>
    </w:p>
    <w:p w14:paraId="150CCF38"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w:t>
      </w:r>
    </w:p>
    <w:p w14:paraId="27764DBE"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IX. Datos personales: La información concerniente a una persona, identificada o identificable según lo dispuesto por la Ley de Protección de Datos Personales del Estado de México; </w:t>
      </w:r>
    </w:p>
    <w:p w14:paraId="009146EC"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XX. Información clasificada: Aquella considerada por la presente Ley como reservada o confidencial;</w:t>
      </w:r>
    </w:p>
    <w:p w14:paraId="605A777E"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9A6F99D"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XLV. Versión pública: Documento en el que se elimine, suprime o borra la información clasificada como reservada o confidencial para permitir su acceso.</w:t>
      </w:r>
    </w:p>
    <w:p w14:paraId="65C2BCFF"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w:t>
      </w:r>
    </w:p>
    <w:p w14:paraId="7AD96EFB"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Artículo 91.</w:t>
      </w:r>
      <w:r w:rsidRPr="002C3A49">
        <w:rPr>
          <w:rFonts w:ascii="Palatino Linotype" w:eastAsia="Times New Roman" w:hAnsi="Palatino Linotype" w:cs="Times New Roman"/>
          <w:i/>
          <w:iCs/>
          <w:lang w:eastAsia="es-MX"/>
        </w:rPr>
        <w:t xml:space="preserve"> El acceso a la información pública será restringido excepcionalmente, cuando ésta sea clasificada como reservada o confidencial.</w:t>
      </w:r>
    </w:p>
    <w:p w14:paraId="0283860E"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Artículo 132.</w:t>
      </w:r>
      <w:r w:rsidRPr="002C3A49">
        <w:rPr>
          <w:rFonts w:ascii="Palatino Linotype" w:eastAsia="Times New Roman" w:hAnsi="Palatino Linotype" w:cs="Times New Roman"/>
          <w:i/>
          <w:iCs/>
          <w:lang w:eastAsia="es-MX"/>
        </w:rPr>
        <w:t xml:space="preserve"> La clasificación de la información se llevará a cabo en el momento en que:</w:t>
      </w:r>
    </w:p>
    <w:p w14:paraId="0ABA65BC"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 Se reciba una solicitud de acceso a la información;</w:t>
      </w:r>
    </w:p>
    <w:p w14:paraId="2BDD9BF1"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 Se determine mediante resolución de autoridad competente; o</w:t>
      </w:r>
    </w:p>
    <w:p w14:paraId="6FB43153"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lastRenderedPageBreak/>
        <w:t>III. Se generen versiones públicas para dar cumplimiento a las obligaciones de transparencia previstas en esta Ley.</w:t>
      </w:r>
    </w:p>
    <w:p w14:paraId="6ED5245D"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w:t>
      </w:r>
    </w:p>
    <w:p w14:paraId="01E0F8E7"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Artículo 143</w:t>
      </w:r>
      <w:r w:rsidRPr="002C3A49">
        <w:rPr>
          <w:rFonts w:ascii="Palatino Linotype" w:eastAsia="Times New Roman" w:hAnsi="Palatino Linotype" w:cs="Times New Roman"/>
          <w:i/>
          <w:iCs/>
          <w:lang w:eastAsia="es-MX"/>
        </w:rPr>
        <w:t>. Para los efectos de esta Ley se considera información confidencial, la clasificada como tal, de manera permanente, por su naturaleza, cuando:</w:t>
      </w:r>
    </w:p>
    <w:p w14:paraId="2EB965CC"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 Se refiera a la información privada y los datos personales concernientes a una persona física o jurídico colectiva identificada o identificable;</w:t>
      </w:r>
    </w:p>
    <w:p w14:paraId="19831F93"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565F1A6D"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III. La que presenten los particulares a los sujetos obligados, de conformidad con lo dispuesto por las leyes o los tratados internacionales.</w:t>
      </w:r>
    </w:p>
    <w:p w14:paraId="1985A124"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La información confidencial no estará sujeta a temporalidad alguna y sólo podrán tener acceso a ella los titulares de la misma, sus representantes y los servidores públicos facultados para ello.</w:t>
      </w:r>
    </w:p>
    <w:p w14:paraId="368397E1"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No se considerará confidencial la información que se encuentre en los registros públicos o en fuentes de acceso público, ni tampoco la que sea considerada por la presente ley como información pública.”</w:t>
      </w:r>
    </w:p>
    <w:p w14:paraId="7166563F" w14:textId="77777777" w:rsidR="00C56EB5" w:rsidRPr="002C3A49" w:rsidRDefault="00C56EB5" w:rsidP="00C56EB5">
      <w:pPr>
        <w:spacing w:after="0" w:line="240" w:lineRule="auto"/>
        <w:rPr>
          <w:rFonts w:ascii="Palatino Linotype" w:eastAsia="Times New Roman" w:hAnsi="Palatino Linotype" w:cs="Times New Roman"/>
          <w:lang w:eastAsia="es-MX"/>
        </w:rPr>
      </w:pPr>
    </w:p>
    <w:p w14:paraId="7E07A1F9" w14:textId="77777777" w:rsidR="00C56EB5" w:rsidRPr="002C3A49" w:rsidRDefault="00C56EB5" w:rsidP="000904AC">
      <w:pPr>
        <w:spacing w:after="0" w:line="360" w:lineRule="auto"/>
        <w:jc w:val="both"/>
        <w:rPr>
          <w:rFonts w:ascii="Palatino Linotype" w:eastAsia="Times New Roman" w:hAnsi="Palatino Linotype" w:cs="Times New Roman"/>
          <w:lang w:eastAsia="es-MX"/>
        </w:rPr>
      </w:pPr>
      <w:r w:rsidRPr="002C3A49">
        <w:rPr>
          <w:rFonts w:ascii="Palatino Linotype" w:eastAsia="Times New Roman" w:hAnsi="Palatino Linotype" w:cs="Times New Roman"/>
          <w:lang w:eastAsia="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5DDCDAA" w14:textId="77777777" w:rsidR="00C56EB5" w:rsidRPr="002C3A49" w:rsidRDefault="00C56EB5" w:rsidP="000904AC">
      <w:pPr>
        <w:spacing w:after="0" w:line="360" w:lineRule="auto"/>
        <w:rPr>
          <w:rFonts w:ascii="Palatino Linotype" w:eastAsia="Times New Roman" w:hAnsi="Palatino Linotype" w:cs="Times New Roman"/>
          <w:lang w:eastAsia="es-MX"/>
        </w:rPr>
      </w:pPr>
    </w:p>
    <w:p w14:paraId="29279E25" w14:textId="77777777" w:rsidR="00C56EB5" w:rsidRPr="002C3A49" w:rsidRDefault="00C56EB5" w:rsidP="000904AC">
      <w:pPr>
        <w:spacing w:after="0" w:line="360" w:lineRule="auto"/>
        <w:jc w:val="both"/>
        <w:rPr>
          <w:rFonts w:ascii="Palatino Linotype" w:eastAsia="Times New Roman" w:hAnsi="Palatino Linotype" w:cs="Times New Roman"/>
          <w:lang w:eastAsia="es-MX"/>
        </w:rPr>
      </w:pPr>
      <w:r w:rsidRPr="002C3A49">
        <w:rPr>
          <w:rFonts w:ascii="Palatino Linotype" w:eastAsia="Times New Roman" w:hAnsi="Palatino Linotype" w:cs="Times New Roman"/>
          <w:lang w:eastAsia="es-MX"/>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6FEAAB6F" w14:textId="77777777" w:rsidR="00C56EB5" w:rsidRPr="002C3A49" w:rsidRDefault="00C56EB5" w:rsidP="00C56EB5">
      <w:pPr>
        <w:spacing w:after="0" w:line="240" w:lineRule="auto"/>
        <w:rPr>
          <w:rFonts w:ascii="Palatino Linotype" w:eastAsia="Times New Roman" w:hAnsi="Palatino Linotype" w:cs="Times New Roman"/>
          <w:lang w:eastAsia="es-MX"/>
        </w:rPr>
      </w:pPr>
    </w:p>
    <w:p w14:paraId="18BFB1CB"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 “</w:t>
      </w:r>
      <w:r w:rsidRPr="002C3A49">
        <w:rPr>
          <w:rFonts w:ascii="Palatino Linotype" w:eastAsia="Times New Roman" w:hAnsi="Palatino Linotype" w:cs="Times New Roman"/>
          <w:b/>
          <w:bCs/>
          <w:i/>
          <w:iCs/>
          <w:lang w:eastAsia="es-MX"/>
        </w:rPr>
        <w:t>Quincuagésimo</w:t>
      </w:r>
      <w:r w:rsidRPr="002C3A49">
        <w:rPr>
          <w:rFonts w:ascii="Palatino Linotype" w:eastAsia="Times New Roman" w:hAnsi="Palatino Linotype" w:cs="Times New Roman"/>
          <w:i/>
          <w:iCs/>
          <w:lang w:eastAsia="es-MX"/>
        </w:rPr>
        <w:t xml:space="preserve">. Los titulares de las áreas de los sujetos obligados podrán establecer sus propios modelos o formatos para la elaboración de versiones públicas de documentos </w:t>
      </w:r>
      <w:r w:rsidRPr="002C3A49">
        <w:rPr>
          <w:rFonts w:ascii="Palatino Linotype" w:eastAsia="Times New Roman" w:hAnsi="Palatino Linotype" w:cs="Times New Roman"/>
          <w:i/>
          <w:iCs/>
          <w:lang w:eastAsia="es-MX"/>
        </w:rPr>
        <w:lastRenderedPageBreak/>
        <w:t>o expedientes, siempre y cuando cumplan lo establecido en los presentes Lineamientos, así como en las correspondientes Leyes Generales. </w:t>
      </w:r>
    </w:p>
    <w:p w14:paraId="0D1484F4"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Quincuagésimo primero.</w:t>
      </w:r>
      <w:r w:rsidRPr="002C3A49">
        <w:rPr>
          <w:rFonts w:ascii="Palatino Linotype" w:eastAsia="Times New Roman" w:hAnsi="Palatino Linotype" w:cs="Times New Roman"/>
          <w:i/>
          <w:iCs/>
          <w:lang w:eastAsia="es-MX"/>
        </w:rPr>
        <w:t xml:space="preserve"> Toda acta del Comité de Transparencia deberá contener: </w:t>
      </w:r>
    </w:p>
    <w:p w14:paraId="673D2DB3"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 El número de sesión y fecha; </w:t>
      </w:r>
    </w:p>
    <w:p w14:paraId="310F1A8C"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 El nombre del área que solicitó la clasificación de información; </w:t>
      </w:r>
    </w:p>
    <w:p w14:paraId="2B7A43A1"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III. La fundamentación legal y motivación correspondiente; </w:t>
      </w:r>
    </w:p>
    <w:p w14:paraId="0C813801"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IV. La resolución o resoluciones aprobadas; y </w:t>
      </w:r>
    </w:p>
    <w:p w14:paraId="544E40E6"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V. La rúbrica o firma digital de cada integrante del Comité de Transparencia. </w:t>
      </w:r>
    </w:p>
    <w:p w14:paraId="591C9CC8"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Las resoluciones del Comité en las que se haya determinado confirmar o modificar la clasificación de información pública como reservada, deberán incluir, cuando menos: </w:t>
      </w:r>
    </w:p>
    <w:p w14:paraId="39B78DB5"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 Los motivos y razonamientos que sustenten la confirmación o modificación de la prueba de daño;</w:t>
      </w:r>
    </w:p>
    <w:p w14:paraId="51C4258E"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 Descripción de las partes o secciones reservadas, en caso de clasificación parcial; </w:t>
      </w:r>
    </w:p>
    <w:p w14:paraId="6CE19964"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III. El periodo por el que mantendrá su clasificación y fecha de expiración; y </w:t>
      </w:r>
    </w:p>
    <w:p w14:paraId="25C6853E"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IV. El nombre del titular y área encargada de realizar la versión pública del documento, en su caso. </w:t>
      </w:r>
    </w:p>
    <w:p w14:paraId="4BF2755D"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En los casos en que se clasifique la información como reservada siempre se entregará o anexará la prueba de daño con la respuesta al solicitante. </w:t>
      </w:r>
    </w:p>
    <w:p w14:paraId="2F8D4275"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593B5BE4"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Quincuagésimo segundo.</w:t>
      </w:r>
      <w:r w:rsidRPr="002C3A49">
        <w:rPr>
          <w:rFonts w:ascii="Palatino Linotype" w:eastAsia="Times New Roman" w:hAnsi="Palatino Linotype" w:cs="Times New Roman"/>
          <w:i/>
          <w:iCs/>
          <w:lang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5412E6A"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En el caso específico de la clasificación y elaboración de versiones públicas de documentos que contengan información confidencial, las áreas de los sujetos obligados deberán: </w:t>
      </w:r>
    </w:p>
    <w:p w14:paraId="409E8AA0"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 Fijar la fecha en que se elaboró la versión pública y la fecha en la cual el Comité de Transparencia confirmó dicha versión;</w:t>
      </w:r>
    </w:p>
    <w:p w14:paraId="1D38E81B"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 Señalar dentro del documento el tipo de información confidencial que fue testada en cada caso específico, de conformidad con el lineamiento trigésimo octavo; y</w:t>
      </w:r>
    </w:p>
    <w:p w14:paraId="2B2D0E54"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III. Señalar las personas o instancias autorizadas a acceder a la información clasificada.</w:t>
      </w:r>
    </w:p>
    <w:p w14:paraId="7A8B8108"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En los documentos de difusión electrónica, señalar en la primera hoja y en el nombre del archivo, que la versión pública corresponde a un documento que contiene información confidencial.”</w:t>
      </w:r>
    </w:p>
    <w:p w14:paraId="54E20BE9" w14:textId="77777777" w:rsidR="00C56EB5" w:rsidRPr="002C3A49" w:rsidRDefault="00C56EB5" w:rsidP="00C56EB5">
      <w:pPr>
        <w:spacing w:after="0" w:line="240" w:lineRule="auto"/>
        <w:rPr>
          <w:rFonts w:ascii="Palatino Linotype" w:eastAsia="Times New Roman" w:hAnsi="Palatino Linotype" w:cs="Times New Roman"/>
          <w:lang w:eastAsia="es-MX"/>
        </w:rPr>
      </w:pPr>
    </w:p>
    <w:p w14:paraId="7EEFDB28" w14:textId="77777777" w:rsidR="00C56EB5" w:rsidRPr="002C3A49" w:rsidRDefault="00C56EB5" w:rsidP="000904AC">
      <w:pPr>
        <w:spacing w:after="0" w:line="360" w:lineRule="auto"/>
        <w:jc w:val="both"/>
        <w:rPr>
          <w:rFonts w:ascii="Palatino Linotype" w:eastAsia="Times New Roman" w:hAnsi="Palatino Linotype" w:cs="Times New Roman"/>
          <w:lang w:eastAsia="es-MX"/>
        </w:rPr>
      </w:pPr>
      <w:r w:rsidRPr="002C3A49">
        <w:rPr>
          <w:rFonts w:ascii="Palatino Linotype" w:eastAsia="Times New Roman" w:hAnsi="Palatino Linotype" w:cs="Times New Roman"/>
          <w:lang w:eastAsia="es-MX"/>
        </w:rPr>
        <w:t>De igual forma, deberá observar los Lineamientos Quincuagésimo cuarto, Quincuagésimo quinto, Quincuagésimo séptimo y Quincuagésimo octavo, establecen lo siguiente:</w:t>
      </w:r>
    </w:p>
    <w:p w14:paraId="52B794DA" w14:textId="77777777" w:rsidR="00C56EB5" w:rsidRPr="002C3A49" w:rsidRDefault="00C56EB5" w:rsidP="00C56EB5">
      <w:pPr>
        <w:spacing w:after="0" w:line="240" w:lineRule="auto"/>
        <w:rPr>
          <w:rFonts w:ascii="Palatino Linotype" w:eastAsia="Times New Roman" w:hAnsi="Palatino Linotype" w:cs="Times New Roman"/>
          <w:lang w:eastAsia="es-MX"/>
        </w:rPr>
      </w:pPr>
    </w:p>
    <w:p w14:paraId="67D64AD5"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w:t>
      </w:r>
      <w:r w:rsidRPr="002C3A49">
        <w:rPr>
          <w:rFonts w:ascii="Palatino Linotype" w:eastAsia="Times New Roman" w:hAnsi="Palatino Linotype" w:cs="Times New Roman"/>
          <w:b/>
          <w:bCs/>
          <w:i/>
          <w:iCs/>
          <w:lang w:eastAsia="es-MX"/>
        </w:rPr>
        <w:t>Quincuagésimo cuarto.</w:t>
      </w:r>
      <w:r w:rsidRPr="002C3A49">
        <w:rPr>
          <w:rFonts w:ascii="Palatino Linotype" w:eastAsia="Times New Roman" w:hAnsi="Palatino Linotype" w:cs="Times New Roman"/>
          <w:i/>
          <w:iCs/>
          <w:lang w:eastAsia="es-MX"/>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301ACD7"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Quincuagésimo quinto.</w:t>
      </w:r>
      <w:r w:rsidRPr="002C3A49">
        <w:rPr>
          <w:rFonts w:ascii="Palatino Linotype" w:eastAsia="Times New Roman" w:hAnsi="Palatino Linotype" w:cs="Times New Roman"/>
          <w:i/>
          <w:iCs/>
          <w:lang w:eastAsia="es-MX"/>
        </w:rPr>
        <w:t xml:space="preserve"> 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12507752"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w:t>
      </w:r>
    </w:p>
    <w:p w14:paraId="33FE35A5"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b/>
          <w:bCs/>
          <w:i/>
          <w:iCs/>
          <w:lang w:eastAsia="es-MX"/>
        </w:rPr>
        <w:t>Quincuagésimo séptimo.</w:t>
      </w:r>
      <w:r w:rsidRPr="002C3A49">
        <w:rPr>
          <w:rFonts w:ascii="Palatino Linotype" w:eastAsia="Times New Roman" w:hAnsi="Palatino Linotype" w:cs="Times New Roman"/>
          <w:i/>
          <w:iCs/>
          <w:lang w:eastAsia="es-MX"/>
        </w:rPr>
        <w:t xml:space="preserve"> Se considera, en principio, como información pública y no podrá omitirse de las versiones públicas la siguiente: </w:t>
      </w:r>
    </w:p>
    <w:p w14:paraId="3A5CBEE7"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 La relativa a las Obligaciones de Transparencia que contempla el Título V de la Ley General y las demás disposiciones legales aplicables; </w:t>
      </w:r>
    </w:p>
    <w:p w14:paraId="13147418"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 El nombre de los integrantes de los sujetos obligados en los documentos, y sus firmas autógrafas o digitales, cuando sean utilizados en el ejercicio de las facultades conferidas para el desempeño del servicio público, y</w:t>
      </w:r>
    </w:p>
    <w:p w14:paraId="12B67DD6"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III. La información que documente decisiones y los actos de autoridad concluidos de los sujetos obligados, así como el ejercicio de las facultades o actividades de los servidores públicos, de manera que se pueda valorar el desempeño de los mismos. </w:t>
      </w:r>
    </w:p>
    <w:p w14:paraId="7E06284C"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Lo anterior, siempre y cuando no se acredite alguna causal de clasificación, prevista en las leyes o en los tratados internacionales suscritas por el Estado mexicano.  </w:t>
      </w:r>
    </w:p>
    <w:p w14:paraId="4D44D63B" w14:textId="77777777" w:rsidR="00C56EB5" w:rsidRPr="002C3A49" w:rsidRDefault="00C56EB5" w:rsidP="00C56EB5">
      <w:pPr>
        <w:spacing w:after="0" w:line="240" w:lineRule="auto"/>
        <w:ind w:left="567" w:right="616"/>
        <w:jc w:val="both"/>
        <w:rPr>
          <w:rFonts w:ascii="Palatino Linotype" w:eastAsia="Times New Roman" w:hAnsi="Palatino Linotype" w:cs="Times New Roman"/>
          <w:lang w:eastAsia="es-MX"/>
        </w:rPr>
      </w:pPr>
      <w:r w:rsidRPr="002C3A49">
        <w:rPr>
          <w:rFonts w:ascii="Palatino Linotype" w:eastAsia="Times New Roman" w:hAnsi="Palatino Linotype" w:cs="Times New Roman"/>
          <w:i/>
          <w:iCs/>
          <w:lang w:eastAsia="es-MX"/>
        </w:rPr>
        <w:t>Quincuagésimo octavo. Los sujetos obligados garantizarán que los sistemas o medios empleados para eliminar la información en las versiones públicas sean irreversibles, de tal forma que no permitan su recuperación o la visualización de la misma.”</w:t>
      </w:r>
    </w:p>
    <w:p w14:paraId="64DB818E" w14:textId="77777777" w:rsidR="00C56EB5" w:rsidRPr="002C3A49" w:rsidRDefault="00C56EB5" w:rsidP="00C56EB5">
      <w:pPr>
        <w:spacing w:after="0" w:line="240" w:lineRule="auto"/>
        <w:rPr>
          <w:rFonts w:ascii="Palatino Linotype" w:eastAsia="Times New Roman" w:hAnsi="Palatino Linotype" w:cs="Times New Roman"/>
          <w:lang w:eastAsia="es-MX"/>
        </w:rPr>
      </w:pPr>
    </w:p>
    <w:p w14:paraId="42908B00" w14:textId="254AA516" w:rsidR="00C56EB5" w:rsidRPr="002C3A49" w:rsidRDefault="00C56EB5" w:rsidP="000904AC">
      <w:pPr>
        <w:spacing w:after="0" w:line="360" w:lineRule="auto"/>
        <w:jc w:val="both"/>
        <w:rPr>
          <w:rFonts w:ascii="Palatino Linotype" w:eastAsia="Times New Roman" w:hAnsi="Palatino Linotype" w:cs="Times New Roman"/>
          <w:lang w:eastAsia="es-MX"/>
        </w:rPr>
      </w:pPr>
      <w:r w:rsidRPr="002C3A49">
        <w:rPr>
          <w:rFonts w:ascii="Palatino Linotype" w:eastAsia="Times New Roman" w:hAnsi="Palatino Linotype" w:cs="Times New Roman"/>
          <w:lang w:eastAsia="es-MX"/>
        </w:rPr>
        <w:t xml:space="preserve">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w:t>
      </w:r>
      <w:r w:rsidRPr="002C3A49">
        <w:rPr>
          <w:rFonts w:ascii="Palatino Linotype" w:eastAsia="Times New Roman" w:hAnsi="Palatino Linotype" w:cs="Times New Roman"/>
          <w:lang w:eastAsia="es-MX"/>
        </w:rPr>
        <w:lastRenderedPageBreak/>
        <w:t>porque se testan o suprimen- deja al solicitante en estado de incertidumbre, al no conocer o comprender por qué no aparecen en la documentación respectiva.</w:t>
      </w:r>
    </w:p>
    <w:p w14:paraId="3BAC0FDD" w14:textId="77777777" w:rsidR="00C56EB5" w:rsidRPr="002C3A49" w:rsidRDefault="00C56EB5" w:rsidP="000904AC">
      <w:pPr>
        <w:spacing w:after="0" w:line="360" w:lineRule="auto"/>
        <w:jc w:val="both"/>
        <w:rPr>
          <w:rFonts w:ascii="Palatino Linotype" w:eastAsia="Times New Roman" w:hAnsi="Palatino Linotype" w:cs="Times New Roman"/>
          <w:lang w:eastAsia="es-MX"/>
        </w:rPr>
      </w:pPr>
    </w:p>
    <w:p w14:paraId="39C45535" w14:textId="77777777" w:rsidR="00C56EB5" w:rsidRPr="002C3A49" w:rsidRDefault="00C56EB5" w:rsidP="000904AC">
      <w:pPr>
        <w:spacing w:after="0" w:line="360" w:lineRule="auto"/>
        <w:ind w:right="49"/>
        <w:jc w:val="both"/>
        <w:rPr>
          <w:rFonts w:ascii="Palatino Linotype" w:eastAsia="Palatino Linotype" w:hAnsi="Palatino Linotype" w:cs="Palatino Linotype"/>
          <w:lang w:val="es-ES"/>
        </w:rPr>
      </w:pPr>
      <w:bookmarkStart w:id="2" w:name="_heading=h.ijv98pntcd5s" w:colFirst="0" w:colLast="0"/>
      <w:bookmarkEnd w:id="2"/>
      <w:r w:rsidRPr="002C3A49">
        <w:rPr>
          <w:rFonts w:ascii="Palatino Linotype" w:eastAsia="Palatino Linotype" w:hAnsi="Palatino Linotype" w:cs="Palatino Linotype"/>
          <w:lang w:val="es-ES"/>
        </w:rPr>
        <w:t>Por lo anteriormente expuesto y con fundamento en lo prescrito en los artículos 5 párrafos cuadragésimo cuarto, cuadragésimo quinto y cuadragésimo sexto, fracciones IV y V de la Constitución Política del Estado Libre y Soberano de México; Transitorio Cuarto, párrafo segundo del Decreto número 198 de la “LXII” Legislatura del Estado de México; 2, fracción II; 29, 36 fracciones I y II; 176, 178, 181, 185 y 186 fracción III de la Ley de Transparencia y Acceso a la Información Pública del Estado de México y Municipios, este Pleno:</w:t>
      </w:r>
    </w:p>
    <w:p w14:paraId="0320845B" w14:textId="77777777" w:rsidR="00D27D7D" w:rsidRPr="002C3A49" w:rsidRDefault="00D27D7D" w:rsidP="00D84010">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2C3A49">
        <w:rPr>
          <w:rFonts w:ascii="Palatino Linotype" w:eastAsia="Palatino Linotype" w:hAnsi="Palatino Linotype" w:cs="Palatino Linotype"/>
          <w:b/>
        </w:rPr>
        <w:t>III. R E S U E L V E</w:t>
      </w:r>
    </w:p>
    <w:p w14:paraId="4F697052" w14:textId="0966402B" w:rsidR="00D27D7D" w:rsidRPr="002C3A49" w:rsidRDefault="00D27D7D" w:rsidP="00D84010">
      <w:pPr>
        <w:spacing w:before="240" w:after="240" w:line="360" w:lineRule="auto"/>
        <w:jc w:val="both"/>
        <w:rPr>
          <w:rFonts w:ascii="Palatino Linotype" w:eastAsia="Palatino Linotype" w:hAnsi="Palatino Linotype" w:cs="Palatino Linotype"/>
          <w:b/>
        </w:rPr>
      </w:pPr>
      <w:bookmarkStart w:id="3" w:name="_heading=h.26in1rg" w:colFirst="0" w:colLast="0"/>
      <w:bookmarkEnd w:id="3"/>
      <w:r w:rsidRPr="002C3A49">
        <w:rPr>
          <w:rFonts w:ascii="Palatino Linotype" w:eastAsia="Palatino Linotype" w:hAnsi="Palatino Linotype" w:cs="Palatino Linotype"/>
          <w:b/>
        </w:rPr>
        <w:t xml:space="preserve">Primero. </w:t>
      </w:r>
      <w:r w:rsidRPr="002C3A49">
        <w:rPr>
          <w:rFonts w:ascii="Palatino Linotype" w:eastAsia="Palatino Linotype" w:hAnsi="Palatino Linotype" w:cs="Palatino Linotype"/>
        </w:rPr>
        <w:t xml:space="preserve">Resultan </w:t>
      </w:r>
      <w:r w:rsidRPr="002C3A49">
        <w:rPr>
          <w:rFonts w:ascii="Palatino Linotype" w:eastAsia="Palatino Linotype" w:hAnsi="Palatino Linotype" w:cs="Palatino Linotype"/>
          <w:b/>
        </w:rPr>
        <w:t>fundadas</w:t>
      </w:r>
      <w:r w:rsidRPr="002C3A49">
        <w:rPr>
          <w:rFonts w:ascii="Palatino Linotype" w:eastAsia="Palatino Linotype" w:hAnsi="Palatino Linotype" w:cs="Palatino Linotype"/>
        </w:rPr>
        <w:t xml:space="preserve"> las</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 xml:space="preserve">razones o motivos de inconformidad hechos valer por la parte </w:t>
      </w:r>
      <w:r w:rsidRPr="002C3A49">
        <w:rPr>
          <w:rFonts w:ascii="Palatino Linotype" w:eastAsia="Palatino Linotype" w:hAnsi="Palatino Linotype" w:cs="Palatino Linotype"/>
          <w:b/>
        </w:rPr>
        <w:t>Recurrente</w:t>
      </w:r>
      <w:r w:rsidRPr="002C3A49">
        <w:rPr>
          <w:rFonts w:ascii="Palatino Linotype" w:eastAsia="Palatino Linotype" w:hAnsi="Palatino Linotype" w:cs="Palatino Linotype"/>
        </w:rPr>
        <w:t xml:space="preserve"> en el Recurso de Revisión </w:t>
      </w:r>
      <w:r w:rsidRPr="002C3A49">
        <w:rPr>
          <w:rFonts w:ascii="Palatino Linotype" w:eastAsia="Palatino Linotype" w:hAnsi="Palatino Linotype" w:cs="Palatino Linotype"/>
          <w:b/>
        </w:rPr>
        <w:t>0</w:t>
      </w:r>
      <w:r w:rsidR="000904AC" w:rsidRPr="002C3A49">
        <w:rPr>
          <w:rFonts w:ascii="Palatino Linotype" w:eastAsia="Palatino Linotype" w:hAnsi="Palatino Linotype" w:cs="Palatino Linotype"/>
          <w:b/>
        </w:rPr>
        <w:t>9084</w:t>
      </w:r>
      <w:r w:rsidRPr="002C3A49">
        <w:rPr>
          <w:rFonts w:ascii="Palatino Linotype" w:eastAsia="Palatino Linotype" w:hAnsi="Palatino Linotype" w:cs="Palatino Linotype"/>
          <w:b/>
        </w:rPr>
        <w:t xml:space="preserve">/INFOEM/IP/RR/2025, </w:t>
      </w:r>
      <w:r w:rsidRPr="002C3A49">
        <w:rPr>
          <w:rFonts w:ascii="Palatino Linotype" w:eastAsia="Palatino Linotype" w:hAnsi="Palatino Linotype" w:cs="Palatino Linotype"/>
        </w:rPr>
        <w:t xml:space="preserve">en términos del Considerando </w:t>
      </w:r>
      <w:r w:rsidRPr="002C3A49">
        <w:rPr>
          <w:rFonts w:ascii="Palatino Linotype" w:eastAsia="Palatino Linotype" w:hAnsi="Palatino Linotype" w:cs="Palatino Linotype"/>
          <w:b/>
        </w:rPr>
        <w:t>Cuarto</w:t>
      </w:r>
      <w:r w:rsidRPr="002C3A49">
        <w:rPr>
          <w:rFonts w:ascii="Palatino Linotype" w:eastAsia="Palatino Linotype" w:hAnsi="Palatino Linotype" w:cs="Palatino Linotype"/>
        </w:rPr>
        <w:t xml:space="preserve"> de la presente resolución.</w:t>
      </w:r>
      <w:r w:rsidRPr="002C3A49">
        <w:rPr>
          <w:rFonts w:ascii="Palatino Linotype" w:eastAsia="Palatino Linotype" w:hAnsi="Palatino Linotype" w:cs="Palatino Linotype"/>
          <w:b/>
        </w:rPr>
        <w:t xml:space="preserve"> </w:t>
      </w:r>
    </w:p>
    <w:p w14:paraId="71F42202" w14:textId="0C39E470"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 xml:space="preserve">Segundo. </w:t>
      </w:r>
      <w:r w:rsidRPr="002C3A49">
        <w:rPr>
          <w:rFonts w:ascii="Palatino Linotype" w:eastAsia="Palatino Linotype" w:hAnsi="Palatino Linotype" w:cs="Palatino Linotype"/>
        </w:rPr>
        <w:t xml:space="preserve">Se </w:t>
      </w:r>
      <w:r w:rsidRPr="002C3A49">
        <w:rPr>
          <w:rFonts w:ascii="Palatino Linotype" w:eastAsia="Palatino Linotype" w:hAnsi="Palatino Linotype" w:cs="Palatino Linotype"/>
          <w:b/>
        </w:rPr>
        <w:t>Ordena</w:t>
      </w:r>
      <w:r w:rsidRPr="002C3A49">
        <w:rPr>
          <w:rFonts w:ascii="Palatino Linotype" w:eastAsia="Palatino Linotype" w:hAnsi="Palatino Linotype" w:cs="Palatino Linotype"/>
        </w:rPr>
        <w:t xml:space="preserve"> al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que, en términos de los Considerandos </w:t>
      </w:r>
      <w:r w:rsidRPr="002C3A49">
        <w:rPr>
          <w:rFonts w:ascii="Palatino Linotype" w:eastAsia="Palatino Linotype" w:hAnsi="Palatino Linotype" w:cs="Palatino Linotype"/>
          <w:b/>
        </w:rPr>
        <w:t xml:space="preserve">Cuarto </w:t>
      </w:r>
      <w:r w:rsidRPr="002C3A49">
        <w:rPr>
          <w:rFonts w:ascii="Palatino Linotype" w:eastAsia="Palatino Linotype" w:hAnsi="Palatino Linotype" w:cs="Palatino Linotype"/>
        </w:rPr>
        <w:t xml:space="preserve">y </w:t>
      </w:r>
      <w:r w:rsidRPr="002C3A49">
        <w:rPr>
          <w:rFonts w:ascii="Palatino Linotype" w:eastAsia="Palatino Linotype" w:hAnsi="Palatino Linotype" w:cs="Palatino Linotype"/>
          <w:b/>
        </w:rPr>
        <w:t>Quinto</w:t>
      </w:r>
      <w:r w:rsidRPr="002C3A49">
        <w:rPr>
          <w:rFonts w:ascii="Palatino Linotype" w:eastAsia="Palatino Linotype" w:hAnsi="Palatino Linotype" w:cs="Palatino Linotype"/>
        </w:rPr>
        <w:t xml:space="preserve">, </w:t>
      </w:r>
      <w:r w:rsidR="000904AC" w:rsidRPr="002C3A49">
        <w:rPr>
          <w:rFonts w:ascii="Palatino Linotype" w:eastAsia="Palatino Linotype" w:hAnsi="Palatino Linotype" w:cs="Palatino Linotype"/>
        </w:rPr>
        <w:t xml:space="preserve">previa búsqueda exhaustiva y razonable, </w:t>
      </w:r>
      <w:r w:rsidRPr="002C3A49">
        <w:rPr>
          <w:rFonts w:ascii="Palatino Linotype" w:eastAsia="Palatino Linotype" w:hAnsi="Palatino Linotype" w:cs="Palatino Linotype"/>
        </w:rPr>
        <w:t>haga entrega vía Sistema de Acceso a la Información Mexiquense, de ser procedente en versión pública</w:t>
      </w:r>
      <w:r w:rsidRPr="002C3A49">
        <w:rPr>
          <w:rFonts w:ascii="Palatino Linotype" w:eastAsia="Palatino Linotype" w:hAnsi="Palatino Linotype" w:cs="Palatino Linotype"/>
          <w:b/>
        </w:rPr>
        <w:t xml:space="preserve">, </w:t>
      </w:r>
      <w:r w:rsidRPr="002C3A49">
        <w:rPr>
          <w:rFonts w:ascii="Palatino Linotype" w:eastAsia="Palatino Linotype" w:hAnsi="Palatino Linotype" w:cs="Palatino Linotype"/>
        </w:rPr>
        <w:t>lo siguiente:</w:t>
      </w:r>
    </w:p>
    <w:p w14:paraId="23FD5962" w14:textId="77777777" w:rsidR="000904AC" w:rsidRPr="002C3A49" w:rsidRDefault="000904AC" w:rsidP="000904AC">
      <w:pPr>
        <w:numPr>
          <w:ilvl w:val="0"/>
          <w:numId w:val="5"/>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 xml:space="preserve">Del Secretario del Ayuntamiento, del primero de enero al veinticuatro de junio de dos mil veinticinco: </w:t>
      </w:r>
    </w:p>
    <w:p w14:paraId="495ABD06" w14:textId="77777777" w:rsidR="000904AC" w:rsidRPr="002C3A49" w:rsidRDefault="000904AC" w:rsidP="000904AC">
      <w:pPr>
        <w:pStyle w:val="Prrafodelista"/>
        <w:numPr>
          <w:ilvl w:val="0"/>
          <w:numId w:val="16"/>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A) Bitácoras de combustible</w:t>
      </w:r>
    </w:p>
    <w:p w14:paraId="39126067" w14:textId="579CD0BA" w:rsidR="000904AC" w:rsidRPr="002C3A49" w:rsidRDefault="000904AC" w:rsidP="000904AC">
      <w:pPr>
        <w:pStyle w:val="Prrafodelista"/>
        <w:numPr>
          <w:ilvl w:val="0"/>
          <w:numId w:val="16"/>
        </w:num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B) Oficios de comisión, invitaciones o documento donde justifique el pago de combustible y viáticos</w:t>
      </w:r>
    </w:p>
    <w:p w14:paraId="364BF410" w14:textId="77777777" w:rsidR="000904AC" w:rsidRPr="002C3A49" w:rsidRDefault="000904AC" w:rsidP="000904AC">
      <w:pPr>
        <w:pStyle w:val="Prrafodelista"/>
        <w:pBdr>
          <w:top w:val="nil"/>
          <w:left w:val="nil"/>
          <w:bottom w:val="nil"/>
          <w:right w:val="nil"/>
          <w:between w:val="nil"/>
        </w:pBdr>
        <w:spacing w:before="240" w:after="240" w:line="360" w:lineRule="auto"/>
        <w:jc w:val="both"/>
        <w:rPr>
          <w:rFonts w:ascii="Palatino Linotype" w:eastAsia="Palatino Linotype" w:hAnsi="Palatino Linotype" w:cs="Palatino Linotype"/>
          <w:i/>
        </w:rPr>
      </w:pPr>
    </w:p>
    <w:p w14:paraId="1C6DEFF2" w14:textId="77777777" w:rsidR="000904AC" w:rsidRPr="002C3A49" w:rsidRDefault="000904AC" w:rsidP="000904AC">
      <w:pPr>
        <w:pStyle w:val="Prrafodelista"/>
        <w:pBdr>
          <w:top w:val="nil"/>
          <w:left w:val="nil"/>
          <w:bottom w:val="nil"/>
          <w:right w:val="nil"/>
          <w:between w:val="nil"/>
        </w:pBdr>
        <w:spacing w:before="240" w:after="240" w:line="360" w:lineRule="auto"/>
        <w:jc w:val="both"/>
        <w:rPr>
          <w:rFonts w:ascii="Palatino Linotype" w:eastAsia="Palatino Linotype" w:hAnsi="Palatino Linotype" w:cs="Palatino Linotype"/>
          <w:i/>
        </w:rPr>
      </w:pPr>
      <w:r w:rsidRPr="002C3A49">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w:t>
      </w:r>
      <w:r w:rsidRPr="002C3A49">
        <w:rPr>
          <w:rFonts w:ascii="Palatino Linotype" w:eastAsia="Palatino Linotype" w:hAnsi="Palatino Linotype" w:cs="Palatino Linotype"/>
          <w:i/>
        </w:rPr>
        <w:lastRenderedPageBreak/>
        <w:t xml:space="preserve">y Municipios, en el que funde y motive las razones sobre los datos que se supriman o eliminen y se ponga a disposición de </w:t>
      </w:r>
      <w:r w:rsidRPr="002C3A49">
        <w:rPr>
          <w:rFonts w:ascii="Palatino Linotype" w:eastAsia="Palatino Linotype" w:hAnsi="Palatino Linotype" w:cs="Palatino Linotype"/>
          <w:b/>
          <w:i/>
        </w:rPr>
        <w:t>la parte Recurrente</w:t>
      </w:r>
      <w:r w:rsidRPr="002C3A49">
        <w:rPr>
          <w:rFonts w:ascii="Palatino Linotype" w:eastAsia="Palatino Linotype" w:hAnsi="Palatino Linotype" w:cs="Palatino Linotype"/>
          <w:i/>
        </w:rPr>
        <w:t>.</w:t>
      </w:r>
    </w:p>
    <w:p w14:paraId="1119048D" w14:textId="77777777" w:rsidR="000904AC" w:rsidRPr="002C3A49" w:rsidRDefault="000904AC" w:rsidP="000904AC">
      <w:pPr>
        <w:pStyle w:val="Prrafodelista"/>
        <w:pBdr>
          <w:top w:val="nil"/>
          <w:left w:val="nil"/>
          <w:bottom w:val="nil"/>
          <w:right w:val="nil"/>
          <w:between w:val="nil"/>
        </w:pBdr>
        <w:spacing w:before="240" w:after="240" w:line="360" w:lineRule="auto"/>
        <w:jc w:val="both"/>
        <w:rPr>
          <w:rFonts w:ascii="Palatino Linotype" w:eastAsia="Palatino Linotype" w:hAnsi="Palatino Linotype" w:cs="Palatino Linotype"/>
          <w:i/>
        </w:rPr>
      </w:pPr>
    </w:p>
    <w:p w14:paraId="26EB2160" w14:textId="3FF9A964" w:rsidR="000904AC" w:rsidRPr="002C3A49" w:rsidRDefault="000904AC" w:rsidP="000904AC">
      <w:pPr>
        <w:pStyle w:val="Prrafodelista"/>
        <w:pBdr>
          <w:top w:val="nil"/>
          <w:left w:val="nil"/>
          <w:bottom w:val="nil"/>
          <w:right w:val="nil"/>
          <w:between w:val="nil"/>
        </w:pBdr>
        <w:spacing w:before="240" w:after="240" w:line="360" w:lineRule="auto"/>
        <w:jc w:val="both"/>
        <w:rPr>
          <w:rFonts w:ascii="Palatino Linotype" w:eastAsia="Palatino Linotype" w:hAnsi="Palatino Linotype" w:cs="Palatino Linotype"/>
          <w:i/>
        </w:rPr>
      </w:pPr>
      <w:r w:rsidRPr="002C3A49">
        <w:rPr>
          <w:rFonts w:ascii="Palatino Linotype" w:eastAsia="Palatino Linotype" w:hAnsi="Palatino Linotype" w:cs="Palatino Linotype"/>
          <w:bCs/>
          <w:i/>
          <w:iCs/>
        </w:rPr>
        <w:t>En caso de que el Sujeto Obligado no cuente con documentos que atiendan a lo ordenado en el inciso B), al no haber comisiones, invitaciones o pago de viáticos; bastará con que lo haga del conocimiento de la parte Recurrente de manera precisa y clara.</w:t>
      </w:r>
    </w:p>
    <w:p w14:paraId="2C3E8428" w14:textId="77777777" w:rsidR="00D27D7D" w:rsidRPr="002C3A49" w:rsidRDefault="00D27D7D" w:rsidP="00D84010">
      <w:p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b/>
        </w:rPr>
        <w:t>Tercero.</w:t>
      </w:r>
      <w:r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b/>
        </w:rPr>
        <w:t xml:space="preserve">Notifíquese vía SAIMEX </w:t>
      </w:r>
      <w:r w:rsidRPr="002C3A49">
        <w:rPr>
          <w:rFonts w:ascii="Palatino Linotype" w:eastAsia="Palatino Linotype" w:hAnsi="Palatino Linotype" w:cs="Palatino Linotype"/>
        </w:rPr>
        <w:t>la presente resolución al T</w:t>
      </w:r>
      <w:r w:rsidRPr="002C3A49">
        <w:rPr>
          <w:rFonts w:ascii="Palatino Linotype" w:eastAsia="Palatino Linotype" w:hAnsi="Palatino Linotype" w:cs="Palatino Linotype"/>
          <w:b/>
        </w:rPr>
        <w:t xml:space="preserve">itular de la Unidad de Transparencia </w:t>
      </w:r>
      <w:r w:rsidRPr="002C3A49">
        <w:rPr>
          <w:rFonts w:ascii="Palatino Linotype" w:eastAsia="Palatino Linotype" w:hAnsi="Palatino Linotype" w:cs="Palatino Linotype"/>
        </w:rPr>
        <w:t xml:space="preserve">del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8A502B4" w14:textId="77777777" w:rsidR="00D27D7D" w:rsidRPr="002C3A49" w:rsidRDefault="00D27D7D" w:rsidP="00D84010">
      <w:pPr>
        <w:spacing w:before="240" w:after="240" w:line="360" w:lineRule="auto"/>
        <w:ind w:right="49"/>
        <w:jc w:val="both"/>
        <w:rPr>
          <w:rFonts w:ascii="Palatino Linotype" w:eastAsia="Palatino Linotype" w:hAnsi="Palatino Linotype" w:cs="Palatino Linotype"/>
        </w:rPr>
      </w:pPr>
      <w:r w:rsidRPr="002C3A49">
        <w:rPr>
          <w:rFonts w:ascii="Palatino Linotype" w:eastAsia="Palatino Linotype" w:hAnsi="Palatino Linotype" w:cs="Palatino Linotype"/>
          <w:b/>
        </w:rPr>
        <w:t>Cuarto.</w:t>
      </w:r>
      <w:r w:rsidRPr="002C3A49">
        <w:rPr>
          <w:rFonts w:ascii="Palatino Linotype" w:eastAsia="Palatino Linotype" w:hAnsi="Palatino Linotype" w:cs="Palatino Linotype"/>
        </w:rPr>
        <w:t xml:space="preserve"> </w:t>
      </w:r>
      <w:r w:rsidRPr="002C3A49">
        <w:rPr>
          <w:rFonts w:ascii="Palatino Linotype" w:eastAsia="Palatino Linotype" w:hAnsi="Palatino Linotype" w:cs="Palatino Linotype"/>
          <w:b/>
        </w:rPr>
        <w:t>Notifíquese vía SAIMEX</w:t>
      </w:r>
      <w:r w:rsidRPr="002C3A49">
        <w:rPr>
          <w:rFonts w:ascii="Palatino Linotype" w:eastAsia="Palatino Linotype" w:hAnsi="Palatino Linotype" w:cs="Palatino Linotype"/>
        </w:rPr>
        <w:t xml:space="preserve"> a la parte </w:t>
      </w:r>
      <w:r w:rsidRPr="002C3A49">
        <w:rPr>
          <w:rFonts w:ascii="Palatino Linotype" w:eastAsia="Palatino Linotype" w:hAnsi="Palatino Linotype" w:cs="Palatino Linotype"/>
          <w:b/>
        </w:rPr>
        <w:t xml:space="preserve">Recurrente </w:t>
      </w:r>
      <w:r w:rsidRPr="002C3A49">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05C668B9" w14:textId="77777777" w:rsidR="00D27D7D" w:rsidRPr="002C3A49"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b/>
        </w:rPr>
        <w:t>Quinto. Notifíquese vía SAIMEX</w:t>
      </w:r>
      <w:r w:rsidRPr="002C3A49">
        <w:rPr>
          <w:rFonts w:ascii="Palatino Linotype" w:eastAsia="Palatino Linotype" w:hAnsi="Palatino Linotype" w:cs="Palatino Linotype"/>
        </w:rPr>
        <w:t xml:space="preserve"> a la parte </w:t>
      </w:r>
      <w:r w:rsidRPr="002C3A49">
        <w:rPr>
          <w:rFonts w:ascii="Palatino Linotype" w:eastAsia="Palatino Linotype" w:hAnsi="Palatino Linotype" w:cs="Palatino Linotype"/>
          <w:b/>
        </w:rPr>
        <w:t xml:space="preserve">Recurrente </w:t>
      </w:r>
      <w:r w:rsidRPr="002C3A49">
        <w:rPr>
          <w:rFonts w:ascii="Palatino Linotype" w:eastAsia="Palatino Linotype" w:hAnsi="Palatino Linotype" w:cs="Palatino Linotype"/>
        </w:rPr>
        <w:t xml:space="preserve">que la respuesta que dé el </w:t>
      </w:r>
      <w:r w:rsidRPr="002C3A49">
        <w:rPr>
          <w:rFonts w:ascii="Palatino Linotype" w:eastAsia="Palatino Linotype" w:hAnsi="Palatino Linotype" w:cs="Palatino Linotype"/>
          <w:b/>
        </w:rPr>
        <w:t>Sujeto Obligado</w:t>
      </w:r>
      <w:r w:rsidRPr="002C3A49">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25D070C" w14:textId="77777777" w:rsidR="00D27D7D" w:rsidRPr="002C3A49" w:rsidRDefault="00D27D7D" w:rsidP="00D84010">
      <w:pPr>
        <w:spacing w:before="240" w:after="240" w:line="360" w:lineRule="auto"/>
        <w:jc w:val="both"/>
        <w:rPr>
          <w:rFonts w:ascii="Palatino Linotype" w:eastAsia="Palatino Linotype" w:hAnsi="Palatino Linotype" w:cs="Palatino Linotype"/>
          <w:b/>
        </w:rPr>
      </w:pPr>
      <w:r w:rsidRPr="002C3A49">
        <w:rPr>
          <w:rFonts w:ascii="Palatino Linotype" w:eastAsia="Palatino Linotype" w:hAnsi="Palatino Linotype" w:cs="Palatino Linotype"/>
          <w:b/>
        </w:rPr>
        <w:t>Sexto. Gírese</w:t>
      </w:r>
      <w:r w:rsidRPr="002C3A49">
        <w:rPr>
          <w:rFonts w:ascii="Palatino Linotype" w:eastAsia="Palatino Linotype" w:hAnsi="Palatino Linotype" w:cs="Palatino Linotype"/>
        </w:rPr>
        <w:t xml:space="preserve"> oficio a la </w:t>
      </w:r>
      <w:r w:rsidRPr="002C3A49">
        <w:rPr>
          <w:rFonts w:ascii="Palatino Linotype" w:eastAsia="Palatino Linotype" w:hAnsi="Palatino Linotype" w:cs="Palatino Linotype"/>
          <w:b/>
        </w:rPr>
        <w:t>Secretaría Técnica del Pleno de este Instituto</w:t>
      </w:r>
      <w:r w:rsidRPr="002C3A49">
        <w:rPr>
          <w:rFonts w:ascii="Palatino Linotype" w:eastAsia="Palatino Linotype" w:hAnsi="Palatino Linotype" w:cs="Palatino Linotype"/>
        </w:rPr>
        <w:t xml:space="preserve"> para hacer de su conocimiento la presente resolución, a fin de que en ejercicio de sus atribuciones y de </w:t>
      </w:r>
      <w:r w:rsidRPr="002C3A49">
        <w:rPr>
          <w:rFonts w:ascii="Palatino Linotype" w:eastAsia="Palatino Linotype" w:hAnsi="Palatino Linotype" w:cs="Palatino Linotype"/>
        </w:rPr>
        <w:lastRenderedPageBreak/>
        <w:t>conformidad con el artículo 190, de la Ley de Transparencia y Acceso a la Información Pública del Estado de México y Municipios, determine lo conducente, en términos de lo señalado en el considerando</w:t>
      </w:r>
      <w:r w:rsidRPr="002C3A49">
        <w:rPr>
          <w:rFonts w:ascii="Palatino Linotype" w:eastAsia="Palatino Linotype" w:hAnsi="Palatino Linotype" w:cs="Palatino Linotype"/>
          <w:b/>
        </w:rPr>
        <w:t xml:space="preserve"> Cuarto </w:t>
      </w:r>
      <w:r w:rsidRPr="002C3A49">
        <w:rPr>
          <w:rFonts w:ascii="Palatino Linotype" w:eastAsia="Palatino Linotype" w:hAnsi="Palatino Linotype" w:cs="Palatino Linotype"/>
        </w:rPr>
        <w:t>de la presente resolución.</w:t>
      </w:r>
      <w:r w:rsidRPr="002C3A49">
        <w:rPr>
          <w:rFonts w:ascii="Palatino Linotype" w:eastAsia="Palatino Linotype" w:hAnsi="Palatino Linotype" w:cs="Palatino Linotype"/>
          <w:b/>
        </w:rPr>
        <w:t xml:space="preserve"> </w:t>
      </w:r>
    </w:p>
    <w:p w14:paraId="671655B5" w14:textId="3AE8C78F" w:rsidR="00D27D7D" w:rsidRPr="006F032C" w:rsidRDefault="00D27D7D" w:rsidP="00D84010">
      <w:pPr>
        <w:spacing w:before="240" w:after="240" w:line="360" w:lineRule="auto"/>
        <w:jc w:val="both"/>
        <w:rPr>
          <w:rFonts w:ascii="Palatino Linotype" w:eastAsia="Palatino Linotype" w:hAnsi="Palatino Linotype" w:cs="Palatino Linotype"/>
        </w:rPr>
      </w:pPr>
      <w:r w:rsidRPr="002C3A49">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EMITIENDO VOTO PARTICULAR; EN LA </w:t>
      </w:r>
      <w:r w:rsidR="000904AC" w:rsidRPr="002C3A49">
        <w:rPr>
          <w:rFonts w:ascii="Palatino Linotype" w:eastAsia="Palatino Linotype" w:hAnsi="Palatino Linotype" w:cs="Palatino Linotype"/>
        </w:rPr>
        <w:t xml:space="preserve">DÉCIMA </w:t>
      </w:r>
      <w:r w:rsidRPr="002C3A49">
        <w:rPr>
          <w:rFonts w:ascii="Palatino Linotype" w:eastAsia="Palatino Linotype" w:hAnsi="Palatino Linotype" w:cs="Palatino Linotype"/>
        </w:rPr>
        <w:t xml:space="preserve">SESIÓN ORDINARIA CELEBRADA EL </w:t>
      </w:r>
      <w:r w:rsidR="000904AC" w:rsidRPr="002C3A49">
        <w:rPr>
          <w:rFonts w:ascii="Palatino Linotype" w:eastAsia="Palatino Linotype" w:hAnsi="Palatino Linotype" w:cs="Palatino Linotype"/>
        </w:rPr>
        <w:t>DIECINUEVE DE MARZO DE DOS MIL VEINTISÉIS</w:t>
      </w:r>
      <w:r w:rsidRPr="002C3A49">
        <w:rPr>
          <w:rFonts w:ascii="Palatino Linotype" w:eastAsia="Palatino Linotype" w:hAnsi="Palatino Linotype" w:cs="Palatino Linotype"/>
        </w:rPr>
        <w:t>, ANTE EL SECRETARIO TÉCNICO DEL PLENO ALEXIS TAPIA RAMÍREZ.</w:t>
      </w:r>
      <w:r w:rsidRPr="006F032C">
        <w:rPr>
          <w:rFonts w:ascii="Palatino Linotype" w:eastAsia="Palatino Linotype" w:hAnsi="Palatino Linotype" w:cs="Palatino Linotype"/>
        </w:rPr>
        <w:t xml:space="preserve"> </w:t>
      </w:r>
    </w:p>
    <w:p w14:paraId="5EE2EEAC"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42EB283B" w14:textId="77777777" w:rsidR="00D27D7D" w:rsidRPr="006F032C" w:rsidRDefault="00D27D7D" w:rsidP="00D84010">
      <w:pPr>
        <w:spacing w:before="240" w:after="240" w:line="360" w:lineRule="auto"/>
        <w:rPr>
          <w:rFonts w:ascii="Palatino Linotype" w:eastAsia="Palatino Linotype" w:hAnsi="Palatino Linotype" w:cs="Palatino Linotype"/>
        </w:rPr>
      </w:pPr>
      <w:bookmarkStart w:id="4" w:name="_heading=h.17dp8vu" w:colFirst="0" w:colLast="0"/>
      <w:bookmarkEnd w:id="4"/>
    </w:p>
    <w:p w14:paraId="527340EA" w14:textId="77777777" w:rsidR="00D27D7D" w:rsidRPr="006F032C" w:rsidRDefault="00D27D7D" w:rsidP="00D84010">
      <w:pPr>
        <w:spacing w:before="240" w:after="240" w:line="360" w:lineRule="auto"/>
        <w:rPr>
          <w:rFonts w:ascii="Palatino Linotype" w:eastAsia="Palatino Linotype" w:hAnsi="Palatino Linotype" w:cs="Palatino Linotype"/>
        </w:rPr>
      </w:pPr>
    </w:p>
    <w:p w14:paraId="2A8E36E9" w14:textId="77777777" w:rsidR="00D27D7D" w:rsidRPr="006F032C" w:rsidRDefault="00D27D7D" w:rsidP="00D84010">
      <w:pPr>
        <w:spacing w:before="240" w:after="240" w:line="360" w:lineRule="auto"/>
        <w:jc w:val="both"/>
        <w:rPr>
          <w:rFonts w:ascii="Palatino Linotype" w:eastAsia="Palatino Linotype" w:hAnsi="Palatino Linotype" w:cs="Palatino Linotype"/>
        </w:rPr>
      </w:pPr>
      <w:bookmarkStart w:id="5" w:name="_heading=h.3rdcrjn" w:colFirst="0" w:colLast="0"/>
      <w:bookmarkEnd w:id="5"/>
    </w:p>
    <w:p w14:paraId="2CDD63AF"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6FA0DD1F" w14:textId="77777777" w:rsidR="00D27D7D" w:rsidRPr="006F032C" w:rsidRDefault="00D27D7D" w:rsidP="00D84010">
      <w:pPr>
        <w:spacing w:before="240" w:after="240" w:line="360" w:lineRule="auto"/>
        <w:jc w:val="both"/>
        <w:rPr>
          <w:rFonts w:ascii="Palatino Linotype" w:eastAsia="Palatino Linotype" w:hAnsi="Palatino Linotype" w:cs="Palatino Linotype"/>
        </w:rPr>
      </w:pPr>
      <w:bookmarkStart w:id="6" w:name="_heading=h.1t3h5sf" w:colFirst="0" w:colLast="0"/>
      <w:bookmarkEnd w:id="6"/>
    </w:p>
    <w:p w14:paraId="094FF2BD"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5B1FF588"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741B3713"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531CB77B"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0FB7D2F6"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1A24E2B7"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141A3490"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4C5F46FD"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7E33271B"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0B7036CA"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6AF2A026"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78F6B78E"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2BECB634"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3316A6DC" w14:textId="77777777" w:rsidR="00D27D7D" w:rsidRPr="006F032C" w:rsidRDefault="00D27D7D" w:rsidP="00D84010">
      <w:pPr>
        <w:spacing w:before="240" w:after="240" w:line="360" w:lineRule="auto"/>
        <w:jc w:val="both"/>
        <w:rPr>
          <w:rFonts w:ascii="Palatino Linotype" w:eastAsia="Palatino Linotype" w:hAnsi="Palatino Linotype" w:cs="Palatino Linotype"/>
        </w:rPr>
      </w:pPr>
    </w:p>
    <w:p w14:paraId="225980E7" w14:textId="77777777" w:rsidR="009E03A0" w:rsidRPr="006F032C" w:rsidRDefault="009E03A0" w:rsidP="00D84010">
      <w:pPr>
        <w:spacing w:before="240" w:after="240" w:line="360" w:lineRule="auto"/>
        <w:jc w:val="both"/>
        <w:rPr>
          <w:rFonts w:ascii="Palatino Linotype" w:eastAsia="Palatino Linotype" w:hAnsi="Palatino Linotype" w:cs="Palatino Linotype"/>
        </w:rPr>
      </w:pPr>
    </w:p>
    <w:sectPr w:rsidR="009E03A0" w:rsidRPr="006F032C" w:rsidSect="00ED4BF8">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E0499" w14:textId="77777777" w:rsidR="00EC0856" w:rsidRDefault="00EC0856" w:rsidP="00ED4BF8">
      <w:pPr>
        <w:spacing w:after="0" w:line="240" w:lineRule="auto"/>
      </w:pPr>
      <w:r>
        <w:separator/>
      </w:r>
    </w:p>
  </w:endnote>
  <w:endnote w:type="continuationSeparator" w:id="0">
    <w:p w14:paraId="147A6072" w14:textId="77777777" w:rsidR="00EC0856" w:rsidRDefault="00EC0856" w:rsidP="00ED4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B2A" w14:textId="77777777" w:rsidR="002211E4" w:rsidRPr="00872D2C" w:rsidRDefault="002211E4" w:rsidP="00872D2C">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8"/>
      </w:rPr>
    </w:pPr>
    <w:r w:rsidRPr="00872D2C">
      <w:rPr>
        <w:rFonts w:ascii="Palatino Linotype" w:eastAsia="Arial" w:hAnsi="Palatino Linotype" w:cs="Arial"/>
        <w:b/>
        <w:color w:val="000000"/>
        <w:sz w:val="24"/>
        <w:szCs w:val="20"/>
      </w:rPr>
      <w:t xml:space="preserve">Página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PAGE</w:instrText>
    </w:r>
    <w:r w:rsidRPr="00872D2C">
      <w:rPr>
        <w:rFonts w:ascii="Palatino Linotype" w:eastAsia="Arial" w:hAnsi="Palatino Linotype" w:cs="Arial"/>
        <w:b/>
        <w:color w:val="000000"/>
        <w:sz w:val="24"/>
        <w:szCs w:val="20"/>
      </w:rPr>
      <w:fldChar w:fldCharType="separate"/>
    </w:r>
    <w:r w:rsidR="002C3A49">
      <w:rPr>
        <w:rFonts w:ascii="Palatino Linotype" w:eastAsia="Arial" w:hAnsi="Palatino Linotype" w:cs="Arial"/>
        <w:b/>
        <w:noProof/>
        <w:color w:val="000000"/>
        <w:sz w:val="24"/>
        <w:szCs w:val="20"/>
      </w:rPr>
      <w:t>34</w:t>
    </w:r>
    <w:r w:rsidRPr="00872D2C">
      <w:rPr>
        <w:rFonts w:ascii="Palatino Linotype" w:eastAsia="Arial" w:hAnsi="Palatino Linotype" w:cs="Arial"/>
        <w:b/>
        <w:color w:val="000000"/>
        <w:sz w:val="24"/>
        <w:szCs w:val="20"/>
      </w:rPr>
      <w:fldChar w:fldCharType="end"/>
    </w:r>
    <w:r w:rsidRPr="00872D2C">
      <w:rPr>
        <w:rFonts w:ascii="Palatino Linotype" w:eastAsia="Arial" w:hAnsi="Palatino Linotype" w:cs="Arial"/>
        <w:color w:val="000000"/>
        <w:sz w:val="24"/>
        <w:szCs w:val="20"/>
      </w:rPr>
      <w:t xml:space="preserve"> de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NUMPAGES</w:instrText>
    </w:r>
    <w:r w:rsidRPr="00872D2C">
      <w:rPr>
        <w:rFonts w:ascii="Palatino Linotype" w:eastAsia="Arial" w:hAnsi="Palatino Linotype" w:cs="Arial"/>
        <w:b/>
        <w:color w:val="000000"/>
        <w:sz w:val="24"/>
        <w:szCs w:val="20"/>
      </w:rPr>
      <w:fldChar w:fldCharType="separate"/>
    </w:r>
    <w:r w:rsidR="002C3A49">
      <w:rPr>
        <w:rFonts w:ascii="Palatino Linotype" w:eastAsia="Arial" w:hAnsi="Palatino Linotype" w:cs="Arial"/>
        <w:b/>
        <w:noProof/>
        <w:color w:val="000000"/>
        <w:sz w:val="24"/>
        <w:szCs w:val="20"/>
      </w:rPr>
      <w:t>36</w:t>
    </w:r>
    <w:r w:rsidRPr="00872D2C">
      <w:rPr>
        <w:rFonts w:ascii="Palatino Linotype" w:eastAsia="Arial" w:hAnsi="Palatino Linotype" w:cs="Arial"/>
        <w:b/>
        <w:color w:val="000000"/>
        <w:sz w:val="24"/>
        <w:szCs w:val="20"/>
      </w:rPr>
      <w:fldChar w:fldCharType="end"/>
    </w:r>
  </w:p>
  <w:p w14:paraId="71822A47" w14:textId="77777777" w:rsidR="002211E4" w:rsidRDefault="002211E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9156D" w14:textId="77777777" w:rsidR="002211E4" w:rsidRPr="00872D2C" w:rsidRDefault="002211E4" w:rsidP="00ED4BF8">
    <w:pPr>
      <w:pBdr>
        <w:top w:val="nil"/>
        <w:left w:val="nil"/>
        <w:bottom w:val="nil"/>
        <w:right w:val="nil"/>
        <w:between w:val="nil"/>
      </w:pBdr>
      <w:tabs>
        <w:tab w:val="center" w:pos="4419"/>
        <w:tab w:val="right" w:pos="8838"/>
      </w:tabs>
      <w:spacing w:after="0" w:line="240" w:lineRule="auto"/>
      <w:jc w:val="right"/>
      <w:rPr>
        <w:rFonts w:ascii="Palatino Linotype" w:hAnsi="Palatino Linotype"/>
        <w:color w:val="000000"/>
        <w:sz w:val="28"/>
      </w:rPr>
    </w:pPr>
    <w:r w:rsidRPr="00872D2C">
      <w:rPr>
        <w:rFonts w:ascii="Palatino Linotype" w:eastAsia="Arial" w:hAnsi="Palatino Linotype" w:cs="Arial"/>
        <w:b/>
        <w:color w:val="000000"/>
        <w:sz w:val="24"/>
        <w:szCs w:val="20"/>
      </w:rPr>
      <w:t xml:space="preserve">Página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PAGE</w:instrText>
    </w:r>
    <w:r w:rsidRPr="00872D2C">
      <w:rPr>
        <w:rFonts w:ascii="Palatino Linotype" w:eastAsia="Arial" w:hAnsi="Palatino Linotype" w:cs="Arial"/>
        <w:b/>
        <w:color w:val="000000"/>
        <w:sz w:val="24"/>
        <w:szCs w:val="20"/>
      </w:rPr>
      <w:fldChar w:fldCharType="separate"/>
    </w:r>
    <w:r w:rsidR="002C3A49">
      <w:rPr>
        <w:rFonts w:ascii="Palatino Linotype" w:eastAsia="Arial" w:hAnsi="Palatino Linotype" w:cs="Arial"/>
        <w:b/>
        <w:noProof/>
        <w:color w:val="000000"/>
        <w:sz w:val="24"/>
        <w:szCs w:val="20"/>
      </w:rPr>
      <w:t>1</w:t>
    </w:r>
    <w:r w:rsidRPr="00872D2C">
      <w:rPr>
        <w:rFonts w:ascii="Palatino Linotype" w:eastAsia="Arial" w:hAnsi="Palatino Linotype" w:cs="Arial"/>
        <w:b/>
        <w:color w:val="000000"/>
        <w:sz w:val="24"/>
        <w:szCs w:val="20"/>
      </w:rPr>
      <w:fldChar w:fldCharType="end"/>
    </w:r>
    <w:r w:rsidRPr="00872D2C">
      <w:rPr>
        <w:rFonts w:ascii="Palatino Linotype" w:eastAsia="Arial" w:hAnsi="Palatino Linotype" w:cs="Arial"/>
        <w:color w:val="000000"/>
        <w:sz w:val="24"/>
        <w:szCs w:val="20"/>
      </w:rPr>
      <w:t xml:space="preserve"> de </w:t>
    </w:r>
    <w:r w:rsidRPr="00872D2C">
      <w:rPr>
        <w:rFonts w:ascii="Palatino Linotype" w:eastAsia="Arial" w:hAnsi="Palatino Linotype" w:cs="Arial"/>
        <w:b/>
        <w:color w:val="000000"/>
        <w:sz w:val="24"/>
        <w:szCs w:val="20"/>
      </w:rPr>
      <w:fldChar w:fldCharType="begin"/>
    </w:r>
    <w:r w:rsidRPr="00872D2C">
      <w:rPr>
        <w:rFonts w:ascii="Palatino Linotype" w:eastAsia="Arial" w:hAnsi="Palatino Linotype" w:cs="Arial"/>
        <w:b/>
        <w:color w:val="000000"/>
        <w:sz w:val="24"/>
        <w:szCs w:val="20"/>
      </w:rPr>
      <w:instrText>NUMPAGES</w:instrText>
    </w:r>
    <w:r w:rsidRPr="00872D2C">
      <w:rPr>
        <w:rFonts w:ascii="Palatino Linotype" w:eastAsia="Arial" w:hAnsi="Palatino Linotype" w:cs="Arial"/>
        <w:b/>
        <w:color w:val="000000"/>
        <w:sz w:val="24"/>
        <w:szCs w:val="20"/>
      </w:rPr>
      <w:fldChar w:fldCharType="separate"/>
    </w:r>
    <w:r w:rsidR="002C3A49">
      <w:rPr>
        <w:rFonts w:ascii="Palatino Linotype" w:eastAsia="Arial" w:hAnsi="Palatino Linotype" w:cs="Arial"/>
        <w:b/>
        <w:noProof/>
        <w:color w:val="000000"/>
        <w:sz w:val="24"/>
        <w:szCs w:val="20"/>
      </w:rPr>
      <w:t>36</w:t>
    </w:r>
    <w:r w:rsidRPr="00872D2C">
      <w:rPr>
        <w:rFonts w:ascii="Palatino Linotype" w:eastAsia="Arial" w:hAnsi="Palatino Linotype" w:cs="Arial"/>
        <w:b/>
        <w:color w:val="000000"/>
        <w:sz w:val="24"/>
        <w:szCs w:val="20"/>
      </w:rPr>
      <w:fldChar w:fldCharType="end"/>
    </w:r>
  </w:p>
  <w:p w14:paraId="4F67EC3C" w14:textId="77777777" w:rsidR="002211E4" w:rsidRDefault="002211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509AD" w14:textId="77777777" w:rsidR="00EC0856" w:rsidRDefault="00EC0856" w:rsidP="00ED4BF8">
      <w:pPr>
        <w:spacing w:after="0" w:line="240" w:lineRule="auto"/>
      </w:pPr>
      <w:r>
        <w:separator/>
      </w:r>
    </w:p>
  </w:footnote>
  <w:footnote w:type="continuationSeparator" w:id="0">
    <w:p w14:paraId="7CE6A498" w14:textId="77777777" w:rsidR="00EC0856" w:rsidRDefault="00EC0856" w:rsidP="00ED4BF8">
      <w:pPr>
        <w:spacing w:after="0" w:line="240" w:lineRule="auto"/>
      </w:pPr>
      <w:r>
        <w:continuationSeparator/>
      </w:r>
    </w:p>
  </w:footnote>
  <w:footnote w:id="1">
    <w:p w14:paraId="420F8960" w14:textId="77777777" w:rsidR="00D27D7D" w:rsidRDefault="00D27D7D" w:rsidP="00D27D7D">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9160097" w14:textId="77777777" w:rsidR="00D27D7D" w:rsidRDefault="00D27D7D" w:rsidP="00D27D7D">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1281" w:type="dxa"/>
      <w:tblLayout w:type="fixed"/>
      <w:tblLook w:val="0400" w:firstRow="0" w:lastRow="0" w:firstColumn="0" w:lastColumn="0" w:noHBand="0" w:noVBand="1"/>
    </w:tblPr>
    <w:tblGrid>
      <w:gridCol w:w="5716"/>
      <w:gridCol w:w="4557"/>
    </w:tblGrid>
    <w:tr w:rsidR="002211E4" w14:paraId="7045F155" w14:textId="77777777" w:rsidTr="0058207D">
      <w:trPr>
        <w:trHeight w:val="246"/>
      </w:trPr>
      <w:tc>
        <w:tcPr>
          <w:tcW w:w="5716" w:type="dxa"/>
        </w:tcPr>
        <w:p w14:paraId="7CBF508F" w14:textId="03B466A5" w:rsidR="002211E4" w:rsidRPr="008117F1" w:rsidRDefault="002211E4" w:rsidP="008117F1">
          <w:pPr>
            <w:spacing w:after="0"/>
            <w:ind w:right="-68"/>
            <w:jc w:val="right"/>
            <w:rPr>
              <w:rFonts w:ascii="Palatino Linotype" w:eastAsia="Palatino Linotype" w:hAnsi="Palatino Linotype" w:cs="Palatino Linotype"/>
              <w:b/>
            </w:rPr>
          </w:pPr>
          <w:r w:rsidRPr="008117F1">
            <w:rPr>
              <w:noProof/>
              <w:lang w:eastAsia="es-MX"/>
            </w:rPr>
            <w:drawing>
              <wp:anchor distT="0" distB="0" distL="0" distR="0" simplePos="0" relativeHeight="251661312" behindDoc="1" locked="0" layoutInCell="1" hidden="0" allowOverlap="1" wp14:anchorId="2E80DCCC" wp14:editId="20A34871">
                <wp:simplePos x="0" y="0"/>
                <wp:positionH relativeFrom="page">
                  <wp:posOffset>-59690</wp:posOffset>
                </wp:positionH>
                <wp:positionV relativeFrom="paragraph">
                  <wp:posOffset>-396875</wp:posOffset>
                </wp:positionV>
                <wp:extent cx="7353300" cy="8658225"/>
                <wp:effectExtent l="0" t="0" r="0" b="9525"/>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r w:rsidRPr="008117F1">
            <w:rPr>
              <w:rFonts w:ascii="Palatino Linotype" w:eastAsia="Palatino Linotype" w:hAnsi="Palatino Linotype" w:cs="Palatino Linotype"/>
              <w:b/>
            </w:rPr>
            <w:t>Recurso de Revisión:</w:t>
          </w:r>
        </w:p>
      </w:tc>
      <w:tc>
        <w:tcPr>
          <w:tcW w:w="4557" w:type="dxa"/>
        </w:tcPr>
        <w:p w14:paraId="52826ABF" w14:textId="3C8F0A4E" w:rsidR="002211E4" w:rsidRPr="008117F1" w:rsidRDefault="00BA743A" w:rsidP="008117F1">
          <w:pPr>
            <w:spacing w:after="0"/>
            <w:ind w:left="-486" w:right="95" w:firstLine="1408"/>
            <w:jc w:val="right"/>
            <w:rPr>
              <w:rFonts w:ascii="Palatino Linotype" w:eastAsia="Palatino Linotype" w:hAnsi="Palatino Linotype" w:cs="Palatino Linotype"/>
            </w:rPr>
          </w:pPr>
          <w:r>
            <w:rPr>
              <w:rFonts w:ascii="Palatino Linotype" w:eastAsia="Palatino Linotype" w:hAnsi="Palatino Linotype" w:cs="Palatino Linotype"/>
            </w:rPr>
            <w:t>09084</w:t>
          </w:r>
          <w:r w:rsidR="002211E4" w:rsidRPr="008117F1">
            <w:rPr>
              <w:rFonts w:ascii="Palatino Linotype" w:eastAsia="Palatino Linotype" w:hAnsi="Palatino Linotype" w:cs="Palatino Linotype"/>
            </w:rPr>
            <w:t>/INFOEM/IP/RR/2025</w:t>
          </w:r>
        </w:p>
      </w:tc>
    </w:tr>
    <w:tr w:rsidR="002211E4" w14:paraId="494AD8B5" w14:textId="77777777" w:rsidTr="0058207D">
      <w:trPr>
        <w:trHeight w:val="264"/>
      </w:trPr>
      <w:tc>
        <w:tcPr>
          <w:tcW w:w="5716" w:type="dxa"/>
        </w:tcPr>
        <w:p w14:paraId="464842D0"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Sujeto Obligado:</w:t>
          </w:r>
        </w:p>
      </w:tc>
      <w:tc>
        <w:tcPr>
          <w:tcW w:w="4557" w:type="dxa"/>
        </w:tcPr>
        <w:p w14:paraId="5D3805FE" w14:textId="475CA47D" w:rsidR="002211E4" w:rsidRPr="008117F1" w:rsidRDefault="00BA743A" w:rsidP="008117F1">
          <w:pPr>
            <w:spacing w:after="0"/>
            <w:ind w:left="-495" w:right="95" w:firstLine="567"/>
            <w:jc w:val="right"/>
            <w:rPr>
              <w:rFonts w:ascii="Palatino Linotype" w:eastAsia="Palatino Linotype" w:hAnsi="Palatino Linotype" w:cs="Palatino Linotype"/>
            </w:rPr>
          </w:pPr>
          <w:r w:rsidRPr="00BA743A">
            <w:rPr>
              <w:rFonts w:ascii="Palatino Linotype" w:eastAsia="Palatino Linotype" w:hAnsi="Palatino Linotype" w:cs="Palatino Linotype"/>
            </w:rPr>
            <w:t>Ayuntamiento de Villa de Allende</w:t>
          </w:r>
        </w:p>
      </w:tc>
    </w:tr>
    <w:tr w:rsidR="002211E4" w14:paraId="52784B42" w14:textId="77777777" w:rsidTr="0058207D">
      <w:trPr>
        <w:trHeight w:val="373"/>
      </w:trPr>
      <w:tc>
        <w:tcPr>
          <w:tcW w:w="5716" w:type="dxa"/>
        </w:tcPr>
        <w:p w14:paraId="5768861F" w14:textId="77777777" w:rsidR="002211E4" w:rsidRPr="008117F1" w:rsidRDefault="002211E4" w:rsidP="008117F1">
          <w:pPr>
            <w:tabs>
              <w:tab w:val="left" w:pos="4892"/>
            </w:tabs>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Comisionada Ponente:</w:t>
          </w:r>
        </w:p>
      </w:tc>
      <w:tc>
        <w:tcPr>
          <w:tcW w:w="4557" w:type="dxa"/>
        </w:tcPr>
        <w:p w14:paraId="5FEE4274" w14:textId="77777777" w:rsidR="002211E4" w:rsidRPr="008117F1" w:rsidRDefault="002211E4" w:rsidP="008117F1">
          <w:pPr>
            <w:spacing w:after="0"/>
            <w:ind w:left="-486" w:right="95" w:firstLine="567"/>
            <w:jc w:val="right"/>
            <w:rPr>
              <w:rFonts w:ascii="Palatino Linotype" w:eastAsia="Palatino Linotype" w:hAnsi="Palatino Linotype" w:cs="Palatino Linotype"/>
            </w:rPr>
          </w:pPr>
          <w:r w:rsidRPr="008117F1">
            <w:rPr>
              <w:rFonts w:ascii="Palatino Linotype" w:eastAsia="Palatino Linotype" w:hAnsi="Palatino Linotype" w:cs="Palatino Linotype"/>
            </w:rPr>
            <w:t>Guadalupe Ramírez Peña</w:t>
          </w:r>
        </w:p>
      </w:tc>
    </w:tr>
  </w:tbl>
  <w:p w14:paraId="6BEC0B20" w14:textId="77777777" w:rsidR="002211E4" w:rsidRDefault="002211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3" w:type="dxa"/>
      <w:tblInd w:w="-1281" w:type="dxa"/>
      <w:tblLayout w:type="fixed"/>
      <w:tblLook w:val="0400" w:firstRow="0" w:lastRow="0" w:firstColumn="0" w:lastColumn="0" w:noHBand="0" w:noVBand="1"/>
    </w:tblPr>
    <w:tblGrid>
      <w:gridCol w:w="5959"/>
      <w:gridCol w:w="4394"/>
    </w:tblGrid>
    <w:tr w:rsidR="002211E4" w14:paraId="202F1AAA" w14:textId="77777777" w:rsidTr="008117F1">
      <w:trPr>
        <w:trHeight w:val="246"/>
      </w:trPr>
      <w:tc>
        <w:tcPr>
          <w:tcW w:w="5959" w:type="dxa"/>
        </w:tcPr>
        <w:p w14:paraId="0324B9E8" w14:textId="07437CF2"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Recurso de Revisión:</w:t>
          </w:r>
        </w:p>
      </w:tc>
      <w:tc>
        <w:tcPr>
          <w:tcW w:w="4394" w:type="dxa"/>
        </w:tcPr>
        <w:p w14:paraId="32FC9D66" w14:textId="2BE36DF6" w:rsidR="002211E4" w:rsidRPr="008117F1" w:rsidRDefault="00BA743A" w:rsidP="008117F1">
          <w:pPr>
            <w:spacing w:after="0"/>
            <w:ind w:left="-486" w:right="214" w:firstLine="1408"/>
            <w:jc w:val="right"/>
            <w:rPr>
              <w:rFonts w:ascii="Palatino Linotype" w:eastAsia="Palatino Linotype" w:hAnsi="Palatino Linotype" w:cs="Palatino Linotype"/>
            </w:rPr>
          </w:pPr>
          <w:r>
            <w:rPr>
              <w:rFonts w:ascii="Palatino Linotype" w:eastAsia="Palatino Linotype" w:hAnsi="Palatino Linotype" w:cs="Palatino Linotype"/>
            </w:rPr>
            <w:t>09084</w:t>
          </w:r>
          <w:r w:rsidR="002211E4" w:rsidRPr="008117F1">
            <w:rPr>
              <w:rFonts w:ascii="Palatino Linotype" w:eastAsia="Palatino Linotype" w:hAnsi="Palatino Linotype" w:cs="Palatino Linotype"/>
            </w:rPr>
            <w:t>/INFOEM/IP/RR/2025</w:t>
          </w:r>
        </w:p>
      </w:tc>
    </w:tr>
    <w:tr w:rsidR="002211E4" w14:paraId="0303ECE0" w14:textId="77777777" w:rsidTr="008117F1">
      <w:trPr>
        <w:trHeight w:val="212"/>
      </w:trPr>
      <w:tc>
        <w:tcPr>
          <w:tcW w:w="5959" w:type="dxa"/>
        </w:tcPr>
        <w:p w14:paraId="4A1EB69C"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Recurrente:</w:t>
          </w:r>
        </w:p>
      </w:tc>
      <w:tc>
        <w:tcPr>
          <w:tcW w:w="4394" w:type="dxa"/>
        </w:tcPr>
        <w:p w14:paraId="17506A1F" w14:textId="44C95214" w:rsidR="002211E4" w:rsidRPr="008117F1" w:rsidRDefault="004B2C19" w:rsidP="008117F1">
          <w:pPr>
            <w:spacing w:after="0"/>
            <w:ind w:left="-486" w:right="214" w:firstLine="567"/>
            <w:jc w:val="right"/>
            <w:rPr>
              <w:rFonts w:ascii="Palatino Linotype" w:eastAsia="Palatino Linotype" w:hAnsi="Palatino Linotype" w:cs="Palatino Linotype"/>
            </w:rPr>
          </w:pPr>
          <w:r>
            <w:rPr>
              <w:rFonts w:ascii="Palatino Linotype" w:eastAsia="Palatino Linotype" w:hAnsi="Palatino Linotype" w:cs="Palatino Linotype"/>
            </w:rPr>
            <w:t>XXXXXXXX</w:t>
          </w:r>
        </w:p>
      </w:tc>
    </w:tr>
    <w:tr w:rsidR="002211E4" w14:paraId="2C0F115E" w14:textId="77777777" w:rsidTr="008117F1">
      <w:trPr>
        <w:trHeight w:val="264"/>
      </w:trPr>
      <w:tc>
        <w:tcPr>
          <w:tcW w:w="5959" w:type="dxa"/>
        </w:tcPr>
        <w:p w14:paraId="48A2F709" w14:textId="77777777" w:rsidR="002211E4" w:rsidRPr="008117F1" w:rsidRDefault="002211E4" w:rsidP="008117F1">
          <w:pPr>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Sujeto Obligado:</w:t>
          </w:r>
        </w:p>
      </w:tc>
      <w:tc>
        <w:tcPr>
          <w:tcW w:w="4394" w:type="dxa"/>
        </w:tcPr>
        <w:p w14:paraId="2EEBEDD0" w14:textId="392FDC5C" w:rsidR="002211E4" w:rsidRPr="008117F1" w:rsidRDefault="00BA743A" w:rsidP="008117F1">
          <w:pPr>
            <w:spacing w:after="0"/>
            <w:ind w:left="-495" w:right="214" w:firstLine="567"/>
            <w:jc w:val="right"/>
            <w:rPr>
              <w:rFonts w:ascii="Palatino Linotype" w:eastAsia="Palatino Linotype" w:hAnsi="Palatino Linotype" w:cs="Palatino Linotype"/>
            </w:rPr>
          </w:pPr>
          <w:r w:rsidRPr="00BA743A">
            <w:rPr>
              <w:rFonts w:ascii="Palatino Linotype" w:eastAsia="Palatino Linotype" w:hAnsi="Palatino Linotype" w:cs="Palatino Linotype"/>
            </w:rPr>
            <w:t>Ayuntamiento de Villa de Allende</w:t>
          </w:r>
        </w:p>
      </w:tc>
    </w:tr>
    <w:tr w:rsidR="002211E4" w14:paraId="273FC855" w14:textId="77777777" w:rsidTr="008117F1">
      <w:trPr>
        <w:trHeight w:val="373"/>
      </w:trPr>
      <w:tc>
        <w:tcPr>
          <w:tcW w:w="5959" w:type="dxa"/>
        </w:tcPr>
        <w:p w14:paraId="5919FD97" w14:textId="77777777" w:rsidR="002211E4" w:rsidRPr="008117F1" w:rsidRDefault="002211E4" w:rsidP="008117F1">
          <w:pPr>
            <w:tabs>
              <w:tab w:val="left" w:pos="4892"/>
            </w:tabs>
            <w:spacing w:after="0"/>
            <w:ind w:right="-68"/>
            <w:jc w:val="right"/>
            <w:rPr>
              <w:rFonts w:ascii="Palatino Linotype" w:eastAsia="Palatino Linotype" w:hAnsi="Palatino Linotype" w:cs="Palatino Linotype"/>
              <w:b/>
            </w:rPr>
          </w:pPr>
          <w:r w:rsidRPr="008117F1">
            <w:rPr>
              <w:rFonts w:ascii="Palatino Linotype" w:eastAsia="Palatino Linotype" w:hAnsi="Palatino Linotype" w:cs="Palatino Linotype"/>
              <w:b/>
            </w:rPr>
            <w:t>Comisionada Ponente:</w:t>
          </w:r>
        </w:p>
      </w:tc>
      <w:tc>
        <w:tcPr>
          <w:tcW w:w="4394" w:type="dxa"/>
        </w:tcPr>
        <w:p w14:paraId="55227DC5" w14:textId="77777777" w:rsidR="002211E4" w:rsidRPr="008117F1" w:rsidRDefault="002211E4" w:rsidP="008117F1">
          <w:pPr>
            <w:spacing w:after="0"/>
            <w:ind w:left="-486" w:right="214" w:firstLine="567"/>
            <w:jc w:val="right"/>
            <w:rPr>
              <w:rFonts w:ascii="Palatino Linotype" w:eastAsia="Palatino Linotype" w:hAnsi="Palatino Linotype" w:cs="Palatino Linotype"/>
            </w:rPr>
          </w:pPr>
          <w:r w:rsidRPr="008117F1">
            <w:rPr>
              <w:rFonts w:ascii="Palatino Linotype" w:eastAsia="Palatino Linotype" w:hAnsi="Palatino Linotype" w:cs="Palatino Linotype"/>
            </w:rPr>
            <w:t>Guadalupe Ramírez Peña.</w:t>
          </w:r>
        </w:p>
      </w:tc>
    </w:tr>
  </w:tbl>
  <w:p w14:paraId="54F52F95" w14:textId="77777777" w:rsidR="002211E4" w:rsidRDefault="002211E4">
    <w:pPr>
      <w:pStyle w:val="Encabezado"/>
    </w:pPr>
    <w:r w:rsidRPr="008117F1">
      <w:rPr>
        <w:noProof/>
        <w:lang w:eastAsia="es-MX"/>
      </w:rPr>
      <w:drawing>
        <wp:anchor distT="0" distB="0" distL="0" distR="0" simplePos="0" relativeHeight="251659264" behindDoc="1" locked="0" layoutInCell="1" hidden="0" allowOverlap="1" wp14:anchorId="331ED1B9" wp14:editId="4060624D">
          <wp:simplePos x="0" y="0"/>
          <wp:positionH relativeFrom="margin">
            <wp:align>center</wp:align>
          </wp:positionH>
          <wp:positionV relativeFrom="paragraph">
            <wp:posOffset>-1282065</wp:posOffset>
          </wp:positionV>
          <wp:extent cx="7353300" cy="8658225"/>
          <wp:effectExtent l="0" t="0" r="0" b="952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F4D8B"/>
    <w:multiLevelType w:val="multilevel"/>
    <w:tmpl w:val="0FE64A18"/>
    <w:lvl w:ilvl="0">
      <w:start w:val="6"/>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F2430E"/>
    <w:multiLevelType w:val="multilevel"/>
    <w:tmpl w:val="5816C52C"/>
    <w:lvl w:ilvl="0">
      <w:start w:val="1"/>
      <w:numFmt w:val="bullet"/>
      <w:lvlText w:val="●"/>
      <w:lvlJc w:val="left"/>
      <w:pPr>
        <w:ind w:left="780" w:hanging="360"/>
      </w:pPr>
      <w:rPr>
        <w:rFonts w:ascii="Palatino Linotype" w:eastAsia="Noto Sans Symbols" w:hAnsi="Palatino Linotype" w:cs="Noto Sans Symbols" w:hint="default"/>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 w15:restartNumberingAfterBreak="0">
    <w:nsid w:val="0F9D2E7A"/>
    <w:multiLevelType w:val="hybridMultilevel"/>
    <w:tmpl w:val="0CEAD344"/>
    <w:lvl w:ilvl="0" w:tplc="EF10FC28">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AC17A1D"/>
    <w:multiLevelType w:val="multilevel"/>
    <w:tmpl w:val="146AAF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B215657"/>
    <w:multiLevelType w:val="multilevel"/>
    <w:tmpl w:val="FEEA013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2BDA7AB9"/>
    <w:multiLevelType w:val="multilevel"/>
    <w:tmpl w:val="C21C5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D3464F"/>
    <w:multiLevelType w:val="multilevel"/>
    <w:tmpl w:val="07D262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D414C33"/>
    <w:multiLevelType w:val="multilevel"/>
    <w:tmpl w:val="1662F986"/>
    <w:lvl w:ilvl="0">
      <w:start w:val="1"/>
      <w:numFmt w:val="lowerLetter"/>
      <w:lvlText w:val="%1)"/>
      <w:lvlJc w:val="left"/>
      <w:pPr>
        <w:ind w:left="1070" w:hanging="360"/>
      </w:pPr>
      <w:rPr>
        <w:rFonts w:ascii="Times New Roman" w:eastAsia="Times New Roman" w:hAnsi="Times New Roman" w:cs="Times New Roman"/>
        <w:b/>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2EC03C7E"/>
    <w:multiLevelType w:val="multilevel"/>
    <w:tmpl w:val="EDEE8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8C40958"/>
    <w:multiLevelType w:val="multilevel"/>
    <w:tmpl w:val="498866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94374AD"/>
    <w:multiLevelType w:val="multilevel"/>
    <w:tmpl w:val="BA7CB6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394714E4"/>
    <w:multiLevelType w:val="multilevel"/>
    <w:tmpl w:val="600E66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DB56237"/>
    <w:multiLevelType w:val="multilevel"/>
    <w:tmpl w:val="62D4BB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EB4105D"/>
    <w:multiLevelType w:val="multilevel"/>
    <w:tmpl w:val="C2560F4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614B92"/>
    <w:multiLevelType w:val="multilevel"/>
    <w:tmpl w:val="CC5C8CD0"/>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69D13E7A"/>
    <w:multiLevelType w:val="hybridMultilevel"/>
    <w:tmpl w:val="238E766C"/>
    <w:lvl w:ilvl="0" w:tplc="9544D288">
      <w:start w:val="6"/>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BF409BD"/>
    <w:multiLevelType w:val="multilevel"/>
    <w:tmpl w:val="B6E4C36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54093774">
    <w:abstractNumId w:val="0"/>
  </w:num>
  <w:num w:numId="2" w16cid:durableId="855728318">
    <w:abstractNumId w:val="11"/>
  </w:num>
  <w:num w:numId="3" w16cid:durableId="801776856">
    <w:abstractNumId w:val="10"/>
  </w:num>
  <w:num w:numId="4" w16cid:durableId="816267091">
    <w:abstractNumId w:val="3"/>
  </w:num>
  <w:num w:numId="5" w16cid:durableId="902838402">
    <w:abstractNumId w:val="16"/>
  </w:num>
  <w:num w:numId="6" w16cid:durableId="170918272">
    <w:abstractNumId w:val="7"/>
  </w:num>
  <w:num w:numId="7" w16cid:durableId="1674793265">
    <w:abstractNumId w:val="6"/>
  </w:num>
  <w:num w:numId="8" w16cid:durableId="1792094158">
    <w:abstractNumId w:val="4"/>
  </w:num>
  <w:num w:numId="9" w16cid:durableId="686559055">
    <w:abstractNumId w:val="12"/>
  </w:num>
  <w:num w:numId="10" w16cid:durableId="14487406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5260042">
    <w:abstractNumId w:val="2"/>
  </w:num>
  <w:num w:numId="12" w16cid:durableId="606236155">
    <w:abstractNumId w:val="13"/>
  </w:num>
  <w:num w:numId="13" w16cid:durableId="882405091">
    <w:abstractNumId w:val="8"/>
  </w:num>
  <w:num w:numId="14" w16cid:durableId="46419534">
    <w:abstractNumId w:val="5"/>
  </w:num>
  <w:num w:numId="15" w16cid:durableId="1701779717">
    <w:abstractNumId w:val="14"/>
  </w:num>
  <w:num w:numId="16" w16cid:durableId="820775621">
    <w:abstractNumId w:val="15"/>
  </w:num>
  <w:num w:numId="17" w16cid:durableId="28409796">
    <w:abstractNumId w:val="9"/>
  </w:num>
  <w:num w:numId="18" w16cid:durableId="2072924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BF8"/>
    <w:rsid w:val="00012163"/>
    <w:rsid w:val="000149E9"/>
    <w:rsid w:val="00024321"/>
    <w:rsid w:val="000419B5"/>
    <w:rsid w:val="000904AC"/>
    <w:rsid w:val="0009636F"/>
    <w:rsid w:val="000B572C"/>
    <w:rsid w:val="000D3870"/>
    <w:rsid w:val="000E20F0"/>
    <w:rsid w:val="000F5630"/>
    <w:rsid w:val="001868C1"/>
    <w:rsid w:val="001A4231"/>
    <w:rsid w:val="001B5DBA"/>
    <w:rsid w:val="001B6548"/>
    <w:rsid w:val="00206057"/>
    <w:rsid w:val="00206B20"/>
    <w:rsid w:val="002110E8"/>
    <w:rsid w:val="002211E4"/>
    <w:rsid w:val="002445C3"/>
    <w:rsid w:val="00273174"/>
    <w:rsid w:val="002A00A9"/>
    <w:rsid w:val="002C3A49"/>
    <w:rsid w:val="003553B1"/>
    <w:rsid w:val="00362E76"/>
    <w:rsid w:val="00371DD8"/>
    <w:rsid w:val="004046E6"/>
    <w:rsid w:val="00440BC6"/>
    <w:rsid w:val="004916C4"/>
    <w:rsid w:val="00497253"/>
    <w:rsid w:val="004B2C19"/>
    <w:rsid w:val="004B4037"/>
    <w:rsid w:val="005333CA"/>
    <w:rsid w:val="00560519"/>
    <w:rsid w:val="00561988"/>
    <w:rsid w:val="0058207D"/>
    <w:rsid w:val="00594F5B"/>
    <w:rsid w:val="005961E6"/>
    <w:rsid w:val="005F2EFA"/>
    <w:rsid w:val="006419F1"/>
    <w:rsid w:val="00655A82"/>
    <w:rsid w:val="00697686"/>
    <w:rsid w:val="006E79DF"/>
    <w:rsid w:val="006F032C"/>
    <w:rsid w:val="00714903"/>
    <w:rsid w:val="007360F8"/>
    <w:rsid w:val="00741C21"/>
    <w:rsid w:val="007B40A0"/>
    <w:rsid w:val="007F724D"/>
    <w:rsid w:val="008117F1"/>
    <w:rsid w:val="00835BE8"/>
    <w:rsid w:val="00872D2C"/>
    <w:rsid w:val="008962FB"/>
    <w:rsid w:val="008C2CF4"/>
    <w:rsid w:val="0093687E"/>
    <w:rsid w:val="0097562F"/>
    <w:rsid w:val="009A4BFB"/>
    <w:rsid w:val="009B3718"/>
    <w:rsid w:val="009E03A0"/>
    <w:rsid w:val="009E44F1"/>
    <w:rsid w:val="00A1024F"/>
    <w:rsid w:val="00A235A2"/>
    <w:rsid w:val="00A2443A"/>
    <w:rsid w:val="00A9421D"/>
    <w:rsid w:val="00AB2DF4"/>
    <w:rsid w:val="00AE4C21"/>
    <w:rsid w:val="00B02AA2"/>
    <w:rsid w:val="00B53A64"/>
    <w:rsid w:val="00B552A9"/>
    <w:rsid w:val="00B6665F"/>
    <w:rsid w:val="00BA743A"/>
    <w:rsid w:val="00BF6672"/>
    <w:rsid w:val="00C00E11"/>
    <w:rsid w:val="00C01CDE"/>
    <w:rsid w:val="00C05B25"/>
    <w:rsid w:val="00C56EB5"/>
    <w:rsid w:val="00C712D4"/>
    <w:rsid w:val="00C75487"/>
    <w:rsid w:val="00CC63BF"/>
    <w:rsid w:val="00D26846"/>
    <w:rsid w:val="00D27D7D"/>
    <w:rsid w:val="00D67F04"/>
    <w:rsid w:val="00D84010"/>
    <w:rsid w:val="00D954A9"/>
    <w:rsid w:val="00DC0DD7"/>
    <w:rsid w:val="00DE5AFF"/>
    <w:rsid w:val="00DE5F9D"/>
    <w:rsid w:val="00DF1C19"/>
    <w:rsid w:val="00E0660B"/>
    <w:rsid w:val="00E27279"/>
    <w:rsid w:val="00E5157F"/>
    <w:rsid w:val="00E54B0B"/>
    <w:rsid w:val="00EA2551"/>
    <w:rsid w:val="00EB01DC"/>
    <w:rsid w:val="00EB080D"/>
    <w:rsid w:val="00EB3728"/>
    <w:rsid w:val="00EC0856"/>
    <w:rsid w:val="00EC58F2"/>
    <w:rsid w:val="00ED1722"/>
    <w:rsid w:val="00ED4BF8"/>
    <w:rsid w:val="00F126E7"/>
    <w:rsid w:val="00F12807"/>
    <w:rsid w:val="00F27B98"/>
    <w:rsid w:val="00F40096"/>
    <w:rsid w:val="00F87F19"/>
    <w:rsid w:val="00F96661"/>
    <w:rsid w:val="00FB2A97"/>
    <w:rsid w:val="00FB356D"/>
    <w:rsid w:val="00FD294C"/>
    <w:rsid w:val="00FE799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3BBB3"/>
  <w15:chartTrackingRefBased/>
  <w15:docId w15:val="{A6624C35-158E-4EFA-A761-DB16292AD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B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4BF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D4BF8"/>
  </w:style>
  <w:style w:type="paragraph" w:styleId="Piedepgina">
    <w:name w:val="footer"/>
    <w:basedOn w:val="Normal"/>
    <w:link w:val="PiedepginaCar"/>
    <w:uiPriority w:val="99"/>
    <w:unhideWhenUsed/>
    <w:rsid w:val="00ED4BF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4BF8"/>
  </w:style>
  <w:style w:type="paragraph" w:styleId="Textodeglobo">
    <w:name w:val="Balloon Text"/>
    <w:basedOn w:val="Normal"/>
    <w:link w:val="TextodegloboCar"/>
    <w:uiPriority w:val="99"/>
    <w:semiHidden/>
    <w:unhideWhenUsed/>
    <w:rsid w:val="000419B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419B5"/>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01CDE"/>
    <w:pPr>
      <w:ind w:left="720"/>
      <w:contextualSpacing/>
    </w:pPr>
  </w:style>
  <w:style w:type="character" w:styleId="Hipervnculo">
    <w:name w:val="Hyperlink"/>
    <w:basedOn w:val="Fuentedeprrafopredeter"/>
    <w:uiPriority w:val="99"/>
    <w:unhideWhenUsed/>
    <w:rsid w:val="005F2EFA"/>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5AFF"/>
  </w:style>
  <w:style w:type="paragraph" w:styleId="Listaconvietas3">
    <w:name w:val="List Bullet 3"/>
    <w:basedOn w:val="Normal"/>
    <w:uiPriority w:val="99"/>
    <w:unhideWhenUsed/>
    <w:rsid w:val="00D27D7D"/>
    <w:pPr>
      <w:numPr>
        <w:numId w:val="5"/>
      </w:numPr>
      <w:spacing w:after="0" w:line="240" w:lineRule="auto"/>
      <w:contextualSpacing/>
    </w:pPr>
    <w:rPr>
      <w:rFonts w:ascii="Times New Roman" w:eastAsia="Times New Roman" w:hAnsi="Times New Roman" w:cs="Times New Roman"/>
      <w:sz w:val="24"/>
      <w:szCs w:val="24"/>
      <w:lang w:eastAsia="es-MX"/>
    </w:rPr>
  </w:style>
  <w:style w:type="paragraph" w:styleId="NormalWeb">
    <w:name w:val="Normal (Web)"/>
    <w:basedOn w:val="Normal"/>
    <w:uiPriority w:val="99"/>
    <w:semiHidden/>
    <w:unhideWhenUsed/>
    <w:rsid w:val="00C56EB5"/>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603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9952</Words>
  <Characters>54741</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INFOEM505</dc:creator>
  <cp:keywords/>
  <dc:description/>
  <cp:lastModifiedBy>ADRIANA INFOEM</cp:lastModifiedBy>
  <cp:revision>2</cp:revision>
  <cp:lastPrinted>2026-03-20T18:17:00Z</cp:lastPrinted>
  <dcterms:created xsi:type="dcterms:W3CDTF">2026-03-27T19:35:00Z</dcterms:created>
  <dcterms:modified xsi:type="dcterms:W3CDTF">2026-03-27T19:35:00Z</dcterms:modified>
</cp:coreProperties>
</file>