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D4C" w:rsidRPr="001F64E4" w:rsidRDefault="00826DE6">
      <w:pPr>
        <w:spacing w:before="240" w:after="240" w:line="360" w:lineRule="auto"/>
        <w:jc w:val="both"/>
        <w:rPr>
          <w:rFonts w:ascii="Palatino Linotype" w:eastAsia="Palatino Linotype" w:hAnsi="Palatino Linotype" w:cs="Palatino Linotype"/>
          <w:b/>
        </w:rPr>
      </w:pPr>
      <w:bookmarkStart w:id="0" w:name="_GoBack"/>
      <w:bookmarkEnd w:id="0"/>
      <w:r w:rsidRPr="001F64E4">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w:t>
      </w:r>
      <w:r w:rsidR="001F64E4">
        <w:rPr>
          <w:rFonts w:ascii="Palatino Linotype" w:eastAsia="Palatino Linotype" w:hAnsi="Palatino Linotype" w:cs="Palatino Linotype"/>
        </w:rPr>
        <w:t xml:space="preserve"> en Metepec, Estado de México, </w:t>
      </w:r>
      <w:r w:rsidR="001F64E4" w:rsidRPr="001F64E4">
        <w:rPr>
          <w:rFonts w:ascii="Palatino Linotype" w:eastAsia="Palatino Linotype" w:hAnsi="Palatino Linotype" w:cs="Palatino Linotype"/>
          <w:b/>
        </w:rPr>
        <w:t xml:space="preserve">de fecha </w:t>
      </w:r>
      <w:r w:rsidRPr="001F64E4">
        <w:rPr>
          <w:rFonts w:ascii="Palatino Linotype" w:eastAsia="Palatino Linotype" w:hAnsi="Palatino Linotype" w:cs="Palatino Linotype"/>
          <w:b/>
          <w:bCs/>
        </w:rPr>
        <w:t xml:space="preserve">once </w:t>
      </w:r>
      <w:r w:rsidR="001F64E4" w:rsidRPr="001F64E4">
        <w:rPr>
          <w:rFonts w:ascii="Palatino Linotype" w:eastAsia="Palatino Linotype" w:hAnsi="Palatino Linotype" w:cs="Palatino Linotype"/>
          <w:b/>
          <w:bCs/>
        </w:rPr>
        <w:t xml:space="preserve">(11) </w:t>
      </w:r>
      <w:r w:rsidRPr="001F64E4">
        <w:rPr>
          <w:rFonts w:ascii="Palatino Linotype" w:eastAsia="Palatino Linotype" w:hAnsi="Palatino Linotype" w:cs="Palatino Linotype"/>
          <w:b/>
          <w:bCs/>
        </w:rPr>
        <w:t>d</w:t>
      </w:r>
      <w:r w:rsidR="00A47A41" w:rsidRPr="001F64E4">
        <w:rPr>
          <w:rFonts w:ascii="Palatino Linotype" w:eastAsia="Palatino Linotype" w:hAnsi="Palatino Linotype" w:cs="Palatino Linotype"/>
          <w:b/>
          <w:bCs/>
        </w:rPr>
        <w:t>e febrero de dos mil veintiséis</w:t>
      </w:r>
      <w:r w:rsidRPr="001F64E4">
        <w:rPr>
          <w:rFonts w:ascii="Palatino Linotype" w:eastAsia="Palatino Linotype" w:hAnsi="Palatino Linotype" w:cs="Palatino Linotype"/>
          <w:b/>
        </w:rPr>
        <w:t xml:space="preserve">. </w:t>
      </w:r>
    </w:p>
    <w:p w:rsidR="00612D4C" w:rsidRDefault="00826DE6">
      <w:pPr>
        <w:spacing w:before="240" w:after="240"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b/>
          <w:bCs/>
        </w:rPr>
        <w:t>VISTO</w:t>
      </w:r>
      <w:r w:rsidRPr="001F64E4">
        <w:rPr>
          <w:rFonts w:ascii="Palatino Linotype" w:eastAsia="Palatino Linotype" w:hAnsi="Palatino Linotype" w:cs="Palatino Linotype"/>
        </w:rPr>
        <w:t xml:space="preserve"> el expediente formado con motivo del recurso de revisión </w:t>
      </w:r>
      <w:r w:rsidRPr="001F64E4">
        <w:rPr>
          <w:rFonts w:ascii="Palatino Linotype" w:eastAsia="Palatino Linotype" w:hAnsi="Palatino Linotype" w:cs="Palatino Linotype"/>
          <w:b/>
          <w:bCs/>
        </w:rPr>
        <w:t>07583/INFOEM/IP/RR/2025</w:t>
      </w:r>
      <w:r w:rsidRPr="001F64E4">
        <w:rPr>
          <w:rFonts w:ascii="Palatino Linotype" w:eastAsia="Palatino Linotype" w:hAnsi="Palatino Linotype" w:cs="Palatino Linotype"/>
        </w:rPr>
        <w:t>, interpuesto por</w:t>
      </w:r>
      <w:r w:rsidRPr="001F64E4">
        <w:rPr>
          <w:rFonts w:ascii="Palatino Linotype" w:eastAsia="Palatino Linotype" w:hAnsi="Palatino Linotype" w:cs="Palatino Linotype"/>
          <w:b/>
          <w:bCs/>
        </w:rPr>
        <w:t xml:space="preserve"> una persona que no proporciona datos de identificación</w:t>
      </w:r>
      <w:r w:rsidRPr="001F64E4">
        <w:rPr>
          <w:rFonts w:ascii="Palatino Linotype" w:eastAsia="Palatino Linotype" w:hAnsi="Palatino Linotype" w:cs="Palatino Linotype"/>
        </w:rPr>
        <w:t xml:space="preserve">, en lo sucesivo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en contra de la respuesta a su solicitud de información con número de folio</w:t>
      </w:r>
      <w:r w:rsidRPr="001F64E4">
        <w:rPr>
          <w:rFonts w:ascii="Palatino Linotype" w:eastAsia="Palatino Linotype" w:hAnsi="Palatino Linotype" w:cs="Palatino Linotype"/>
          <w:b/>
          <w:bCs/>
        </w:rPr>
        <w:t xml:space="preserve"> 00516/SECTI/IP/2025, </w:t>
      </w:r>
      <w:r w:rsidRPr="001F64E4">
        <w:rPr>
          <w:rFonts w:ascii="Palatino Linotype" w:eastAsia="Palatino Linotype" w:hAnsi="Palatino Linotype" w:cs="Palatino Linotype"/>
        </w:rPr>
        <w:t xml:space="preserve">por parte de la </w:t>
      </w:r>
      <w:r w:rsidRPr="001F64E4">
        <w:rPr>
          <w:rFonts w:ascii="Palatino Linotype" w:eastAsia="Palatino Linotype" w:hAnsi="Palatino Linotype" w:cs="Palatino Linotype"/>
          <w:b/>
          <w:bCs/>
        </w:rPr>
        <w:t xml:space="preserve">Secretaría de Educación, Ciencia, Tecnología e Innovación, </w:t>
      </w:r>
      <w:r w:rsidRPr="001F64E4">
        <w:rPr>
          <w:rFonts w:ascii="Palatino Linotype" w:eastAsia="Palatino Linotype" w:hAnsi="Palatino Linotype" w:cs="Palatino Linotype"/>
        </w:rPr>
        <w:t xml:space="preserve">en </w:t>
      </w:r>
      <w:r w:rsidR="001F64E4">
        <w:rPr>
          <w:rFonts w:ascii="Palatino Linotype" w:eastAsia="Palatino Linotype" w:hAnsi="Palatino Linotype" w:cs="Palatino Linotype"/>
        </w:rPr>
        <w:t>adelante</w:t>
      </w:r>
      <w:r w:rsidRPr="001F64E4">
        <w:rPr>
          <w:rFonts w:ascii="Palatino Linotype" w:eastAsia="Palatino Linotype" w:hAnsi="Palatino Linotype" w:cs="Palatino Linotype"/>
        </w:rPr>
        <w:t xml:space="preserve"> el </w:t>
      </w:r>
      <w:r w:rsidRPr="001F64E4">
        <w:rPr>
          <w:rFonts w:ascii="Palatino Linotype" w:eastAsia="Palatino Linotype" w:hAnsi="Palatino Linotype" w:cs="Palatino Linotype"/>
          <w:b/>
          <w:bCs/>
        </w:rPr>
        <w:t xml:space="preserve">SUJETO OBLIGADO, </w:t>
      </w:r>
      <w:r w:rsidRPr="001F64E4">
        <w:rPr>
          <w:rFonts w:ascii="Palatino Linotype" w:eastAsia="Palatino Linotype" w:hAnsi="Palatino Linotype" w:cs="Palatino Linotype"/>
        </w:rPr>
        <w:t xml:space="preserve">se procede a dictar la presente resolución con base en los siguientes: </w:t>
      </w:r>
    </w:p>
    <w:p w:rsidR="001F64E4" w:rsidRPr="001F64E4" w:rsidRDefault="001F64E4">
      <w:pPr>
        <w:spacing w:before="240" w:after="240" w:line="360" w:lineRule="auto"/>
        <w:jc w:val="both"/>
        <w:rPr>
          <w:rFonts w:ascii="Palatino Linotype" w:eastAsia="Palatino Linotype" w:hAnsi="Palatino Linotype" w:cs="Palatino Linotype"/>
        </w:rPr>
      </w:pPr>
    </w:p>
    <w:p w:rsidR="00612D4C" w:rsidRPr="001F64E4" w:rsidRDefault="00826DE6" w:rsidP="001F64E4">
      <w:pPr>
        <w:pBdr>
          <w:top w:val="nil"/>
          <w:left w:val="nil"/>
          <w:bottom w:val="nil"/>
          <w:right w:val="nil"/>
          <w:between w:val="nil"/>
        </w:pBdr>
        <w:spacing w:before="240" w:after="240" w:line="360" w:lineRule="auto"/>
        <w:ind w:left="360"/>
        <w:jc w:val="center"/>
        <w:rPr>
          <w:rFonts w:ascii="Palatino Linotype" w:eastAsia="Palatino Linotype" w:hAnsi="Palatino Linotype" w:cs="Palatino Linotype"/>
          <w:b/>
          <w:bCs/>
          <w:color w:val="000000"/>
        </w:rPr>
      </w:pPr>
      <w:r w:rsidRPr="001F64E4">
        <w:rPr>
          <w:rFonts w:ascii="Palatino Linotype" w:eastAsia="Palatino Linotype" w:hAnsi="Palatino Linotype" w:cs="Palatino Linotype"/>
          <w:b/>
          <w:bCs/>
          <w:color w:val="000000"/>
        </w:rPr>
        <w:t>A N T E C E D E N T E S</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En fecha </w:t>
      </w:r>
      <w:r w:rsidRPr="001F64E4">
        <w:rPr>
          <w:rFonts w:ascii="Palatino Linotype" w:eastAsia="Palatino Linotype" w:hAnsi="Palatino Linotype" w:cs="Palatino Linotype"/>
          <w:b/>
          <w:bCs/>
        </w:rPr>
        <w:t>cuatro de junio de dos mil veinticinco,</w:t>
      </w:r>
      <w:r w:rsidRPr="001F64E4">
        <w:rPr>
          <w:rFonts w:ascii="Palatino Linotype" w:eastAsia="Palatino Linotype" w:hAnsi="Palatino Linotype" w:cs="Palatino Linotype"/>
        </w:rPr>
        <w:t xml:space="preserve"> la parte </w:t>
      </w:r>
      <w:r w:rsidRPr="001F64E4">
        <w:rPr>
          <w:rFonts w:ascii="Palatino Linotype" w:eastAsia="Palatino Linotype" w:hAnsi="Palatino Linotype" w:cs="Palatino Linotype"/>
          <w:b/>
          <w:bCs/>
        </w:rPr>
        <w:t xml:space="preserve">RECURRENTE </w:t>
      </w:r>
      <w:r w:rsidRPr="001F64E4">
        <w:rPr>
          <w:rFonts w:ascii="Palatino Linotype" w:eastAsia="Palatino Linotype" w:hAnsi="Palatino Linotype" w:cs="Palatino Linotype"/>
        </w:rPr>
        <w:t>presentó, a través del Sistema de Acceso a la Información Mexiquense</w:t>
      </w:r>
      <w:r w:rsidRPr="001F64E4">
        <w:rPr>
          <w:rFonts w:ascii="Palatino Linotype" w:eastAsia="Palatino Linotype" w:hAnsi="Palatino Linotype" w:cs="Palatino Linotype"/>
          <w:b/>
          <w:bCs/>
        </w:rPr>
        <w:t>,</w:t>
      </w:r>
      <w:r w:rsidRPr="001F64E4">
        <w:rPr>
          <w:rFonts w:ascii="Palatino Linotype" w:eastAsia="Palatino Linotype" w:hAnsi="Palatino Linotype" w:cs="Palatino Linotype"/>
        </w:rPr>
        <w:t xml:space="preserve"> ante el </w:t>
      </w:r>
      <w:r w:rsidRPr="001F64E4">
        <w:rPr>
          <w:rFonts w:ascii="Palatino Linotype" w:eastAsia="Palatino Linotype" w:hAnsi="Palatino Linotype" w:cs="Palatino Linotype"/>
          <w:b/>
          <w:bCs/>
        </w:rPr>
        <w:t>SUJETO OBLIGADO</w:t>
      </w:r>
      <w:r w:rsidRPr="001F64E4">
        <w:rPr>
          <w:rFonts w:ascii="Palatino Linotype" w:eastAsia="Palatino Linotype" w:hAnsi="Palatino Linotype" w:cs="Palatino Linotype"/>
        </w:rPr>
        <w:t>, la solicitud de acceso a la información número</w:t>
      </w:r>
      <w:r w:rsidRPr="001F64E4">
        <w:rPr>
          <w:rFonts w:ascii="Palatino Linotype" w:eastAsia="Palatino Linotype" w:hAnsi="Palatino Linotype" w:cs="Palatino Linotype"/>
          <w:b/>
          <w:bCs/>
        </w:rPr>
        <w:t xml:space="preserve"> 00516/SECTI/IP/2025, </w:t>
      </w:r>
      <w:r w:rsidR="001F64E4">
        <w:rPr>
          <w:rFonts w:ascii="Palatino Linotype" w:eastAsia="Palatino Linotype" w:hAnsi="Palatino Linotype" w:cs="Palatino Linotype"/>
        </w:rPr>
        <w:t xml:space="preserve">en la que se </w:t>
      </w:r>
      <w:r w:rsidRPr="001F64E4">
        <w:rPr>
          <w:rFonts w:ascii="Palatino Linotype" w:eastAsia="Palatino Linotype" w:hAnsi="Palatino Linotype" w:cs="Palatino Linotype"/>
        </w:rPr>
        <w:t xml:space="preserve">requirió la información siguiente: </w:t>
      </w:r>
    </w:p>
    <w:p w:rsidR="00612D4C" w:rsidRPr="001F64E4" w:rsidRDefault="00826DE6">
      <w:pPr>
        <w:spacing w:before="240"/>
        <w:ind w:left="851" w:right="902"/>
        <w:jc w:val="both"/>
        <w:rPr>
          <w:rFonts w:ascii="Palatino Linotype" w:eastAsia="Palatino Linotype" w:hAnsi="Palatino Linotype" w:cs="Palatino Linotype"/>
          <w:b/>
          <w:bCs/>
          <w:i/>
          <w:iCs/>
        </w:rPr>
      </w:pPr>
      <w:bookmarkStart w:id="1" w:name="_heading=h.gjdgxs" w:colFirst="0" w:colLast="0"/>
      <w:bookmarkEnd w:id="1"/>
      <w:r w:rsidRPr="001F64E4">
        <w:rPr>
          <w:rFonts w:ascii="Palatino Linotype" w:eastAsia="Palatino Linotype" w:hAnsi="Palatino Linotype" w:cs="Palatino Linotype"/>
          <w:i/>
          <w:iCs/>
        </w:rPr>
        <w:t xml:space="preserve">“1. Copia del original del expediente numero OIC/INVESTIGACION/SE/DENUNCIA/507/2024, en un tomo, con un total de ochenta y dos folios, mas una foja sin foliar, expediente que fue integrado por el Area de Quejas del Organo Interne de Control en la Secretaria de Educación, Ciencia, Tecnología e Innovacion del Estado de Mexico, a petición de parte </w:t>
      </w:r>
      <w:r w:rsidR="005E0A30">
        <w:rPr>
          <w:rFonts w:ascii="Palatino Linotype" w:eastAsia="Palatino Linotype" w:hAnsi="Palatino Linotype" w:cs="Palatino Linotype"/>
          <w:i/>
          <w:iCs/>
        </w:rPr>
        <w:t>XXXX</w:t>
      </w:r>
      <w:r w:rsidRPr="001F64E4">
        <w:rPr>
          <w:rFonts w:ascii="Palatino Linotype" w:eastAsia="Palatino Linotype" w:hAnsi="Palatino Linotype" w:cs="Palatino Linotype"/>
          <w:i/>
          <w:iCs/>
        </w:rPr>
        <w:t xml:space="preserve">, denunciante. 2. El informe per el que se justifica la determinación impugnada destacando que en el mismo obra glosado el escrito de recurso de inconformidad presentado por </w:t>
      </w:r>
      <w:r w:rsidR="005E0A30">
        <w:rPr>
          <w:rFonts w:ascii="Palatino Linotype" w:eastAsia="Palatino Linotype" w:hAnsi="Palatino Linotype" w:cs="Palatino Linotype"/>
          <w:i/>
          <w:iCs/>
        </w:rPr>
        <w:t>XXXX</w:t>
      </w:r>
      <w:r w:rsidRPr="001F64E4">
        <w:rPr>
          <w:rFonts w:ascii="Palatino Linotype" w:eastAsia="Palatino Linotype" w:hAnsi="Palatino Linotype" w:cs="Palatino Linotype"/>
          <w:i/>
          <w:iCs/>
        </w:rPr>
        <w:t>, denunciante.</w:t>
      </w:r>
      <w:r w:rsidRPr="001F64E4">
        <w:rPr>
          <w:rFonts w:ascii="Palatino Linotype" w:eastAsia="Palatino Linotype" w:hAnsi="Palatino Linotype" w:cs="Palatino Linotype"/>
          <w:b/>
          <w:bCs/>
          <w:i/>
          <w:iCs/>
        </w:rPr>
        <w:t>”</w:t>
      </w:r>
    </w:p>
    <w:p w:rsidR="00612D4C" w:rsidRPr="001F64E4" w:rsidRDefault="00826DE6" w:rsidP="001F64E4">
      <w:pPr>
        <w:pStyle w:val="Prrafodelista"/>
        <w:numPr>
          <w:ilvl w:val="0"/>
          <w:numId w:val="5"/>
        </w:numPr>
        <w:spacing w:before="240"/>
        <w:ind w:left="0" w:right="902" w:firstLine="0"/>
        <w:jc w:val="both"/>
        <w:rPr>
          <w:rFonts w:ascii="Palatino Linotype" w:eastAsia="Palatino Linotype" w:hAnsi="Palatino Linotype" w:cs="Palatino Linotype"/>
        </w:rPr>
      </w:pPr>
      <w:r w:rsidRPr="001F64E4">
        <w:rPr>
          <w:rFonts w:ascii="Palatino Linotype" w:eastAsia="Palatino Linotype" w:hAnsi="Palatino Linotype" w:cs="Palatino Linotype"/>
          <w:b/>
          <w:bCs/>
        </w:rPr>
        <w:lastRenderedPageBreak/>
        <w:t>Modalidad de Entrega:</w:t>
      </w:r>
      <w:r w:rsidRPr="001F64E4">
        <w:rPr>
          <w:rFonts w:ascii="Palatino Linotype" w:eastAsia="Palatino Linotype" w:hAnsi="Palatino Linotype" w:cs="Palatino Linotype"/>
        </w:rPr>
        <w:t xml:space="preserve"> A través del Sistema de Acceso a la Información </w:t>
      </w:r>
      <w:r w:rsidRPr="001F64E4">
        <w:rPr>
          <w:rFonts w:ascii="Palatino Linotype" w:eastAsia="Palatino Linotype" w:hAnsi="Palatino Linotype" w:cs="Palatino Linotype"/>
          <w:b/>
          <w:bCs/>
        </w:rPr>
        <w:t>(SAIMEX)</w:t>
      </w:r>
      <w:r w:rsidRPr="001F64E4">
        <w:rPr>
          <w:rFonts w:ascii="Palatino Linotype" w:eastAsia="Palatino Linotype" w:hAnsi="Palatino Linotype" w:cs="Palatino Linotype"/>
        </w:rPr>
        <w:t>.</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b/>
          <w:bCs/>
        </w:rPr>
      </w:pP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cuatro de junio de dos mil veinticinco, </w:t>
      </w: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SUJETO OBLIGADO </w:t>
      </w:r>
      <w:r w:rsidRPr="001F64E4">
        <w:rPr>
          <w:rFonts w:ascii="Palatino Linotype" w:eastAsia="Palatino Linotype" w:hAnsi="Palatino Linotype" w:cs="Palatino Linotype"/>
        </w:rPr>
        <w:t xml:space="preserve">giro el requerimiento de información para que fuera atendida la solicitud de información </w:t>
      </w:r>
      <w:r w:rsidRPr="001F64E4">
        <w:rPr>
          <w:rFonts w:ascii="Palatino Linotype" w:eastAsia="Palatino Linotype" w:hAnsi="Palatino Linotype" w:cs="Palatino Linotype"/>
          <w:b/>
          <w:bCs/>
        </w:rPr>
        <w:t xml:space="preserve">00516/SECTI/IP/2025.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b/>
          <w:bCs/>
        </w:rPr>
      </w:pP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dieciocho de junio de dos mil veinticinco, </w:t>
      </w: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SUJETO OBLIGADO </w:t>
      </w:r>
      <w:r w:rsidRPr="001F64E4">
        <w:rPr>
          <w:rFonts w:ascii="Palatino Linotype" w:eastAsia="Palatino Linotype" w:hAnsi="Palatino Linotype" w:cs="Palatino Linotype"/>
        </w:rPr>
        <w:t xml:space="preserve">entrego dos archivos electrónicos en formato pdf, cuyo contenido grosso modo es el siguiente:   </w:t>
      </w:r>
    </w:p>
    <w:p w:rsidR="00612D4C" w:rsidRPr="001F64E4" w:rsidRDefault="00826DE6">
      <w:pPr>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 xml:space="preserve">Respuesta_SPH_516.pdf: </w:t>
      </w:r>
      <w:r w:rsidRPr="001F64E4">
        <w:rPr>
          <w:rFonts w:ascii="Palatino Linotype" w:eastAsia="Palatino Linotype" w:hAnsi="Palatino Linotype" w:cs="Palatino Linotype"/>
          <w:i/>
          <w:iCs/>
        </w:rPr>
        <w:t xml:space="preserve">oficio del Titular del Órgano Interno de Control, mediante el cual informa que derivado del peso de la información se pone a disposición del </w:t>
      </w:r>
      <w:r w:rsidRPr="001F64E4">
        <w:rPr>
          <w:rFonts w:ascii="Palatino Linotype" w:eastAsia="Palatino Linotype" w:hAnsi="Palatino Linotype" w:cs="Palatino Linotype"/>
          <w:b/>
          <w:bCs/>
          <w:i/>
          <w:iCs/>
        </w:rPr>
        <w:t xml:space="preserve">RECURRENTE </w:t>
      </w:r>
      <w:r w:rsidRPr="001F64E4">
        <w:rPr>
          <w:rFonts w:ascii="Palatino Linotype" w:eastAsia="Palatino Linotype" w:hAnsi="Palatino Linotype" w:cs="Palatino Linotype"/>
          <w:i/>
          <w:iCs/>
        </w:rPr>
        <w:t xml:space="preserve">la información en consulta directa.   </w:t>
      </w:r>
    </w:p>
    <w:p w:rsidR="00612D4C" w:rsidRPr="001F64E4" w:rsidRDefault="00826DE6">
      <w:pPr>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 xml:space="preserve">Respueta_UT_516.pdf: </w:t>
      </w:r>
      <w:r w:rsidRPr="001F64E4">
        <w:rPr>
          <w:rFonts w:ascii="Palatino Linotype" w:eastAsia="Palatino Linotype" w:hAnsi="Palatino Linotype" w:cs="Palatino Linotype"/>
          <w:i/>
          <w:iCs/>
        </w:rPr>
        <w:t>oficio del Titular de la Unidad de Transparencia, mediante el cual informa que la información será proporcionada por medio de consulta directa.</w:t>
      </w:r>
    </w:p>
    <w:p w:rsidR="00612D4C" w:rsidRPr="001F64E4" w:rsidRDefault="00612D4C">
      <w:pPr>
        <w:ind w:left="1134" w:right="1134"/>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Inconforme con los términos de la respuesta emitida por parte del </w:t>
      </w:r>
      <w:r w:rsidRPr="001F64E4">
        <w:rPr>
          <w:rFonts w:ascii="Palatino Linotype" w:eastAsia="Palatino Linotype" w:hAnsi="Palatino Linotype" w:cs="Palatino Linotype"/>
          <w:b/>
          <w:bCs/>
        </w:rPr>
        <w:t>SUJETO OBLIGADO</w:t>
      </w:r>
      <w:r w:rsidRPr="001F64E4">
        <w:rPr>
          <w:rFonts w:ascii="Palatino Linotype" w:eastAsia="Palatino Linotype" w:hAnsi="Palatino Linotype" w:cs="Palatino Linotype"/>
        </w:rPr>
        <w:t xml:space="preserve">, el </w:t>
      </w:r>
      <w:r w:rsidRPr="001F64E4">
        <w:rPr>
          <w:rFonts w:ascii="Palatino Linotype" w:eastAsia="Palatino Linotype" w:hAnsi="Palatino Linotype" w:cs="Palatino Linotype"/>
          <w:b/>
          <w:bCs/>
        </w:rPr>
        <w:t>veintiuno de junio de dos mil veinticinco</w:t>
      </w:r>
      <w:r w:rsidRPr="001F64E4">
        <w:rPr>
          <w:rFonts w:ascii="Palatino Linotype" w:eastAsia="Palatino Linotype" w:hAnsi="Palatino Linotype" w:cs="Palatino Linotype"/>
        </w:rPr>
        <w:t xml:space="preserve">,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interpuso el recurso de revisión a través de SAIMEX, en donde se manifestó de la siguiente manera:</w:t>
      </w:r>
    </w:p>
    <w:p w:rsidR="00612D4C" w:rsidRPr="001F64E4" w:rsidRDefault="001F64E4" w:rsidP="001F64E4">
      <w:pPr>
        <w:pStyle w:val="Prrafodelista"/>
        <w:numPr>
          <w:ilvl w:val="0"/>
          <w:numId w:val="5"/>
        </w:numPr>
        <w:tabs>
          <w:tab w:val="left" w:pos="2745"/>
        </w:tabs>
        <w:spacing w:before="240" w:after="240" w:line="360" w:lineRule="auto"/>
        <w:jc w:val="both"/>
        <w:rPr>
          <w:rFonts w:ascii="Palatino Linotype" w:eastAsia="Palatino Linotype" w:hAnsi="Palatino Linotype" w:cs="Palatino Linotype"/>
          <w:b/>
          <w:bCs/>
        </w:rPr>
      </w:pPr>
      <w:r w:rsidRPr="001F64E4">
        <w:rPr>
          <w:rFonts w:ascii="Palatino Linotype" w:eastAsia="Palatino Linotype" w:hAnsi="Palatino Linotype" w:cs="Palatino Linotype"/>
          <w:b/>
          <w:bCs/>
        </w:rPr>
        <w:t xml:space="preserve">ACTO IMPUGNADO: </w:t>
      </w:r>
      <w:r w:rsidR="00826DE6" w:rsidRPr="001F64E4">
        <w:rPr>
          <w:rFonts w:ascii="Palatino Linotype" w:eastAsia="Palatino Linotype" w:hAnsi="Palatino Linotype" w:cs="Palatino Linotype"/>
          <w:b/>
          <w:bCs/>
        </w:rPr>
        <w:tab/>
      </w:r>
    </w:p>
    <w:p w:rsidR="00612D4C" w:rsidRPr="001F64E4" w:rsidRDefault="00826DE6">
      <w:pPr>
        <w:ind w:left="851"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 xml:space="preserve">“1. Copia del original del expediente numero OIC/INVESTIGACION/SE/DENUNCIA/507/2024, en un tomo, con un total de ochenta y dos folios, mas una foja sin foliar, expediente que fue integrado por el Area de Quejas del Organo Interne de Control en la Secretaria de Educación, Ciencia, Tecnología e Innovacion del Estado de Mexico, a petición de parte </w:t>
      </w:r>
      <w:r w:rsidR="005E0A30">
        <w:rPr>
          <w:rFonts w:ascii="Palatino Linotype" w:eastAsia="Palatino Linotype" w:hAnsi="Palatino Linotype" w:cs="Palatino Linotype"/>
          <w:i/>
          <w:iCs/>
        </w:rPr>
        <w:t>XXXX</w:t>
      </w:r>
      <w:r w:rsidRPr="001F64E4">
        <w:rPr>
          <w:rFonts w:ascii="Palatino Linotype" w:eastAsia="Palatino Linotype" w:hAnsi="Palatino Linotype" w:cs="Palatino Linotype"/>
          <w:i/>
          <w:iCs/>
        </w:rPr>
        <w:t xml:space="preserve">, denunciante. 2. El informe per el que se justifica la determinación impugnada destacando que en el mismo obra glosado el escrito de recurso de inconformidad presentado por </w:t>
      </w:r>
      <w:r w:rsidR="005E0A30">
        <w:rPr>
          <w:rFonts w:ascii="Palatino Linotype" w:eastAsia="Palatino Linotype" w:hAnsi="Palatino Linotype" w:cs="Palatino Linotype"/>
          <w:i/>
          <w:iCs/>
        </w:rPr>
        <w:t>XXXX</w:t>
      </w:r>
      <w:r w:rsidRPr="001F64E4">
        <w:rPr>
          <w:rFonts w:ascii="Palatino Linotype" w:eastAsia="Palatino Linotype" w:hAnsi="Palatino Linotype" w:cs="Palatino Linotype"/>
          <w:i/>
          <w:iCs/>
        </w:rPr>
        <w:t>, denunciante.” (Sic)</w:t>
      </w:r>
    </w:p>
    <w:p w:rsidR="00612D4C" w:rsidRPr="001F64E4" w:rsidRDefault="00612D4C">
      <w:pPr>
        <w:ind w:left="851" w:right="902"/>
        <w:jc w:val="both"/>
        <w:rPr>
          <w:rFonts w:ascii="Palatino Linotype" w:eastAsia="Palatino Linotype" w:hAnsi="Palatino Linotype" w:cs="Palatino Linotype"/>
          <w:i/>
          <w:iCs/>
        </w:rPr>
      </w:pPr>
    </w:p>
    <w:p w:rsidR="00612D4C" w:rsidRPr="001F64E4" w:rsidRDefault="001F64E4" w:rsidP="001F64E4">
      <w:pPr>
        <w:pStyle w:val="Prrafodelista"/>
        <w:numPr>
          <w:ilvl w:val="0"/>
          <w:numId w:val="5"/>
        </w:numPr>
        <w:spacing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b/>
          <w:bCs/>
        </w:rPr>
        <w:t>RAZONES O MOTIVOS DE INCONFORMIDAD</w:t>
      </w:r>
      <w:r w:rsidRPr="001F64E4">
        <w:rPr>
          <w:rFonts w:ascii="Palatino Linotype" w:eastAsia="Palatino Linotype" w:hAnsi="Palatino Linotype" w:cs="Palatino Linotype"/>
        </w:rPr>
        <w:t>:</w:t>
      </w:r>
    </w:p>
    <w:p w:rsidR="00612D4C" w:rsidRPr="001F64E4" w:rsidRDefault="00826DE6">
      <w:pPr>
        <w:ind w:left="851"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“Por medio del presente escrito, y con fundamento en los artículos 6° y 8° de la Constitución Política de los Estados Unidos Mexicanos, así como en los artículos 4, 14, 16, 37 y demás relativos de la Ley de Transparencia y Acceso a la Información Pública del Estado de México y Municipios, revoco expresamente el contenido del manifiesto mediante el cual se niega la entrega íntegra del expediente solicitado, bajo el argumento de limitaciones técnicas en la plataforma SAIMEX. Dicha negativa carece de sustento técnico, toda vez que el sistema electrónico SAIMEX cuenta con capacidad suficiente para alojar documentos que superan las 80 fojas, como se ha acreditado en múltiples precedentes dentro de la misma plataforma institucional. Asimismo, los formatos aceptados por la plataforma permiten la carga de archivos digitales en extensiones PDF con capacidad superior a la requerida. La omisión de entregar electrónicamente la totalidad del expediente representa una violación al principio de máxima publicidad, así como una restricción injustificada al derecho de acceso pleno a la información pública, reconocido en el artículo 1° y 6° constitucional, y en el artículo 13 y 154 de la Ly de transparencia y Acceso a la Información Pública del Estado de México y Municipios vigentes. De lo anterior me causa agravios 1. Violación al principio de máxima publicidad, al restringir de forma arbitraria el acceso completo al expediente solicitado. 2. Restricción indebida del derecho humano de acceso a la información pública, reconocido en los artículos 6° y 1° de la Constitución Federal, así como en la Ley de Transparencia local. 3. La afirmación de que la plataforma SAIMEX no soporta archivos con dicho volumen carece de veracidad, ya que el sistema ha demostrado en diversos casos la capacidad de alojar documentos superiores a 80 fojas en formato PDF, lo cual puede verificarse en sus especificaciones técnicas y precedentes institucionales. 4. La respuesta no se encuentra debidamente fundada ni motivada, en contravención a lo dispuesto por el artículo 37 de la Ley en cita. En virtud de lo anterior, solicito se proceda de inmediato a subir la totalidad del expediente —conformado por aproximadamente 82 fojas útiles— a la plataforma SAIMEX en formato electrónico, o en su caso, se me notifique el enlace digital de descarga directa, cumpliendo con los principios de accesibilidad, gratuidad y transparencia y caso contrario se imponga medida de apremio para evitar futuras omisiones de esta naturaleza.” (Sic)</w:t>
      </w:r>
    </w:p>
    <w:p w:rsidR="00612D4C" w:rsidRPr="001F64E4" w:rsidRDefault="00612D4C">
      <w:pPr>
        <w:ind w:right="1134"/>
        <w:jc w:val="both"/>
        <w:rPr>
          <w:rFonts w:ascii="Palatino Linotype" w:eastAsia="Palatino Linotype" w:hAnsi="Palatino Linotype" w:cs="Palatino Linotype"/>
          <w:b/>
          <w:bCs/>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lastRenderedPageBreak/>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1F64E4">
        <w:rPr>
          <w:rFonts w:ascii="Palatino Linotype" w:eastAsia="Palatino Linotype" w:hAnsi="Palatino Linotype" w:cs="Palatino Linotype"/>
          <w:b/>
          <w:bCs/>
        </w:rPr>
        <w:t xml:space="preserve">María del Rosario Mejía Ayala, </w:t>
      </w:r>
      <w:r w:rsidRPr="001F64E4">
        <w:rPr>
          <w:rFonts w:ascii="Palatino Linotype" w:eastAsia="Palatino Linotype" w:hAnsi="Palatino Linotype" w:cs="Palatino Linotype"/>
        </w:rPr>
        <w:t>a efecto de que analizara sobre su admisión o su desechamiento.</w:t>
      </w:r>
    </w:p>
    <w:p w:rsidR="00612D4C" w:rsidRPr="001F64E4" w:rsidRDefault="00612D4C">
      <w:pPr>
        <w:spacing w:line="360" w:lineRule="auto"/>
        <w:ind w:right="51"/>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veinticinco de junio de dos mil veinticinco, </w:t>
      </w:r>
      <w:r w:rsidRPr="001F64E4">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1F64E4">
        <w:rPr>
          <w:rFonts w:ascii="Palatino Linotype" w:eastAsia="Palatino Linotype" w:hAnsi="Palatino Linotype" w:cs="Palatino Linotype"/>
          <w:b/>
          <w:bCs/>
        </w:rPr>
        <w:t xml:space="preserve">SUJETO OBLIGADO </w:t>
      </w:r>
      <w:r w:rsidRPr="001F64E4">
        <w:rPr>
          <w:rFonts w:ascii="Palatino Linotype" w:eastAsia="Palatino Linotype" w:hAnsi="Palatino Linotype" w:cs="Palatino Linotype"/>
        </w:rPr>
        <w:t>presentara su informe justificado.</w:t>
      </w:r>
    </w:p>
    <w:p w:rsidR="00612D4C" w:rsidRPr="001F64E4" w:rsidRDefault="00612D4C">
      <w:pPr>
        <w:tabs>
          <w:tab w:val="left" w:pos="1279"/>
          <w:tab w:val="left" w:pos="8647"/>
        </w:tabs>
        <w:ind w:right="851"/>
        <w:jc w:val="both"/>
        <w:rPr>
          <w:rFonts w:ascii="Palatino Linotype" w:eastAsia="Palatino Linotype" w:hAnsi="Palatino Linotype" w:cs="Palatino Linotype"/>
          <w:i/>
          <w:iCs/>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De lo anterior, el </w:t>
      </w:r>
      <w:r w:rsidRPr="001F64E4">
        <w:rPr>
          <w:rFonts w:ascii="Palatino Linotype" w:eastAsia="Palatino Linotype" w:hAnsi="Palatino Linotype" w:cs="Palatino Linotype"/>
          <w:b/>
          <w:bCs/>
          <w:color w:val="000000"/>
        </w:rPr>
        <w:t xml:space="preserve">cuatro de julio de dos mil veinticinco, </w:t>
      </w:r>
      <w:r w:rsidRPr="001F64E4">
        <w:rPr>
          <w:rFonts w:ascii="Palatino Linotype" w:eastAsia="Palatino Linotype" w:hAnsi="Palatino Linotype" w:cs="Palatino Linotype"/>
          <w:color w:val="000000"/>
        </w:rPr>
        <w:t xml:space="preserve">el </w:t>
      </w:r>
      <w:r w:rsidRPr="001F64E4">
        <w:rPr>
          <w:rFonts w:ascii="Palatino Linotype" w:eastAsia="Palatino Linotype" w:hAnsi="Palatino Linotype" w:cs="Palatino Linotype"/>
          <w:b/>
          <w:bCs/>
          <w:color w:val="000000"/>
        </w:rPr>
        <w:t xml:space="preserve">SUJETO OBIGADO </w:t>
      </w:r>
      <w:r w:rsidRPr="001F64E4">
        <w:rPr>
          <w:rFonts w:ascii="Palatino Linotype" w:eastAsia="Palatino Linotype" w:hAnsi="Palatino Linotype" w:cs="Palatino Linotype"/>
        </w:rPr>
        <w:t>entregó</w:t>
      </w:r>
      <w:r w:rsidRPr="001F64E4">
        <w:rPr>
          <w:rFonts w:ascii="Palatino Linotype" w:eastAsia="Palatino Linotype" w:hAnsi="Palatino Linotype" w:cs="Palatino Linotype"/>
          <w:color w:val="000000"/>
        </w:rPr>
        <w:t xml:space="preserve"> dos archivos electrónicos en formato PDF, cuyo contenido grosso modo es el siguiente. </w:t>
      </w:r>
    </w:p>
    <w:p w:rsidR="00612D4C" w:rsidRPr="001F64E4" w:rsidRDefault="00826DE6">
      <w:pPr>
        <w:ind w:left="1134" w:right="1134"/>
        <w:jc w:val="both"/>
        <w:rPr>
          <w:rFonts w:ascii="Palatino Linotype" w:eastAsia="Palatino Linotype" w:hAnsi="Palatino Linotype" w:cs="Palatino Linotype"/>
          <w:i/>
          <w:iCs/>
          <w:color w:val="000000"/>
        </w:rPr>
      </w:pPr>
      <w:r w:rsidRPr="001F64E4">
        <w:rPr>
          <w:rFonts w:ascii="Palatino Linotype" w:eastAsia="Palatino Linotype" w:hAnsi="Palatino Linotype" w:cs="Palatino Linotype"/>
          <w:b/>
          <w:bCs/>
          <w:i/>
          <w:iCs/>
          <w:color w:val="000000"/>
        </w:rPr>
        <w:t>REspuestas SPH_RR7583 SI 516.pdf:</w:t>
      </w:r>
      <w:r w:rsidRPr="001F64E4">
        <w:rPr>
          <w:rFonts w:ascii="Palatino Linotype" w:eastAsia="Palatino Linotype" w:hAnsi="Palatino Linotype" w:cs="Palatino Linotype"/>
          <w:i/>
          <w:iCs/>
          <w:color w:val="000000"/>
        </w:rPr>
        <w:t xml:space="preserve"> oficio del Titular del Órgano Interno de Control, mediante el cual ratifica la respuesta inicial. </w:t>
      </w:r>
    </w:p>
    <w:p w:rsidR="00612D4C" w:rsidRPr="001F64E4" w:rsidRDefault="00612D4C">
      <w:pPr>
        <w:ind w:left="1134" w:right="1134"/>
        <w:jc w:val="both"/>
        <w:rPr>
          <w:rFonts w:ascii="Palatino Linotype" w:eastAsia="Palatino Linotype" w:hAnsi="Palatino Linotype" w:cs="Palatino Linotype"/>
          <w:i/>
          <w:iCs/>
          <w:color w:val="000000"/>
        </w:rPr>
      </w:pPr>
    </w:p>
    <w:p w:rsidR="00612D4C" w:rsidRPr="001F64E4" w:rsidRDefault="00826DE6">
      <w:pPr>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 xml:space="preserve">IJ-RR7583 SI 516.pdf: </w:t>
      </w:r>
      <w:r w:rsidRPr="001F64E4">
        <w:rPr>
          <w:rFonts w:ascii="Palatino Linotype" w:eastAsia="Palatino Linotype" w:hAnsi="Palatino Linotype" w:cs="Palatino Linotype"/>
          <w:i/>
          <w:iCs/>
        </w:rPr>
        <w:t xml:space="preserve">Informe Justificado del Titular de la Unidad de Transparencia, mediante el cual se ratifica la respuesta inicial. </w:t>
      </w:r>
    </w:p>
    <w:p w:rsidR="00612D4C" w:rsidRDefault="00612D4C">
      <w:pPr>
        <w:ind w:left="1134" w:right="1134"/>
        <w:jc w:val="both"/>
        <w:rPr>
          <w:rFonts w:ascii="Palatino Linotype" w:eastAsia="Palatino Linotype" w:hAnsi="Palatino Linotype" w:cs="Palatino Linotype"/>
          <w:i/>
          <w:iCs/>
        </w:rPr>
      </w:pPr>
    </w:p>
    <w:p w:rsidR="001F64E4" w:rsidRPr="001F64E4" w:rsidRDefault="001F64E4">
      <w:pPr>
        <w:ind w:left="1134" w:right="1134"/>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141" w:firstLine="0"/>
        <w:jc w:val="both"/>
        <w:rPr>
          <w:rFonts w:ascii="Palatino Linotype" w:eastAsia="Palatino Linotype" w:hAnsi="Palatino Linotype" w:cs="Palatino Linotype"/>
        </w:rPr>
      </w:pPr>
      <w:r w:rsidRPr="001F64E4">
        <w:rPr>
          <w:rFonts w:ascii="Palatino Linotype" w:eastAsia="Palatino Linotype" w:hAnsi="Palatino Linotype" w:cs="Palatino Linotype"/>
          <w:b/>
          <w:bCs/>
        </w:rPr>
        <w:t xml:space="preserve">Reconducción de vía y prevención. </w:t>
      </w: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 xml:space="preserve">trece de enero de dos mil veintiséis, </w:t>
      </w:r>
      <w:r w:rsidRPr="001F64E4">
        <w:rPr>
          <w:rFonts w:ascii="Palatino Linotype" w:eastAsia="Palatino Linotype" w:hAnsi="Palatino Linotype" w:cs="Palatino Linotype"/>
        </w:rPr>
        <w:t xml:space="preserve">fue notificado a las partes, el acuerdo por el que se daba tratamiento al presente Recurso de Revisión, vía Derecho de Acceso, Rectificación, Cancelación y Oposición –para posteriores </w:t>
      </w:r>
      <w:r w:rsidRPr="001F64E4">
        <w:rPr>
          <w:rFonts w:ascii="Palatino Linotype" w:eastAsia="Palatino Linotype" w:hAnsi="Palatino Linotype" w:cs="Palatino Linotype"/>
        </w:rPr>
        <w:lastRenderedPageBreak/>
        <w:t xml:space="preserve">referencias, Derechos ARCO- del tratamiento de Datos Personales a los que pretendía tener acceso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asimismo, atento a lo dispuesto en los artículos 11, 126, 127, 131 y 136 de la Ley de Protección de Datos Personales en Posesión de Sujetos Obligados del Estado de México y Municipios y 185 fracciones I, II y IV de la Ley de Transparencia y Acceso a la Información Pública del Estado de México y Municipios de aplicación supletoria, se previno a la parte</w:t>
      </w:r>
      <w:r w:rsidRPr="001F64E4">
        <w:rPr>
          <w:rFonts w:ascii="Palatino Linotype" w:eastAsia="Palatino Linotype" w:hAnsi="Palatino Linotype" w:cs="Palatino Linotype"/>
          <w:b/>
          <w:bCs/>
          <w:color w:val="FF0000"/>
          <w:u w:val="single"/>
        </w:rPr>
        <w:t xml:space="preserv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para que, en un plazo máximo de </w:t>
      </w:r>
      <w:r w:rsidRPr="001F64E4">
        <w:rPr>
          <w:rFonts w:ascii="Palatino Linotype" w:eastAsia="Palatino Linotype" w:hAnsi="Palatino Linotype" w:cs="Palatino Linotype"/>
          <w:b/>
          <w:bCs/>
        </w:rPr>
        <w:t>cinco días hábiles</w:t>
      </w:r>
      <w:r w:rsidRPr="001F64E4">
        <w:rPr>
          <w:rFonts w:ascii="Palatino Linotype" w:eastAsia="Palatino Linotype" w:hAnsi="Palatino Linotype" w:cs="Palatino Linotype"/>
        </w:rPr>
        <w:t xml:space="preserve"> contados a partir del día siguiente de la notificación del presente Acuerdo, subsane la omisión de </w:t>
      </w:r>
      <w:r w:rsidRPr="001F64E4">
        <w:rPr>
          <w:rFonts w:ascii="Palatino Linotype" w:eastAsia="Palatino Linotype" w:hAnsi="Palatino Linotype" w:cs="Palatino Linotype"/>
          <w:b/>
          <w:bCs/>
        </w:rPr>
        <w:t>acreditar su identidad</w:t>
      </w:r>
      <w:r w:rsidRPr="001F64E4">
        <w:rPr>
          <w:rFonts w:ascii="Palatino Linotype" w:eastAsia="Palatino Linotype" w:hAnsi="Palatino Linotype" w:cs="Palatino Linotype"/>
        </w:rPr>
        <w:t xml:space="preserve"> mediante identificación oficial vigente con fotografía para acceder a los datos personales que desea y acreditara su interés legítimo y/o jurídico respecto de la información a la que desea acceder, es decir, remitiera el documento que acredite que la información a la que desea acceder, contiene sus datos personales o es un bien, parte de su patrimonio, con el apercibimiento de no cumplir con el requerimiento, se desechará el recurso de revisión en términos de lo señalado por el artículo 136 de la Ley de Protección de Datos Personales en Posesión de Sujetos Obligados del Estado de México y Municipios. </w:t>
      </w:r>
    </w:p>
    <w:p w:rsidR="00612D4C" w:rsidRPr="001F64E4" w:rsidRDefault="00612D4C">
      <w:pPr>
        <w:spacing w:line="360" w:lineRule="auto"/>
        <w:jc w:val="both"/>
        <w:rPr>
          <w:rFonts w:ascii="Palatino Linotype" w:eastAsia="Palatino Linotype" w:hAnsi="Palatino Linotype" w:cs="Palatino Linotype"/>
          <w:b/>
          <w:b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cuatro de enero de dos mil veintiséis</w:t>
      </w:r>
      <w:r w:rsidRPr="001F64E4">
        <w:rPr>
          <w:rFonts w:ascii="Palatino Linotype" w:eastAsia="Palatino Linotype" w:hAnsi="Palatino Linotype" w:cs="Palatino Linotype"/>
        </w:rPr>
        <w:t>, la Comisionada Ponente notificó el  acuerdo de ampliación para emitir resolución, en términos del artículo 181 párrafo tercero de la Ley de Transparencia y Acceso a la Información Pública del Estado de México y Municipios</w:t>
      </w:r>
      <w:r w:rsidR="001F64E4">
        <w:rPr>
          <w:rFonts w:ascii="Palatino Linotype" w:eastAsia="Palatino Linotype" w:hAnsi="Palatino Linotype" w:cs="Palatino Linotype"/>
        </w:rPr>
        <w:t>.</w:t>
      </w:r>
      <w:r w:rsidRPr="001F64E4">
        <w:rPr>
          <w:rFonts w:ascii="Palatino Linotype" w:eastAsia="Palatino Linotype" w:hAnsi="Palatino Linotype" w:cs="Palatino Linotype"/>
        </w:rPr>
        <w:t xml:space="preserve"> </w:t>
      </w:r>
    </w:p>
    <w:p w:rsidR="00612D4C" w:rsidRPr="001F64E4" w:rsidRDefault="00612D4C">
      <w:pPr>
        <w:spacing w:line="360" w:lineRule="auto"/>
        <w:jc w:val="both"/>
        <w:rPr>
          <w:rFonts w:ascii="Palatino Linotype" w:eastAsia="Palatino Linotype" w:hAnsi="Palatino Linotype" w:cs="Palatino Linotype"/>
          <w:b/>
          <w:b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El </w:t>
      </w:r>
      <w:r w:rsidRPr="001F64E4">
        <w:rPr>
          <w:rFonts w:ascii="Palatino Linotype" w:eastAsia="Palatino Linotype" w:hAnsi="Palatino Linotype" w:cs="Palatino Linotype"/>
          <w:b/>
          <w:bCs/>
        </w:rPr>
        <w:t>cuatro de enero de dos mil veintiséis</w:t>
      </w:r>
      <w:r w:rsidRPr="001F64E4">
        <w:rPr>
          <w:rFonts w:ascii="Palatino Linotype" w:eastAsia="Palatino Linotype" w:hAnsi="Palatino Linotype" w:cs="Palatino Linotype"/>
        </w:rPr>
        <w:t xml:space="preserve">, al no haber desahogado la prevención relativa a la acreditación de la identidad y representación, así como la identidad de la persona titular de los datos personales sobre los cuales se pretende ejercer el Derecho de acceso, en el plazo establecido para tal efecto, se decretó la preclusión del mismo, de conformidad con los </w:t>
      </w:r>
      <w:r w:rsidRPr="001F64E4">
        <w:rPr>
          <w:rFonts w:ascii="Palatino Linotype" w:eastAsia="Palatino Linotype" w:hAnsi="Palatino Linotype" w:cs="Palatino Linotype"/>
        </w:rPr>
        <w:lastRenderedPageBreak/>
        <w:t>artículos 124 y 136 de la Ley de Protección de Datos Personales en Posesión de Sujetos Obligados del Estado de México y Municipios, por lo que, se decretó el cierre de instrucción.</w:t>
      </w:r>
    </w:p>
    <w:p w:rsidR="001F64E4" w:rsidRDefault="001F64E4" w:rsidP="001F64E4">
      <w:pPr>
        <w:pBdr>
          <w:top w:val="nil"/>
          <w:left w:val="nil"/>
          <w:bottom w:val="nil"/>
          <w:right w:val="nil"/>
          <w:between w:val="nil"/>
        </w:pBdr>
        <w:spacing w:line="360" w:lineRule="auto"/>
        <w:ind w:left="360"/>
        <w:jc w:val="center"/>
        <w:rPr>
          <w:rFonts w:ascii="Palatino Linotype" w:eastAsia="Palatino Linotype" w:hAnsi="Palatino Linotype" w:cs="Palatino Linotype"/>
          <w:b/>
          <w:bCs/>
          <w:color w:val="000000"/>
        </w:rPr>
      </w:pPr>
    </w:p>
    <w:p w:rsidR="00612D4C" w:rsidRPr="001F64E4" w:rsidRDefault="00826DE6" w:rsidP="001F64E4">
      <w:pPr>
        <w:pBdr>
          <w:top w:val="nil"/>
          <w:left w:val="nil"/>
          <w:bottom w:val="nil"/>
          <w:right w:val="nil"/>
          <w:between w:val="nil"/>
        </w:pBdr>
        <w:spacing w:line="360" w:lineRule="auto"/>
        <w:ind w:left="360"/>
        <w:jc w:val="center"/>
        <w:rPr>
          <w:rFonts w:ascii="Palatino Linotype" w:eastAsia="Palatino Linotype" w:hAnsi="Palatino Linotype" w:cs="Palatino Linotype"/>
          <w:b/>
          <w:bCs/>
          <w:color w:val="000000"/>
        </w:rPr>
      </w:pPr>
      <w:r w:rsidRPr="001F64E4">
        <w:rPr>
          <w:rFonts w:ascii="Palatino Linotype" w:eastAsia="Palatino Linotype" w:hAnsi="Palatino Linotype" w:cs="Palatino Linotype"/>
          <w:b/>
          <w:bCs/>
          <w:color w:val="000000"/>
        </w:rPr>
        <w:t>C O N S I D E R A N D O:</w:t>
      </w:r>
    </w:p>
    <w:p w:rsidR="00612D4C" w:rsidRPr="001F64E4" w:rsidRDefault="00612D4C">
      <w:pPr>
        <w:spacing w:line="360" w:lineRule="auto"/>
        <w:jc w:val="both"/>
        <w:rPr>
          <w:rFonts w:ascii="Palatino Linotype" w:eastAsia="Palatino Linotype" w:hAnsi="Palatino Linotype" w:cs="Palatino Linotype"/>
          <w:b/>
          <w:b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rPr>
        <w:t>Este</w:t>
      </w:r>
      <w:r w:rsidRPr="001F64E4">
        <w:rPr>
          <w:rFonts w:ascii="Palatino Linotype" w:eastAsia="Palatino Linotype" w:hAnsi="Palatino Linotype" w:cs="Palatino Linotype"/>
          <w:color w:val="000000"/>
        </w:rPr>
        <w:t xml:space="preserve"> Instituto de Transparencia, Acceso a la Información Pública y Protección de Datos Personales del Estado de México y Municipios, es competente para conocer y resolver el presente recurso, conforme a lo dispuesto en los artículos 6, Apartado A de la Constitución Política de los Estados Unidos Mexicanos; 5, párrafos trigésimo, trigésimo primero y trigésimo segundo, IV y V de la Constitución Política del Estado Libre y Soberano de México; 2 fracción II, 13, 29, 36 fracciones I y II, 176, 178, 179, 181 párrafo tercero y 185 de la Ley de Transparencia y Acceso a la Información Pública del Estado de México y Municipios de aplicación supletoria; 1, 81, 82 fracciones I y III, 119, 127, 128 y 129 de la Ley de Protección de Datos Personales en Posesión de Sujetos Obligados del Estado de México y Municipios; y 9, fracciones I y XXIV y 11 del Reglamento Interior del Instituto de Transparencia, Acceso a la Información Pública y Protección de Datos Personales del Estado de México y Municipios.</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El medio de impugnación fue presentado a través del </w:t>
      </w:r>
      <w:r w:rsidRPr="001F64E4">
        <w:rPr>
          <w:rFonts w:ascii="Palatino Linotype" w:eastAsia="Palatino Linotype" w:hAnsi="Palatino Linotype" w:cs="Palatino Linotype"/>
          <w:b/>
          <w:bCs/>
        </w:rPr>
        <w:t>SAIMEX,</w:t>
      </w:r>
      <w:r w:rsidRPr="001F64E4">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F64E4">
        <w:rPr>
          <w:rFonts w:ascii="Palatino Linotype" w:eastAsia="Palatino Linotype" w:hAnsi="Palatino Linotype" w:cs="Palatino Linotype"/>
          <w:b/>
          <w:bCs/>
        </w:rPr>
        <w:t>SUJETO OBLIGADO</w:t>
      </w:r>
      <w:r w:rsidRPr="001F64E4">
        <w:rPr>
          <w:rFonts w:ascii="Palatino Linotype" w:eastAsia="Palatino Linotype" w:hAnsi="Palatino Linotype" w:cs="Palatino Linotype"/>
        </w:rPr>
        <w:t xml:space="preserve"> entregó respuestas el </w:t>
      </w:r>
      <w:r w:rsidRPr="001F64E4">
        <w:rPr>
          <w:rFonts w:ascii="Palatino Linotype" w:eastAsia="Palatino Linotype" w:hAnsi="Palatino Linotype" w:cs="Palatino Linotype"/>
          <w:b/>
          <w:bCs/>
        </w:rPr>
        <w:t>siete de febrero de dos mil veinticinco</w:t>
      </w:r>
      <w:r w:rsidRPr="001F64E4">
        <w:rPr>
          <w:rFonts w:ascii="Palatino Linotype" w:eastAsia="Palatino Linotype" w:hAnsi="Palatino Linotype" w:cs="Palatino Linotype"/>
        </w:rPr>
        <w:t xml:space="preserve">, de tal forma que el plazo para interponer el recurso de revisión transcurrió del </w:t>
      </w:r>
      <w:r w:rsidRPr="001F64E4">
        <w:rPr>
          <w:rFonts w:ascii="Palatino Linotype" w:eastAsia="Palatino Linotype" w:hAnsi="Palatino Linotype" w:cs="Palatino Linotype"/>
          <w:b/>
          <w:bCs/>
        </w:rPr>
        <w:t>diecinueve de junio al nueve de julio de dos mil veinticinco</w:t>
      </w:r>
      <w:r w:rsidRPr="001F64E4">
        <w:rPr>
          <w:rFonts w:ascii="Palatino Linotype" w:eastAsia="Palatino Linotype" w:hAnsi="Palatino Linotype" w:cs="Palatino Linotype"/>
        </w:rPr>
        <w:t xml:space="preserve">; en consecuencia, se presentó la inconformidad el día </w:t>
      </w:r>
      <w:r w:rsidRPr="001F64E4">
        <w:rPr>
          <w:rFonts w:ascii="Palatino Linotype" w:eastAsia="Palatino Linotype" w:hAnsi="Palatino Linotype" w:cs="Palatino Linotype"/>
          <w:b/>
          <w:bCs/>
        </w:rPr>
        <w:t>veintiuno de junio de dos mil veinticinco</w:t>
      </w:r>
      <w:r w:rsidRPr="001F64E4">
        <w:rPr>
          <w:rFonts w:ascii="Palatino Linotype" w:eastAsia="Palatino Linotype" w:hAnsi="Palatino Linotype" w:cs="Palatino Linotype"/>
        </w:rPr>
        <w:t xml:space="preserve">, por lo que se encuentra dentro de los márgenes temporales previstos en el artículo 178 de la </w:t>
      </w:r>
      <w:r w:rsidRPr="001F64E4">
        <w:rPr>
          <w:rFonts w:ascii="Palatino Linotype" w:eastAsia="Palatino Linotype" w:hAnsi="Palatino Linotype" w:cs="Palatino Linotype"/>
        </w:rPr>
        <w:lastRenderedPageBreak/>
        <w:t>Ley de Transparencia y Acceso a la Información Pública del Estado de México y Municipios, de aplicación supletoria.</w:t>
      </w:r>
    </w:p>
    <w:p w:rsidR="00612D4C" w:rsidRPr="001F64E4" w:rsidRDefault="00612D4C">
      <w:pPr>
        <w:spacing w:line="360" w:lineRule="auto"/>
        <w:ind w:left="720"/>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Las solicitudes anónimas</w:t>
      </w:r>
      <w:r w:rsidRPr="001F64E4">
        <w:rPr>
          <w:rFonts w:ascii="Palatino Linotype" w:eastAsia="Palatino Linotype" w:hAnsi="Palatino Linotype" w:cs="Palatino Linotype"/>
          <w:i/>
          <w:iCs/>
        </w:rPr>
        <w:t xml:space="preserve">, con nombre incompleto o seudónimo </w:t>
      </w:r>
      <w:r w:rsidRPr="001F64E4">
        <w:rPr>
          <w:rFonts w:ascii="Palatino Linotype" w:eastAsia="Palatino Linotype" w:hAnsi="Palatino Linotype" w:cs="Palatino Linotype"/>
          <w:b/>
          <w:bCs/>
          <w:i/>
          <w:iCs/>
        </w:rPr>
        <w:t>serán procedentes para su trámite por parte del sujeto obligado ante quien se presente</w:t>
      </w:r>
      <w:r w:rsidRPr="001F64E4">
        <w:rPr>
          <w:rFonts w:ascii="Palatino Linotype" w:eastAsia="Palatino Linotype" w:hAnsi="Palatino Linotype" w:cs="Palatino Linotype"/>
          <w:i/>
          <w:iCs/>
        </w:rPr>
        <w:t>. No podrá requerirse información adicional con motivo del nombre proporcionado por el solicitante."</w:t>
      </w:r>
    </w:p>
    <w:p w:rsidR="00612D4C" w:rsidRPr="001F64E4" w:rsidRDefault="00612D4C">
      <w:pPr>
        <w:spacing w:line="360" w:lineRule="auto"/>
        <w:jc w:val="right"/>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Artículo 6.-</w:t>
      </w:r>
      <w:r w:rsidRPr="001F64E4">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Para efectos de lo dispuesto en el presente artículo se observará lo siguiente:</w:t>
      </w:r>
    </w:p>
    <w:p w:rsidR="00612D4C" w:rsidRPr="001F64E4" w:rsidRDefault="00612D4C">
      <w:pPr>
        <w:ind w:left="567" w:right="900" w:firstLine="1134"/>
        <w:jc w:val="both"/>
        <w:rPr>
          <w:rFonts w:ascii="Palatino Linotype" w:eastAsia="Palatino Linotype" w:hAnsi="Palatino Linotype" w:cs="Palatino Linotype"/>
          <w:i/>
          <w:iCs/>
        </w:rPr>
      </w:pP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612D4C" w:rsidRPr="001F64E4" w:rsidRDefault="00612D4C">
      <w:pPr>
        <w:ind w:left="567" w:right="900" w:firstLine="1134"/>
        <w:jc w:val="both"/>
        <w:rPr>
          <w:rFonts w:ascii="Palatino Linotype" w:eastAsia="Palatino Linotype" w:hAnsi="Palatino Linotype" w:cs="Palatino Linotype"/>
          <w:i/>
          <w:iCs/>
        </w:rPr>
      </w:pP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1F64E4">
        <w:rPr>
          <w:rFonts w:ascii="Palatino Linotype" w:eastAsia="Palatino Linotype" w:hAnsi="Palatino Linotype" w:cs="Palatino Linotype"/>
        </w:rPr>
        <w:t>(Sic)</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rPr>
        <w:lastRenderedPageBreak/>
        <w:t>Así</w:t>
      </w:r>
      <w:r w:rsidRPr="001F64E4">
        <w:rPr>
          <w:rFonts w:ascii="Palatino Linotype" w:eastAsia="Palatino Linotype" w:hAnsi="Palatino Linotype" w:cs="Palatino Linotype"/>
          <w:color w:val="000000"/>
        </w:rPr>
        <w:t xml:space="preserve"> como el artículo 5 fracción III, párrafo vigésimo noveno, trigésimo y trigésimo primero, de la Constitución Política del Estado Libre y Soberano de México, que determina lo siguiente:</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Artículo 5.-</w:t>
      </w:r>
      <w:r w:rsidRPr="001F64E4">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1F64E4">
        <w:rPr>
          <w:rFonts w:ascii="Palatino Linotype" w:eastAsia="Palatino Linotype" w:hAnsi="Palatino Linotype" w:cs="Palatino Linotype"/>
        </w:rPr>
        <w:t>(Sic)</w:t>
      </w:r>
    </w:p>
    <w:p w:rsidR="00612D4C" w:rsidRPr="001F64E4" w:rsidRDefault="00612D4C">
      <w:pPr>
        <w:spacing w:line="360" w:lineRule="auto"/>
        <w:ind w:left="426" w:right="476"/>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rPr>
        <w:lastRenderedPageBreak/>
        <w:t>Por</w:t>
      </w:r>
      <w:r w:rsidRPr="001F64E4">
        <w:rPr>
          <w:rFonts w:ascii="Palatino Linotype" w:eastAsia="Palatino Linotype" w:hAnsi="Palatino Linotype" w:cs="Palatino Linotype"/>
          <w:color w:val="000000"/>
        </w:rPr>
        <w:t xml:space="preserve"> otra parte, del contenido del artículo 1 de la Constitución Política de los Estados Unidos mexicanos, se destaca lo siguiente:</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Artículo 1</w:t>
      </w:r>
      <w:r w:rsidRPr="001F64E4">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612D4C" w:rsidRPr="001F64E4" w:rsidRDefault="00826DE6">
      <w:pPr>
        <w:ind w:left="1134" w:right="900"/>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612D4C" w:rsidRPr="001F64E4" w:rsidRDefault="00612D4C">
      <w:pPr>
        <w:spacing w:line="360" w:lineRule="auto"/>
        <w:ind w:left="426" w:right="474"/>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1F64E4">
        <w:rPr>
          <w:rFonts w:ascii="Palatino Linotype" w:eastAsia="Palatino Linotype" w:hAnsi="Palatino Linotype" w:cs="Palatino Linotype"/>
          <w:i/>
          <w:iCs/>
          <w:color w:val="000000"/>
        </w:rPr>
        <w:t>derecho fundamental exime a quien lo ejerce</w:t>
      </w:r>
      <w:r w:rsidRPr="001F64E4">
        <w:rPr>
          <w:rFonts w:ascii="Palatino Linotype" w:eastAsia="Palatino Linotype" w:hAnsi="Palatino Linotype" w:cs="Palatino Linotype"/>
          <w:color w:val="000000"/>
        </w:rPr>
        <w:t xml:space="preserve">, de acreditar su legitimación en la causa o su interés en el asunto, lo que permite la posibilidad de que, incluso, </w:t>
      </w:r>
      <w:r w:rsidRPr="001F64E4">
        <w:rPr>
          <w:rFonts w:ascii="Palatino Linotype" w:eastAsia="Palatino Linotype" w:hAnsi="Palatino Linotype" w:cs="Palatino Linotype"/>
        </w:rPr>
        <w:t>la</w:t>
      </w:r>
      <w:r w:rsidRPr="001F64E4">
        <w:rPr>
          <w:rFonts w:ascii="Palatino Linotype" w:eastAsia="Palatino Linotype" w:hAnsi="Palatino Linotype" w:cs="Palatino Linotype"/>
          <w:color w:val="000000"/>
        </w:rPr>
        <w:t xml:space="preserve"> solicitud de acceso a la información pueda ser anónima o no contener un nombre que identifique al solicitante o que permita tener certeza sobre su identidad.</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En </w:t>
      </w:r>
      <w:r w:rsidRPr="001F64E4">
        <w:rPr>
          <w:rFonts w:ascii="Palatino Linotype" w:eastAsia="Palatino Linotype" w:hAnsi="Palatino Linotype" w:cs="Palatino Linotype"/>
        </w:rPr>
        <w:t>consecuencia</w:t>
      </w:r>
      <w:r w:rsidRPr="001F64E4">
        <w:rPr>
          <w:rFonts w:ascii="Palatino Linotype" w:eastAsia="Palatino Linotype" w:hAnsi="Palatino Linotype" w:cs="Palatino Linotype"/>
          <w:color w:val="000000"/>
        </w:rPr>
        <w:t xml:space="preserve">, dado lo expuesto y fundado con anterioridad, se estima que el requisito relativo al nombre del </w:t>
      </w:r>
      <w:r w:rsidRPr="001F64E4">
        <w:rPr>
          <w:rFonts w:ascii="Palatino Linotype" w:eastAsia="Palatino Linotype" w:hAnsi="Palatino Linotype" w:cs="Palatino Linotype"/>
          <w:b/>
          <w:bCs/>
          <w:color w:val="000000"/>
        </w:rPr>
        <w:t>RECURRENTE</w:t>
      </w:r>
      <w:r w:rsidRPr="001F64E4">
        <w:rPr>
          <w:rFonts w:ascii="Palatino Linotype" w:eastAsia="Palatino Linotype" w:hAnsi="Palatino Linotype" w:cs="Palatino Linotype"/>
          <w:color w:val="000000"/>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w:t>
      </w:r>
      <w:r w:rsidRPr="001F64E4">
        <w:rPr>
          <w:rFonts w:ascii="Palatino Linotype" w:eastAsia="Palatino Linotype" w:hAnsi="Palatino Linotype" w:cs="Palatino Linotype"/>
          <w:color w:val="000000"/>
        </w:rPr>
        <w:lastRenderedPageBreak/>
        <w:t>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612D4C" w:rsidRPr="001F64E4" w:rsidRDefault="00612D4C">
      <w:pPr>
        <w:pBdr>
          <w:top w:val="nil"/>
          <w:left w:val="nil"/>
          <w:bottom w:val="nil"/>
          <w:right w:val="nil"/>
          <w:between w:val="nil"/>
        </w:pBdr>
        <w:ind w:left="720"/>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spacing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b/>
          <w:bCs/>
        </w:rPr>
        <w:t xml:space="preserve">TERCERO. Análisis de las causales de improcedencia y sobreseimiento del recurso de revisión. </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En primer término, es importante establecer la materia de la solicitud, para determinar si se trata de una solicitud de acceso a la información como fue ingresada, o bien, si es de acceso a datos personales, en virtud de que la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al momento de formular su solicitud lo realizó vía el Sistema de Acceso a la Información Mexiquense.</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Es importante precisar que el derecho de acceso a la información pública tiene su sustento en los artículos 6, apartado A, fracción IV de la Constitución Política de los Estados Unidos Mexicanos; 5, párrafos vigésimo segundo, vigésimo tercero y vigésimo cuarto, fracciones IV y V de la Constitución Política del Estado Libre y Soberano de México, con relación en los artículos 1, 2 y 4 de la Ley de Transparencia y Acceso a la Información Pública del Estado de México y Municipios.</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lastRenderedPageBreak/>
        <w:t xml:space="preserve">El cual, implica transparentar el ejercicio de la función pública, facilitar el acceso de los particulares a la información pública que los Sujetos Obligados generen, posean o administren en ejercicio de sus atribuciones, mediante procedimientos sencillos y expeditos, de manera oportuna y gratuita, privilegiando el principio de máxima publicidad de la información.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Por ello, los Sujetos Obligados deben poner en práctica, políticas y programas de acceso a la información que se apeguen a principios de simplicidad, rapidez, y gratuidad del procedimiento, de auxilio y orientación a los particulares, así como la atención adecuada a las personas con discapacidad y a los hablantes de la lengua indígena, a través del procedimiento previsto en los artículos 150, 152, 153 y 155 de la Ley de Transparencia y Acceso a la Información Pública del Estado de México y Municipios.</w:t>
      </w:r>
    </w:p>
    <w:p w:rsidR="00612D4C" w:rsidRPr="001F64E4" w:rsidRDefault="00826DE6">
      <w:pPr>
        <w:spacing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 </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En ese sentido debe quedar claro que una solicitud de información es un requerimiento formulado ante los sujetos obligados, a través de la cual se abre la posibilidad de consultar, </w:t>
      </w:r>
      <w:r w:rsidRPr="001F64E4">
        <w:rPr>
          <w:rFonts w:ascii="Palatino Linotype" w:eastAsia="Palatino Linotype" w:hAnsi="Palatino Linotype" w:cs="Palatino Linotype"/>
          <w:b/>
          <w:bCs/>
        </w:rPr>
        <w:t>sin necesidad de acreditar ningún tipo de interés</w:t>
      </w:r>
      <w:r w:rsidRPr="001F64E4">
        <w:rPr>
          <w:rFonts w:ascii="Palatino Linotype" w:eastAsia="Palatino Linotype" w:hAnsi="Palatino Linotype" w:cs="Palatino Linotype"/>
        </w:rPr>
        <w:t>, los documentos generados, administrados y resguardados por ellos, tal cual se encuentran en sus archivos. Por lo tanto, los sujetos obligados no tienen la responsabilidad de elaborar resúmenes, cálculos ni investigaciones que impliquen el procesamiento de los datos. En contraste, deben buscar y entregar la información requerida, de acuerdo con la Ley de Transparencia local.</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Ahora bien, por lo que respecta al </w:t>
      </w:r>
      <w:r w:rsidRPr="001F64E4">
        <w:rPr>
          <w:rFonts w:ascii="Palatino Linotype" w:eastAsia="Palatino Linotype" w:hAnsi="Palatino Linotype" w:cs="Palatino Linotype"/>
          <w:b/>
          <w:bCs/>
        </w:rPr>
        <w:t>procedimiento de acceso a los datos personales</w:t>
      </w:r>
      <w:r w:rsidRPr="001F64E4">
        <w:rPr>
          <w:rFonts w:ascii="Palatino Linotype" w:eastAsia="Palatino Linotype" w:hAnsi="Palatino Linotype" w:cs="Palatino Linotype"/>
        </w:rPr>
        <w:t xml:space="preserve"> debe destacarse que, de igual forma que el derecho de acceso a la información pública tiene su sustento en los artículos 6, apartado A, fracción II  y 16 párrafo segundo de la Constitución </w:t>
      </w:r>
      <w:r w:rsidRPr="001F64E4">
        <w:rPr>
          <w:rFonts w:ascii="Palatino Linotype" w:eastAsia="Palatino Linotype" w:hAnsi="Palatino Linotype" w:cs="Palatino Linotype"/>
        </w:rPr>
        <w:lastRenderedPageBreak/>
        <w:t>Política de los Estados Unidos Mexicanos, los cuales establecen medularmente que la información que se refiere a la vida privada y los datos personales será protegida en los términos y con las excepciones que fijen las leyes, siendo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los datos, por razones de seguridad nacional, disposiciones de orden público, seguridad y salud públicas o para proteger los derechos de terceros.</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Procedimiento que, además, está regulado en la Ley de Protección de Datos Personales del Estado de México en específico en los artículos 25 y 26 que establecen que el titular por sí o través de su </w:t>
      </w:r>
      <w:r w:rsidRPr="001F64E4">
        <w:rPr>
          <w:rFonts w:ascii="Palatino Linotype" w:eastAsia="Palatino Linotype" w:hAnsi="Palatino Linotype" w:cs="Palatino Linotype"/>
          <w:b/>
          <w:bCs/>
        </w:rPr>
        <w:t xml:space="preserve">representante legal </w:t>
      </w:r>
      <w:r w:rsidRPr="001F64E4">
        <w:rPr>
          <w:rFonts w:ascii="Palatino Linotype" w:eastAsia="Palatino Linotype" w:hAnsi="Palatino Linotype" w:cs="Palatino Linotype"/>
        </w:rPr>
        <w:t xml:space="preserve">que </w:t>
      </w:r>
      <w:r w:rsidRPr="001F64E4">
        <w:rPr>
          <w:rFonts w:ascii="Palatino Linotype" w:eastAsia="Palatino Linotype" w:hAnsi="Palatino Linotype" w:cs="Palatino Linotype"/>
          <w:b/>
          <w:bCs/>
        </w:rPr>
        <w:t>acrediten su identidad o representación</w:t>
      </w:r>
      <w:r w:rsidRPr="001F64E4">
        <w:rPr>
          <w:rFonts w:ascii="Palatino Linotype" w:eastAsia="Palatino Linotype" w:hAnsi="Palatino Linotype" w:cs="Palatino Linotype"/>
        </w:rPr>
        <w:t xml:space="preserve">, respectivamente; tiene derecho a solicitar y ser informado sobre sus datos personales que estén en posesión de los Sujetos Obligados, el origen de dichos datos, el tratamiento del cual sean objeto, las cesiones realizadas o que se pretendan realizar, así como a tener acceso al aviso de privacidad al que está sujeto dicho tratamiento; entendiéndose por dato personal cualquier información concerniente a una persona física o </w:t>
      </w:r>
      <w:r w:rsidRPr="001F64E4">
        <w:rPr>
          <w:rFonts w:ascii="Palatino Linotype" w:eastAsia="Palatino Linotype" w:hAnsi="Palatino Linotype" w:cs="Palatino Linotype"/>
          <w:b/>
          <w:bCs/>
        </w:rPr>
        <w:t>jurídica colectiva identificada o identificable</w:t>
      </w:r>
      <w:r w:rsidRPr="001F64E4">
        <w:rPr>
          <w:rFonts w:ascii="Palatino Linotype" w:eastAsia="Palatino Linotype" w:hAnsi="Palatino Linotype" w:cs="Palatino Linotype"/>
        </w:rPr>
        <w:t>, establecida en cualquier formato o modalidad y que esté almacenada en bases de datos, conforme a lo establecido en esta Ley.</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rPr>
        <w:t>Así</w:t>
      </w:r>
      <w:r w:rsidRPr="001F64E4">
        <w:rPr>
          <w:rFonts w:ascii="Palatino Linotype" w:eastAsia="Palatino Linotype" w:hAnsi="Palatino Linotype" w:cs="Palatino Linotype"/>
          <w:color w:val="000000"/>
        </w:rPr>
        <w:t xml:space="preserve"> las cosas, tenemos que cuando hablamos de una solicitud de derechos ARCO se refiere a aquel derecho que tiene un titular de datos personales, para solicitar el acceso, rectificación, cancelación, oposición y portabilidad sobre el tratamiento de sus datos, ante el </w:t>
      </w:r>
      <w:r w:rsidRPr="001F64E4">
        <w:rPr>
          <w:rFonts w:ascii="Palatino Linotype" w:eastAsia="Palatino Linotype" w:hAnsi="Palatino Linotype" w:cs="Palatino Linotype"/>
          <w:b/>
          <w:bCs/>
          <w:color w:val="000000"/>
        </w:rPr>
        <w:t>SUJETO OBLIGADO</w:t>
      </w:r>
      <w:r w:rsidRPr="001F64E4">
        <w:rPr>
          <w:rFonts w:ascii="Palatino Linotype" w:eastAsia="Palatino Linotype" w:hAnsi="Palatino Linotype" w:cs="Palatino Linotype"/>
          <w:color w:val="000000"/>
        </w:rPr>
        <w:t xml:space="preserve"> que esté en posesión de los mismos.</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lastRenderedPageBreak/>
        <w:t xml:space="preserve">Es así, que del análisis a la solicitud se advierte que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requiere acceder los siguientes datos: </w:t>
      </w:r>
    </w:p>
    <w:p w:rsidR="00612D4C" w:rsidRPr="001F64E4" w:rsidRDefault="00826DE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F64E4">
        <w:rPr>
          <w:rFonts w:ascii="Palatino Linotype" w:eastAsia="Palatino Linotype" w:hAnsi="Palatino Linotype" w:cs="Palatino Linotype"/>
          <w:b/>
          <w:bCs/>
          <w:color w:val="000000"/>
        </w:rPr>
        <w:t>Expediente número OIC/INVESTIGACION/SE/DENUNCIA/507/2024</w:t>
      </w:r>
    </w:p>
    <w:p w:rsidR="00612D4C" w:rsidRPr="001F64E4" w:rsidRDefault="00826DE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1F64E4">
        <w:rPr>
          <w:rFonts w:ascii="Palatino Linotype" w:eastAsia="Palatino Linotype" w:hAnsi="Palatino Linotype" w:cs="Palatino Linotype"/>
          <w:b/>
          <w:bCs/>
          <w:color w:val="000000"/>
        </w:rPr>
        <w:t xml:space="preserve">Informe por el que se justifica la determinación impugnada y el  del recurso de inconformidad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Por ello, atendiendo a la solicitud, el procedimiento de acceso a la información pública no es la vía para su tramitación, por lo que se deberá atender en términos del ejercicio del derecho de acceso a datos personales, toda vez que este Instituto, al igual que otros Órganos Garantes como es el Instituto Nacional de Acceso a la Información y Protección de Datos (INAI) se han pronunciado por la procedencia de los recursos de revisión según la materia de la solicitud.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Lo anterior de conformidad con el criterio </w:t>
      </w:r>
      <w:r w:rsidRPr="001F64E4">
        <w:rPr>
          <w:rFonts w:ascii="Palatino Linotype" w:eastAsia="Palatino Linotype" w:hAnsi="Palatino Linotype" w:cs="Palatino Linotype"/>
          <w:b/>
          <w:bCs/>
        </w:rPr>
        <w:t>008/2009</w:t>
      </w:r>
      <w:r w:rsidRPr="001F64E4">
        <w:rPr>
          <w:rFonts w:ascii="Palatino Linotype" w:eastAsia="Palatino Linotype" w:hAnsi="Palatino Linotype" w:cs="Palatino Linotype"/>
        </w:rPr>
        <w:t xml:space="preserve"> del INAI, utilizado de manera orientadora, que a la letra dispone:</w:t>
      </w:r>
    </w:p>
    <w:p w:rsidR="00612D4C" w:rsidRPr="001F64E4" w:rsidRDefault="00826DE6">
      <w:pPr>
        <w:tabs>
          <w:tab w:val="left" w:pos="7655"/>
        </w:tabs>
        <w:spacing w:after="120"/>
        <w:ind w:left="1134" w:right="1134"/>
        <w:jc w:val="both"/>
        <w:rPr>
          <w:rFonts w:ascii="Palatino Linotype" w:eastAsia="Palatino Linotype" w:hAnsi="Palatino Linotype" w:cs="Palatino Linotype"/>
          <w:b/>
          <w:bCs/>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Las dependencias y entidades deberán dar trámite a las solicitudes aun cuando la vía en la que fueron presentadas -acceso a datos personales o información pública- no corresponda con la naturaleza de la materia de la misma.</w:t>
      </w:r>
      <w:r w:rsidRPr="001F64E4">
        <w:rPr>
          <w:rFonts w:ascii="Palatino Linotype" w:eastAsia="Palatino Linotype" w:hAnsi="Palatino Linotype" w:cs="Palatino Linotype"/>
          <w:i/>
          <w:iCs/>
        </w:rPr>
        <w:t xml:space="preserve"> </w:t>
      </w:r>
      <w:r w:rsidRPr="001F64E4">
        <w:rPr>
          <w:rFonts w:ascii="Palatino Linotype" w:eastAsia="Palatino Linotype" w:hAnsi="Palatino Linotype" w:cs="Palatino Linotype"/>
          <w:b/>
          <w:bCs/>
          <w:i/>
          <w:iCs/>
        </w:rPr>
        <w:t xml:space="preserve">Todas aquellas solicitudes cuyo objetivo sea allegarse de información pública y que sean ingresadas por la vía de acceso a datos personales, así como el caso contrario, </w:t>
      </w:r>
      <w:r w:rsidRPr="001F64E4">
        <w:rPr>
          <w:rFonts w:ascii="Palatino Linotype" w:eastAsia="Palatino Linotype" w:hAnsi="Palatino Linotype" w:cs="Palatino Linotype"/>
          <w:b/>
          <w:bCs/>
          <w:i/>
          <w:iCs/>
          <w:u w:val="single"/>
        </w:rPr>
        <w:t>deberán ser tramitadas por las dependencias y entidades de conformidad con la naturaleza de la información de que se trate</w:t>
      </w:r>
      <w:r w:rsidRPr="001F64E4">
        <w:rPr>
          <w:rFonts w:ascii="Palatino Linotype" w:eastAsia="Palatino Linotype" w:hAnsi="Palatino Linotype" w:cs="Palatino Linotype"/>
          <w:b/>
          <w:bCs/>
          <w:i/>
          <w:iCs/>
        </w:rPr>
        <w:t>, sin necesidad de que el particular requiera presentar una nueva solicitud.</w:t>
      </w:r>
    </w:p>
    <w:p w:rsidR="00612D4C" w:rsidRDefault="00826DE6">
      <w:pPr>
        <w:tabs>
          <w:tab w:val="left" w:pos="7655"/>
        </w:tabs>
        <w:spacing w:after="120"/>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 xml:space="preserve">De conformidad con lo dispuesto en el artículo 1° de la Ley Federal de Transparencia y Acceso a la Información Pública Gubernamental, ésta tiene como finalidad proveer lo necesario para garantizar el acceso de toda persona a la información en posesión de los Poderes de la Unión, los órganos </w:t>
      </w:r>
      <w:r w:rsidRPr="001F64E4">
        <w:rPr>
          <w:rFonts w:ascii="Palatino Linotype" w:eastAsia="Palatino Linotype" w:hAnsi="Palatino Linotype" w:cs="Palatino Linotype"/>
          <w:i/>
          <w:iCs/>
        </w:rPr>
        <w:lastRenderedPageBreak/>
        <w:t xml:space="preserve">constitucionales autónomos o con autonomía legal, y cualquier otro órgano federal. Por su parte, el artículo 4 de la Ley en cita señala que entre sus objetivos se encuentra el de “proveer lo necesario para que toda persona pueda tener acceso a la información mediante procedimientos sencillos y expeditos”. De igual forma, el artículo 6 de la Ley Federal de Transparencia y Acceso a la Información Pública Gubernamental dispone que en la interpretación de la referida Ley y de su Reglamento “se deberá favorecer el principio de máxima publicidad y disponibilidad de la información en posesión de los sujetos obligados”. Considerando lo establecido en los artículos citados, este Instituto determina que, a efecto de cumplir con los objetivos de la ley de la materia y en aras de garantizar el acceso a través de procedimientos sencillos y expeditos, favoreciendo también el principio disponibilidad de la información en posesión de los sujetos obligados, éstos deben subsanar los errores en que incurran los particulares al elegir la vía por la que los particulares presentan sus solicitudes. </w:t>
      </w:r>
      <w:r w:rsidRPr="001F64E4">
        <w:rPr>
          <w:rFonts w:ascii="Palatino Linotype" w:eastAsia="Palatino Linotype" w:hAnsi="Palatino Linotype" w:cs="Palatino Linotype"/>
          <w:b/>
          <w:bCs/>
          <w:i/>
          <w:iCs/>
        </w:rPr>
        <w:t>Por consiguiente, en el caso que los particulares ingresen solicitudes de acceso a datos personales cuando, en realidad, la información solicitada corresponde a información pública, o viceversa, las dependencias y entidades deberán darles el trámite correspondiente de conformidad con la naturaleza de la información solicitada</w:t>
      </w:r>
      <w:r w:rsidRPr="001F64E4">
        <w:rPr>
          <w:rFonts w:ascii="Palatino Linotype" w:eastAsia="Palatino Linotype" w:hAnsi="Palatino Linotype" w:cs="Palatino Linotype"/>
          <w:i/>
          <w:iCs/>
        </w:rPr>
        <w:t>.”</w:t>
      </w:r>
    </w:p>
    <w:p w:rsidR="00C315B1" w:rsidRPr="001F64E4" w:rsidRDefault="00C315B1">
      <w:pPr>
        <w:tabs>
          <w:tab w:val="left" w:pos="7655"/>
        </w:tabs>
        <w:spacing w:after="120"/>
        <w:ind w:left="1134" w:right="1134"/>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i/>
          <w:iCs/>
        </w:rPr>
      </w:pPr>
      <w:r w:rsidRPr="001F64E4">
        <w:rPr>
          <w:rFonts w:ascii="Palatino Linotype" w:eastAsia="Palatino Linotype" w:hAnsi="Palatino Linotype" w:cs="Palatino Linotype"/>
        </w:rPr>
        <w:t>Lo anterior, bajo el principio  de expeditez</w:t>
      </w:r>
      <w:r w:rsidRPr="001F64E4">
        <w:rPr>
          <w:rFonts w:ascii="Palatino Linotype" w:eastAsia="Palatino Linotype" w:hAnsi="Palatino Linotype" w:cs="Palatino Linotype"/>
          <w:vertAlign w:val="superscript"/>
        </w:rPr>
        <w:footnoteReference w:id="1"/>
      </w:r>
      <w:r w:rsidRPr="001F64E4">
        <w:rPr>
          <w:rFonts w:ascii="Palatino Linotype" w:eastAsia="Palatino Linotype" w:hAnsi="Palatino Linotype" w:cs="Palatino Linotype"/>
        </w:rPr>
        <w:t xml:space="preserve"> “</w:t>
      </w:r>
      <w:r w:rsidRPr="001F64E4">
        <w:rPr>
          <w:rFonts w:ascii="Palatino Linotype" w:eastAsia="Palatino Linotype" w:hAnsi="Palatino Linotype" w:cs="Palatino Linotype"/>
          <w:i/>
          <w:iCs/>
        </w:rPr>
        <w:t xml:space="preserve">que consiste en que la impartición de justicia debe estar libre de estorbos, lo que significa que el poder público —en cualquiera de sus manifestaciones: Ejecutivo, Legislativo o Judicial— no puede supeditar el acceso a los tribunales a la satisfacción de condiciones innecesarias, excesivas y carentes de razonabilidad o proporcionalidad”, </w:t>
      </w:r>
      <w:r w:rsidRPr="001F64E4">
        <w:rPr>
          <w:rFonts w:ascii="Palatino Linotype" w:eastAsia="Palatino Linotype" w:hAnsi="Palatino Linotype" w:cs="Palatino Linotype"/>
        </w:rPr>
        <w:t>determina  procedente dar trámite a la solicitud formulada por la parte R</w:t>
      </w:r>
      <w:r w:rsidRPr="001F64E4">
        <w:rPr>
          <w:rFonts w:ascii="Palatino Linotype" w:eastAsia="Palatino Linotype" w:hAnsi="Palatino Linotype" w:cs="Palatino Linotype"/>
          <w:b/>
          <w:bCs/>
        </w:rPr>
        <w:t>ECURRENTE</w:t>
      </w:r>
      <w:r w:rsidRPr="001F64E4">
        <w:rPr>
          <w:rFonts w:ascii="Palatino Linotype" w:eastAsia="Palatino Linotype" w:hAnsi="Palatino Linotype" w:cs="Palatino Linotype"/>
        </w:rPr>
        <w:t xml:space="preserve"> bajo el procedimiento de acceso a los datos personales previsto en la Ley de Protección de Datos Personales en Posesión de Sujetos Obligados del Estado de México y Municipios, de conformidad con el artículo 1 de la Ley referida la misma tiene por objeto garantizar la protección de los datos personales que se encuentren en posesión de los sujetos obligados, de </w:t>
      </w:r>
      <w:r w:rsidRPr="001F64E4">
        <w:rPr>
          <w:rFonts w:ascii="Palatino Linotype" w:eastAsia="Palatino Linotype" w:hAnsi="Palatino Linotype" w:cs="Palatino Linotype"/>
        </w:rPr>
        <w:lastRenderedPageBreak/>
        <w:t>tal forma, en la resolución del presente asunto resulta aplicable la Ley de Protección de Datos Personales en Posesión de Sujetos Obligados del Estado de México y Municipios.</w:t>
      </w:r>
    </w:p>
    <w:p w:rsidR="00612D4C" w:rsidRPr="001F64E4" w:rsidRDefault="00612D4C">
      <w:pPr>
        <w:spacing w:line="360" w:lineRule="auto"/>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Acotado lo anterior, cabe mencionar que 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w:t>
      </w:r>
    </w:p>
    <w:p w:rsidR="00612D4C" w:rsidRPr="001F64E4" w:rsidRDefault="00612D4C">
      <w:pPr>
        <w:pBdr>
          <w:top w:val="nil"/>
          <w:left w:val="nil"/>
          <w:bottom w:val="nil"/>
          <w:right w:val="nil"/>
          <w:between w:val="nil"/>
        </w:pBdr>
        <w:ind w:left="708"/>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De tal suerte, deberá ser desechado cualquier recurso de revisión que actualice alguno de los supuestos establecidos en el artículo 138 de la Ley de Protección de Datos Personales en Posesión de Sujetos Obligados del Estado de México y Municipios, por improcedente, a saber:</w:t>
      </w:r>
    </w:p>
    <w:p w:rsidR="00612D4C" w:rsidRPr="001F64E4" w:rsidRDefault="00826DE6">
      <w:pPr>
        <w:spacing w:before="120" w:after="120"/>
        <w:ind w:left="851"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Artículo 138</w:t>
      </w:r>
      <w:r w:rsidRPr="001F64E4">
        <w:rPr>
          <w:rFonts w:ascii="Palatino Linotype" w:eastAsia="Palatino Linotype" w:hAnsi="Palatino Linotype" w:cs="Palatino Linotype"/>
          <w:i/>
          <w:iCs/>
        </w:rPr>
        <w:t>. El recurso de revisión podrá ser desechado por improcedente cuando:</w:t>
      </w:r>
    </w:p>
    <w:p w:rsidR="00612D4C" w:rsidRPr="001F64E4" w:rsidRDefault="00826DE6">
      <w:pPr>
        <w:spacing w:before="120" w:after="120"/>
        <w:ind w:left="1134"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 xml:space="preserve"> I.</w:t>
      </w:r>
      <w:r w:rsidRPr="001F64E4">
        <w:rPr>
          <w:rFonts w:ascii="Palatino Linotype" w:eastAsia="Palatino Linotype" w:hAnsi="Palatino Linotype" w:cs="Palatino Linotype"/>
          <w:i/>
          <w:iCs/>
        </w:rPr>
        <w:t xml:space="preserve"> Sea extemporáneo por haber transcurrido el plazo establecido en el artículo 128 de la presente Ley. </w:t>
      </w:r>
    </w:p>
    <w:p w:rsidR="00612D4C" w:rsidRPr="001F64E4" w:rsidRDefault="00826DE6">
      <w:pPr>
        <w:spacing w:before="120" w:after="120"/>
        <w:ind w:left="1134" w:right="902"/>
        <w:jc w:val="both"/>
        <w:rPr>
          <w:rFonts w:ascii="Palatino Linotype" w:eastAsia="Palatino Linotype" w:hAnsi="Palatino Linotype" w:cs="Palatino Linotype"/>
          <w:b/>
          <w:bCs/>
          <w:i/>
          <w:iCs/>
        </w:rPr>
      </w:pPr>
      <w:r w:rsidRPr="001F64E4">
        <w:rPr>
          <w:rFonts w:ascii="Palatino Linotype" w:eastAsia="Palatino Linotype" w:hAnsi="Palatino Linotype" w:cs="Palatino Linotype"/>
          <w:b/>
          <w:bCs/>
          <w:i/>
          <w:iCs/>
        </w:rPr>
        <w:t>II. El titular o su representante no acrediten debidamente su identidad y personalidad de este último.</w:t>
      </w:r>
    </w:p>
    <w:p w:rsidR="00612D4C" w:rsidRPr="001F64E4" w:rsidRDefault="00826DE6">
      <w:pPr>
        <w:spacing w:before="120" w:after="120"/>
        <w:ind w:left="1134"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III.</w:t>
      </w:r>
      <w:r w:rsidRPr="001F64E4">
        <w:rPr>
          <w:rFonts w:ascii="Palatino Linotype" w:eastAsia="Palatino Linotype" w:hAnsi="Palatino Linotype" w:cs="Palatino Linotype"/>
          <w:i/>
          <w:iCs/>
        </w:rPr>
        <w:t xml:space="preserve"> El Instituto haya resuelto anteriormente en definitiva sobre la materia del mismo. </w:t>
      </w:r>
    </w:p>
    <w:p w:rsidR="00612D4C" w:rsidRPr="001F64E4" w:rsidRDefault="00826DE6">
      <w:pPr>
        <w:spacing w:before="120" w:after="120"/>
        <w:ind w:left="1134"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IV</w:t>
      </w:r>
      <w:r w:rsidRPr="001F64E4">
        <w:rPr>
          <w:rFonts w:ascii="Palatino Linotype" w:eastAsia="Palatino Linotype" w:hAnsi="Palatino Linotype" w:cs="Palatino Linotype"/>
          <w:i/>
          <w:iCs/>
        </w:rPr>
        <w:t xml:space="preserve">. No se actualice alguna de las causales del recurso de revisión previstas en el artículo 129 de la presente Ley. </w:t>
      </w:r>
    </w:p>
    <w:p w:rsidR="00612D4C" w:rsidRPr="001F64E4" w:rsidRDefault="00826DE6">
      <w:pPr>
        <w:spacing w:before="120" w:after="120"/>
        <w:ind w:left="1134"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V.</w:t>
      </w:r>
      <w:r w:rsidRPr="001F64E4">
        <w:rPr>
          <w:rFonts w:ascii="Palatino Linotype" w:eastAsia="Palatino Linotype" w:hAnsi="Palatino Linotype" w:cs="Palatino Linotype"/>
          <w:i/>
          <w:iCs/>
        </w:rPr>
        <w:t xml:space="preserve"> Se esté tramitando ante los tribunales competentes algún recurso o medio de defensa interpuesto por el recurrente, o en su caso, por el tercero interesado, en contra del acto recurrido ante el Instituto. </w:t>
      </w:r>
    </w:p>
    <w:p w:rsidR="00612D4C" w:rsidRPr="001F64E4" w:rsidRDefault="00826DE6">
      <w:pPr>
        <w:spacing w:before="120" w:after="120"/>
        <w:ind w:left="1134"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lastRenderedPageBreak/>
        <w:t>VI.</w:t>
      </w:r>
      <w:r w:rsidRPr="001F64E4">
        <w:rPr>
          <w:rFonts w:ascii="Palatino Linotype" w:eastAsia="Palatino Linotype" w:hAnsi="Palatino Linotype" w:cs="Palatino Linotype"/>
          <w:i/>
          <w:iCs/>
        </w:rPr>
        <w:t xml:space="preserve"> El recurrente modifique o amplíe su petición en el recurso de revisión, únicamente respecto de los nuevos contenidos. </w:t>
      </w:r>
    </w:p>
    <w:p w:rsidR="00612D4C" w:rsidRPr="001F64E4" w:rsidRDefault="00826DE6">
      <w:pPr>
        <w:spacing w:before="120" w:after="120"/>
        <w:ind w:left="1134" w:right="902"/>
        <w:jc w:val="both"/>
        <w:rPr>
          <w:rFonts w:ascii="Palatino Linotype" w:eastAsia="Palatino Linotype" w:hAnsi="Palatino Linotype" w:cs="Palatino Linotype"/>
          <w:b/>
          <w:bCs/>
          <w:i/>
          <w:iCs/>
        </w:rPr>
      </w:pPr>
      <w:r w:rsidRPr="001F64E4">
        <w:rPr>
          <w:rFonts w:ascii="Palatino Linotype" w:eastAsia="Palatino Linotype" w:hAnsi="Palatino Linotype" w:cs="Palatino Linotype"/>
          <w:b/>
          <w:bCs/>
          <w:i/>
          <w:iCs/>
        </w:rPr>
        <w:t xml:space="preserve">VII. El recurrente no acredite interés jurídico. </w:t>
      </w:r>
    </w:p>
    <w:p w:rsidR="00612D4C" w:rsidRPr="001F64E4" w:rsidRDefault="00826DE6">
      <w:pPr>
        <w:spacing w:before="120" w:after="120"/>
        <w:ind w:left="851" w:right="902"/>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El desechamiento no implica la preclusión del derecho del titular para interponer ante el Instituto un nuevo recurso de revisión.”</w:t>
      </w:r>
    </w:p>
    <w:p w:rsidR="00612D4C" w:rsidRPr="001F64E4" w:rsidRDefault="00612D4C">
      <w:pPr>
        <w:spacing w:before="120" w:after="120"/>
        <w:ind w:right="902"/>
        <w:jc w:val="both"/>
        <w:rPr>
          <w:rFonts w:ascii="Palatino Linotype" w:eastAsia="Palatino Linotype" w:hAnsi="Palatino Linotype" w:cs="Palatino Linotype"/>
          <w:i/>
          <w:iCs/>
        </w:rPr>
      </w:pPr>
    </w:p>
    <w:p w:rsidR="00612D4C" w:rsidRPr="001F64E4" w:rsidRDefault="00826DE6">
      <w:pPr>
        <w:numPr>
          <w:ilvl w:val="0"/>
          <w:numId w:val="3"/>
        </w:numPr>
        <w:spacing w:before="240" w:after="240" w:line="360" w:lineRule="auto"/>
        <w:ind w:left="0" w:right="49" w:firstLine="0"/>
        <w:jc w:val="both"/>
        <w:rPr>
          <w:rFonts w:ascii="Palatino Linotype" w:eastAsia="Palatino Linotype" w:hAnsi="Palatino Linotype" w:cs="Palatino Linotype"/>
          <w:i/>
          <w:iCs/>
        </w:rPr>
      </w:pPr>
      <w:r w:rsidRPr="001F64E4">
        <w:rPr>
          <w:rFonts w:ascii="Palatino Linotype" w:eastAsia="Palatino Linotype" w:hAnsi="Palatino Linotype" w:cs="Palatino Linotype"/>
        </w:rPr>
        <w:t xml:space="preserve">En este tenor, es necesario recordar que la parte </w:t>
      </w:r>
      <w:r w:rsidRPr="001F64E4">
        <w:rPr>
          <w:rFonts w:ascii="Palatino Linotype" w:eastAsia="Palatino Linotype" w:hAnsi="Palatino Linotype" w:cs="Palatino Linotype"/>
          <w:b/>
          <w:bCs/>
        </w:rPr>
        <w:t xml:space="preserve">RECURRENTE </w:t>
      </w:r>
      <w:r w:rsidRPr="001F64E4">
        <w:rPr>
          <w:rFonts w:ascii="Palatino Linotype" w:eastAsia="Palatino Linotype" w:hAnsi="Palatino Linotype" w:cs="Palatino Linotype"/>
        </w:rPr>
        <w:t>solicitó copias del expediente referido en la solicitud de información.</w:t>
      </w:r>
    </w:p>
    <w:p w:rsidR="00612D4C" w:rsidRPr="001F64E4" w:rsidRDefault="00826DE6">
      <w:pPr>
        <w:numPr>
          <w:ilvl w:val="0"/>
          <w:numId w:val="3"/>
        </w:numPr>
        <w:spacing w:before="240" w:after="240" w:line="360" w:lineRule="auto"/>
        <w:ind w:left="0" w:right="49" w:firstLine="0"/>
        <w:jc w:val="both"/>
        <w:rPr>
          <w:rFonts w:ascii="Palatino Linotype" w:eastAsia="Palatino Linotype" w:hAnsi="Palatino Linotype" w:cs="Palatino Linotype"/>
          <w:i/>
          <w:iCs/>
        </w:rPr>
      </w:pPr>
      <w:r w:rsidRPr="001F64E4">
        <w:rPr>
          <w:rFonts w:ascii="Palatino Linotype" w:eastAsia="Palatino Linotype" w:hAnsi="Palatino Linotype" w:cs="Palatino Linotype"/>
        </w:rPr>
        <w:t xml:space="preserve">En respuesta a la solicitud de acceso a datos personales, el </w:t>
      </w:r>
      <w:r w:rsidRPr="001F64E4">
        <w:rPr>
          <w:rFonts w:ascii="Palatino Linotype" w:eastAsia="Palatino Linotype" w:hAnsi="Palatino Linotype" w:cs="Palatino Linotype"/>
          <w:b/>
          <w:bCs/>
        </w:rPr>
        <w:t xml:space="preserve">SUJETO OBLIGADO </w:t>
      </w:r>
      <w:r w:rsidRPr="001F64E4">
        <w:rPr>
          <w:rFonts w:ascii="Palatino Linotype" w:eastAsia="Palatino Linotype" w:hAnsi="Palatino Linotype" w:cs="Palatino Linotype"/>
        </w:rPr>
        <w:t xml:space="preserve">informó que podía hacer entrega de la información solicitada por medio de la consulta directa, derivado de la integración de las constancias que integran el expediente. </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Ahora bien, es importante insistir que para el ejercicio del derecho de acceso a datos personales es necesario que el titular o el apoderado legal de una persona jurídico colectiva,  acredite su identidad y en de ser el caso cuando se pretenda acceder a través de un representante; </w:t>
      </w:r>
      <w:r w:rsidRPr="001F64E4">
        <w:rPr>
          <w:rFonts w:ascii="Palatino Linotype" w:eastAsia="Palatino Linotype" w:hAnsi="Palatino Linotype" w:cs="Palatino Linotype"/>
        </w:rPr>
        <w:t>éste</w:t>
      </w:r>
      <w:r w:rsidRPr="001F64E4">
        <w:rPr>
          <w:rFonts w:ascii="Palatino Linotype" w:eastAsia="Palatino Linotype" w:hAnsi="Palatino Linotype" w:cs="Palatino Linotype"/>
          <w:color w:val="000000"/>
        </w:rPr>
        <w:t xml:space="preserve">, deberá </w:t>
      </w:r>
      <w:r w:rsidRPr="001F64E4">
        <w:rPr>
          <w:rFonts w:ascii="Palatino Linotype" w:eastAsia="Palatino Linotype" w:hAnsi="Palatino Linotype" w:cs="Palatino Linotype"/>
          <w:b/>
          <w:bCs/>
          <w:color w:val="000000"/>
        </w:rPr>
        <w:t>acreditar la identidad</w:t>
      </w:r>
      <w:r w:rsidRPr="001F64E4">
        <w:rPr>
          <w:rFonts w:ascii="Palatino Linotype" w:eastAsia="Palatino Linotype" w:hAnsi="Palatino Linotype" w:cs="Palatino Linotype"/>
          <w:color w:val="000000"/>
        </w:rPr>
        <w:t xml:space="preserve">; requisito dispuesto en el artículo 106 de la </w:t>
      </w:r>
      <w:r w:rsidRPr="001F64E4">
        <w:rPr>
          <w:rFonts w:ascii="Palatino Linotype" w:eastAsia="Palatino Linotype" w:hAnsi="Palatino Linotype" w:cs="Palatino Linotype"/>
          <w:b/>
          <w:bCs/>
          <w:color w:val="000000"/>
        </w:rPr>
        <w:t xml:space="preserve">Ley de Protección de Datos Personales en Posesión de Sujeto Obligados del Estado de México y Municipios, </w:t>
      </w:r>
      <w:r w:rsidRPr="001F64E4">
        <w:rPr>
          <w:rFonts w:ascii="Palatino Linotype" w:eastAsia="Palatino Linotype" w:hAnsi="Palatino Linotype" w:cs="Palatino Linotype"/>
          <w:color w:val="000000"/>
        </w:rPr>
        <w:t xml:space="preserve">que es del texto literal siguiente. </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1F64E4">
        <w:rPr>
          <w:rFonts w:ascii="Palatino Linotype" w:eastAsia="Palatino Linotype" w:hAnsi="Palatino Linotype" w:cs="Palatino Linotype"/>
          <w:i/>
          <w:iCs/>
          <w:color w:val="000000"/>
        </w:rPr>
        <w:t>“</w:t>
      </w:r>
      <w:r w:rsidRPr="001F64E4">
        <w:rPr>
          <w:rFonts w:ascii="Palatino Linotype" w:eastAsia="Palatino Linotype" w:hAnsi="Palatino Linotype" w:cs="Palatino Linotype"/>
          <w:b/>
          <w:bCs/>
          <w:i/>
          <w:iCs/>
          <w:color w:val="000000"/>
        </w:rPr>
        <w:t>Artículo 106</w:t>
      </w:r>
      <w:r w:rsidRPr="001F64E4">
        <w:rPr>
          <w:rFonts w:ascii="Palatino Linotype" w:eastAsia="Palatino Linotype" w:hAnsi="Palatino Linotype" w:cs="Palatino Linotype"/>
          <w:i/>
          <w:iCs/>
          <w:color w:val="000000"/>
        </w:rPr>
        <w:t xml:space="preserve">. La recepción y trámite de las solicitudes para el ejercicio de los derechos ARCO, de portabilidad de los datos y limitación del tratamiento, se sujetará al procedimiento establecido en el presente Título y demás disposiciones que resulten aplicables en la materia. </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1F64E4">
        <w:rPr>
          <w:rFonts w:ascii="Palatino Linotype" w:eastAsia="Palatino Linotype" w:hAnsi="Palatino Linotype" w:cs="Palatino Linotype"/>
          <w:b/>
          <w:bCs/>
          <w:i/>
          <w:iCs/>
          <w:color w:val="000000"/>
          <w:u w:val="single"/>
        </w:rPr>
        <w:t>Los titulares o sus representantes legales podrán solicitar</w:t>
      </w:r>
      <w:r w:rsidRPr="001F64E4">
        <w:rPr>
          <w:rFonts w:ascii="Palatino Linotype" w:eastAsia="Palatino Linotype" w:hAnsi="Palatino Linotype" w:cs="Palatino Linotype"/>
          <w:i/>
          <w:iCs/>
          <w:color w:val="000000"/>
        </w:rPr>
        <w:t xml:space="preserve"> a través de la Unidad de Transparencia, en términos de lo que establezca la presente Ley, que se </w:t>
      </w:r>
      <w:r w:rsidRPr="001F64E4">
        <w:rPr>
          <w:rFonts w:ascii="Palatino Linotype" w:eastAsia="Palatino Linotype" w:hAnsi="Palatino Linotype" w:cs="Palatino Linotype"/>
          <w:b/>
          <w:bCs/>
          <w:i/>
          <w:iCs/>
          <w:color w:val="000000"/>
          <w:u w:val="single"/>
        </w:rPr>
        <w:t>les otorgue acceso</w:t>
      </w:r>
      <w:r w:rsidRPr="001F64E4">
        <w:rPr>
          <w:rFonts w:ascii="Palatino Linotype" w:eastAsia="Palatino Linotype" w:hAnsi="Palatino Linotype" w:cs="Palatino Linotype"/>
          <w:i/>
          <w:iCs/>
          <w:color w:val="000000"/>
        </w:rPr>
        <w:t xml:space="preserve">, rectifique, cancele, o que haga efectivo su derecho de oposición, respecto de los datos personales que le conciernan y que obren en un sistema de datos personales y base de datos en posesión de los sujetos obligados. </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1F64E4">
        <w:rPr>
          <w:rFonts w:ascii="Palatino Linotype" w:eastAsia="Palatino Linotype" w:hAnsi="Palatino Linotype" w:cs="Palatino Linotype"/>
          <w:b/>
          <w:bCs/>
          <w:i/>
          <w:iCs/>
          <w:color w:val="000000"/>
          <w:u w:val="single"/>
        </w:rPr>
        <w:lastRenderedPageBreak/>
        <w:t xml:space="preserve">Para el ejercicio de los derechos ARCO solicitados será necesario acreditar la identidad de titular y en su caso la identidad </w:t>
      </w:r>
      <w:r w:rsidRPr="001F64E4">
        <w:rPr>
          <w:rFonts w:ascii="Palatino Linotype" w:eastAsia="Palatino Linotype" w:hAnsi="Palatino Linotype" w:cs="Palatino Linotype"/>
          <w:i/>
          <w:iCs/>
          <w:color w:val="000000"/>
        </w:rPr>
        <w:t>y personalidad con la que actúe el representante…”</w:t>
      </w:r>
    </w:p>
    <w:p w:rsidR="00612D4C" w:rsidRPr="001F64E4" w:rsidRDefault="00612D4C">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Ordenamiento</w:t>
      </w:r>
      <w:r w:rsidRPr="001F64E4">
        <w:rPr>
          <w:rFonts w:ascii="Palatino Linotype" w:eastAsia="Palatino Linotype" w:hAnsi="Palatino Linotype" w:cs="Palatino Linotype"/>
          <w:color w:val="000000"/>
        </w:rPr>
        <w:t xml:space="preserve"> jurídico del que se desprende que para el ejercicio de cualquiera de los derechos ARCO, el titular o su representante </w:t>
      </w:r>
      <w:r w:rsidRPr="001F64E4">
        <w:rPr>
          <w:rFonts w:ascii="Palatino Linotype" w:eastAsia="Palatino Linotype" w:hAnsi="Palatino Linotype" w:cs="Palatino Linotype"/>
          <w:b/>
          <w:bCs/>
          <w:color w:val="000000"/>
        </w:rPr>
        <w:t>deberán acreditar su identidad</w:t>
      </w:r>
      <w:r w:rsidRPr="001F64E4">
        <w:rPr>
          <w:rFonts w:ascii="Palatino Linotype" w:eastAsia="Palatino Linotype" w:hAnsi="Palatino Linotype" w:cs="Palatino Linotype"/>
        </w:rPr>
        <w:t>.</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Los </w:t>
      </w:r>
      <w:r w:rsidRPr="001F64E4">
        <w:rPr>
          <w:rFonts w:ascii="Palatino Linotype" w:eastAsia="Palatino Linotype" w:hAnsi="Palatino Linotype" w:cs="Palatino Linotype"/>
        </w:rPr>
        <w:t>medios</w:t>
      </w:r>
      <w:r w:rsidRPr="001F64E4">
        <w:rPr>
          <w:rFonts w:ascii="Palatino Linotype" w:eastAsia="Palatino Linotype" w:hAnsi="Palatino Linotype" w:cs="Palatino Linotype"/>
          <w:color w:val="000000"/>
        </w:rPr>
        <w:t xml:space="preserve"> para acreditar la identidad de las personas físicas, se encuentran previstos en los artículos 120 de la Ley de Protección de Datos Personales en Posesión de Sujetos Obligados del Estado de México y Municipios; 76 de los Lineamientos Generales de Protección de Datos Personales para el Sector Público; y 2.5 Bis del Código Civil del Estado de México</w:t>
      </w:r>
      <w:r w:rsidRPr="001F64E4">
        <w:rPr>
          <w:rFonts w:ascii="Palatino Linotype" w:eastAsia="Palatino Linotype" w:hAnsi="Palatino Linotype" w:cs="Palatino Linotype"/>
          <w:b/>
          <w:bCs/>
          <w:color w:val="000000"/>
        </w:rPr>
        <w:t xml:space="preserve">, </w:t>
      </w:r>
      <w:r w:rsidRPr="001F64E4">
        <w:rPr>
          <w:rFonts w:ascii="Palatino Linotype" w:eastAsia="Palatino Linotype" w:hAnsi="Palatino Linotype" w:cs="Palatino Linotype"/>
          <w:color w:val="000000"/>
        </w:rPr>
        <w:t> y  siendo estos:</w:t>
      </w:r>
    </w:p>
    <w:p w:rsidR="00612D4C" w:rsidRPr="001F64E4" w:rsidRDefault="00826DE6">
      <w:pPr>
        <w:pBdr>
          <w:top w:val="nil"/>
          <w:left w:val="nil"/>
          <w:bottom w:val="nil"/>
          <w:right w:val="nil"/>
          <w:between w:val="nil"/>
        </w:pBdr>
        <w:spacing w:before="240" w:after="240" w:line="360" w:lineRule="auto"/>
        <w:ind w:left="426"/>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a. Identificación oficial, como Credencial para votar, pasaporte, matrícula consular mexicana, carta de naturalización, cédula profesional o de pasante, etc.</w:t>
      </w:r>
    </w:p>
    <w:p w:rsidR="00612D4C" w:rsidRPr="001F64E4" w:rsidRDefault="00826DE6">
      <w:pPr>
        <w:pBdr>
          <w:top w:val="nil"/>
          <w:left w:val="nil"/>
          <w:bottom w:val="nil"/>
          <w:right w:val="nil"/>
          <w:between w:val="nil"/>
        </w:pBdr>
        <w:spacing w:before="240" w:after="240" w:line="360" w:lineRule="auto"/>
        <w:ind w:left="426"/>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b. Credenciales expedidas por autoridades educativas que cuenten con autorización o con reconocimiento de validez oficial o instituciones de seguridad social, licencia para conducir, cartilla del servicio militar nacional, etc.</w:t>
      </w:r>
    </w:p>
    <w:p w:rsidR="00612D4C" w:rsidRPr="001F64E4" w:rsidRDefault="00826DE6">
      <w:pPr>
        <w:pBdr>
          <w:top w:val="nil"/>
          <w:left w:val="nil"/>
          <w:bottom w:val="nil"/>
          <w:right w:val="nil"/>
          <w:between w:val="nil"/>
        </w:pBdr>
        <w:spacing w:before="240" w:after="240" w:line="360" w:lineRule="auto"/>
        <w:ind w:left="426"/>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c. Firma electrónica avanzada o del instrumento electrónico que lo sustituya</w:t>
      </w:r>
    </w:p>
    <w:p w:rsidR="00612D4C" w:rsidRPr="001F64E4" w:rsidRDefault="00826DE6">
      <w:pPr>
        <w:pBdr>
          <w:top w:val="nil"/>
          <w:left w:val="nil"/>
          <w:bottom w:val="nil"/>
          <w:right w:val="nil"/>
          <w:between w:val="nil"/>
        </w:pBdr>
        <w:spacing w:before="240" w:after="240" w:line="360" w:lineRule="auto"/>
        <w:ind w:left="426"/>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d. Mecanismos de autenticación autorizados por el Instituto o el Instituto Nacional publicados por acuerdo general en el periódico oficial “Gaceta del Gobierno” o en el Diario Oficial de la Federación, siempre y cuando permitan de forma inequívoca la acreditación de la identidad del titular.</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lastRenderedPageBreak/>
        <w:t xml:space="preserve">Es de </w:t>
      </w:r>
      <w:r w:rsidRPr="001F64E4">
        <w:rPr>
          <w:rFonts w:ascii="Palatino Linotype" w:eastAsia="Palatino Linotype" w:hAnsi="Palatino Linotype" w:cs="Palatino Linotype"/>
        </w:rPr>
        <w:t>señalar</w:t>
      </w:r>
      <w:r w:rsidRPr="001F64E4">
        <w:rPr>
          <w:rFonts w:ascii="Palatino Linotype" w:eastAsia="Palatino Linotype" w:hAnsi="Palatino Linotype" w:cs="Palatino Linotype"/>
          <w:color w:val="000000"/>
        </w:rPr>
        <w:t xml:space="preserve">, que de las constancias que integran el expediente del recurso de revisión de mérito, no se advierten documentos que acrediten que los datos a los que se presente acceder correspondan al solicitante ya que no adjuntó algún documento que permitiera identificar si se trata del titular o tercero interesado en el juicio referido en la solicitud de información que acredite su participación en el mismo. </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Situación por la cual,  una vez admitido el recurso de revisión y al advertirse que la solicitud de trata del ejercicio del derecho de acceso a datos personales, mediante acuerdo de fecha </w:t>
      </w:r>
      <w:r w:rsidRPr="001F64E4">
        <w:rPr>
          <w:rFonts w:ascii="Palatino Linotype" w:eastAsia="Palatino Linotype" w:hAnsi="Palatino Linotype" w:cs="Palatino Linotype"/>
          <w:b/>
          <w:bCs/>
          <w:color w:val="000000"/>
        </w:rPr>
        <w:t>trece de enero de dos mil veintiséis</w:t>
      </w:r>
      <w:r w:rsidRPr="001F64E4">
        <w:rPr>
          <w:rFonts w:ascii="Palatino Linotype" w:eastAsia="Palatino Linotype" w:hAnsi="Palatino Linotype" w:cs="Palatino Linotype"/>
        </w:rPr>
        <w:t xml:space="preserve">, </w:t>
      </w:r>
      <w:r w:rsidRPr="001F64E4">
        <w:rPr>
          <w:rFonts w:ascii="Palatino Linotype" w:eastAsia="Palatino Linotype" w:hAnsi="Palatino Linotype" w:cs="Palatino Linotype"/>
          <w:color w:val="FF0000"/>
        </w:rPr>
        <w:t xml:space="preserve"> </w:t>
      </w:r>
      <w:r w:rsidRPr="001F64E4">
        <w:rPr>
          <w:rFonts w:ascii="Palatino Linotype" w:eastAsia="Palatino Linotype" w:hAnsi="Palatino Linotype" w:cs="Palatino Linotype"/>
          <w:color w:val="000000"/>
        </w:rPr>
        <w:t xml:space="preserve">se procedió a reconducir la vía para resolver el asunto, ya que no es posible darle el tratamiento de acceso a información pública, toda vez que se trata de información concerniente a un juicio del cual se debe de acreditar que la </w:t>
      </w:r>
      <w:r w:rsidRPr="001F64E4">
        <w:rPr>
          <w:rFonts w:ascii="Palatino Linotype" w:eastAsia="Palatino Linotype" w:hAnsi="Palatino Linotype" w:cs="Palatino Linotype"/>
          <w:b/>
          <w:bCs/>
          <w:color w:val="000000"/>
        </w:rPr>
        <w:t xml:space="preserve">RECURRENTE </w:t>
      </w:r>
      <w:r w:rsidRPr="001F64E4">
        <w:rPr>
          <w:rFonts w:ascii="Palatino Linotype" w:eastAsia="Palatino Linotype" w:hAnsi="Palatino Linotype" w:cs="Palatino Linotype"/>
          <w:color w:val="000000"/>
        </w:rPr>
        <w:t xml:space="preserve">es titular en el expediente y su interés en el mismo.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En dicho acuerdo se previno a la parte </w:t>
      </w:r>
      <w:r w:rsidRPr="001F64E4">
        <w:rPr>
          <w:rFonts w:ascii="Palatino Linotype" w:eastAsia="Palatino Linotype" w:hAnsi="Palatino Linotype" w:cs="Palatino Linotype"/>
          <w:b/>
          <w:bCs/>
          <w:color w:val="000000"/>
        </w:rPr>
        <w:t>RECURRENTE</w:t>
      </w:r>
      <w:r w:rsidRPr="001F64E4">
        <w:rPr>
          <w:rFonts w:ascii="Palatino Linotype" w:eastAsia="Palatino Linotype" w:hAnsi="Palatino Linotype" w:cs="Palatino Linotype"/>
          <w:color w:val="000000"/>
        </w:rPr>
        <w:t xml:space="preserve">, a efecto de que subsanara la omisión de acreditar su identidad como titular de los datos personales a los cuales pretende acceder y </w:t>
      </w:r>
      <w:r w:rsidRPr="001F64E4">
        <w:rPr>
          <w:rFonts w:ascii="Palatino Linotype" w:eastAsia="Palatino Linotype" w:hAnsi="Palatino Linotype" w:cs="Palatino Linotype"/>
        </w:rPr>
        <w:t xml:space="preserve">acreditara </w:t>
      </w:r>
      <w:r w:rsidRPr="001F64E4">
        <w:rPr>
          <w:rFonts w:ascii="Palatino Linotype" w:eastAsia="Palatino Linotype" w:hAnsi="Palatino Linotype" w:cs="Palatino Linotype"/>
          <w:color w:val="000000"/>
        </w:rPr>
        <w:t>que la información a la que desea acceder, contiene sus datos personales o su interés.</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De lo anterior, se debe de puntualizar que al momento de ingresar </w:t>
      </w:r>
      <w:r w:rsidRPr="001F64E4">
        <w:rPr>
          <w:rFonts w:ascii="Palatino Linotype" w:eastAsia="Palatino Linotype" w:hAnsi="Palatino Linotype" w:cs="Palatino Linotype"/>
        </w:rPr>
        <w:t>señaló</w:t>
      </w:r>
      <w:r w:rsidRPr="001F64E4">
        <w:rPr>
          <w:rFonts w:ascii="Palatino Linotype" w:eastAsia="Palatino Linotype" w:hAnsi="Palatino Linotype" w:cs="Palatino Linotype"/>
          <w:color w:val="000000"/>
        </w:rPr>
        <w:t xml:space="preserve"> el nombre del denunciante, mismo que aparece en el tablero de SAIMEX, situación por la cual se solicitó que mediante la reconducción de vía acreditara la identidad en el expediente solicitado, situación que no fue subsanada como </w:t>
      </w:r>
      <w:r w:rsidRPr="001F64E4">
        <w:rPr>
          <w:rFonts w:ascii="Palatino Linotype" w:eastAsia="Palatino Linotype" w:hAnsi="Palatino Linotype" w:cs="Palatino Linotype"/>
        </w:rPr>
        <w:t>quedó</w:t>
      </w:r>
      <w:r w:rsidRPr="001F64E4">
        <w:rPr>
          <w:rFonts w:ascii="Palatino Linotype" w:eastAsia="Palatino Linotype" w:hAnsi="Palatino Linotype" w:cs="Palatino Linotype"/>
          <w:color w:val="000000"/>
        </w:rPr>
        <w:t xml:space="preserve"> establecido en párrafos anteriores.</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bookmarkStart w:id="2" w:name="_heading=h.ynbxdj2ed09i" w:colFirst="0" w:colLast="0"/>
      <w:bookmarkEnd w:id="2"/>
      <w:r w:rsidRPr="001F64E4">
        <w:rPr>
          <w:rFonts w:ascii="Palatino Linotype" w:eastAsia="Palatino Linotype" w:hAnsi="Palatino Linotype" w:cs="Palatino Linotype"/>
          <w:color w:val="000000"/>
        </w:rPr>
        <w:lastRenderedPageBreak/>
        <w:t xml:space="preserve">En ese contexto, cabe hacer un paréntesis y referir que si bien la ley de la materia establece de manera puntual que para el ejercicio de los derechos ARCO solicitados </w:t>
      </w:r>
      <w:r w:rsidRPr="001F64E4">
        <w:rPr>
          <w:rFonts w:ascii="Palatino Linotype" w:eastAsia="Palatino Linotype" w:hAnsi="Palatino Linotype" w:cs="Palatino Linotype"/>
          <w:b/>
          <w:bCs/>
          <w:color w:val="000000"/>
          <w:u w:val="single"/>
        </w:rPr>
        <w:t>será necesario acreditar la identidad del titula</w:t>
      </w:r>
      <w:r w:rsidRPr="001F64E4">
        <w:rPr>
          <w:rFonts w:ascii="Palatino Linotype" w:eastAsia="Palatino Linotype" w:hAnsi="Palatino Linotype" w:cs="Palatino Linotype"/>
          <w:b/>
          <w:bCs/>
          <w:color w:val="000000"/>
        </w:rPr>
        <w:t xml:space="preserve">r </w:t>
      </w:r>
      <w:r w:rsidRPr="001F64E4">
        <w:rPr>
          <w:rFonts w:ascii="Palatino Linotype" w:eastAsia="Palatino Linotype" w:hAnsi="Palatino Linotype" w:cs="Palatino Linotype"/>
          <w:color w:val="000000"/>
        </w:rPr>
        <w:t>y en su caso la identidad y personalidad con la que actúe el representante y que en</w:t>
      </w:r>
      <w:r w:rsidRPr="001F64E4">
        <w:rPr>
          <w:rFonts w:ascii="Palatino Linotype" w:eastAsia="Palatino Linotype" w:hAnsi="Palatino Linotype" w:cs="Palatino Linotype"/>
          <w:b/>
          <w:bCs/>
          <w:color w:val="000000"/>
          <w:u w:val="single"/>
        </w:rPr>
        <w:t xml:space="preserve"> el caso concreto no aconteció.</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rPr>
      </w:pPr>
    </w:p>
    <w:p w:rsidR="00612D4C" w:rsidRPr="001F64E4" w:rsidRDefault="00826DE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Situación por la cual se tiene que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no subsanó la prevención decretada, en el sentido que remitiera el documento que acredite que la información a la que desea acceder, contiene sus datos personales. </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rPr>
      </w:pPr>
    </w:p>
    <w:p w:rsidR="00612D4C" w:rsidRPr="001F64E4" w:rsidRDefault="00826DE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Todo lo anterior en términos de los dispuesto por el artículo 136 de la Ley de Protección de Datos Personales en Posesión de Sujetos Obligados del Estado de México y Municipios, que establece:</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b/>
          <w:bCs/>
          <w:i/>
          <w:iCs/>
          <w:color w:val="000000"/>
        </w:rPr>
      </w:pPr>
      <w:r w:rsidRPr="001F64E4">
        <w:rPr>
          <w:rFonts w:ascii="Palatino Linotype" w:eastAsia="Palatino Linotype" w:hAnsi="Palatino Linotype" w:cs="Palatino Linotype"/>
          <w:b/>
          <w:bCs/>
          <w:i/>
          <w:iCs/>
          <w:color w:val="000000"/>
        </w:rPr>
        <w:t>Prevención por la falta de requisitos en el escrito de interposición del recurso</w:t>
      </w:r>
      <w:r w:rsidRPr="001F64E4">
        <w:rPr>
          <w:rFonts w:ascii="Palatino Linotype" w:eastAsia="Palatino Linotype" w:hAnsi="Palatino Linotype" w:cs="Palatino Linotype"/>
          <w:b/>
          <w:bCs/>
          <w:i/>
          <w:iCs/>
          <w:color w:val="000000"/>
        </w:rPr>
        <w:br/>
      </w:r>
      <w:r w:rsidRPr="001F64E4">
        <w:rPr>
          <w:rFonts w:ascii="Palatino Linotype" w:eastAsia="Palatino Linotype" w:hAnsi="Palatino Linotype" w:cs="Palatino Linotype"/>
          <w:i/>
          <w:iCs/>
          <w:color w:val="000000"/>
        </w:rPr>
        <w:t xml:space="preserve">Artículo 136. Si en el escrito de interposición del recurso de revisión </w:t>
      </w:r>
      <w:r w:rsidRPr="001F64E4">
        <w:rPr>
          <w:rFonts w:ascii="Palatino Linotype" w:eastAsia="Palatino Linotype" w:hAnsi="Palatino Linotype" w:cs="Palatino Linotype"/>
          <w:b/>
          <w:bCs/>
          <w:i/>
          <w:iCs/>
          <w:color w:val="000000"/>
        </w:rPr>
        <w:t>el recurrente no cumple con alguno de los requisitos previstos en el artículo 130</w:t>
      </w:r>
      <w:r w:rsidRPr="001F64E4">
        <w:rPr>
          <w:rFonts w:ascii="Palatino Linotype" w:eastAsia="Palatino Linotype" w:hAnsi="Palatino Linotype" w:cs="Palatino Linotype"/>
          <w:i/>
          <w:iCs/>
          <w:color w:val="000000"/>
        </w:rPr>
        <w:t xml:space="preserve"> de la presente Ley y el </w:t>
      </w:r>
      <w:r w:rsidRPr="001F64E4">
        <w:rPr>
          <w:rFonts w:ascii="Palatino Linotype" w:eastAsia="Palatino Linotype" w:hAnsi="Palatino Linotype" w:cs="Palatino Linotype"/>
          <w:b/>
          <w:bCs/>
          <w:i/>
          <w:iCs/>
          <w:color w:val="000000"/>
          <w:u w:val="single"/>
        </w:rPr>
        <w:t>Instituto no cuente con elementos para subsanarlos</w:t>
      </w:r>
      <w:r w:rsidRPr="001F64E4">
        <w:rPr>
          <w:rFonts w:ascii="Palatino Linotype" w:eastAsia="Palatino Linotype" w:hAnsi="Palatino Linotype" w:cs="Palatino Linotype"/>
          <w:i/>
          <w:iCs/>
          <w:color w:val="000000"/>
        </w:rPr>
        <w:t>, deberá requerir al recurrente, po</w:t>
      </w:r>
      <w:r w:rsidRPr="001F64E4">
        <w:rPr>
          <w:rFonts w:ascii="Palatino Linotype" w:eastAsia="Palatino Linotype" w:hAnsi="Palatino Linotype" w:cs="Palatino Linotype"/>
          <w:b/>
          <w:bCs/>
          <w:i/>
          <w:iCs/>
          <w:color w:val="000000"/>
        </w:rPr>
        <w:t>r una sola ocasión, la información que subsane las omisiones en un plazo que no podrá exceder de cinco días, contados a partir del día siguiente de la presentación del escrito.</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b/>
          <w:bCs/>
          <w:i/>
          <w:iCs/>
          <w:color w:val="000000"/>
          <w:u w:val="single"/>
        </w:rPr>
      </w:pPr>
      <w:r w:rsidRPr="001F64E4">
        <w:rPr>
          <w:rFonts w:ascii="Palatino Linotype" w:eastAsia="Palatino Linotype" w:hAnsi="Palatino Linotype" w:cs="Palatino Linotype"/>
          <w:b/>
          <w:bCs/>
          <w:i/>
          <w:iCs/>
          <w:color w:val="000000"/>
        </w:rPr>
        <w:t>El recurrente contará con un plazo que no podrá exceder de cinco días</w:t>
      </w:r>
      <w:r w:rsidRPr="001F64E4">
        <w:rPr>
          <w:rFonts w:ascii="Palatino Linotype" w:eastAsia="Palatino Linotype" w:hAnsi="Palatino Linotype" w:cs="Palatino Linotype"/>
          <w:i/>
          <w:iCs/>
          <w:color w:val="000000"/>
        </w:rPr>
        <w:t xml:space="preserve">, contados a partir del día siguiente al de la notificación de la prevención, </w:t>
      </w:r>
      <w:r w:rsidRPr="001F64E4">
        <w:rPr>
          <w:rFonts w:ascii="Palatino Linotype" w:eastAsia="Palatino Linotype" w:hAnsi="Palatino Linotype" w:cs="Palatino Linotype"/>
          <w:b/>
          <w:bCs/>
          <w:i/>
          <w:iCs/>
          <w:color w:val="000000"/>
          <w:u w:val="single"/>
        </w:rPr>
        <w:t>para subsanar las omisiones, con el apercibimiento que en caso de no cumplir con el requerimiento, se desechará el recurso de revisión.</w:t>
      </w:r>
    </w:p>
    <w:p w:rsidR="00612D4C" w:rsidRPr="001F64E4" w:rsidRDefault="00826DE6">
      <w:pPr>
        <w:pBdr>
          <w:top w:val="nil"/>
          <w:left w:val="nil"/>
          <w:bottom w:val="nil"/>
          <w:right w:val="nil"/>
          <w:between w:val="nil"/>
        </w:pBdr>
        <w:ind w:left="1134" w:right="1134"/>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i/>
          <w:iCs/>
          <w:color w:val="000000"/>
        </w:rPr>
        <w:t>La prevención tendrá el efecto de interrumpir el plazo que tiene el Instituto para resolver el recurso, por lo que comenzará a computarse a partir del día siguiente a su desahogo.”</w:t>
      </w:r>
    </w:p>
    <w:p w:rsidR="00612D4C" w:rsidRPr="001F64E4" w:rsidRDefault="00612D4C">
      <w:pPr>
        <w:pBdr>
          <w:top w:val="nil"/>
          <w:left w:val="nil"/>
          <w:bottom w:val="nil"/>
          <w:right w:val="nil"/>
          <w:between w:val="nil"/>
        </w:pBdr>
        <w:ind w:left="1134" w:right="1134"/>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lastRenderedPageBreak/>
        <w:t xml:space="preserve">Del </w:t>
      </w:r>
      <w:r w:rsidRPr="001F64E4">
        <w:rPr>
          <w:rFonts w:ascii="Palatino Linotype" w:eastAsia="Palatino Linotype" w:hAnsi="Palatino Linotype" w:cs="Palatino Linotype"/>
        </w:rPr>
        <w:t>precepto</w:t>
      </w:r>
      <w:r w:rsidRPr="001F64E4">
        <w:rPr>
          <w:rFonts w:ascii="Palatino Linotype" w:eastAsia="Palatino Linotype" w:hAnsi="Palatino Linotype" w:cs="Palatino Linotype"/>
          <w:color w:val="000000"/>
        </w:rPr>
        <w:t xml:space="preserve"> jurídico de referencia, se advierte que si bien el particular no acreditó su identidad e interés jurídico como titular de los datos personales a los que pretende acceder al momento en que </w:t>
      </w:r>
      <w:r w:rsidRPr="001F64E4">
        <w:rPr>
          <w:rFonts w:ascii="Palatino Linotype" w:eastAsia="Palatino Linotype" w:hAnsi="Palatino Linotype" w:cs="Palatino Linotype"/>
        </w:rPr>
        <w:t>ingresó</w:t>
      </w:r>
      <w:r w:rsidRPr="001F64E4">
        <w:rPr>
          <w:rFonts w:ascii="Palatino Linotype" w:eastAsia="Palatino Linotype" w:hAnsi="Palatino Linotype" w:cs="Palatino Linotype"/>
          <w:color w:val="000000"/>
        </w:rPr>
        <w:t xml:space="preserve"> su solicitud, también lo es que al momento de realizar la Reconducción de vía se notificó la prevención que efectuó este Organismo Garante, para lo cual se le concedieron a la parte </w:t>
      </w:r>
      <w:r w:rsidRPr="001F64E4">
        <w:rPr>
          <w:rFonts w:ascii="Palatino Linotype" w:eastAsia="Palatino Linotype" w:hAnsi="Palatino Linotype" w:cs="Palatino Linotype"/>
          <w:b/>
          <w:bCs/>
          <w:color w:val="000000"/>
        </w:rPr>
        <w:t>RECURRENTE</w:t>
      </w:r>
      <w:r w:rsidRPr="001F64E4">
        <w:rPr>
          <w:rFonts w:ascii="Palatino Linotype" w:eastAsia="Palatino Linotype" w:hAnsi="Palatino Linotype" w:cs="Palatino Linotype"/>
          <w:color w:val="000000"/>
        </w:rPr>
        <w:t xml:space="preserve"> </w:t>
      </w:r>
      <w:r w:rsidRPr="001F64E4">
        <w:rPr>
          <w:rFonts w:ascii="Palatino Linotype" w:eastAsia="Palatino Linotype" w:hAnsi="Palatino Linotype" w:cs="Palatino Linotype"/>
          <w:b/>
          <w:bCs/>
          <w:color w:val="000000"/>
        </w:rPr>
        <w:t>cinco días hábiles</w:t>
      </w:r>
      <w:r w:rsidRPr="001F64E4">
        <w:rPr>
          <w:rFonts w:ascii="Palatino Linotype" w:eastAsia="Palatino Linotype" w:hAnsi="Palatino Linotype" w:cs="Palatino Linotype"/>
          <w:color w:val="000000"/>
        </w:rPr>
        <w:t xml:space="preserve"> posteriores a la notificación de la prevención con la finalidad que subsanara dichas omisiones.</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b/>
          <w:bCs/>
        </w:rPr>
      </w:pPr>
      <w:r w:rsidRPr="001F64E4">
        <w:rPr>
          <w:rFonts w:ascii="Palatino Linotype" w:eastAsia="Palatino Linotype" w:hAnsi="Palatino Linotype" w:cs="Palatino Linotype"/>
          <w:color w:val="000000"/>
        </w:rPr>
        <w:t xml:space="preserve">Por lo </w:t>
      </w:r>
      <w:r w:rsidRPr="001F64E4">
        <w:rPr>
          <w:rFonts w:ascii="Palatino Linotype" w:eastAsia="Palatino Linotype" w:hAnsi="Palatino Linotype" w:cs="Palatino Linotype"/>
        </w:rPr>
        <w:t>tanto</w:t>
      </w:r>
      <w:r w:rsidRPr="001F64E4">
        <w:rPr>
          <w:rFonts w:ascii="Palatino Linotype" w:eastAsia="Palatino Linotype" w:hAnsi="Palatino Linotype" w:cs="Palatino Linotype"/>
          <w:color w:val="000000"/>
        </w:rPr>
        <w:t>, siendo elementos subsanables, se admitió el recurso de revisión con el objeto de tutelar de manera más amplia el ejercicio del derecho de acceso a datos personales que prendió ejercer la persona solicitante otorgando la posibilidad, mediante acuerdo notificado en fecha veinticuatro de octubre del dos mil veinticuatro, a través del sistema SAIMEX, </w:t>
      </w:r>
      <w:r w:rsidRPr="001F64E4">
        <w:rPr>
          <w:rFonts w:ascii="Palatino Linotype" w:eastAsia="Palatino Linotype" w:hAnsi="Palatino Linotype" w:cs="Palatino Linotype"/>
          <w:b/>
          <w:bCs/>
          <w:color w:val="000000"/>
        </w:rPr>
        <w:t>para acreditar su identidad e interés jurídico.</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i/>
          <w:iCs/>
          <w:color w:val="FF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i/>
          <w:iCs/>
          <w:color w:val="000000"/>
        </w:rPr>
      </w:pPr>
      <w:r w:rsidRPr="001F64E4">
        <w:rPr>
          <w:rFonts w:ascii="Palatino Linotype" w:eastAsia="Palatino Linotype" w:hAnsi="Palatino Linotype" w:cs="Palatino Linotype"/>
          <w:color w:val="000000"/>
        </w:rPr>
        <w:t xml:space="preserve">Mediante </w:t>
      </w:r>
      <w:r w:rsidRPr="001F64E4">
        <w:rPr>
          <w:rFonts w:ascii="Palatino Linotype" w:eastAsia="Palatino Linotype" w:hAnsi="Palatino Linotype" w:cs="Palatino Linotype"/>
        </w:rPr>
        <w:t>dicho</w:t>
      </w:r>
      <w:r w:rsidRPr="001F64E4">
        <w:rPr>
          <w:rFonts w:ascii="Palatino Linotype" w:eastAsia="Palatino Linotype" w:hAnsi="Palatino Linotype" w:cs="Palatino Linotype"/>
          <w:color w:val="000000"/>
        </w:rPr>
        <w:t xml:space="preserve"> acuerdo, se le concedieron cinco días hábiles, contados del </w:t>
      </w:r>
      <w:r w:rsidRPr="001F64E4">
        <w:rPr>
          <w:rFonts w:ascii="Palatino Linotype" w:eastAsia="Palatino Linotype" w:hAnsi="Palatino Linotype" w:cs="Palatino Linotype"/>
          <w:b/>
          <w:bCs/>
          <w:color w:val="000000"/>
        </w:rPr>
        <w:t>catorce al veinte de enero de dos mil veintiséis</w:t>
      </w:r>
      <w:r w:rsidRPr="001F64E4">
        <w:rPr>
          <w:rFonts w:ascii="Palatino Linotype" w:eastAsia="Palatino Linotype" w:hAnsi="Palatino Linotype" w:cs="Palatino Linotype"/>
          <w:color w:val="000000"/>
        </w:rPr>
        <w:t xml:space="preserve">; con la finalidad de que subsanara la omisión de acreditar su identidad e interés jurídico; no obstante, de las constancias que obran en expediente electrónico, se desprende que la parte </w:t>
      </w:r>
      <w:r w:rsidRPr="001F64E4">
        <w:rPr>
          <w:rFonts w:ascii="Palatino Linotype" w:eastAsia="Palatino Linotype" w:hAnsi="Palatino Linotype" w:cs="Palatino Linotype"/>
          <w:b/>
          <w:bCs/>
          <w:color w:val="000000"/>
        </w:rPr>
        <w:t>RECURRENTE</w:t>
      </w:r>
      <w:r w:rsidRPr="001F64E4">
        <w:rPr>
          <w:rFonts w:ascii="Palatino Linotype" w:eastAsia="Palatino Linotype" w:hAnsi="Palatino Linotype" w:cs="Palatino Linotype"/>
          <w:color w:val="000000"/>
        </w:rPr>
        <w:t xml:space="preserve"> no atendió las prevenciones en el plazo establecido para tal efecto,  por tanto al no haber exhibido los documentos mediante los cuales subsanara las omisiones referidas, subsiste el incumplimiento al requisito establecido en el artículo 106, párrafo tercero de </w:t>
      </w:r>
      <w:r w:rsidRPr="001F64E4">
        <w:rPr>
          <w:rFonts w:ascii="Palatino Linotype" w:eastAsia="Palatino Linotype" w:hAnsi="Palatino Linotype" w:cs="Palatino Linotype"/>
          <w:b/>
          <w:bCs/>
          <w:color w:val="000000"/>
        </w:rPr>
        <w:t xml:space="preserve">Ley de Protección de Datos Personales en Posesión de Sujeto Obligados del Estado de México y Municipios, </w:t>
      </w:r>
      <w:r w:rsidRPr="001F64E4">
        <w:rPr>
          <w:rFonts w:ascii="Palatino Linotype" w:eastAsia="Palatino Linotype" w:hAnsi="Palatino Linotype" w:cs="Palatino Linotype"/>
          <w:color w:val="000000"/>
        </w:rPr>
        <w:t>el cual claramente establece que para el ejercicio de los derechos ARCO será necesario acreditar la identidad del titular y en su caso la identidad y personalidad con la que actúe el representante.</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lastRenderedPageBreak/>
        <w:t>Por consiguiente, se colige que se está ante la presencia de la causal de sobreseimiento establecida en el artículo 139, fracción III, de la Ley de Protección de Datos Personales en Posesión de Sujetos Obligados del Estado de México y Municipios, en correlación con las causales de improcedencia contempladas en el artículo 138,  fracción II y VII del mismo ordenamiento legal, a saber:</w:t>
      </w:r>
    </w:p>
    <w:p w:rsidR="00612D4C" w:rsidRPr="001F64E4" w:rsidRDefault="00826DE6">
      <w:pPr>
        <w:tabs>
          <w:tab w:val="left" w:pos="7938"/>
        </w:tabs>
        <w:spacing w:before="120" w:after="120"/>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“Artículo 138</w:t>
      </w:r>
      <w:r w:rsidRPr="001F64E4">
        <w:rPr>
          <w:rFonts w:ascii="Palatino Linotype" w:eastAsia="Palatino Linotype" w:hAnsi="Palatino Linotype" w:cs="Palatino Linotype"/>
          <w:i/>
          <w:iCs/>
        </w:rPr>
        <w:t>. El recurso de revisión podrá ser desechado por improcedente cuando:</w:t>
      </w:r>
    </w:p>
    <w:p w:rsidR="00612D4C" w:rsidRPr="001F64E4" w:rsidRDefault="00826DE6">
      <w:pPr>
        <w:pBdr>
          <w:top w:val="nil"/>
          <w:left w:val="nil"/>
          <w:bottom w:val="nil"/>
          <w:right w:val="nil"/>
          <w:between w:val="nil"/>
        </w:pBdr>
        <w:spacing w:before="120" w:after="120"/>
        <w:ind w:left="1134" w:right="1134"/>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b/>
          <w:bCs/>
          <w:i/>
          <w:iCs/>
          <w:color w:val="000000"/>
          <w:u w:val="single"/>
        </w:rPr>
        <w:t>II. El titular o su representante no acrediten debidamente su identidad y personalidad de este último.</w:t>
      </w:r>
    </w:p>
    <w:p w:rsidR="00612D4C" w:rsidRPr="001F64E4" w:rsidRDefault="00826DE6">
      <w:pPr>
        <w:tabs>
          <w:tab w:val="left" w:pos="7938"/>
        </w:tabs>
        <w:spacing w:before="120" w:after="120"/>
        <w:ind w:left="1134" w:right="1134"/>
        <w:jc w:val="both"/>
        <w:rPr>
          <w:rFonts w:ascii="Palatino Linotype" w:eastAsia="Palatino Linotype" w:hAnsi="Palatino Linotype" w:cs="Palatino Linotype"/>
          <w:b/>
          <w:bCs/>
          <w:i/>
          <w:iCs/>
          <w:u w:val="single"/>
        </w:rPr>
      </w:pPr>
      <w:r w:rsidRPr="001F64E4">
        <w:rPr>
          <w:rFonts w:ascii="Palatino Linotype" w:eastAsia="Palatino Linotype" w:hAnsi="Palatino Linotype" w:cs="Palatino Linotype"/>
          <w:b/>
          <w:bCs/>
          <w:i/>
          <w:iCs/>
          <w:u w:val="single"/>
        </w:rPr>
        <w:t>VII. El recurrente no acredite interés jurídico</w:t>
      </w:r>
    </w:p>
    <w:p w:rsidR="00612D4C" w:rsidRPr="001F64E4" w:rsidRDefault="00826DE6">
      <w:pPr>
        <w:widowControl w:val="0"/>
        <w:pBdr>
          <w:top w:val="nil"/>
          <w:left w:val="nil"/>
          <w:bottom w:val="nil"/>
          <w:right w:val="nil"/>
          <w:between w:val="nil"/>
        </w:pBdr>
        <w:tabs>
          <w:tab w:val="left" w:pos="7938"/>
        </w:tabs>
        <w:spacing w:before="120" w:after="120"/>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Artículo 139</w:t>
      </w:r>
      <w:r w:rsidRPr="001F64E4">
        <w:rPr>
          <w:rFonts w:ascii="Palatino Linotype" w:eastAsia="Palatino Linotype" w:hAnsi="Palatino Linotype" w:cs="Palatino Linotype"/>
          <w:i/>
          <w:iCs/>
        </w:rPr>
        <w:t xml:space="preserve">. El recurso de revisión sólo podrá ser sobreseído cuando: </w:t>
      </w:r>
    </w:p>
    <w:p w:rsidR="00612D4C" w:rsidRPr="001F64E4" w:rsidRDefault="00826DE6">
      <w:pPr>
        <w:widowControl w:val="0"/>
        <w:pBdr>
          <w:top w:val="nil"/>
          <w:left w:val="nil"/>
          <w:bottom w:val="nil"/>
          <w:right w:val="nil"/>
          <w:between w:val="nil"/>
        </w:pBdr>
        <w:spacing w:before="120" w:after="120"/>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III.</w:t>
      </w:r>
      <w:r w:rsidRPr="001F64E4">
        <w:rPr>
          <w:rFonts w:ascii="Palatino Linotype" w:eastAsia="Palatino Linotype" w:hAnsi="Palatino Linotype" w:cs="Palatino Linotype"/>
          <w:i/>
          <w:iCs/>
        </w:rPr>
        <w:t xml:space="preserve"> Admitido el recurso de revisión, se actualice alguna causal de improcedencia en los términos de la presente Ley.”</w:t>
      </w:r>
    </w:p>
    <w:p w:rsidR="00612D4C" w:rsidRPr="001F64E4" w:rsidRDefault="00612D4C">
      <w:pPr>
        <w:widowControl w:val="0"/>
        <w:pBdr>
          <w:top w:val="nil"/>
          <w:left w:val="nil"/>
          <w:bottom w:val="nil"/>
          <w:right w:val="nil"/>
          <w:between w:val="nil"/>
        </w:pBdr>
        <w:spacing w:before="120" w:after="120"/>
        <w:ind w:left="1134" w:right="1134"/>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Lo anterior, en virtud de que la parte </w:t>
      </w:r>
      <w:r w:rsidRPr="001F64E4">
        <w:rPr>
          <w:rFonts w:ascii="Palatino Linotype" w:eastAsia="Palatino Linotype" w:hAnsi="Palatino Linotype" w:cs="Palatino Linotype"/>
          <w:b/>
          <w:bCs/>
        </w:rPr>
        <w:t xml:space="preserve">RECURRENTE </w:t>
      </w:r>
      <w:r w:rsidRPr="001F64E4">
        <w:rPr>
          <w:rFonts w:ascii="Palatino Linotype" w:eastAsia="Palatino Linotype" w:hAnsi="Palatino Linotype" w:cs="Palatino Linotype"/>
        </w:rPr>
        <w:t>no acreditó su identidad e interés jurídico para acceder a los datos personales solicitados.</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Por tales circunstancias, este Instituto se encuentra impedido a entrar al estudio de fondo, en virtud que el particular fue omiso en desahogar la prevención decretadas en el acuerdo de fecha </w:t>
      </w:r>
      <w:r w:rsidRPr="001F64E4">
        <w:rPr>
          <w:rFonts w:ascii="Palatino Linotype" w:eastAsia="Palatino Linotype" w:hAnsi="Palatino Linotype" w:cs="Palatino Linotype"/>
          <w:b/>
          <w:bCs/>
        </w:rPr>
        <w:t>trece de enero de dos mil veintiséis</w:t>
      </w:r>
      <w:r w:rsidRPr="001F64E4">
        <w:rPr>
          <w:rFonts w:ascii="Palatino Linotype" w:eastAsia="Palatino Linotype" w:hAnsi="Palatino Linotype" w:cs="Palatino Linotype"/>
        </w:rPr>
        <w:t>, a fin de atender su solicitud de acceso a datos.</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En consecuencia, lo procedente es </w:t>
      </w:r>
      <w:r w:rsidRPr="001F64E4">
        <w:rPr>
          <w:rFonts w:ascii="Palatino Linotype" w:eastAsia="Palatino Linotype" w:hAnsi="Palatino Linotype" w:cs="Palatino Linotype"/>
          <w:b/>
          <w:bCs/>
        </w:rPr>
        <w:t xml:space="preserve">Sobreseer </w:t>
      </w:r>
      <w:r w:rsidRPr="001F64E4">
        <w:rPr>
          <w:rFonts w:ascii="Palatino Linotype" w:eastAsia="Palatino Linotype" w:hAnsi="Palatino Linotype" w:cs="Palatino Linotype"/>
        </w:rPr>
        <w:t>el presente recurso de revisión, de conformidad con el artículo 137, fracción I</w:t>
      </w:r>
      <w:r w:rsidRPr="001F64E4">
        <w:rPr>
          <w:rFonts w:ascii="Palatino Linotype" w:eastAsia="Palatino Linotype" w:hAnsi="Palatino Linotype" w:cs="Palatino Linotype"/>
          <w:b/>
          <w:bCs/>
        </w:rPr>
        <w:t xml:space="preserve"> </w:t>
      </w:r>
      <w:r w:rsidRPr="001F64E4">
        <w:rPr>
          <w:rFonts w:ascii="Palatino Linotype" w:eastAsia="Palatino Linotype" w:hAnsi="Palatino Linotype" w:cs="Palatino Linotype"/>
        </w:rPr>
        <w:t xml:space="preserve">de la Ley de Protección de Datos Personales en </w:t>
      </w:r>
      <w:r w:rsidRPr="001F64E4">
        <w:rPr>
          <w:rFonts w:ascii="Palatino Linotype" w:eastAsia="Palatino Linotype" w:hAnsi="Palatino Linotype" w:cs="Palatino Linotype"/>
        </w:rPr>
        <w:lastRenderedPageBreak/>
        <w:t xml:space="preserve">Posesión de Sujetos Obligados del Estado de México y Municipios, que es del tenor literal siguiente: </w:t>
      </w:r>
    </w:p>
    <w:p w:rsidR="00612D4C" w:rsidRPr="001F64E4" w:rsidRDefault="00826DE6">
      <w:pPr>
        <w:tabs>
          <w:tab w:val="left" w:pos="993"/>
        </w:tabs>
        <w:spacing w:before="240" w:after="240" w:line="360" w:lineRule="auto"/>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i/>
          <w:iCs/>
        </w:rPr>
        <w:t>“</w:t>
      </w:r>
      <w:r w:rsidRPr="001F64E4">
        <w:rPr>
          <w:rFonts w:ascii="Palatino Linotype" w:eastAsia="Palatino Linotype" w:hAnsi="Palatino Linotype" w:cs="Palatino Linotype"/>
          <w:b/>
          <w:bCs/>
          <w:i/>
          <w:iCs/>
        </w:rPr>
        <w:t>Artículo 137</w:t>
      </w:r>
      <w:r w:rsidRPr="001F64E4">
        <w:rPr>
          <w:rFonts w:ascii="Palatino Linotype" w:eastAsia="Palatino Linotype" w:hAnsi="Palatino Linotype" w:cs="Palatino Linotype"/>
          <w:i/>
          <w:iCs/>
        </w:rPr>
        <w:t xml:space="preserve">. Las resoluciones del Instituto podrán: </w:t>
      </w:r>
    </w:p>
    <w:p w:rsidR="00612D4C" w:rsidRPr="001F64E4" w:rsidRDefault="00826DE6">
      <w:pPr>
        <w:tabs>
          <w:tab w:val="left" w:pos="1418"/>
        </w:tabs>
        <w:spacing w:before="240" w:after="240" w:line="360" w:lineRule="auto"/>
        <w:ind w:left="1134" w:right="1134"/>
        <w:jc w:val="both"/>
        <w:rPr>
          <w:rFonts w:ascii="Palatino Linotype" w:eastAsia="Palatino Linotype" w:hAnsi="Palatino Linotype" w:cs="Palatino Linotype"/>
          <w:b/>
          <w:bCs/>
          <w:i/>
          <w:iCs/>
          <w:u w:val="single"/>
        </w:rPr>
      </w:pPr>
      <w:r w:rsidRPr="001F64E4">
        <w:rPr>
          <w:rFonts w:ascii="Palatino Linotype" w:eastAsia="Palatino Linotype" w:hAnsi="Palatino Linotype" w:cs="Palatino Linotype"/>
          <w:b/>
          <w:bCs/>
          <w:i/>
          <w:iCs/>
          <w:u w:val="single"/>
        </w:rPr>
        <w:t>I. Sobreseer o desechar el recurso de revisión por improcedente.”</w:t>
      </w: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i/>
          <w:iCs/>
        </w:rPr>
      </w:pPr>
      <w:r w:rsidRPr="001F64E4">
        <w:rPr>
          <w:rFonts w:ascii="Palatino Linotype" w:eastAsia="Palatino Linotype" w:hAnsi="Palatino Linotype" w:cs="Palatino Linotype"/>
        </w:rPr>
        <w:t xml:space="preserve">Al respecto, no obsta mencionar que, de acuerdo con el procesalista Niceto Alcalá-Zamora y Castillo en su obra </w:t>
      </w:r>
      <w:r w:rsidRPr="001F64E4">
        <w:rPr>
          <w:rFonts w:ascii="Palatino Linotype" w:eastAsia="Palatino Linotype" w:hAnsi="Palatino Linotype" w:cs="Palatino Linotype"/>
          <w:i/>
          <w:iCs/>
        </w:rPr>
        <w:t>“Cuestiones de Terminología Procesal”</w:t>
      </w:r>
      <w:r w:rsidRPr="001F64E4">
        <w:rPr>
          <w:rFonts w:ascii="Palatino Linotype" w:eastAsia="Palatino Linotype" w:hAnsi="Palatino Linotype" w:cs="Palatino Linotype"/>
        </w:rPr>
        <w:t xml:space="preserve">, el sobreseimiento es </w:t>
      </w:r>
      <w:r w:rsidRPr="001F64E4">
        <w:rPr>
          <w:rFonts w:ascii="Palatino Linotype" w:eastAsia="Palatino Linotype" w:hAnsi="Palatino Linotype" w:cs="Palatino Linotype"/>
          <w:i/>
          <w:iCs/>
        </w:rPr>
        <w:t>“...una resolución en forma de auto, que produce la suspensión indefinida del procedimiento penal, o que pone fin al proceso, impidiendo en ambos casos, mientras subsista, la apertura del plenario o que en él se pronuncie sentencia...”</w:t>
      </w:r>
    </w:p>
    <w:p w:rsidR="00612D4C" w:rsidRPr="001F64E4" w:rsidRDefault="00612D4C">
      <w:pPr>
        <w:spacing w:line="360" w:lineRule="auto"/>
        <w:jc w:val="both"/>
        <w:rPr>
          <w:rFonts w:ascii="Palatino Linotype" w:eastAsia="Palatino Linotype" w:hAnsi="Palatino Linotype" w:cs="Palatino Linotype"/>
          <w:i/>
          <w:iCs/>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Por su parte, Eduardo Pallares, en su artículo </w:t>
      </w:r>
      <w:r w:rsidRPr="001F64E4">
        <w:rPr>
          <w:rFonts w:ascii="Palatino Linotype" w:eastAsia="Palatino Linotype" w:hAnsi="Palatino Linotype" w:cs="Palatino Linotype"/>
          <w:i/>
          <w:iCs/>
        </w:rPr>
        <w:t>“La caducidad y el sobreseimiento en el amparo”</w:t>
      </w:r>
      <w:r w:rsidRPr="001F64E4">
        <w:rPr>
          <w:rFonts w:ascii="Palatino Linotype" w:eastAsia="Palatino Linotype" w:hAnsi="Palatino Linotype" w:cs="Palatino Linotype"/>
        </w:rPr>
        <w:t xml:space="preserve">, cita la definición de Aguilera Paz, aduciendo que se </w:t>
      </w:r>
      <w:r w:rsidRPr="001F64E4">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1F64E4">
        <w:rPr>
          <w:rFonts w:ascii="Palatino Linotype" w:eastAsia="Palatino Linotype" w:hAnsi="Palatino Linotype" w:cs="Palatino Linotype"/>
        </w:rPr>
        <w:t>. Asimismo señala que existe el sobreseimiento provisional y el definitivo</w:t>
      </w:r>
      <w:r w:rsidRPr="001F64E4">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t xml:space="preserve">Así, para la doctrina el sobreseimiento provoca que un procedimiento se suspenda o se resuelva en definitiva </w:t>
      </w:r>
      <w:r w:rsidRPr="001F64E4">
        <w:rPr>
          <w:rFonts w:ascii="Palatino Linotype" w:eastAsia="Palatino Linotype" w:hAnsi="Palatino Linotype" w:cs="Palatino Linotype"/>
          <w:b/>
          <w:bCs/>
          <w:u w:val="single"/>
        </w:rPr>
        <w:t>sin que se entre al estudio de los agravios o motivos de inconformidad</w:t>
      </w:r>
      <w:r w:rsidRPr="001F64E4">
        <w:rPr>
          <w:rFonts w:ascii="Palatino Linotype" w:eastAsia="Palatino Linotype" w:hAnsi="Palatino Linotype" w:cs="Palatino Linotype"/>
          <w:b/>
          <w:bCs/>
        </w:rPr>
        <w:t xml:space="preserve">. </w:t>
      </w:r>
    </w:p>
    <w:p w:rsidR="00612D4C" w:rsidRPr="001F64E4" w:rsidRDefault="00612D4C">
      <w:pPr>
        <w:pBdr>
          <w:top w:val="nil"/>
          <w:left w:val="nil"/>
          <w:bottom w:val="nil"/>
          <w:right w:val="nil"/>
          <w:between w:val="nil"/>
        </w:pBdr>
        <w:ind w:left="708"/>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rPr>
      </w:pPr>
      <w:r w:rsidRPr="001F64E4">
        <w:rPr>
          <w:rFonts w:ascii="Palatino Linotype" w:eastAsia="Palatino Linotype" w:hAnsi="Palatino Linotype" w:cs="Palatino Linotype"/>
        </w:rPr>
        <w:lastRenderedPageBreak/>
        <w:t>Este mismo criterio es compartido por el más alto tribunal del país en múltiples jurisprudencias, por lo que a continuación se agrega una de ellas que sirve como orientador en esta resolución:</w:t>
      </w:r>
    </w:p>
    <w:p w:rsidR="00612D4C" w:rsidRPr="001F64E4" w:rsidRDefault="00826DE6">
      <w:pPr>
        <w:spacing w:before="240" w:after="240"/>
        <w:ind w:left="1134" w:right="1134"/>
        <w:jc w:val="both"/>
        <w:rPr>
          <w:rFonts w:ascii="Palatino Linotype" w:eastAsia="Palatino Linotype" w:hAnsi="Palatino Linotype" w:cs="Palatino Linotype"/>
          <w:i/>
          <w:iCs/>
        </w:rPr>
      </w:pPr>
      <w:r w:rsidRPr="001F64E4">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1F64E4">
        <w:rPr>
          <w:rFonts w:ascii="Palatino Linotype" w:eastAsia="Palatino Linotype" w:hAnsi="Palatino Linotype" w:cs="Palatino Linotype"/>
          <w:i/>
          <w:iCs/>
        </w:rPr>
        <w:t xml:space="preserve"> en el juicio de amparo directo </w:t>
      </w:r>
      <w:r w:rsidRPr="001F64E4">
        <w:rPr>
          <w:rFonts w:ascii="Palatino Linotype" w:eastAsia="Palatino Linotype" w:hAnsi="Palatino Linotype" w:cs="Palatino Linotype"/>
          <w:b/>
          <w:bCs/>
          <w:i/>
          <w:iCs/>
        </w:rPr>
        <w:t>provoca la terminación de la controversia planteada</w:t>
      </w:r>
      <w:r w:rsidRPr="001F64E4">
        <w:rPr>
          <w:rFonts w:ascii="Palatino Linotype" w:eastAsia="Palatino Linotype" w:hAnsi="Palatino Linotype" w:cs="Palatino Linotype"/>
          <w:i/>
          <w:iCs/>
        </w:rPr>
        <w:t xml:space="preserve"> por el quejoso en la demanda de amparo</w:t>
      </w:r>
      <w:r w:rsidRPr="001F64E4">
        <w:rPr>
          <w:rFonts w:ascii="Palatino Linotype" w:eastAsia="Palatino Linotype" w:hAnsi="Palatino Linotype" w:cs="Palatino Linotype"/>
          <w:b/>
          <w:bCs/>
          <w:i/>
          <w:iCs/>
        </w:rPr>
        <w:t>, sin hacer un pronunciamiento de fondo sobre la legalidad o ilegalidad de la sentencia reclamada</w:t>
      </w:r>
      <w:r w:rsidRPr="001F64E4">
        <w:rPr>
          <w:rFonts w:ascii="Palatino Linotype" w:eastAsia="Palatino Linotype" w:hAnsi="Palatino Linotype" w:cs="Palatino Linotype"/>
          <w:i/>
          <w:iCs/>
        </w:rPr>
        <w:t xml:space="preserve">. </w:t>
      </w:r>
      <w:r w:rsidRPr="001F64E4">
        <w:rPr>
          <w:rFonts w:ascii="Palatino Linotype" w:eastAsia="Palatino Linotype" w:hAnsi="Palatino Linotype" w:cs="Palatino Linotype"/>
          <w:b/>
          <w:bCs/>
          <w:i/>
          <w:iCs/>
        </w:rPr>
        <w:t xml:space="preserve">Por consiguiente, si al sobreseerse en el juicio de amparo </w:t>
      </w:r>
      <w:r w:rsidRPr="001F64E4">
        <w:rPr>
          <w:rFonts w:ascii="Palatino Linotype" w:eastAsia="Palatino Linotype" w:hAnsi="Palatino Linotype" w:cs="Palatino Linotype"/>
          <w:b/>
          <w:bCs/>
          <w:i/>
          <w:iCs/>
          <w:u w:val="single"/>
        </w:rPr>
        <w:t>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1F64E4">
        <w:rPr>
          <w:rFonts w:ascii="Palatino Linotype" w:eastAsia="Palatino Linotype" w:hAnsi="Palatino Linotype" w:cs="Palatino Linotype"/>
          <w:i/>
          <w:iCs/>
        </w:rPr>
        <w:t>.”</w:t>
      </w:r>
    </w:p>
    <w:p w:rsidR="001F64E4" w:rsidRDefault="001F64E4" w:rsidP="001F64E4">
      <w:pP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No </w:t>
      </w:r>
      <w:r w:rsidRPr="001F64E4">
        <w:rPr>
          <w:rFonts w:ascii="Palatino Linotype" w:eastAsia="Palatino Linotype" w:hAnsi="Palatino Linotype" w:cs="Palatino Linotype"/>
        </w:rPr>
        <w:t>obstante</w:t>
      </w:r>
      <w:r w:rsidRPr="001F64E4">
        <w:rPr>
          <w:rFonts w:ascii="Palatino Linotype" w:eastAsia="Palatino Linotype" w:hAnsi="Palatino Linotype" w:cs="Palatino Linotype"/>
          <w:color w:val="000000"/>
        </w:rPr>
        <w:t xml:space="preserve">, se dejan a salvo los derechos de la persona solicitante para que presente nueva solicitud en caso de ser de su interés; asimismo, es importante hacer de su conocimiento que la Ley otorga a los titulares de los datos personales el derecho a acceder, rectificar y cancelar su información personal en posesión de Sujetos Obligados, o bien oponerse al tratamiento de la misma, recordando que </w:t>
      </w:r>
      <w:r w:rsidRPr="001F64E4">
        <w:rPr>
          <w:rFonts w:ascii="Palatino Linotype" w:eastAsia="Palatino Linotype" w:hAnsi="Palatino Linotype" w:cs="Palatino Linotype"/>
          <w:b/>
          <w:bCs/>
          <w:color w:val="000000"/>
        </w:rPr>
        <w:t>para ejercer dichos derechos ante el responsable o el Instituto, deberá acreditar que es el titular de los datos o, en caso de que lo haga en representación del titular de los datos personales, deberá acreditar ésta situación.</w:t>
      </w:r>
      <w:r w:rsidRPr="001F64E4">
        <w:rPr>
          <w:rFonts w:ascii="Palatino Linotype" w:eastAsia="Palatino Linotype" w:hAnsi="Palatino Linotype" w:cs="Palatino Linotype"/>
          <w:color w:val="000000"/>
        </w:rPr>
        <w:t xml:space="preserve"> Esto está pensado para que NADIE más que el titular o el representante, puedan decidir el uso que se le dará a sus datos personales, como una medida de seguridad de </w:t>
      </w:r>
      <w:r w:rsidRPr="001F64E4">
        <w:rPr>
          <w:rFonts w:ascii="Palatino Linotype" w:eastAsia="Palatino Linotype" w:hAnsi="Palatino Linotype" w:cs="Palatino Linotype"/>
        </w:rPr>
        <w:t>su información</w:t>
      </w:r>
      <w:r w:rsidRPr="001F64E4">
        <w:rPr>
          <w:rFonts w:ascii="Palatino Linotype" w:eastAsia="Palatino Linotype" w:hAnsi="Palatino Linotype" w:cs="Palatino Linotype"/>
          <w:color w:val="000000"/>
        </w:rPr>
        <w:t xml:space="preserve"> personal.</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lastRenderedPageBreak/>
        <w:t xml:space="preserve">Para lo </w:t>
      </w:r>
      <w:r w:rsidRPr="001F64E4">
        <w:rPr>
          <w:rFonts w:ascii="Palatino Linotype" w:eastAsia="Palatino Linotype" w:hAnsi="Palatino Linotype" w:cs="Palatino Linotype"/>
        </w:rPr>
        <w:t>anterior</w:t>
      </w:r>
      <w:r w:rsidRPr="001F64E4">
        <w:rPr>
          <w:rFonts w:ascii="Palatino Linotype" w:eastAsia="Palatino Linotype" w:hAnsi="Palatino Linotype" w:cs="Palatino Linotype"/>
          <w:color w:val="000000"/>
        </w:rPr>
        <w:t xml:space="preserve"> pueden ser utilizados los medios de identificación y formas de acreditar la personalidad que se prevén en los artículos 120 y 121 de la Ley de Protección de Datos Personales en Posesión de Sujetos Obligados del Estado de México y Municipios; 76, 77, 78, 79, 80, 81 y 82 de los Lineamientos Generales de Protección de Datos Personales para el Sector Público; 2.5 fracción II y VIII, 2.5 Bis, 4.202, 4.203 y 4.204 del Código Civil del Estado de México, y de ésta manera evitar el uso malintencionado que alguien pueda hacer de la información o documentación que le concierne.</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Asimismo, </w:t>
      </w:r>
      <w:r w:rsidRPr="001F64E4">
        <w:rPr>
          <w:rFonts w:ascii="Palatino Linotype" w:eastAsia="Palatino Linotype" w:hAnsi="Palatino Linotype" w:cs="Palatino Linotype"/>
        </w:rPr>
        <w:t>se</w:t>
      </w:r>
      <w:r w:rsidRPr="001F64E4">
        <w:rPr>
          <w:rFonts w:ascii="Palatino Linotype" w:eastAsia="Palatino Linotype" w:hAnsi="Palatino Linotype" w:cs="Palatino Linotype"/>
          <w:color w:val="000000"/>
        </w:rPr>
        <w:t xml:space="preserve"> hace del conocimiento de la parte </w:t>
      </w:r>
      <w:r w:rsidRPr="001F64E4">
        <w:rPr>
          <w:rFonts w:ascii="Palatino Linotype" w:eastAsia="Palatino Linotype" w:hAnsi="Palatino Linotype" w:cs="Palatino Linotype"/>
          <w:b/>
          <w:bCs/>
          <w:color w:val="000000"/>
        </w:rPr>
        <w:t>RECURRENTE</w:t>
      </w:r>
      <w:r w:rsidRPr="001F64E4">
        <w:rPr>
          <w:rFonts w:ascii="Palatino Linotype" w:eastAsia="Palatino Linotype" w:hAnsi="Palatino Linotype" w:cs="Palatino Linotype"/>
          <w:color w:val="000000"/>
        </w:rPr>
        <w:t xml:space="preserve"> que existe el sistema denominado Sistema de Acceso, Rectificación, Cancelación y Oposición de Datos Personales del Estado de México, SARCOEM; a través del cual, puede ejercer los derechos ARCO, que se refieren a aquel derecho que tiene el titular de datos personales, para solicitar el acceso, rectificación, cancelación, oposición y portabilidad sobre el tratamiento de sus datos, ante el </w:t>
      </w:r>
      <w:r w:rsidRPr="001F64E4">
        <w:rPr>
          <w:rFonts w:ascii="Palatino Linotype" w:eastAsia="Palatino Linotype" w:hAnsi="Palatino Linotype" w:cs="Palatino Linotype"/>
          <w:b/>
          <w:bCs/>
          <w:color w:val="000000"/>
        </w:rPr>
        <w:t>SUJETO OBLIGADO</w:t>
      </w:r>
      <w:r w:rsidRPr="001F64E4">
        <w:rPr>
          <w:rFonts w:ascii="Palatino Linotype" w:eastAsia="Palatino Linotype" w:hAnsi="Palatino Linotype" w:cs="Palatino Linotype"/>
          <w:color w:val="000000"/>
        </w:rPr>
        <w:t xml:space="preserve"> que esté en posesión de los mismos.</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color w:val="000000"/>
        </w:rPr>
        <w:t xml:space="preserve">Cabe </w:t>
      </w:r>
      <w:r w:rsidRPr="001F64E4">
        <w:rPr>
          <w:rFonts w:ascii="Palatino Linotype" w:eastAsia="Palatino Linotype" w:hAnsi="Palatino Linotype" w:cs="Palatino Linotype"/>
        </w:rPr>
        <w:t>mencionar</w:t>
      </w:r>
      <w:r w:rsidRPr="001F64E4">
        <w:rPr>
          <w:rFonts w:ascii="Palatino Linotype" w:eastAsia="Palatino Linotype" w:hAnsi="Palatino Linotype" w:cs="Palatino Linotype"/>
          <w:color w:val="000000"/>
        </w:rPr>
        <w:t xml:space="preserve"> que  el sistema SARCOEM se encuentra en la dirección electrónica: </w:t>
      </w:r>
      <w:hyperlink r:id="rId8">
        <w:r w:rsidRPr="001F64E4">
          <w:rPr>
            <w:rFonts w:ascii="Palatino Linotype" w:eastAsia="Palatino Linotype" w:hAnsi="Palatino Linotype" w:cs="Palatino Linotype"/>
            <w:color w:val="000000"/>
            <w:u w:val="single"/>
          </w:rPr>
          <w:t>https://www.sarcoem.org.mx/sarcoem/ciudadano/login.page</w:t>
        </w:r>
      </w:hyperlink>
      <w:r w:rsidRPr="001F64E4">
        <w:rPr>
          <w:rFonts w:ascii="Palatino Linotype" w:eastAsia="Palatino Linotype" w:hAnsi="Palatino Linotype" w:cs="Palatino Linotype"/>
          <w:color w:val="000000"/>
        </w:rPr>
        <w:t xml:space="preserve">, asimismo, las guías de uso de dicho sistema, tales como el registro ciudadano, el registro de solicitudes, el seguimiento a recursos de revisión, entre otras, se encuentran disponibles en la siguiente dirección electrónica: </w:t>
      </w:r>
      <w:hyperlink r:id="rId9">
        <w:r w:rsidRPr="001F64E4">
          <w:rPr>
            <w:rFonts w:ascii="Palatino Linotype" w:eastAsia="Palatino Linotype" w:hAnsi="Palatino Linotype" w:cs="Palatino Linotype"/>
            <w:color w:val="000000"/>
            <w:u w:val="single"/>
          </w:rPr>
          <w:t>https://www.sarcoem.org.mx/sarcoem/guias.html</w:t>
        </w:r>
      </w:hyperlink>
      <w:r w:rsidRPr="001F64E4">
        <w:rPr>
          <w:rFonts w:ascii="Palatino Linotype" w:eastAsia="Palatino Linotype" w:hAnsi="Palatino Linotype" w:cs="Palatino Linotype"/>
          <w:color w:val="000000"/>
        </w:rPr>
        <w:t>. </w:t>
      </w:r>
    </w:p>
    <w:p w:rsidR="00612D4C" w:rsidRPr="001F64E4" w:rsidRDefault="00612D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12D4C" w:rsidRPr="001F64E4" w:rsidRDefault="00826DE6">
      <w:pPr>
        <w:numPr>
          <w:ilvl w:val="0"/>
          <w:numId w:val="3"/>
        </w:numPr>
        <w:spacing w:line="360" w:lineRule="auto"/>
        <w:ind w:left="0" w:firstLine="0"/>
        <w:jc w:val="both"/>
        <w:rPr>
          <w:rFonts w:ascii="Palatino Linotype" w:eastAsia="Palatino Linotype" w:hAnsi="Palatino Linotype" w:cs="Palatino Linotype"/>
          <w:color w:val="000000"/>
        </w:rPr>
      </w:pPr>
      <w:bookmarkStart w:id="3" w:name="_heading=h.3znysh7" w:colFirst="0" w:colLast="0"/>
      <w:bookmarkEnd w:id="3"/>
      <w:r w:rsidRPr="001F64E4">
        <w:rPr>
          <w:rFonts w:ascii="Palatino Linotype" w:eastAsia="Palatino Linotype" w:hAnsi="Palatino Linotype" w:cs="Palatino Linotype"/>
          <w:color w:val="000000"/>
        </w:rPr>
        <w:t xml:space="preserve">Así, con </w:t>
      </w:r>
      <w:r w:rsidRPr="001F64E4">
        <w:rPr>
          <w:rFonts w:ascii="Palatino Linotype" w:eastAsia="Palatino Linotype" w:hAnsi="Palatino Linotype" w:cs="Palatino Linotype"/>
        </w:rPr>
        <w:t>fundamento</w:t>
      </w:r>
      <w:r w:rsidRPr="001F64E4">
        <w:rPr>
          <w:rFonts w:ascii="Palatino Linotype" w:eastAsia="Palatino Linotype" w:hAnsi="Palatino Linotype" w:cs="Palatino Linotype"/>
          <w:color w:val="000000"/>
        </w:rPr>
        <w:t xml:space="preserve"> en lo prescrito en los artículos 5 párrafos trigésimo segundo, trigésimo tercero y trigésimo cuarto de la Constitución Política del Estado Libre y Soberano de México; 2 fracción II, 29, 36 fracciones I y II, 176, 178, 179, 181, 185 fracción I, 186 y 188 de </w:t>
      </w:r>
      <w:r w:rsidRPr="001F64E4">
        <w:rPr>
          <w:rFonts w:ascii="Palatino Linotype" w:eastAsia="Palatino Linotype" w:hAnsi="Palatino Linotype" w:cs="Palatino Linotype"/>
          <w:color w:val="000000"/>
        </w:rPr>
        <w:lastRenderedPageBreak/>
        <w:t xml:space="preserve">la Ley de Transparencia y Acceso a la Información Pública del Estado de México y Municipios de aplicación supletoria, 1, 81, 82 fracciones I y III, 119, 127, 128, 129, 133, y 137 de la Ley de Protección de Datos Personales en Posesión de Sujetos Obligados del Estado de México y Municipios, este Pleno: </w:t>
      </w:r>
    </w:p>
    <w:p w:rsidR="00612D4C" w:rsidRPr="001F64E4" w:rsidRDefault="00612D4C">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rsidR="00612D4C" w:rsidRPr="001F64E4" w:rsidRDefault="00826DE6" w:rsidP="001F64E4">
      <w:pPr>
        <w:pBdr>
          <w:top w:val="nil"/>
          <w:left w:val="nil"/>
          <w:bottom w:val="nil"/>
          <w:right w:val="nil"/>
          <w:between w:val="nil"/>
        </w:pBdr>
        <w:spacing w:line="360" w:lineRule="auto"/>
        <w:ind w:left="360"/>
        <w:jc w:val="center"/>
        <w:rPr>
          <w:rFonts w:ascii="Palatino Linotype" w:eastAsia="Palatino Linotype" w:hAnsi="Palatino Linotype" w:cs="Palatino Linotype"/>
          <w:b/>
          <w:bCs/>
          <w:color w:val="000000"/>
        </w:rPr>
      </w:pPr>
      <w:r w:rsidRPr="001F64E4">
        <w:rPr>
          <w:rFonts w:ascii="Palatino Linotype" w:eastAsia="Palatino Linotype" w:hAnsi="Palatino Linotype" w:cs="Palatino Linotype"/>
          <w:b/>
          <w:bCs/>
          <w:color w:val="000000"/>
        </w:rPr>
        <w:t>R E S U E L V E</w:t>
      </w:r>
    </w:p>
    <w:p w:rsidR="00612D4C" w:rsidRPr="001F64E4" w:rsidRDefault="00612D4C">
      <w:pPr>
        <w:pBdr>
          <w:top w:val="nil"/>
          <w:left w:val="nil"/>
          <w:bottom w:val="nil"/>
          <w:right w:val="nil"/>
          <w:between w:val="nil"/>
        </w:pBdr>
        <w:spacing w:line="360" w:lineRule="auto"/>
        <w:ind w:left="720"/>
        <w:rPr>
          <w:rFonts w:ascii="Palatino Linotype" w:eastAsia="Palatino Linotype" w:hAnsi="Palatino Linotype" w:cs="Palatino Linotype"/>
          <w:b/>
          <w:bCs/>
          <w:color w:val="000000"/>
        </w:rPr>
      </w:pPr>
    </w:p>
    <w:p w:rsidR="00612D4C" w:rsidRPr="001F64E4" w:rsidRDefault="00826DE6">
      <w:pPr>
        <w:spacing w:line="360" w:lineRule="auto"/>
        <w:jc w:val="both"/>
        <w:rPr>
          <w:rFonts w:ascii="Palatino Linotype" w:eastAsia="Palatino Linotype" w:hAnsi="Palatino Linotype" w:cs="Palatino Linotype"/>
          <w:color w:val="000000"/>
        </w:rPr>
      </w:pPr>
      <w:r w:rsidRPr="001F64E4">
        <w:rPr>
          <w:rFonts w:ascii="Palatino Linotype" w:eastAsia="Palatino Linotype" w:hAnsi="Palatino Linotype" w:cs="Palatino Linotype"/>
          <w:b/>
          <w:bCs/>
          <w:color w:val="000000"/>
        </w:rPr>
        <w:t xml:space="preserve">PRIMERO. </w:t>
      </w:r>
      <w:r w:rsidRPr="001F64E4">
        <w:rPr>
          <w:rFonts w:ascii="Palatino Linotype" w:eastAsia="Palatino Linotype" w:hAnsi="Palatino Linotype" w:cs="Palatino Linotype"/>
          <w:color w:val="000000"/>
        </w:rPr>
        <w:t xml:space="preserve">Se </w:t>
      </w:r>
      <w:r w:rsidRPr="001F64E4">
        <w:rPr>
          <w:rFonts w:ascii="Palatino Linotype" w:eastAsia="Palatino Linotype" w:hAnsi="Palatino Linotype" w:cs="Palatino Linotype"/>
          <w:b/>
          <w:bCs/>
          <w:color w:val="000000"/>
        </w:rPr>
        <w:t>SOBRESEE</w:t>
      </w:r>
      <w:r w:rsidRPr="001F64E4">
        <w:rPr>
          <w:rFonts w:ascii="Palatino Linotype" w:eastAsia="Palatino Linotype" w:hAnsi="Palatino Linotype" w:cs="Palatino Linotype"/>
          <w:color w:val="000000"/>
        </w:rPr>
        <w:t xml:space="preserve"> por</w:t>
      </w:r>
      <w:r w:rsidRPr="001F64E4">
        <w:rPr>
          <w:rFonts w:ascii="Palatino Linotype" w:eastAsia="Palatino Linotype" w:hAnsi="Palatino Linotype" w:cs="Palatino Linotype"/>
          <w:b/>
          <w:bCs/>
          <w:color w:val="000000"/>
        </w:rPr>
        <w:t xml:space="preserve"> improcedente </w:t>
      </w:r>
      <w:r w:rsidRPr="001F64E4">
        <w:rPr>
          <w:rFonts w:ascii="Palatino Linotype" w:eastAsia="Palatino Linotype" w:hAnsi="Palatino Linotype" w:cs="Palatino Linotype"/>
          <w:color w:val="000000"/>
        </w:rPr>
        <w:t xml:space="preserve">el Recurso de Revisión número </w:t>
      </w:r>
      <w:r w:rsidRPr="001F64E4">
        <w:rPr>
          <w:rFonts w:ascii="Palatino Linotype" w:eastAsia="Palatino Linotype" w:hAnsi="Palatino Linotype" w:cs="Palatino Linotype"/>
          <w:b/>
          <w:bCs/>
        </w:rPr>
        <w:t>07583/INFOEM/IP/RR/2025</w:t>
      </w:r>
      <w:r w:rsidRPr="001F64E4">
        <w:rPr>
          <w:rFonts w:ascii="Palatino Linotype" w:eastAsia="Palatino Linotype" w:hAnsi="Palatino Linotype" w:cs="Palatino Linotype"/>
          <w:color w:val="000000"/>
        </w:rPr>
        <w:t xml:space="preserve"> de conformidad con lo dispuesto en el artículo 139</w:t>
      </w:r>
      <w:r w:rsidR="00A47A41" w:rsidRPr="001F64E4">
        <w:rPr>
          <w:rFonts w:ascii="Palatino Linotype" w:eastAsia="Palatino Linotype" w:hAnsi="Palatino Linotype" w:cs="Palatino Linotype"/>
          <w:color w:val="000000"/>
        </w:rPr>
        <w:t>,</w:t>
      </w:r>
      <w:r w:rsidRPr="001F64E4">
        <w:rPr>
          <w:rFonts w:ascii="Palatino Linotype" w:eastAsia="Palatino Linotype" w:hAnsi="Palatino Linotype" w:cs="Palatino Linotype"/>
          <w:color w:val="000000"/>
        </w:rPr>
        <w:t xml:space="preserve"> fracción III, en relación con el artículo 138 fracción II y VII de la Ley de Protección de Datos Personales en Posesión de Sujetos Obligados del Estado de México y Municipios, en términos del Considerando </w:t>
      </w:r>
      <w:r w:rsidRPr="001F64E4">
        <w:rPr>
          <w:rFonts w:ascii="Palatino Linotype" w:eastAsia="Palatino Linotype" w:hAnsi="Palatino Linotype" w:cs="Palatino Linotype"/>
          <w:b/>
          <w:bCs/>
          <w:color w:val="000000"/>
        </w:rPr>
        <w:t>TERCERO</w:t>
      </w:r>
      <w:r w:rsidRPr="001F64E4">
        <w:rPr>
          <w:rFonts w:ascii="Palatino Linotype" w:eastAsia="Palatino Linotype" w:hAnsi="Palatino Linotype" w:cs="Palatino Linotype"/>
          <w:color w:val="000000"/>
        </w:rPr>
        <w:t xml:space="preserve"> de la presente Resolución.</w:t>
      </w:r>
    </w:p>
    <w:p w:rsidR="00612D4C" w:rsidRPr="001F64E4" w:rsidRDefault="00612D4C">
      <w:pPr>
        <w:spacing w:line="360" w:lineRule="auto"/>
        <w:jc w:val="both"/>
        <w:rPr>
          <w:rFonts w:ascii="Palatino Linotype" w:eastAsia="Palatino Linotype" w:hAnsi="Palatino Linotype" w:cs="Palatino Linotype"/>
          <w:color w:val="000000"/>
        </w:rPr>
      </w:pPr>
    </w:p>
    <w:p w:rsidR="00612D4C" w:rsidRPr="001F64E4" w:rsidRDefault="00826DE6">
      <w:pPr>
        <w:spacing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b/>
          <w:bCs/>
        </w:rPr>
        <w:t>SEGUNDO. Notifíquese vía SAIMEX,</w:t>
      </w:r>
      <w:r w:rsidRPr="001F64E4">
        <w:rPr>
          <w:rFonts w:ascii="Palatino Linotype" w:eastAsia="Palatino Linotype" w:hAnsi="Palatino Linotype" w:cs="Palatino Linotype"/>
          <w:b/>
          <w:bCs/>
          <w:i/>
          <w:iCs/>
        </w:rPr>
        <w:t xml:space="preserve"> </w:t>
      </w:r>
      <w:r w:rsidRPr="001F64E4">
        <w:rPr>
          <w:rFonts w:ascii="Palatino Linotype" w:eastAsia="Palatino Linotype" w:hAnsi="Palatino Linotype" w:cs="Palatino Linotype"/>
        </w:rPr>
        <w:t xml:space="preserve">al Responsable de la Unidad de Transparencia del </w:t>
      </w:r>
      <w:r w:rsidRPr="001F64E4">
        <w:rPr>
          <w:rFonts w:ascii="Palatino Linotype" w:eastAsia="Palatino Linotype" w:hAnsi="Palatino Linotype" w:cs="Palatino Linotype"/>
          <w:b/>
          <w:bCs/>
        </w:rPr>
        <w:t>SUJETO OBLIGADO</w:t>
      </w:r>
      <w:r w:rsidRPr="001F64E4">
        <w:rPr>
          <w:rFonts w:ascii="Palatino Linotype" w:eastAsia="Palatino Linotype" w:hAnsi="Palatino Linotype" w:cs="Palatino Linotype"/>
        </w:rPr>
        <w:t xml:space="preserve"> la presente resolución, para su conocimiento.</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826DE6">
      <w:pPr>
        <w:tabs>
          <w:tab w:val="left" w:pos="4667"/>
        </w:tabs>
        <w:spacing w:line="360" w:lineRule="auto"/>
        <w:jc w:val="both"/>
        <w:rPr>
          <w:rFonts w:ascii="Palatino Linotype" w:eastAsia="Palatino Linotype" w:hAnsi="Palatino Linotype" w:cs="Palatino Linotype"/>
        </w:rPr>
      </w:pPr>
      <w:r w:rsidRPr="001F64E4">
        <w:rPr>
          <w:rFonts w:ascii="Palatino Linotype" w:eastAsia="Palatino Linotype" w:hAnsi="Palatino Linotype" w:cs="Palatino Linotype"/>
          <w:b/>
          <w:bCs/>
        </w:rPr>
        <w:t xml:space="preserve">TERCERO. Notifíquese vía SAIMEX </w:t>
      </w:r>
      <w:r w:rsidRPr="001F64E4">
        <w:rPr>
          <w:rFonts w:ascii="Palatino Linotype" w:eastAsia="Palatino Linotype" w:hAnsi="Palatino Linotype" w:cs="Palatino Linotype"/>
        </w:rPr>
        <w:t xml:space="preserve">a la parte </w:t>
      </w:r>
      <w:r w:rsidRPr="001F64E4">
        <w:rPr>
          <w:rFonts w:ascii="Palatino Linotype" w:eastAsia="Palatino Linotype" w:hAnsi="Palatino Linotype" w:cs="Palatino Linotype"/>
          <w:b/>
          <w:bCs/>
        </w:rPr>
        <w:t>RECURRENTE</w:t>
      </w:r>
      <w:r w:rsidRPr="001F64E4">
        <w:rPr>
          <w:rFonts w:ascii="Palatino Linotype" w:eastAsia="Palatino Linotype" w:hAnsi="Palatino Linotype" w:cs="Palatino Linotype"/>
        </w:rPr>
        <w:t xml:space="preserve">, la presente resolución; asimismo, se hace de su conocimiento que de conformidad con lo establecido en el artículo 196 de la Ley de Transparencia y Acceso a la Información Pública del Estado de México y Municipios y 142 de la Ley de Protección de Datos Personales en Posesión de Sujetos Obligados del Estado de México y Municipios podrá promover el Juicio de Amparo en los términos de las leyes aplicables. </w:t>
      </w:r>
    </w:p>
    <w:p w:rsidR="00612D4C" w:rsidRPr="001F64E4" w:rsidRDefault="00612D4C">
      <w:pPr>
        <w:spacing w:line="360" w:lineRule="auto"/>
        <w:jc w:val="both"/>
        <w:rPr>
          <w:rFonts w:ascii="Palatino Linotype" w:eastAsia="Palatino Linotype" w:hAnsi="Palatino Linotype" w:cs="Palatino Linotype"/>
          <w:color w:val="222222"/>
        </w:rPr>
      </w:pPr>
    </w:p>
    <w:p w:rsidR="00612D4C" w:rsidRPr="001F64E4" w:rsidRDefault="00826DE6">
      <w:pPr>
        <w:spacing w:line="360" w:lineRule="auto"/>
        <w:jc w:val="both"/>
        <w:rPr>
          <w:rFonts w:ascii="Palatino Linotype" w:eastAsia="Palatino Linotype" w:hAnsi="Palatino Linotype" w:cs="Palatino Linotype"/>
        </w:rPr>
        <w:sectPr w:rsidR="00612D4C" w:rsidRPr="001F64E4" w:rsidSect="001F64E4">
          <w:headerReference w:type="default" r:id="rId10"/>
          <w:footerReference w:type="default" r:id="rId11"/>
          <w:headerReference w:type="first" r:id="rId12"/>
          <w:footerReference w:type="first" r:id="rId13"/>
          <w:pgSz w:w="12240" w:h="15840"/>
          <w:pgMar w:top="2041" w:right="758" w:bottom="1701" w:left="1701" w:header="709" w:footer="709" w:gutter="0"/>
          <w:pgNumType w:start="1"/>
          <w:cols w:space="720"/>
          <w:titlePg/>
        </w:sectPr>
      </w:pPr>
      <w:bookmarkStart w:id="4" w:name="_heading=h.tyjcwt" w:colFirst="0" w:colLast="0"/>
      <w:bookmarkEnd w:id="4"/>
      <w:r w:rsidRPr="001F64E4">
        <w:rPr>
          <w:rFonts w:ascii="Palatino Linotype" w:eastAsia="Palatino Linotype" w:hAnsi="Palatino Linotype" w:cs="Palatino Linotype"/>
          <w:color w:val="2222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w:t>
      </w:r>
      <w:r w:rsidRPr="001F64E4">
        <w:rPr>
          <w:rFonts w:ascii="Palatino Linotype" w:eastAsia="Palatino Linotype" w:hAnsi="Palatino Linotype" w:cs="Palatino Linotype"/>
        </w:rPr>
        <w:t xml:space="preserve"> ONCE DE FEBRERO DE DOS MIL VIENTISÉIS, ANTE EL SECRETARIO TÉCNICO DEL PLENO ALEXIS TAPIA RAMÍREZ. </w:t>
      </w:r>
    </w:p>
    <w:p w:rsidR="00612D4C" w:rsidRPr="001F64E4" w:rsidRDefault="00612D4C">
      <w:pPr>
        <w:spacing w:line="360" w:lineRule="auto"/>
        <w:jc w:val="both"/>
        <w:rPr>
          <w:rFonts w:ascii="Palatino Linotype" w:eastAsia="Palatino Linotype" w:hAnsi="Palatino Linotype" w:cs="Palatino Linotype"/>
        </w:rPr>
      </w:pPr>
    </w:p>
    <w:p w:rsidR="00612D4C" w:rsidRPr="001F64E4" w:rsidRDefault="00612D4C">
      <w:pPr>
        <w:rPr>
          <w:rFonts w:ascii="Palatino Linotype" w:eastAsia="Palatino Linotype" w:hAnsi="Palatino Linotype" w:cs="Palatino Linotype"/>
        </w:rPr>
      </w:pPr>
    </w:p>
    <w:p w:rsidR="00612D4C" w:rsidRPr="001F64E4" w:rsidRDefault="00612D4C">
      <w:pPr>
        <w:rPr>
          <w:rFonts w:ascii="Palatino Linotype" w:eastAsia="Palatino Linotype" w:hAnsi="Palatino Linotype" w:cs="Palatino Linotype"/>
        </w:rPr>
      </w:pPr>
    </w:p>
    <w:p w:rsidR="00612D4C" w:rsidRPr="001F64E4" w:rsidRDefault="00612D4C"/>
    <w:sectPr w:rsidR="00612D4C" w:rsidRPr="001F64E4" w:rsidSect="001F64E4">
      <w:headerReference w:type="first" r:id="rId14"/>
      <w:pgSz w:w="12240" w:h="15840"/>
      <w:pgMar w:top="2041" w:right="758" w:bottom="170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1A4" w:rsidRDefault="001A51A4">
      <w:r>
        <w:separator/>
      </w:r>
    </w:p>
  </w:endnote>
  <w:endnote w:type="continuationSeparator" w:id="0">
    <w:p w:rsidR="001A51A4" w:rsidRDefault="001A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4F9A8A4-6524-43B0-B0DB-091A80E3DF8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7F793967-3EDA-44A4-906C-027C213A3B38}"/>
  </w:font>
  <w:font w:name="Palatino Linotype">
    <w:panose1 w:val="02040502050505030304"/>
    <w:charset w:val="00"/>
    <w:family w:val="roman"/>
    <w:pitch w:val="variable"/>
    <w:sig w:usb0="E0000287" w:usb1="40000013" w:usb2="00000000" w:usb3="00000000" w:csb0="0000019F" w:csb1="00000000"/>
    <w:embedRegular r:id="rId3" w:fontKey="{0E39C2C6-18D0-4805-A498-CCEE3EEA8307}"/>
    <w:embedBold r:id="rId4" w:fontKey="{C8F39330-EFD6-4D34-A1D3-786CAEA6718A}"/>
    <w:embedItalic r:id="rId5" w:fontKey="{24537C2B-3498-48A9-A58A-C26D2912CA36}"/>
    <w:embedBoldItalic r:id="rId6" w:fontKey="{4E93360D-F1E8-437D-8A29-2C85C5F6277E}"/>
  </w:font>
  <w:font w:name="Calibri">
    <w:panose1 w:val="020F0502020204030204"/>
    <w:charset w:val="00"/>
    <w:family w:val="swiss"/>
    <w:pitch w:val="variable"/>
    <w:sig w:usb0="E4002EFF" w:usb1="C200247B" w:usb2="00000009" w:usb3="00000000" w:csb0="000001FF" w:csb1="00000000"/>
    <w:embedRegular r:id="rId7" w:fontKey="{19C44E25-5D9E-4DEC-887B-7884BEEFAAC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A542891A-E6F7-4DAD-ABEB-5478EDA9ED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D4C" w:rsidRPr="001F64E4" w:rsidRDefault="00826DE6">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1F64E4">
      <w:rPr>
        <w:rFonts w:ascii="Palatino Linotype" w:eastAsia="Arial" w:hAnsi="Palatino Linotype" w:cs="Arial"/>
        <w:bCs/>
        <w:color w:val="000000"/>
        <w:sz w:val="22"/>
        <w:szCs w:val="20"/>
      </w:rPr>
      <w:t xml:space="preserve">Página </w:t>
    </w:r>
    <w:r w:rsidRPr="001F64E4">
      <w:rPr>
        <w:rFonts w:ascii="Palatino Linotype" w:eastAsia="Arial" w:hAnsi="Palatino Linotype" w:cs="Arial"/>
        <w:bCs/>
        <w:color w:val="000000"/>
        <w:sz w:val="22"/>
        <w:szCs w:val="20"/>
      </w:rPr>
      <w:fldChar w:fldCharType="begin"/>
    </w:r>
    <w:r w:rsidRPr="001F64E4">
      <w:rPr>
        <w:rFonts w:ascii="Palatino Linotype" w:eastAsia="Arial" w:hAnsi="Palatino Linotype" w:cs="Arial"/>
        <w:bCs/>
        <w:color w:val="000000"/>
        <w:sz w:val="22"/>
        <w:szCs w:val="20"/>
      </w:rPr>
      <w:instrText>PAGE</w:instrText>
    </w:r>
    <w:r w:rsidRPr="001F64E4">
      <w:rPr>
        <w:rFonts w:ascii="Palatino Linotype" w:eastAsia="Arial" w:hAnsi="Palatino Linotype" w:cs="Arial"/>
        <w:bCs/>
        <w:color w:val="000000"/>
        <w:sz w:val="22"/>
        <w:szCs w:val="20"/>
      </w:rPr>
      <w:fldChar w:fldCharType="separate"/>
    </w:r>
    <w:r w:rsidR="005E0A30">
      <w:rPr>
        <w:rFonts w:ascii="Palatino Linotype" w:eastAsia="Arial" w:hAnsi="Palatino Linotype" w:cs="Arial"/>
        <w:bCs/>
        <w:noProof/>
        <w:color w:val="000000"/>
        <w:sz w:val="22"/>
        <w:szCs w:val="20"/>
      </w:rPr>
      <w:t>21</w:t>
    </w:r>
    <w:r w:rsidRPr="001F64E4">
      <w:rPr>
        <w:rFonts w:ascii="Palatino Linotype" w:eastAsia="Arial" w:hAnsi="Palatino Linotype" w:cs="Arial"/>
        <w:bCs/>
        <w:color w:val="000000"/>
        <w:sz w:val="22"/>
        <w:szCs w:val="20"/>
      </w:rPr>
      <w:fldChar w:fldCharType="end"/>
    </w:r>
    <w:r w:rsidRPr="001F64E4">
      <w:rPr>
        <w:rFonts w:ascii="Palatino Linotype" w:eastAsia="Arial" w:hAnsi="Palatino Linotype" w:cs="Arial"/>
        <w:color w:val="000000"/>
        <w:sz w:val="22"/>
        <w:szCs w:val="20"/>
      </w:rPr>
      <w:t xml:space="preserve"> de </w:t>
    </w:r>
    <w:r w:rsidRPr="001F64E4">
      <w:rPr>
        <w:rFonts w:ascii="Palatino Linotype" w:eastAsia="Arial" w:hAnsi="Palatino Linotype" w:cs="Arial"/>
        <w:bCs/>
        <w:color w:val="000000"/>
        <w:sz w:val="22"/>
        <w:szCs w:val="20"/>
      </w:rPr>
      <w:fldChar w:fldCharType="begin"/>
    </w:r>
    <w:r w:rsidRPr="001F64E4">
      <w:rPr>
        <w:rFonts w:ascii="Palatino Linotype" w:eastAsia="Arial" w:hAnsi="Palatino Linotype" w:cs="Arial"/>
        <w:bCs/>
        <w:color w:val="000000"/>
        <w:sz w:val="22"/>
        <w:szCs w:val="20"/>
      </w:rPr>
      <w:instrText>NUMPAGES</w:instrText>
    </w:r>
    <w:r w:rsidRPr="001F64E4">
      <w:rPr>
        <w:rFonts w:ascii="Palatino Linotype" w:eastAsia="Arial" w:hAnsi="Palatino Linotype" w:cs="Arial"/>
        <w:bCs/>
        <w:color w:val="000000"/>
        <w:sz w:val="22"/>
        <w:szCs w:val="20"/>
      </w:rPr>
      <w:fldChar w:fldCharType="separate"/>
    </w:r>
    <w:r w:rsidR="005E0A30">
      <w:rPr>
        <w:rFonts w:ascii="Palatino Linotype" w:eastAsia="Arial" w:hAnsi="Palatino Linotype" w:cs="Arial"/>
        <w:bCs/>
        <w:noProof/>
        <w:color w:val="000000"/>
        <w:sz w:val="22"/>
        <w:szCs w:val="20"/>
      </w:rPr>
      <w:t>27</w:t>
    </w:r>
    <w:r w:rsidRPr="001F64E4">
      <w:rPr>
        <w:rFonts w:ascii="Palatino Linotype" w:eastAsia="Arial" w:hAnsi="Palatino Linotype" w:cs="Arial"/>
        <w:bCs/>
        <w:color w:val="000000"/>
        <w:sz w:val="22"/>
        <w:szCs w:val="20"/>
      </w:rPr>
      <w:fldChar w:fldCharType="end"/>
    </w:r>
  </w:p>
  <w:p w:rsidR="00612D4C" w:rsidRDefault="00612D4C">
    <w:pPr>
      <w:pBdr>
        <w:top w:val="nil"/>
        <w:left w:val="nil"/>
        <w:bottom w:val="nil"/>
        <w:right w:val="nil"/>
        <w:between w:val="nil"/>
      </w:pBdr>
      <w:tabs>
        <w:tab w:val="center" w:pos="4252"/>
        <w:tab w:val="right" w:pos="8504"/>
      </w:tabs>
      <w:rPr>
        <w:color w:val="000000"/>
      </w:rPr>
    </w:pPr>
  </w:p>
  <w:p w:rsidR="00612D4C" w:rsidRDefault="00612D4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D4C" w:rsidRPr="001F64E4" w:rsidRDefault="00826DE6">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1F64E4">
      <w:rPr>
        <w:rFonts w:ascii="Palatino Linotype" w:eastAsia="Arial" w:hAnsi="Palatino Linotype" w:cs="Arial"/>
        <w:bCs/>
        <w:color w:val="000000"/>
        <w:sz w:val="22"/>
        <w:szCs w:val="20"/>
      </w:rPr>
      <w:t xml:space="preserve">Página </w:t>
    </w:r>
    <w:r w:rsidRPr="001F64E4">
      <w:rPr>
        <w:rFonts w:ascii="Palatino Linotype" w:eastAsia="Arial" w:hAnsi="Palatino Linotype" w:cs="Arial"/>
        <w:bCs/>
        <w:color w:val="000000"/>
        <w:sz w:val="22"/>
        <w:szCs w:val="20"/>
      </w:rPr>
      <w:fldChar w:fldCharType="begin"/>
    </w:r>
    <w:r w:rsidRPr="001F64E4">
      <w:rPr>
        <w:rFonts w:ascii="Palatino Linotype" w:eastAsia="Arial" w:hAnsi="Palatino Linotype" w:cs="Arial"/>
        <w:bCs/>
        <w:color w:val="000000"/>
        <w:sz w:val="22"/>
        <w:szCs w:val="20"/>
      </w:rPr>
      <w:instrText>PAGE</w:instrText>
    </w:r>
    <w:r w:rsidRPr="001F64E4">
      <w:rPr>
        <w:rFonts w:ascii="Palatino Linotype" w:eastAsia="Arial" w:hAnsi="Palatino Linotype" w:cs="Arial"/>
        <w:bCs/>
        <w:color w:val="000000"/>
        <w:sz w:val="22"/>
        <w:szCs w:val="20"/>
      </w:rPr>
      <w:fldChar w:fldCharType="separate"/>
    </w:r>
    <w:r w:rsidR="005E0A30">
      <w:rPr>
        <w:rFonts w:ascii="Palatino Linotype" w:eastAsia="Arial" w:hAnsi="Palatino Linotype" w:cs="Arial"/>
        <w:bCs/>
        <w:noProof/>
        <w:color w:val="000000"/>
        <w:sz w:val="22"/>
        <w:szCs w:val="20"/>
      </w:rPr>
      <w:t>1</w:t>
    </w:r>
    <w:r w:rsidRPr="001F64E4">
      <w:rPr>
        <w:rFonts w:ascii="Palatino Linotype" w:eastAsia="Arial" w:hAnsi="Palatino Linotype" w:cs="Arial"/>
        <w:bCs/>
        <w:color w:val="000000"/>
        <w:sz w:val="22"/>
        <w:szCs w:val="20"/>
      </w:rPr>
      <w:fldChar w:fldCharType="end"/>
    </w:r>
    <w:r w:rsidRPr="001F64E4">
      <w:rPr>
        <w:rFonts w:ascii="Palatino Linotype" w:eastAsia="Arial" w:hAnsi="Palatino Linotype" w:cs="Arial"/>
        <w:color w:val="000000"/>
        <w:sz w:val="22"/>
        <w:szCs w:val="20"/>
      </w:rPr>
      <w:t xml:space="preserve"> de </w:t>
    </w:r>
    <w:r w:rsidRPr="001F64E4">
      <w:rPr>
        <w:rFonts w:ascii="Palatino Linotype" w:eastAsia="Arial" w:hAnsi="Palatino Linotype" w:cs="Arial"/>
        <w:bCs/>
        <w:color w:val="000000"/>
        <w:sz w:val="22"/>
        <w:szCs w:val="20"/>
      </w:rPr>
      <w:fldChar w:fldCharType="begin"/>
    </w:r>
    <w:r w:rsidRPr="001F64E4">
      <w:rPr>
        <w:rFonts w:ascii="Palatino Linotype" w:eastAsia="Arial" w:hAnsi="Palatino Linotype" w:cs="Arial"/>
        <w:bCs/>
        <w:color w:val="000000"/>
        <w:sz w:val="22"/>
        <w:szCs w:val="20"/>
      </w:rPr>
      <w:instrText>NUMPAGES</w:instrText>
    </w:r>
    <w:r w:rsidRPr="001F64E4">
      <w:rPr>
        <w:rFonts w:ascii="Palatino Linotype" w:eastAsia="Arial" w:hAnsi="Palatino Linotype" w:cs="Arial"/>
        <w:bCs/>
        <w:color w:val="000000"/>
        <w:sz w:val="22"/>
        <w:szCs w:val="20"/>
      </w:rPr>
      <w:fldChar w:fldCharType="separate"/>
    </w:r>
    <w:r w:rsidR="005E0A30">
      <w:rPr>
        <w:rFonts w:ascii="Palatino Linotype" w:eastAsia="Arial" w:hAnsi="Palatino Linotype" w:cs="Arial"/>
        <w:bCs/>
        <w:noProof/>
        <w:color w:val="000000"/>
        <w:sz w:val="22"/>
        <w:szCs w:val="20"/>
      </w:rPr>
      <w:t>27</w:t>
    </w:r>
    <w:r w:rsidRPr="001F64E4">
      <w:rPr>
        <w:rFonts w:ascii="Palatino Linotype" w:eastAsia="Arial" w:hAnsi="Palatino Linotype" w:cs="Arial"/>
        <w:bCs/>
        <w:color w:val="000000"/>
        <w:sz w:val="22"/>
        <w:szCs w:val="20"/>
      </w:rPr>
      <w:fldChar w:fldCharType="end"/>
    </w:r>
  </w:p>
  <w:p w:rsidR="00612D4C" w:rsidRDefault="00612D4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1A4" w:rsidRDefault="001A51A4">
      <w:r>
        <w:separator/>
      </w:r>
    </w:p>
  </w:footnote>
  <w:footnote w:type="continuationSeparator" w:id="0">
    <w:p w:rsidR="001A51A4" w:rsidRDefault="001A51A4">
      <w:r>
        <w:continuationSeparator/>
      </w:r>
    </w:p>
  </w:footnote>
  <w:footnote w:id="1">
    <w:p w:rsidR="00612D4C" w:rsidRDefault="00826DE6">
      <w:pPr>
        <w:pBdr>
          <w:top w:val="nil"/>
          <w:left w:val="nil"/>
          <w:bottom w:val="nil"/>
          <w:right w:val="nil"/>
          <w:between w:val="nil"/>
        </w:pBdr>
        <w:rPr>
          <w:rFonts w:ascii="Palatino Linotype" w:eastAsia="Palatino Linotype" w:hAnsi="Palatino Linotype" w:cs="Palatino Linotype"/>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BONILLLA LÓPEZ Miguel. </w:t>
      </w:r>
      <w:r>
        <w:rPr>
          <w:rFonts w:ascii="Palatino Linotype" w:eastAsia="Palatino Linotype" w:hAnsi="Palatino Linotype" w:cs="Palatino Linotype"/>
          <w:i/>
          <w:iCs/>
          <w:color w:val="000000"/>
          <w:sz w:val="20"/>
          <w:szCs w:val="20"/>
        </w:rPr>
        <w:t>Los principios Constitucionales del Juicio de Amparo II.</w:t>
      </w:r>
      <w:r>
        <w:rPr>
          <w:rFonts w:ascii="Palatino Linotype" w:eastAsia="Palatino Linotype" w:hAnsi="Palatino Linotype" w:cs="Palatino Linotype"/>
          <w:color w:val="000000"/>
          <w:sz w:val="20"/>
          <w:szCs w:val="20"/>
        </w:rPr>
        <w:t xml:space="preserve"> México. 2009. UNAM.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370" w:type="dxa"/>
      <w:tblInd w:w="3261" w:type="dxa"/>
      <w:tblLayout w:type="fixed"/>
      <w:tblLook w:val="0400" w:firstRow="0" w:lastRow="0" w:firstColumn="0" w:lastColumn="0" w:noHBand="0" w:noVBand="1"/>
    </w:tblPr>
    <w:tblGrid>
      <w:gridCol w:w="2976"/>
      <w:gridCol w:w="4394"/>
    </w:tblGrid>
    <w:tr w:rsidR="00612D4C" w:rsidRPr="001F64E4" w:rsidTr="001F64E4">
      <w:tc>
        <w:tcPr>
          <w:tcW w:w="2976"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Recurso de Revisión:</w:t>
          </w:r>
        </w:p>
      </w:tc>
      <w:tc>
        <w:tcPr>
          <w:tcW w:w="4394" w:type="dxa"/>
          <w:vAlign w:val="center"/>
        </w:tcPr>
        <w:p w:rsidR="00612D4C" w:rsidRPr="001F64E4" w:rsidRDefault="00826DE6" w:rsidP="001F64E4">
          <w:pPr>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07583/INFOEM/IP/RR/2025</w:t>
          </w:r>
        </w:p>
      </w:tc>
    </w:tr>
    <w:tr w:rsidR="00612D4C" w:rsidRPr="001F64E4" w:rsidTr="001F64E4">
      <w:trPr>
        <w:trHeight w:val="228"/>
      </w:trPr>
      <w:tc>
        <w:tcPr>
          <w:tcW w:w="2976"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Sujeto obligado:</w:t>
          </w:r>
        </w:p>
        <w:p w:rsidR="00612D4C" w:rsidRPr="001F64E4" w:rsidRDefault="00612D4C">
          <w:pPr>
            <w:rPr>
              <w:rFonts w:ascii="Palatino Linotype" w:eastAsia="Palatino Linotype" w:hAnsi="Palatino Linotype" w:cs="Palatino Linotype"/>
              <w:b/>
              <w:bCs/>
              <w:szCs w:val="22"/>
            </w:rPr>
          </w:pPr>
        </w:p>
      </w:tc>
      <w:tc>
        <w:tcPr>
          <w:tcW w:w="4394" w:type="dxa"/>
          <w:vAlign w:val="center"/>
        </w:tcPr>
        <w:p w:rsidR="00612D4C" w:rsidRPr="001F64E4" w:rsidRDefault="00826DE6" w:rsidP="001F64E4">
          <w:pPr>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Secretaría de Educación, Ciencia, Tecnología e Innovación</w:t>
          </w:r>
        </w:p>
      </w:tc>
    </w:tr>
    <w:tr w:rsidR="00612D4C" w:rsidRPr="001F64E4" w:rsidTr="001F64E4">
      <w:tc>
        <w:tcPr>
          <w:tcW w:w="2976"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Comisionada ponente:</w:t>
          </w:r>
        </w:p>
      </w:tc>
      <w:tc>
        <w:tcPr>
          <w:tcW w:w="4394" w:type="dxa"/>
          <w:vAlign w:val="center"/>
        </w:tcPr>
        <w:p w:rsidR="00612D4C" w:rsidRPr="001F64E4" w:rsidRDefault="00826DE6" w:rsidP="001F64E4">
          <w:pPr>
            <w:ind w:right="-533"/>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María del Rosario Mejía Ayala</w:t>
          </w:r>
        </w:p>
      </w:tc>
    </w:tr>
  </w:tbl>
  <w:p w:rsidR="00612D4C" w:rsidRDefault="001F64E4">
    <w:pPr>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-807468</wp:posOffset>
          </wp:positionH>
          <wp:positionV relativeFrom="paragraph">
            <wp:posOffset>-1381939</wp:posOffset>
          </wp:positionV>
          <wp:extent cx="7809876" cy="10165823"/>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r w:rsidR="00826DE6">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3119" w:type="dxa"/>
      <w:tblLayout w:type="fixed"/>
      <w:tblLook w:val="0400" w:firstRow="0" w:lastRow="0" w:firstColumn="0" w:lastColumn="0" w:noHBand="0" w:noVBand="1"/>
    </w:tblPr>
    <w:tblGrid>
      <w:gridCol w:w="3118"/>
      <w:gridCol w:w="4111"/>
    </w:tblGrid>
    <w:tr w:rsidR="00612D4C" w:rsidTr="001F64E4">
      <w:tc>
        <w:tcPr>
          <w:tcW w:w="3118"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Recurso de Revisión:</w:t>
          </w:r>
        </w:p>
      </w:tc>
      <w:tc>
        <w:tcPr>
          <w:tcW w:w="4111" w:type="dxa"/>
          <w:vAlign w:val="center"/>
        </w:tcPr>
        <w:p w:rsidR="00612D4C" w:rsidRPr="001F64E4" w:rsidRDefault="00826DE6" w:rsidP="001F64E4">
          <w:pPr>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07583/INFOEM/IP/RR/2025</w:t>
          </w:r>
        </w:p>
      </w:tc>
    </w:tr>
    <w:tr w:rsidR="00612D4C" w:rsidTr="001F64E4">
      <w:tc>
        <w:tcPr>
          <w:tcW w:w="3118" w:type="dxa"/>
          <w:vAlign w:val="center"/>
        </w:tcPr>
        <w:p w:rsidR="00612D4C" w:rsidRPr="001F64E4" w:rsidRDefault="00826DE6">
          <w:pPr>
            <w:ind w:left="35" w:hanging="35"/>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Recurrente:</w:t>
          </w:r>
        </w:p>
      </w:tc>
      <w:tc>
        <w:tcPr>
          <w:tcW w:w="4111" w:type="dxa"/>
          <w:vAlign w:val="center"/>
        </w:tcPr>
        <w:p w:rsidR="00612D4C" w:rsidRPr="001F64E4" w:rsidRDefault="00612D4C" w:rsidP="001F64E4">
          <w:pPr>
            <w:rPr>
              <w:rFonts w:ascii="Palatino Linotype" w:eastAsia="Palatino Linotype" w:hAnsi="Palatino Linotype" w:cs="Palatino Linotype"/>
              <w:bCs/>
              <w:strike/>
              <w:szCs w:val="22"/>
            </w:rPr>
          </w:pPr>
        </w:p>
      </w:tc>
    </w:tr>
    <w:tr w:rsidR="00612D4C" w:rsidTr="001F64E4">
      <w:trPr>
        <w:trHeight w:val="228"/>
      </w:trPr>
      <w:tc>
        <w:tcPr>
          <w:tcW w:w="3118"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Sujeto obligado:</w:t>
          </w:r>
        </w:p>
        <w:p w:rsidR="00612D4C" w:rsidRPr="001F64E4" w:rsidRDefault="00612D4C">
          <w:pPr>
            <w:rPr>
              <w:rFonts w:ascii="Palatino Linotype" w:eastAsia="Palatino Linotype" w:hAnsi="Palatino Linotype" w:cs="Palatino Linotype"/>
              <w:b/>
              <w:bCs/>
              <w:szCs w:val="22"/>
            </w:rPr>
          </w:pPr>
        </w:p>
      </w:tc>
      <w:tc>
        <w:tcPr>
          <w:tcW w:w="4111" w:type="dxa"/>
          <w:vAlign w:val="center"/>
        </w:tcPr>
        <w:p w:rsidR="00612D4C" w:rsidRPr="001F64E4" w:rsidRDefault="00826DE6" w:rsidP="001F64E4">
          <w:pPr>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Secretaría de Educación, Ciencia, Tecnología e Innovación</w:t>
          </w:r>
        </w:p>
      </w:tc>
    </w:tr>
    <w:tr w:rsidR="00612D4C" w:rsidTr="001F64E4">
      <w:tc>
        <w:tcPr>
          <w:tcW w:w="3118" w:type="dxa"/>
          <w:vAlign w:val="center"/>
        </w:tcPr>
        <w:p w:rsidR="00612D4C" w:rsidRPr="001F64E4" w:rsidRDefault="00826DE6">
          <w:pPr>
            <w:rPr>
              <w:rFonts w:ascii="Palatino Linotype" w:eastAsia="Palatino Linotype" w:hAnsi="Palatino Linotype" w:cs="Palatino Linotype"/>
              <w:b/>
              <w:bCs/>
              <w:szCs w:val="22"/>
            </w:rPr>
          </w:pPr>
          <w:r w:rsidRPr="001F64E4">
            <w:rPr>
              <w:rFonts w:ascii="Palatino Linotype" w:eastAsia="Palatino Linotype" w:hAnsi="Palatino Linotype" w:cs="Palatino Linotype"/>
              <w:b/>
              <w:bCs/>
              <w:szCs w:val="22"/>
            </w:rPr>
            <w:t>Comisionada ponente:</w:t>
          </w:r>
        </w:p>
      </w:tc>
      <w:tc>
        <w:tcPr>
          <w:tcW w:w="4111" w:type="dxa"/>
          <w:vAlign w:val="center"/>
        </w:tcPr>
        <w:p w:rsidR="00612D4C" w:rsidRPr="001F64E4" w:rsidRDefault="00826DE6" w:rsidP="001F64E4">
          <w:pPr>
            <w:ind w:right="-533"/>
            <w:rPr>
              <w:rFonts w:ascii="Palatino Linotype" w:eastAsia="Palatino Linotype" w:hAnsi="Palatino Linotype" w:cs="Palatino Linotype"/>
              <w:bCs/>
              <w:szCs w:val="22"/>
            </w:rPr>
          </w:pPr>
          <w:r w:rsidRPr="001F64E4">
            <w:rPr>
              <w:rFonts w:ascii="Palatino Linotype" w:eastAsia="Palatino Linotype" w:hAnsi="Palatino Linotype" w:cs="Palatino Linotype"/>
              <w:bCs/>
              <w:szCs w:val="22"/>
            </w:rPr>
            <w:t>María del Rosario Mejía Ayala</w:t>
          </w:r>
        </w:p>
      </w:tc>
    </w:tr>
  </w:tbl>
  <w:p w:rsidR="00612D4C" w:rsidRDefault="001F64E4">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simplePos x="0" y="0"/>
          <wp:positionH relativeFrom="column">
            <wp:posOffset>-863337</wp:posOffset>
          </wp:positionH>
          <wp:positionV relativeFrom="paragraph">
            <wp:posOffset>-1526983</wp:posOffset>
          </wp:positionV>
          <wp:extent cx="7809876" cy="10165823"/>
          <wp:effectExtent l="0" t="0" r="0" b="0"/>
          <wp:wrapNone/>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D4C" w:rsidRDefault="00612D4C">
    <w:pPr>
      <w:pBdr>
        <w:top w:val="nil"/>
        <w:left w:val="nil"/>
        <w:bottom w:val="nil"/>
        <w:right w:val="nil"/>
        <w:between w:val="nil"/>
      </w:pBdr>
      <w:tabs>
        <w:tab w:val="center" w:pos="4252"/>
        <w:tab w:val="right" w:pos="8504"/>
      </w:tabs>
      <w:jc w:val="both"/>
      <w:rPr>
        <w:rFonts w:ascii="Calibri" w:eastAsia="Calibri" w:hAnsi="Calibri" w:cs="Calibri"/>
        <w:color w:val="000000"/>
      </w:rPr>
    </w:pPr>
  </w:p>
  <w:p w:rsidR="00612D4C" w:rsidRDefault="00612D4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51411"/>
    <w:multiLevelType w:val="multilevel"/>
    <w:tmpl w:val="E63C53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364C09"/>
    <w:multiLevelType w:val="hybridMultilevel"/>
    <w:tmpl w:val="FBA222B4"/>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4812148A"/>
    <w:multiLevelType w:val="multilevel"/>
    <w:tmpl w:val="468496EC"/>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D91319"/>
    <w:multiLevelType w:val="multilevel"/>
    <w:tmpl w:val="94226018"/>
    <w:lvl w:ilvl="0">
      <w:start w:val="2"/>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5712BC"/>
    <w:multiLevelType w:val="multilevel"/>
    <w:tmpl w:val="DF52EF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D4C"/>
    <w:rsid w:val="00030B73"/>
    <w:rsid w:val="00102DC2"/>
    <w:rsid w:val="001A51A4"/>
    <w:rsid w:val="001F64E4"/>
    <w:rsid w:val="003E59FD"/>
    <w:rsid w:val="005E0A30"/>
    <w:rsid w:val="00612D4C"/>
    <w:rsid w:val="00826DE6"/>
    <w:rsid w:val="00A47A41"/>
    <w:rsid w:val="00B123D8"/>
    <w:rsid w:val="00B773C1"/>
    <w:rsid w:val="00C315B1"/>
    <w:rsid w:val="00FA1D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A8F1E1-46F6-46EC-BFA5-92E40A4A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Encabezado">
    <w:name w:val="header"/>
    <w:basedOn w:val="Normal"/>
    <w:link w:val="EncabezadoCar"/>
    <w:uiPriority w:val="99"/>
    <w:unhideWhenUsed/>
    <w:rsid w:val="00D915C1"/>
    <w:pPr>
      <w:tabs>
        <w:tab w:val="center" w:pos="4419"/>
        <w:tab w:val="right" w:pos="8838"/>
      </w:tabs>
    </w:pPr>
  </w:style>
  <w:style w:type="character" w:customStyle="1" w:styleId="EncabezadoCar">
    <w:name w:val="Encabezado Car"/>
    <w:basedOn w:val="Fuentedeprrafopredeter"/>
    <w:link w:val="Encabezado"/>
    <w:uiPriority w:val="99"/>
    <w:rsid w:val="00D915C1"/>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915C1"/>
    <w:pPr>
      <w:tabs>
        <w:tab w:val="center" w:pos="4419"/>
        <w:tab w:val="right" w:pos="8838"/>
      </w:tabs>
    </w:pPr>
  </w:style>
  <w:style w:type="character" w:customStyle="1" w:styleId="PiedepginaCar">
    <w:name w:val="Pie de página Car"/>
    <w:basedOn w:val="Fuentedeprrafopredeter"/>
    <w:link w:val="Piedepgina"/>
    <w:uiPriority w:val="99"/>
    <w:rsid w:val="00D915C1"/>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C51840"/>
    <w:pPr>
      <w:ind w:left="720"/>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coem.org.mx/sarcoem/ciudadano/login.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rcoem.org.mx/sarcoem/guias.htm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xjGVfADlmSsE8uTAF+COgPhDw==">CgMxLjAyCGguZ2pkZ3hzMg5oLnluYnhkajJlZDA5aTIJaC4zem55c2g3MghoLnR5amN3dDgAciExdDYxbjFRUkVDTy16dVBLNzBMRGcwOTM4R1BVX215MDg=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6955</Words>
  <Characters>38254</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10</cp:revision>
  <cp:lastPrinted>2026-02-13T15:47:00Z</cp:lastPrinted>
  <dcterms:created xsi:type="dcterms:W3CDTF">2026-02-04T00:19:00Z</dcterms:created>
  <dcterms:modified xsi:type="dcterms:W3CDTF">2026-02-24T00:12:00Z</dcterms:modified>
</cp:coreProperties>
</file>