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FD552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FD552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FD5521">
        <w:rPr>
          <w:rFonts w:ascii="Palatino Linotype" w:eastAsia="Palatino Linotype" w:hAnsi="Palatino Linotype" w:cs="Palatino Linotype"/>
          <w:sz w:val="22"/>
          <w:szCs w:val="22"/>
        </w:rPr>
        <w:t>veintiuno</w:t>
      </w:r>
      <w:r w:rsidR="00E55CFA" w:rsidRPr="00FD5521">
        <w:rPr>
          <w:rFonts w:ascii="Palatino Linotype" w:eastAsia="Palatino Linotype" w:hAnsi="Palatino Linotype" w:cs="Palatino Linotype"/>
          <w:sz w:val="22"/>
          <w:szCs w:val="22"/>
        </w:rPr>
        <w:t xml:space="preserve"> de enero de dos mil veintiséis</w:t>
      </w:r>
      <w:r w:rsidRPr="00FD5521">
        <w:rPr>
          <w:rFonts w:ascii="Palatino Linotype" w:eastAsia="Palatino Linotype" w:hAnsi="Palatino Linotype" w:cs="Palatino Linotype"/>
          <w:sz w:val="22"/>
          <w:szCs w:val="22"/>
        </w:rPr>
        <w:t xml:space="preserve">. </w:t>
      </w:r>
    </w:p>
    <w:p w14:paraId="13FC4B2B" w14:textId="77777777" w:rsidR="00532AE4" w:rsidRPr="00FD5521" w:rsidRDefault="00532AE4">
      <w:pPr>
        <w:spacing w:line="360" w:lineRule="auto"/>
        <w:jc w:val="both"/>
        <w:rPr>
          <w:rFonts w:ascii="Palatino Linotype" w:eastAsia="Palatino Linotype" w:hAnsi="Palatino Linotype" w:cs="Palatino Linotype"/>
          <w:b/>
          <w:sz w:val="22"/>
          <w:szCs w:val="22"/>
        </w:rPr>
      </w:pPr>
    </w:p>
    <w:p w14:paraId="50DC799A" w14:textId="10AC0FD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 xml:space="preserve">Visto </w:t>
      </w:r>
      <w:r w:rsidRPr="00FD5521">
        <w:rPr>
          <w:rFonts w:ascii="Palatino Linotype" w:eastAsia="Palatino Linotype" w:hAnsi="Palatino Linotype" w:cs="Palatino Linotype"/>
          <w:sz w:val="22"/>
          <w:szCs w:val="22"/>
        </w:rPr>
        <w:t xml:space="preserve">el expediente relativo al recurso de revisión </w:t>
      </w:r>
      <w:r w:rsidR="00B174AA" w:rsidRPr="00FD5521">
        <w:rPr>
          <w:rFonts w:ascii="Palatino Linotype" w:eastAsia="Palatino Linotype" w:hAnsi="Palatino Linotype" w:cs="Palatino Linotype"/>
          <w:b/>
          <w:sz w:val="22"/>
          <w:szCs w:val="22"/>
        </w:rPr>
        <w:t>1</w:t>
      </w:r>
      <w:r w:rsidR="000F6773" w:rsidRPr="00FD5521">
        <w:rPr>
          <w:rFonts w:ascii="Palatino Linotype" w:eastAsia="Palatino Linotype" w:hAnsi="Palatino Linotype" w:cs="Palatino Linotype"/>
          <w:b/>
          <w:sz w:val="22"/>
          <w:szCs w:val="22"/>
        </w:rPr>
        <w:t>0944</w:t>
      </w:r>
      <w:r w:rsidRPr="00FD5521">
        <w:rPr>
          <w:rFonts w:ascii="Palatino Linotype" w:eastAsia="Palatino Linotype" w:hAnsi="Palatino Linotype" w:cs="Palatino Linotype"/>
          <w:b/>
          <w:sz w:val="22"/>
          <w:szCs w:val="22"/>
        </w:rPr>
        <w:t>/INFOEM/IP/RR/2025</w:t>
      </w:r>
      <w:r w:rsidRPr="00FD5521">
        <w:rPr>
          <w:rFonts w:ascii="Palatino Linotype" w:eastAsia="Palatino Linotype" w:hAnsi="Palatino Linotype" w:cs="Palatino Linotype"/>
          <w:sz w:val="22"/>
          <w:szCs w:val="22"/>
        </w:rPr>
        <w:t xml:space="preserve">, interpuesto </w:t>
      </w:r>
      <w:r w:rsidR="0061438F" w:rsidRPr="00FD5521">
        <w:rPr>
          <w:rFonts w:ascii="Palatino Linotype" w:eastAsia="Palatino Linotype" w:hAnsi="Palatino Linotype" w:cs="Palatino Linotype"/>
          <w:sz w:val="22"/>
          <w:szCs w:val="22"/>
        </w:rPr>
        <w:t xml:space="preserve">por </w:t>
      </w:r>
      <w:r w:rsidR="00A42026">
        <w:rPr>
          <w:rFonts w:ascii="Palatino Linotype" w:eastAsia="Palatino Linotype" w:hAnsi="Palatino Linotype" w:cs="Palatino Linotype"/>
          <w:b/>
          <w:sz w:val="21"/>
          <w:szCs w:val="21"/>
        </w:rPr>
        <w:t>XXXXX</w:t>
      </w:r>
      <w:r w:rsidR="00A42026">
        <w:rPr>
          <w:rFonts w:ascii="Palatino Linotype" w:eastAsia="Palatino Linotype" w:hAnsi="Palatino Linotype" w:cs="Palatino Linotype"/>
          <w:b/>
          <w:sz w:val="21"/>
          <w:szCs w:val="21"/>
        </w:rPr>
        <w:t>XX</w:t>
      </w:r>
      <w:r w:rsidRPr="00FD5521">
        <w:rPr>
          <w:rFonts w:ascii="Palatino Linotype" w:eastAsia="Palatino Linotype" w:hAnsi="Palatino Linotype" w:cs="Palatino Linotype"/>
          <w:b/>
          <w:sz w:val="22"/>
          <w:szCs w:val="22"/>
        </w:rPr>
        <w:t>,</w:t>
      </w:r>
      <w:r w:rsidRPr="00FD5521">
        <w:rPr>
          <w:rFonts w:ascii="Palatino Linotype" w:eastAsia="Palatino Linotype" w:hAnsi="Palatino Linotype" w:cs="Palatino Linotype"/>
          <w:sz w:val="22"/>
          <w:szCs w:val="22"/>
        </w:rPr>
        <w:t xml:space="preserve"> en lo sucesivo la parte </w:t>
      </w:r>
      <w:r w:rsidRPr="00FD5521">
        <w:rPr>
          <w:rFonts w:ascii="Palatino Linotype" w:eastAsia="Palatino Linotype" w:hAnsi="Palatino Linotype" w:cs="Palatino Linotype"/>
          <w:b/>
          <w:sz w:val="22"/>
          <w:szCs w:val="22"/>
        </w:rPr>
        <w:t xml:space="preserve">RECURRENTE, </w:t>
      </w:r>
      <w:r w:rsidRPr="00FD5521">
        <w:rPr>
          <w:rFonts w:ascii="Palatino Linotype" w:eastAsia="Palatino Linotype" w:hAnsi="Palatino Linotype" w:cs="Palatino Linotype"/>
          <w:sz w:val="22"/>
          <w:szCs w:val="22"/>
        </w:rPr>
        <w:t>en contra de la falta de respuesta a la solicitud de acceso a la información con número de folio</w:t>
      </w:r>
      <w:r w:rsidRPr="00FD5521">
        <w:rPr>
          <w:rFonts w:ascii="Verdana" w:eastAsia="Verdana" w:hAnsi="Verdana" w:cs="Verdana"/>
          <w:b/>
          <w:sz w:val="22"/>
          <w:szCs w:val="22"/>
        </w:rPr>
        <w:t> </w:t>
      </w:r>
      <w:r w:rsidR="000F6773" w:rsidRPr="00FD5521">
        <w:rPr>
          <w:rFonts w:ascii="Palatino Linotype" w:eastAsia="Palatino Linotype" w:hAnsi="Palatino Linotype" w:cs="Palatino Linotype"/>
          <w:b/>
          <w:sz w:val="22"/>
          <w:szCs w:val="22"/>
        </w:rPr>
        <w:t>00478/TEPOTZOT/IP/2025</w:t>
      </w:r>
      <w:r w:rsidR="00EF743D" w:rsidRPr="00FD5521">
        <w:rPr>
          <w:rFonts w:ascii="Palatino Linotype" w:eastAsia="Palatino Linotype" w:hAnsi="Palatino Linotype" w:cs="Palatino Linotype"/>
          <w:b/>
          <w:sz w:val="22"/>
          <w:szCs w:val="22"/>
        </w:rPr>
        <w:t xml:space="preserve">, </w:t>
      </w:r>
      <w:r w:rsidRPr="00FD5521">
        <w:rPr>
          <w:rFonts w:ascii="Palatino Linotype" w:eastAsia="Palatino Linotype" w:hAnsi="Palatino Linotype" w:cs="Palatino Linotype"/>
          <w:sz w:val="22"/>
          <w:szCs w:val="22"/>
        </w:rPr>
        <w:t xml:space="preserve">por parte del </w:t>
      </w:r>
      <w:r w:rsidR="00024779" w:rsidRPr="00FD5521">
        <w:rPr>
          <w:rFonts w:ascii="Palatino Linotype" w:eastAsia="Palatino Linotype" w:hAnsi="Palatino Linotype" w:cs="Palatino Linotype"/>
          <w:b/>
          <w:sz w:val="22"/>
          <w:szCs w:val="22"/>
        </w:rPr>
        <w:t>Ayuntamiento de T</w:t>
      </w:r>
      <w:r w:rsidR="00E55CFA" w:rsidRPr="00FD5521">
        <w:rPr>
          <w:rFonts w:ascii="Palatino Linotype" w:eastAsia="Palatino Linotype" w:hAnsi="Palatino Linotype" w:cs="Palatino Linotype"/>
          <w:b/>
          <w:sz w:val="22"/>
          <w:szCs w:val="22"/>
        </w:rPr>
        <w:t>epotzotlán</w:t>
      </w:r>
      <w:r w:rsidR="00390FDA" w:rsidRPr="00FD5521">
        <w:rPr>
          <w:rFonts w:ascii="Palatino Linotype" w:eastAsia="Palatino Linotype" w:hAnsi="Palatino Linotype" w:cs="Palatino Linotype"/>
          <w:b/>
          <w:sz w:val="22"/>
          <w:szCs w:val="22"/>
        </w:rPr>
        <w:t>,</w:t>
      </w:r>
      <w:r w:rsidRPr="00FD5521">
        <w:rPr>
          <w:rFonts w:ascii="Palatino Linotype" w:eastAsia="Palatino Linotype" w:hAnsi="Palatino Linotype" w:cs="Palatino Linotype"/>
          <w:sz w:val="22"/>
          <w:szCs w:val="22"/>
        </w:rPr>
        <w:t xml:space="preserve"> en lo sucesivo el </w:t>
      </w:r>
      <w:r w:rsidRPr="00FD5521">
        <w:rPr>
          <w:rFonts w:ascii="Palatino Linotype" w:eastAsia="Palatino Linotype" w:hAnsi="Palatino Linotype" w:cs="Palatino Linotype"/>
          <w:b/>
          <w:sz w:val="22"/>
          <w:szCs w:val="22"/>
        </w:rPr>
        <w:t xml:space="preserve">SUJETO OBLIGADO; </w:t>
      </w:r>
      <w:r w:rsidRPr="00FD552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FD552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FD5521">
        <w:rPr>
          <w:rFonts w:ascii="Palatino Linotype" w:eastAsia="Palatino Linotype" w:hAnsi="Palatino Linotype" w:cs="Palatino Linotype"/>
          <w:b/>
          <w:sz w:val="22"/>
          <w:szCs w:val="22"/>
        </w:rPr>
        <w:t>A N T E C E D E N T E S:</w:t>
      </w:r>
    </w:p>
    <w:p w14:paraId="77D7A248" w14:textId="77777777" w:rsidR="00532AE4" w:rsidRPr="00FD552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2121F4B"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 xml:space="preserve">1. Solicitud de acceso a la información. </w:t>
      </w:r>
      <w:r w:rsidR="00EE5E30" w:rsidRPr="00FD5521">
        <w:rPr>
          <w:rFonts w:ascii="Palatino Linotype" w:eastAsia="Palatino Linotype" w:hAnsi="Palatino Linotype" w:cs="Palatino Linotype"/>
          <w:sz w:val="22"/>
          <w:szCs w:val="22"/>
        </w:rPr>
        <w:t xml:space="preserve">Con fecha </w:t>
      </w:r>
      <w:r w:rsidR="000F6773" w:rsidRPr="00FD5521">
        <w:rPr>
          <w:rFonts w:ascii="Palatino Linotype" w:eastAsia="Palatino Linotype" w:hAnsi="Palatino Linotype" w:cs="Palatino Linotype"/>
          <w:b/>
          <w:bCs/>
          <w:sz w:val="22"/>
          <w:szCs w:val="22"/>
        </w:rPr>
        <w:t xml:space="preserve">veintinueve de agosto </w:t>
      </w:r>
      <w:r w:rsidRPr="00FD5521">
        <w:rPr>
          <w:rFonts w:ascii="Palatino Linotype" w:eastAsia="Palatino Linotype" w:hAnsi="Palatino Linotype" w:cs="Palatino Linotype"/>
          <w:b/>
          <w:sz w:val="22"/>
          <w:szCs w:val="22"/>
        </w:rPr>
        <w:t>de dos mil veinticinco</w:t>
      </w:r>
      <w:r w:rsidRPr="00FD5521">
        <w:rPr>
          <w:rFonts w:ascii="Palatino Linotype" w:eastAsia="Palatino Linotype" w:hAnsi="Palatino Linotype" w:cs="Palatino Linotype"/>
          <w:sz w:val="22"/>
          <w:szCs w:val="22"/>
        </w:rPr>
        <w:t xml:space="preserve">, la parte </w:t>
      </w:r>
      <w:r w:rsidRPr="00FD5521">
        <w:rPr>
          <w:rFonts w:ascii="Palatino Linotype" w:eastAsia="Palatino Linotype" w:hAnsi="Palatino Linotype" w:cs="Palatino Linotype"/>
          <w:b/>
          <w:sz w:val="22"/>
          <w:szCs w:val="22"/>
        </w:rPr>
        <w:t xml:space="preserve">RECURRENTE </w:t>
      </w:r>
      <w:r w:rsidRPr="00FD5521">
        <w:rPr>
          <w:rFonts w:ascii="Palatino Linotype" w:eastAsia="Palatino Linotype" w:hAnsi="Palatino Linotype" w:cs="Palatino Linotype"/>
          <w:sz w:val="22"/>
          <w:szCs w:val="22"/>
        </w:rPr>
        <w:t xml:space="preserve">formuló a través del Sistema de Acceso a la Información Mexiquense, en adelante </w:t>
      </w:r>
      <w:r w:rsidRPr="00FD5521">
        <w:rPr>
          <w:rFonts w:ascii="Palatino Linotype" w:eastAsia="Palatino Linotype" w:hAnsi="Palatino Linotype" w:cs="Palatino Linotype"/>
          <w:b/>
          <w:sz w:val="22"/>
          <w:szCs w:val="22"/>
        </w:rPr>
        <w:t>SAIMEX,</w:t>
      </w:r>
      <w:r w:rsidRPr="00FD5521">
        <w:rPr>
          <w:rFonts w:ascii="Palatino Linotype" w:eastAsia="Palatino Linotype" w:hAnsi="Palatino Linotype" w:cs="Palatino Linotype"/>
          <w:sz w:val="22"/>
          <w:szCs w:val="22"/>
        </w:rPr>
        <w:t xml:space="preserve"> solicitud de información al </w:t>
      </w:r>
      <w:r w:rsidRPr="00FD5521">
        <w:rPr>
          <w:rFonts w:ascii="Palatino Linotype" w:eastAsia="Palatino Linotype" w:hAnsi="Palatino Linotype" w:cs="Palatino Linotype"/>
          <w:b/>
          <w:sz w:val="22"/>
          <w:szCs w:val="22"/>
        </w:rPr>
        <w:t>SUJETO OBLIGADO</w:t>
      </w:r>
      <w:r w:rsidRPr="00FD5521">
        <w:rPr>
          <w:rFonts w:ascii="Palatino Linotype" w:eastAsia="Palatino Linotype" w:hAnsi="Palatino Linotype" w:cs="Palatino Linotype"/>
          <w:sz w:val="22"/>
          <w:szCs w:val="22"/>
        </w:rPr>
        <w:t xml:space="preserve"> requiriéndole lo siguiente:</w:t>
      </w:r>
    </w:p>
    <w:p w14:paraId="614AEB14" w14:textId="77777777" w:rsidR="009753BF" w:rsidRPr="00FD5521" w:rsidRDefault="009753BF">
      <w:pPr>
        <w:spacing w:line="360" w:lineRule="auto"/>
        <w:jc w:val="both"/>
        <w:rPr>
          <w:rFonts w:ascii="Palatino Linotype" w:eastAsia="Palatino Linotype" w:hAnsi="Palatino Linotype" w:cs="Palatino Linotype"/>
          <w:sz w:val="22"/>
          <w:szCs w:val="22"/>
        </w:rPr>
      </w:pPr>
    </w:p>
    <w:p w14:paraId="0BF34AC3" w14:textId="33B76245" w:rsidR="00532AE4" w:rsidRPr="00FD5521" w:rsidRDefault="00EE0A87" w:rsidP="00EE0A87">
      <w:pPr>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i/>
          <w:sz w:val="22"/>
          <w:szCs w:val="22"/>
        </w:rPr>
        <w:t>“</w:t>
      </w:r>
      <w:r w:rsidR="000F6773" w:rsidRPr="00FD5521">
        <w:rPr>
          <w:rFonts w:ascii="Palatino Linotype" w:eastAsia="Palatino Linotype" w:hAnsi="Palatino Linotype" w:cs="Palatino Linotype"/>
          <w:i/>
          <w:sz w:val="22"/>
          <w:szCs w:val="22"/>
        </w:rPr>
        <w:t xml:space="preserve">1. Si actualmente existe algún procedimiento de responsabilidad administrativa en su contra, indicando autoridad responsable, tipo de procedimiento y motivo específico. 2. En caso de haber recibido alguna sanción administrativa, detalle el tipo de sanción, fecha de imposición y alcance de la misma, con copia de la resolución correspondiente. 3. Si alguno de estos procedimientos o sanciones se encuentra suspendido por la interposición de algún amparo, apelación u otro recurso legal, indique el órgano que concede la suspensión, el fundamento legal y el estado actual del recurso. 4. ¿Qué medidas ha tomado para cumplir con las disposiciones legales relacionadas con dichos procedimientos o sanciones, y qué acciones ha implementado para prevenir nuevos incumplimientos? 5. ¿Qué mecanismos existen para que la ciudadanía pueda verificar la información de manera pública y oficial, sin depender de rumores o filtraciones? 6. ¿Qué instancias de supervisión externa han revisado su caso y cuáles son los resultados o recomendaciones emitidos? 7. ¿Considera usted que estos procedimientos o sanciones </w:t>
      </w:r>
      <w:r w:rsidR="000F6773" w:rsidRPr="00FD5521">
        <w:rPr>
          <w:rFonts w:ascii="Palatino Linotype" w:eastAsia="Palatino Linotype" w:hAnsi="Palatino Linotype" w:cs="Palatino Linotype"/>
          <w:i/>
          <w:sz w:val="22"/>
          <w:szCs w:val="22"/>
        </w:rPr>
        <w:lastRenderedPageBreak/>
        <w:t>podrían afectar su capacidad de ejercer el cargo de Presidenta, y cómo garantiza que la administración municipal continúa funcionando con transparencia y legalidad? 8. ¿Qué consecuencias legales y administrativas asumiría en caso de confirmarse irregularidades durante su gestión? 9. ¿Qué criterios se aplican para determinar si un procedimiento o sanción se encuentra completamente cumplido, suspendido o en recurso, y cómo se comunica a la ciudadanía de manera verificable? 10. ¿Existen documentos oficiales que permitan a los ciudadanos corroborar de manera directa cada procedimiento, sanción o recurso interpuesto?</w:t>
      </w:r>
      <w:r w:rsidR="00A76F12" w:rsidRPr="00FD5521">
        <w:rPr>
          <w:rFonts w:ascii="Palatino Linotype" w:eastAsia="Palatino Linotype" w:hAnsi="Palatino Linotype" w:cs="Palatino Linotype"/>
          <w:i/>
          <w:sz w:val="22"/>
          <w:szCs w:val="22"/>
        </w:rPr>
        <w:t>” (Sic)</w:t>
      </w:r>
    </w:p>
    <w:p w14:paraId="0F87CB2C" w14:textId="77777777" w:rsidR="00532AE4" w:rsidRPr="00FD5521" w:rsidRDefault="00532AE4">
      <w:pPr>
        <w:spacing w:line="360" w:lineRule="auto"/>
        <w:jc w:val="both"/>
        <w:rPr>
          <w:rFonts w:ascii="Palatino Linotype" w:eastAsia="Palatino Linotype" w:hAnsi="Palatino Linotype" w:cs="Palatino Linotype"/>
          <w:b/>
          <w:sz w:val="22"/>
          <w:szCs w:val="22"/>
        </w:rPr>
      </w:pPr>
    </w:p>
    <w:p w14:paraId="7F799ECE" w14:textId="259FDBD1" w:rsidR="000F6773" w:rsidRPr="00FD5521" w:rsidRDefault="000F6773">
      <w:pPr>
        <w:spacing w:line="360" w:lineRule="auto"/>
        <w:jc w:val="both"/>
        <w:rPr>
          <w:rFonts w:ascii="Palatino Linotype" w:eastAsia="Palatino Linotype" w:hAnsi="Palatino Linotype" w:cs="Palatino Linotype"/>
          <w:bCs/>
          <w:sz w:val="22"/>
          <w:szCs w:val="22"/>
        </w:rPr>
      </w:pPr>
      <w:r w:rsidRPr="00FD5521">
        <w:rPr>
          <w:rFonts w:ascii="Palatino Linotype" w:eastAsia="Palatino Linotype" w:hAnsi="Palatino Linotype" w:cs="Palatino Linotype"/>
          <w:bCs/>
          <w:sz w:val="22"/>
          <w:szCs w:val="22"/>
        </w:rPr>
        <w:t xml:space="preserve">La </w:t>
      </w:r>
      <w:r w:rsidRPr="00FD5521">
        <w:rPr>
          <w:rFonts w:ascii="Palatino Linotype" w:eastAsia="Palatino Linotype" w:hAnsi="Palatino Linotype" w:cs="Palatino Linotype"/>
          <w:b/>
          <w:sz w:val="22"/>
          <w:szCs w:val="22"/>
        </w:rPr>
        <w:t xml:space="preserve">PARTE RECURRENTE </w:t>
      </w:r>
      <w:r w:rsidRPr="00FD5521">
        <w:rPr>
          <w:rFonts w:ascii="Palatino Linotype" w:eastAsia="Palatino Linotype" w:hAnsi="Palatino Linotype" w:cs="Palatino Linotype"/>
          <w:bCs/>
          <w:sz w:val="22"/>
          <w:szCs w:val="22"/>
        </w:rPr>
        <w:t>adjuntó el archivo: “</w:t>
      </w:r>
      <w:r w:rsidRPr="00FD5521">
        <w:rPr>
          <w:rFonts w:ascii="Palatino Linotype" w:eastAsia="Palatino Linotype" w:hAnsi="Palatino Linotype" w:cs="Palatino Linotype"/>
          <w:bCs/>
          <w:i/>
          <w:iCs/>
          <w:sz w:val="22"/>
          <w:szCs w:val="22"/>
        </w:rPr>
        <w:t>Solicitud procedimientos.pdf</w:t>
      </w:r>
      <w:r w:rsidRPr="00FD5521">
        <w:rPr>
          <w:rFonts w:ascii="Palatino Linotype" w:eastAsia="Palatino Linotype" w:hAnsi="Palatino Linotype" w:cs="Palatino Linotype"/>
          <w:bCs/>
          <w:sz w:val="22"/>
          <w:szCs w:val="22"/>
        </w:rPr>
        <w:t>”, cuyo contenido es el siguiente:</w:t>
      </w:r>
    </w:p>
    <w:p w14:paraId="77229533" w14:textId="77777777" w:rsidR="000F6773" w:rsidRPr="00FD5521" w:rsidRDefault="000F6773" w:rsidP="000F6773">
      <w:pPr>
        <w:spacing w:line="360" w:lineRule="auto"/>
        <w:jc w:val="center"/>
        <w:rPr>
          <w:rFonts w:ascii="Palatino Linotype" w:eastAsia="Palatino Linotype" w:hAnsi="Palatino Linotype" w:cs="Palatino Linotype"/>
          <w:bCs/>
          <w:sz w:val="22"/>
          <w:szCs w:val="22"/>
        </w:rPr>
      </w:pPr>
      <w:r w:rsidRPr="00FD5521">
        <w:rPr>
          <w:noProof/>
          <w:lang w:val="es-MX"/>
        </w:rPr>
        <w:drawing>
          <wp:inline distT="0" distB="0" distL="0" distR="0" wp14:anchorId="6DB990F0" wp14:editId="61340B53">
            <wp:extent cx="3600000" cy="4960000"/>
            <wp:effectExtent l="0" t="0" r="635" b="0"/>
            <wp:docPr id="18476449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644925" name=""/>
                    <pic:cNvPicPr/>
                  </pic:nvPicPr>
                  <pic:blipFill>
                    <a:blip r:embed="rId9"/>
                    <a:stretch>
                      <a:fillRect/>
                    </a:stretch>
                  </pic:blipFill>
                  <pic:spPr>
                    <a:xfrm>
                      <a:off x="0" y="0"/>
                      <a:ext cx="3600000" cy="4960000"/>
                    </a:xfrm>
                    <a:prstGeom prst="rect">
                      <a:avLst/>
                    </a:prstGeom>
                  </pic:spPr>
                </pic:pic>
              </a:graphicData>
            </a:graphic>
          </wp:inline>
        </w:drawing>
      </w:r>
    </w:p>
    <w:p w14:paraId="7B4B7412" w14:textId="2534D6D6" w:rsidR="000F6773" w:rsidRPr="00FD5521" w:rsidRDefault="000F6773" w:rsidP="000F6773">
      <w:pPr>
        <w:spacing w:line="360" w:lineRule="auto"/>
        <w:jc w:val="center"/>
        <w:rPr>
          <w:rFonts w:ascii="Palatino Linotype" w:eastAsia="Palatino Linotype" w:hAnsi="Palatino Linotype" w:cs="Palatino Linotype"/>
          <w:bCs/>
          <w:sz w:val="22"/>
          <w:szCs w:val="22"/>
        </w:rPr>
      </w:pPr>
      <w:r w:rsidRPr="00FD5521">
        <w:rPr>
          <w:noProof/>
          <w:lang w:val="es-MX"/>
        </w:rPr>
        <w:lastRenderedPageBreak/>
        <w:drawing>
          <wp:inline distT="0" distB="0" distL="0" distR="0" wp14:anchorId="1C05B3F2" wp14:editId="0A5116AC">
            <wp:extent cx="3600000" cy="1025235"/>
            <wp:effectExtent l="0" t="0" r="635" b="3810"/>
            <wp:docPr id="10437337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733712" name=""/>
                    <pic:cNvPicPr/>
                  </pic:nvPicPr>
                  <pic:blipFill>
                    <a:blip r:embed="rId10"/>
                    <a:stretch>
                      <a:fillRect/>
                    </a:stretch>
                  </pic:blipFill>
                  <pic:spPr>
                    <a:xfrm>
                      <a:off x="0" y="0"/>
                      <a:ext cx="3600000" cy="1025235"/>
                    </a:xfrm>
                    <a:prstGeom prst="rect">
                      <a:avLst/>
                    </a:prstGeom>
                  </pic:spPr>
                </pic:pic>
              </a:graphicData>
            </a:graphic>
          </wp:inline>
        </w:drawing>
      </w:r>
    </w:p>
    <w:p w14:paraId="678A1087" w14:textId="1D41C6F0"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 xml:space="preserve">Modalidad elegida para la entrega de la información: </w:t>
      </w:r>
      <w:r w:rsidRPr="00FD5521">
        <w:rPr>
          <w:rFonts w:ascii="Palatino Linotype" w:eastAsia="Palatino Linotype" w:hAnsi="Palatino Linotype" w:cs="Palatino Linotype"/>
          <w:sz w:val="22"/>
          <w:szCs w:val="22"/>
        </w:rPr>
        <w:t>a través del SAIMEX.</w:t>
      </w:r>
    </w:p>
    <w:p w14:paraId="36A8F811"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FD5521" w:rsidRDefault="00D763D8">
      <w:pPr>
        <w:spacing w:line="360" w:lineRule="auto"/>
        <w:jc w:val="both"/>
        <w:rPr>
          <w:rFonts w:ascii="Palatino Linotype" w:eastAsia="Palatino Linotype" w:hAnsi="Palatino Linotype" w:cs="Palatino Linotype"/>
          <w:b/>
          <w:sz w:val="22"/>
          <w:szCs w:val="22"/>
        </w:rPr>
      </w:pPr>
      <w:r w:rsidRPr="00FD5521">
        <w:rPr>
          <w:rFonts w:ascii="Palatino Linotype" w:eastAsia="Palatino Linotype" w:hAnsi="Palatino Linotype" w:cs="Palatino Linotype"/>
          <w:b/>
          <w:sz w:val="22"/>
          <w:szCs w:val="22"/>
        </w:rPr>
        <w:t xml:space="preserve">2. </w:t>
      </w:r>
      <w:r w:rsidR="00A76F12" w:rsidRPr="00FD5521">
        <w:rPr>
          <w:rFonts w:ascii="Palatino Linotype" w:eastAsia="Palatino Linotype" w:hAnsi="Palatino Linotype" w:cs="Palatino Linotype"/>
          <w:b/>
          <w:sz w:val="22"/>
          <w:szCs w:val="22"/>
        </w:rPr>
        <w:t xml:space="preserve">Respuesta. </w:t>
      </w:r>
      <w:r w:rsidR="00A76F12" w:rsidRPr="00FD5521">
        <w:rPr>
          <w:rFonts w:ascii="Palatino Linotype" w:eastAsia="Palatino Linotype" w:hAnsi="Palatino Linotype" w:cs="Palatino Linotype"/>
          <w:sz w:val="22"/>
          <w:szCs w:val="22"/>
        </w:rPr>
        <w:t xml:space="preserve">El </w:t>
      </w:r>
      <w:r w:rsidR="00A76F12" w:rsidRPr="00FD5521">
        <w:rPr>
          <w:rFonts w:ascii="Palatino Linotype" w:eastAsia="Palatino Linotype" w:hAnsi="Palatino Linotype" w:cs="Palatino Linotype"/>
          <w:b/>
          <w:sz w:val="22"/>
          <w:szCs w:val="22"/>
        </w:rPr>
        <w:t xml:space="preserve">SUJETO OBLIGADO </w:t>
      </w:r>
      <w:r w:rsidR="00A76F12" w:rsidRPr="00FD5521">
        <w:rPr>
          <w:rFonts w:ascii="Palatino Linotype" w:eastAsia="Palatino Linotype" w:hAnsi="Palatino Linotype" w:cs="Palatino Linotype"/>
          <w:sz w:val="22"/>
          <w:szCs w:val="22"/>
        </w:rPr>
        <w:t xml:space="preserve">fue omiso en proporcionar respuesta. </w:t>
      </w:r>
    </w:p>
    <w:p w14:paraId="66730054"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64E077EC" w14:textId="38EB9A51" w:rsidR="00532AE4" w:rsidRPr="00FD5521" w:rsidRDefault="008869C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3</w:t>
      </w:r>
      <w:r w:rsidR="00A76F12" w:rsidRPr="00FD5521">
        <w:rPr>
          <w:rFonts w:ascii="Palatino Linotype" w:eastAsia="Palatino Linotype" w:hAnsi="Palatino Linotype" w:cs="Palatino Linotype"/>
          <w:b/>
          <w:sz w:val="22"/>
          <w:szCs w:val="22"/>
        </w:rPr>
        <w:t xml:space="preserve">. Interposición del recurso de revisión. </w:t>
      </w:r>
      <w:r w:rsidR="00A76F12" w:rsidRPr="00FD5521">
        <w:rPr>
          <w:rFonts w:ascii="Palatino Linotype" w:eastAsia="Palatino Linotype" w:hAnsi="Palatino Linotype" w:cs="Palatino Linotype"/>
          <w:sz w:val="22"/>
          <w:szCs w:val="22"/>
        </w:rPr>
        <w:t xml:space="preserve">Inconforme la parte solicitante con la falta de respuesta del </w:t>
      </w:r>
      <w:r w:rsidR="00A76F12" w:rsidRPr="00FD5521">
        <w:rPr>
          <w:rFonts w:ascii="Palatino Linotype" w:eastAsia="Palatino Linotype" w:hAnsi="Palatino Linotype" w:cs="Palatino Linotype"/>
          <w:b/>
          <w:sz w:val="22"/>
          <w:szCs w:val="22"/>
        </w:rPr>
        <w:t>SUJETO OBLIGADO</w:t>
      </w:r>
      <w:r w:rsidR="00A76F12" w:rsidRPr="00FD5521">
        <w:rPr>
          <w:rFonts w:ascii="Palatino Linotype" w:eastAsia="Palatino Linotype" w:hAnsi="Palatino Linotype" w:cs="Palatino Linotype"/>
          <w:sz w:val="22"/>
          <w:szCs w:val="22"/>
        </w:rPr>
        <w:t xml:space="preserve">, interpuso recurso de revisión a través del SAIMEX en fecha </w:t>
      </w:r>
      <w:r w:rsidR="001417A2" w:rsidRPr="00FD5521">
        <w:rPr>
          <w:rFonts w:ascii="Palatino Linotype" w:eastAsia="Palatino Linotype" w:hAnsi="Palatino Linotype" w:cs="Palatino Linotype"/>
          <w:b/>
          <w:sz w:val="22"/>
          <w:szCs w:val="22"/>
        </w:rPr>
        <w:t xml:space="preserve">veintitrés de septiembre </w:t>
      </w:r>
      <w:r w:rsidR="00A76F12" w:rsidRPr="00FD5521">
        <w:rPr>
          <w:rFonts w:ascii="Palatino Linotype" w:eastAsia="Palatino Linotype" w:hAnsi="Palatino Linotype" w:cs="Palatino Linotype"/>
          <w:b/>
          <w:sz w:val="22"/>
          <w:szCs w:val="22"/>
        </w:rPr>
        <w:t>de dos mil veinticinco</w:t>
      </w:r>
      <w:r w:rsidR="00A76F12" w:rsidRPr="00FD5521">
        <w:rPr>
          <w:rFonts w:ascii="Palatino Linotype" w:eastAsia="Palatino Linotype" w:hAnsi="Palatino Linotype" w:cs="Palatino Linotype"/>
          <w:sz w:val="22"/>
          <w:szCs w:val="22"/>
        </w:rPr>
        <w:t>, expresando lo siguiente:</w:t>
      </w:r>
    </w:p>
    <w:p w14:paraId="126577AC"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59ACBA47" w14:textId="71140C16" w:rsidR="00532AE4" w:rsidRPr="00FD5521" w:rsidRDefault="00A76F12">
      <w:pPr>
        <w:spacing w:line="360" w:lineRule="auto"/>
        <w:ind w:left="567" w:right="616"/>
        <w:jc w:val="both"/>
        <w:rPr>
          <w:rFonts w:ascii="Palatino Linotype" w:eastAsia="Palatino Linotype" w:hAnsi="Palatino Linotype" w:cs="Palatino Linotype"/>
          <w:b/>
          <w:i/>
          <w:sz w:val="22"/>
          <w:szCs w:val="22"/>
        </w:rPr>
      </w:pPr>
      <w:r w:rsidRPr="00FD5521">
        <w:rPr>
          <w:rFonts w:ascii="Palatino Linotype" w:eastAsia="Palatino Linotype" w:hAnsi="Palatino Linotype" w:cs="Palatino Linotype"/>
          <w:b/>
          <w:sz w:val="22"/>
          <w:szCs w:val="22"/>
        </w:rPr>
        <w:t>a) Acto impugnado</w:t>
      </w:r>
      <w:r w:rsidRPr="00FD5521">
        <w:rPr>
          <w:rFonts w:ascii="Palatino Linotype" w:eastAsia="Palatino Linotype" w:hAnsi="Palatino Linotype" w:cs="Palatino Linotype"/>
          <w:b/>
          <w:i/>
          <w:sz w:val="22"/>
          <w:szCs w:val="22"/>
        </w:rPr>
        <w:t xml:space="preserve">. </w:t>
      </w:r>
      <w:r w:rsidR="00A27295" w:rsidRPr="00FD5521">
        <w:rPr>
          <w:rFonts w:ascii="Palatino Linotype" w:eastAsia="Palatino Linotype" w:hAnsi="Palatino Linotype" w:cs="Palatino Linotype"/>
          <w:b/>
          <w:i/>
          <w:sz w:val="22"/>
          <w:szCs w:val="22"/>
        </w:rPr>
        <w:t>“</w:t>
      </w:r>
      <w:r w:rsidR="001417A2" w:rsidRPr="00FD5521">
        <w:rPr>
          <w:rFonts w:ascii="Palatino Linotype" w:eastAsia="Palatino Linotype" w:hAnsi="Palatino Linotype" w:cs="Palatino Linotype"/>
          <w:bCs/>
          <w:i/>
          <w:sz w:val="22"/>
          <w:szCs w:val="22"/>
        </w:rPr>
        <w:t>LA FALTA DE INFORMACIÓN Y RESPUESTA POR PARTE DEL SUJETO OBLIGADO CONSTITUYE DEL SUJETO DE VULNERACIÓN A MI DERECHO FUNDAMENTAL DE ACCESO A LA INFORMACIÓN PÚBLICA RECONOCIDO EN EL ARTICULO 6 DE LA CONSTITUCIÓN MEXICANA Y EN LA LEY DE TRANSPARENCIA, ACCESO A LA INFORMACIÓN PÚBLICA. HASTA LA FECHA NO EH RECIBIDO NINGUNA NOTIFICACIÓN SOBRE EL ESTADO DE MI SOLICITUD, NI SE ME HA ENTREGADO LA INFORMACIÓN REQUERIDA A PESAR DE QUE HA TRANSCURRIDO EL PLAZO DE DÍAS HÁBILES</w:t>
      </w:r>
      <w:r w:rsidR="00EE0A87" w:rsidRPr="00FD5521">
        <w:rPr>
          <w:rFonts w:ascii="Palatino Linotype" w:eastAsia="Palatino Linotype" w:hAnsi="Palatino Linotype" w:cs="Palatino Linotype"/>
          <w:i/>
          <w:sz w:val="22"/>
          <w:szCs w:val="22"/>
        </w:rPr>
        <w:t xml:space="preserve">.” </w:t>
      </w:r>
      <w:r w:rsidRPr="00FD5521">
        <w:rPr>
          <w:rFonts w:ascii="Palatino Linotype" w:eastAsia="Palatino Linotype" w:hAnsi="Palatino Linotype" w:cs="Palatino Linotype"/>
          <w:i/>
          <w:sz w:val="22"/>
          <w:szCs w:val="22"/>
        </w:rPr>
        <w:t>(Sic)</w:t>
      </w:r>
    </w:p>
    <w:p w14:paraId="527329DB" w14:textId="77777777" w:rsidR="00532AE4" w:rsidRPr="00FD5521" w:rsidRDefault="00532AE4">
      <w:pPr>
        <w:spacing w:line="360" w:lineRule="auto"/>
        <w:ind w:left="567" w:right="616"/>
        <w:rPr>
          <w:rFonts w:ascii="Palatino Linotype" w:eastAsia="Palatino Linotype" w:hAnsi="Palatino Linotype" w:cs="Palatino Linotype"/>
          <w:b/>
          <w:sz w:val="22"/>
          <w:szCs w:val="22"/>
        </w:rPr>
      </w:pPr>
    </w:p>
    <w:p w14:paraId="27199E43" w14:textId="48ABDF78" w:rsidR="00532AE4" w:rsidRPr="00FD5521" w:rsidRDefault="00A76F12">
      <w:pPr>
        <w:spacing w:line="360"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sz w:val="22"/>
          <w:szCs w:val="22"/>
        </w:rPr>
        <w:t>b) Motivos de inconformidad.</w:t>
      </w:r>
      <w:r w:rsidR="001417A2" w:rsidRPr="00FD5521">
        <w:rPr>
          <w:rFonts w:ascii="Palatino Linotype" w:eastAsia="Palatino Linotype" w:hAnsi="Palatino Linotype" w:cs="Palatino Linotype"/>
          <w:b/>
          <w:sz w:val="22"/>
          <w:szCs w:val="22"/>
        </w:rPr>
        <w:t xml:space="preserve"> </w:t>
      </w:r>
      <w:r w:rsidR="001417A2" w:rsidRPr="00FD5521">
        <w:rPr>
          <w:rFonts w:ascii="Palatino Linotype" w:eastAsia="Palatino Linotype" w:hAnsi="Palatino Linotype" w:cs="Palatino Linotype"/>
          <w:bCs/>
          <w:sz w:val="22"/>
          <w:szCs w:val="22"/>
        </w:rPr>
        <w:t>“LA NEGATIVA DE INFORMACIÓN SOLICITADA</w:t>
      </w:r>
      <w:r w:rsidR="00A27295" w:rsidRPr="00FD5521">
        <w:rPr>
          <w:rFonts w:ascii="Palatino Linotype" w:eastAsia="Palatino Linotype" w:hAnsi="Palatino Linotype" w:cs="Palatino Linotype"/>
          <w:i/>
          <w:sz w:val="22"/>
          <w:szCs w:val="22"/>
        </w:rPr>
        <w:t>”</w:t>
      </w:r>
      <w:r w:rsidRPr="00FD5521">
        <w:rPr>
          <w:rFonts w:ascii="Palatino Linotype" w:eastAsia="Palatino Linotype" w:hAnsi="Palatino Linotype" w:cs="Palatino Linotype"/>
          <w:i/>
          <w:sz w:val="22"/>
          <w:szCs w:val="22"/>
        </w:rPr>
        <w:t xml:space="preserve"> (Sic)</w:t>
      </w:r>
    </w:p>
    <w:p w14:paraId="1CD932CE" w14:textId="5A2F4FBE" w:rsidR="00532AE4" w:rsidRPr="00FD5521" w:rsidRDefault="001417A2">
      <w:pPr>
        <w:spacing w:line="360" w:lineRule="auto"/>
        <w:jc w:val="both"/>
        <w:rPr>
          <w:rFonts w:ascii="Palatino Linotype" w:eastAsia="Palatino Linotype" w:hAnsi="Palatino Linotype" w:cs="Palatino Linotype"/>
          <w:iCs/>
          <w:sz w:val="22"/>
          <w:szCs w:val="22"/>
        </w:rPr>
      </w:pPr>
      <w:r w:rsidRPr="00FD5521">
        <w:rPr>
          <w:rFonts w:ascii="Palatino Linotype" w:eastAsia="Palatino Linotype" w:hAnsi="Palatino Linotype" w:cs="Palatino Linotype"/>
          <w:iCs/>
          <w:sz w:val="22"/>
          <w:szCs w:val="22"/>
        </w:rPr>
        <w:t>La PARTE RECURRENTE adjuntó el archivo: “SIP SEP23 2.docx”, cuyo contenido es el siguiente:</w:t>
      </w:r>
    </w:p>
    <w:p w14:paraId="4C0DBBD7" w14:textId="7817E716" w:rsidR="001417A2" w:rsidRPr="00FD5521" w:rsidRDefault="001417A2" w:rsidP="001417A2">
      <w:pPr>
        <w:spacing w:line="360" w:lineRule="auto"/>
        <w:jc w:val="center"/>
        <w:rPr>
          <w:rFonts w:ascii="Palatino Linotype" w:eastAsia="Palatino Linotype" w:hAnsi="Palatino Linotype" w:cs="Palatino Linotype"/>
          <w:iCs/>
          <w:sz w:val="22"/>
          <w:szCs w:val="22"/>
        </w:rPr>
      </w:pPr>
      <w:r w:rsidRPr="00FD5521">
        <w:rPr>
          <w:noProof/>
          <w:lang w:val="es-MX"/>
        </w:rPr>
        <w:lastRenderedPageBreak/>
        <w:drawing>
          <wp:inline distT="0" distB="0" distL="0" distR="0" wp14:anchorId="4809371F" wp14:editId="24946B1E">
            <wp:extent cx="4019550" cy="3457575"/>
            <wp:effectExtent l="0" t="0" r="0" b="9525"/>
            <wp:docPr id="8318916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891605" name=""/>
                    <pic:cNvPicPr/>
                  </pic:nvPicPr>
                  <pic:blipFill>
                    <a:blip r:embed="rId11"/>
                    <a:stretch>
                      <a:fillRect/>
                    </a:stretch>
                  </pic:blipFill>
                  <pic:spPr>
                    <a:xfrm>
                      <a:off x="0" y="0"/>
                      <a:ext cx="4019550" cy="3457575"/>
                    </a:xfrm>
                    <a:prstGeom prst="rect">
                      <a:avLst/>
                    </a:prstGeom>
                  </pic:spPr>
                </pic:pic>
              </a:graphicData>
            </a:graphic>
          </wp:inline>
        </w:drawing>
      </w:r>
    </w:p>
    <w:p w14:paraId="537EC0BB" w14:textId="7DFC5DEA" w:rsidR="00532AE4" w:rsidRPr="00FD5521" w:rsidRDefault="008869C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4</w:t>
      </w:r>
      <w:r w:rsidR="00A76F12" w:rsidRPr="00FD5521">
        <w:rPr>
          <w:rFonts w:ascii="Palatino Linotype" w:eastAsia="Palatino Linotype" w:hAnsi="Palatino Linotype" w:cs="Palatino Linotype"/>
          <w:b/>
          <w:sz w:val="22"/>
          <w:szCs w:val="22"/>
        </w:rPr>
        <w:t xml:space="preserve">. Turno. </w:t>
      </w:r>
      <w:r w:rsidR="00A76F12" w:rsidRPr="00FD552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FD5521">
        <w:rPr>
          <w:rFonts w:ascii="Palatino Linotype" w:eastAsia="Palatino Linotype" w:hAnsi="Palatino Linotype" w:cs="Palatino Linotype"/>
          <w:b/>
          <w:sz w:val="22"/>
          <w:szCs w:val="22"/>
        </w:rPr>
        <w:t>Guadalupe Ramírez Peña</w:t>
      </w:r>
      <w:r w:rsidR="00A76F12" w:rsidRPr="00FD552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6F47DF3C" w14:textId="06279842" w:rsidR="00532AE4" w:rsidRPr="00FD5521" w:rsidRDefault="008869C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5</w:t>
      </w:r>
      <w:r w:rsidR="00A76F12" w:rsidRPr="00FD5521">
        <w:rPr>
          <w:rFonts w:ascii="Palatino Linotype" w:eastAsia="Palatino Linotype" w:hAnsi="Palatino Linotype" w:cs="Palatino Linotype"/>
          <w:b/>
          <w:sz w:val="22"/>
          <w:szCs w:val="22"/>
        </w:rPr>
        <w:t xml:space="preserve">. Admisión. </w:t>
      </w:r>
      <w:r w:rsidR="000672C5" w:rsidRPr="00FD5521">
        <w:rPr>
          <w:rFonts w:ascii="Palatino Linotype" w:eastAsia="Palatino Linotype" w:hAnsi="Palatino Linotype" w:cs="Palatino Linotype"/>
          <w:sz w:val="22"/>
          <w:szCs w:val="22"/>
        </w:rPr>
        <w:t xml:space="preserve">En </w:t>
      </w:r>
      <w:r w:rsidR="00A8506B" w:rsidRPr="00FD5521">
        <w:rPr>
          <w:rFonts w:ascii="Palatino Linotype" w:eastAsia="Palatino Linotype" w:hAnsi="Palatino Linotype" w:cs="Palatino Linotype"/>
          <w:sz w:val="22"/>
          <w:szCs w:val="22"/>
        </w:rPr>
        <w:t>fecha</w:t>
      </w:r>
      <w:r w:rsidR="001417A2" w:rsidRPr="00FD5521">
        <w:rPr>
          <w:rFonts w:ascii="Palatino Linotype" w:eastAsia="Palatino Linotype" w:hAnsi="Palatino Linotype" w:cs="Palatino Linotype"/>
          <w:sz w:val="22"/>
          <w:szCs w:val="22"/>
        </w:rPr>
        <w:t xml:space="preserve"> </w:t>
      </w:r>
      <w:r w:rsidR="001417A2" w:rsidRPr="00FD5521">
        <w:rPr>
          <w:rFonts w:ascii="Palatino Linotype" w:eastAsia="Palatino Linotype" w:hAnsi="Palatino Linotype" w:cs="Palatino Linotype"/>
          <w:b/>
          <w:bCs/>
          <w:sz w:val="22"/>
          <w:szCs w:val="22"/>
        </w:rPr>
        <w:t xml:space="preserve">veintiséis de septiembre </w:t>
      </w:r>
      <w:r w:rsidR="00A8506B" w:rsidRPr="00FD5521">
        <w:rPr>
          <w:rFonts w:ascii="Palatino Linotype" w:eastAsia="Palatino Linotype" w:hAnsi="Palatino Linotype" w:cs="Palatino Linotype"/>
          <w:b/>
          <w:sz w:val="22"/>
          <w:szCs w:val="22"/>
        </w:rPr>
        <w:t>de dos mil veinticinco</w:t>
      </w:r>
      <w:r w:rsidR="00A8506B" w:rsidRPr="00FD5521">
        <w:rPr>
          <w:rFonts w:ascii="Palatino Linotype" w:eastAsia="Palatino Linotype" w:hAnsi="Palatino Linotype" w:cs="Palatino Linotype"/>
          <w:sz w:val="22"/>
          <w:szCs w:val="22"/>
        </w:rPr>
        <w:t>,</w:t>
      </w:r>
      <w:r w:rsidR="000E7889" w:rsidRPr="00FD5521">
        <w:rPr>
          <w:rFonts w:ascii="Palatino Linotype" w:eastAsia="Palatino Linotype" w:hAnsi="Palatino Linotype" w:cs="Palatino Linotype"/>
          <w:sz w:val="22"/>
          <w:szCs w:val="22"/>
        </w:rPr>
        <w:t xml:space="preserve"> </w:t>
      </w:r>
      <w:r w:rsidR="00A76F12" w:rsidRPr="00FD5521">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01A1DEDC" w14:textId="5242CC59" w:rsidR="00532AE4" w:rsidRPr="00FD5521" w:rsidRDefault="008869C2">
      <w:pPr>
        <w:widowControl w:val="0"/>
        <w:spacing w:line="360" w:lineRule="auto"/>
        <w:ind w:right="49"/>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6</w:t>
      </w:r>
      <w:r w:rsidR="00A76F12" w:rsidRPr="00FD5521">
        <w:rPr>
          <w:rFonts w:ascii="Palatino Linotype" w:eastAsia="Palatino Linotype" w:hAnsi="Palatino Linotype" w:cs="Palatino Linotype"/>
          <w:b/>
          <w:sz w:val="22"/>
          <w:szCs w:val="22"/>
        </w:rPr>
        <w:t>. Manifestaciones</w:t>
      </w:r>
      <w:r w:rsidR="00A76F12" w:rsidRPr="00FD5521">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FD5521">
        <w:rPr>
          <w:rFonts w:ascii="Palatino Linotype" w:eastAsia="Palatino Linotype" w:hAnsi="Palatino Linotype" w:cs="Palatino Linotype"/>
          <w:sz w:val="22"/>
          <w:szCs w:val="22"/>
        </w:rPr>
        <w:t xml:space="preserve"> </w:t>
      </w:r>
    </w:p>
    <w:p w14:paraId="67A66293" w14:textId="77777777" w:rsidR="009753BF" w:rsidRPr="00FD5521" w:rsidRDefault="009753BF">
      <w:pPr>
        <w:widowControl w:val="0"/>
        <w:spacing w:line="360" w:lineRule="auto"/>
        <w:ind w:right="49"/>
        <w:jc w:val="both"/>
        <w:rPr>
          <w:rFonts w:ascii="Palatino Linotype" w:eastAsia="Palatino Linotype" w:hAnsi="Palatino Linotype" w:cs="Palatino Linotype"/>
          <w:sz w:val="22"/>
          <w:szCs w:val="22"/>
        </w:rPr>
      </w:pPr>
    </w:p>
    <w:p w14:paraId="39EF566B" w14:textId="5C7FFEE4" w:rsidR="00532AE4" w:rsidRPr="00FD5521" w:rsidRDefault="001417A2">
      <w:pPr>
        <w:spacing w:line="360" w:lineRule="auto"/>
        <w:jc w:val="both"/>
        <w:rPr>
          <w:rFonts w:ascii="Palatino Linotype" w:eastAsia="Palatino Linotype" w:hAnsi="Palatino Linotype" w:cs="Palatino Linotype"/>
          <w:sz w:val="22"/>
          <w:szCs w:val="22"/>
        </w:rPr>
      </w:pPr>
      <w:r w:rsidRPr="00FD5521">
        <w:rPr>
          <w:noProof/>
          <w:lang w:val="es-MX"/>
        </w:rPr>
        <w:lastRenderedPageBreak/>
        <w:drawing>
          <wp:inline distT="0" distB="0" distL="0" distR="0" wp14:anchorId="356247E5" wp14:editId="2F93B241">
            <wp:extent cx="5612130" cy="1584325"/>
            <wp:effectExtent l="0" t="0" r="7620" b="0"/>
            <wp:docPr id="6238123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12359" name=""/>
                    <pic:cNvPicPr/>
                  </pic:nvPicPr>
                  <pic:blipFill>
                    <a:blip r:embed="rId12"/>
                    <a:stretch>
                      <a:fillRect/>
                    </a:stretch>
                  </pic:blipFill>
                  <pic:spPr>
                    <a:xfrm>
                      <a:off x="0" y="0"/>
                      <a:ext cx="5612130" cy="1584325"/>
                    </a:xfrm>
                    <a:prstGeom prst="rect">
                      <a:avLst/>
                    </a:prstGeom>
                  </pic:spPr>
                </pic:pic>
              </a:graphicData>
            </a:graphic>
          </wp:inline>
        </w:drawing>
      </w:r>
      <w:r w:rsidR="00A76F12" w:rsidRPr="00FD5521">
        <w:rPr>
          <w:rFonts w:ascii="Palatino Linotype" w:eastAsia="Palatino Linotype" w:hAnsi="Palatino Linotype" w:cs="Palatino Linotype"/>
          <w:sz w:val="22"/>
          <w:szCs w:val="22"/>
        </w:rPr>
        <w:t xml:space="preserve"> </w:t>
      </w:r>
    </w:p>
    <w:p w14:paraId="2DD31F10" w14:textId="65D1CDCB" w:rsidR="00532AE4" w:rsidRPr="00FD5521" w:rsidRDefault="008869C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7</w:t>
      </w:r>
      <w:r w:rsidR="00A76F12" w:rsidRPr="00FD5521">
        <w:rPr>
          <w:rFonts w:ascii="Palatino Linotype" w:eastAsia="Palatino Linotype" w:hAnsi="Palatino Linotype" w:cs="Palatino Linotype"/>
          <w:b/>
          <w:sz w:val="22"/>
          <w:szCs w:val="22"/>
        </w:rPr>
        <w:t xml:space="preserve">. Cierre de instrucción. </w:t>
      </w:r>
      <w:r w:rsidR="00A76F12" w:rsidRPr="00FD552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1417A2" w:rsidRPr="00FD5521">
        <w:rPr>
          <w:rFonts w:ascii="Palatino Linotype" w:eastAsia="Palatino Linotype" w:hAnsi="Palatino Linotype" w:cs="Palatino Linotype"/>
          <w:b/>
          <w:sz w:val="22"/>
          <w:szCs w:val="22"/>
        </w:rPr>
        <w:t>seis de noviembre</w:t>
      </w:r>
      <w:r w:rsidR="00EE0A87" w:rsidRPr="00FD5521">
        <w:rPr>
          <w:rFonts w:ascii="Palatino Linotype" w:eastAsia="Palatino Linotype" w:hAnsi="Palatino Linotype" w:cs="Palatino Linotype"/>
          <w:b/>
          <w:sz w:val="22"/>
          <w:szCs w:val="22"/>
        </w:rPr>
        <w:t xml:space="preserve"> de dos mil veinti</w:t>
      </w:r>
      <w:r w:rsidR="001417A2" w:rsidRPr="00FD5521">
        <w:rPr>
          <w:rFonts w:ascii="Palatino Linotype" w:eastAsia="Palatino Linotype" w:hAnsi="Palatino Linotype" w:cs="Palatino Linotype"/>
          <w:b/>
          <w:sz w:val="22"/>
          <w:szCs w:val="22"/>
        </w:rPr>
        <w:t>cinco</w:t>
      </w:r>
      <w:r w:rsidR="00A76F12" w:rsidRPr="00FD552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r w:rsidR="00372B16" w:rsidRPr="00FD5521">
        <w:rPr>
          <w:rFonts w:ascii="Palatino Linotype" w:eastAsia="Palatino Linotype" w:hAnsi="Palatino Linotype" w:cs="Palatino Linotype"/>
          <w:sz w:val="22"/>
          <w:szCs w:val="22"/>
        </w:rPr>
        <w:t>}</w:t>
      </w:r>
    </w:p>
    <w:p w14:paraId="3CD0CA20" w14:textId="30E6FE40" w:rsidR="00372B16" w:rsidRPr="00FD5521" w:rsidRDefault="00372B16">
      <w:pPr>
        <w:spacing w:line="360" w:lineRule="auto"/>
        <w:jc w:val="both"/>
        <w:rPr>
          <w:rFonts w:ascii="Palatino Linotype" w:eastAsia="Palatino Linotype" w:hAnsi="Palatino Linotype" w:cs="Palatino Linotype"/>
          <w:sz w:val="22"/>
          <w:szCs w:val="22"/>
        </w:rPr>
      </w:pPr>
    </w:p>
    <w:p w14:paraId="62296DA0" w14:textId="429DB066"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bCs/>
          <w:sz w:val="22"/>
          <w:szCs w:val="22"/>
        </w:rPr>
        <w:t xml:space="preserve">8. </w:t>
      </w:r>
      <w:r w:rsidRPr="00FD5521">
        <w:rPr>
          <w:rFonts w:ascii="Palatino Linotype" w:eastAsia="Palatino Linotype" w:hAnsi="Palatino Linotype" w:cs="Palatino Linotype"/>
          <w:b/>
          <w:sz w:val="22"/>
          <w:szCs w:val="22"/>
        </w:rPr>
        <w:t xml:space="preserve">Ampliación de plazo. </w:t>
      </w:r>
      <w:r w:rsidRPr="00FD5521">
        <w:rPr>
          <w:rFonts w:ascii="Palatino Linotype" w:eastAsia="Palatino Linotype" w:hAnsi="Palatino Linotype" w:cs="Palatino Linotype"/>
          <w:sz w:val="22"/>
          <w:szCs w:val="22"/>
        </w:rPr>
        <w:t xml:space="preserve">El </w:t>
      </w:r>
      <w:r w:rsidRPr="00FD5521">
        <w:rPr>
          <w:rFonts w:ascii="Palatino Linotype" w:eastAsia="Palatino Linotype" w:hAnsi="Palatino Linotype" w:cs="Palatino Linotype"/>
          <w:b/>
          <w:sz w:val="22"/>
          <w:szCs w:val="22"/>
        </w:rPr>
        <w:t>veintiuno de enero de dos mil veintiséis</w:t>
      </w:r>
      <w:r w:rsidRPr="00FD5521">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A5F7521"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6B1D634E"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sz w:val="22"/>
          <w:szCs w:val="22"/>
          <w:lang w:val="es-MX"/>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1778BE3"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sz w:val="22"/>
          <w:szCs w:val="22"/>
          <w:lang w:val="es-MX"/>
        </w:rPr>
        <w:t xml:space="preserve"> </w:t>
      </w:r>
    </w:p>
    <w:p w14:paraId="423E7AAD"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sz w:val="22"/>
          <w:szCs w:val="22"/>
          <w:lang w:val="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FD5521">
        <w:rPr>
          <w:rFonts w:ascii="Palatino Linotype" w:eastAsia="Palatino Linotype" w:hAnsi="Palatino Linotype" w:cs="Palatino Linotype"/>
          <w:sz w:val="22"/>
          <w:szCs w:val="22"/>
          <w:lang w:val="es-MX"/>
        </w:rPr>
        <w:lastRenderedPageBreak/>
        <w:t>conforme a los parámetros establecidos por diversos órganos jurisdiccionales federales, aplicables también en procedimientos análogos, como el que nos ocupa.</w:t>
      </w:r>
    </w:p>
    <w:p w14:paraId="71F5184F"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62B28A41"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sz w:val="22"/>
          <w:szCs w:val="22"/>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66ECDAE"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13D585E6"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sz w:val="22"/>
          <w:szCs w:val="22"/>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17E7B6F"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6C52119C"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sz w:val="22"/>
          <w:szCs w:val="22"/>
          <w:lang w:val="es-MX"/>
        </w:rPr>
        <w:t xml:space="preserve">Por ello, excepcionalmente, si un asunto es resuelto con posterioridad a los plazos señalados por la norma debe analizarse la razonabilidad del tiempo necesario para su resolución, atentos a los siguientes criterios:  </w:t>
      </w:r>
    </w:p>
    <w:p w14:paraId="237A8808"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2EC171C0"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b/>
          <w:sz w:val="22"/>
          <w:szCs w:val="22"/>
          <w:lang w:val="es-MX"/>
        </w:rPr>
        <w:t>a)    Complejidad del asunto:</w:t>
      </w:r>
      <w:r w:rsidRPr="00FD5521">
        <w:rPr>
          <w:rFonts w:ascii="Palatino Linotype" w:eastAsia="Palatino Linotype" w:hAnsi="Palatino Linotype" w:cs="Palatino Linotype"/>
          <w:sz w:val="22"/>
          <w:szCs w:val="22"/>
          <w:lang w:val="es-MX"/>
        </w:rPr>
        <w:t xml:space="preserve"> La complejidad de la prueba, la pluralidad de sujetos procesales, el tiempo transcurrido, las características y contexto del recurso.</w:t>
      </w:r>
    </w:p>
    <w:p w14:paraId="4E359A3B"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b/>
          <w:sz w:val="22"/>
          <w:szCs w:val="22"/>
          <w:lang w:val="es-MX"/>
        </w:rPr>
        <w:t>b)   Actividad Procesal del interesado</w:t>
      </w:r>
      <w:r w:rsidRPr="00FD5521">
        <w:rPr>
          <w:rFonts w:ascii="Palatino Linotype" w:eastAsia="Palatino Linotype" w:hAnsi="Palatino Linotype" w:cs="Palatino Linotype"/>
          <w:sz w:val="22"/>
          <w:szCs w:val="22"/>
          <w:lang w:val="es-MX"/>
        </w:rPr>
        <w:t>: Acciones u omisiones del interesado.</w:t>
      </w:r>
    </w:p>
    <w:p w14:paraId="796AAE35"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b/>
          <w:sz w:val="22"/>
          <w:szCs w:val="22"/>
          <w:lang w:val="es-MX"/>
        </w:rPr>
        <w:t>c)  Conducta de la Autoridad:</w:t>
      </w:r>
      <w:r w:rsidRPr="00FD5521">
        <w:rPr>
          <w:rFonts w:ascii="Palatino Linotype" w:eastAsia="Palatino Linotype" w:hAnsi="Palatino Linotype" w:cs="Palatino Linotype"/>
          <w:sz w:val="22"/>
          <w:szCs w:val="22"/>
          <w:lang w:val="es-MX"/>
        </w:rPr>
        <w:t xml:space="preserve"> Las Acciones u omisiones realizadas en el procedimiento. Así como si la autoridad actuó con la debida diligencia.</w:t>
      </w:r>
    </w:p>
    <w:p w14:paraId="0CAA3339"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b/>
          <w:sz w:val="22"/>
          <w:szCs w:val="22"/>
          <w:lang w:val="es-MX"/>
        </w:rPr>
        <w:t>d) La afectación generada en la situación jurídica de la persona involucrada en el proceso:</w:t>
      </w:r>
      <w:r w:rsidRPr="00FD5521">
        <w:rPr>
          <w:rFonts w:ascii="Palatino Linotype" w:eastAsia="Palatino Linotype" w:hAnsi="Palatino Linotype" w:cs="Palatino Linotype"/>
          <w:sz w:val="22"/>
          <w:szCs w:val="22"/>
          <w:lang w:val="es-MX"/>
        </w:rPr>
        <w:t xml:space="preserve"> Violación a sus derechos humanos.</w:t>
      </w:r>
    </w:p>
    <w:p w14:paraId="787BD0DE"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4108D992"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sz w:val="22"/>
          <w:szCs w:val="22"/>
          <w:lang w:val="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8F98DF"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1EE86CE5"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sz w:val="22"/>
          <w:szCs w:val="22"/>
          <w:lang w:val="es-MX"/>
        </w:rPr>
        <w:t>Argumento que encuentra sustento en la jurisprudencia P./J. 32/92 emitida por el Pleno de la Suprema Corte de Justicia de la Nación de rubro “</w:t>
      </w:r>
      <w:r w:rsidRPr="00FD5521">
        <w:rPr>
          <w:rFonts w:ascii="Palatino Linotype" w:eastAsia="Palatino Linotype" w:hAnsi="Palatino Linotype" w:cs="Palatino Linotype"/>
          <w:b/>
          <w:sz w:val="22"/>
          <w:szCs w:val="22"/>
          <w:lang w:val="es-MX"/>
        </w:rPr>
        <w:t>TÉRMINOS PROCESALES. PARA DETERMINAR SI UN FUNCIONARIO JUDICIAL ACTUÓ INDEBIDAMENTE POR NO RESPETARLOS SE DEBE ATENDER AL PRESUPUESTO QUE CONSIDERÓ EL LEGISLADOR AL FIJARLOS Y LAS CARACTERÍSTICAS DEL CASO.”</w:t>
      </w:r>
      <w:r w:rsidRPr="00FD5521">
        <w:rPr>
          <w:rFonts w:ascii="Palatino Linotype" w:eastAsia="Palatino Linotype" w:hAnsi="Palatino Linotype" w:cs="Palatino Linotype"/>
          <w:sz w:val="22"/>
          <w:szCs w:val="22"/>
          <w:lang w:val="es-MX"/>
        </w:rPr>
        <w:t>, visible en la Gaceta del Seminario Judicial de la Federación con el registro digital 205635.</w:t>
      </w:r>
    </w:p>
    <w:p w14:paraId="55A6446A"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sz w:val="22"/>
          <w:szCs w:val="22"/>
          <w:lang w:val="es-MX"/>
        </w:rPr>
        <w:t xml:space="preserve"> </w:t>
      </w:r>
    </w:p>
    <w:p w14:paraId="669B6B53"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sz w:val="22"/>
          <w:szCs w:val="22"/>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7140AA"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5ACAC114"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sz w:val="22"/>
          <w:szCs w:val="22"/>
          <w:lang w:val="es-MX"/>
        </w:rPr>
        <w:t>Al respecto, también son de considerar los criterios sostenidos por el Cuarto Tribunal Colegiado en Materia Administrativa del Primer Circuito, cuyos rubros y datos de identificación son los siguientes:</w:t>
      </w:r>
    </w:p>
    <w:p w14:paraId="2F5DF7E7"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42FC3860"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b/>
          <w:sz w:val="22"/>
          <w:szCs w:val="22"/>
          <w:lang w:val="es-MX"/>
        </w:rPr>
        <w:t>“PLAZO RAZONABLE PARA RESOLVER. DIMENSIÓN Y EFECTOS DE ESTE CONCEPTO CUANDO SE ADUCE EXCESIVA CARGA DE TRABAJO.”</w:t>
      </w:r>
      <w:r w:rsidRPr="00FD5521">
        <w:rPr>
          <w:rFonts w:ascii="Palatino Linotype" w:eastAsia="Palatino Linotype" w:hAnsi="Palatino Linotype" w:cs="Palatino Linotype"/>
          <w:sz w:val="22"/>
          <w:szCs w:val="22"/>
          <w:lang w:val="es-MX"/>
        </w:rPr>
        <w:t xml:space="preserve"> consultable en el Seminario Judicial de la Federación y su gaceta, con el registro digital 2002351.</w:t>
      </w:r>
    </w:p>
    <w:p w14:paraId="610BA473"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16B0A6FF"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r w:rsidRPr="00FD5521">
        <w:rPr>
          <w:rFonts w:ascii="Palatino Linotype" w:eastAsia="Palatino Linotype" w:hAnsi="Palatino Linotype" w:cs="Palatino Linotype"/>
          <w:b/>
          <w:sz w:val="22"/>
          <w:szCs w:val="22"/>
          <w:lang w:val="es-MX"/>
        </w:rPr>
        <w:t>“PLAZO RAZONABLE PARA RESOLVER. CONCEPTO Y ELEMENTOS QUE LO INTEGRAN A LA LUZ DEL DERECHO INTERNACIONAL DE LOS DERECHOS HUMANOS.”,</w:t>
      </w:r>
      <w:r w:rsidRPr="00FD5521">
        <w:rPr>
          <w:rFonts w:ascii="Palatino Linotype" w:eastAsia="Palatino Linotype" w:hAnsi="Palatino Linotype" w:cs="Palatino Linotype"/>
          <w:sz w:val="22"/>
          <w:szCs w:val="22"/>
          <w:lang w:val="es-MX"/>
        </w:rPr>
        <w:t xml:space="preserve"> visible en el Seminario Judicial de la Federación y su gaceta, con el registro digital 2002350.</w:t>
      </w:r>
    </w:p>
    <w:p w14:paraId="1203489A"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lang w:val="es-MX"/>
        </w:rPr>
      </w:pPr>
    </w:p>
    <w:p w14:paraId="2304E5C2" w14:textId="77777777" w:rsidR="00372B16" w:rsidRPr="00FD5521" w:rsidRDefault="00372B16" w:rsidP="00372B1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lang w:val="es-MX"/>
        </w:rPr>
        <w:t xml:space="preserve">Por ello, este organismo garante comprometido con la tutela de los derechos humanos confiados señala que este exceso del plazo legal para resolver el presente asunto resulta de carácter excepcional. </w:t>
      </w:r>
    </w:p>
    <w:p w14:paraId="28B4A1D0" w14:textId="0DEF0498" w:rsidR="00372B16" w:rsidRPr="00FD5521" w:rsidRDefault="00372B16">
      <w:pPr>
        <w:spacing w:line="360" w:lineRule="auto"/>
        <w:jc w:val="both"/>
        <w:rPr>
          <w:rFonts w:ascii="Palatino Linotype" w:eastAsia="Palatino Linotype" w:hAnsi="Palatino Linotype" w:cs="Palatino Linotype"/>
          <w:b/>
          <w:bCs/>
          <w:sz w:val="22"/>
          <w:szCs w:val="22"/>
        </w:rPr>
      </w:pPr>
    </w:p>
    <w:p w14:paraId="175B861A"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FD5521" w:rsidRDefault="00A76F12">
      <w:pPr>
        <w:widowControl w:val="0"/>
        <w:spacing w:line="360" w:lineRule="auto"/>
        <w:jc w:val="center"/>
        <w:rPr>
          <w:rFonts w:ascii="Palatino Linotype" w:eastAsia="Palatino Linotype" w:hAnsi="Palatino Linotype" w:cs="Palatino Linotype"/>
          <w:b/>
          <w:sz w:val="22"/>
          <w:szCs w:val="22"/>
        </w:rPr>
      </w:pPr>
      <w:r w:rsidRPr="00FD5521">
        <w:rPr>
          <w:rFonts w:ascii="Palatino Linotype" w:eastAsia="Palatino Linotype" w:hAnsi="Palatino Linotype" w:cs="Palatino Linotype"/>
          <w:b/>
          <w:sz w:val="22"/>
          <w:szCs w:val="22"/>
        </w:rPr>
        <w:t>II. C O N S I D E R A N D O S</w:t>
      </w:r>
    </w:p>
    <w:p w14:paraId="04E1DD04" w14:textId="77777777" w:rsidR="00532AE4" w:rsidRPr="00FD552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FD5521" w:rsidRDefault="00A76F12" w:rsidP="005231DC">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Primero. Competencia.</w:t>
      </w:r>
      <w:r w:rsidRPr="00FD552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FD5521">
        <w:rPr>
          <w:rFonts w:ascii="Palatino Linotype" w:eastAsia="Palatino Linotype" w:hAnsi="Palatino Linotype" w:cs="Palatino Linotype"/>
          <w:sz w:val="22"/>
          <w:szCs w:val="22"/>
        </w:rPr>
        <w:t xml:space="preserve">5 párrafos cuadragésimo cuarto, cuadragésimo quinto y </w:t>
      </w:r>
      <w:r w:rsidR="009100C5" w:rsidRPr="00FD5521">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FD5521">
        <w:rPr>
          <w:rFonts w:ascii="Palatino Linotype" w:eastAsia="Palatino Linotype" w:hAnsi="Palatino Linotype" w:cs="Palatino Linotype"/>
          <w:sz w:val="22"/>
          <w:szCs w:val="22"/>
        </w:rPr>
        <w:t>;</w:t>
      </w:r>
      <w:r w:rsidR="005231DC" w:rsidRPr="00FD5521">
        <w:rPr>
          <w:rFonts w:ascii="Palatino Linotype" w:eastAsia="Palatino Linotype" w:hAnsi="Palatino Linotype" w:cs="Palatino Linotype"/>
          <w:sz w:val="22"/>
          <w:szCs w:val="22"/>
        </w:rPr>
        <w:t xml:space="preserve"> </w:t>
      </w:r>
      <w:r w:rsidRPr="00FD552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 xml:space="preserve">Segundo. Oportunidad y Procedibilidad del Recurso de Revisión. </w:t>
      </w:r>
      <w:r w:rsidRPr="00FD5521">
        <w:rPr>
          <w:rFonts w:ascii="Palatino Linotype" w:eastAsia="Palatino Linotype" w:hAnsi="Palatino Linotype" w:cs="Palatino Linotype"/>
          <w:sz w:val="22"/>
          <w:szCs w:val="22"/>
        </w:rPr>
        <w:t>Por cuanto hace a la oportunidad del recurso de revisión</w:t>
      </w:r>
      <w:r w:rsidRPr="00FD5521">
        <w:rPr>
          <w:rFonts w:ascii="Palatino Linotype" w:eastAsia="Palatino Linotype" w:hAnsi="Palatino Linotype" w:cs="Palatino Linotype"/>
          <w:b/>
          <w:sz w:val="22"/>
          <w:szCs w:val="22"/>
        </w:rPr>
        <w:t xml:space="preserve"> </w:t>
      </w:r>
      <w:r w:rsidRPr="00FD552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Derivado de lo anterior, se constituye la figura jurídica de la </w:t>
      </w:r>
      <w:r w:rsidRPr="00FD5521">
        <w:rPr>
          <w:rFonts w:ascii="Palatino Linotype" w:eastAsia="Palatino Linotype" w:hAnsi="Palatino Linotype" w:cs="Palatino Linotype"/>
          <w:b/>
          <w:sz w:val="22"/>
          <w:szCs w:val="22"/>
        </w:rPr>
        <w:t>NEGATIVA FICTA</w:t>
      </w:r>
      <w:r w:rsidRPr="00FD552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De tal manera, en el presente recurso de revisión se actualizó la negativa ficta por parte del </w:t>
      </w:r>
      <w:r w:rsidRPr="00FD5521">
        <w:rPr>
          <w:rFonts w:ascii="Palatino Linotype" w:eastAsia="Palatino Linotype" w:hAnsi="Palatino Linotype" w:cs="Palatino Linotype"/>
          <w:b/>
          <w:sz w:val="22"/>
          <w:szCs w:val="22"/>
        </w:rPr>
        <w:t>SUJETO OBLIGADO</w:t>
      </w:r>
      <w:r w:rsidRPr="00FD5521">
        <w:rPr>
          <w:rFonts w:ascii="Palatino Linotype" w:eastAsia="Palatino Linotype" w:hAnsi="Palatino Linotype" w:cs="Palatino Linotype"/>
          <w:sz w:val="22"/>
          <w:szCs w:val="22"/>
        </w:rPr>
        <w:t xml:space="preserve"> al no haber respondido a la parte </w:t>
      </w:r>
      <w:r w:rsidRPr="00FD5521">
        <w:rPr>
          <w:rFonts w:ascii="Palatino Linotype" w:eastAsia="Palatino Linotype" w:hAnsi="Palatino Linotype" w:cs="Palatino Linotype"/>
          <w:b/>
          <w:sz w:val="22"/>
          <w:szCs w:val="22"/>
        </w:rPr>
        <w:t>RECURRENTE</w:t>
      </w:r>
      <w:r w:rsidRPr="00FD5521">
        <w:rPr>
          <w:rFonts w:ascii="Palatino Linotype" w:eastAsia="Palatino Linotype" w:hAnsi="Palatino Linotype" w:cs="Palatino Linotype"/>
          <w:sz w:val="22"/>
          <w:szCs w:val="22"/>
        </w:rPr>
        <w:t xml:space="preserve"> en tiempo y forma en el plazo legal previsto para ello, en este sentido la falta de respuesta implica </w:t>
      </w:r>
      <w:r w:rsidRPr="00FD5521">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Si a ello se le suma lo previsto en el párrafo segundo del artículo 178, párrafo segundo</w:t>
      </w:r>
      <w:r w:rsidRPr="00FD5521">
        <w:rPr>
          <w:rFonts w:ascii="Palatino Linotype" w:eastAsia="Palatino Linotype" w:hAnsi="Palatino Linotype" w:cs="Palatino Linotype"/>
          <w:sz w:val="22"/>
          <w:szCs w:val="22"/>
          <w:vertAlign w:val="superscript"/>
        </w:rPr>
        <w:footnoteReference w:id="1"/>
      </w:r>
      <w:r w:rsidRPr="00FD552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FD5521" w:rsidRDefault="00532AE4">
      <w:pPr>
        <w:spacing w:line="360" w:lineRule="auto"/>
        <w:jc w:val="both"/>
        <w:rPr>
          <w:i/>
          <w:sz w:val="22"/>
          <w:szCs w:val="22"/>
        </w:rPr>
      </w:pPr>
    </w:p>
    <w:p w14:paraId="4BB01BE0" w14:textId="77777777" w:rsidR="00532AE4" w:rsidRPr="00FD5521" w:rsidRDefault="00A76F12">
      <w:pPr>
        <w:ind w:left="567" w:right="616"/>
        <w:jc w:val="both"/>
        <w:rPr>
          <w:rFonts w:ascii="Palatino Linotype" w:eastAsia="Palatino Linotype" w:hAnsi="Palatino Linotype" w:cs="Palatino Linotype"/>
          <w:b/>
          <w:i/>
          <w:sz w:val="22"/>
          <w:szCs w:val="22"/>
        </w:rPr>
      </w:pPr>
      <w:r w:rsidRPr="00FD5521">
        <w:rPr>
          <w:rFonts w:ascii="Palatino Linotype" w:eastAsia="Palatino Linotype" w:hAnsi="Palatino Linotype" w:cs="Palatino Linotype"/>
          <w:i/>
          <w:sz w:val="22"/>
          <w:szCs w:val="22"/>
        </w:rPr>
        <w:t>“</w:t>
      </w:r>
      <w:r w:rsidRPr="00FD5521">
        <w:rPr>
          <w:rFonts w:ascii="Palatino Linotype" w:eastAsia="Palatino Linotype" w:hAnsi="Palatino Linotype" w:cs="Palatino Linotype"/>
          <w:b/>
          <w:i/>
          <w:sz w:val="22"/>
          <w:szCs w:val="22"/>
        </w:rPr>
        <w:t>CRITERIO 0001-15 NEGATIVA FICTA. PLAZO PARA INTERPONER EL RECURSO DE REVISIÓN TRATÁNDOSE DE</w:t>
      </w:r>
      <w:r w:rsidRPr="00FD5521">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FD5521">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3E2A4694" w14:textId="77777777" w:rsidR="00532AE4" w:rsidRPr="00FD5521" w:rsidRDefault="00532AE4">
      <w:pPr>
        <w:ind w:left="567" w:right="851"/>
        <w:jc w:val="both"/>
        <w:rPr>
          <w:rFonts w:ascii="Palatino Linotype" w:eastAsia="Palatino Linotype" w:hAnsi="Palatino Linotype" w:cs="Palatino Linotype"/>
          <w:i/>
          <w:sz w:val="22"/>
          <w:szCs w:val="22"/>
        </w:rPr>
      </w:pPr>
    </w:p>
    <w:p w14:paraId="76E26C4F" w14:textId="169CE5C8" w:rsidR="00532AE4" w:rsidRPr="00FD552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FD5521">
        <w:rPr>
          <w:rFonts w:ascii="Palatino Linotype" w:eastAsia="Palatino Linotype" w:hAnsi="Palatino Linotype" w:cs="Palatino Linotype"/>
          <w:b/>
          <w:sz w:val="22"/>
          <w:szCs w:val="22"/>
        </w:rPr>
        <w:t>EL</w:t>
      </w:r>
      <w:r w:rsidRPr="00FD5521">
        <w:rPr>
          <w:rFonts w:ascii="Palatino Linotype" w:eastAsia="Palatino Linotype" w:hAnsi="Palatino Linotype" w:cs="Palatino Linotype"/>
          <w:sz w:val="22"/>
          <w:szCs w:val="22"/>
        </w:rPr>
        <w:t xml:space="preserve"> </w:t>
      </w:r>
      <w:r w:rsidRPr="00FD5521">
        <w:rPr>
          <w:rFonts w:ascii="Palatino Linotype" w:eastAsia="Palatino Linotype" w:hAnsi="Palatino Linotype" w:cs="Palatino Linotype"/>
          <w:b/>
          <w:sz w:val="22"/>
          <w:szCs w:val="22"/>
        </w:rPr>
        <w:t>SAIMEX</w:t>
      </w:r>
      <w:r w:rsidRPr="00FD5521">
        <w:rPr>
          <w:rFonts w:ascii="Palatino Linotype" w:eastAsia="Palatino Linotype" w:hAnsi="Palatino Linotype" w:cs="Palatino Linotype"/>
          <w:sz w:val="22"/>
          <w:szCs w:val="22"/>
        </w:rPr>
        <w:t>.</w:t>
      </w:r>
    </w:p>
    <w:p w14:paraId="1C27DB56" w14:textId="40163621" w:rsidR="00B503D1" w:rsidRPr="00FD552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FD5521">
        <w:rPr>
          <w:rFonts w:ascii="Palatino Linotype" w:eastAsia="Palatino Linotype" w:hAnsi="Palatino Linotype" w:cs="Palatino Linotype"/>
          <w:b/>
          <w:sz w:val="22"/>
          <w:szCs w:val="22"/>
        </w:rPr>
        <w:t>RECURRENTE</w:t>
      </w:r>
      <w:r w:rsidRPr="00FD552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FD5521" w:rsidRDefault="00A76F12">
      <w:pPr>
        <w:ind w:left="567" w:right="616"/>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i/>
          <w:sz w:val="22"/>
          <w:szCs w:val="22"/>
        </w:rPr>
        <w:t>“</w:t>
      </w:r>
      <w:r w:rsidRPr="00FD5521">
        <w:rPr>
          <w:rFonts w:ascii="Palatino Linotype" w:eastAsia="Palatino Linotype" w:hAnsi="Palatino Linotype" w:cs="Palatino Linotype"/>
          <w:b/>
          <w:sz w:val="22"/>
          <w:szCs w:val="22"/>
        </w:rPr>
        <w:t>Artículo 179.</w:t>
      </w:r>
      <w:r w:rsidRPr="00FD552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FD5521">
        <w:rPr>
          <w:rFonts w:ascii="Palatino Linotype" w:eastAsia="Palatino Linotype" w:hAnsi="Palatino Linotype" w:cs="Palatino Linotype"/>
          <w:sz w:val="22"/>
          <w:szCs w:val="22"/>
        </w:rPr>
        <w:t> </w:t>
      </w:r>
    </w:p>
    <w:p w14:paraId="7ACAE181" w14:textId="77777777" w:rsidR="00532AE4" w:rsidRPr="00FD5521" w:rsidRDefault="00A76F12">
      <w:pPr>
        <w:ind w:left="567" w:right="616"/>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w:t>
      </w:r>
    </w:p>
    <w:p w14:paraId="543A0FF7" w14:textId="77777777" w:rsidR="00532AE4" w:rsidRPr="00FD5521" w:rsidRDefault="00A76F12">
      <w:pPr>
        <w:numPr>
          <w:ilvl w:val="0"/>
          <w:numId w:val="4"/>
        </w:numPr>
        <w:ind w:left="567" w:right="616" w:firstLine="0"/>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FD552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FD5521" w:rsidRDefault="00A76F12">
      <w:pPr>
        <w:tabs>
          <w:tab w:val="left" w:pos="8647"/>
        </w:tabs>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 xml:space="preserve">Tercero. Materia de la revisión. </w:t>
      </w:r>
      <w:r w:rsidRPr="00FD5521">
        <w:rPr>
          <w:rFonts w:ascii="Palatino Linotype" w:eastAsia="Palatino Linotype" w:hAnsi="Palatino Linotype" w:cs="Palatino Linotype"/>
          <w:sz w:val="22"/>
          <w:szCs w:val="22"/>
        </w:rPr>
        <w:t xml:space="preserve">Este Organismo Garante procede del análisis de los agravios hechos valer por la parte </w:t>
      </w:r>
      <w:r w:rsidRPr="00FD5521">
        <w:rPr>
          <w:rFonts w:ascii="Palatino Linotype" w:eastAsia="Palatino Linotype" w:hAnsi="Palatino Linotype" w:cs="Palatino Linotype"/>
          <w:b/>
          <w:sz w:val="22"/>
          <w:szCs w:val="22"/>
        </w:rPr>
        <w:t>Recurrente</w:t>
      </w:r>
      <w:r w:rsidRPr="00FD552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FD552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 xml:space="preserve">Cuarto. Estudio del asunto. </w:t>
      </w:r>
      <w:r w:rsidRPr="00FD552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FD5521">
        <w:rPr>
          <w:rFonts w:ascii="Palatino Linotype" w:eastAsia="Palatino Linotype" w:hAnsi="Palatino Linotype" w:cs="Palatino Linotype"/>
          <w:b/>
          <w:sz w:val="22"/>
          <w:szCs w:val="22"/>
        </w:rPr>
        <w:t xml:space="preserve">Sujeto Obligado </w:t>
      </w:r>
      <w:r w:rsidRPr="00FD5521">
        <w:rPr>
          <w:rFonts w:ascii="Palatino Linotype" w:eastAsia="Palatino Linotype" w:hAnsi="Palatino Linotype" w:cs="Palatino Linotype"/>
          <w:sz w:val="22"/>
          <w:szCs w:val="22"/>
        </w:rPr>
        <w:t xml:space="preserve">no dio respuesta a la solicitud de información planteada por la parte </w:t>
      </w:r>
      <w:r w:rsidRPr="00FD5521">
        <w:rPr>
          <w:rFonts w:ascii="Palatino Linotype" w:eastAsia="Palatino Linotype" w:hAnsi="Palatino Linotype" w:cs="Palatino Linotype"/>
          <w:b/>
          <w:sz w:val="22"/>
          <w:szCs w:val="22"/>
        </w:rPr>
        <w:t>Recurrente</w:t>
      </w:r>
      <w:r w:rsidRPr="00FD5521">
        <w:rPr>
          <w:rFonts w:ascii="Palatino Linotype" w:eastAsia="Palatino Linotype" w:hAnsi="Palatino Linotype" w:cs="Palatino Linotype"/>
          <w:sz w:val="22"/>
          <w:szCs w:val="22"/>
        </w:rPr>
        <w:t xml:space="preserve">, lo que se traduce como la configuración de la </w:t>
      </w:r>
      <w:r w:rsidRPr="00FD5521">
        <w:rPr>
          <w:rFonts w:ascii="Palatino Linotype" w:eastAsia="Palatino Linotype" w:hAnsi="Palatino Linotype" w:cs="Palatino Linotype"/>
          <w:b/>
          <w:sz w:val="22"/>
          <w:szCs w:val="22"/>
        </w:rPr>
        <w:t>negativa ficta</w:t>
      </w:r>
      <w:r w:rsidRPr="00FD5521">
        <w:rPr>
          <w:rFonts w:ascii="Palatino Linotype" w:eastAsia="Palatino Linotype" w:hAnsi="Palatino Linotype" w:cs="Palatino Linotype"/>
          <w:sz w:val="22"/>
          <w:szCs w:val="22"/>
        </w:rPr>
        <w:t xml:space="preserve">, situación que demuestra la existencia del acto impugnado y procedencia del motivo </w:t>
      </w:r>
      <w:r w:rsidRPr="00FD5521">
        <w:rPr>
          <w:rFonts w:ascii="Palatino Linotype" w:eastAsia="Palatino Linotype" w:hAnsi="Palatino Linotype" w:cs="Palatino Linotype"/>
          <w:sz w:val="22"/>
          <w:szCs w:val="22"/>
        </w:rPr>
        <w:lastRenderedPageBreak/>
        <w:t xml:space="preserve">de inconformidad, que en términos generales consistente en que el </w:t>
      </w:r>
      <w:r w:rsidRPr="00FD5521">
        <w:rPr>
          <w:rFonts w:ascii="Palatino Linotype" w:eastAsia="Palatino Linotype" w:hAnsi="Palatino Linotype" w:cs="Palatino Linotype"/>
          <w:b/>
          <w:sz w:val="22"/>
          <w:szCs w:val="22"/>
        </w:rPr>
        <w:t>Sujeto Obligado</w:t>
      </w:r>
      <w:r w:rsidRPr="00FD552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FD5521">
        <w:rPr>
          <w:rFonts w:ascii="Palatino Linotype" w:eastAsia="Palatino Linotype" w:hAnsi="Palatino Linotype" w:cs="Palatino Linotype"/>
          <w:b/>
          <w:sz w:val="22"/>
          <w:szCs w:val="22"/>
        </w:rPr>
        <w:t>Recurrente</w:t>
      </w:r>
      <w:r w:rsidRPr="00FD5521">
        <w:rPr>
          <w:rFonts w:ascii="Palatino Linotype" w:eastAsia="Palatino Linotype" w:hAnsi="Palatino Linotype" w:cs="Palatino Linotype"/>
          <w:sz w:val="22"/>
          <w:szCs w:val="22"/>
        </w:rPr>
        <w:t xml:space="preserve">, se advierte que requirió al </w:t>
      </w:r>
      <w:r w:rsidRPr="00FD5521">
        <w:rPr>
          <w:rFonts w:ascii="Palatino Linotype" w:eastAsia="Palatino Linotype" w:hAnsi="Palatino Linotype" w:cs="Palatino Linotype"/>
          <w:b/>
          <w:sz w:val="22"/>
          <w:szCs w:val="22"/>
        </w:rPr>
        <w:t>Sujeto Obligado</w:t>
      </w:r>
      <w:r w:rsidRPr="00FD5521">
        <w:rPr>
          <w:rFonts w:ascii="Palatino Linotype" w:eastAsia="Palatino Linotype" w:hAnsi="Palatino Linotype" w:cs="Palatino Linotype"/>
          <w:sz w:val="22"/>
          <w:szCs w:val="22"/>
        </w:rPr>
        <w:t xml:space="preserve"> le proporcionara, información consistente en lo siguiente:</w:t>
      </w:r>
    </w:p>
    <w:p w14:paraId="35279DFB" w14:textId="3BE5325E" w:rsidR="00532AE4" w:rsidRPr="00FD5521" w:rsidRDefault="001417A2" w:rsidP="0027510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i/>
          <w:sz w:val="22"/>
          <w:szCs w:val="22"/>
        </w:rPr>
        <w:t>“1. Si actualmente existe algún procedimiento de responsabilidad administrativa en su contra, indicando autoridad responsable, tipo de procedimiento y motivo específico. 2. En caso de haber recibido alguna sanción administrativa, detalle el tipo de sanción, fecha de imposición y alcance de la misma, con copia de la resolución correspondiente. 3. Si alguno de estos procedimientos o sanciones se encuentra suspendido por la interposición de algún amparo, apelación u otro recurso legal, indique el órgano que concede la suspensión, el fundamento legal y el estado actual del recurso. 4. ¿Qué medidas ha tomado para cumplir con las disposiciones legales relacionadas con dichos procedimientos o sanciones, y qué acciones ha implementado para prevenir nuevos incumplimientos? 5. ¿Qué mecanismos existen para que la ciudadanía pueda verificar la información de manera pública y oficial, sin depender de rumores o filtraciones? 6. ¿Qué instancias de supervisión externa han revisado su caso y cuáles son los resultados o recomendaciones emitidos? 7. ¿Considera usted que estos procedimientos o sanciones podrían afectar su capacidad de ejercer el cargo de Presidenta, y cómo garantiza que la administración municipal continúa funcionando con transparencia y legalidad? 8. ¿Qué consecuencias legales y administrativas asumiría en caso de confirmarse irregularidades durante su gestión? 9. ¿Qué criterios se aplican para determinar si un procedimiento o sanción se encuentra completamente cumplido, suspendido o en recurso, y cómo se comunica a la ciudadanía de manera verificable? 10. ¿Existen documentos oficiales que permitan a los ciudadanos corroborar de manera directa cada procedimiento, sanción o recurso interpuesto?”</w:t>
      </w:r>
      <w:r w:rsidR="00EE0A87" w:rsidRPr="00FD5521">
        <w:rPr>
          <w:rFonts w:ascii="Palatino Linotype" w:eastAsia="Palatino Linotype" w:hAnsi="Palatino Linotype" w:cs="Palatino Linotype"/>
          <w:i/>
          <w:sz w:val="22"/>
          <w:szCs w:val="22"/>
        </w:rPr>
        <w:t>. (</w:t>
      </w:r>
      <w:r w:rsidR="00A76F12" w:rsidRPr="00FD5521">
        <w:rPr>
          <w:rFonts w:ascii="Palatino Linotype" w:eastAsia="Palatino Linotype" w:hAnsi="Palatino Linotype" w:cs="Palatino Linotype"/>
          <w:i/>
          <w:sz w:val="22"/>
          <w:szCs w:val="22"/>
        </w:rPr>
        <w:t>Sic)</w:t>
      </w:r>
    </w:p>
    <w:p w14:paraId="4BE46D97" w14:textId="77777777" w:rsidR="00532AE4" w:rsidRPr="00FD552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w:t>
      </w:r>
      <w:r w:rsidRPr="00FD5521">
        <w:rPr>
          <w:rFonts w:ascii="Palatino Linotype" w:eastAsia="Palatino Linotype" w:hAnsi="Palatino Linotype" w:cs="Palatino Linotype"/>
          <w:sz w:val="22"/>
          <w:szCs w:val="22"/>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FD5521" w:rsidRDefault="00A76F12">
      <w:pPr>
        <w:tabs>
          <w:tab w:val="left" w:pos="709"/>
        </w:tabs>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FD552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FD552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FD552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FD552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FD552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FD552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FD552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FD552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i/>
          <w:sz w:val="22"/>
          <w:szCs w:val="22"/>
        </w:rPr>
        <w:t>[…]</w:t>
      </w:r>
    </w:p>
    <w:p w14:paraId="54E0C206" w14:textId="77777777" w:rsidR="00532AE4" w:rsidRPr="00FD5521" w:rsidRDefault="00A76F12">
      <w:pPr>
        <w:spacing w:line="276" w:lineRule="auto"/>
        <w:ind w:left="567" w:right="851"/>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“Artículo 6o.</w:t>
      </w:r>
    </w:p>
    <w:p w14:paraId="4D803AB1" w14:textId="77777777" w:rsidR="00532AE4" w:rsidRPr="00FD5521" w:rsidRDefault="00A76F12">
      <w:pPr>
        <w:spacing w:line="276" w:lineRule="auto"/>
        <w:ind w:left="567" w:right="851"/>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i/>
          <w:sz w:val="22"/>
          <w:szCs w:val="22"/>
        </w:rPr>
        <w:t>[...]</w:t>
      </w:r>
    </w:p>
    <w:p w14:paraId="4B588253" w14:textId="77777777" w:rsidR="00532AE4" w:rsidRPr="00FD5521" w:rsidRDefault="00A76F12">
      <w:pPr>
        <w:spacing w:line="276" w:lineRule="auto"/>
        <w:ind w:left="567" w:right="851"/>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FD5521">
        <w:rPr>
          <w:rFonts w:ascii="Palatino Linotype" w:eastAsia="Palatino Linotype" w:hAnsi="Palatino Linotype" w:cs="Palatino Linotype"/>
          <w:b/>
          <w:i/>
          <w:sz w:val="22"/>
          <w:szCs w:val="22"/>
          <w:u w:val="single"/>
        </w:rPr>
        <w:t>las entidades federativas</w:t>
      </w:r>
      <w:r w:rsidRPr="00FD5521">
        <w:rPr>
          <w:rFonts w:ascii="Palatino Linotype" w:eastAsia="Palatino Linotype" w:hAnsi="Palatino Linotype" w:cs="Palatino Linotype"/>
          <w:b/>
          <w:i/>
          <w:sz w:val="22"/>
          <w:szCs w:val="22"/>
        </w:rPr>
        <w:t>,</w:t>
      </w:r>
      <w:r w:rsidRPr="00FD552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FD5521" w:rsidRDefault="00A76F12">
      <w:pPr>
        <w:spacing w:line="276" w:lineRule="auto"/>
        <w:ind w:left="567" w:right="851"/>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I. </w:t>
      </w:r>
      <w:r w:rsidRPr="00FD552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FD5521">
        <w:rPr>
          <w:rFonts w:ascii="Palatino Linotype" w:eastAsia="Palatino Linotype" w:hAnsi="Palatino Linotype" w:cs="Palatino Linotype"/>
          <w:i/>
          <w:sz w:val="22"/>
          <w:szCs w:val="22"/>
        </w:rPr>
        <w:t xml:space="preserve"> Ejecutivo, Legislativo </w:t>
      </w:r>
      <w:r w:rsidRPr="00FD5521">
        <w:rPr>
          <w:rFonts w:ascii="Palatino Linotype" w:eastAsia="Palatino Linotype" w:hAnsi="Palatino Linotype" w:cs="Palatino Linotype"/>
          <w:b/>
          <w:i/>
          <w:sz w:val="22"/>
          <w:szCs w:val="22"/>
          <w:u w:val="single"/>
        </w:rPr>
        <w:t>y Judicial</w:t>
      </w:r>
      <w:r w:rsidRPr="00FD552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FD5521">
        <w:rPr>
          <w:rFonts w:ascii="Palatino Linotype" w:eastAsia="Palatino Linotype" w:hAnsi="Palatino Linotype" w:cs="Palatino Linotype"/>
          <w:b/>
          <w:i/>
          <w:sz w:val="22"/>
          <w:szCs w:val="22"/>
        </w:rPr>
        <w:t>es pública y sólo podrá ser reservada temporalmente por razones de interés público y seguridad nacional,</w:t>
      </w:r>
      <w:r w:rsidRPr="00FD552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FD5521" w:rsidRDefault="00A76F12">
      <w:pPr>
        <w:spacing w:line="276" w:lineRule="auto"/>
        <w:ind w:left="567" w:right="851"/>
        <w:jc w:val="both"/>
        <w:rPr>
          <w:rFonts w:ascii="Palatino Linotype" w:eastAsia="Palatino Linotype" w:hAnsi="Palatino Linotype" w:cs="Palatino Linotype"/>
          <w:b/>
          <w:i/>
          <w:sz w:val="22"/>
          <w:szCs w:val="22"/>
        </w:rPr>
      </w:pPr>
      <w:r w:rsidRPr="00FD552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FD5521" w:rsidRDefault="00A76F12">
      <w:pPr>
        <w:spacing w:line="276" w:lineRule="auto"/>
        <w:ind w:left="567" w:right="851"/>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III. </w:t>
      </w:r>
      <w:r w:rsidRPr="00FD552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FD552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FD5521" w:rsidRDefault="00A76F12">
      <w:pPr>
        <w:spacing w:line="276" w:lineRule="auto"/>
        <w:ind w:left="567" w:right="851"/>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IV.</w:t>
      </w:r>
      <w:r w:rsidRPr="00FD552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FD5521" w:rsidRDefault="00A76F12">
      <w:pPr>
        <w:spacing w:line="276" w:lineRule="auto"/>
        <w:ind w:left="567" w:right="851"/>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V. </w:t>
      </w:r>
      <w:r w:rsidRPr="00FD552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FD552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FD552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FD5521" w:rsidRDefault="00A76F12">
      <w:pPr>
        <w:tabs>
          <w:tab w:val="left" w:pos="709"/>
        </w:tabs>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w:t>
      </w:r>
      <w:r w:rsidRPr="00FD5521">
        <w:rPr>
          <w:rFonts w:ascii="Palatino Linotype" w:eastAsia="Palatino Linotype" w:hAnsi="Palatino Linotype" w:cs="Palatino Linotype"/>
          <w:sz w:val="22"/>
          <w:szCs w:val="22"/>
        </w:rPr>
        <w:lastRenderedPageBreak/>
        <w:t>toda la información que posean con las excepciones enmarcadas, para lo cual queda demostrado que los Sujetos Obligados deben cumplir con dichos dispositivos legales.</w:t>
      </w:r>
    </w:p>
    <w:p w14:paraId="4AB4CE50" w14:textId="77777777" w:rsidR="00532AE4" w:rsidRPr="00FD552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FD55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i/>
          <w:sz w:val="22"/>
          <w:szCs w:val="22"/>
        </w:rPr>
        <w:t>“</w:t>
      </w:r>
      <w:r w:rsidRPr="00FD552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FD5521">
        <w:rPr>
          <w:rFonts w:ascii="Palatino Linotype" w:eastAsia="Palatino Linotype" w:hAnsi="Palatino Linotype" w:cs="Palatino Linotype"/>
          <w:i/>
          <w:sz w:val="22"/>
          <w:szCs w:val="22"/>
        </w:rPr>
        <w:t>:</w:t>
      </w:r>
    </w:p>
    <w:p w14:paraId="275F2B94" w14:textId="77777777" w:rsidR="00532AE4" w:rsidRPr="00FD552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FD5521">
        <w:rPr>
          <w:rFonts w:ascii="Palatino Linotype" w:eastAsia="Palatino Linotype" w:hAnsi="Palatino Linotype" w:cs="Palatino Linotype"/>
          <w:b/>
          <w:i/>
          <w:sz w:val="22"/>
          <w:szCs w:val="22"/>
        </w:rPr>
        <w:t>I.</w:t>
      </w:r>
      <w:r w:rsidRPr="00FD5521">
        <w:rPr>
          <w:rFonts w:ascii="Palatino Linotype" w:eastAsia="Palatino Linotype" w:hAnsi="Palatino Linotype" w:cs="Palatino Linotype"/>
          <w:i/>
          <w:sz w:val="22"/>
          <w:szCs w:val="22"/>
        </w:rPr>
        <w:t xml:space="preserve"> El Poder Ejecutivo del Estado de México, las dependencias, organismos auxiliares,</w:t>
      </w:r>
      <w:r w:rsidRPr="00FD5521">
        <w:rPr>
          <w:rFonts w:ascii="Palatino Linotype" w:eastAsia="Palatino Linotype" w:hAnsi="Palatino Linotype" w:cs="Palatino Linotype"/>
          <w:b/>
          <w:i/>
          <w:sz w:val="22"/>
          <w:szCs w:val="22"/>
        </w:rPr>
        <w:t xml:space="preserve"> </w:t>
      </w:r>
      <w:r w:rsidRPr="00FD552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FD55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II.</w:t>
      </w:r>
      <w:r w:rsidRPr="00FD552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FD55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III.</w:t>
      </w:r>
      <w:r w:rsidRPr="00FD552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FD552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FD552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FD55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V.</w:t>
      </w:r>
      <w:r w:rsidRPr="00FD5521">
        <w:rPr>
          <w:rFonts w:ascii="Palatino Linotype" w:eastAsia="Palatino Linotype" w:hAnsi="Palatino Linotype" w:cs="Palatino Linotype"/>
          <w:i/>
          <w:sz w:val="22"/>
          <w:szCs w:val="22"/>
        </w:rPr>
        <w:t xml:space="preserve"> Los órganos autónomos;</w:t>
      </w:r>
    </w:p>
    <w:p w14:paraId="47FBCC3D" w14:textId="77777777" w:rsidR="00532AE4" w:rsidRPr="00FD55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VI.</w:t>
      </w:r>
      <w:r w:rsidRPr="00FD552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FD55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VII.</w:t>
      </w:r>
      <w:r w:rsidRPr="00FD552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FD55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VIII.</w:t>
      </w:r>
      <w:r w:rsidRPr="00FD552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FD55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IX.</w:t>
      </w:r>
      <w:r w:rsidRPr="00FD552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FD55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X.</w:t>
      </w:r>
      <w:r w:rsidRPr="00FD552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FD55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XI.</w:t>
      </w:r>
      <w:r w:rsidRPr="00FD552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FD55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i/>
          <w:sz w:val="22"/>
          <w:szCs w:val="22"/>
        </w:rPr>
        <w:t xml:space="preserve">Los sujetos obligados deberán hacer pública toda aquella información relativa a los montos y las personas a quienes entreguen, por cualquier motivo, recursos públicos, así </w:t>
      </w:r>
      <w:r w:rsidRPr="00FD5521">
        <w:rPr>
          <w:rFonts w:ascii="Palatino Linotype" w:eastAsia="Palatino Linotype" w:hAnsi="Palatino Linotype" w:cs="Palatino Linotype"/>
          <w:i/>
          <w:sz w:val="22"/>
          <w:szCs w:val="22"/>
        </w:rPr>
        <w:lastRenderedPageBreak/>
        <w:t>como los informes que dichas personas les entreguen sobre el uso y destino de dichos recursos.</w:t>
      </w:r>
    </w:p>
    <w:p w14:paraId="3C92E68E" w14:textId="77777777" w:rsidR="00532AE4" w:rsidRPr="00FD552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FD5521">
        <w:rPr>
          <w:rFonts w:ascii="Palatino Linotype" w:eastAsia="Palatino Linotype" w:hAnsi="Palatino Linotype" w:cs="Palatino Linotype"/>
          <w:i/>
          <w:sz w:val="22"/>
          <w:szCs w:val="22"/>
        </w:rPr>
        <w:t>.”</w:t>
      </w:r>
    </w:p>
    <w:p w14:paraId="6AA3AC33"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FD552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FD552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FD552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FD552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FD552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Sirve de sustento a lo anterior, el precepto legal en cita:</w:t>
      </w:r>
    </w:p>
    <w:p w14:paraId="0E6F8D37"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FD5521" w:rsidRDefault="00A76F12">
      <w:pPr>
        <w:spacing w:line="276" w:lineRule="auto"/>
        <w:ind w:left="567" w:right="902"/>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i/>
          <w:sz w:val="22"/>
          <w:szCs w:val="22"/>
        </w:rPr>
        <w:t>“</w:t>
      </w:r>
      <w:r w:rsidRPr="00FD552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FD552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FD5521" w:rsidRDefault="00A76F12">
      <w:pPr>
        <w:spacing w:line="276" w:lineRule="auto"/>
        <w:ind w:left="567" w:right="902"/>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i/>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FD552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En mérito de lo expuesto, es claro que en este caso el </w:t>
      </w:r>
      <w:r w:rsidRPr="00FD5521">
        <w:rPr>
          <w:rFonts w:ascii="Palatino Linotype" w:eastAsia="Palatino Linotype" w:hAnsi="Palatino Linotype" w:cs="Palatino Linotype"/>
          <w:b/>
          <w:sz w:val="22"/>
          <w:szCs w:val="22"/>
        </w:rPr>
        <w:t>Sujeto Obligado</w:t>
      </w:r>
      <w:r w:rsidRPr="00FD552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D5521">
        <w:rPr>
          <w:rFonts w:ascii="Palatino Linotype" w:eastAsia="Palatino Linotype" w:hAnsi="Palatino Linotype" w:cs="Palatino Linotype"/>
          <w:b/>
          <w:sz w:val="22"/>
          <w:szCs w:val="22"/>
        </w:rPr>
        <w:t>el Sujeto Obligado</w:t>
      </w:r>
      <w:r w:rsidRPr="00FD5521">
        <w:rPr>
          <w:rFonts w:ascii="Palatino Linotype" w:eastAsia="Palatino Linotype" w:hAnsi="Palatino Linotype" w:cs="Palatino Linotype"/>
          <w:sz w:val="22"/>
          <w:szCs w:val="22"/>
        </w:rPr>
        <w:t>; por lo que, en caso de no atender de manera positiva</w:t>
      </w:r>
      <w:r w:rsidRPr="00FD5521">
        <w:rPr>
          <w:rFonts w:ascii="Palatino Linotype" w:eastAsia="Palatino Linotype" w:hAnsi="Palatino Linotype" w:cs="Palatino Linotype"/>
          <w:sz w:val="22"/>
          <w:szCs w:val="22"/>
          <w:vertAlign w:val="superscript"/>
        </w:rPr>
        <w:footnoteReference w:id="2"/>
      </w:r>
      <w:r w:rsidRPr="00FD5521">
        <w:rPr>
          <w:rFonts w:ascii="Palatino Linotype" w:eastAsia="Palatino Linotype" w:hAnsi="Palatino Linotype" w:cs="Palatino Linotype"/>
          <w:sz w:val="22"/>
          <w:szCs w:val="22"/>
        </w:rPr>
        <w:t>, el requerimiento de información deberá manifestarse al respecto.</w:t>
      </w:r>
    </w:p>
    <w:p w14:paraId="7F64E44B" w14:textId="77777777" w:rsidR="001417A2" w:rsidRPr="00FD5521" w:rsidRDefault="001417A2">
      <w:pPr>
        <w:spacing w:line="360" w:lineRule="auto"/>
        <w:jc w:val="both"/>
        <w:rPr>
          <w:rFonts w:ascii="Palatino Linotype" w:eastAsia="Palatino Linotype" w:hAnsi="Palatino Linotype" w:cs="Palatino Linotype"/>
          <w:sz w:val="22"/>
          <w:szCs w:val="22"/>
        </w:rPr>
      </w:pPr>
    </w:p>
    <w:p w14:paraId="294628CE" w14:textId="77777777" w:rsidR="001417A2" w:rsidRPr="00FD5521" w:rsidRDefault="001417A2">
      <w:pPr>
        <w:spacing w:line="360" w:lineRule="auto"/>
        <w:jc w:val="both"/>
        <w:rPr>
          <w:rFonts w:ascii="Palatino Linotype" w:eastAsia="Palatino Linotype" w:hAnsi="Palatino Linotype" w:cs="Palatino Linotype"/>
          <w:sz w:val="22"/>
          <w:szCs w:val="22"/>
        </w:rPr>
      </w:pPr>
    </w:p>
    <w:p w14:paraId="0274A458" w14:textId="77777777" w:rsidR="001417A2" w:rsidRPr="00FD5521" w:rsidRDefault="001417A2">
      <w:pPr>
        <w:spacing w:line="360" w:lineRule="auto"/>
        <w:jc w:val="both"/>
        <w:rPr>
          <w:rFonts w:ascii="Palatino Linotype" w:eastAsia="Palatino Linotype" w:hAnsi="Palatino Linotype" w:cs="Palatino Linotype"/>
          <w:sz w:val="22"/>
          <w:szCs w:val="22"/>
        </w:rPr>
      </w:pPr>
    </w:p>
    <w:p w14:paraId="7CF59B88"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FD552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D5521">
        <w:rPr>
          <w:rFonts w:ascii="Palatino Linotype" w:eastAsia="Palatino Linotype" w:hAnsi="Palatino Linotype" w:cs="Palatino Linotype"/>
          <w:b/>
          <w:sz w:val="22"/>
          <w:szCs w:val="22"/>
        </w:rPr>
        <w:t>De la clasificación de la información.</w:t>
      </w:r>
    </w:p>
    <w:p w14:paraId="7CB72775" w14:textId="77777777" w:rsidR="00532AE4" w:rsidRPr="00FD552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FD5521" w:rsidRDefault="00A76F12">
      <w:pPr>
        <w:spacing w:line="360" w:lineRule="auto"/>
        <w:ind w:right="51"/>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FD552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FD5521" w:rsidRDefault="00A76F12">
      <w:pPr>
        <w:spacing w:line="276" w:lineRule="auto"/>
        <w:ind w:left="851" w:right="900"/>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“Artículo 91. </w:t>
      </w:r>
      <w:r w:rsidRPr="00FD552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FD552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FD552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lastRenderedPageBreak/>
        <w:t xml:space="preserve">“Artículo 140. </w:t>
      </w:r>
      <w:r w:rsidRPr="00FD552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I. </w:t>
      </w:r>
      <w:r w:rsidRPr="00FD552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II. </w:t>
      </w:r>
      <w:r w:rsidRPr="00FD552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III. </w:t>
      </w:r>
      <w:r w:rsidRPr="00FD552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IV. </w:t>
      </w:r>
      <w:r w:rsidRPr="00FD552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V. </w:t>
      </w:r>
      <w:r w:rsidRPr="00FD552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1. </w:t>
      </w:r>
      <w:r w:rsidRPr="00FD552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2. </w:t>
      </w:r>
      <w:r w:rsidRPr="00FD5521">
        <w:rPr>
          <w:rFonts w:ascii="Palatino Linotype" w:eastAsia="Palatino Linotype" w:hAnsi="Palatino Linotype" w:cs="Palatino Linotype"/>
          <w:i/>
          <w:sz w:val="22"/>
          <w:szCs w:val="22"/>
        </w:rPr>
        <w:t>La recaudación de las contribuciones.</w:t>
      </w:r>
    </w:p>
    <w:p w14:paraId="4CD54AA9"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VI. </w:t>
      </w:r>
      <w:r w:rsidRPr="00FD552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VII. </w:t>
      </w:r>
      <w:r w:rsidRPr="00FD552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VIII</w:t>
      </w:r>
      <w:r w:rsidRPr="00FD552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FD5521">
        <w:rPr>
          <w:rFonts w:ascii="Palatino Linotype" w:eastAsia="Palatino Linotype" w:hAnsi="Palatino Linotype" w:cs="Palatino Linotype"/>
          <w:b/>
          <w:i/>
          <w:sz w:val="22"/>
          <w:szCs w:val="22"/>
        </w:rPr>
        <w:t>;</w:t>
      </w:r>
    </w:p>
    <w:p w14:paraId="20A105A2"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IX. </w:t>
      </w:r>
      <w:r w:rsidRPr="00FD552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X. </w:t>
      </w:r>
      <w:r w:rsidRPr="00FD552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XI. </w:t>
      </w:r>
      <w:r w:rsidRPr="00FD552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i/>
          <w:sz w:val="22"/>
          <w:szCs w:val="22"/>
        </w:rPr>
        <w:t>(…)</w:t>
      </w:r>
    </w:p>
    <w:p w14:paraId="7E7180B7"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Artículo 143. </w:t>
      </w:r>
      <w:r w:rsidRPr="00FD552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I. </w:t>
      </w:r>
      <w:r w:rsidRPr="00FD552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II. </w:t>
      </w:r>
      <w:r w:rsidRPr="00FD552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t xml:space="preserve">III. </w:t>
      </w:r>
      <w:r w:rsidRPr="00FD552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FD552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FD552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FD552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Se reciba una solicitud de acceso a la información;</w:t>
      </w:r>
    </w:p>
    <w:p w14:paraId="54E32C40" w14:textId="77777777" w:rsidR="00532AE4" w:rsidRPr="00FD552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Se determine mediante resolución de autoridad competente; y/o</w:t>
      </w:r>
    </w:p>
    <w:p w14:paraId="2A2574F5" w14:textId="77777777" w:rsidR="00532AE4" w:rsidRPr="00FD552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lastRenderedPageBreak/>
        <w:t>Se generen versiones públicas para dar cumplimiento a las obligaciones de transparencia previstas en la Ley.</w:t>
      </w:r>
    </w:p>
    <w:p w14:paraId="7A04AF72" w14:textId="77777777" w:rsidR="00532AE4" w:rsidRPr="00FD552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FD5521" w:rsidRDefault="00A76F12">
      <w:pPr>
        <w:spacing w:line="360" w:lineRule="auto"/>
        <w:ind w:right="51"/>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FD5521">
        <w:rPr>
          <w:rFonts w:ascii="Palatino Linotype" w:eastAsia="Palatino Linotype" w:hAnsi="Palatino Linotype" w:cs="Palatino Linotype"/>
          <w:b/>
          <w:sz w:val="22"/>
          <w:szCs w:val="22"/>
        </w:rPr>
        <w:t>Sujeto Obligado,</w:t>
      </w:r>
      <w:r w:rsidRPr="00FD552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FD5521">
        <w:rPr>
          <w:rFonts w:ascii="Palatino Linotype" w:eastAsia="Palatino Linotype" w:hAnsi="Palatino Linotype" w:cs="Palatino Linotype"/>
          <w:b/>
          <w:sz w:val="22"/>
          <w:szCs w:val="22"/>
        </w:rPr>
        <w:t>Sujeto Obligado</w:t>
      </w:r>
      <w:r w:rsidRPr="00FD552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FD5521">
        <w:rPr>
          <w:rFonts w:ascii="Palatino Linotype" w:eastAsia="Palatino Linotype" w:hAnsi="Palatino Linotype" w:cs="Palatino Linotype"/>
          <w:sz w:val="22"/>
          <w:szCs w:val="22"/>
          <w:vertAlign w:val="superscript"/>
        </w:rPr>
        <w:footnoteReference w:id="3"/>
      </w:r>
      <w:r w:rsidRPr="00FD5521">
        <w:rPr>
          <w:rFonts w:ascii="Palatino Linotype" w:eastAsia="Palatino Linotype" w:hAnsi="Palatino Linotype" w:cs="Palatino Linotype"/>
          <w:sz w:val="22"/>
          <w:szCs w:val="22"/>
        </w:rPr>
        <w:t>, 53 fracción X</w:t>
      </w:r>
      <w:r w:rsidRPr="00FD5521">
        <w:rPr>
          <w:rFonts w:ascii="Palatino Linotype" w:eastAsia="Palatino Linotype" w:hAnsi="Palatino Linotype" w:cs="Palatino Linotype"/>
          <w:sz w:val="22"/>
          <w:szCs w:val="22"/>
          <w:vertAlign w:val="superscript"/>
        </w:rPr>
        <w:footnoteReference w:id="4"/>
      </w:r>
      <w:r w:rsidRPr="00FD5521">
        <w:rPr>
          <w:rFonts w:ascii="Palatino Linotype" w:eastAsia="Palatino Linotype" w:hAnsi="Palatino Linotype" w:cs="Palatino Linotype"/>
          <w:sz w:val="22"/>
          <w:szCs w:val="22"/>
        </w:rPr>
        <w:t>, y 49 fracciones II y VIII</w:t>
      </w:r>
      <w:r w:rsidRPr="00FD5521">
        <w:rPr>
          <w:rFonts w:ascii="Palatino Linotype" w:eastAsia="Palatino Linotype" w:hAnsi="Palatino Linotype" w:cs="Palatino Linotype"/>
          <w:sz w:val="22"/>
          <w:szCs w:val="22"/>
          <w:vertAlign w:val="superscript"/>
        </w:rPr>
        <w:footnoteReference w:id="5"/>
      </w:r>
      <w:r w:rsidRPr="00FD552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FD552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Bajo tales consideraciones, este Organismo Garante no omite señalar que, si el </w:t>
      </w:r>
      <w:r w:rsidRPr="00FD5521">
        <w:rPr>
          <w:rFonts w:ascii="Palatino Linotype" w:eastAsia="Palatino Linotype" w:hAnsi="Palatino Linotype" w:cs="Palatino Linotype"/>
          <w:b/>
          <w:sz w:val="22"/>
          <w:szCs w:val="22"/>
        </w:rPr>
        <w:t>Sujeto Obligado</w:t>
      </w:r>
      <w:r w:rsidRPr="00FD5521">
        <w:rPr>
          <w:rFonts w:ascii="Palatino Linotype" w:eastAsia="Palatino Linotype" w:hAnsi="Palatino Linotype" w:cs="Palatino Linotype"/>
          <w:sz w:val="22"/>
          <w:szCs w:val="22"/>
        </w:rPr>
        <w:t xml:space="preserve"> advierte que la información solicitada contiene </w:t>
      </w:r>
      <w:r w:rsidRPr="00FD5521">
        <w:rPr>
          <w:rFonts w:ascii="Palatino Linotype" w:eastAsia="Palatino Linotype" w:hAnsi="Palatino Linotype" w:cs="Palatino Linotype"/>
          <w:b/>
          <w:sz w:val="22"/>
          <w:szCs w:val="22"/>
        </w:rPr>
        <w:t>datos personales</w:t>
      </w:r>
      <w:r w:rsidRPr="00FD5521">
        <w:rPr>
          <w:rFonts w:ascii="Palatino Linotype" w:eastAsia="Palatino Linotype" w:hAnsi="Palatino Linotype" w:cs="Palatino Linotype"/>
          <w:sz w:val="22"/>
          <w:szCs w:val="22"/>
        </w:rPr>
        <w:t xml:space="preserve"> que sean susceptibles de ser </w:t>
      </w:r>
      <w:r w:rsidRPr="00FD5521">
        <w:rPr>
          <w:rFonts w:ascii="Palatino Linotype" w:eastAsia="Palatino Linotype" w:hAnsi="Palatino Linotype" w:cs="Palatino Linotype"/>
          <w:b/>
          <w:sz w:val="22"/>
          <w:szCs w:val="22"/>
        </w:rPr>
        <w:t xml:space="preserve">clasificados como confidenciales, </w:t>
      </w:r>
      <w:r w:rsidRPr="00FD5521">
        <w:rPr>
          <w:rFonts w:ascii="Palatino Linotype" w:eastAsia="Palatino Linotype" w:hAnsi="Palatino Linotype" w:cs="Palatino Linotype"/>
          <w:sz w:val="22"/>
          <w:szCs w:val="22"/>
        </w:rPr>
        <w:t>o, si por otro lado</w:t>
      </w:r>
      <w:r w:rsidRPr="00FD5521">
        <w:rPr>
          <w:rFonts w:ascii="Palatino Linotype" w:eastAsia="Palatino Linotype" w:hAnsi="Palatino Linotype" w:cs="Palatino Linotype"/>
          <w:b/>
          <w:sz w:val="22"/>
          <w:szCs w:val="22"/>
        </w:rPr>
        <w:t>, por su propia y especial naturaleza,</w:t>
      </w:r>
      <w:r w:rsidRPr="00FD5521">
        <w:rPr>
          <w:rFonts w:ascii="Palatino Linotype" w:eastAsia="Palatino Linotype" w:hAnsi="Palatino Linotype" w:cs="Palatino Linotype"/>
          <w:sz w:val="22"/>
          <w:szCs w:val="22"/>
        </w:rPr>
        <w:t xml:space="preserve"> encuadra en alguno de los </w:t>
      </w:r>
      <w:r w:rsidRPr="00FD5521">
        <w:rPr>
          <w:rFonts w:ascii="Palatino Linotype" w:eastAsia="Palatino Linotype" w:hAnsi="Palatino Linotype" w:cs="Palatino Linotype"/>
          <w:b/>
          <w:sz w:val="22"/>
          <w:szCs w:val="22"/>
        </w:rPr>
        <w:t xml:space="preserve">supuestos de reserva o de confidencialidad </w:t>
      </w:r>
      <w:r w:rsidRPr="00FD5521">
        <w:rPr>
          <w:rFonts w:ascii="Palatino Linotype" w:eastAsia="Palatino Linotype" w:hAnsi="Palatino Linotype" w:cs="Palatino Linotype"/>
          <w:b/>
          <w:sz w:val="22"/>
          <w:szCs w:val="22"/>
        </w:rPr>
        <w:lastRenderedPageBreak/>
        <w:t>en su totalidad</w:t>
      </w:r>
      <w:r w:rsidRPr="00FD5521">
        <w:rPr>
          <w:rFonts w:ascii="Palatino Linotype" w:eastAsia="Palatino Linotype" w:hAnsi="Palatino Linotype" w:cs="Palatino Linotype"/>
          <w:sz w:val="22"/>
          <w:szCs w:val="22"/>
        </w:rPr>
        <w:t>, deberá emitir, un</w:t>
      </w:r>
      <w:r w:rsidRPr="00FD5521">
        <w:rPr>
          <w:rFonts w:ascii="Palatino Linotype" w:eastAsia="Palatino Linotype" w:hAnsi="Palatino Linotype" w:cs="Palatino Linotype"/>
          <w:b/>
          <w:sz w:val="22"/>
          <w:szCs w:val="22"/>
        </w:rPr>
        <w:t xml:space="preserve"> Acuerdo de Clasificación </w:t>
      </w:r>
      <w:r w:rsidRPr="00FD5521">
        <w:rPr>
          <w:rFonts w:ascii="Palatino Linotype" w:eastAsia="Palatino Linotype" w:hAnsi="Palatino Linotype" w:cs="Palatino Linotype"/>
          <w:sz w:val="22"/>
          <w:szCs w:val="22"/>
        </w:rPr>
        <w:t>debidamente fundado y motivado que</w:t>
      </w:r>
      <w:r w:rsidRPr="00FD5521">
        <w:rPr>
          <w:rFonts w:ascii="Palatino Linotype" w:eastAsia="Palatino Linotype" w:hAnsi="Palatino Linotype" w:cs="Palatino Linotype"/>
          <w:b/>
          <w:sz w:val="22"/>
          <w:szCs w:val="22"/>
        </w:rPr>
        <w:t xml:space="preserve"> sustente la clasificación parcial, a través de la versión pública que emita,</w:t>
      </w:r>
      <w:r w:rsidRPr="00FD552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FD552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De la clasificación parcial de la información.</w:t>
      </w:r>
    </w:p>
    <w:p w14:paraId="6CDBD4F4" w14:textId="77777777" w:rsidR="00532AE4" w:rsidRPr="00FD552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FD552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FD5521">
        <w:rPr>
          <w:rFonts w:ascii="Palatino Linotype" w:eastAsia="Palatino Linotype" w:hAnsi="Palatino Linotype" w:cs="Palatino Linotype"/>
          <w:b/>
          <w:sz w:val="22"/>
          <w:szCs w:val="22"/>
        </w:rPr>
        <w:t>De la clasificación de información como reservada.</w:t>
      </w:r>
    </w:p>
    <w:p w14:paraId="2F50165E" w14:textId="77777777" w:rsidR="00532AE4" w:rsidRPr="00FD552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FD5521" w:rsidRDefault="00A76F12">
      <w:pPr>
        <w:spacing w:line="360" w:lineRule="auto"/>
        <w:ind w:right="51"/>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FD5521">
        <w:rPr>
          <w:rFonts w:ascii="Palatino Linotype" w:eastAsia="Palatino Linotype" w:hAnsi="Palatino Linotype" w:cs="Palatino Linotype"/>
          <w:b/>
          <w:sz w:val="22"/>
          <w:szCs w:val="22"/>
        </w:rPr>
        <w:t>Sujeto Obligado</w:t>
      </w:r>
      <w:r w:rsidRPr="00FD552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w:t>
      </w:r>
      <w:r w:rsidRPr="00FD5521">
        <w:rPr>
          <w:rFonts w:ascii="Palatino Linotype" w:eastAsia="Palatino Linotype" w:hAnsi="Palatino Linotype" w:cs="Palatino Linotype"/>
          <w:sz w:val="22"/>
          <w:szCs w:val="22"/>
        </w:rPr>
        <w:lastRenderedPageBreak/>
        <w:t>o daño que puede producirse con la publicidad de la información, es mayor que el interés de conocerla; debiendo clasificarse como reservada.</w:t>
      </w:r>
    </w:p>
    <w:p w14:paraId="2072D8AB" w14:textId="77777777" w:rsidR="00532AE4" w:rsidRPr="00FD552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FD552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La divulgación de la información representa un </w:t>
      </w:r>
      <w:r w:rsidRPr="00FD5521">
        <w:rPr>
          <w:rFonts w:ascii="Palatino Linotype" w:eastAsia="Palatino Linotype" w:hAnsi="Palatino Linotype" w:cs="Palatino Linotype"/>
          <w:b/>
          <w:sz w:val="22"/>
          <w:szCs w:val="22"/>
        </w:rPr>
        <w:t>riesgo real, demostrable e identificable del perjuicio significativo al interés público o a la seguridad pública</w:t>
      </w:r>
      <w:r w:rsidRPr="00FD5521">
        <w:rPr>
          <w:rFonts w:ascii="Palatino Linotype" w:eastAsia="Palatino Linotype" w:hAnsi="Palatino Linotype" w:cs="Palatino Linotype"/>
          <w:sz w:val="22"/>
          <w:szCs w:val="22"/>
        </w:rPr>
        <w:t>;</w:t>
      </w:r>
    </w:p>
    <w:p w14:paraId="4FC20933" w14:textId="77777777" w:rsidR="00532AE4" w:rsidRPr="00FD552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FD552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FD552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Siendo pertinente aclarar que, la información que se clasifica bajo la premisa de reservada, </w:t>
      </w:r>
      <w:r w:rsidRPr="00FD5521">
        <w:rPr>
          <w:rFonts w:ascii="Palatino Linotype" w:eastAsia="Palatino Linotype" w:hAnsi="Palatino Linotype" w:cs="Palatino Linotype"/>
          <w:b/>
          <w:sz w:val="22"/>
          <w:szCs w:val="22"/>
        </w:rPr>
        <w:t>no pierde el carácter de pública</w:t>
      </w:r>
      <w:r w:rsidRPr="00FD5521">
        <w:rPr>
          <w:rFonts w:ascii="Palatino Linotype" w:eastAsia="Palatino Linotype" w:hAnsi="Palatino Linotype" w:cs="Palatino Linotype"/>
          <w:sz w:val="22"/>
          <w:szCs w:val="22"/>
        </w:rPr>
        <w:t xml:space="preserve">, sino que </w:t>
      </w:r>
      <w:r w:rsidRPr="00FD5521">
        <w:rPr>
          <w:rFonts w:ascii="Palatino Linotype" w:eastAsia="Palatino Linotype" w:hAnsi="Palatino Linotype" w:cs="Palatino Linotype"/>
          <w:b/>
          <w:sz w:val="22"/>
          <w:szCs w:val="22"/>
        </w:rPr>
        <w:t>se reserva temporalmente</w:t>
      </w:r>
      <w:r w:rsidRPr="00FD5521">
        <w:rPr>
          <w:rFonts w:ascii="Palatino Linotype" w:eastAsia="Palatino Linotype" w:hAnsi="Palatino Linotype" w:cs="Palatino Linotype"/>
          <w:sz w:val="22"/>
          <w:szCs w:val="22"/>
        </w:rPr>
        <w:t xml:space="preserve"> </w:t>
      </w:r>
      <w:r w:rsidRPr="00FD5521">
        <w:rPr>
          <w:rFonts w:ascii="Palatino Linotype" w:eastAsia="Palatino Linotype" w:hAnsi="Palatino Linotype" w:cs="Palatino Linotype"/>
          <w:b/>
          <w:sz w:val="22"/>
          <w:szCs w:val="22"/>
        </w:rPr>
        <w:t>del conocimiento público</w:t>
      </w:r>
      <w:r w:rsidRPr="00FD5521">
        <w:rPr>
          <w:rFonts w:ascii="Palatino Linotype" w:eastAsia="Palatino Linotype" w:hAnsi="Palatino Linotype" w:cs="Palatino Linotype"/>
          <w:sz w:val="22"/>
          <w:szCs w:val="22"/>
        </w:rPr>
        <w:t xml:space="preserve">, es decir, que, </w:t>
      </w:r>
      <w:r w:rsidRPr="00FD5521">
        <w:rPr>
          <w:rFonts w:ascii="Palatino Linotype" w:eastAsia="Palatino Linotype" w:hAnsi="Palatino Linotype" w:cs="Palatino Linotype"/>
          <w:b/>
          <w:sz w:val="22"/>
          <w:szCs w:val="22"/>
        </w:rPr>
        <w:t>por un tiempo determinado</w:t>
      </w:r>
      <w:r w:rsidRPr="00FD552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FD552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FD5521">
        <w:rPr>
          <w:rFonts w:ascii="Palatino Linotype" w:eastAsia="Palatino Linotype" w:hAnsi="Palatino Linotype" w:cs="Palatino Linotype"/>
          <w:b/>
          <w:sz w:val="22"/>
          <w:szCs w:val="22"/>
        </w:rPr>
        <w:lastRenderedPageBreak/>
        <w:t>De la clasificación de la información como totalmente confidencial.</w:t>
      </w:r>
    </w:p>
    <w:p w14:paraId="2A71EC5A" w14:textId="77777777" w:rsidR="00532AE4" w:rsidRPr="00FD552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FD5521" w:rsidRDefault="00A76F12">
      <w:pPr>
        <w:tabs>
          <w:tab w:val="left" w:pos="709"/>
        </w:tabs>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FD552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FD5521" w:rsidRDefault="00A76F12">
      <w:pPr>
        <w:spacing w:line="360" w:lineRule="auto"/>
        <w:ind w:right="51"/>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FD5521">
        <w:rPr>
          <w:rFonts w:ascii="Palatino Linotype" w:eastAsia="Palatino Linotype" w:hAnsi="Palatino Linotype" w:cs="Palatino Linotype"/>
          <w:sz w:val="22"/>
          <w:szCs w:val="22"/>
          <w:vertAlign w:val="superscript"/>
        </w:rPr>
        <w:footnoteReference w:id="6"/>
      </w:r>
      <w:r w:rsidRPr="00FD5521">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FD5521">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5B59031D" w14:textId="77777777" w:rsidR="00532AE4" w:rsidRPr="00FD552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FD552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De la declaratoria de inexistencia de la información</w:t>
      </w:r>
      <w:r w:rsidRPr="00FD5521">
        <w:rPr>
          <w:rFonts w:ascii="Palatino Linotype" w:eastAsia="Palatino Linotype" w:hAnsi="Palatino Linotype" w:cs="Palatino Linotype"/>
          <w:sz w:val="22"/>
          <w:szCs w:val="22"/>
        </w:rPr>
        <w:t>.</w:t>
      </w:r>
    </w:p>
    <w:p w14:paraId="2CE06287" w14:textId="77777777" w:rsidR="00532AE4" w:rsidRPr="00FD552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Por otro lado, estima prudente señalar al </w:t>
      </w:r>
      <w:r w:rsidRPr="00FD5521">
        <w:rPr>
          <w:rFonts w:ascii="Palatino Linotype" w:eastAsia="Palatino Linotype" w:hAnsi="Palatino Linotype" w:cs="Palatino Linotype"/>
          <w:b/>
          <w:sz w:val="22"/>
          <w:szCs w:val="22"/>
        </w:rPr>
        <w:t>Sujeto Obligado</w:t>
      </w:r>
      <w:r w:rsidRPr="00FD552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FD5521" w:rsidRDefault="00A76F12">
      <w:pPr>
        <w:spacing w:line="276" w:lineRule="auto"/>
        <w:ind w:left="567" w:right="902"/>
        <w:jc w:val="both"/>
        <w:rPr>
          <w:rFonts w:ascii="Palatino Linotype" w:eastAsia="Palatino Linotype" w:hAnsi="Palatino Linotype" w:cs="Palatino Linotype"/>
          <w:i/>
          <w:sz w:val="22"/>
          <w:szCs w:val="22"/>
        </w:rPr>
      </w:pPr>
      <w:r w:rsidRPr="00FD5521">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FD552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FD552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 xml:space="preserve">En mérito de todo lo expuesto, ante lo </w:t>
      </w:r>
      <w:r w:rsidRPr="00FD5521">
        <w:rPr>
          <w:rFonts w:ascii="Palatino Linotype" w:eastAsia="Palatino Linotype" w:hAnsi="Palatino Linotype" w:cs="Palatino Linotype"/>
          <w:b/>
          <w:sz w:val="22"/>
          <w:szCs w:val="22"/>
        </w:rPr>
        <w:t>FUNDADO</w:t>
      </w:r>
      <w:r w:rsidRPr="00FD552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FD5521">
        <w:rPr>
          <w:rFonts w:ascii="Palatino Linotype" w:eastAsia="Palatino Linotype" w:hAnsi="Palatino Linotype" w:cs="Palatino Linotype"/>
          <w:b/>
          <w:sz w:val="22"/>
          <w:szCs w:val="22"/>
        </w:rPr>
        <w:t>ORDENAR</w:t>
      </w:r>
      <w:r w:rsidRPr="00FD5521">
        <w:rPr>
          <w:rFonts w:ascii="Palatino Linotype" w:eastAsia="Palatino Linotype" w:hAnsi="Palatino Linotype" w:cs="Palatino Linotype"/>
          <w:sz w:val="22"/>
          <w:szCs w:val="22"/>
        </w:rPr>
        <w:t xml:space="preserve"> al </w:t>
      </w:r>
      <w:r w:rsidRPr="00FD5521">
        <w:rPr>
          <w:rFonts w:ascii="Palatino Linotype" w:eastAsia="Palatino Linotype" w:hAnsi="Palatino Linotype" w:cs="Palatino Linotype"/>
          <w:b/>
          <w:sz w:val="22"/>
          <w:szCs w:val="22"/>
        </w:rPr>
        <w:t>Sujeto Obligado</w:t>
      </w:r>
      <w:r w:rsidRPr="00FD552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FD5521" w:rsidRDefault="00A76F12">
      <w:pPr>
        <w:spacing w:line="360" w:lineRule="auto"/>
        <w:ind w:right="49"/>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sz w:val="22"/>
          <w:szCs w:val="22"/>
        </w:rPr>
        <w:t>Finalmente, es de señalar que, como ya se mencionó el</w:t>
      </w:r>
      <w:r w:rsidRPr="00FD5521">
        <w:rPr>
          <w:rFonts w:ascii="Palatino Linotype" w:eastAsia="Palatino Linotype" w:hAnsi="Palatino Linotype" w:cs="Palatino Linotype"/>
          <w:b/>
          <w:sz w:val="22"/>
          <w:szCs w:val="22"/>
        </w:rPr>
        <w:t xml:space="preserve"> Sujeto Obligado</w:t>
      </w:r>
      <w:r w:rsidRPr="00FD552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FD5521">
        <w:rPr>
          <w:rFonts w:ascii="Palatino Linotype" w:eastAsia="Palatino Linotype" w:hAnsi="Palatino Linotype" w:cs="Palatino Linotype"/>
          <w:b/>
          <w:sz w:val="22"/>
          <w:szCs w:val="22"/>
        </w:rPr>
        <w:t xml:space="preserve"> </w:t>
      </w:r>
      <w:r w:rsidRPr="00FD5521">
        <w:rPr>
          <w:rFonts w:ascii="Palatino Linotype" w:eastAsia="Palatino Linotype" w:hAnsi="Palatino Linotype" w:cs="Palatino Linotype"/>
          <w:sz w:val="22"/>
          <w:szCs w:val="22"/>
        </w:rPr>
        <w:t xml:space="preserve">a la Secretaría Técnica del Pleno de este Instituto para hacer del conocimiento del </w:t>
      </w:r>
      <w:r w:rsidRPr="00FD5521">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FD552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FD5521"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FD5521">
        <w:rPr>
          <w:rFonts w:ascii="Palatino Linotype" w:eastAsia="Palatino Linotype" w:hAnsi="Palatino Linotype" w:cs="Palatino Linotype"/>
          <w:sz w:val="22"/>
          <w:szCs w:val="22"/>
        </w:rPr>
        <w:t xml:space="preserve">Así, con fundamento en lo prescrito en los artículos </w:t>
      </w:r>
      <w:r w:rsidR="009100C5" w:rsidRPr="00FD552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FD552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FD552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FD552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D5521">
        <w:rPr>
          <w:rFonts w:ascii="Palatino Linotype" w:eastAsia="Palatino Linotype" w:hAnsi="Palatino Linotype" w:cs="Palatino Linotype"/>
          <w:b/>
          <w:sz w:val="22"/>
          <w:szCs w:val="22"/>
        </w:rPr>
        <w:t>III. R E S U E L V E</w:t>
      </w:r>
    </w:p>
    <w:p w14:paraId="170B47A5" w14:textId="77777777" w:rsidR="00532AE4" w:rsidRPr="00FD552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FD5521" w:rsidRDefault="00A76F12">
      <w:pPr>
        <w:spacing w:line="360" w:lineRule="auto"/>
        <w:ind w:right="49"/>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 xml:space="preserve">Primero. </w:t>
      </w:r>
      <w:r w:rsidRPr="00FD5521">
        <w:rPr>
          <w:rFonts w:ascii="Palatino Linotype" w:eastAsia="Palatino Linotype" w:hAnsi="Palatino Linotype" w:cs="Palatino Linotype"/>
          <w:sz w:val="22"/>
          <w:szCs w:val="22"/>
        </w:rPr>
        <w:t xml:space="preserve">Resultan </w:t>
      </w:r>
      <w:r w:rsidRPr="00FD5521">
        <w:rPr>
          <w:rFonts w:ascii="Palatino Linotype" w:eastAsia="Palatino Linotype" w:hAnsi="Palatino Linotype" w:cs="Palatino Linotype"/>
          <w:b/>
          <w:sz w:val="22"/>
          <w:szCs w:val="22"/>
        </w:rPr>
        <w:t>FUNDADOS</w:t>
      </w:r>
      <w:r w:rsidRPr="00FD5521">
        <w:rPr>
          <w:rFonts w:ascii="Palatino Linotype" w:eastAsia="Palatino Linotype" w:hAnsi="Palatino Linotype" w:cs="Palatino Linotype"/>
          <w:sz w:val="22"/>
          <w:szCs w:val="22"/>
        </w:rPr>
        <w:t xml:space="preserve"> los motivos de inconformidad de la parte </w:t>
      </w:r>
      <w:r w:rsidRPr="00FD5521">
        <w:rPr>
          <w:rFonts w:ascii="Palatino Linotype" w:eastAsia="Palatino Linotype" w:hAnsi="Palatino Linotype" w:cs="Palatino Linotype"/>
          <w:b/>
          <w:sz w:val="22"/>
          <w:szCs w:val="22"/>
        </w:rPr>
        <w:t>Recurrente</w:t>
      </w:r>
      <w:r w:rsidRPr="00FD5521">
        <w:rPr>
          <w:rFonts w:ascii="Palatino Linotype" w:eastAsia="Palatino Linotype" w:hAnsi="Palatino Linotype" w:cs="Palatino Linotype"/>
          <w:sz w:val="22"/>
          <w:szCs w:val="22"/>
        </w:rPr>
        <w:t xml:space="preserve">, en términos del </w:t>
      </w:r>
      <w:r w:rsidRPr="00FD5521">
        <w:rPr>
          <w:rFonts w:ascii="Palatino Linotype" w:eastAsia="Palatino Linotype" w:hAnsi="Palatino Linotype" w:cs="Palatino Linotype"/>
          <w:b/>
          <w:sz w:val="22"/>
          <w:szCs w:val="22"/>
        </w:rPr>
        <w:t>Considerando Cuarto</w:t>
      </w:r>
      <w:r w:rsidRPr="00FD5521">
        <w:rPr>
          <w:rFonts w:ascii="Palatino Linotype" w:eastAsia="Palatino Linotype" w:hAnsi="Palatino Linotype" w:cs="Palatino Linotype"/>
          <w:sz w:val="22"/>
          <w:szCs w:val="22"/>
        </w:rPr>
        <w:t xml:space="preserve"> de la presente resolución.</w:t>
      </w:r>
    </w:p>
    <w:p w14:paraId="6A06B418" w14:textId="77777777" w:rsidR="00532AE4" w:rsidRPr="00FD5521" w:rsidRDefault="00532AE4">
      <w:pPr>
        <w:spacing w:line="360" w:lineRule="auto"/>
        <w:ind w:right="49"/>
        <w:jc w:val="both"/>
        <w:rPr>
          <w:rFonts w:ascii="Palatino Linotype" w:eastAsia="Palatino Linotype" w:hAnsi="Palatino Linotype" w:cs="Palatino Linotype"/>
          <w:sz w:val="22"/>
          <w:szCs w:val="22"/>
        </w:rPr>
      </w:pPr>
    </w:p>
    <w:p w14:paraId="1E37E133" w14:textId="11CC7C23" w:rsidR="00532AE4" w:rsidRPr="00FD5521"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FD5521">
        <w:rPr>
          <w:rFonts w:ascii="Palatino Linotype" w:eastAsia="Palatino Linotype" w:hAnsi="Palatino Linotype" w:cs="Palatino Linotype"/>
          <w:b/>
          <w:sz w:val="22"/>
          <w:szCs w:val="22"/>
        </w:rPr>
        <w:t>Segundo.</w:t>
      </w:r>
      <w:r w:rsidRPr="00FD5521">
        <w:rPr>
          <w:rFonts w:ascii="Palatino Linotype" w:eastAsia="Palatino Linotype" w:hAnsi="Palatino Linotype" w:cs="Palatino Linotype"/>
          <w:sz w:val="22"/>
          <w:szCs w:val="22"/>
        </w:rPr>
        <w:t xml:space="preserve"> Se</w:t>
      </w:r>
      <w:r w:rsidRPr="00FD5521">
        <w:rPr>
          <w:rFonts w:ascii="Palatino Linotype" w:eastAsia="Palatino Linotype" w:hAnsi="Palatino Linotype" w:cs="Palatino Linotype"/>
          <w:b/>
          <w:sz w:val="22"/>
          <w:szCs w:val="22"/>
        </w:rPr>
        <w:t xml:space="preserve"> Ordena </w:t>
      </w:r>
      <w:r w:rsidRPr="00FD5521">
        <w:rPr>
          <w:rFonts w:ascii="Palatino Linotype" w:eastAsia="Palatino Linotype" w:hAnsi="Palatino Linotype" w:cs="Palatino Linotype"/>
          <w:sz w:val="22"/>
          <w:szCs w:val="22"/>
        </w:rPr>
        <w:t xml:space="preserve">al </w:t>
      </w:r>
      <w:r w:rsidRPr="00FD5521">
        <w:rPr>
          <w:rFonts w:ascii="Palatino Linotype" w:eastAsia="Palatino Linotype" w:hAnsi="Palatino Linotype" w:cs="Palatino Linotype"/>
          <w:b/>
          <w:sz w:val="22"/>
          <w:szCs w:val="22"/>
        </w:rPr>
        <w:t xml:space="preserve">Sujeto Obligado </w:t>
      </w:r>
      <w:r w:rsidRPr="00FD5521">
        <w:rPr>
          <w:rFonts w:ascii="Palatino Linotype" w:eastAsia="Palatino Linotype" w:hAnsi="Palatino Linotype" w:cs="Palatino Linotype"/>
          <w:sz w:val="22"/>
          <w:szCs w:val="22"/>
        </w:rPr>
        <w:t xml:space="preserve">dé trámite, vía </w:t>
      </w:r>
      <w:r w:rsidRPr="00FD5521">
        <w:rPr>
          <w:rFonts w:ascii="Palatino Linotype" w:eastAsia="Palatino Linotype" w:hAnsi="Palatino Linotype" w:cs="Palatino Linotype"/>
          <w:b/>
          <w:sz w:val="22"/>
          <w:szCs w:val="22"/>
        </w:rPr>
        <w:t xml:space="preserve">Sistema de Acceso a la Información Mexiquense </w:t>
      </w:r>
      <w:r w:rsidRPr="00FD5521">
        <w:rPr>
          <w:rFonts w:ascii="Palatino Linotype" w:eastAsia="Palatino Linotype" w:hAnsi="Palatino Linotype" w:cs="Palatino Linotype"/>
          <w:sz w:val="22"/>
          <w:szCs w:val="22"/>
        </w:rPr>
        <w:t>a la solicitud de acceso a la información pública</w:t>
      </w:r>
      <w:r w:rsidR="001417A2" w:rsidRPr="00FD5521">
        <w:rPr>
          <w:rFonts w:ascii="Palatino Linotype" w:eastAsia="Palatino Linotype" w:hAnsi="Palatino Linotype" w:cs="Palatino Linotype"/>
          <w:sz w:val="22"/>
          <w:szCs w:val="22"/>
        </w:rPr>
        <w:t xml:space="preserve"> </w:t>
      </w:r>
      <w:r w:rsidR="001417A2" w:rsidRPr="00FD5521">
        <w:rPr>
          <w:rFonts w:ascii="Palatino Linotype" w:eastAsia="Palatino Linotype" w:hAnsi="Palatino Linotype" w:cs="Palatino Linotype"/>
          <w:b/>
          <w:bCs/>
          <w:sz w:val="22"/>
          <w:szCs w:val="22"/>
        </w:rPr>
        <w:t>00478/TEPOTZOT/IP/2025</w:t>
      </w:r>
      <w:r w:rsidR="001417A2" w:rsidRPr="00FD5521">
        <w:rPr>
          <w:rFonts w:ascii="Palatino Linotype" w:eastAsia="Palatino Linotype" w:hAnsi="Palatino Linotype" w:cs="Palatino Linotype"/>
          <w:sz w:val="22"/>
          <w:szCs w:val="22"/>
        </w:rPr>
        <w:t xml:space="preserve"> </w:t>
      </w:r>
      <w:r w:rsidRPr="00FD5521">
        <w:rPr>
          <w:rFonts w:ascii="Palatino Linotype" w:eastAsia="Palatino Linotype" w:hAnsi="Palatino Linotype" w:cs="Palatino Linotype"/>
          <w:sz w:val="22"/>
          <w:szCs w:val="22"/>
        </w:rPr>
        <w:t xml:space="preserve">que dio origen al recurso de revisión </w:t>
      </w:r>
      <w:r w:rsidR="001417A2" w:rsidRPr="00FD5521">
        <w:rPr>
          <w:rFonts w:ascii="Palatino Linotype" w:eastAsia="Palatino Linotype" w:hAnsi="Palatino Linotype" w:cs="Palatino Linotype"/>
          <w:b/>
          <w:sz w:val="22"/>
          <w:szCs w:val="22"/>
        </w:rPr>
        <w:t>10944/INFOEM/IP/RR/2025</w:t>
      </w:r>
      <w:r w:rsidRPr="00FD5521">
        <w:rPr>
          <w:rFonts w:ascii="Palatino Linotype" w:eastAsia="Palatino Linotype" w:hAnsi="Palatino Linotype" w:cs="Palatino Linotype"/>
          <w:b/>
          <w:sz w:val="22"/>
          <w:szCs w:val="22"/>
        </w:rPr>
        <w:t xml:space="preserve"> </w:t>
      </w:r>
      <w:r w:rsidRPr="00FD5521">
        <w:rPr>
          <w:rFonts w:ascii="Palatino Linotype" w:eastAsia="Palatino Linotype" w:hAnsi="Palatino Linotype" w:cs="Palatino Linotype"/>
          <w:sz w:val="22"/>
          <w:szCs w:val="22"/>
        </w:rPr>
        <w:t xml:space="preserve">en términos del </w:t>
      </w:r>
      <w:r w:rsidRPr="00FD5521">
        <w:rPr>
          <w:rFonts w:ascii="Palatino Linotype" w:eastAsia="Palatino Linotype" w:hAnsi="Palatino Linotype" w:cs="Palatino Linotype"/>
          <w:b/>
          <w:sz w:val="22"/>
          <w:szCs w:val="22"/>
        </w:rPr>
        <w:t>Considerando Cuarto</w:t>
      </w:r>
      <w:r w:rsidRPr="00FD552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FD5521"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FD5521">
        <w:rPr>
          <w:rFonts w:ascii="Palatino Linotype" w:eastAsia="Palatino Linotype" w:hAnsi="Palatino Linotype" w:cs="Palatino Linotype"/>
          <w:b/>
          <w:sz w:val="22"/>
          <w:szCs w:val="22"/>
        </w:rPr>
        <w:t>Tercero.</w:t>
      </w:r>
      <w:r w:rsidRPr="00FD5521">
        <w:rPr>
          <w:rFonts w:ascii="Palatino Linotype" w:eastAsia="Palatino Linotype" w:hAnsi="Palatino Linotype" w:cs="Palatino Linotype"/>
          <w:sz w:val="22"/>
          <w:szCs w:val="22"/>
        </w:rPr>
        <w:t xml:space="preserve"> </w:t>
      </w:r>
      <w:r w:rsidRPr="00FD5521">
        <w:rPr>
          <w:rFonts w:ascii="Palatino Linotype" w:eastAsia="Palatino Linotype" w:hAnsi="Palatino Linotype" w:cs="Palatino Linotype"/>
          <w:b/>
          <w:sz w:val="22"/>
          <w:szCs w:val="22"/>
        </w:rPr>
        <w:t xml:space="preserve">Notifíquese vía Sistema de Acceso a la Información Mexiquense </w:t>
      </w:r>
      <w:r w:rsidRPr="00FD5521">
        <w:rPr>
          <w:rFonts w:ascii="Palatino Linotype" w:eastAsia="Palatino Linotype" w:hAnsi="Palatino Linotype" w:cs="Palatino Linotype"/>
          <w:sz w:val="22"/>
          <w:szCs w:val="22"/>
        </w:rPr>
        <w:t>la presente resolución al T</w:t>
      </w:r>
      <w:r w:rsidRPr="00FD5521">
        <w:rPr>
          <w:rFonts w:ascii="Palatino Linotype" w:eastAsia="Palatino Linotype" w:hAnsi="Palatino Linotype" w:cs="Palatino Linotype"/>
          <w:b/>
          <w:sz w:val="22"/>
          <w:szCs w:val="22"/>
        </w:rPr>
        <w:t xml:space="preserve">itular de la Unidad de Transparencia </w:t>
      </w:r>
      <w:r w:rsidRPr="00FD5521">
        <w:rPr>
          <w:rFonts w:ascii="Palatino Linotype" w:eastAsia="Palatino Linotype" w:hAnsi="Palatino Linotype" w:cs="Palatino Linotype"/>
          <w:sz w:val="22"/>
          <w:szCs w:val="22"/>
        </w:rPr>
        <w:t xml:space="preserve">del </w:t>
      </w:r>
      <w:r w:rsidRPr="00FD5521">
        <w:rPr>
          <w:rFonts w:ascii="Palatino Linotype" w:eastAsia="Palatino Linotype" w:hAnsi="Palatino Linotype" w:cs="Palatino Linotype"/>
          <w:b/>
          <w:sz w:val="22"/>
          <w:szCs w:val="22"/>
        </w:rPr>
        <w:t>SUJETO OBLIGADO</w:t>
      </w:r>
      <w:r w:rsidRPr="00FD5521">
        <w:rPr>
          <w:rFonts w:ascii="Palatino Linotype" w:eastAsia="Palatino Linotype" w:hAnsi="Palatino Linotype" w:cs="Palatino Linotype"/>
          <w:sz w:val="22"/>
          <w:szCs w:val="22"/>
        </w:rPr>
        <w:t xml:space="preserve">, para que conforme al artículo 186 último párrafo, 189 segundo párrafo y 194 de la Ley de </w:t>
      </w:r>
      <w:r w:rsidRPr="00FD5521">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FD552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Cuarto. Notifíquese</w:t>
      </w:r>
      <w:r w:rsidRPr="00FD5521">
        <w:rPr>
          <w:rFonts w:ascii="Palatino Linotype" w:eastAsia="Palatino Linotype" w:hAnsi="Palatino Linotype" w:cs="Palatino Linotype"/>
          <w:sz w:val="22"/>
          <w:szCs w:val="22"/>
        </w:rPr>
        <w:t>,</w:t>
      </w:r>
      <w:r w:rsidRPr="00FD5521">
        <w:rPr>
          <w:rFonts w:ascii="Palatino Linotype" w:eastAsia="Palatino Linotype" w:hAnsi="Palatino Linotype" w:cs="Palatino Linotype"/>
          <w:b/>
          <w:sz w:val="22"/>
          <w:szCs w:val="22"/>
        </w:rPr>
        <w:t xml:space="preserve"> </w:t>
      </w:r>
      <w:r w:rsidRPr="00FD5521">
        <w:rPr>
          <w:rFonts w:ascii="Palatino Linotype" w:eastAsia="Palatino Linotype" w:hAnsi="Palatino Linotype" w:cs="Palatino Linotype"/>
          <w:sz w:val="22"/>
          <w:szCs w:val="22"/>
        </w:rPr>
        <w:t xml:space="preserve">vía </w:t>
      </w:r>
      <w:r w:rsidRPr="00FD5521">
        <w:rPr>
          <w:rFonts w:ascii="Palatino Linotype" w:eastAsia="Palatino Linotype" w:hAnsi="Palatino Linotype" w:cs="Palatino Linotype"/>
          <w:b/>
          <w:sz w:val="22"/>
          <w:szCs w:val="22"/>
        </w:rPr>
        <w:t>Sistema de Acceso a la Información Mexiquense</w:t>
      </w:r>
      <w:r w:rsidRPr="00FD5521">
        <w:rPr>
          <w:rFonts w:ascii="Palatino Linotype" w:eastAsia="Palatino Linotype" w:hAnsi="Palatino Linotype" w:cs="Palatino Linotype"/>
          <w:sz w:val="22"/>
          <w:szCs w:val="22"/>
        </w:rPr>
        <w:t xml:space="preserve">, a la parte </w:t>
      </w:r>
      <w:r w:rsidRPr="00FD5521">
        <w:rPr>
          <w:rFonts w:ascii="Palatino Linotype" w:eastAsia="Palatino Linotype" w:hAnsi="Palatino Linotype" w:cs="Palatino Linotype"/>
          <w:b/>
          <w:sz w:val="22"/>
          <w:szCs w:val="22"/>
        </w:rPr>
        <w:t xml:space="preserve">Recurrente </w:t>
      </w:r>
      <w:r w:rsidRPr="00FD552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FD552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FD5521" w:rsidRDefault="00A76F12">
      <w:pPr>
        <w:spacing w:line="360" w:lineRule="auto"/>
        <w:jc w:val="both"/>
        <w:rPr>
          <w:rFonts w:ascii="Palatino Linotype" w:eastAsia="Palatino Linotype" w:hAnsi="Palatino Linotype" w:cs="Palatino Linotype"/>
          <w:sz w:val="22"/>
          <w:szCs w:val="22"/>
        </w:rPr>
      </w:pPr>
      <w:r w:rsidRPr="00FD5521">
        <w:rPr>
          <w:rFonts w:ascii="Palatino Linotype" w:eastAsia="Palatino Linotype" w:hAnsi="Palatino Linotype" w:cs="Palatino Linotype"/>
          <w:b/>
          <w:sz w:val="22"/>
          <w:szCs w:val="22"/>
        </w:rPr>
        <w:t xml:space="preserve">Quinto. Notifíquese </w:t>
      </w:r>
      <w:r w:rsidRPr="00FD5521">
        <w:rPr>
          <w:rFonts w:ascii="Palatino Linotype" w:eastAsia="Palatino Linotype" w:hAnsi="Palatino Linotype" w:cs="Palatino Linotype"/>
          <w:sz w:val="22"/>
          <w:szCs w:val="22"/>
        </w:rPr>
        <w:t xml:space="preserve">a la parte </w:t>
      </w:r>
      <w:r w:rsidRPr="00FD5521">
        <w:rPr>
          <w:rFonts w:ascii="Palatino Linotype" w:eastAsia="Palatino Linotype" w:hAnsi="Palatino Linotype" w:cs="Palatino Linotype"/>
          <w:b/>
          <w:sz w:val="22"/>
          <w:szCs w:val="22"/>
        </w:rPr>
        <w:t xml:space="preserve">Recurrente </w:t>
      </w:r>
      <w:r w:rsidRPr="00FD5521">
        <w:rPr>
          <w:rFonts w:ascii="Palatino Linotype" w:eastAsia="Palatino Linotype" w:hAnsi="Palatino Linotype" w:cs="Palatino Linotype"/>
          <w:sz w:val="22"/>
          <w:szCs w:val="22"/>
        </w:rPr>
        <w:t xml:space="preserve">que la respuesta que dé el </w:t>
      </w:r>
      <w:r w:rsidRPr="00FD5521">
        <w:rPr>
          <w:rFonts w:ascii="Palatino Linotype" w:eastAsia="Palatino Linotype" w:hAnsi="Palatino Linotype" w:cs="Palatino Linotype"/>
          <w:b/>
          <w:sz w:val="22"/>
          <w:szCs w:val="22"/>
        </w:rPr>
        <w:t>Sujeto Obligado</w:t>
      </w:r>
      <w:r w:rsidRPr="00FD552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FD552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FD5521" w:rsidRDefault="00A76F12">
      <w:pPr>
        <w:spacing w:line="360" w:lineRule="auto"/>
        <w:jc w:val="both"/>
        <w:rPr>
          <w:rFonts w:ascii="Palatino Linotype" w:eastAsia="Palatino Linotype" w:hAnsi="Palatino Linotype" w:cs="Palatino Linotype"/>
          <w:b/>
          <w:sz w:val="22"/>
          <w:szCs w:val="22"/>
        </w:rPr>
      </w:pPr>
      <w:r w:rsidRPr="00FD5521">
        <w:rPr>
          <w:rFonts w:ascii="Palatino Linotype" w:eastAsia="Palatino Linotype" w:hAnsi="Palatino Linotype" w:cs="Palatino Linotype"/>
          <w:b/>
          <w:sz w:val="22"/>
          <w:szCs w:val="22"/>
        </w:rPr>
        <w:t xml:space="preserve">Sexto. Gírese </w:t>
      </w:r>
      <w:r w:rsidRPr="00FD5521">
        <w:rPr>
          <w:rFonts w:ascii="Palatino Linotype" w:eastAsia="Palatino Linotype" w:hAnsi="Palatino Linotype" w:cs="Palatino Linotype"/>
          <w:sz w:val="22"/>
          <w:szCs w:val="22"/>
        </w:rPr>
        <w:t xml:space="preserve">oficio a la </w:t>
      </w:r>
      <w:r w:rsidRPr="00FD5521">
        <w:rPr>
          <w:rFonts w:ascii="Palatino Linotype" w:eastAsia="Palatino Linotype" w:hAnsi="Palatino Linotype" w:cs="Palatino Linotype"/>
          <w:b/>
          <w:sz w:val="22"/>
          <w:szCs w:val="22"/>
        </w:rPr>
        <w:t>Secretaría Técnica del Pleno</w:t>
      </w:r>
      <w:r w:rsidRPr="00FD552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FD5521">
        <w:rPr>
          <w:rFonts w:ascii="Palatino Linotype" w:eastAsia="Palatino Linotype" w:hAnsi="Palatino Linotype" w:cs="Palatino Linotype"/>
          <w:b/>
          <w:sz w:val="22"/>
          <w:szCs w:val="22"/>
        </w:rPr>
        <w:t xml:space="preserve"> </w:t>
      </w:r>
      <w:r w:rsidRPr="00FD5521">
        <w:rPr>
          <w:rFonts w:ascii="Palatino Linotype" w:eastAsia="Palatino Linotype" w:hAnsi="Palatino Linotype" w:cs="Palatino Linotype"/>
          <w:sz w:val="22"/>
          <w:szCs w:val="22"/>
        </w:rPr>
        <w:t>de la presente resolución.</w:t>
      </w:r>
      <w:r w:rsidRPr="00FD5521">
        <w:rPr>
          <w:rFonts w:ascii="Palatino Linotype" w:eastAsia="Palatino Linotype" w:hAnsi="Palatino Linotype" w:cs="Palatino Linotype"/>
          <w:b/>
          <w:sz w:val="22"/>
          <w:szCs w:val="22"/>
        </w:rPr>
        <w:t xml:space="preserve"> </w:t>
      </w:r>
    </w:p>
    <w:p w14:paraId="7F049394" w14:textId="77777777" w:rsidR="00532AE4" w:rsidRPr="00FD5521"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372B16" w:rsidRDefault="00A76F12">
      <w:pPr>
        <w:spacing w:line="360" w:lineRule="auto"/>
        <w:ind w:right="49"/>
        <w:jc w:val="both"/>
        <w:rPr>
          <w:rFonts w:ascii="Palatino Linotype" w:eastAsia="Palatino Linotype" w:hAnsi="Palatino Linotype" w:cs="Palatino Linotype"/>
          <w:sz w:val="22"/>
          <w:szCs w:val="22"/>
        </w:rPr>
        <w:sectPr w:rsidR="00532AE4" w:rsidRPr="00372B16">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pPr>
      <w:bookmarkStart w:id="5" w:name="_heading=h.1fob9te" w:colFirst="0" w:colLast="0"/>
      <w:bookmarkEnd w:id="5"/>
      <w:r w:rsidRPr="00FD5521">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FD5521">
        <w:rPr>
          <w:rFonts w:ascii="Palatino Linotype" w:eastAsia="Palatino Linotype" w:hAnsi="Palatino Linotype" w:cs="Palatino Linotype"/>
          <w:sz w:val="22"/>
          <w:szCs w:val="22"/>
        </w:rPr>
        <w:t>SEGUNDA</w:t>
      </w:r>
      <w:r w:rsidRPr="00FD5521">
        <w:rPr>
          <w:rFonts w:ascii="Palatino Linotype" w:eastAsia="Palatino Linotype" w:hAnsi="Palatino Linotype" w:cs="Palatino Linotype"/>
          <w:sz w:val="22"/>
          <w:szCs w:val="22"/>
        </w:rPr>
        <w:t xml:space="preserve"> SESIÓN ORDINARIA CELEBRADA EL </w:t>
      </w:r>
      <w:r w:rsidR="00EE0A87" w:rsidRPr="00FD5521">
        <w:rPr>
          <w:rFonts w:ascii="Palatino Linotype" w:eastAsia="Palatino Linotype" w:hAnsi="Palatino Linotype" w:cs="Palatino Linotype"/>
          <w:sz w:val="22"/>
          <w:szCs w:val="22"/>
        </w:rPr>
        <w:t>VEINTIUNO</w:t>
      </w:r>
      <w:r w:rsidR="00DF5516" w:rsidRPr="00FD5521">
        <w:rPr>
          <w:rFonts w:ascii="Palatino Linotype" w:eastAsia="Palatino Linotype" w:hAnsi="Palatino Linotype" w:cs="Palatino Linotype"/>
          <w:sz w:val="22"/>
          <w:szCs w:val="22"/>
        </w:rPr>
        <w:t xml:space="preserve"> DE ENERO DE DOS MIL VEINTISÉIS</w:t>
      </w:r>
      <w:r w:rsidRPr="00FD5521">
        <w:rPr>
          <w:rFonts w:ascii="Palatino Linotype" w:eastAsia="Palatino Linotype" w:hAnsi="Palatino Linotype" w:cs="Palatino Linotype"/>
          <w:sz w:val="22"/>
          <w:szCs w:val="22"/>
        </w:rPr>
        <w:t>, ANTE EL SECRETARIO TÉCNICO DEL PLENO ALEXIS TAPIA RAMÍREZ.</w:t>
      </w:r>
      <w:r w:rsidRPr="00372B16">
        <w:rPr>
          <w:rFonts w:ascii="Palatino Linotype" w:eastAsia="Palatino Linotype" w:hAnsi="Palatino Linotype" w:cs="Palatino Linotype"/>
          <w:sz w:val="22"/>
          <w:szCs w:val="22"/>
        </w:rPr>
        <w:t xml:space="preserve"> </w:t>
      </w:r>
    </w:p>
    <w:p w14:paraId="74E02134" w14:textId="77777777" w:rsidR="00532AE4" w:rsidRPr="00372B16"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372B16" w:rsidRDefault="00532AE4">
      <w:pPr>
        <w:rPr>
          <w:sz w:val="22"/>
          <w:szCs w:val="22"/>
        </w:rPr>
      </w:pPr>
    </w:p>
    <w:sectPr w:rsidR="00532AE4" w:rsidRPr="00372B16">
      <w:headerReference w:type="first" r:id="rId17"/>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F4B9" w14:textId="77777777" w:rsidR="00C30088" w:rsidRDefault="00C30088">
      <w:r>
        <w:separator/>
      </w:r>
    </w:p>
  </w:endnote>
  <w:endnote w:type="continuationSeparator" w:id="0">
    <w:p w14:paraId="353A9F3D" w14:textId="77777777" w:rsidR="00C30088" w:rsidRDefault="00C3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5521">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5521">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D5521">
      <w:rPr>
        <w:rFonts w:ascii="Arial" w:eastAsia="Arial" w:hAnsi="Arial" w:cs="Arial"/>
        <w:b/>
        <w:noProof/>
        <w:color w:val="000000"/>
        <w:sz w:val="20"/>
        <w:szCs w:val="20"/>
      </w:rPr>
      <w:t>31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D5521">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86FB" w14:textId="77777777" w:rsidR="00C30088" w:rsidRDefault="00C30088">
      <w:r>
        <w:separator/>
      </w:r>
    </w:p>
  </w:footnote>
  <w:footnote w:type="continuationSeparator" w:id="0">
    <w:p w14:paraId="7739BC0E" w14:textId="77777777" w:rsidR="00C30088" w:rsidRDefault="00C3008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8316C01" w:rsidR="00532AE4" w:rsidRPr="009753BF" w:rsidRDefault="000F6773"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10944</w:t>
          </w:r>
          <w:r w:rsidR="00A76F12" w:rsidRPr="009753BF">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vAlign w:val="center"/>
        </w:tcPr>
        <w:p w14:paraId="222907A3" w14:textId="7E7976F5" w:rsidR="00532AE4" w:rsidRPr="009753BF" w:rsidRDefault="00024779" w:rsidP="00E55CFA">
          <w:pPr>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Ayuntamiento de T</w:t>
          </w:r>
          <w:r w:rsidR="00E55CFA" w:rsidRPr="009753BF">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Pr="009753BF" w:rsidRDefault="00A76F12">
          <w:pPr>
            <w:ind w:right="-533"/>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1E4D3CEF"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Pr="009753BF" w:rsidRDefault="00A76F12">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Recurso de Revisión:</w:t>
          </w:r>
        </w:p>
      </w:tc>
      <w:tc>
        <w:tcPr>
          <w:tcW w:w="3687" w:type="dxa"/>
          <w:vAlign w:val="center"/>
        </w:tcPr>
        <w:p w14:paraId="20C4E837" w14:textId="2D4D2F78" w:rsidR="00532AE4" w:rsidRPr="009753BF" w:rsidRDefault="009753BF" w:rsidP="009B6117">
          <w:pPr>
            <w:jc w:val="both"/>
            <w:rPr>
              <w:rFonts w:ascii="Palatino Linotype" w:eastAsia="Palatino Linotype" w:hAnsi="Palatino Linotype" w:cs="Palatino Linotype"/>
              <w:b/>
              <w:sz w:val="21"/>
              <w:szCs w:val="21"/>
            </w:rPr>
          </w:pPr>
          <w:r w:rsidRPr="009753BF">
            <w:rPr>
              <w:noProof/>
              <w:lang w:val="es-MX"/>
            </w:rPr>
            <w:drawing>
              <wp:anchor distT="0" distB="0" distL="0" distR="0" simplePos="0" relativeHeight="251659264" behindDoc="1" locked="0" layoutInCell="1" hidden="0" allowOverlap="1" wp14:anchorId="43196C50" wp14:editId="1F3B58FC">
                <wp:simplePos x="0" y="0"/>
                <wp:positionH relativeFrom="column">
                  <wp:posOffset>-4281805</wp:posOffset>
                </wp:positionH>
                <wp:positionV relativeFrom="paragraph">
                  <wp:posOffset>-532130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E84F07">
            <w:rPr>
              <w:rFonts w:ascii="Palatino Linotype" w:eastAsia="Palatino Linotype" w:hAnsi="Palatino Linotype" w:cs="Palatino Linotype"/>
              <w:b/>
              <w:sz w:val="21"/>
              <w:szCs w:val="21"/>
            </w:rPr>
            <w:t>10944</w:t>
          </w:r>
          <w:r w:rsidR="00A76F12" w:rsidRPr="009753BF">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Pr="009753BF" w:rsidRDefault="00A76F12">
          <w:pPr>
            <w:ind w:left="35" w:hanging="35"/>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Recurrente:</w:t>
          </w:r>
        </w:p>
      </w:tc>
      <w:tc>
        <w:tcPr>
          <w:tcW w:w="3687" w:type="dxa"/>
          <w:vAlign w:val="center"/>
        </w:tcPr>
        <w:p w14:paraId="4D6D508D" w14:textId="14484F6B" w:rsidR="00532AE4" w:rsidRPr="009753BF" w:rsidRDefault="00A4202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w:t>
          </w:r>
          <w:r>
            <w:rPr>
              <w:rFonts w:ascii="Palatino Linotype" w:eastAsia="Palatino Linotype" w:hAnsi="Palatino Linotype" w:cs="Palatino Linotype"/>
              <w:b/>
              <w:sz w:val="21"/>
              <w:szCs w:val="21"/>
            </w:rPr>
            <w:t>XX</w:t>
          </w:r>
        </w:p>
      </w:tc>
    </w:tr>
    <w:tr w:rsidR="00532AE4" w14:paraId="33C0EB5C" w14:textId="77777777">
      <w:trPr>
        <w:trHeight w:val="228"/>
      </w:trPr>
      <w:tc>
        <w:tcPr>
          <w:tcW w:w="2551" w:type="dxa"/>
          <w:vAlign w:val="center"/>
        </w:tcPr>
        <w:p w14:paraId="034F4C87" w14:textId="04B8900B" w:rsidR="00532AE4" w:rsidRPr="009753BF" w:rsidRDefault="00A76F12" w:rsidP="000F6773">
          <w:pPr>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Sujeto obligado:</w:t>
          </w:r>
        </w:p>
      </w:tc>
      <w:tc>
        <w:tcPr>
          <w:tcW w:w="3687" w:type="dxa"/>
          <w:vAlign w:val="center"/>
        </w:tcPr>
        <w:p w14:paraId="143797A2" w14:textId="3B917BF2" w:rsidR="00532AE4" w:rsidRPr="009753BF" w:rsidRDefault="00024779" w:rsidP="00E55CFA">
          <w:pPr>
            <w:ind w:right="452"/>
            <w:jc w:val="both"/>
            <w:rPr>
              <w:rFonts w:ascii="Palatino Linotype" w:eastAsia="Palatino Linotype" w:hAnsi="Palatino Linotype" w:cs="Palatino Linotype"/>
              <w:b/>
              <w:sz w:val="21"/>
              <w:szCs w:val="21"/>
            </w:rPr>
          </w:pPr>
          <w:r w:rsidRPr="009753BF">
            <w:rPr>
              <w:rFonts w:ascii="Palatino Linotype" w:eastAsia="Palatino Linotype" w:hAnsi="Palatino Linotype" w:cs="Palatino Linotype"/>
              <w:b/>
              <w:sz w:val="21"/>
              <w:szCs w:val="21"/>
            </w:rPr>
            <w:t xml:space="preserve">Ayuntamiento de </w:t>
          </w:r>
          <w:r w:rsidR="00E55CFA" w:rsidRPr="009753BF">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515A7"/>
    <w:multiLevelType w:val="multilevel"/>
    <w:tmpl w:val="77E2870A"/>
    <w:lvl w:ilvl="0">
      <w:start w:val="3"/>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5869345">
    <w:abstractNumId w:val="3"/>
  </w:num>
  <w:num w:numId="2" w16cid:durableId="672613788">
    <w:abstractNumId w:val="5"/>
  </w:num>
  <w:num w:numId="3" w16cid:durableId="1728532602">
    <w:abstractNumId w:val="0"/>
  </w:num>
  <w:num w:numId="4" w16cid:durableId="1783498189">
    <w:abstractNumId w:val="2"/>
  </w:num>
  <w:num w:numId="5" w16cid:durableId="137309306">
    <w:abstractNumId w:val="4"/>
  </w:num>
  <w:num w:numId="6" w16cid:durableId="1270162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6773"/>
    <w:rsid w:val="00111565"/>
    <w:rsid w:val="0012087F"/>
    <w:rsid w:val="001375F3"/>
    <w:rsid w:val="001417A2"/>
    <w:rsid w:val="00142C2A"/>
    <w:rsid w:val="001577D2"/>
    <w:rsid w:val="00160B51"/>
    <w:rsid w:val="0017202B"/>
    <w:rsid w:val="00181147"/>
    <w:rsid w:val="00182B72"/>
    <w:rsid w:val="001A1911"/>
    <w:rsid w:val="001E0FB7"/>
    <w:rsid w:val="0021726A"/>
    <w:rsid w:val="002222E9"/>
    <w:rsid w:val="002275D9"/>
    <w:rsid w:val="0024388F"/>
    <w:rsid w:val="002502E3"/>
    <w:rsid w:val="00256FA6"/>
    <w:rsid w:val="0027510F"/>
    <w:rsid w:val="002839FA"/>
    <w:rsid w:val="002859C5"/>
    <w:rsid w:val="0029155A"/>
    <w:rsid w:val="002A005F"/>
    <w:rsid w:val="002B2F77"/>
    <w:rsid w:val="002C008A"/>
    <w:rsid w:val="002F6686"/>
    <w:rsid w:val="0031405F"/>
    <w:rsid w:val="003352D2"/>
    <w:rsid w:val="00372B16"/>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2898"/>
    <w:rsid w:val="005043C3"/>
    <w:rsid w:val="005231DC"/>
    <w:rsid w:val="00525777"/>
    <w:rsid w:val="00532AE4"/>
    <w:rsid w:val="005A79AC"/>
    <w:rsid w:val="005F2D09"/>
    <w:rsid w:val="005F71E2"/>
    <w:rsid w:val="0061438F"/>
    <w:rsid w:val="00633D0E"/>
    <w:rsid w:val="00656E72"/>
    <w:rsid w:val="00686A48"/>
    <w:rsid w:val="006E680C"/>
    <w:rsid w:val="006F4F00"/>
    <w:rsid w:val="00707403"/>
    <w:rsid w:val="0071274F"/>
    <w:rsid w:val="007576B0"/>
    <w:rsid w:val="007623E7"/>
    <w:rsid w:val="00773F12"/>
    <w:rsid w:val="007A2B57"/>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30C65"/>
    <w:rsid w:val="00950D94"/>
    <w:rsid w:val="00960D36"/>
    <w:rsid w:val="009752BC"/>
    <w:rsid w:val="009753BF"/>
    <w:rsid w:val="00982101"/>
    <w:rsid w:val="00994B65"/>
    <w:rsid w:val="009B6117"/>
    <w:rsid w:val="009C3B23"/>
    <w:rsid w:val="009D197C"/>
    <w:rsid w:val="00A27295"/>
    <w:rsid w:val="00A34F3E"/>
    <w:rsid w:val="00A3559A"/>
    <w:rsid w:val="00A42026"/>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30088"/>
    <w:rsid w:val="00C52987"/>
    <w:rsid w:val="00C5586C"/>
    <w:rsid w:val="00CA5B0F"/>
    <w:rsid w:val="00CC5F5E"/>
    <w:rsid w:val="00CD03F3"/>
    <w:rsid w:val="00D0202B"/>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83227"/>
    <w:rsid w:val="00E84F07"/>
    <w:rsid w:val="00E94299"/>
    <w:rsid w:val="00EB171E"/>
    <w:rsid w:val="00EE0A87"/>
    <w:rsid w:val="00EE5E30"/>
    <w:rsid w:val="00EF743D"/>
    <w:rsid w:val="00FA1A00"/>
    <w:rsid w:val="00FD5521"/>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DBE80D-C137-4D28-8952-2CC80563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7728</Words>
  <Characters>42508</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2026-01-23T18:43:00Z</cp:lastPrinted>
  <dcterms:created xsi:type="dcterms:W3CDTF">2026-03-18T22:48:00Z</dcterms:created>
  <dcterms:modified xsi:type="dcterms:W3CDTF">2026-03-18T22:48:00Z</dcterms:modified>
</cp:coreProperties>
</file>