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FFE7E" w14:textId="77777777" w:rsidR="00E91FD8" w:rsidRPr="00841E72" w:rsidRDefault="00E91FD8">
      <w:pPr>
        <w:widowControl w:val="0"/>
        <w:pBdr>
          <w:top w:val="nil"/>
          <w:left w:val="nil"/>
          <w:bottom w:val="nil"/>
          <w:right w:val="nil"/>
          <w:between w:val="nil"/>
        </w:pBdr>
        <w:spacing w:after="0" w:line="276" w:lineRule="auto"/>
        <w:jc w:val="left"/>
        <w:rPr>
          <w:b/>
        </w:rPr>
      </w:pPr>
    </w:p>
    <w:p w14:paraId="3EB30296" w14:textId="77777777" w:rsidR="00E91FD8" w:rsidRDefault="00FA1EE3">
      <w:pPr>
        <w:keepNext/>
        <w:keepLines/>
        <w:pBdr>
          <w:top w:val="nil"/>
          <w:left w:val="nil"/>
          <w:bottom w:val="nil"/>
          <w:right w:val="nil"/>
          <w:between w:val="nil"/>
        </w:pBdr>
        <w:spacing w:after="0" w:line="360" w:lineRule="auto"/>
        <w:jc w:val="center"/>
        <w:rPr>
          <w:color w:val="000000"/>
        </w:rPr>
      </w:pPr>
      <w:bookmarkStart w:id="0" w:name="_heading=h.m4supusunuo0" w:colFirst="0" w:colLast="0"/>
      <w:bookmarkEnd w:id="0"/>
      <w:r>
        <w:rPr>
          <w:color w:val="000000"/>
        </w:rPr>
        <w:t xml:space="preserve">RESOLUCIÓN DEL RECURSO DE REVISIÓN 10186/INFOEM/IP/RR/2025 </w:t>
      </w:r>
    </w:p>
    <w:p w14:paraId="74771406" w14:textId="77777777" w:rsidR="00E91FD8" w:rsidRDefault="00E91FD8">
      <w:pPr>
        <w:spacing w:after="0" w:line="360" w:lineRule="auto"/>
        <w:rPr>
          <w:color w:val="FF0000"/>
        </w:rPr>
      </w:pPr>
    </w:p>
    <w:sdt>
      <w:sdtPr>
        <w:rPr>
          <w:lang w:val="es-ES"/>
        </w:rPr>
        <w:id w:val="845292586"/>
        <w:docPartObj>
          <w:docPartGallery w:val="Table of Contents"/>
          <w:docPartUnique/>
        </w:docPartObj>
      </w:sdtPr>
      <w:sdtEndPr>
        <w:rPr>
          <w:b/>
          <w:bCs/>
        </w:rPr>
      </w:sdtEndPr>
      <w:sdtContent>
        <w:p w14:paraId="472AB31F" w14:textId="77777777" w:rsidR="00212EAD" w:rsidRPr="007B03A9" w:rsidRDefault="00212EAD" w:rsidP="00212EAD">
          <w:pPr>
            <w:pStyle w:val="TtulodeTDC"/>
            <w:spacing w:line="360" w:lineRule="auto"/>
          </w:pPr>
        </w:p>
        <w:p w14:paraId="26BDA79A" w14:textId="77777777" w:rsidR="007B03A9" w:rsidRPr="007B03A9" w:rsidRDefault="00212EAD">
          <w:pPr>
            <w:pStyle w:val="TDC1"/>
            <w:rPr>
              <w:rFonts w:ascii="Palatino Linotype" w:eastAsiaTheme="minorEastAsia" w:hAnsi="Palatino Linotype" w:cstheme="minorBidi"/>
              <w:noProof/>
              <w:sz w:val="22"/>
              <w:szCs w:val="22"/>
              <w:lang w:eastAsia="es-MX"/>
            </w:rPr>
          </w:pPr>
          <w:r w:rsidRPr="007B03A9">
            <w:rPr>
              <w:rFonts w:ascii="Palatino Linotype" w:hAnsi="Palatino Linotype"/>
              <w:bCs/>
              <w:sz w:val="22"/>
              <w:szCs w:val="22"/>
              <w:lang w:val="es-ES"/>
            </w:rPr>
            <w:fldChar w:fldCharType="begin"/>
          </w:r>
          <w:r w:rsidRPr="007B03A9">
            <w:rPr>
              <w:rFonts w:ascii="Palatino Linotype" w:hAnsi="Palatino Linotype"/>
              <w:bCs/>
              <w:sz w:val="22"/>
              <w:szCs w:val="22"/>
              <w:lang w:val="es-ES"/>
            </w:rPr>
            <w:instrText xml:space="preserve"> TOC \o "1-3" \h \z \u </w:instrText>
          </w:r>
          <w:r w:rsidRPr="007B03A9">
            <w:rPr>
              <w:rFonts w:ascii="Palatino Linotype" w:hAnsi="Palatino Linotype"/>
              <w:bCs/>
              <w:sz w:val="22"/>
              <w:szCs w:val="22"/>
              <w:lang w:val="es-ES"/>
            </w:rPr>
            <w:fldChar w:fldCharType="separate"/>
          </w:r>
          <w:hyperlink w:anchor="_Toc224831206" w:history="1">
            <w:r w:rsidR="007B03A9" w:rsidRPr="007B03A9">
              <w:rPr>
                <w:rStyle w:val="Hipervnculo"/>
                <w:rFonts w:ascii="Palatino Linotype" w:eastAsia="Palatino Linotype" w:hAnsi="Palatino Linotype" w:cs="Palatino Linotype"/>
                <w:bCs/>
                <w:noProof/>
                <w:sz w:val="22"/>
                <w:szCs w:val="22"/>
              </w:rPr>
              <w:t>A N T E C E D E N T E S</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_Toc224831206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2</w:t>
            </w:r>
            <w:r w:rsidR="007B03A9" w:rsidRPr="007B03A9">
              <w:rPr>
                <w:rFonts w:ascii="Palatino Linotype" w:hAnsi="Palatino Linotype"/>
                <w:noProof/>
                <w:webHidden/>
                <w:sz w:val="22"/>
                <w:szCs w:val="22"/>
              </w:rPr>
              <w:fldChar w:fldCharType="end"/>
            </w:r>
          </w:hyperlink>
        </w:p>
        <w:p w14:paraId="54D388F9"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07" w:history="1">
            <w:r w:rsidR="007B03A9" w:rsidRPr="007B03A9">
              <w:rPr>
                <w:rStyle w:val="Hipervnculo"/>
                <w:rFonts w:ascii="Palatino Linotype" w:eastAsia="Palatino Linotype" w:hAnsi="Palatino Linotype" w:cs="Palatino Linotype"/>
                <w:bCs/>
                <w:noProof/>
                <w:sz w:val="22"/>
                <w:szCs w:val="22"/>
              </w:rPr>
              <w:t>I. Presentación de la solicitud de información</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_Toc224831207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2</w:t>
            </w:r>
            <w:r w:rsidR="007B03A9" w:rsidRPr="007B03A9">
              <w:rPr>
                <w:rFonts w:ascii="Palatino Linotype" w:hAnsi="Palatino Linotype"/>
                <w:noProof/>
                <w:webHidden/>
                <w:sz w:val="22"/>
                <w:szCs w:val="22"/>
              </w:rPr>
              <w:fldChar w:fldCharType="end"/>
            </w:r>
          </w:hyperlink>
        </w:p>
        <w:p w14:paraId="523AA3FA"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08" w:history="1">
            <w:r w:rsidR="007B03A9" w:rsidRPr="007B03A9">
              <w:rPr>
                <w:rStyle w:val="Hipervnculo"/>
                <w:rFonts w:ascii="Palatino Linotype" w:eastAsia="Palatino Linotype" w:hAnsi="Palatino Linotype" w:cs="Palatino Linotype"/>
                <w:bCs/>
                <w:noProof/>
                <w:sz w:val="22"/>
                <w:szCs w:val="22"/>
              </w:rPr>
              <w:t>II. Respuesta del Sujeto Obligado</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_Toc224831208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3</w:t>
            </w:r>
            <w:r w:rsidR="007B03A9" w:rsidRPr="007B03A9">
              <w:rPr>
                <w:rFonts w:ascii="Palatino Linotype" w:hAnsi="Palatino Linotype"/>
                <w:noProof/>
                <w:webHidden/>
                <w:sz w:val="22"/>
                <w:szCs w:val="22"/>
              </w:rPr>
              <w:fldChar w:fldCharType="end"/>
            </w:r>
          </w:hyperlink>
        </w:p>
        <w:p w14:paraId="2EB1A0C3"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09" w:history="1">
            <w:r w:rsidR="007B03A9" w:rsidRPr="007B03A9">
              <w:rPr>
                <w:rStyle w:val="Hipervnculo"/>
                <w:rFonts w:ascii="Palatino Linotype" w:eastAsia="Palatino Linotype" w:hAnsi="Palatino Linotype" w:cs="Palatino Linotype"/>
                <w:bCs/>
                <w:noProof/>
                <w:sz w:val="22"/>
                <w:szCs w:val="22"/>
              </w:rPr>
              <w:t>III. Interposición del Recurso de Revisión</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_Toc224831209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4</w:t>
            </w:r>
            <w:r w:rsidR="007B03A9" w:rsidRPr="007B03A9">
              <w:rPr>
                <w:rFonts w:ascii="Palatino Linotype" w:hAnsi="Palatino Linotype"/>
                <w:noProof/>
                <w:webHidden/>
                <w:sz w:val="22"/>
                <w:szCs w:val="22"/>
              </w:rPr>
              <w:fldChar w:fldCharType="end"/>
            </w:r>
          </w:hyperlink>
        </w:p>
        <w:p w14:paraId="6F7124BD"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10" w:history="1">
            <w:r w:rsidR="007B03A9" w:rsidRPr="007B03A9">
              <w:rPr>
                <w:rStyle w:val="Hipervnculo"/>
                <w:rFonts w:ascii="Palatino Linotype" w:eastAsia="Palatino Linotype" w:hAnsi="Palatino Linotype" w:cs="Palatino Linotype"/>
                <w:bCs/>
                <w:noProof/>
                <w:sz w:val="22"/>
                <w:szCs w:val="22"/>
              </w:rPr>
              <w:t>IV. Trámite del Recurso de Revisión ante este Instituto</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_Toc224831210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4</w:t>
            </w:r>
            <w:r w:rsidR="007B03A9" w:rsidRPr="007B03A9">
              <w:rPr>
                <w:rFonts w:ascii="Palatino Linotype" w:hAnsi="Palatino Linotype"/>
                <w:noProof/>
                <w:webHidden/>
                <w:sz w:val="22"/>
                <w:szCs w:val="22"/>
              </w:rPr>
              <w:fldChar w:fldCharType="end"/>
            </w:r>
          </w:hyperlink>
        </w:p>
        <w:p w14:paraId="629B66F0"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11" w:history="1">
            <w:r w:rsidR="007B03A9" w:rsidRPr="007B03A9">
              <w:rPr>
                <w:rStyle w:val="Hipervnculo"/>
                <w:rFonts w:ascii="Palatino Linotype" w:eastAsia="Palatino Linotype" w:hAnsi="Palatino Linotype" w:cs="Palatino Linotype"/>
                <w:bCs/>
                <w:noProof/>
                <w:sz w:val="22"/>
                <w:szCs w:val="22"/>
              </w:rPr>
              <w:t>PRIMERO. Competencia</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_Toc224831211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6</w:t>
            </w:r>
            <w:r w:rsidR="007B03A9" w:rsidRPr="007B03A9">
              <w:rPr>
                <w:rFonts w:ascii="Palatino Linotype" w:hAnsi="Palatino Linotype"/>
                <w:noProof/>
                <w:webHidden/>
                <w:sz w:val="22"/>
                <w:szCs w:val="22"/>
              </w:rPr>
              <w:fldChar w:fldCharType="end"/>
            </w:r>
          </w:hyperlink>
        </w:p>
        <w:p w14:paraId="7EC8DDD3"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12" w:history="1">
            <w:r w:rsidR="007B03A9" w:rsidRPr="007B03A9">
              <w:rPr>
                <w:rStyle w:val="Hipervnculo"/>
                <w:rFonts w:ascii="Palatino Linotype" w:eastAsia="Palatino Linotype" w:hAnsi="Palatino Linotype" w:cs="Palatino Linotype"/>
                <w:bCs/>
                <w:noProof/>
                <w:sz w:val="22"/>
                <w:szCs w:val="22"/>
              </w:rPr>
              <w:t>SEGUNDO. Causales de improcedencia y sobreseimiento</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_Toc224831212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7</w:t>
            </w:r>
            <w:r w:rsidR="007B03A9" w:rsidRPr="007B03A9">
              <w:rPr>
                <w:rFonts w:ascii="Palatino Linotype" w:hAnsi="Palatino Linotype"/>
                <w:noProof/>
                <w:webHidden/>
                <w:sz w:val="22"/>
                <w:szCs w:val="22"/>
              </w:rPr>
              <w:fldChar w:fldCharType="end"/>
            </w:r>
          </w:hyperlink>
        </w:p>
        <w:p w14:paraId="7AF2E348"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13" w:history="1">
            <w:r w:rsidR="007B03A9" w:rsidRPr="007B03A9">
              <w:rPr>
                <w:rStyle w:val="Hipervnculo"/>
                <w:rFonts w:ascii="Palatino Linotype" w:eastAsia="Palatino Linotype" w:hAnsi="Palatino Linotype" w:cs="Palatino Linotype"/>
                <w:bCs/>
                <w:noProof/>
                <w:sz w:val="22"/>
                <w:szCs w:val="22"/>
              </w:rPr>
              <w:t>TERCERO. Causales de sobreseimiento</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_Toc224831213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8</w:t>
            </w:r>
            <w:r w:rsidR="007B03A9" w:rsidRPr="007B03A9">
              <w:rPr>
                <w:rFonts w:ascii="Palatino Linotype" w:hAnsi="Palatino Linotype"/>
                <w:noProof/>
                <w:webHidden/>
                <w:sz w:val="22"/>
                <w:szCs w:val="22"/>
              </w:rPr>
              <w:fldChar w:fldCharType="end"/>
            </w:r>
          </w:hyperlink>
        </w:p>
        <w:p w14:paraId="53063645" w14:textId="77777777" w:rsidR="007B03A9" w:rsidRPr="007B03A9" w:rsidRDefault="0038161C">
          <w:pPr>
            <w:pStyle w:val="TDC2"/>
            <w:tabs>
              <w:tab w:val="right" w:leader="dot" w:pos="8921"/>
            </w:tabs>
            <w:rPr>
              <w:rFonts w:ascii="Palatino Linotype" w:eastAsiaTheme="minorEastAsia" w:hAnsi="Palatino Linotype" w:cstheme="minorBidi"/>
              <w:noProof/>
              <w:sz w:val="22"/>
              <w:szCs w:val="22"/>
              <w:lang w:eastAsia="es-MX"/>
            </w:rPr>
          </w:pPr>
          <w:hyperlink w:anchor="_Toc224831214" w:history="1">
            <w:r w:rsidR="007B03A9" w:rsidRPr="007B03A9">
              <w:rPr>
                <w:rStyle w:val="Hipervnculo"/>
                <w:rFonts w:ascii="Palatino Linotype" w:eastAsia="Palatino Linotype" w:hAnsi="Palatino Linotype" w:cs="Palatino Linotype"/>
                <w:bCs/>
                <w:noProof/>
                <w:sz w:val="22"/>
                <w:szCs w:val="22"/>
              </w:rPr>
              <w:t>CUARTO. Decisión</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_Toc224831214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21</w:t>
            </w:r>
            <w:r w:rsidR="007B03A9" w:rsidRPr="007B03A9">
              <w:rPr>
                <w:rFonts w:ascii="Palatino Linotype" w:hAnsi="Palatino Linotype"/>
                <w:noProof/>
                <w:webHidden/>
                <w:sz w:val="22"/>
                <w:szCs w:val="22"/>
              </w:rPr>
              <w:fldChar w:fldCharType="end"/>
            </w:r>
          </w:hyperlink>
        </w:p>
        <w:p w14:paraId="305CCB4F" w14:textId="77777777" w:rsidR="007B03A9" w:rsidRPr="007B03A9" w:rsidRDefault="0038161C">
          <w:pPr>
            <w:pStyle w:val="TDC1"/>
            <w:rPr>
              <w:rFonts w:ascii="Palatino Linotype" w:eastAsiaTheme="minorEastAsia" w:hAnsi="Palatino Linotype" w:cstheme="minorBidi"/>
              <w:noProof/>
              <w:sz w:val="22"/>
              <w:szCs w:val="22"/>
              <w:lang w:eastAsia="es-MX"/>
            </w:rPr>
          </w:pPr>
          <w:hyperlink w:anchor="_Toc224831215" w:history="1">
            <w:r w:rsidR="007B03A9" w:rsidRPr="007B03A9">
              <w:rPr>
                <w:rStyle w:val="Hipervnculo"/>
                <w:rFonts w:ascii="Palatino Linotype" w:eastAsia="Palatino Linotype" w:hAnsi="Palatino Linotype" w:cs="Palatino Linotype"/>
                <w:bCs/>
                <w:noProof/>
                <w:sz w:val="22"/>
                <w:szCs w:val="22"/>
              </w:rPr>
              <w:t>R E S U E L V E</w:t>
            </w:r>
            <w:r w:rsidR="007B03A9" w:rsidRPr="007B03A9">
              <w:rPr>
                <w:rFonts w:ascii="Palatino Linotype" w:hAnsi="Palatino Linotype"/>
                <w:noProof/>
                <w:webHidden/>
                <w:sz w:val="22"/>
                <w:szCs w:val="22"/>
              </w:rPr>
              <w:tab/>
            </w:r>
            <w:r w:rsidR="007B03A9" w:rsidRPr="007B03A9">
              <w:rPr>
                <w:rFonts w:ascii="Palatino Linotype" w:hAnsi="Palatino Linotype"/>
                <w:noProof/>
                <w:webHidden/>
                <w:sz w:val="22"/>
                <w:szCs w:val="22"/>
              </w:rPr>
              <w:fldChar w:fldCharType="begin"/>
            </w:r>
            <w:r w:rsidR="007B03A9" w:rsidRPr="007B03A9">
              <w:rPr>
                <w:rFonts w:ascii="Palatino Linotype" w:hAnsi="Palatino Linotype"/>
                <w:noProof/>
                <w:webHidden/>
                <w:sz w:val="22"/>
                <w:szCs w:val="22"/>
              </w:rPr>
              <w:instrText xml:space="preserve"> PAGEREF _Toc224831215 \h </w:instrText>
            </w:r>
            <w:r w:rsidR="007B03A9" w:rsidRPr="007B03A9">
              <w:rPr>
                <w:rFonts w:ascii="Palatino Linotype" w:hAnsi="Palatino Linotype"/>
                <w:noProof/>
                <w:webHidden/>
                <w:sz w:val="22"/>
                <w:szCs w:val="22"/>
              </w:rPr>
            </w:r>
            <w:r w:rsidR="007B03A9" w:rsidRPr="007B03A9">
              <w:rPr>
                <w:rFonts w:ascii="Palatino Linotype" w:hAnsi="Palatino Linotype"/>
                <w:noProof/>
                <w:webHidden/>
                <w:sz w:val="22"/>
                <w:szCs w:val="22"/>
              </w:rPr>
              <w:fldChar w:fldCharType="separate"/>
            </w:r>
            <w:r w:rsidR="00D83D0D">
              <w:rPr>
                <w:rFonts w:ascii="Palatino Linotype" w:hAnsi="Palatino Linotype"/>
                <w:noProof/>
                <w:webHidden/>
                <w:sz w:val="22"/>
                <w:szCs w:val="22"/>
              </w:rPr>
              <w:t>22</w:t>
            </w:r>
            <w:r w:rsidR="007B03A9" w:rsidRPr="007B03A9">
              <w:rPr>
                <w:rFonts w:ascii="Palatino Linotype" w:hAnsi="Palatino Linotype"/>
                <w:noProof/>
                <w:webHidden/>
                <w:sz w:val="22"/>
                <w:szCs w:val="22"/>
              </w:rPr>
              <w:fldChar w:fldCharType="end"/>
            </w:r>
          </w:hyperlink>
        </w:p>
        <w:p w14:paraId="61852997" w14:textId="77777777" w:rsidR="00212EAD" w:rsidRDefault="00212EAD" w:rsidP="00212EAD">
          <w:pPr>
            <w:spacing w:after="0" w:line="360" w:lineRule="auto"/>
          </w:pPr>
          <w:r w:rsidRPr="007B03A9">
            <w:rPr>
              <w:bCs/>
              <w:lang w:val="es-ES"/>
            </w:rPr>
            <w:fldChar w:fldCharType="end"/>
          </w:r>
        </w:p>
      </w:sdtContent>
    </w:sdt>
    <w:p w14:paraId="4C99774C" w14:textId="77777777" w:rsidR="00212EAD" w:rsidRDefault="00212EAD" w:rsidP="00212EAD">
      <w:pPr>
        <w:tabs>
          <w:tab w:val="left" w:pos="8931"/>
        </w:tabs>
        <w:spacing w:after="0" w:line="360" w:lineRule="auto"/>
      </w:pPr>
    </w:p>
    <w:p w14:paraId="4BD28ED9" w14:textId="77777777" w:rsidR="00E91FD8" w:rsidRDefault="00E91FD8">
      <w:pPr>
        <w:tabs>
          <w:tab w:val="left" w:pos="8931"/>
        </w:tabs>
        <w:spacing w:after="0" w:line="360" w:lineRule="auto"/>
      </w:pPr>
    </w:p>
    <w:p w14:paraId="4813490F" w14:textId="77777777" w:rsidR="00212EAD" w:rsidRDefault="00212EAD">
      <w:pPr>
        <w:tabs>
          <w:tab w:val="left" w:pos="8931"/>
        </w:tabs>
        <w:spacing w:after="0" w:line="360" w:lineRule="auto"/>
      </w:pPr>
    </w:p>
    <w:p w14:paraId="26E69B38" w14:textId="77777777" w:rsidR="00212EAD" w:rsidRDefault="00212EAD">
      <w:pPr>
        <w:tabs>
          <w:tab w:val="left" w:pos="8931"/>
        </w:tabs>
        <w:spacing w:after="0" w:line="360" w:lineRule="auto"/>
      </w:pPr>
    </w:p>
    <w:p w14:paraId="77DD73DB" w14:textId="77777777" w:rsidR="00212EAD" w:rsidRDefault="00212EAD">
      <w:pPr>
        <w:tabs>
          <w:tab w:val="left" w:pos="8931"/>
        </w:tabs>
        <w:spacing w:after="0" w:line="360" w:lineRule="auto"/>
      </w:pPr>
    </w:p>
    <w:p w14:paraId="05B28176" w14:textId="77777777" w:rsidR="00212EAD" w:rsidRDefault="00212EAD">
      <w:pPr>
        <w:tabs>
          <w:tab w:val="left" w:pos="8931"/>
        </w:tabs>
        <w:spacing w:after="0" w:line="360" w:lineRule="auto"/>
      </w:pPr>
    </w:p>
    <w:p w14:paraId="2C1D4ABC" w14:textId="77777777" w:rsidR="00212EAD" w:rsidRDefault="00212EAD">
      <w:pPr>
        <w:tabs>
          <w:tab w:val="left" w:pos="8931"/>
        </w:tabs>
        <w:spacing w:after="0" w:line="360" w:lineRule="auto"/>
      </w:pPr>
    </w:p>
    <w:p w14:paraId="7AC8D0FB" w14:textId="77777777" w:rsidR="00212EAD" w:rsidRDefault="00212EAD">
      <w:pPr>
        <w:tabs>
          <w:tab w:val="left" w:pos="8931"/>
        </w:tabs>
        <w:spacing w:after="0" w:line="360" w:lineRule="auto"/>
      </w:pPr>
    </w:p>
    <w:p w14:paraId="0506205A" w14:textId="77777777" w:rsidR="00212EAD" w:rsidRDefault="00212EAD">
      <w:pPr>
        <w:tabs>
          <w:tab w:val="left" w:pos="8931"/>
        </w:tabs>
        <w:spacing w:after="0" w:line="360" w:lineRule="auto"/>
      </w:pPr>
    </w:p>
    <w:p w14:paraId="3E4DF943" w14:textId="77777777" w:rsidR="00E91FD8" w:rsidRDefault="00E91FD8">
      <w:pPr>
        <w:tabs>
          <w:tab w:val="left" w:pos="8931"/>
        </w:tabs>
        <w:spacing w:after="0" w:line="360" w:lineRule="auto"/>
        <w:rPr>
          <w:color w:val="000000"/>
        </w:rPr>
      </w:pPr>
    </w:p>
    <w:p w14:paraId="1CFACA4C" w14:textId="77777777" w:rsidR="00212EAD" w:rsidRDefault="00212EAD">
      <w:pPr>
        <w:tabs>
          <w:tab w:val="left" w:pos="8931"/>
        </w:tabs>
        <w:spacing w:after="0" w:line="360" w:lineRule="auto"/>
        <w:rPr>
          <w:color w:val="000000"/>
        </w:rPr>
      </w:pPr>
    </w:p>
    <w:p w14:paraId="1F4D047A" w14:textId="77777777" w:rsidR="00212EAD" w:rsidRDefault="00212EAD">
      <w:pPr>
        <w:tabs>
          <w:tab w:val="left" w:pos="8931"/>
        </w:tabs>
        <w:spacing w:after="0" w:line="360" w:lineRule="auto"/>
        <w:rPr>
          <w:color w:val="000000"/>
        </w:rPr>
      </w:pPr>
    </w:p>
    <w:p w14:paraId="50606012" w14:textId="77777777" w:rsidR="00E91FD8" w:rsidRDefault="00FA1EE3">
      <w:pPr>
        <w:tabs>
          <w:tab w:val="left" w:pos="8931"/>
        </w:tabs>
        <w:spacing w:after="0" w:line="360" w:lineRule="auto"/>
        <w:rPr>
          <w:color w:val="000000"/>
        </w:rPr>
      </w:pPr>
      <w:r>
        <w:rPr>
          <w:color w:val="000000"/>
        </w:rPr>
        <w:t>Resolución del Pleno del Instituto de Transparencia, Acceso a la Información Pública y Protección de Datos Personales del Estado de México y Municipios, con domicilio en Metepec, Estado de México, de fecha diecinueve de marzo de dos mil veintiséis.</w:t>
      </w:r>
    </w:p>
    <w:p w14:paraId="1C527F7D" w14:textId="77777777" w:rsidR="00E91FD8" w:rsidRDefault="00FA1EE3">
      <w:pPr>
        <w:tabs>
          <w:tab w:val="left" w:pos="2340"/>
        </w:tabs>
        <w:spacing w:after="0" w:line="360" w:lineRule="auto"/>
        <w:rPr>
          <w:b/>
          <w:bCs/>
          <w:color w:val="FF0000"/>
        </w:rPr>
      </w:pPr>
      <w:r>
        <w:rPr>
          <w:b/>
          <w:bCs/>
          <w:color w:val="FF0000"/>
        </w:rPr>
        <w:tab/>
      </w:r>
    </w:p>
    <w:p w14:paraId="23F195EF" w14:textId="05736F4F" w:rsidR="00E91FD8" w:rsidRDefault="00FA1EE3">
      <w:pPr>
        <w:spacing w:after="0" w:line="360" w:lineRule="auto"/>
        <w:rPr>
          <w:color w:val="000000"/>
        </w:rPr>
      </w:pPr>
      <w:r>
        <w:rPr>
          <w:b/>
          <w:bCs/>
          <w:color w:val="000000"/>
        </w:rPr>
        <w:t xml:space="preserve">VISTO </w:t>
      </w:r>
      <w:r>
        <w:rPr>
          <w:color w:val="000000"/>
        </w:rPr>
        <w:t xml:space="preserve">el expediente electrónico conformado con motivo del Recurso de Revisión </w:t>
      </w:r>
      <w:r w:rsidRPr="00DF23B0">
        <w:rPr>
          <w:b/>
          <w:color w:val="000000"/>
        </w:rPr>
        <w:t>10186/INFOEM/IP/RR/2025</w:t>
      </w:r>
      <w:r>
        <w:rPr>
          <w:color w:val="000000"/>
        </w:rPr>
        <w:t xml:space="preserve">, interpuesto en lo sucesivo por la Persona Recurrente o Particular, en contra de las respuestas del Sujeto Obligado, </w:t>
      </w:r>
      <w:bookmarkStart w:id="1" w:name="_GoBack"/>
      <w:r w:rsidR="00841E72" w:rsidRPr="00DF23B0">
        <w:rPr>
          <w:b/>
          <w:color w:val="000000"/>
        </w:rPr>
        <w:t>Organismo Público Descentralizado para la Prestación de los Servicios de Agua Potable Alcantarillado y Saneamiento de Atizapán de Zaragoza</w:t>
      </w:r>
      <w:r w:rsidRPr="00DF23B0">
        <w:rPr>
          <w:b/>
          <w:bCs/>
          <w:color w:val="000000"/>
        </w:rPr>
        <w:t>,</w:t>
      </w:r>
      <w:r w:rsidRPr="00DF23B0">
        <w:rPr>
          <w:b/>
          <w:color w:val="000000"/>
        </w:rPr>
        <w:t xml:space="preserve"> </w:t>
      </w:r>
      <w:bookmarkEnd w:id="1"/>
      <w:r>
        <w:rPr>
          <w:color w:val="000000"/>
        </w:rPr>
        <w:t>a la solicitud de acceso a la información pública 00088/OASATIZARA/IP/2025, se emite la presente Resolución, con base en los Antecedentes y Considerandos que se exponen a continuación:</w:t>
      </w:r>
    </w:p>
    <w:p w14:paraId="0611BC28" w14:textId="77777777" w:rsidR="00E91FD8" w:rsidRDefault="00FA1EE3">
      <w:pPr>
        <w:tabs>
          <w:tab w:val="left" w:pos="1965"/>
        </w:tabs>
        <w:spacing w:after="0" w:line="360" w:lineRule="auto"/>
        <w:rPr>
          <w:b/>
          <w:bCs/>
          <w:color w:val="000000"/>
        </w:rPr>
      </w:pPr>
      <w:r>
        <w:rPr>
          <w:b/>
          <w:bCs/>
          <w:color w:val="000000"/>
        </w:rPr>
        <w:tab/>
      </w:r>
    </w:p>
    <w:p w14:paraId="716C0533" w14:textId="77777777" w:rsidR="00E91FD8" w:rsidRDefault="00E91FD8">
      <w:pPr>
        <w:tabs>
          <w:tab w:val="left" w:pos="1965"/>
        </w:tabs>
        <w:spacing w:after="0" w:line="360" w:lineRule="auto"/>
        <w:rPr>
          <w:b/>
          <w:bCs/>
          <w:color w:val="000000"/>
        </w:rPr>
      </w:pPr>
    </w:p>
    <w:p w14:paraId="581057FB" w14:textId="77777777" w:rsidR="00E91FD8" w:rsidRDefault="00FA1EE3">
      <w:pPr>
        <w:pStyle w:val="Ttulo1"/>
        <w:spacing w:before="0" w:line="360" w:lineRule="auto"/>
        <w:jc w:val="center"/>
        <w:rPr>
          <w:rFonts w:ascii="Palatino Linotype" w:eastAsia="Palatino Linotype" w:hAnsi="Palatino Linotype" w:cs="Palatino Linotype"/>
          <w:b/>
          <w:bCs/>
          <w:color w:val="000000"/>
          <w:sz w:val="22"/>
          <w:szCs w:val="22"/>
        </w:rPr>
      </w:pPr>
      <w:bookmarkStart w:id="2" w:name="_heading=h.5by4krre9kw1" w:colFirst="0" w:colLast="0"/>
      <w:bookmarkStart w:id="3" w:name="_Toc224831206"/>
      <w:bookmarkEnd w:id="2"/>
      <w:r>
        <w:rPr>
          <w:rFonts w:ascii="Palatino Linotype" w:eastAsia="Palatino Linotype" w:hAnsi="Palatino Linotype" w:cs="Palatino Linotype"/>
          <w:b/>
          <w:bCs/>
          <w:color w:val="000000"/>
          <w:sz w:val="22"/>
          <w:szCs w:val="22"/>
        </w:rPr>
        <w:t>A N T E C E D E N T E S</w:t>
      </w:r>
      <w:bookmarkEnd w:id="3"/>
    </w:p>
    <w:p w14:paraId="060C2BF4" w14:textId="77777777" w:rsidR="00E91FD8" w:rsidRDefault="00E91FD8">
      <w:pPr>
        <w:spacing w:after="0" w:line="360" w:lineRule="auto"/>
        <w:jc w:val="center"/>
        <w:rPr>
          <w:b/>
          <w:bCs/>
          <w:color w:val="FF0000"/>
        </w:rPr>
      </w:pPr>
    </w:p>
    <w:p w14:paraId="1BFED51B" w14:textId="77777777" w:rsidR="00E91FD8" w:rsidRDefault="00FA1EE3">
      <w:pPr>
        <w:pStyle w:val="Ttulo2"/>
        <w:spacing w:before="0" w:line="360" w:lineRule="auto"/>
        <w:rPr>
          <w:rFonts w:ascii="Palatino Linotype" w:eastAsia="Palatino Linotype" w:hAnsi="Palatino Linotype" w:cs="Palatino Linotype"/>
          <w:b/>
          <w:bCs/>
          <w:color w:val="000000"/>
          <w:sz w:val="22"/>
          <w:szCs w:val="22"/>
        </w:rPr>
      </w:pPr>
      <w:bookmarkStart w:id="4" w:name="_heading=h.415suv30omhk" w:colFirst="0" w:colLast="0"/>
      <w:bookmarkStart w:id="5" w:name="_Toc224831207"/>
      <w:bookmarkEnd w:id="4"/>
      <w:r>
        <w:rPr>
          <w:rFonts w:ascii="Palatino Linotype" w:eastAsia="Palatino Linotype" w:hAnsi="Palatino Linotype" w:cs="Palatino Linotype"/>
          <w:b/>
          <w:bCs/>
          <w:color w:val="000000"/>
          <w:sz w:val="22"/>
          <w:szCs w:val="22"/>
        </w:rPr>
        <w:t>I. Presentación de la solicitud de información</w:t>
      </w:r>
      <w:bookmarkEnd w:id="5"/>
    </w:p>
    <w:p w14:paraId="1A423FC2" w14:textId="77777777" w:rsidR="00E91FD8" w:rsidRDefault="00E91FD8">
      <w:pPr>
        <w:spacing w:after="0" w:line="360" w:lineRule="auto"/>
        <w:rPr>
          <w:b/>
          <w:bCs/>
          <w:color w:val="FF0000"/>
        </w:rPr>
      </w:pPr>
    </w:p>
    <w:p w14:paraId="7A94ABDF" w14:textId="6748AD73" w:rsidR="00E91FD8" w:rsidRDefault="00FA1EE3">
      <w:pPr>
        <w:spacing w:after="0" w:line="360" w:lineRule="auto"/>
        <w:rPr>
          <w:color w:val="000000"/>
        </w:rPr>
      </w:pPr>
      <w:r>
        <w:rPr>
          <w:color w:val="000000"/>
        </w:rPr>
        <w:t>El cuatro de agosto de dos mil veinticinco, la persona Solicitante presentó su requerimiento de acceso a la información, (ya que si bien se tuvo por presentado el veinte de julio del mismo año este fue inhábil por lo que se tuvo por presentado al día hábil siguiente), a través del Sistema de Acceso a la Información Mexiquense (SAIMEX), ante el</w:t>
      </w:r>
      <w:r>
        <w:rPr>
          <w:b/>
          <w:bCs/>
          <w:color w:val="000000"/>
        </w:rPr>
        <w:t xml:space="preserve"> </w:t>
      </w:r>
      <w:r w:rsidR="00841E72">
        <w:rPr>
          <w:color w:val="000000"/>
        </w:rPr>
        <w:t>Organismo Público Descentralizado para la Prestación de los Servicios de Agua Potable Alcantarillado y Saneamiento de Atizapán de Zaragoza</w:t>
      </w:r>
      <w:r>
        <w:rPr>
          <w:color w:val="000000"/>
        </w:rPr>
        <w:t>,</w:t>
      </w:r>
      <w:r>
        <w:rPr>
          <w:b/>
          <w:bCs/>
          <w:color w:val="000000"/>
        </w:rPr>
        <w:t xml:space="preserve"> </w:t>
      </w:r>
      <w:r>
        <w:rPr>
          <w:color w:val="000000"/>
        </w:rPr>
        <w:t>en los siguientes términos:</w:t>
      </w:r>
    </w:p>
    <w:p w14:paraId="34928545" w14:textId="77777777" w:rsidR="00E91FD8" w:rsidRDefault="00E91FD8">
      <w:pPr>
        <w:spacing w:after="0" w:line="360" w:lineRule="auto"/>
        <w:rPr>
          <w:color w:val="000000"/>
        </w:rPr>
      </w:pPr>
    </w:p>
    <w:p w14:paraId="59C81073" w14:textId="77777777" w:rsidR="00E91FD8" w:rsidRDefault="00FA1EE3">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6B2BE577" w14:textId="77777777" w:rsidR="00E91FD8" w:rsidRDefault="00FA1EE3">
      <w:pPr>
        <w:spacing w:after="0" w:line="360" w:lineRule="auto"/>
        <w:ind w:left="567" w:right="567"/>
        <w:rPr>
          <w:i/>
          <w:iCs/>
          <w:color w:val="000000"/>
          <w:sz w:val="20"/>
          <w:szCs w:val="20"/>
        </w:rPr>
      </w:pPr>
      <w:r>
        <w:rPr>
          <w:i/>
          <w:iCs/>
          <w:color w:val="000000"/>
          <w:sz w:val="20"/>
          <w:szCs w:val="20"/>
        </w:rPr>
        <w:t xml:space="preserve">Solicito la dispersión de </w:t>
      </w:r>
      <w:proofErr w:type="spellStart"/>
      <w:r>
        <w:rPr>
          <w:i/>
          <w:iCs/>
          <w:color w:val="000000"/>
          <w:sz w:val="20"/>
          <w:szCs w:val="20"/>
        </w:rPr>
        <w:t>nomina</w:t>
      </w:r>
      <w:proofErr w:type="spellEnd"/>
      <w:r>
        <w:rPr>
          <w:i/>
          <w:iCs/>
          <w:color w:val="000000"/>
          <w:sz w:val="20"/>
          <w:szCs w:val="20"/>
        </w:rPr>
        <w:t xml:space="preserve"> y conciliación de </w:t>
      </w:r>
      <w:proofErr w:type="spellStart"/>
      <w:r>
        <w:rPr>
          <w:i/>
          <w:iCs/>
          <w:color w:val="000000"/>
          <w:sz w:val="20"/>
          <w:szCs w:val="20"/>
        </w:rPr>
        <w:t>nomina</w:t>
      </w:r>
      <w:proofErr w:type="spellEnd"/>
      <w:r>
        <w:rPr>
          <w:i/>
          <w:iCs/>
          <w:color w:val="000000"/>
          <w:sz w:val="20"/>
          <w:szCs w:val="20"/>
        </w:rPr>
        <w:t xml:space="preserve"> de enero 2025 a la fecha de la solicitud” (Sic.) </w:t>
      </w:r>
    </w:p>
    <w:p w14:paraId="0E0EF055" w14:textId="77777777" w:rsidR="00E91FD8" w:rsidRDefault="00E91FD8">
      <w:pPr>
        <w:tabs>
          <w:tab w:val="left" w:pos="4667"/>
        </w:tabs>
        <w:spacing w:after="0" w:line="360" w:lineRule="auto"/>
        <w:ind w:left="567" w:right="567"/>
        <w:rPr>
          <w:b/>
          <w:bCs/>
          <w:i/>
          <w:iCs/>
          <w:color w:val="000000"/>
          <w:sz w:val="20"/>
          <w:szCs w:val="20"/>
        </w:rPr>
      </w:pPr>
    </w:p>
    <w:p w14:paraId="6E26A825" w14:textId="77777777" w:rsidR="00E91FD8" w:rsidRDefault="00FA1EE3">
      <w:pPr>
        <w:tabs>
          <w:tab w:val="left" w:pos="4667"/>
        </w:tabs>
        <w:spacing w:after="0" w:line="360" w:lineRule="auto"/>
        <w:ind w:left="567" w:right="567"/>
        <w:rPr>
          <w:b/>
          <w:bCs/>
          <w:i/>
          <w:iCs/>
          <w:color w:val="000000"/>
          <w:sz w:val="20"/>
          <w:szCs w:val="20"/>
        </w:rPr>
      </w:pPr>
      <w:r>
        <w:rPr>
          <w:b/>
          <w:bCs/>
          <w:i/>
          <w:iCs/>
          <w:color w:val="000000"/>
          <w:sz w:val="20"/>
          <w:szCs w:val="20"/>
        </w:rPr>
        <w:t>“MODALIDAD DE ENTREGA</w:t>
      </w:r>
    </w:p>
    <w:p w14:paraId="5C0D8747" w14:textId="77777777" w:rsidR="00E91FD8" w:rsidRDefault="00FA1EE3">
      <w:pPr>
        <w:spacing w:after="0" w:line="360" w:lineRule="auto"/>
        <w:ind w:left="567" w:right="567"/>
        <w:rPr>
          <w:i/>
          <w:iCs/>
          <w:color w:val="000000"/>
          <w:sz w:val="20"/>
          <w:szCs w:val="20"/>
        </w:rPr>
      </w:pPr>
      <w:r>
        <w:rPr>
          <w:i/>
          <w:iCs/>
          <w:color w:val="000000"/>
          <w:sz w:val="20"/>
          <w:szCs w:val="20"/>
        </w:rPr>
        <w:t>A través del SAIMEX”</w:t>
      </w:r>
    </w:p>
    <w:p w14:paraId="0E0BA7F5" w14:textId="77777777" w:rsidR="00E91FD8" w:rsidRDefault="00E91FD8">
      <w:pPr>
        <w:tabs>
          <w:tab w:val="left" w:pos="4667"/>
        </w:tabs>
        <w:spacing w:after="0" w:line="360" w:lineRule="auto"/>
        <w:rPr>
          <w:i/>
          <w:iCs/>
          <w:color w:val="FF0000"/>
        </w:rPr>
      </w:pPr>
    </w:p>
    <w:p w14:paraId="70370A76" w14:textId="77777777" w:rsidR="00E91FD8" w:rsidRDefault="00FA1EE3">
      <w:pPr>
        <w:pStyle w:val="Ttulo2"/>
        <w:spacing w:before="0" w:line="360" w:lineRule="auto"/>
        <w:rPr>
          <w:rFonts w:ascii="Palatino Linotype" w:eastAsia="Palatino Linotype" w:hAnsi="Palatino Linotype" w:cs="Palatino Linotype"/>
          <w:b/>
          <w:bCs/>
          <w:color w:val="000000"/>
          <w:sz w:val="22"/>
          <w:szCs w:val="22"/>
        </w:rPr>
      </w:pPr>
      <w:bookmarkStart w:id="6" w:name="_heading=h.9lhc1eiw2k57" w:colFirst="0" w:colLast="0"/>
      <w:bookmarkStart w:id="7" w:name="_Toc224831208"/>
      <w:bookmarkEnd w:id="6"/>
      <w:r>
        <w:rPr>
          <w:rFonts w:ascii="Palatino Linotype" w:eastAsia="Palatino Linotype" w:hAnsi="Palatino Linotype" w:cs="Palatino Linotype"/>
          <w:b/>
          <w:bCs/>
          <w:color w:val="000000"/>
          <w:sz w:val="22"/>
          <w:szCs w:val="22"/>
        </w:rPr>
        <w:t>II. Respuesta del Sujeto Obligado</w:t>
      </w:r>
      <w:bookmarkEnd w:id="7"/>
    </w:p>
    <w:p w14:paraId="0A99545F" w14:textId="77777777" w:rsidR="00E91FD8" w:rsidRDefault="00E91FD8"/>
    <w:p w14:paraId="37466B99" w14:textId="77777777" w:rsidR="00E91FD8" w:rsidRDefault="00FA1EE3">
      <w:pPr>
        <w:spacing w:after="0" w:line="360" w:lineRule="auto"/>
        <w:rPr>
          <w:color w:val="FF0000"/>
        </w:rPr>
      </w:pPr>
      <w:r>
        <w:rPr>
          <w:color w:val="000000"/>
        </w:rPr>
        <w:t xml:space="preserve">El veinticinco de agosto de dos mil veinticinco, el Sujeto Obligado notificó, a través del Sistema de Acceso a la Información Mexiquense (SAIMEX), la respuesta a la solicitud de acceso a la información pública, a través de oficio </w:t>
      </w:r>
      <w:r>
        <w:t>SAPASA/SA/0530/2025 del catorce de agosto de dos mil veinticinco, suscrito por la Subdirectora de Administración y dirigido al Titular de la Unidad de Transparencia, por medio del cual se menciona lo siguiente:</w:t>
      </w:r>
    </w:p>
    <w:p w14:paraId="239A9112" w14:textId="77777777" w:rsidR="00E91FD8" w:rsidRDefault="00E91FD8">
      <w:pPr>
        <w:spacing w:after="0" w:line="360" w:lineRule="auto"/>
        <w:rPr>
          <w:color w:val="FF0000"/>
        </w:rPr>
      </w:pPr>
    </w:p>
    <w:p w14:paraId="794F10D4" w14:textId="5F320F22" w:rsidR="00E91FD8" w:rsidRDefault="00FA1EE3" w:rsidP="00841E72">
      <w:pPr>
        <w:spacing w:after="0" w:line="360" w:lineRule="auto"/>
        <w:ind w:left="567" w:right="567"/>
        <w:rPr>
          <w:i/>
          <w:iCs/>
          <w:color w:val="000000"/>
          <w:sz w:val="20"/>
          <w:szCs w:val="20"/>
        </w:rPr>
      </w:pPr>
      <w:r>
        <w:rPr>
          <w:i/>
          <w:iCs/>
          <w:color w:val="000000"/>
          <w:sz w:val="20"/>
          <w:szCs w:val="20"/>
        </w:rPr>
        <w:t>“…Al respecto me permito informarle que se entrega la información que se entrega al OSFEM de manera trimestral del periodo enero a junio 2025, por lo que respecta julio se encuentra en proceso y será entregada de conformidad con el calendario”</w:t>
      </w:r>
    </w:p>
    <w:p w14:paraId="264AD615" w14:textId="77777777" w:rsidR="00841E72" w:rsidRDefault="00841E72" w:rsidP="00841E72">
      <w:pPr>
        <w:spacing w:after="0" w:line="360" w:lineRule="auto"/>
        <w:ind w:right="567"/>
        <w:rPr>
          <w:i/>
          <w:iCs/>
          <w:color w:val="000000"/>
          <w:sz w:val="20"/>
          <w:szCs w:val="20"/>
        </w:rPr>
      </w:pPr>
    </w:p>
    <w:p w14:paraId="0E5D76A5" w14:textId="2D07AF60" w:rsidR="00841E72" w:rsidRDefault="00841E72" w:rsidP="00841E72">
      <w:pPr>
        <w:spacing w:after="0" w:line="360" w:lineRule="auto"/>
        <w:ind w:right="567"/>
        <w:rPr>
          <w:color w:val="000000"/>
          <w:sz w:val="20"/>
          <w:szCs w:val="20"/>
        </w:rPr>
      </w:pPr>
      <w:r>
        <w:rPr>
          <w:color w:val="000000"/>
          <w:sz w:val="20"/>
          <w:szCs w:val="20"/>
        </w:rPr>
        <w:t>El Sujeto Obligado adjuntó la digitalización de los siguientes documentos:</w:t>
      </w:r>
    </w:p>
    <w:p w14:paraId="16EB7442" w14:textId="77777777" w:rsidR="00841E72" w:rsidRPr="00841E72" w:rsidRDefault="00841E72" w:rsidP="00841E72">
      <w:pPr>
        <w:spacing w:after="0" w:line="360" w:lineRule="auto"/>
        <w:ind w:right="567"/>
        <w:rPr>
          <w:color w:val="000000"/>
          <w:sz w:val="20"/>
          <w:szCs w:val="20"/>
        </w:rPr>
      </w:pPr>
    </w:p>
    <w:p w14:paraId="694591EB" w14:textId="37F1932B" w:rsidR="00E91FD8" w:rsidRDefault="00841E72">
      <w:pPr>
        <w:numPr>
          <w:ilvl w:val="0"/>
          <w:numId w:val="2"/>
        </w:numPr>
        <w:pBdr>
          <w:top w:val="nil"/>
          <w:left w:val="nil"/>
          <w:bottom w:val="nil"/>
          <w:right w:val="nil"/>
          <w:between w:val="nil"/>
        </w:pBdr>
        <w:spacing w:after="0" w:line="360" w:lineRule="auto"/>
        <w:rPr>
          <w:color w:val="FF0000"/>
        </w:rPr>
      </w:pPr>
      <w:r>
        <w:rPr>
          <w:color w:val="000000"/>
        </w:rPr>
        <w:t>Acta del Comité de Transparencia por medio del cual se aprueba la clasificación de los datos personales contenidos en la conciliación de nómina.</w:t>
      </w:r>
    </w:p>
    <w:p w14:paraId="2CFBDCC8" w14:textId="77777777" w:rsidR="00E91FD8" w:rsidRDefault="00E91FD8">
      <w:pPr>
        <w:pBdr>
          <w:top w:val="nil"/>
          <w:left w:val="nil"/>
          <w:bottom w:val="nil"/>
          <w:right w:val="nil"/>
          <w:between w:val="nil"/>
        </w:pBdr>
        <w:spacing w:after="0" w:line="360" w:lineRule="auto"/>
        <w:ind w:left="720"/>
        <w:rPr>
          <w:color w:val="FF0000"/>
        </w:rPr>
      </w:pPr>
    </w:p>
    <w:p w14:paraId="5551BA86" w14:textId="18DA914C" w:rsidR="00E91FD8" w:rsidRDefault="00841E72">
      <w:pPr>
        <w:numPr>
          <w:ilvl w:val="0"/>
          <w:numId w:val="2"/>
        </w:numPr>
        <w:pBdr>
          <w:top w:val="nil"/>
          <w:left w:val="nil"/>
          <w:bottom w:val="nil"/>
          <w:right w:val="nil"/>
          <w:between w:val="nil"/>
        </w:pBdr>
        <w:spacing w:after="0" w:line="360" w:lineRule="auto"/>
        <w:rPr>
          <w:color w:val="FF0000"/>
        </w:rPr>
      </w:pPr>
      <w:r>
        <w:rPr>
          <w:color w:val="000000"/>
        </w:rPr>
        <w:t>Pólizas de cheque y pólizas de egreso de enero a junio de dos mil veinticinco</w:t>
      </w:r>
    </w:p>
    <w:p w14:paraId="3B6D86AA" w14:textId="77777777" w:rsidR="00E91FD8" w:rsidRDefault="00E91FD8">
      <w:pPr>
        <w:pBdr>
          <w:top w:val="nil"/>
          <w:left w:val="nil"/>
          <w:bottom w:val="nil"/>
          <w:right w:val="nil"/>
          <w:between w:val="nil"/>
        </w:pBdr>
        <w:spacing w:after="0"/>
        <w:ind w:left="720"/>
        <w:rPr>
          <w:color w:val="FF0000"/>
        </w:rPr>
      </w:pPr>
    </w:p>
    <w:p w14:paraId="25799156" w14:textId="14F79C46" w:rsidR="00E91FD8" w:rsidRDefault="00841E72">
      <w:pPr>
        <w:numPr>
          <w:ilvl w:val="0"/>
          <w:numId w:val="2"/>
        </w:numPr>
        <w:pBdr>
          <w:top w:val="nil"/>
          <w:left w:val="nil"/>
          <w:bottom w:val="nil"/>
          <w:right w:val="nil"/>
          <w:between w:val="nil"/>
        </w:pBdr>
        <w:spacing w:after="0" w:line="360" w:lineRule="auto"/>
        <w:rPr>
          <w:color w:val="FF0000"/>
        </w:rPr>
      </w:pPr>
      <w:r>
        <w:rPr>
          <w:color w:val="000000"/>
        </w:rPr>
        <w:t>Conciliación de nómina de los servidores públicos adscritos al Organismo por quincena de enero a junio de dos mil veinticinco.</w:t>
      </w:r>
    </w:p>
    <w:p w14:paraId="43C956E6" w14:textId="77777777" w:rsidR="00E91FD8" w:rsidRDefault="00E91FD8">
      <w:pPr>
        <w:pBdr>
          <w:top w:val="nil"/>
          <w:left w:val="nil"/>
          <w:bottom w:val="nil"/>
          <w:right w:val="nil"/>
          <w:between w:val="nil"/>
        </w:pBdr>
        <w:spacing w:after="0" w:line="360" w:lineRule="auto"/>
        <w:ind w:left="720"/>
        <w:rPr>
          <w:color w:val="FF0000"/>
        </w:rPr>
      </w:pPr>
    </w:p>
    <w:p w14:paraId="1E179A69" w14:textId="77777777" w:rsidR="00E91FD8" w:rsidRPr="00212EAD" w:rsidRDefault="00FA1EE3" w:rsidP="00212EAD">
      <w:pPr>
        <w:pStyle w:val="Ttulo2"/>
        <w:spacing w:before="0" w:line="360" w:lineRule="auto"/>
        <w:rPr>
          <w:rFonts w:ascii="Palatino Linotype" w:eastAsia="Palatino Linotype" w:hAnsi="Palatino Linotype" w:cs="Palatino Linotype"/>
          <w:b/>
          <w:bCs/>
          <w:color w:val="auto"/>
          <w:sz w:val="22"/>
          <w:szCs w:val="22"/>
        </w:rPr>
      </w:pPr>
      <w:bookmarkStart w:id="8" w:name="_heading=h.1w1xaxpsvfg6" w:colFirst="0" w:colLast="0"/>
      <w:bookmarkStart w:id="9" w:name="_Toc224831209"/>
      <w:bookmarkEnd w:id="8"/>
      <w:r w:rsidRPr="00212EAD">
        <w:rPr>
          <w:rFonts w:ascii="Palatino Linotype" w:eastAsia="Palatino Linotype" w:hAnsi="Palatino Linotype" w:cs="Palatino Linotype"/>
          <w:b/>
          <w:bCs/>
          <w:color w:val="auto"/>
          <w:sz w:val="22"/>
          <w:szCs w:val="22"/>
        </w:rPr>
        <w:t>III. Interposición del Recurso de Revisión</w:t>
      </w:r>
      <w:bookmarkEnd w:id="9"/>
    </w:p>
    <w:p w14:paraId="0A8B745B" w14:textId="77777777" w:rsidR="00E91FD8" w:rsidRDefault="00E91FD8">
      <w:pPr>
        <w:spacing w:after="0" w:line="360" w:lineRule="auto"/>
        <w:rPr>
          <w:b/>
          <w:bCs/>
          <w:color w:val="FF0000"/>
        </w:rPr>
      </w:pPr>
    </w:p>
    <w:p w14:paraId="22FB821B" w14:textId="77777777" w:rsidR="00E91FD8" w:rsidRDefault="00FA1EE3">
      <w:pPr>
        <w:spacing w:after="0" w:line="360" w:lineRule="auto"/>
        <w:rPr>
          <w:color w:val="000000"/>
        </w:rPr>
      </w:pPr>
      <w:r>
        <w:rPr>
          <w:color w:val="000000"/>
        </w:rPr>
        <w:t xml:space="preserve">El veintinueve de agosto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 </w:t>
      </w:r>
    </w:p>
    <w:p w14:paraId="25BAFE62" w14:textId="77777777" w:rsidR="00E91FD8" w:rsidRDefault="00E91FD8">
      <w:pPr>
        <w:spacing w:after="0" w:line="360" w:lineRule="auto"/>
        <w:ind w:left="567" w:right="567"/>
        <w:rPr>
          <w:b/>
          <w:bCs/>
          <w:i/>
          <w:iCs/>
          <w:color w:val="FF0000"/>
          <w:sz w:val="20"/>
          <w:szCs w:val="20"/>
        </w:rPr>
      </w:pPr>
    </w:p>
    <w:p w14:paraId="11BDAE66" w14:textId="77777777" w:rsidR="00E91FD8" w:rsidRDefault="00FA1EE3">
      <w:pPr>
        <w:spacing w:after="0" w:line="360" w:lineRule="auto"/>
        <w:ind w:left="567" w:right="567"/>
        <w:rPr>
          <w:i/>
          <w:iCs/>
          <w:color w:val="000000"/>
          <w:sz w:val="20"/>
          <w:szCs w:val="20"/>
        </w:rPr>
      </w:pPr>
      <w:r>
        <w:rPr>
          <w:b/>
          <w:bCs/>
          <w:i/>
          <w:iCs/>
          <w:color w:val="000000"/>
          <w:sz w:val="20"/>
          <w:szCs w:val="20"/>
        </w:rPr>
        <w:t>‘’ACTO IMPUGNADO</w:t>
      </w:r>
    </w:p>
    <w:p w14:paraId="34D84CC2" w14:textId="77777777" w:rsidR="00E91FD8" w:rsidRDefault="00FA1EE3">
      <w:pPr>
        <w:spacing w:after="0" w:line="360" w:lineRule="auto"/>
        <w:ind w:left="567" w:right="567"/>
        <w:rPr>
          <w:i/>
          <w:iCs/>
          <w:color w:val="000000"/>
          <w:sz w:val="20"/>
          <w:szCs w:val="20"/>
        </w:rPr>
      </w:pPr>
      <w:r>
        <w:rPr>
          <w:i/>
          <w:iCs/>
          <w:color w:val="000000"/>
          <w:sz w:val="20"/>
          <w:szCs w:val="20"/>
        </w:rPr>
        <w:t>Respuesta” (Sic.)</w:t>
      </w:r>
    </w:p>
    <w:p w14:paraId="69056FD0" w14:textId="77777777" w:rsidR="00E91FD8" w:rsidRDefault="00E91FD8">
      <w:pPr>
        <w:spacing w:after="0" w:line="360" w:lineRule="auto"/>
        <w:ind w:left="567" w:right="567"/>
        <w:rPr>
          <w:i/>
          <w:iCs/>
          <w:color w:val="FF0000"/>
          <w:sz w:val="20"/>
          <w:szCs w:val="20"/>
        </w:rPr>
      </w:pPr>
    </w:p>
    <w:p w14:paraId="109F6764" w14:textId="77777777" w:rsidR="00E91FD8" w:rsidRDefault="00FA1EE3">
      <w:pPr>
        <w:spacing w:after="0" w:line="360" w:lineRule="auto"/>
        <w:ind w:left="567" w:right="567"/>
        <w:rPr>
          <w:b/>
          <w:bCs/>
          <w:i/>
          <w:iCs/>
          <w:color w:val="000000"/>
          <w:sz w:val="20"/>
          <w:szCs w:val="20"/>
        </w:rPr>
      </w:pPr>
      <w:r>
        <w:rPr>
          <w:b/>
          <w:bCs/>
          <w:i/>
          <w:iCs/>
          <w:color w:val="000000"/>
          <w:sz w:val="20"/>
          <w:szCs w:val="20"/>
        </w:rPr>
        <w:t>‘’RAZONES O MOTIVOS DE LA INCONFORMIDAD</w:t>
      </w:r>
    </w:p>
    <w:p w14:paraId="4E4E1F39" w14:textId="77777777" w:rsidR="00E91FD8" w:rsidRDefault="00FA1EE3">
      <w:pPr>
        <w:spacing w:after="0" w:line="360" w:lineRule="auto"/>
        <w:ind w:left="567" w:right="567"/>
        <w:rPr>
          <w:i/>
          <w:iCs/>
          <w:color w:val="000000"/>
          <w:sz w:val="20"/>
          <w:szCs w:val="20"/>
        </w:rPr>
      </w:pPr>
      <w:r>
        <w:rPr>
          <w:i/>
          <w:iCs/>
          <w:color w:val="000000"/>
          <w:sz w:val="20"/>
          <w:szCs w:val="20"/>
        </w:rPr>
        <w:t xml:space="preserve">No remiten la dispersión de </w:t>
      </w:r>
      <w:proofErr w:type="spellStart"/>
      <w:r>
        <w:rPr>
          <w:i/>
          <w:iCs/>
          <w:color w:val="000000"/>
          <w:sz w:val="20"/>
          <w:szCs w:val="20"/>
        </w:rPr>
        <w:t>nomina</w:t>
      </w:r>
      <w:proofErr w:type="spellEnd"/>
      <w:r>
        <w:rPr>
          <w:i/>
          <w:iCs/>
          <w:color w:val="000000"/>
          <w:sz w:val="20"/>
          <w:szCs w:val="20"/>
        </w:rPr>
        <w:t>, no pedí póliza, solicito ordenen remitir completa la información.” (Sic.)</w:t>
      </w:r>
    </w:p>
    <w:p w14:paraId="2610BAE1" w14:textId="77777777" w:rsidR="00E91FD8" w:rsidRDefault="00E91FD8">
      <w:pPr>
        <w:spacing w:after="0" w:line="360" w:lineRule="auto"/>
        <w:ind w:right="567"/>
        <w:rPr>
          <w:i/>
          <w:iCs/>
          <w:color w:val="FF0000"/>
          <w:sz w:val="20"/>
          <w:szCs w:val="20"/>
        </w:rPr>
      </w:pPr>
    </w:p>
    <w:p w14:paraId="6ADE162A" w14:textId="77777777" w:rsidR="00E91FD8" w:rsidRPr="00212EAD" w:rsidRDefault="00FA1EE3" w:rsidP="00212EAD">
      <w:pPr>
        <w:pStyle w:val="Ttulo2"/>
        <w:spacing w:before="0" w:line="360" w:lineRule="auto"/>
        <w:rPr>
          <w:rFonts w:ascii="Palatino Linotype" w:eastAsia="Palatino Linotype" w:hAnsi="Palatino Linotype" w:cs="Palatino Linotype"/>
          <w:b/>
          <w:bCs/>
          <w:color w:val="auto"/>
          <w:sz w:val="22"/>
          <w:szCs w:val="22"/>
        </w:rPr>
      </w:pPr>
      <w:bookmarkStart w:id="10" w:name="_heading=h.dbwpi6unqfzm" w:colFirst="0" w:colLast="0"/>
      <w:bookmarkStart w:id="11" w:name="_Toc224831210"/>
      <w:bookmarkEnd w:id="10"/>
      <w:r w:rsidRPr="00212EAD">
        <w:rPr>
          <w:rFonts w:ascii="Palatino Linotype" w:eastAsia="Palatino Linotype" w:hAnsi="Palatino Linotype" w:cs="Palatino Linotype"/>
          <w:b/>
          <w:bCs/>
          <w:color w:val="auto"/>
          <w:sz w:val="22"/>
          <w:szCs w:val="22"/>
        </w:rPr>
        <w:t>IV. Trámite del Recurso de Revisión ante este Instituto</w:t>
      </w:r>
      <w:bookmarkEnd w:id="11"/>
    </w:p>
    <w:p w14:paraId="65052D96" w14:textId="77777777" w:rsidR="00E91FD8" w:rsidRDefault="00E91FD8">
      <w:pPr>
        <w:spacing w:after="0" w:line="360" w:lineRule="auto"/>
        <w:rPr>
          <w:b/>
          <w:bCs/>
          <w:color w:val="000000"/>
        </w:rPr>
      </w:pPr>
    </w:p>
    <w:p w14:paraId="12B2B5BA" w14:textId="77777777" w:rsidR="00E91FD8" w:rsidRDefault="00FA1EE3">
      <w:pPr>
        <w:spacing w:after="0" w:line="360" w:lineRule="auto"/>
        <w:rPr>
          <w:color w:val="000000"/>
        </w:rPr>
      </w:pPr>
      <w:r>
        <w:rPr>
          <w:b/>
          <w:bCs/>
          <w:color w:val="000000"/>
        </w:rPr>
        <w:t>a) Turno del Medio de Impugnación.</w:t>
      </w:r>
      <w:r>
        <w:rPr>
          <w:color w:val="000000"/>
        </w:rPr>
        <w:t xml:space="preserve"> El veintinueve de agosto de dos mil veinticinco, el Sistema de Acceso a la Información Mexiquense (SAIMEX), asignó el número de expediente </w:t>
      </w:r>
      <w:r>
        <w:rPr>
          <w:b/>
          <w:bCs/>
          <w:color w:val="000000"/>
        </w:rPr>
        <w:t>10186/INFOEM/IP/RR/2025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84FB95E" w14:textId="77777777" w:rsidR="00E91FD8" w:rsidRDefault="00E91FD8">
      <w:pPr>
        <w:spacing w:after="0" w:line="360" w:lineRule="auto"/>
        <w:rPr>
          <w:b/>
          <w:bCs/>
          <w:color w:val="FF0000"/>
        </w:rPr>
      </w:pPr>
    </w:p>
    <w:p w14:paraId="15871D0C" w14:textId="77777777" w:rsidR="00E91FD8" w:rsidRDefault="00FA1EE3">
      <w:pPr>
        <w:spacing w:after="0" w:line="360" w:lineRule="auto"/>
        <w:rPr>
          <w:color w:val="000000"/>
        </w:rPr>
      </w:pPr>
      <w:r>
        <w:rPr>
          <w:b/>
          <w:bCs/>
          <w:color w:val="000000"/>
        </w:rPr>
        <w:t xml:space="preserve">b) Admisión del Recurso de Revisión. </w:t>
      </w:r>
      <w:r>
        <w:rPr>
          <w:color w:val="000000"/>
        </w:rPr>
        <w:t>El tres de septiembre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B721D4A" w14:textId="77777777" w:rsidR="00E91FD8" w:rsidRDefault="00E91FD8">
      <w:pPr>
        <w:spacing w:after="0" w:line="360" w:lineRule="auto"/>
        <w:rPr>
          <w:color w:val="FF0000"/>
        </w:rPr>
      </w:pPr>
    </w:p>
    <w:p w14:paraId="63DA881B" w14:textId="77777777" w:rsidR="00E91FD8" w:rsidRDefault="00FA1EE3">
      <w:pPr>
        <w:spacing w:after="0" w:line="360" w:lineRule="auto"/>
        <w:rPr>
          <w:color w:val="000000"/>
        </w:rPr>
      </w:pPr>
      <w:bookmarkStart w:id="12" w:name="_heading=h.ltjkzrmpi1tp" w:colFirst="0" w:colLast="0"/>
      <w:bookmarkEnd w:id="12"/>
      <w:r>
        <w:rPr>
          <w:b/>
          <w:bCs/>
          <w:color w:val="000000"/>
        </w:rPr>
        <w:t xml:space="preserve">c) Informe Justificado. </w:t>
      </w:r>
      <w:r>
        <w:rPr>
          <w:color w:val="000000"/>
        </w:rPr>
        <w:t xml:space="preserve">El once de septiembre de dos mil veinticinco, se recibió, a través del Sistema de Acceso a la Información Mexiquense (SAIMEX), el Informe Justificado del Sujeto Obligado, por medio del oficio número SAPASA/UT/EMJG/0340/2025, de fecha once de septiembre suscrito por la Titular de la Unidad de Transparencia y Acceso a la Información, y dirigido al solicitante donde derivado de la inconformidad refiere adjuntar 61 archivos correspondientes a la dispersión de nómina de enero a junio de dos mil veinticinco. </w:t>
      </w:r>
    </w:p>
    <w:p w14:paraId="51A4671F" w14:textId="77777777" w:rsidR="00E91FD8" w:rsidRDefault="00E91FD8">
      <w:pPr>
        <w:spacing w:after="0" w:line="360" w:lineRule="auto"/>
        <w:rPr>
          <w:color w:val="000000"/>
        </w:rPr>
      </w:pPr>
    </w:p>
    <w:p w14:paraId="5F87B509" w14:textId="025BE329" w:rsidR="00E91FD8" w:rsidRDefault="00841E72" w:rsidP="00841E72">
      <w:pPr>
        <w:pBdr>
          <w:top w:val="nil"/>
          <w:left w:val="nil"/>
          <w:bottom w:val="nil"/>
          <w:right w:val="nil"/>
          <w:between w:val="nil"/>
        </w:pBdr>
        <w:spacing w:after="0" w:line="360" w:lineRule="auto"/>
        <w:rPr>
          <w:color w:val="000000"/>
        </w:rPr>
      </w:pPr>
      <w:r>
        <w:rPr>
          <w:color w:val="000000"/>
        </w:rPr>
        <w:t xml:space="preserve">El Sujeto Obligado adjuntó los </w:t>
      </w:r>
      <w:proofErr w:type="spellStart"/>
      <w:r>
        <w:rPr>
          <w:color w:val="000000"/>
        </w:rPr>
        <w:t>comrpobantes</w:t>
      </w:r>
      <w:proofErr w:type="spellEnd"/>
      <w:r>
        <w:rPr>
          <w:color w:val="000000"/>
        </w:rPr>
        <w:t xml:space="preserve"> bancarios de dispersión de nómina por quincena correspondiente de enero a junio de dos mil veinticinco; así como, el Acta del Comité de Transparencia, por medio del cual clasifica como confidencial la información relativa a la cuenta bancaria personal.</w:t>
      </w:r>
    </w:p>
    <w:p w14:paraId="7438F4C8" w14:textId="77777777" w:rsidR="00E91FD8" w:rsidRDefault="00E91FD8">
      <w:pPr>
        <w:spacing w:after="0" w:line="360" w:lineRule="auto"/>
      </w:pPr>
    </w:p>
    <w:p w14:paraId="481386AE" w14:textId="77777777" w:rsidR="00E91FD8" w:rsidRDefault="00FA1EE3">
      <w:pPr>
        <w:spacing w:after="0" w:line="360" w:lineRule="auto"/>
        <w:rPr>
          <w:color w:val="000000"/>
        </w:rPr>
      </w:pPr>
      <w:r>
        <w:rPr>
          <w:b/>
          <w:bCs/>
          <w:color w:val="000000"/>
        </w:rPr>
        <w:t>d) Vista del Informe Justificado.</w:t>
      </w:r>
      <w:r>
        <w:rPr>
          <w:color w:val="000000"/>
        </w:rPr>
        <w:t xml:space="preserve"> El diecinueve de enero de dos mil veintiséis, se dictó acuerdo mediante el cual se puso a la vista del Particular el Informe Justificado, entregado por el Sujeto Obligado, así como los documentos adjuntos, el cual fue notificado a las partes, </w:t>
      </w:r>
      <w:r>
        <w:rPr>
          <w:color w:val="000000"/>
        </w:rPr>
        <w:lastRenderedPageBreak/>
        <w:t xml:space="preserve">a través del Sistema de Acceso a la Información Mexiquense (SAIMEX), el mismo día. </w:t>
      </w:r>
      <w:r>
        <w:rPr>
          <w:b/>
          <w:bCs/>
          <w:color w:val="000000"/>
        </w:rPr>
        <w:t>Cabe señalar que el Particular fue omiso en realizar manifestación alguna.</w:t>
      </w:r>
    </w:p>
    <w:p w14:paraId="30229BF3" w14:textId="77777777" w:rsidR="00E91FD8" w:rsidRDefault="00E91FD8">
      <w:pPr>
        <w:spacing w:after="0" w:line="360" w:lineRule="auto"/>
        <w:rPr>
          <w:color w:val="FF0000"/>
        </w:rPr>
      </w:pPr>
    </w:p>
    <w:p w14:paraId="3AC591D8" w14:textId="77777777" w:rsidR="00E91FD8" w:rsidRDefault="00FA1EE3">
      <w:pPr>
        <w:spacing w:after="0" w:line="360" w:lineRule="auto"/>
        <w:rPr>
          <w:color w:val="000000"/>
        </w:rPr>
      </w:pPr>
      <w:r>
        <w:rPr>
          <w:b/>
          <w:bCs/>
          <w:color w:val="000000"/>
        </w:rPr>
        <w:t xml:space="preserve">e) Ampliación de plazo para resolver. </w:t>
      </w:r>
      <w:r>
        <w:rPr>
          <w:color w:val="000000"/>
        </w:rPr>
        <w:t>El once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el mismo día, mediante el Sistema de Acceso a la Información Mexiquense (SAIMEX).</w:t>
      </w:r>
    </w:p>
    <w:p w14:paraId="4878D9C5" w14:textId="77777777" w:rsidR="00E91FD8" w:rsidRDefault="00E91FD8">
      <w:pPr>
        <w:spacing w:after="0" w:line="360" w:lineRule="auto"/>
        <w:rPr>
          <w:color w:val="FF0000"/>
        </w:rPr>
      </w:pPr>
    </w:p>
    <w:p w14:paraId="5F472D49" w14:textId="0A1C6AF6" w:rsidR="00E91FD8" w:rsidRDefault="007B03A9">
      <w:pPr>
        <w:spacing w:after="0" w:line="360" w:lineRule="auto"/>
        <w:rPr>
          <w:color w:val="000000"/>
        </w:rPr>
      </w:pPr>
      <w:r>
        <w:rPr>
          <w:b/>
          <w:bCs/>
          <w:color w:val="000000"/>
        </w:rPr>
        <w:t>f</w:t>
      </w:r>
      <w:r w:rsidR="00FA1EE3">
        <w:rPr>
          <w:b/>
          <w:bCs/>
          <w:color w:val="000000"/>
        </w:rPr>
        <w:t>) Cierre de instrucción.</w:t>
      </w:r>
      <w:r w:rsidR="00FA1EE3">
        <w:rPr>
          <w:color w:val="000000"/>
        </w:rPr>
        <w:t xml:space="preserve"> El once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8A137BD" w14:textId="77777777" w:rsidR="00E91FD8" w:rsidRDefault="00E91FD8">
      <w:pPr>
        <w:spacing w:after="0" w:line="360" w:lineRule="auto"/>
        <w:rPr>
          <w:color w:val="FF0000"/>
        </w:rPr>
      </w:pPr>
    </w:p>
    <w:p w14:paraId="6BE42EEA" w14:textId="77777777" w:rsidR="00E91FD8" w:rsidRDefault="00FA1EE3">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2BE8BE5F" w14:textId="77777777" w:rsidR="00E91FD8" w:rsidRDefault="00E91FD8">
      <w:pPr>
        <w:spacing w:after="0" w:line="360" w:lineRule="auto"/>
        <w:rPr>
          <w:color w:val="000000"/>
        </w:rPr>
      </w:pPr>
    </w:p>
    <w:p w14:paraId="286EB672" w14:textId="77777777" w:rsidR="00E91FD8" w:rsidRDefault="00FA1EE3">
      <w:pPr>
        <w:keepNext/>
        <w:keepLines/>
        <w:spacing w:after="0" w:line="360" w:lineRule="auto"/>
        <w:jc w:val="center"/>
        <w:rPr>
          <w:b/>
          <w:bCs/>
          <w:color w:val="000000"/>
        </w:rPr>
      </w:pPr>
      <w:bookmarkStart w:id="13" w:name="_heading=h.m7j27mu0wzp5" w:colFirst="0" w:colLast="0"/>
      <w:bookmarkEnd w:id="13"/>
      <w:r>
        <w:rPr>
          <w:b/>
          <w:bCs/>
          <w:color w:val="000000"/>
        </w:rPr>
        <w:t>C O N S I D E R A N D O S</w:t>
      </w:r>
    </w:p>
    <w:p w14:paraId="3A5A0A68" w14:textId="77777777" w:rsidR="00E91FD8" w:rsidRDefault="00E91FD8">
      <w:pPr>
        <w:spacing w:after="0" w:line="360" w:lineRule="auto"/>
        <w:jc w:val="center"/>
        <w:rPr>
          <w:b/>
          <w:bCs/>
          <w:color w:val="000000"/>
        </w:rPr>
      </w:pPr>
    </w:p>
    <w:p w14:paraId="2B4E0D33" w14:textId="77777777" w:rsidR="00E91FD8" w:rsidRDefault="00FA1EE3">
      <w:pPr>
        <w:pStyle w:val="Ttulo2"/>
        <w:spacing w:before="0" w:line="360" w:lineRule="auto"/>
        <w:rPr>
          <w:rFonts w:ascii="Palatino Linotype" w:eastAsia="Palatino Linotype" w:hAnsi="Palatino Linotype" w:cs="Palatino Linotype"/>
          <w:b/>
          <w:bCs/>
          <w:color w:val="000000"/>
          <w:sz w:val="22"/>
          <w:szCs w:val="22"/>
        </w:rPr>
      </w:pPr>
      <w:bookmarkStart w:id="14" w:name="_heading=h.aixxo7idopyi" w:colFirst="0" w:colLast="0"/>
      <w:bookmarkStart w:id="15" w:name="_Toc224831211"/>
      <w:bookmarkEnd w:id="14"/>
      <w:r>
        <w:rPr>
          <w:rFonts w:ascii="Palatino Linotype" w:eastAsia="Palatino Linotype" w:hAnsi="Palatino Linotype" w:cs="Palatino Linotype"/>
          <w:b/>
          <w:bCs/>
          <w:color w:val="000000"/>
          <w:sz w:val="22"/>
          <w:szCs w:val="22"/>
        </w:rPr>
        <w:t>PRIMERO. Competencia</w:t>
      </w:r>
      <w:bookmarkEnd w:id="15"/>
    </w:p>
    <w:p w14:paraId="6C5D3A10" w14:textId="77777777" w:rsidR="00E91FD8" w:rsidRDefault="00E91FD8">
      <w:pPr>
        <w:spacing w:after="0" w:line="360" w:lineRule="auto"/>
        <w:rPr>
          <w:color w:val="000000"/>
        </w:rPr>
      </w:pPr>
    </w:p>
    <w:p w14:paraId="4F895E2A" w14:textId="77777777" w:rsidR="00E91FD8" w:rsidRDefault="00FA1EE3">
      <w:pPr>
        <w:spacing w:after="0" w:line="360" w:lineRule="auto"/>
      </w:pPr>
      <w: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3EE4FBE" w14:textId="77777777" w:rsidR="00E91FD8" w:rsidRDefault="00E91FD8">
      <w:pPr>
        <w:spacing w:after="0" w:line="360" w:lineRule="auto"/>
        <w:rPr>
          <w:b/>
          <w:bCs/>
          <w:color w:val="000000"/>
        </w:rPr>
      </w:pPr>
    </w:p>
    <w:p w14:paraId="487607BC" w14:textId="77777777" w:rsidR="00E91FD8" w:rsidRDefault="00FA1EE3">
      <w:pPr>
        <w:pStyle w:val="Ttulo2"/>
        <w:spacing w:before="0" w:line="360" w:lineRule="auto"/>
        <w:rPr>
          <w:rFonts w:ascii="Palatino Linotype" w:eastAsia="Palatino Linotype" w:hAnsi="Palatino Linotype" w:cs="Palatino Linotype"/>
          <w:b/>
          <w:bCs/>
          <w:color w:val="000000"/>
          <w:sz w:val="22"/>
          <w:szCs w:val="22"/>
        </w:rPr>
      </w:pPr>
      <w:bookmarkStart w:id="16" w:name="_heading=h.2st3c71lv69" w:colFirst="0" w:colLast="0"/>
      <w:bookmarkStart w:id="17" w:name="_Toc224831212"/>
      <w:bookmarkEnd w:id="16"/>
      <w:r>
        <w:rPr>
          <w:rFonts w:ascii="Palatino Linotype" w:eastAsia="Palatino Linotype" w:hAnsi="Palatino Linotype" w:cs="Palatino Linotype"/>
          <w:b/>
          <w:bCs/>
          <w:color w:val="000000"/>
          <w:sz w:val="22"/>
          <w:szCs w:val="22"/>
        </w:rPr>
        <w:t>SEGUNDO. Causales de improcedencia y sobreseimiento</w:t>
      </w:r>
      <w:bookmarkEnd w:id="17"/>
      <w:r>
        <w:rPr>
          <w:rFonts w:ascii="Palatino Linotype" w:eastAsia="Palatino Linotype" w:hAnsi="Palatino Linotype" w:cs="Palatino Linotype"/>
          <w:b/>
          <w:bCs/>
          <w:color w:val="000000"/>
          <w:sz w:val="22"/>
          <w:szCs w:val="22"/>
        </w:rPr>
        <w:t xml:space="preserve"> </w:t>
      </w:r>
    </w:p>
    <w:p w14:paraId="73139DB9" w14:textId="77777777" w:rsidR="00E91FD8" w:rsidRDefault="00E91FD8">
      <w:pPr>
        <w:spacing w:after="0" w:line="360" w:lineRule="auto"/>
        <w:rPr>
          <w:color w:val="000000"/>
        </w:rPr>
      </w:pPr>
    </w:p>
    <w:p w14:paraId="5296A7A9" w14:textId="77777777" w:rsidR="00E91FD8" w:rsidRDefault="00FA1EE3">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78AAD5FC" w14:textId="77777777" w:rsidR="00E91FD8" w:rsidRDefault="00E91FD8">
      <w:pPr>
        <w:spacing w:after="0" w:line="360" w:lineRule="auto"/>
        <w:rPr>
          <w:color w:val="000000"/>
        </w:rPr>
      </w:pPr>
    </w:p>
    <w:p w14:paraId="4CE00B59" w14:textId="77777777" w:rsidR="00E91FD8" w:rsidRDefault="00FA1EE3">
      <w:pPr>
        <w:spacing w:after="0" w:line="360" w:lineRule="auto"/>
        <w:rPr>
          <w:b/>
          <w:bCs/>
          <w:color w:val="000000"/>
        </w:rPr>
      </w:pPr>
      <w:r>
        <w:rPr>
          <w:b/>
          <w:bCs/>
          <w:color w:val="000000"/>
        </w:rPr>
        <w:t>Causales de improcedencia</w:t>
      </w:r>
    </w:p>
    <w:p w14:paraId="4A203743" w14:textId="77777777" w:rsidR="00E91FD8" w:rsidRDefault="00E91FD8">
      <w:pPr>
        <w:spacing w:after="0" w:line="360" w:lineRule="auto"/>
        <w:rPr>
          <w:color w:val="000000"/>
        </w:rPr>
      </w:pPr>
    </w:p>
    <w:p w14:paraId="50F4EEB0" w14:textId="77777777" w:rsidR="00E91FD8" w:rsidRDefault="00FA1EE3">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w:t>
      </w:r>
      <w:r>
        <w:rPr>
          <w:color w:val="000000"/>
        </w:rPr>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F75BE9C" w14:textId="77777777" w:rsidR="00E91FD8" w:rsidRDefault="00E91FD8">
      <w:pPr>
        <w:spacing w:after="0" w:line="360" w:lineRule="auto"/>
        <w:rPr>
          <w:color w:val="000000"/>
        </w:rPr>
      </w:pPr>
    </w:p>
    <w:p w14:paraId="431E5D5C" w14:textId="77777777" w:rsidR="00E91FD8" w:rsidRDefault="00FA1EE3">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EF06178" w14:textId="77777777" w:rsidR="00E91FD8" w:rsidRDefault="00E91FD8">
      <w:pPr>
        <w:spacing w:after="0" w:line="360" w:lineRule="auto"/>
        <w:rPr>
          <w:color w:val="FF0000"/>
        </w:rPr>
      </w:pPr>
    </w:p>
    <w:p w14:paraId="66D82AA2" w14:textId="77777777" w:rsidR="00E91FD8" w:rsidRDefault="00FA1EE3">
      <w:pPr>
        <w:spacing w:after="0" w:line="360" w:lineRule="auto"/>
        <w:rPr>
          <w:color w:val="000000"/>
        </w:rPr>
      </w:pPr>
      <w:r>
        <w:rPr>
          <w:color w:val="000000"/>
        </w:rPr>
        <w:t>Por lo cual, se actualizan la causal de procedencia del Recurso de Revisión señalada en el artículo 179, fracción V, pues la persona Recurrente se inconformó de la entrega de información incompleta.</w:t>
      </w:r>
    </w:p>
    <w:p w14:paraId="0DE8743A" w14:textId="77777777" w:rsidR="00E91FD8" w:rsidRDefault="00E91FD8">
      <w:pPr>
        <w:spacing w:after="0" w:line="360" w:lineRule="auto"/>
        <w:rPr>
          <w:color w:val="FF0000"/>
        </w:rPr>
      </w:pPr>
    </w:p>
    <w:p w14:paraId="29BF93B6" w14:textId="77777777" w:rsidR="00E91FD8" w:rsidRPr="00212EAD" w:rsidRDefault="00FA1EE3" w:rsidP="00212EAD">
      <w:pPr>
        <w:pStyle w:val="Ttulo2"/>
        <w:spacing w:before="0" w:line="360" w:lineRule="auto"/>
        <w:rPr>
          <w:rFonts w:ascii="Palatino Linotype" w:eastAsia="Palatino Linotype" w:hAnsi="Palatino Linotype" w:cs="Palatino Linotype"/>
          <w:b/>
          <w:bCs/>
          <w:color w:val="auto"/>
          <w:sz w:val="22"/>
          <w:szCs w:val="22"/>
        </w:rPr>
      </w:pPr>
      <w:bookmarkStart w:id="18" w:name="_Toc224831213"/>
      <w:r w:rsidRPr="00212EAD">
        <w:rPr>
          <w:rFonts w:ascii="Palatino Linotype" w:eastAsia="Palatino Linotype" w:hAnsi="Palatino Linotype" w:cs="Palatino Linotype"/>
          <w:b/>
          <w:bCs/>
          <w:color w:val="auto"/>
          <w:sz w:val="22"/>
          <w:szCs w:val="22"/>
        </w:rPr>
        <w:t>TERCERO. Causales de sobreseimiento</w:t>
      </w:r>
      <w:bookmarkEnd w:id="18"/>
    </w:p>
    <w:p w14:paraId="35928143" w14:textId="77777777" w:rsidR="00E91FD8" w:rsidRDefault="00E91FD8">
      <w:pPr>
        <w:spacing w:after="0" w:line="360" w:lineRule="auto"/>
        <w:rPr>
          <w:color w:val="000000"/>
        </w:rPr>
      </w:pPr>
    </w:p>
    <w:p w14:paraId="5075C081" w14:textId="0A2C90F4" w:rsidR="00E91FD8" w:rsidRDefault="00FA1EE3">
      <w:pPr>
        <w:spacing w:after="0" w:line="360" w:lineRule="auto"/>
        <w:rPr>
          <w:color w:val="000000"/>
        </w:rPr>
      </w:pPr>
      <w:r>
        <w:rPr>
          <w:color w:val="000000"/>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b/>
          <w:bCs/>
          <w:color w:val="000000"/>
        </w:rPr>
        <w:t>que no se actualizan los supuestos de sobreseimiento previstos en las fracciones I, II, IV</w:t>
      </w:r>
      <w:r w:rsidR="00841E72">
        <w:rPr>
          <w:b/>
          <w:bCs/>
          <w:color w:val="000000"/>
        </w:rPr>
        <w:t xml:space="preserve"> y V</w:t>
      </w:r>
      <w:r>
        <w:rPr>
          <w:color w:val="000000"/>
        </w:rPr>
        <w:t xml:space="preserve">, del artículo en comento, lo anterior, en virtud de que no hay constancias en el expediente en que se actúa, de que la persona Recurrente se haya desistido del recurso, haya fallecido, se haya actualizado alguna causal de improcedencia, o bien, </w:t>
      </w:r>
      <w:r w:rsidR="00841E72">
        <w:rPr>
          <w:color w:val="000000"/>
        </w:rPr>
        <w:t>el Medio de Impugnación haya quedado sin materia.</w:t>
      </w:r>
    </w:p>
    <w:p w14:paraId="5066F48C" w14:textId="77777777" w:rsidR="00E91FD8" w:rsidRDefault="00E91FD8">
      <w:pPr>
        <w:spacing w:after="0" w:line="360" w:lineRule="auto"/>
        <w:rPr>
          <w:color w:val="000000"/>
        </w:rPr>
      </w:pPr>
    </w:p>
    <w:p w14:paraId="18C076FA" w14:textId="182A5628" w:rsidR="00E91FD8" w:rsidRDefault="00FA1EE3">
      <w:pPr>
        <w:spacing w:after="0" w:line="360" w:lineRule="auto"/>
        <w:rPr>
          <w:color w:val="000000"/>
        </w:rPr>
      </w:pPr>
      <w:r>
        <w:rPr>
          <w:color w:val="000000"/>
        </w:rPr>
        <w:t xml:space="preserve">No obstante, por lo que hace a la fracción </w:t>
      </w:r>
      <w:r w:rsidR="00841E72">
        <w:rPr>
          <w:color w:val="000000"/>
        </w:rPr>
        <w:t>III</w:t>
      </w:r>
      <w:r>
        <w:rPr>
          <w:color w:val="000000"/>
        </w:rPr>
        <w:t>, del artículo 192, de la Ley de la materia, se estima procedente entrar al estudio de dicha causal de sobreseimiento, para lo cual, es necesario precisar que el Particular requirió, la dispersión de nómina y conciliación de nómina.</w:t>
      </w:r>
    </w:p>
    <w:p w14:paraId="2AA11FAD" w14:textId="77777777" w:rsidR="00E91FD8" w:rsidRDefault="00E91FD8">
      <w:pPr>
        <w:spacing w:after="0" w:line="360" w:lineRule="auto"/>
        <w:rPr>
          <w:color w:val="FF0000"/>
        </w:rPr>
      </w:pPr>
    </w:p>
    <w:p w14:paraId="0248F4F0" w14:textId="74A12368" w:rsidR="00E91FD8" w:rsidRDefault="00FA1EE3">
      <w:pPr>
        <w:spacing w:after="0" w:line="360" w:lineRule="auto"/>
        <w:rPr>
          <w:color w:val="000000"/>
        </w:rPr>
      </w:pPr>
      <w:r>
        <w:rPr>
          <w:color w:val="000000"/>
        </w:rPr>
        <w:t>En respuesta, el Sujeto Obligado, a través de la Subdirección de Administración remitió, las pólizas de cheque y pólizas de egreso bancarias, así como la conciliación de nómina de los servidores públicos adscritos al Organismo por quincena de enero a junio de dos mil veinticinco; ante dicha circunstancia, el Particular se inconformó de la entrega de información incompleta, al señalar que no adjuntaron la dispersión de nómina, lo cual actualiza la causal de procedencia prevista en la fracción V, del artículo 179 de la Ley de Transparencia y Acceso a la Información Pública del Estado de México y Municipios</w:t>
      </w:r>
      <w:r w:rsidR="00841E72">
        <w:rPr>
          <w:color w:val="000000"/>
        </w:rPr>
        <w:t>.</w:t>
      </w:r>
      <w:r>
        <w:rPr>
          <w:color w:val="000000"/>
        </w:rPr>
        <w:t xml:space="preserve"> </w:t>
      </w:r>
    </w:p>
    <w:p w14:paraId="43E93A6F" w14:textId="77777777" w:rsidR="00E91FD8" w:rsidRDefault="00E91FD8">
      <w:pPr>
        <w:spacing w:after="0" w:line="360" w:lineRule="auto"/>
        <w:rPr>
          <w:color w:val="000000"/>
        </w:rPr>
      </w:pPr>
    </w:p>
    <w:p w14:paraId="46447678" w14:textId="6F472987" w:rsidR="00E91FD8" w:rsidRPr="00841E72" w:rsidRDefault="00FA1EE3" w:rsidP="00841E72">
      <w:pPr>
        <w:spacing w:after="0" w:line="360" w:lineRule="auto"/>
        <w:rPr>
          <w:color w:val="000000"/>
        </w:rPr>
      </w:pPr>
      <w:r w:rsidRPr="00841E72">
        <w:rPr>
          <w:color w:val="000000"/>
        </w:rPr>
        <w:t xml:space="preserve">Conforme a lo analizado, se puede advertir que el ahora Recurrente no se inconformó </w:t>
      </w:r>
      <w:r w:rsidR="00841E72">
        <w:rPr>
          <w:color w:val="000000"/>
        </w:rPr>
        <w:t>de la conciliación de nómina, ni de la temporalidad entregada (enero a junio)</w:t>
      </w:r>
      <w:r w:rsidRPr="00841E72">
        <w:rPr>
          <w:color w:val="000000"/>
        </w:rPr>
        <w:t>;  por lo que no se hará pronunciamiento alguno de la información previamente referida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4B81C44B" w14:textId="77777777" w:rsidR="00E91FD8" w:rsidRDefault="00FA1EE3" w:rsidP="00841E72">
      <w:pPr>
        <w:spacing w:after="0" w:line="360" w:lineRule="auto"/>
        <w:rPr>
          <w:rFonts w:ascii="Times New Roman" w:eastAsia="Times New Roman" w:hAnsi="Times New Roman" w:cs="Times New Roman"/>
          <w:color w:val="222222"/>
          <w:sz w:val="20"/>
          <w:szCs w:val="20"/>
        </w:rPr>
      </w:pPr>
      <w:r>
        <w:rPr>
          <w:color w:val="222222"/>
        </w:rPr>
        <w:t> </w:t>
      </w:r>
    </w:p>
    <w:p w14:paraId="4C543DE6" w14:textId="77777777" w:rsidR="00E91FD8" w:rsidRDefault="00FA1EE3">
      <w:pPr>
        <w:shd w:val="clear" w:color="auto" w:fill="FFFFFF"/>
        <w:spacing w:after="0" w:line="360" w:lineRule="auto"/>
        <w:rPr>
          <w:rFonts w:ascii="Times New Roman" w:eastAsia="Times New Roman" w:hAnsi="Times New Roman" w:cs="Times New Roman"/>
          <w:color w:val="222222"/>
          <w:sz w:val="20"/>
          <w:szCs w:val="20"/>
        </w:rPr>
      </w:pPr>
      <w:r>
        <w:rPr>
          <w:color w:val="222222"/>
        </w:rPr>
        <w:t>De la misma manera resulta aplicable el criterio sostenido por el Poder Judicial de la Federación de rubro </w:t>
      </w:r>
      <w:r>
        <w:rPr>
          <w:b/>
          <w:bCs/>
          <w:color w:val="222222"/>
        </w:rPr>
        <w:t>ACTOS CONSENTIDOS TÁCITAMENTE</w:t>
      </w:r>
      <w:r>
        <w:rPr>
          <w:color w:val="222222"/>
        </w:rPr>
        <w:t xml:space="preserve">, Tesis VI.2o. J/21, emitida </w:t>
      </w:r>
      <w:r>
        <w:rPr>
          <w:color w:val="222222"/>
        </w:rPr>
        <w:lastRenderedPageBreak/>
        <w:t>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56D7736D" w14:textId="77777777" w:rsidR="00E91FD8" w:rsidRDefault="00FA1EE3">
      <w:pPr>
        <w:shd w:val="clear" w:color="auto" w:fill="FFFFFF"/>
        <w:spacing w:after="0" w:line="360" w:lineRule="auto"/>
        <w:rPr>
          <w:rFonts w:ascii="Times New Roman" w:eastAsia="Times New Roman" w:hAnsi="Times New Roman" w:cs="Times New Roman"/>
          <w:color w:val="222222"/>
          <w:sz w:val="20"/>
          <w:szCs w:val="20"/>
        </w:rPr>
      </w:pPr>
      <w:r>
        <w:rPr>
          <w:color w:val="222222"/>
        </w:rPr>
        <w:t> </w:t>
      </w:r>
    </w:p>
    <w:p w14:paraId="2273F265" w14:textId="77777777" w:rsidR="00E91FD8" w:rsidRPr="00841E72" w:rsidRDefault="00FA1EE3" w:rsidP="00841E72">
      <w:pPr>
        <w:spacing w:after="0" w:line="360" w:lineRule="auto"/>
        <w:rPr>
          <w:color w:val="000000"/>
        </w:rPr>
      </w:pPr>
      <w:r w:rsidRPr="00841E72">
        <w:rPr>
          <w:color w:val="000000"/>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14:paraId="5526BF58" w14:textId="77777777" w:rsidR="00E91FD8" w:rsidRPr="00841E72" w:rsidRDefault="00FA1EE3" w:rsidP="00841E72">
      <w:pPr>
        <w:spacing w:after="0" w:line="360" w:lineRule="auto"/>
        <w:rPr>
          <w:color w:val="000000"/>
        </w:rPr>
      </w:pPr>
      <w:r w:rsidRPr="00841E72">
        <w:rPr>
          <w:color w:val="000000"/>
        </w:rPr>
        <w:t> </w:t>
      </w:r>
    </w:p>
    <w:p w14:paraId="35273FC5" w14:textId="77777777" w:rsidR="00841E72" w:rsidRDefault="00FA1EE3" w:rsidP="00841E72">
      <w:pPr>
        <w:spacing w:after="0" w:line="360" w:lineRule="auto"/>
        <w:rPr>
          <w:color w:val="000000"/>
        </w:rPr>
      </w:pPr>
      <w:r w:rsidRPr="00841E72">
        <w:rPr>
          <w:color w:val="000000"/>
        </w:rPr>
        <w:t xml:space="preserve">Asimismo, resulta relevante traer a colación el Criterio de Interpretación, con clave de control SO/001/2020, de la Segunda Época, emitido por el Instituto Nacional de Transparencia, Acceso a la Información y Protección de Datos Personales, </w:t>
      </w:r>
      <w:r w:rsidR="00841E72">
        <w:rPr>
          <w:color w:val="000000"/>
        </w:rPr>
        <w:t xml:space="preserve">el cual establece que </w:t>
      </w:r>
      <w:r w:rsidRPr="00841E72">
        <w:rPr>
          <w:color w:val="000000"/>
        </w:rPr>
        <w:t xml:space="preserve">es improcedente entrar al análisis de las partes de la respuesta del Sujeto Obligado que no fueron impugnadas por el Recurrente; por lo que, en el presente caso, se tiene por consentida </w:t>
      </w:r>
      <w:r w:rsidR="00841E72">
        <w:rPr>
          <w:color w:val="000000"/>
        </w:rPr>
        <w:t xml:space="preserve">la temporalidad entregada en respuesta y la conciliación de nómina, </w:t>
      </w:r>
      <w:r w:rsidRPr="00841E72">
        <w:rPr>
          <w:color w:val="000000"/>
        </w:rPr>
        <w:t>y únicamente se entrará al análisis de las documentales  que refieren a la dispersión de la nómina.</w:t>
      </w:r>
      <w:r w:rsidR="00841E72">
        <w:rPr>
          <w:color w:val="000000"/>
        </w:rPr>
        <w:t xml:space="preserve"> </w:t>
      </w:r>
    </w:p>
    <w:p w14:paraId="7698A7DC" w14:textId="77777777" w:rsidR="00841E72" w:rsidRDefault="00841E72" w:rsidP="00841E72">
      <w:pPr>
        <w:spacing w:after="0" w:line="360" w:lineRule="auto"/>
        <w:rPr>
          <w:color w:val="000000"/>
        </w:rPr>
      </w:pPr>
    </w:p>
    <w:p w14:paraId="5DED4209" w14:textId="29275A08" w:rsidR="00841E72" w:rsidRDefault="00841E72" w:rsidP="00841E72">
      <w:pPr>
        <w:spacing w:after="0" w:line="360" w:lineRule="auto"/>
        <w:rPr>
          <w:color w:val="000000"/>
        </w:rPr>
      </w:pPr>
      <w:r>
        <w:rPr>
          <w:color w:val="000000"/>
        </w:rPr>
        <w:t>Así, las cosas, una vez admitido y notificado el Recurso de Revisión a las partes, el Sujeto Obligado rindió Informe Justificado por medio del cual proporcionó la dispersión de nómina de los servidores públicos por quincena correspondientes de enero a junio de dos mil veinticinco.</w:t>
      </w:r>
    </w:p>
    <w:p w14:paraId="133090D8" w14:textId="720B32A7" w:rsidR="00E91FD8" w:rsidRDefault="00E91FD8" w:rsidP="00841E72">
      <w:pPr>
        <w:spacing w:after="0" w:line="360" w:lineRule="auto"/>
        <w:rPr>
          <w:color w:val="000000"/>
        </w:rPr>
      </w:pPr>
    </w:p>
    <w:p w14:paraId="49317ABF" w14:textId="77777777" w:rsidR="00E91FD8" w:rsidRDefault="00E91FD8">
      <w:pPr>
        <w:tabs>
          <w:tab w:val="left" w:pos="4962"/>
        </w:tabs>
        <w:spacing w:after="0" w:line="360" w:lineRule="auto"/>
        <w:rPr>
          <w:color w:val="000000"/>
        </w:rPr>
      </w:pPr>
    </w:p>
    <w:p w14:paraId="0A3EC7C8" w14:textId="77777777" w:rsidR="00E91FD8" w:rsidRPr="00841E72" w:rsidRDefault="00FA1EE3" w:rsidP="00841E72">
      <w:pPr>
        <w:spacing w:after="0" w:line="360" w:lineRule="auto"/>
        <w:rPr>
          <w:color w:val="000000"/>
        </w:rPr>
      </w:pPr>
      <w:r w:rsidRPr="00841E72">
        <w:rPr>
          <w:color w:val="000000"/>
        </w:rPr>
        <w:t xml:space="preserve">Lo anterior, se desprende de las documentales que obran en el expediente de referencia, materia de la presente resolución, consistente en: la solicitud de acceso a la información; la respuesta entregada por el Sujeto Obligado, el escrito </w:t>
      </w:r>
      <w:proofErr w:type="spellStart"/>
      <w:r w:rsidRPr="00841E72">
        <w:rPr>
          <w:color w:val="000000"/>
        </w:rPr>
        <w:t>recursal</w:t>
      </w:r>
      <w:proofErr w:type="spellEnd"/>
      <w:r w:rsidRPr="00841E72">
        <w:rPr>
          <w:color w:val="000000"/>
        </w:rPr>
        <w:t xml:space="preserve"> en contra de dicha contestación y el informe justificado del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258307B1" w14:textId="77777777" w:rsidR="00E91FD8" w:rsidRDefault="00E91FD8">
      <w:pPr>
        <w:spacing w:after="0" w:line="360" w:lineRule="auto"/>
        <w:rPr>
          <w:color w:val="000000"/>
        </w:rPr>
      </w:pPr>
    </w:p>
    <w:p w14:paraId="04B5DC14" w14:textId="262CEB75" w:rsidR="00E91FD8" w:rsidRDefault="00FA1EE3" w:rsidP="00841E72">
      <w:pPr>
        <w:spacing w:after="0" w:line="360" w:lineRule="auto"/>
      </w:pPr>
      <w:r>
        <w:rPr>
          <w:color w:val="000000"/>
        </w:rPr>
        <w:t>Expuesto lo anterior, se procede al análisis del agravio hecho valer por la persona Recurrente, por lo que, en principio es necesario contextualizar la solicitud de información</w:t>
      </w:r>
      <w:r w:rsidR="00841E72">
        <w:t xml:space="preserve">; para lo cual </w:t>
      </w:r>
      <w:r>
        <w:t>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4FC8AC01" w14:textId="77777777" w:rsidR="00E91FD8" w:rsidRDefault="00E91FD8">
      <w:pPr>
        <w:spacing w:after="0" w:line="360" w:lineRule="auto"/>
      </w:pPr>
    </w:p>
    <w:p w14:paraId="607B79CE" w14:textId="77777777" w:rsidR="00E91FD8" w:rsidRDefault="00FA1EE3">
      <w:pPr>
        <w:spacing w:after="0" w:line="360" w:lineRule="auto"/>
      </w:pPr>
      <w:r>
        <w:t>Además,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7BFCACB3" w14:textId="77777777" w:rsidR="00E91FD8" w:rsidRDefault="00E91FD8">
      <w:pPr>
        <w:spacing w:after="0" w:line="360" w:lineRule="auto"/>
      </w:pPr>
    </w:p>
    <w:p w14:paraId="277A3934" w14:textId="77777777" w:rsidR="00E91FD8" w:rsidRDefault="00FA1EE3">
      <w:pPr>
        <w:spacing w:after="0" w:line="360" w:lineRule="auto"/>
      </w:pPr>
      <w:r>
        <w:t xml:space="preserve">En orden de ideas, el artículo 3°, fracción XXXII, del Código Financiero del Estado de México y Municipios establece que la remuneración consiste en los pagos hechos por concepto de </w:t>
      </w:r>
      <w:r>
        <w:lastRenderedPageBreak/>
        <w:t>sueldo, compensaciones, gratificaciones, habitación, primas, comisiones, prestaciones, en especie y cualquier otra percepción o prestación que se entregue al servidor por su trabajo.</w:t>
      </w:r>
    </w:p>
    <w:p w14:paraId="16F14234" w14:textId="77777777" w:rsidR="00E91FD8" w:rsidRDefault="00E91FD8">
      <w:pPr>
        <w:spacing w:after="0" w:line="360" w:lineRule="auto"/>
      </w:pPr>
    </w:p>
    <w:p w14:paraId="40859537" w14:textId="77777777" w:rsidR="00E91FD8" w:rsidRDefault="00FA1EE3">
      <w:pPr>
        <w:spacing w:after="0" w:line="360" w:lineRule="auto"/>
      </w:pPr>
      <w:r>
        <w:t>Da la misma manera, el Anexo IV.5 Glosario de Términos, del Manual para la Planeación, Programación y Presupuesto de Egresos Municipal para el ejercicio fiscal dos mil veinticinco, establece que la remuneración es la percepción de un trabajador o retribución monetaria que se da en pago por su servicio o actividad desarrollada.</w:t>
      </w:r>
    </w:p>
    <w:p w14:paraId="5FBA2E07" w14:textId="77777777" w:rsidR="00E91FD8" w:rsidRDefault="00E91FD8">
      <w:pPr>
        <w:spacing w:after="0" w:line="360" w:lineRule="auto"/>
      </w:pPr>
    </w:p>
    <w:p w14:paraId="0484B496" w14:textId="77777777" w:rsidR="00E91FD8" w:rsidRDefault="00FA1EE3">
      <w:pPr>
        <w:spacing w:after="0" w:line="360" w:lineRule="auto"/>
      </w:pPr>
      <w: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7210A380" w14:textId="77777777" w:rsidR="00E91FD8" w:rsidRDefault="00E91FD8">
      <w:pPr>
        <w:spacing w:after="0" w:line="360" w:lineRule="auto"/>
      </w:pPr>
    </w:p>
    <w:p w14:paraId="035D4A82" w14:textId="77777777" w:rsidR="00E91FD8" w:rsidRDefault="00FA1EE3">
      <w:pPr>
        <w:spacing w:after="0" w:line="360" w:lineRule="auto"/>
      </w:pPr>
      <w:r>
        <w:t>Ahora bien, respecto de los documentos requeridos, el Glosario localizado en la página de Transparencia Presupuestaria de la Secretaría de Hacienda y Crédito Público (http://www.transparenciapresupuestaria.gob.mx/es/PTP/Glosario),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2D000B02" w14:textId="77777777" w:rsidR="00E91FD8" w:rsidRDefault="00E91FD8">
      <w:pPr>
        <w:spacing w:after="0" w:line="360" w:lineRule="auto"/>
      </w:pPr>
    </w:p>
    <w:p w14:paraId="75B324E3" w14:textId="77777777" w:rsidR="00E91FD8" w:rsidRDefault="00FA1EE3">
      <w:pPr>
        <w:spacing w:after="0" w:line="360" w:lineRule="auto"/>
      </w:pPr>
      <w:r>
        <w:t xml:space="preserve">De la misma manera, el Glosario de términos más usuales en la Administración Pública Federal, emitido por la Secretaría de Hacienda y Crédito Público </w:t>
      </w:r>
      <w:r>
        <w:lastRenderedPageBreak/>
        <w:t>(</w:t>
      </w:r>
      <w:hyperlink r:id="rId9">
        <w:r>
          <w:rPr>
            <w:color w:val="0563C1"/>
            <w:u w:val="single"/>
          </w:rPr>
          <w:t>http://www.apartados.hacienda.gob.mx/contabilidad/documentos/informe_cuenta/1998/cuenta_publica/Glosario/n.htm</w:t>
        </w:r>
      </w:hyperlink>
      <w:r>
        <w:t>), establece que la nómina es un listado general de los trabajadores de una institución, en el cual se asientan las percepciones brutas, deducciones y alcance neto de las mismas.</w:t>
      </w:r>
    </w:p>
    <w:p w14:paraId="749B1E82" w14:textId="77777777" w:rsidR="00E91FD8" w:rsidRDefault="00E91FD8">
      <w:pPr>
        <w:spacing w:after="0" w:line="360" w:lineRule="auto"/>
      </w:pPr>
    </w:p>
    <w:p w14:paraId="7DEE5FC7" w14:textId="77777777" w:rsidR="00E91FD8" w:rsidRDefault="00FA1EE3">
      <w:pPr>
        <w:spacing w:after="0" w:line="360" w:lineRule="auto"/>
      </w:pPr>
      <w:r>
        <w:t>En ese contexto, los Lineamientos para la Integración y Entrega del Informe Trimestral Municipal, dos mil veinticinco, emitidos por el Órgano Superior de Fiscalización del Estado de México, el cual precisa que los Sujetos Obligados deben de proporcionar, para su fiscalización, diversos documentos, entre los cuales se encuentran aquellos del Módulo 4, que contienen el Comprobante Bancario de Dispersión de Nómina.</w:t>
      </w:r>
    </w:p>
    <w:p w14:paraId="3CDD4D8E" w14:textId="77777777" w:rsidR="00E91FD8" w:rsidRDefault="00E91FD8">
      <w:pPr>
        <w:spacing w:after="0" w:line="360" w:lineRule="auto"/>
      </w:pPr>
    </w:p>
    <w:p w14:paraId="10F50898" w14:textId="341C1289" w:rsidR="00E91FD8" w:rsidRDefault="00FA1EE3">
      <w:pPr>
        <w:spacing w:after="0" w:line="360" w:lineRule="auto"/>
      </w:pPr>
      <w:r>
        <w:t xml:space="preserve">Asimismo, </w:t>
      </w:r>
      <w:r w:rsidR="00AE5180">
        <w:t xml:space="preserve">el Instructivo de llenado del </w:t>
      </w:r>
      <w:proofErr w:type="spellStart"/>
      <w:r w:rsidR="00AE5180">
        <w:t>Módilo</w:t>
      </w:r>
      <w:proofErr w:type="spellEnd"/>
      <w:r w:rsidR="00AE5180">
        <w:t xml:space="preserve"> 4, establece que se integra por los comprobantes que emite la institución bancaria por las transferencias realizadas respecto del pago de remuneraciones de cada servidor público.</w:t>
      </w:r>
    </w:p>
    <w:p w14:paraId="2357780D" w14:textId="77777777" w:rsidR="00E91FD8" w:rsidRDefault="00E91FD8">
      <w:pPr>
        <w:spacing w:after="0" w:line="360" w:lineRule="auto"/>
      </w:pPr>
    </w:p>
    <w:p w14:paraId="6DA5537A" w14:textId="0184E6F0" w:rsidR="00E91FD8" w:rsidRDefault="00FA1EE3">
      <w:pPr>
        <w:spacing w:after="0" w:line="360" w:lineRule="auto"/>
      </w:pPr>
      <w:r>
        <w:t xml:space="preserve">Ahora bien dentro del Reglamento Orgánico Interior del Organismo Público Descentralizado para la Prestación de </w:t>
      </w:r>
      <w:r w:rsidR="00AE5180">
        <w:t>l</w:t>
      </w:r>
      <w:r>
        <w:t xml:space="preserve">os Servicios de Agua Potable Alcantarillado y Saneamiento de Atizapán de Zaragoza,  en su artículo 99 refiere que contara con una Subdirección de Administración quien se encargara de dirigir, </w:t>
      </w:r>
      <w:r>
        <w:rPr>
          <w:b/>
          <w:bCs/>
          <w:u w:val="single"/>
        </w:rPr>
        <w:t>evaluar y autorizar los procesos y procedimientos para la elaboración, pago de nómina y su timbrado para efectos fiscales, así como supervisar y vigilar el suministro oportuno de los recursos humanos y materiales a las Unidades Administrativas del Organismo, de conformidad con el presupuesto de egresos con perspectiva de género autorizado;</w:t>
      </w:r>
    </w:p>
    <w:p w14:paraId="7A805778" w14:textId="77777777" w:rsidR="00E91FD8" w:rsidRDefault="00E91FD8">
      <w:pPr>
        <w:spacing w:after="0" w:line="360" w:lineRule="auto"/>
      </w:pPr>
    </w:p>
    <w:p w14:paraId="28A882DE" w14:textId="1D14507F" w:rsidR="00E91FD8" w:rsidRDefault="00FA1EE3">
      <w:pPr>
        <w:spacing w:after="0" w:line="360" w:lineRule="auto"/>
      </w:pPr>
      <w:r>
        <w:lastRenderedPageBreak/>
        <w:t xml:space="preserve">Conforme a lo anterior, se logra vislumbrar que la pretensión del ahora recurrente es obtener la dispersión de nómina de </w:t>
      </w:r>
      <w:r>
        <w:rPr>
          <w:color w:val="000000"/>
        </w:rPr>
        <w:t xml:space="preserve">los servidores públicos adscritos al </w:t>
      </w:r>
      <w:r>
        <w:t xml:space="preserve">Organismo Público Descentralizado para la Prestación de </w:t>
      </w:r>
      <w:r w:rsidR="00AE5180">
        <w:t>l</w:t>
      </w:r>
      <w:r>
        <w:t>os Servicios de Agua Potable Alcantarillado y Saneamiento de Atizapán de Zaragoza, de la primera quincena de enero a la segunda de junio de dos mil veinticinco.</w:t>
      </w:r>
    </w:p>
    <w:p w14:paraId="63B14441" w14:textId="77777777" w:rsidR="00E91FD8" w:rsidRDefault="00E91FD8">
      <w:pPr>
        <w:spacing w:after="0" w:line="360" w:lineRule="auto"/>
        <w:rPr>
          <w:color w:val="000000"/>
        </w:rPr>
      </w:pPr>
    </w:p>
    <w:p w14:paraId="22946801" w14:textId="77777777" w:rsidR="00E91FD8" w:rsidRDefault="00FA1EE3">
      <w:pPr>
        <w:spacing w:after="0" w:line="360" w:lineRule="auto"/>
        <w:rPr>
          <w:color w:val="000000"/>
        </w:rPr>
      </w:pPr>
      <w:r>
        <w:rPr>
          <w:color w:val="000000"/>
        </w:rPr>
        <w:t xml:space="preserve">Ante dicha circunstancia, es necesario precisar que de las constancias que obran en el expediente electrónico, se logra advertir que el Sujeto Obligado turnó la solicitud de información a la  Subdirección de Administración, por lo que, resulta necesario hacer referencia al </w:t>
      </w:r>
      <w:r>
        <w:rPr>
          <w:b/>
          <w:bCs/>
          <w:color w:val="000000"/>
        </w:rPr>
        <w:t>procedimiento de búsqueda que deben seguir los Sujetos Obligados para localizar la información,</w:t>
      </w:r>
      <w:r>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266A18A" w14:textId="77777777" w:rsidR="00E91FD8" w:rsidRDefault="00E91FD8">
      <w:pPr>
        <w:spacing w:after="0" w:line="360" w:lineRule="auto"/>
        <w:rPr>
          <w:color w:val="FF0000"/>
        </w:rPr>
      </w:pPr>
    </w:p>
    <w:p w14:paraId="2650074C" w14:textId="77777777" w:rsidR="00E91FD8" w:rsidRDefault="00FA1EE3">
      <w:pPr>
        <w:spacing w:after="0" w:line="360" w:lineRule="auto"/>
        <w:rPr>
          <w:color w:val="FF0000"/>
        </w:rPr>
      </w:pPr>
      <w:r>
        <w:rPr>
          <w:color w:val="000000"/>
        </w:rPr>
        <w:t>Conforme a lo anterior se logra advertir que el Sujeto Obligado, cumplió con el procedimiento de búsqueda previsto en el artículo 162 de la Ley de Transparencia y Acceso a la Información Pública del Estado de México y Municipios, toda vez que turnó la solicitud de información al área competente para conocer respecto de la nómina del Sujeto Obligado.</w:t>
      </w:r>
    </w:p>
    <w:p w14:paraId="6734B21E" w14:textId="77777777" w:rsidR="00E91FD8" w:rsidRDefault="00E91FD8">
      <w:pPr>
        <w:spacing w:after="0" w:line="360" w:lineRule="auto"/>
        <w:rPr>
          <w:color w:val="FF0000"/>
        </w:rPr>
      </w:pPr>
    </w:p>
    <w:p w14:paraId="6BA21BFC" w14:textId="77777777" w:rsidR="00E91FD8" w:rsidRDefault="00FA1EE3">
      <w:pPr>
        <w:spacing w:after="0" w:line="360" w:lineRule="auto"/>
        <w:rPr>
          <w:color w:val="000000"/>
        </w:rPr>
      </w:pPr>
      <w:r>
        <w:rPr>
          <w:color w:val="000000"/>
        </w:rPr>
        <w:t>Ahora bien, en respuesta dicha área remitió las pólizas de cheque de enero a junio dos mil veinticinco, tal como se logra vislumbrar:</w:t>
      </w:r>
    </w:p>
    <w:p w14:paraId="451892C0" w14:textId="77777777" w:rsidR="00E91FD8" w:rsidRDefault="00FA1EE3">
      <w:pPr>
        <w:spacing w:after="0" w:line="360" w:lineRule="auto"/>
        <w:jc w:val="center"/>
        <w:rPr>
          <w:color w:val="000000"/>
        </w:rPr>
      </w:pPr>
      <w:r>
        <w:rPr>
          <w:noProof/>
          <w:color w:val="000000"/>
        </w:rPr>
        <w:lastRenderedPageBreak/>
        <w:drawing>
          <wp:inline distT="0" distB="0" distL="0" distR="0" wp14:anchorId="62DE0B9B" wp14:editId="7B7034F0">
            <wp:extent cx="5671185" cy="85471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71185" cy="854710"/>
                    </a:xfrm>
                    <a:prstGeom prst="rect">
                      <a:avLst/>
                    </a:prstGeom>
                    <a:ln/>
                  </pic:spPr>
                </pic:pic>
              </a:graphicData>
            </a:graphic>
          </wp:inline>
        </w:drawing>
      </w:r>
    </w:p>
    <w:p w14:paraId="5AC2A17F" w14:textId="77777777" w:rsidR="00E91FD8" w:rsidRDefault="00E91FD8">
      <w:pPr>
        <w:spacing w:after="0" w:line="360" w:lineRule="auto"/>
        <w:rPr>
          <w:color w:val="000000"/>
        </w:rPr>
      </w:pPr>
    </w:p>
    <w:p w14:paraId="488F5657" w14:textId="56967D56" w:rsidR="00AE5180" w:rsidRPr="0058732A" w:rsidRDefault="00AE5180" w:rsidP="00AE5180">
      <w:pPr>
        <w:tabs>
          <w:tab w:val="center" w:pos="4522"/>
        </w:tabs>
        <w:spacing w:after="0" w:line="360" w:lineRule="auto"/>
      </w:pPr>
      <w:r>
        <w:rPr>
          <w:color w:val="000000"/>
        </w:rPr>
        <w:t xml:space="preserve">De la revisión de los documentos se logra vislumbrar que si bien las pólizas corresponden a la temporalidad solicitada, no corresponde con lo solicitado, pues no son los comprobantes bancarios de dispersión de nómina, lo cual da como resultado que la respuesta resulte </w:t>
      </w:r>
      <w:r w:rsidRPr="0058732A">
        <w:rPr>
          <w:b/>
        </w:rPr>
        <w:t>incongruente</w:t>
      </w:r>
      <w:r w:rsidRPr="0058732A">
        <w:t>; sobre el tema el artículo 1.8, fracción IX, del Código Administrativo del Estado de México, establece que para que un acto administrativo tenga validez, deberá guardar congruencia con lo solicitado.</w:t>
      </w:r>
    </w:p>
    <w:p w14:paraId="3DF01EAC" w14:textId="77777777" w:rsidR="00AE5180" w:rsidRPr="0058732A" w:rsidRDefault="00AE5180" w:rsidP="00AE5180">
      <w:pPr>
        <w:spacing w:after="0" w:line="360" w:lineRule="auto"/>
      </w:pPr>
    </w:p>
    <w:p w14:paraId="3FD588DF" w14:textId="77777777" w:rsidR="00AE5180" w:rsidRPr="0058732A" w:rsidRDefault="00AE5180" w:rsidP="00AE5180">
      <w:pPr>
        <w:tabs>
          <w:tab w:val="center" w:pos="4522"/>
        </w:tabs>
        <w:spacing w:after="0" w:line="360" w:lineRule="auto"/>
        <w:rPr>
          <w:color w:val="000000"/>
        </w:rPr>
      </w:pPr>
      <w:r w:rsidRPr="0058732A">
        <w:rPr>
          <w:color w:val="000000"/>
        </w:rPr>
        <w:t xml:space="preserve">Situación que se robustece, con </w:t>
      </w:r>
      <w:r w:rsidRPr="0058732A">
        <w:t xml:space="preserve">el Criterio Orientador, con clave de control SO/002/2017, de la Segunda Época, emitido por el entonces Instituto Nacional de Transparencia, Acceso a la Información y Protección de Datos Personales vigente a la fecha de la solicitud, que </w:t>
      </w:r>
      <w:r w:rsidRPr="0058732A">
        <w:rPr>
          <w:color w:val="000000"/>
        </w:rPr>
        <w:t xml:space="preserve">establece que todo acto administrativo debe apegarse al </w:t>
      </w:r>
      <w:r w:rsidRPr="0058732A">
        <w:rPr>
          <w:b/>
          <w:color w:val="000000"/>
        </w:rPr>
        <w:t>principio de congruencia</w:t>
      </w:r>
      <w:r w:rsidRPr="0058732A">
        <w:rPr>
          <w:color w:val="000000"/>
        </w:rPr>
        <w:t xml:space="preserve">, entendiendo por éste que </w:t>
      </w:r>
      <w:r w:rsidRPr="0058732A">
        <w:t>exista concordancia entre el requerimiento formulado por el particular y la respuesta proporcionada por el sujeto obligado</w:t>
      </w:r>
      <w:r w:rsidRPr="0058732A">
        <w:rPr>
          <w:color w:val="000000"/>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DF0AB6C" w14:textId="77777777" w:rsidR="00AE5180" w:rsidRPr="0058732A" w:rsidRDefault="00AE5180" w:rsidP="00AE5180">
      <w:pPr>
        <w:spacing w:after="0" w:line="360" w:lineRule="auto"/>
        <w:ind w:right="-93"/>
        <w:rPr>
          <w:color w:val="000000"/>
        </w:rPr>
      </w:pPr>
    </w:p>
    <w:p w14:paraId="34C19378" w14:textId="4ABC80DD" w:rsidR="00E91FD8" w:rsidRDefault="00AE5180" w:rsidP="00AE5180">
      <w:pPr>
        <w:spacing w:after="0" w:line="360" w:lineRule="auto"/>
        <w:ind w:right="-93"/>
        <w:rPr>
          <w:color w:val="000000"/>
        </w:rPr>
      </w:pPr>
      <w:r w:rsidRPr="0058732A">
        <w:rPr>
          <w:color w:val="000000"/>
        </w:rPr>
        <w:t xml:space="preserve">Por lo que, se logra vislumbrar que el </w:t>
      </w:r>
      <w:r>
        <w:rPr>
          <w:color w:val="000000"/>
        </w:rPr>
        <w:t>Sujeto Obligado</w:t>
      </w:r>
      <w:r w:rsidRPr="0058732A">
        <w:rPr>
          <w:color w:val="000000"/>
        </w:rPr>
        <w:t xml:space="preserve"> no atendió de manera correcta la solicitud de información, pues </w:t>
      </w:r>
      <w:r>
        <w:rPr>
          <w:color w:val="000000"/>
        </w:rPr>
        <w:t xml:space="preserve">proporcionó información que no guarda relación con lo peticionado; no obstante, durante la sustanciación del Medio de Impugnación, el área </w:t>
      </w:r>
      <w:r>
        <w:rPr>
          <w:color w:val="000000"/>
        </w:rPr>
        <w:lastRenderedPageBreak/>
        <w:t xml:space="preserve">competente proporcionó diversos comprobantes bancarios de </w:t>
      </w:r>
      <w:proofErr w:type="spellStart"/>
      <w:r>
        <w:rPr>
          <w:color w:val="000000"/>
        </w:rPr>
        <w:t>disperesión</w:t>
      </w:r>
      <w:proofErr w:type="spellEnd"/>
      <w:r>
        <w:rPr>
          <w:color w:val="000000"/>
        </w:rPr>
        <w:t xml:space="preserve"> de nómina, se muestra un ejemplo a continuación:</w:t>
      </w:r>
    </w:p>
    <w:p w14:paraId="246EA84F" w14:textId="77777777" w:rsidR="00AE5180" w:rsidRDefault="00AE5180" w:rsidP="00AE5180">
      <w:pPr>
        <w:spacing w:after="0" w:line="360" w:lineRule="auto"/>
        <w:ind w:right="-93"/>
        <w:rPr>
          <w:color w:val="000000"/>
        </w:rPr>
      </w:pPr>
    </w:p>
    <w:p w14:paraId="01432522" w14:textId="77777777" w:rsidR="00E91FD8" w:rsidRDefault="00FA1EE3">
      <w:pPr>
        <w:spacing w:after="0" w:line="360" w:lineRule="auto"/>
        <w:jc w:val="center"/>
        <w:rPr>
          <w:color w:val="000000"/>
        </w:rPr>
      </w:pPr>
      <w:r>
        <w:rPr>
          <w:noProof/>
          <w:color w:val="000000"/>
        </w:rPr>
        <w:drawing>
          <wp:inline distT="0" distB="0" distL="0" distR="0" wp14:anchorId="1AABD027" wp14:editId="4C5D3079">
            <wp:extent cx="3805295" cy="1858971"/>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4813"/>
                    <a:stretch>
                      <a:fillRect/>
                    </a:stretch>
                  </pic:blipFill>
                  <pic:spPr>
                    <a:xfrm>
                      <a:off x="0" y="0"/>
                      <a:ext cx="3805295" cy="1858971"/>
                    </a:xfrm>
                    <a:prstGeom prst="rect">
                      <a:avLst/>
                    </a:prstGeom>
                    <a:ln/>
                  </pic:spPr>
                </pic:pic>
              </a:graphicData>
            </a:graphic>
          </wp:inline>
        </w:drawing>
      </w:r>
    </w:p>
    <w:p w14:paraId="07F44838" w14:textId="77777777" w:rsidR="00E91FD8" w:rsidRDefault="00E91FD8">
      <w:pPr>
        <w:spacing w:after="0" w:line="360" w:lineRule="auto"/>
        <w:rPr>
          <w:color w:val="000000"/>
        </w:rPr>
      </w:pPr>
    </w:p>
    <w:p w14:paraId="41834F08" w14:textId="75A32294" w:rsidR="00E91FD8" w:rsidRDefault="00FA1EE3">
      <w:pPr>
        <w:spacing w:after="0" w:line="360" w:lineRule="auto"/>
        <w:rPr>
          <w:color w:val="000000"/>
        </w:rPr>
      </w:pPr>
      <w:r>
        <w:t xml:space="preserve">En ese contexto, de la revisión de los documentos proporcionados, se logra vislumbrar que son aquellos emitidos </w:t>
      </w:r>
      <w:r w:rsidR="00AE5180">
        <w:t xml:space="preserve">por las instituciones bancarias, respecto al pago de remuneraciones pagadas a servidores </w:t>
      </w:r>
      <w:proofErr w:type="spellStart"/>
      <w:r w:rsidR="00AE5180">
        <w:t>públiucos</w:t>
      </w:r>
      <w:proofErr w:type="spellEnd"/>
      <w:r>
        <w:t xml:space="preserve">, durante </w:t>
      </w:r>
      <w:r w:rsidR="00AE5180">
        <w:t>las quincenas solicitadas</w:t>
      </w:r>
      <w:r>
        <w:t xml:space="preserve">, por lo que, es claro que proporcionó los documentos que obraban en sus archivos y daban cuenta de lo peticionado; </w:t>
      </w:r>
      <w:r>
        <w:rPr>
          <w:color w:val="000000"/>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57BBE35" w14:textId="77777777" w:rsidR="00E91FD8" w:rsidRDefault="00E91FD8">
      <w:pPr>
        <w:spacing w:after="0" w:line="360" w:lineRule="auto"/>
        <w:rPr>
          <w:color w:val="000000"/>
        </w:rPr>
      </w:pPr>
    </w:p>
    <w:p w14:paraId="573CE6BF" w14:textId="77777777" w:rsidR="00E91FD8" w:rsidRDefault="00FA1EE3">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w:t>
      </w:r>
      <w:r>
        <w:rPr>
          <w:color w:val="000000"/>
        </w:rPr>
        <w:lastRenderedPageBreak/>
        <w:t>Municipios, el cual refiere que los sujetos obligados únicamente deberán entregar la información que obre en sus archivos.</w:t>
      </w:r>
    </w:p>
    <w:p w14:paraId="566D1204" w14:textId="77777777" w:rsidR="00E91FD8" w:rsidRDefault="00E91FD8">
      <w:pPr>
        <w:spacing w:after="0" w:line="360" w:lineRule="auto"/>
        <w:rPr>
          <w:color w:val="000000"/>
        </w:rPr>
      </w:pPr>
    </w:p>
    <w:p w14:paraId="1C0DF390" w14:textId="147A3008" w:rsidR="00AE5180" w:rsidRDefault="00FA1EE3">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los documentos mediante los cuales se distribuye la nómina.</w:t>
      </w:r>
      <w:r w:rsidR="00AE5180">
        <w:rPr>
          <w:color w:val="000000"/>
        </w:rPr>
        <w:t xml:space="preserve"> Sin </w:t>
      </w:r>
      <w:proofErr w:type="spellStart"/>
      <w:r w:rsidR="00AE5180">
        <w:rPr>
          <w:color w:val="000000"/>
        </w:rPr>
        <w:t>menscabar</w:t>
      </w:r>
      <w:proofErr w:type="spellEnd"/>
      <w:r w:rsidR="00AE5180">
        <w:rPr>
          <w:color w:val="000000"/>
        </w:rPr>
        <w:t xml:space="preserve"> lo anterior, se logra vislumbrar que fueron proporcionados en versión pública en donde se testó el número de cuenta bancario o CLABE interbancaria </w:t>
      </w:r>
      <w:r w:rsidR="00F15838">
        <w:rPr>
          <w:color w:val="000000"/>
        </w:rPr>
        <w:t>de los servidores públicos, por lo que se procede a su análisis.</w:t>
      </w:r>
    </w:p>
    <w:p w14:paraId="2EB17F7A" w14:textId="77777777" w:rsidR="00AE5180" w:rsidRDefault="00AE5180">
      <w:pPr>
        <w:spacing w:after="0" w:line="360" w:lineRule="auto"/>
        <w:rPr>
          <w:color w:val="000000"/>
        </w:rPr>
      </w:pPr>
    </w:p>
    <w:p w14:paraId="35EDF017" w14:textId="41389047" w:rsidR="00E91FD8" w:rsidRDefault="00F15838" w:rsidP="00F15838">
      <w:pPr>
        <w:spacing w:after="0" w:line="360" w:lineRule="auto"/>
        <w:rPr>
          <w:color w:val="000000"/>
        </w:rPr>
      </w:pPr>
      <w:r>
        <w:rPr>
          <w:color w:val="000000"/>
        </w:rPr>
        <w:t>Sobre tal situación,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042082CB" w14:textId="77777777" w:rsidR="00E91FD8" w:rsidRDefault="00E91FD8">
      <w:pPr>
        <w:spacing w:after="0" w:line="360" w:lineRule="auto"/>
        <w:rPr>
          <w:color w:val="000000"/>
        </w:rPr>
      </w:pPr>
    </w:p>
    <w:p w14:paraId="6E465074" w14:textId="7C50B9A3" w:rsidR="00E91FD8" w:rsidRDefault="00FA1EE3">
      <w:pPr>
        <w:spacing w:after="0" w:line="360" w:lineRule="auto"/>
        <w:rPr>
          <w:color w:val="000000"/>
        </w:rPr>
      </w:pPr>
      <w:r>
        <w:rPr>
          <w:color w:val="000000"/>
        </w:rPr>
        <w:t>Asimismo, el artículo 145 de la</w:t>
      </w:r>
      <w:r w:rsidR="00F15838">
        <w:rPr>
          <w:color w:val="000000"/>
        </w:rPr>
        <w:t xml:space="preserve"> Ley citada</w:t>
      </w:r>
      <w:r>
        <w:rPr>
          <w:color w:val="000000"/>
        </w:rPr>
        <w:t>,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A896083" w14:textId="77777777" w:rsidR="00E91FD8" w:rsidRDefault="00E91FD8">
      <w:pPr>
        <w:spacing w:after="0" w:line="360" w:lineRule="auto"/>
        <w:rPr>
          <w:color w:val="000000"/>
        </w:rPr>
      </w:pPr>
    </w:p>
    <w:p w14:paraId="23484A7F" w14:textId="77777777" w:rsidR="00E91FD8" w:rsidRDefault="00FA1EE3">
      <w:pPr>
        <w:spacing w:after="0" w:line="360" w:lineRule="auto"/>
        <w:rPr>
          <w:color w:val="000000"/>
        </w:rPr>
      </w:pPr>
      <w:r>
        <w:rPr>
          <w:color w:val="000000"/>
        </w:rPr>
        <w:lastRenderedPageBreak/>
        <w:t>En términos de lo expuesto, la documentación y aquellos datos que se consideren confidenciales, serán una limitante del derecho de acceso a la información, siempre y cuando:</w:t>
      </w:r>
    </w:p>
    <w:p w14:paraId="275EB9DD" w14:textId="77777777" w:rsidR="00E91FD8" w:rsidRDefault="00E91FD8">
      <w:pPr>
        <w:spacing w:after="0" w:line="360" w:lineRule="auto"/>
        <w:rPr>
          <w:color w:val="000000"/>
        </w:rPr>
      </w:pPr>
    </w:p>
    <w:p w14:paraId="780D10F3" w14:textId="77777777" w:rsidR="00E91FD8" w:rsidRDefault="00FA1EE3">
      <w:pPr>
        <w:numPr>
          <w:ilvl w:val="0"/>
          <w:numId w:val="1"/>
        </w:numP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14:paraId="285026ED" w14:textId="77777777" w:rsidR="00E91FD8" w:rsidRDefault="00FA1EE3">
      <w:pPr>
        <w:numPr>
          <w:ilvl w:val="0"/>
          <w:numId w:val="1"/>
        </w:numPr>
        <w:spacing w:after="0" w:line="360" w:lineRule="auto"/>
        <w:rPr>
          <w:color w:val="000000"/>
        </w:rPr>
      </w:pPr>
      <w:r>
        <w:rPr>
          <w:color w:val="000000"/>
        </w:rPr>
        <w:t xml:space="preserve">Para la difusión de los datos, se requiera el consentimiento del titular. </w:t>
      </w:r>
    </w:p>
    <w:p w14:paraId="25F2141D" w14:textId="77777777" w:rsidR="00E91FD8" w:rsidRDefault="00E91FD8">
      <w:pPr>
        <w:spacing w:after="0" w:line="360" w:lineRule="auto"/>
        <w:rPr>
          <w:color w:val="000000"/>
        </w:rPr>
      </w:pPr>
    </w:p>
    <w:p w14:paraId="52FA50FC" w14:textId="77777777" w:rsidR="00E91FD8" w:rsidRDefault="00FA1EE3">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801B314" w14:textId="77777777" w:rsidR="00E91FD8" w:rsidRDefault="00E91FD8">
      <w:pPr>
        <w:spacing w:after="0" w:line="360" w:lineRule="auto"/>
        <w:rPr>
          <w:color w:val="000000"/>
        </w:rPr>
      </w:pPr>
    </w:p>
    <w:p w14:paraId="243FF6CF" w14:textId="77777777" w:rsidR="00E91FD8" w:rsidRDefault="00FA1EE3">
      <w:pPr>
        <w:spacing w:after="0" w:line="360" w:lineRule="auto"/>
        <w:rPr>
          <w:color w:val="000000"/>
        </w:rPr>
      </w:pPr>
      <w:r>
        <w:rPr>
          <w:color w:val="000000"/>
        </w:rPr>
        <w:t>Además, en el artículo 5° de dicho ordenamiento jurídico, establece que es la Ley aplicable para todo tratamiento de datos personales.</w:t>
      </w:r>
    </w:p>
    <w:p w14:paraId="44EC364B" w14:textId="77777777" w:rsidR="00E91FD8" w:rsidRDefault="00E91FD8">
      <w:pPr>
        <w:spacing w:after="0" w:line="360" w:lineRule="auto"/>
        <w:rPr>
          <w:color w:val="000000"/>
        </w:rPr>
      </w:pPr>
    </w:p>
    <w:p w14:paraId="34EBC5F2" w14:textId="77777777" w:rsidR="00E91FD8" w:rsidRDefault="00FA1EE3">
      <w:pPr>
        <w:spacing w:after="0" w:line="360" w:lineRule="auto"/>
        <w:rPr>
          <w:color w:val="000000"/>
        </w:rPr>
      </w:pPr>
      <w:r>
        <w:rPr>
          <w:color w:val="000000"/>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w:t>
      </w:r>
      <w:r>
        <w:rPr>
          <w:color w:val="000000"/>
        </w:rPr>
        <w:lastRenderedPageBreak/>
        <w:t>atribuciones legales y con el consentimiento de su titular, además de que debe estar justificado en ley (principio de finalidad).</w:t>
      </w:r>
    </w:p>
    <w:p w14:paraId="5415A191" w14:textId="77777777" w:rsidR="00E91FD8" w:rsidRDefault="00E91FD8">
      <w:pPr>
        <w:spacing w:after="0" w:line="360" w:lineRule="auto"/>
        <w:rPr>
          <w:color w:val="000000"/>
        </w:rPr>
      </w:pPr>
    </w:p>
    <w:p w14:paraId="5CE40A8C" w14:textId="0254F067" w:rsidR="00E91FD8" w:rsidRDefault="00FA1EE3">
      <w:pPr>
        <w:spacing w:after="0" w:line="360" w:lineRule="auto"/>
        <w:rPr>
          <w:color w:val="000000"/>
        </w:rPr>
      </w:pPr>
      <w:r>
        <w:rPr>
          <w:color w:val="000000"/>
        </w:rPr>
        <w:t xml:space="preserve">En este sentido, un dato personal es cualquier información que pueda hacer a una persona física o jurídica colectiva identificada e identificable; por lo que, bajo dicha circunstancia, se analizarán si </w:t>
      </w:r>
      <w:r w:rsidR="00F15838">
        <w:rPr>
          <w:color w:val="000000"/>
        </w:rPr>
        <w:t>el dato mencionado</w:t>
      </w:r>
      <w:r>
        <w:rPr>
          <w:color w:val="000000"/>
        </w:rPr>
        <w:t>, debe ser considerado confidencial</w:t>
      </w:r>
      <w:r w:rsidR="00F15838">
        <w:rPr>
          <w:color w:val="000000"/>
        </w:rPr>
        <w:t xml:space="preserve"> </w:t>
      </w:r>
      <w:r>
        <w:rPr>
          <w:color w:val="000000"/>
        </w:rPr>
        <w:t>o público</w:t>
      </w:r>
      <w:r w:rsidR="00F15838">
        <w:rPr>
          <w:color w:val="000000"/>
        </w:rPr>
        <w:t>.</w:t>
      </w:r>
    </w:p>
    <w:p w14:paraId="337572A7" w14:textId="77777777" w:rsidR="00E91FD8" w:rsidRDefault="00E91FD8">
      <w:pPr>
        <w:spacing w:after="0" w:line="360" w:lineRule="auto"/>
        <w:rPr>
          <w:color w:val="000000"/>
        </w:rPr>
      </w:pPr>
    </w:p>
    <w:p w14:paraId="02CD4335" w14:textId="77777777" w:rsidR="00E91FD8" w:rsidRDefault="00FA1EE3">
      <w:pPr>
        <w:spacing w:after="0" w:line="360" w:lineRule="auto"/>
        <w:rPr>
          <w:color w:val="0D0D0D"/>
        </w:rPr>
      </w:pPr>
      <w:r>
        <w:rPr>
          <w:color w:val="0D0D0D"/>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1797F3F1" w14:textId="77777777" w:rsidR="00E91FD8" w:rsidRDefault="00FA1EE3">
      <w:pPr>
        <w:spacing w:after="0" w:line="360" w:lineRule="auto"/>
        <w:rPr>
          <w:color w:val="0D0D0D"/>
        </w:rPr>
      </w:pPr>
      <w:r>
        <w:rPr>
          <w:color w:val="0D0D0D"/>
        </w:rPr>
        <w:t xml:space="preserve"> </w:t>
      </w:r>
    </w:p>
    <w:p w14:paraId="3B76140F" w14:textId="77777777" w:rsidR="00E91FD8" w:rsidRDefault="00FA1EE3">
      <w:pPr>
        <w:spacing w:after="0" w:line="360" w:lineRule="auto"/>
        <w:rPr>
          <w:color w:val="0D0D0D"/>
        </w:rPr>
      </w:pPr>
      <w:r>
        <w:rPr>
          <w:color w:val="0D0D0D"/>
        </w:rPr>
        <w:t>A mayor abundamiento, resulta necesario traer a colación el Criterio Orientador, de la Segunda Época, con número de registro SO/010/2017, emitido por el Instituto Nacional de Transparencia, Acceso a la Información y Protección de Datos Personales, mismo que establece lo siguiente:</w:t>
      </w:r>
    </w:p>
    <w:p w14:paraId="3BEC5413" w14:textId="77777777" w:rsidR="00E91FD8" w:rsidRDefault="00E91FD8">
      <w:pPr>
        <w:spacing w:after="0" w:line="360" w:lineRule="auto"/>
        <w:rPr>
          <w:b/>
          <w:bCs/>
          <w:color w:val="0D0D0D"/>
        </w:rPr>
      </w:pPr>
    </w:p>
    <w:p w14:paraId="74622175" w14:textId="77777777" w:rsidR="00E91FD8" w:rsidRDefault="00FA1EE3" w:rsidP="00F15838">
      <w:pPr>
        <w:spacing w:after="0" w:line="360" w:lineRule="auto"/>
        <w:ind w:left="567" w:right="567"/>
        <w:rPr>
          <w:i/>
          <w:iCs/>
          <w:color w:val="0D0D0D"/>
          <w:sz w:val="20"/>
          <w:szCs w:val="20"/>
        </w:rPr>
      </w:pPr>
      <w:r>
        <w:rPr>
          <w:b/>
          <w:bCs/>
          <w:i/>
          <w:iCs/>
          <w:color w:val="0D0D0D"/>
          <w:sz w:val="20"/>
          <w:szCs w:val="20"/>
        </w:rPr>
        <w:t>“Cuentas bancarias y/o CLABE interbancaria de personas físicas y morales privadas.</w:t>
      </w:r>
      <w:r>
        <w:rPr>
          <w:i/>
          <w:iCs/>
          <w:color w:val="0D0D0D"/>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w:t>
      </w:r>
      <w:r>
        <w:rPr>
          <w:i/>
          <w:iCs/>
          <w:color w:val="0D0D0D"/>
          <w:sz w:val="20"/>
          <w:szCs w:val="20"/>
        </w:rPr>
        <w:lastRenderedPageBreak/>
        <w:t>clasificada con fundamento en los artículos 116 de la Ley General de Transparencia y Acceso a la Información Pública y 113 de la Ley Federal de Transparencia y Acceso a la Información Pública.”</w:t>
      </w:r>
    </w:p>
    <w:p w14:paraId="73AA8D6C" w14:textId="77777777" w:rsidR="00E91FD8" w:rsidRDefault="00FA1EE3">
      <w:pPr>
        <w:spacing w:after="0" w:line="360" w:lineRule="auto"/>
        <w:rPr>
          <w:color w:val="0D0D0D"/>
        </w:rPr>
      </w:pPr>
      <w:r>
        <w:rPr>
          <w:color w:val="0D0D0D"/>
        </w:rPr>
        <w:t xml:space="preserve"> </w:t>
      </w:r>
    </w:p>
    <w:p w14:paraId="7100551A" w14:textId="77777777" w:rsidR="00E91FD8" w:rsidRDefault="00FA1EE3">
      <w:pPr>
        <w:spacing w:after="0" w:line="360" w:lineRule="auto"/>
        <w:rPr>
          <w:color w:val="0D0D0D"/>
        </w:rPr>
      </w:pPr>
      <w:r>
        <w:rPr>
          <w:color w:val="0D0D0D"/>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y procede su eliminación de conformidad con el artículo 143, fracción I, de la Ley de Transparencia y Acceso a la Información Pública del Estado de México y Municipios.</w:t>
      </w:r>
    </w:p>
    <w:p w14:paraId="34CDC3CD" w14:textId="77777777" w:rsidR="00E91FD8" w:rsidRDefault="00E91FD8">
      <w:pPr>
        <w:spacing w:after="0" w:line="360" w:lineRule="auto"/>
        <w:rPr>
          <w:color w:val="0D0D0D"/>
        </w:rPr>
      </w:pPr>
    </w:p>
    <w:p w14:paraId="2F484807" w14:textId="2FF6178C" w:rsidR="00F15838" w:rsidRPr="00293BC0" w:rsidRDefault="00F15838" w:rsidP="00F15838">
      <w:pPr>
        <w:tabs>
          <w:tab w:val="left" w:pos="3962"/>
        </w:tabs>
        <w:spacing w:after="0" w:line="360" w:lineRule="auto"/>
        <w:rPr>
          <w:rFonts w:eastAsia="Calibri" w:cs="Tahoma"/>
          <w:bCs/>
          <w:lang w:eastAsia="en-US"/>
        </w:rPr>
      </w:pPr>
      <w:r w:rsidRPr="00293BC0">
        <w:rPr>
          <w:rFonts w:eastAsia="Calibri" w:cs="Tahoma"/>
          <w:bCs/>
          <w:color w:val="000000"/>
          <w:lang w:eastAsia="en-US"/>
        </w:rPr>
        <w:t xml:space="preserve">Ahora bien, toda vez que fue procedente la clasificación </w:t>
      </w:r>
      <w:r w:rsidR="0029304F">
        <w:rPr>
          <w:rFonts w:eastAsia="Calibri" w:cs="Tahoma"/>
          <w:bCs/>
          <w:color w:val="000000"/>
          <w:lang w:eastAsia="en-US"/>
        </w:rPr>
        <w:t>de los datos testados</w:t>
      </w:r>
      <w:r w:rsidRPr="00293BC0">
        <w:rPr>
          <w:rFonts w:eastAsia="Calibri" w:cs="Tahoma"/>
          <w:bCs/>
          <w:color w:val="000000"/>
          <w:lang w:eastAsia="en-US"/>
        </w:rPr>
        <w:t>, el artículo 168 de la Ley de Transparencia y Acceso a la Información Pública del Estado de México y Municipios, que precisa que</w:t>
      </w:r>
      <w:r w:rsidRPr="00293BC0">
        <w:rPr>
          <w:rFonts w:ascii="Arial" w:eastAsia="Calibri" w:hAnsi="Arial" w:cs="Arial"/>
          <w:color w:val="000000"/>
          <w:sz w:val="24"/>
          <w:szCs w:val="24"/>
        </w:rPr>
        <w:t xml:space="preserve"> </w:t>
      </w:r>
      <w:r w:rsidRPr="00293BC0">
        <w:rPr>
          <w:rFonts w:eastAsia="Calibri" w:cs="Tahoma"/>
          <w:bCs/>
          <w:color w:val="000000"/>
          <w:lang w:eastAsia="en-US"/>
        </w:rPr>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0300095E" w14:textId="77777777" w:rsidR="00F15838" w:rsidRPr="00293BC0" w:rsidRDefault="00F15838" w:rsidP="00F15838">
      <w:pPr>
        <w:tabs>
          <w:tab w:val="left" w:pos="3962"/>
        </w:tabs>
        <w:spacing w:after="0" w:line="360" w:lineRule="auto"/>
        <w:rPr>
          <w:rFonts w:eastAsia="Calibri" w:cs="Tahoma"/>
          <w:bCs/>
          <w:color w:val="000000"/>
          <w:lang w:eastAsia="en-US"/>
        </w:rPr>
      </w:pPr>
    </w:p>
    <w:p w14:paraId="3373FFF0" w14:textId="77777777" w:rsidR="00F15838" w:rsidRPr="00293BC0" w:rsidRDefault="00F15838" w:rsidP="00F15838">
      <w:pPr>
        <w:numPr>
          <w:ilvl w:val="0"/>
          <w:numId w:val="7"/>
        </w:numPr>
        <w:tabs>
          <w:tab w:val="left" w:pos="3962"/>
        </w:tabs>
        <w:spacing w:after="0" w:line="360" w:lineRule="auto"/>
        <w:contextualSpacing/>
        <w:jc w:val="left"/>
        <w:rPr>
          <w:rFonts w:eastAsia="Calibri" w:cs="Tahoma"/>
          <w:bCs/>
          <w:color w:val="000000"/>
          <w:lang w:eastAsia="en-US"/>
        </w:rPr>
      </w:pPr>
      <w:r w:rsidRPr="00293BC0">
        <w:rPr>
          <w:rFonts w:eastAsia="Calibri" w:cs="Tahoma"/>
          <w:bCs/>
          <w:color w:val="000000"/>
          <w:lang w:eastAsia="en-US"/>
        </w:rPr>
        <w:t>Confirmar la clasificación;</w:t>
      </w:r>
    </w:p>
    <w:p w14:paraId="042E7B27" w14:textId="77777777" w:rsidR="00F15838" w:rsidRPr="00293BC0" w:rsidRDefault="00F15838" w:rsidP="00F15838">
      <w:pPr>
        <w:numPr>
          <w:ilvl w:val="0"/>
          <w:numId w:val="7"/>
        </w:numPr>
        <w:tabs>
          <w:tab w:val="left" w:pos="3962"/>
        </w:tabs>
        <w:spacing w:after="0" w:line="360" w:lineRule="auto"/>
        <w:contextualSpacing/>
        <w:jc w:val="left"/>
        <w:rPr>
          <w:rFonts w:eastAsia="Calibri" w:cs="Tahoma"/>
          <w:bCs/>
          <w:color w:val="000000"/>
          <w:lang w:eastAsia="en-US"/>
        </w:rPr>
      </w:pPr>
      <w:r w:rsidRPr="00293BC0">
        <w:rPr>
          <w:rFonts w:eastAsia="Calibri" w:cs="Tahoma"/>
          <w:bCs/>
          <w:color w:val="000000"/>
          <w:lang w:eastAsia="en-US"/>
        </w:rPr>
        <w:t>Modificar la clasificación y, otorgar total o parcialmente el acceso a la información, o</w:t>
      </w:r>
    </w:p>
    <w:p w14:paraId="06372CF0" w14:textId="77777777" w:rsidR="00F15838" w:rsidRPr="00293BC0" w:rsidRDefault="00F15838" w:rsidP="00F15838">
      <w:pPr>
        <w:numPr>
          <w:ilvl w:val="0"/>
          <w:numId w:val="7"/>
        </w:numPr>
        <w:tabs>
          <w:tab w:val="left" w:pos="3962"/>
        </w:tabs>
        <w:spacing w:after="0" w:line="360" w:lineRule="auto"/>
        <w:contextualSpacing/>
        <w:jc w:val="left"/>
        <w:rPr>
          <w:rFonts w:eastAsia="Calibri" w:cs="Tahoma"/>
          <w:bCs/>
          <w:color w:val="000000"/>
          <w:lang w:eastAsia="en-US"/>
        </w:rPr>
      </w:pPr>
      <w:r w:rsidRPr="00293BC0">
        <w:rPr>
          <w:rFonts w:eastAsia="Calibri" w:cs="Tahoma"/>
          <w:bCs/>
          <w:color w:val="000000"/>
          <w:lang w:eastAsia="en-US"/>
        </w:rPr>
        <w:t>Revocar la clasificación y conceder el acceso a la información.</w:t>
      </w:r>
    </w:p>
    <w:p w14:paraId="0DC39549" w14:textId="77777777" w:rsidR="00F15838" w:rsidRDefault="00F15838" w:rsidP="00F15838">
      <w:pPr>
        <w:tabs>
          <w:tab w:val="left" w:pos="3962"/>
        </w:tabs>
        <w:spacing w:after="0" w:line="360" w:lineRule="auto"/>
        <w:rPr>
          <w:rFonts w:eastAsia="Calibri" w:cs="Tahoma"/>
          <w:bCs/>
          <w:color w:val="000000"/>
          <w:lang w:eastAsia="en-US"/>
        </w:rPr>
      </w:pPr>
    </w:p>
    <w:p w14:paraId="29CF4FF7" w14:textId="7DC92416" w:rsidR="0029304F" w:rsidRPr="0029304F" w:rsidRDefault="00F15838" w:rsidP="00F15838">
      <w:pPr>
        <w:spacing w:after="0" w:line="360" w:lineRule="auto"/>
        <w:rPr>
          <w:rFonts w:eastAsia="Calibri" w:cs="Tahoma"/>
          <w:bCs/>
          <w:color w:val="000000"/>
          <w:lang w:eastAsia="en-US"/>
        </w:rPr>
      </w:pPr>
      <w:r w:rsidRPr="00293BC0">
        <w:rPr>
          <w:rFonts w:eastAsia="Calibri" w:cs="Tahoma"/>
          <w:bCs/>
          <w:color w:val="000000"/>
          <w:lang w:eastAsia="en-US"/>
        </w:rPr>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w:t>
      </w:r>
      <w:r w:rsidR="0029304F">
        <w:rPr>
          <w:rFonts w:eastAsia="Calibri" w:cs="Tahoma"/>
          <w:bCs/>
          <w:color w:val="000000"/>
          <w:lang w:eastAsia="en-US"/>
        </w:rPr>
        <w:t xml:space="preserve">; lo cual aconteció, pues este Instituto revisó el Acuerdo proporcionado por el Comité de Transparencia y se </w:t>
      </w:r>
      <w:proofErr w:type="spellStart"/>
      <w:r w:rsidR="0029304F">
        <w:rPr>
          <w:rFonts w:eastAsia="Calibri" w:cs="Tahoma"/>
          <w:bCs/>
          <w:color w:val="000000"/>
          <w:lang w:eastAsia="en-US"/>
        </w:rPr>
        <w:t>logro</w:t>
      </w:r>
      <w:proofErr w:type="spellEnd"/>
      <w:r w:rsidR="0029304F">
        <w:rPr>
          <w:rFonts w:eastAsia="Calibri" w:cs="Tahoma"/>
          <w:bCs/>
          <w:color w:val="000000"/>
          <w:lang w:eastAsia="en-US"/>
        </w:rPr>
        <w:t xml:space="preserve"> vislumbrar que de manera fundada y motivada, confirmó la </w:t>
      </w:r>
      <w:r w:rsidR="0029304F">
        <w:rPr>
          <w:rFonts w:eastAsia="Calibri" w:cs="Tahoma"/>
          <w:bCs/>
          <w:color w:val="000000"/>
          <w:lang w:eastAsia="en-US"/>
        </w:rPr>
        <w:lastRenderedPageBreak/>
        <w:t>clasificación de los datos testados y valido la versión pública; por lo que, se logra vislumbrar que el Sujeto Obligado modificó su respuesta, de tal manera que dejó sin materia el Medio de Impugnación, pues proporcionó los documentos faltantes, cumpliendo las formalidades establecidas en la Ley de la materia.</w:t>
      </w:r>
    </w:p>
    <w:p w14:paraId="1A0C536E" w14:textId="77777777" w:rsidR="00E91FD8" w:rsidRDefault="00E91FD8">
      <w:pPr>
        <w:widowControl w:val="0"/>
        <w:spacing w:after="0" w:line="360" w:lineRule="auto"/>
        <w:rPr>
          <w:color w:val="FF0000"/>
        </w:rPr>
      </w:pPr>
    </w:p>
    <w:p w14:paraId="65E96F76" w14:textId="77777777" w:rsidR="00E91FD8" w:rsidRDefault="00FA1EE3">
      <w:pPr>
        <w:pStyle w:val="Ttulo2"/>
        <w:spacing w:before="0" w:line="360" w:lineRule="auto"/>
        <w:rPr>
          <w:rFonts w:ascii="Palatino Linotype" w:eastAsia="Palatino Linotype" w:hAnsi="Palatino Linotype" w:cs="Palatino Linotype"/>
          <w:b/>
          <w:bCs/>
          <w:color w:val="000000"/>
          <w:sz w:val="22"/>
          <w:szCs w:val="22"/>
        </w:rPr>
      </w:pPr>
      <w:bookmarkStart w:id="19" w:name="_heading=h.w1x3pxqwhdvy" w:colFirst="0" w:colLast="0"/>
      <w:bookmarkStart w:id="20" w:name="_Toc224831214"/>
      <w:bookmarkEnd w:id="19"/>
      <w:r>
        <w:rPr>
          <w:rFonts w:ascii="Palatino Linotype" w:eastAsia="Palatino Linotype" w:hAnsi="Palatino Linotype" w:cs="Palatino Linotype"/>
          <w:b/>
          <w:bCs/>
          <w:color w:val="000000"/>
          <w:sz w:val="22"/>
          <w:szCs w:val="22"/>
        </w:rPr>
        <w:t>CUARTO. Decisión</w:t>
      </w:r>
      <w:bookmarkEnd w:id="20"/>
    </w:p>
    <w:p w14:paraId="4765ED2A" w14:textId="77777777" w:rsidR="00E91FD8" w:rsidRDefault="00E91FD8">
      <w:pPr>
        <w:spacing w:after="0" w:line="360" w:lineRule="auto"/>
        <w:rPr>
          <w:b/>
          <w:bCs/>
          <w:color w:val="FF0000"/>
        </w:rPr>
      </w:pPr>
    </w:p>
    <w:p w14:paraId="2C48424B" w14:textId="77777777" w:rsidR="00E91FD8" w:rsidRDefault="00FA1EE3">
      <w:pPr>
        <w:spacing w:after="0" w:line="360" w:lineRule="auto"/>
        <w:rPr>
          <w:color w:val="000000"/>
        </w:rPr>
      </w:pPr>
      <w:r>
        <w:rPr>
          <w:color w:val="000000"/>
        </w:rPr>
        <w:t xml:space="preserve">Con fundamento en lo dispuesto en el artículo 186, fracción I de la Ley de Transparencia y Acceso a la Información Pública del Estado de México y Municipios, se considera procedente </w:t>
      </w:r>
      <w:r>
        <w:rPr>
          <w:b/>
          <w:bCs/>
          <w:color w:val="000000"/>
        </w:rPr>
        <w:t xml:space="preserve">SOBRESEER </w:t>
      </w:r>
      <w:r>
        <w:rPr>
          <w:color w:val="000000"/>
        </w:rPr>
        <w:t xml:space="preserve">el Recurso de Revisión 10186/INFOEM/IP/RR/2025, en virtud de que se actualiza la hipótesis normativa prevista en la fracción </w:t>
      </w:r>
      <w:r>
        <w:t>III</w:t>
      </w:r>
      <w:r>
        <w:rPr>
          <w:color w:val="000000"/>
        </w:rPr>
        <w:t>, del artículo 192, del citado ordenamiento legal.</w:t>
      </w:r>
    </w:p>
    <w:p w14:paraId="6B240F82" w14:textId="77777777" w:rsidR="00E91FD8" w:rsidRDefault="00E91FD8">
      <w:pPr>
        <w:spacing w:after="0" w:line="360" w:lineRule="auto"/>
        <w:rPr>
          <w:color w:val="FF0000"/>
        </w:rPr>
      </w:pPr>
    </w:p>
    <w:p w14:paraId="6173ED61" w14:textId="77777777" w:rsidR="00E91FD8" w:rsidRDefault="00FA1EE3">
      <w:pPr>
        <w:spacing w:after="0" w:line="360" w:lineRule="auto"/>
        <w:rPr>
          <w:b/>
          <w:bCs/>
          <w:color w:val="000000"/>
        </w:rPr>
      </w:pPr>
      <w:r>
        <w:rPr>
          <w:b/>
          <w:bCs/>
          <w:color w:val="000000"/>
        </w:rPr>
        <w:t>Términos de la Resolución para conocimiento del Particular</w:t>
      </w:r>
    </w:p>
    <w:p w14:paraId="37668585" w14:textId="77777777" w:rsidR="00E91FD8" w:rsidRDefault="00E91FD8">
      <w:pPr>
        <w:spacing w:after="0" w:line="360" w:lineRule="auto"/>
        <w:rPr>
          <w:b/>
          <w:bCs/>
          <w:color w:val="FF0000"/>
        </w:rPr>
      </w:pPr>
    </w:p>
    <w:p w14:paraId="731D0CA4" w14:textId="77777777" w:rsidR="00E91FD8" w:rsidRDefault="00FA1EE3">
      <w:pPr>
        <w:spacing w:after="0" w:line="360" w:lineRule="auto"/>
        <w:ind w:right="-28"/>
        <w:rPr>
          <w:color w:val="000000"/>
        </w:rPr>
      </w:pPr>
      <w:r>
        <w:rPr>
          <w:color w:val="000000"/>
        </w:rPr>
        <w:t>Se le hace del conocimiento del Particular, que, si bien en un principio se le daba la razón, pues el Sujeto Obligado a través de su respuesta no remitió la información completa, lo cierto es que, durante la sustanciación del Medio de Impugnación, remitió la información faltante.</w:t>
      </w:r>
    </w:p>
    <w:p w14:paraId="5028C19D" w14:textId="77777777" w:rsidR="00E91FD8" w:rsidRDefault="00E91FD8">
      <w:pPr>
        <w:spacing w:after="0" w:line="360" w:lineRule="auto"/>
        <w:ind w:right="-28"/>
        <w:rPr>
          <w:color w:val="000000"/>
        </w:rPr>
      </w:pPr>
    </w:p>
    <w:p w14:paraId="46988764" w14:textId="77777777" w:rsidR="00E91FD8" w:rsidRDefault="00FA1EE3">
      <w:pPr>
        <w:spacing w:after="0" w:line="360" w:lineRule="auto"/>
        <w:ind w:right="-28"/>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648EDB9F" w14:textId="77777777" w:rsidR="00E91FD8" w:rsidRDefault="00E91FD8">
      <w:pPr>
        <w:spacing w:after="0" w:line="360" w:lineRule="auto"/>
        <w:ind w:right="-28"/>
        <w:rPr>
          <w:color w:val="000000"/>
        </w:rPr>
      </w:pPr>
    </w:p>
    <w:p w14:paraId="578C49DD" w14:textId="77777777" w:rsidR="00E91FD8" w:rsidRDefault="00FA1EE3">
      <w:pPr>
        <w:spacing w:after="0" w:line="360" w:lineRule="auto"/>
        <w:rPr>
          <w:color w:val="000000"/>
        </w:rPr>
      </w:pPr>
      <w:r>
        <w:rPr>
          <w:color w:val="000000"/>
        </w:rPr>
        <w:t>Por lo expuesto y fundado, este Pleno:</w:t>
      </w:r>
    </w:p>
    <w:p w14:paraId="3BFA7ABA" w14:textId="77777777" w:rsidR="00E91FD8" w:rsidRDefault="00E91FD8">
      <w:pPr>
        <w:spacing w:after="0" w:line="360" w:lineRule="auto"/>
        <w:rPr>
          <w:color w:val="000000"/>
        </w:rPr>
      </w:pPr>
    </w:p>
    <w:p w14:paraId="771CEEB2" w14:textId="77777777" w:rsidR="00E91FD8" w:rsidRDefault="00FA1EE3">
      <w:pPr>
        <w:pStyle w:val="Ttulo1"/>
        <w:spacing w:before="0" w:line="360" w:lineRule="auto"/>
        <w:jc w:val="center"/>
        <w:rPr>
          <w:rFonts w:ascii="Palatino Linotype" w:eastAsia="Palatino Linotype" w:hAnsi="Palatino Linotype" w:cs="Palatino Linotype"/>
          <w:b/>
          <w:bCs/>
          <w:color w:val="000000"/>
          <w:sz w:val="22"/>
          <w:szCs w:val="22"/>
        </w:rPr>
      </w:pPr>
      <w:bookmarkStart w:id="21" w:name="_heading=h.rv1u6m67vzv7" w:colFirst="0" w:colLast="0"/>
      <w:bookmarkStart w:id="22" w:name="_Toc224831215"/>
      <w:bookmarkEnd w:id="21"/>
      <w:r>
        <w:rPr>
          <w:rFonts w:ascii="Palatino Linotype" w:eastAsia="Palatino Linotype" w:hAnsi="Palatino Linotype" w:cs="Palatino Linotype"/>
          <w:b/>
          <w:bCs/>
          <w:color w:val="000000"/>
          <w:sz w:val="22"/>
          <w:szCs w:val="22"/>
        </w:rPr>
        <w:t>R E S U E L V E</w:t>
      </w:r>
      <w:bookmarkEnd w:id="22"/>
    </w:p>
    <w:p w14:paraId="2BFE1B4D" w14:textId="77777777" w:rsidR="00E91FD8" w:rsidRDefault="00E91FD8">
      <w:pPr>
        <w:spacing w:after="0" w:line="360" w:lineRule="auto"/>
        <w:ind w:right="-91"/>
        <w:jc w:val="center"/>
        <w:rPr>
          <w:b/>
          <w:bCs/>
          <w:color w:val="FF0000"/>
        </w:rPr>
      </w:pPr>
    </w:p>
    <w:p w14:paraId="4E6A1D62" w14:textId="77777777" w:rsidR="00E91FD8" w:rsidRDefault="00FA1EE3">
      <w:pPr>
        <w:spacing w:after="0" w:line="360" w:lineRule="auto"/>
      </w:pPr>
      <w:r>
        <w:rPr>
          <w:b/>
          <w:bCs/>
          <w:color w:val="000000"/>
        </w:rPr>
        <w:t xml:space="preserve">PRIMERO. </w:t>
      </w:r>
      <w:r>
        <w:rPr>
          <w:color w:val="000000"/>
        </w:rPr>
        <w:t xml:space="preserve">Se </w:t>
      </w:r>
      <w:r>
        <w:rPr>
          <w:b/>
          <w:bCs/>
          <w:color w:val="000000"/>
        </w:rPr>
        <w:t xml:space="preserve">SOBRESEE </w:t>
      </w:r>
      <w:r>
        <w:rPr>
          <w:color w:val="000000"/>
        </w:rPr>
        <w:t>el Recurso de Revisión con número</w:t>
      </w:r>
      <w:r>
        <w:rPr>
          <w:b/>
          <w:bCs/>
          <w:color w:val="000000"/>
        </w:rPr>
        <w:t xml:space="preserve"> </w:t>
      </w:r>
      <w:r>
        <w:rPr>
          <w:color w:val="000000"/>
        </w:rPr>
        <w:t xml:space="preserve">10186/INFOEM/IP/RR/2025, </w:t>
      </w:r>
      <w:r>
        <w:t xml:space="preserve">en términos del artículo 192, fracción III, al modificar la respuesta a la solicitud de acceso , de conformidad con los Considerandos TERCERO y CUARTO de la presente Resolución.    </w:t>
      </w:r>
    </w:p>
    <w:p w14:paraId="57F60C38" w14:textId="77777777" w:rsidR="00E91FD8" w:rsidRDefault="00E91FD8">
      <w:pPr>
        <w:spacing w:after="0" w:line="360" w:lineRule="auto"/>
        <w:rPr>
          <w:b/>
          <w:bCs/>
        </w:rPr>
      </w:pPr>
    </w:p>
    <w:p w14:paraId="153FB576" w14:textId="77777777" w:rsidR="00E91FD8" w:rsidRDefault="00FA1EE3">
      <w:pPr>
        <w:spacing w:after="0" w:line="360" w:lineRule="auto"/>
        <w:rPr>
          <w:b/>
          <w:bCs/>
          <w:color w:val="000000"/>
        </w:rPr>
      </w:pPr>
      <w:r>
        <w:rPr>
          <w:b/>
          <w:bCs/>
          <w:color w:val="000000"/>
        </w:rPr>
        <w:t xml:space="preserve">SEGUNDO. NOTIFÍQUESE POR SAIMEX </w:t>
      </w:r>
      <w:r>
        <w:rPr>
          <w:color w:val="000000"/>
        </w:rPr>
        <w:t>la presente Resolución al Titular de la Unidad de Transparencia del Sujeto Obligado.</w:t>
      </w:r>
    </w:p>
    <w:p w14:paraId="48211FAC" w14:textId="77777777" w:rsidR="00E91FD8" w:rsidRDefault="00E91FD8">
      <w:pPr>
        <w:spacing w:after="0" w:line="360" w:lineRule="auto"/>
        <w:rPr>
          <w:b/>
          <w:bCs/>
          <w:i/>
          <w:iCs/>
          <w:color w:val="FF0000"/>
        </w:rPr>
      </w:pPr>
    </w:p>
    <w:p w14:paraId="39C8DEFA" w14:textId="77777777" w:rsidR="00E91FD8" w:rsidRDefault="00FA1EE3">
      <w:pPr>
        <w:spacing w:after="0" w:line="360" w:lineRule="auto"/>
        <w:rPr>
          <w:b/>
          <w:bCs/>
          <w:color w:val="000000"/>
        </w:rPr>
      </w:pPr>
      <w:r>
        <w:rPr>
          <w:b/>
          <w:bCs/>
          <w:color w:val="000000"/>
        </w:rPr>
        <w:t xml:space="preserve">TERCERO. NOTIFÍQUESE POR SAIMEX </w:t>
      </w:r>
      <w:r>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A1F0053" w14:textId="77777777" w:rsidR="00E91FD8" w:rsidRDefault="00E91FD8">
      <w:pPr>
        <w:spacing w:after="0" w:line="360" w:lineRule="auto"/>
        <w:rPr>
          <w:b/>
          <w:bCs/>
          <w:color w:val="000000"/>
        </w:rPr>
      </w:pPr>
    </w:p>
    <w:p w14:paraId="425C5262" w14:textId="77777777" w:rsidR="00E91FD8" w:rsidRDefault="00FA1EE3">
      <w:pPr>
        <w:spacing w:after="0" w:line="360" w:lineRule="auto"/>
        <w:rPr>
          <w:color w:val="000000"/>
        </w:rPr>
      </w:pPr>
      <w:r>
        <w:rPr>
          <w:color w:val="000000"/>
        </w:rPr>
        <w:t>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t>DÉCIMA</w:t>
      </w:r>
      <w:r>
        <w:rPr>
          <w:color w:val="000000"/>
        </w:rPr>
        <w:t xml:space="preserve"> SESIÓN ORDINARIA, CELEBRADA EL DIECINUEVE DE MARZO DE DOS MIL </w:t>
      </w:r>
      <w:r>
        <w:t>VEINTISÉIS</w:t>
      </w:r>
      <w:r>
        <w:rPr>
          <w:color w:val="000000"/>
        </w:rPr>
        <w:t>, ANTE EL SECRETARIO TÉCNICO DEL PLENO, ALEXIS TAPIA RAMÍREZ.</w:t>
      </w:r>
    </w:p>
    <w:p w14:paraId="6AD15875" w14:textId="77777777" w:rsidR="00E91FD8" w:rsidRDefault="00E91FD8">
      <w:pPr>
        <w:spacing w:after="0" w:line="360" w:lineRule="auto"/>
        <w:rPr>
          <w:color w:val="000000"/>
        </w:rPr>
      </w:pPr>
    </w:p>
    <w:p w14:paraId="7C3B7F0E" w14:textId="77777777" w:rsidR="00E91FD8" w:rsidRDefault="00E91FD8">
      <w:pPr>
        <w:spacing w:after="0" w:line="360" w:lineRule="auto"/>
        <w:rPr>
          <w:color w:val="000000"/>
        </w:rPr>
      </w:pPr>
    </w:p>
    <w:p w14:paraId="11863459" w14:textId="77777777" w:rsidR="00E91FD8" w:rsidRDefault="00E91FD8">
      <w:pPr>
        <w:spacing w:after="0" w:line="360" w:lineRule="auto"/>
        <w:rPr>
          <w:color w:val="000000"/>
        </w:rPr>
      </w:pPr>
    </w:p>
    <w:p w14:paraId="64930256" w14:textId="77777777" w:rsidR="00E91FD8" w:rsidRDefault="00E91FD8">
      <w:pPr>
        <w:spacing w:after="0" w:line="360" w:lineRule="auto"/>
        <w:rPr>
          <w:color w:val="FF0000"/>
        </w:rPr>
      </w:pPr>
    </w:p>
    <w:p w14:paraId="76CD8C6F" w14:textId="77777777" w:rsidR="00E91FD8" w:rsidRDefault="00E91FD8">
      <w:pPr>
        <w:spacing w:after="0" w:line="360" w:lineRule="auto"/>
        <w:rPr>
          <w:color w:val="FF0000"/>
        </w:rPr>
      </w:pPr>
    </w:p>
    <w:p w14:paraId="46916D71" w14:textId="77777777" w:rsidR="00E91FD8" w:rsidRDefault="00E91FD8">
      <w:pPr>
        <w:spacing w:after="0" w:line="360" w:lineRule="auto"/>
        <w:rPr>
          <w:color w:val="FF0000"/>
        </w:rPr>
      </w:pPr>
    </w:p>
    <w:p w14:paraId="54207046" w14:textId="77777777" w:rsidR="00E91FD8" w:rsidRDefault="00E91FD8">
      <w:pPr>
        <w:spacing w:after="0" w:line="360" w:lineRule="auto"/>
        <w:rPr>
          <w:color w:val="FF0000"/>
        </w:rPr>
      </w:pPr>
    </w:p>
    <w:p w14:paraId="7B8020AB" w14:textId="77777777" w:rsidR="00E91FD8" w:rsidRDefault="00E91FD8">
      <w:pPr>
        <w:spacing w:after="0" w:line="360" w:lineRule="auto"/>
        <w:jc w:val="left"/>
        <w:rPr>
          <w:color w:val="FF0000"/>
        </w:rPr>
      </w:pPr>
    </w:p>
    <w:p w14:paraId="7D7227E5" w14:textId="77777777" w:rsidR="00E91FD8" w:rsidRDefault="00E91FD8">
      <w:pPr>
        <w:spacing w:after="0" w:line="360" w:lineRule="auto"/>
        <w:jc w:val="left"/>
        <w:rPr>
          <w:color w:val="FF0000"/>
        </w:rPr>
      </w:pPr>
    </w:p>
    <w:p w14:paraId="1F716C10" w14:textId="77777777" w:rsidR="00E91FD8" w:rsidRDefault="00E91FD8">
      <w:pPr>
        <w:spacing w:after="0" w:line="360" w:lineRule="auto"/>
        <w:jc w:val="left"/>
        <w:rPr>
          <w:color w:val="FF0000"/>
        </w:rPr>
      </w:pPr>
    </w:p>
    <w:p w14:paraId="5D4B5CA1" w14:textId="77777777" w:rsidR="00E91FD8" w:rsidRDefault="00E91FD8">
      <w:pPr>
        <w:spacing w:after="0" w:line="360" w:lineRule="auto"/>
        <w:jc w:val="left"/>
        <w:rPr>
          <w:color w:val="FF0000"/>
        </w:rPr>
      </w:pPr>
    </w:p>
    <w:p w14:paraId="2F2D7CE2" w14:textId="77777777" w:rsidR="00E91FD8" w:rsidRDefault="00E91FD8">
      <w:pPr>
        <w:spacing w:after="0" w:line="360" w:lineRule="auto"/>
        <w:jc w:val="left"/>
        <w:rPr>
          <w:color w:val="FF0000"/>
        </w:rPr>
      </w:pPr>
    </w:p>
    <w:p w14:paraId="7F1CAF42" w14:textId="77777777" w:rsidR="00E91FD8" w:rsidRDefault="00E91FD8">
      <w:pPr>
        <w:spacing w:after="0" w:line="360" w:lineRule="auto"/>
        <w:jc w:val="left"/>
        <w:rPr>
          <w:color w:val="FF0000"/>
        </w:rPr>
      </w:pPr>
    </w:p>
    <w:p w14:paraId="0A7C69EC" w14:textId="77777777" w:rsidR="00E91FD8" w:rsidRDefault="00E91FD8">
      <w:pPr>
        <w:spacing w:after="0" w:line="360" w:lineRule="auto"/>
        <w:jc w:val="left"/>
        <w:rPr>
          <w:color w:val="FF0000"/>
        </w:rPr>
      </w:pPr>
    </w:p>
    <w:p w14:paraId="082DDF59" w14:textId="77777777" w:rsidR="00E91FD8" w:rsidRDefault="00E91FD8">
      <w:pPr>
        <w:spacing w:after="0" w:line="360" w:lineRule="auto"/>
        <w:jc w:val="left"/>
        <w:rPr>
          <w:color w:val="FF0000"/>
        </w:rPr>
      </w:pPr>
      <w:bookmarkStart w:id="23" w:name="_heading=h.cse33snjhexi" w:colFirst="0" w:colLast="0"/>
      <w:bookmarkEnd w:id="23"/>
    </w:p>
    <w:sectPr w:rsidR="00E91FD8" w:rsidSect="00841E72">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47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432C5" w14:textId="77777777" w:rsidR="0038161C" w:rsidRDefault="0038161C">
      <w:pPr>
        <w:spacing w:after="0" w:line="240" w:lineRule="auto"/>
      </w:pPr>
      <w:r>
        <w:separator/>
      </w:r>
    </w:p>
  </w:endnote>
  <w:endnote w:type="continuationSeparator" w:id="0">
    <w:p w14:paraId="1C89BEC0" w14:textId="77777777" w:rsidR="0038161C" w:rsidRDefault="00381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681F2C42-2406-46B7-809A-382CCF9A058A}"/>
    <w:embedBold r:id="rId2" w:fontKey="{6A1ED47E-9EBE-4B37-B484-C42A88A90A9C}"/>
    <w:embedItalic r:id="rId3" w:fontKey="{D4FACF61-00D5-4852-803B-6392D0427E14}"/>
    <w:embedBoldItalic r:id="rId4" w:fontKey="{CB2033B0-1062-4219-80E9-BB14DED1109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A77AB963-B7DB-426A-BFCA-60148970797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27D9B32-EF56-49C0-B062-E99C68606D8D}"/>
  </w:font>
  <w:font w:name="Calibri Light">
    <w:panose1 w:val="020F0302020204030204"/>
    <w:charset w:val="00"/>
    <w:family w:val="swiss"/>
    <w:pitch w:val="variable"/>
    <w:sig w:usb0="E4002EFF" w:usb1="C200247B" w:usb2="00000009" w:usb3="00000000" w:csb0="000001FF" w:csb1="00000000"/>
    <w:embedRegular r:id="rId7" w:fontKey="{E79C0C97-A834-447F-88D7-7A785BFD232D}"/>
  </w:font>
  <w:font w:name="Georgia">
    <w:panose1 w:val="02040502050405020303"/>
    <w:charset w:val="00"/>
    <w:family w:val="roman"/>
    <w:pitch w:val="variable"/>
    <w:sig w:usb0="00000287" w:usb1="00000000" w:usb2="00000000" w:usb3="00000000" w:csb0="0000009F" w:csb1="00000000"/>
    <w:embedItalic r:id="rId8" w:fontKey="{F42AAEC2-033A-4E7E-AB97-62CC181099BD}"/>
  </w:font>
  <w:font w:name="Tahoma">
    <w:panose1 w:val="020B0604030504040204"/>
    <w:charset w:val="00"/>
    <w:family w:val="swiss"/>
    <w:pitch w:val="variable"/>
    <w:sig w:usb0="E1002EFF" w:usb1="C000605B" w:usb2="00000029" w:usb3="00000000" w:csb0="000101FF" w:csb1="00000000"/>
    <w:embedBold r:id="rId9" w:fontKey="{34ED9141-5B05-490E-B33A-5B69A7C8DE5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094C" w14:textId="77777777" w:rsidR="00E91FD8" w:rsidRDefault="00FA1EE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D83D0D">
      <w:rPr>
        <w:b/>
        <w:bCs/>
        <w:color w:val="000000"/>
        <w:sz w:val="24"/>
        <w:szCs w:val="24"/>
      </w:rPr>
      <w:fldChar w:fldCharType="separate"/>
    </w:r>
    <w:r w:rsidR="00D83D0D">
      <w:rPr>
        <w:b/>
        <w:bCs/>
        <w:noProof/>
        <w:color w:val="000000"/>
        <w:sz w:val="24"/>
        <w:szCs w:val="24"/>
      </w:rPr>
      <w:t>23</w:t>
    </w:r>
    <w:r>
      <w:rPr>
        <w:b/>
        <w:bCs/>
        <w:color w:val="000000"/>
        <w:sz w:val="24"/>
        <w:szCs w:val="24"/>
      </w:rPr>
      <w:fldChar w:fldCharType="end"/>
    </w:r>
  </w:p>
  <w:p w14:paraId="3E6487EB" w14:textId="77777777" w:rsidR="00E91FD8" w:rsidRDefault="00E91FD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F1230" w14:textId="1A9DAFD9" w:rsidR="00E91FD8" w:rsidRDefault="00FA1EE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83D0D">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83D0D">
      <w:rPr>
        <w:b/>
        <w:bCs/>
        <w:noProof/>
        <w:color w:val="000000"/>
        <w:sz w:val="24"/>
        <w:szCs w:val="24"/>
      </w:rPr>
      <w:t>23</w:t>
    </w:r>
    <w:r>
      <w:rPr>
        <w:b/>
        <w:bCs/>
        <w:color w:val="000000"/>
        <w:sz w:val="24"/>
        <w:szCs w:val="24"/>
      </w:rPr>
      <w:fldChar w:fldCharType="end"/>
    </w:r>
  </w:p>
  <w:p w14:paraId="6D997EA5" w14:textId="77777777" w:rsidR="00E91FD8" w:rsidRDefault="00E91FD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86B0F" w14:textId="77777777" w:rsidR="00E91FD8" w:rsidRDefault="00FA1EE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83D0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83D0D">
      <w:rPr>
        <w:b/>
        <w:bCs/>
        <w:noProof/>
        <w:color w:val="000000"/>
        <w:sz w:val="24"/>
        <w:szCs w:val="24"/>
      </w:rPr>
      <w:t>23</w:t>
    </w:r>
    <w:r>
      <w:rPr>
        <w:b/>
        <w:bCs/>
        <w:color w:val="000000"/>
        <w:sz w:val="24"/>
        <w:szCs w:val="24"/>
      </w:rPr>
      <w:fldChar w:fldCharType="end"/>
    </w:r>
  </w:p>
  <w:p w14:paraId="58F01489" w14:textId="77777777" w:rsidR="00E91FD8" w:rsidRDefault="00E91FD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AD5C2" w14:textId="77777777" w:rsidR="0038161C" w:rsidRDefault="0038161C">
      <w:pPr>
        <w:spacing w:after="0" w:line="240" w:lineRule="auto"/>
      </w:pPr>
      <w:r>
        <w:separator/>
      </w:r>
    </w:p>
  </w:footnote>
  <w:footnote w:type="continuationSeparator" w:id="0">
    <w:p w14:paraId="4E033BDD" w14:textId="77777777" w:rsidR="0038161C" w:rsidRDefault="003816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A08B7" w14:textId="77777777" w:rsidR="00E91FD8" w:rsidRDefault="00E91FD8">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E91FD8" w14:paraId="1C819AAB" w14:textId="77777777">
      <w:trPr>
        <w:trHeight w:val="132"/>
      </w:trPr>
      <w:tc>
        <w:tcPr>
          <w:tcW w:w="2691" w:type="dxa"/>
        </w:tcPr>
        <w:p w14:paraId="553CF945" w14:textId="77777777" w:rsidR="00E91FD8" w:rsidRDefault="00FA1EE3">
          <w:pPr>
            <w:tabs>
              <w:tab w:val="right" w:pos="8838"/>
            </w:tabs>
            <w:ind w:right="-105"/>
            <w:rPr>
              <w:b/>
              <w:bCs/>
            </w:rPr>
          </w:pPr>
          <w:r>
            <w:rPr>
              <w:b/>
              <w:bCs/>
            </w:rPr>
            <w:t>Recurso de Revisión:</w:t>
          </w:r>
        </w:p>
      </w:tc>
      <w:tc>
        <w:tcPr>
          <w:tcW w:w="3405" w:type="dxa"/>
        </w:tcPr>
        <w:p w14:paraId="1F33AD07" w14:textId="77777777" w:rsidR="00E91FD8" w:rsidRDefault="00FA1EE3">
          <w:pPr>
            <w:tabs>
              <w:tab w:val="right" w:pos="8838"/>
            </w:tabs>
            <w:ind w:left="-28" w:right="-32"/>
          </w:pPr>
          <w:r>
            <w:t>03846/INFOEM/IP/RR/2020</w:t>
          </w:r>
        </w:p>
      </w:tc>
    </w:tr>
    <w:tr w:rsidR="00E91FD8" w14:paraId="47EF0529" w14:textId="77777777">
      <w:trPr>
        <w:trHeight w:val="261"/>
      </w:trPr>
      <w:tc>
        <w:tcPr>
          <w:tcW w:w="2691" w:type="dxa"/>
        </w:tcPr>
        <w:p w14:paraId="331763A5" w14:textId="77777777" w:rsidR="00E91FD8" w:rsidRDefault="00FA1EE3">
          <w:pPr>
            <w:tabs>
              <w:tab w:val="right" w:pos="8838"/>
            </w:tabs>
            <w:ind w:right="-105"/>
            <w:rPr>
              <w:b/>
              <w:bCs/>
            </w:rPr>
          </w:pPr>
          <w:r>
            <w:rPr>
              <w:b/>
              <w:bCs/>
            </w:rPr>
            <w:t>Sujeto Obligado:</w:t>
          </w:r>
        </w:p>
      </w:tc>
      <w:tc>
        <w:tcPr>
          <w:tcW w:w="3405" w:type="dxa"/>
        </w:tcPr>
        <w:p w14:paraId="23567C65" w14:textId="77777777" w:rsidR="00E91FD8" w:rsidRDefault="00FA1EE3">
          <w:pPr>
            <w:tabs>
              <w:tab w:val="right" w:pos="8838"/>
            </w:tabs>
            <w:ind w:right="-32"/>
          </w:pPr>
          <w:r>
            <w:t xml:space="preserve">Ayuntamiento de </w:t>
          </w:r>
          <w:proofErr w:type="spellStart"/>
          <w:r>
            <w:t>Temascalcingo</w:t>
          </w:r>
          <w:proofErr w:type="spellEnd"/>
        </w:p>
      </w:tc>
    </w:tr>
    <w:tr w:rsidR="00E91FD8" w14:paraId="50308D22" w14:textId="77777777">
      <w:trPr>
        <w:trHeight w:val="261"/>
      </w:trPr>
      <w:tc>
        <w:tcPr>
          <w:tcW w:w="2691" w:type="dxa"/>
        </w:tcPr>
        <w:p w14:paraId="37A5C0E6" w14:textId="77777777" w:rsidR="00E91FD8" w:rsidRDefault="00FA1EE3">
          <w:pPr>
            <w:tabs>
              <w:tab w:val="right" w:pos="8838"/>
            </w:tabs>
            <w:ind w:right="-105"/>
            <w:rPr>
              <w:b/>
              <w:bCs/>
            </w:rPr>
          </w:pPr>
          <w:r>
            <w:rPr>
              <w:b/>
              <w:bCs/>
            </w:rPr>
            <w:t>Comisionado Ponente:</w:t>
          </w:r>
        </w:p>
      </w:tc>
      <w:tc>
        <w:tcPr>
          <w:tcW w:w="3405" w:type="dxa"/>
        </w:tcPr>
        <w:p w14:paraId="6CE60A93" w14:textId="77777777" w:rsidR="00E91FD8" w:rsidRDefault="00FA1EE3">
          <w:pPr>
            <w:tabs>
              <w:tab w:val="right" w:pos="8838"/>
            </w:tabs>
            <w:ind w:right="-32"/>
            <w:rPr>
              <w:b/>
              <w:bCs/>
            </w:rPr>
          </w:pPr>
          <w:r>
            <w:t>Luis Gustavo Parra Noriega</w:t>
          </w:r>
        </w:p>
      </w:tc>
    </w:tr>
  </w:tbl>
  <w:p w14:paraId="71A32232" w14:textId="77777777" w:rsidR="00E91FD8" w:rsidRDefault="0038161C">
    <w:pPr>
      <w:pBdr>
        <w:top w:val="nil"/>
        <w:left w:val="nil"/>
        <w:bottom w:val="nil"/>
        <w:right w:val="nil"/>
        <w:between w:val="nil"/>
      </w:pBdr>
      <w:tabs>
        <w:tab w:val="center" w:pos="4419"/>
        <w:tab w:val="right" w:pos="8838"/>
      </w:tabs>
      <w:spacing w:after="0" w:line="240" w:lineRule="auto"/>
      <w:rPr>
        <w:color w:val="000000"/>
      </w:rPr>
    </w:pPr>
    <w:r>
      <w:rPr>
        <w:color w:val="000000"/>
      </w:rPr>
      <w:pict w14:anchorId="05370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20079" w14:textId="307664E1" w:rsidR="00E91FD8" w:rsidRDefault="0038161C">
    <w:pPr>
      <w:widowControl w:val="0"/>
      <w:pBdr>
        <w:top w:val="nil"/>
        <w:left w:val="nil"/>
        <w:bottom w:val="nil"/>
        <w:right w:val="nil"/>
        <w:between w:val="nil"/>
      </w:pBdr>
      <w:spacing w:after="0" w:line="276" w:lineRule="auto"/>
      <w:jc w:val="left"/>
      <w:rPr>
        <w:color w:val="000000"/>
      </w:rPr>
    </w:pPr>
    <w:r>
      <w:rPr>
        <w:color w:val="000000"/>
      </w:rPr>
      <w:pict w14:anchorId="18C29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101.1pt;margin-top:-140.0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a0"/>
      <w:tblW w:w="7087" w:type="dxa"/>
      <w:tblInd w:w="1985" w:type="dxa"/>
      <w:tblBorders>
        <w:top w:val="nil"/>
        <w:left w:val="nil"/>
        <w:bottom w:val="nil"/>
        <w:right w:val="nil"/>
        <w:insideH w:val="nil"/>
        <w:insideV w:val="nil"/>
      </w:tblBorders>
      <w:tblLayout w:type="fixed"/>
      <w:tblLook w:val="0400" w:firstRow="0" w:lastRow="0" w:firstColumn="0" w:lastColumn="0" w:noHBand="0" w:noVBand="1"/>
    </w:tblPr>
    <w:tblGrid>
      <w:gridCol w:w="2551"/>
      <w:gridCol w:w="4536"/>
    </w:tblGrid>
    <w:tr w:rsidR="00E91FD8" w14:paraId="41819098" w14:textId="77777777">
      <w:trPr>
        <w:trHeight w:val="138"/>
      </w:trPr>
      <w:tc>
        <w:tcPr>
          <w:tcW w:w="2551" w:type="dxa"/>
        </w:tcPr>
        <w:p w14:paraId="61B8C339" w14:textId="77777777" w:rsidR="00E91FD8" w:rsidRDefault="00FA1EE3">
          <w:pPr>
            <w:tabs>
              <w:tab w:val="right" w:pos="8838"/>
            </w:tabs>
            <w:ind w:right="-105"/>
            <w:jc w:val="left"/>
            <w:rPr>
              <w:b/>
              <w:bCs/>
            </w:rPr>
          </w:pPr>
          <w:r>
            <w:rPr>
              <w:b/>
              <w:bCs/>
            </w:rPr>
            <w:t>Recurso de Revisión:</w:t>
          </w:r>
        </w:p>
      </w:tc>
      <w:tc>
        <w:tcPr>
          <w:tcW w:w="4536" w:type="dxa"/>
        </w:tcPr>
        <w:p w14:paraId="0826546D" w14:textId="77777777" w:rsidR="00E91FD8" w:rsidRDefault="00FA1EE3">
          <w:pPr>
            <w:tabs>
              <w:tab w:val="right" w:pos="8838"/>
            </w:tabs>
            <w:ind w:left="-113" w:right="57"/>
          </w:pPr>
          <w:r>
            <w:t>10186/INFOEM/IP/RR/2025</w:t>
          </w:r>
        </w:p>
      </w:tc>
    </w:tr>
    <w:tr w:rsidR="00E91FD8" w14:paraId="19978E81" w14:textId="77777777">
      <w:trPr>
        <w:trHeight w:val="273"/>
      </w:trPr>
      <w:tc>
        <w:tcPr>
          <w:tcW w:w="2551" w:type="dxa"/>
        </w:tcPr>
        <w:p w14:paraId="2294FD7F" w14:textId="77777777" w:rsidR="00E91FD8" w:rsidRDefault="00FA1EE3">
          <w:pPr>
            <w:tabs>
              <w:tab w:val="right" w:pos="8838"/>
            </w:tabs>
            <w:ind w:right="-105"/>
            <w:rPr>
              <w:b/>
              <w:bCs/>
            </w:rPr>
          </w:pPr>
          <w:r>
            <w:rPr>
              <w:b/>
              <w:bCs/>
            </w:rPr>
            <w:t>Sujeto Obligado:</w:t>
          </w:r>
        </w:p>
      </w:tc>
      <w:tc>
        <w:tcPr>
          <w:tcW w:w="4536" w:type="dxa"/>
        </w:tcPr>
        <w:p w14:paraId="48CDC8A7" w14:textId="447F3571" w:rsidR="00E91FD8" w:rsidRDefault="00841E72">
          <w:pPr>
            <w:tabs>
              <w:tab w:val="left" w:pos="2728"/>
              <w:tab w:val="right" w:pos="8838"/>
            </w:tabs>
            <w:ind w:left="-113"/>
          </w:pPr>
          <w:r>
            <w:t>Organismo Público Descentralizado para la Prestación de los Servicios de Agua Potable Alcantarillado y Saneamiento de Atizapán de Zaragoza</w:t>
          </w:r>
        </w:p>
      </w:tc>
    </w:tr>
    <w:tr w:rsidR="00E91FD8" w14:paraId="5BC7865C" w14:textId="77777777">
      <w:trPr>
        <w:trHeight w:val="273"/>
      </w:trPr>
      <w:tc>
        <w:tcPr>
          <w:tcW w:w="2551" w:type="dxa"/>
        </w:tcPr>
        <w:p w14:paraId="6642AA8D" w14:textId="77777777" w:rsidR="00E91FD8" w:rsidRDefault="00FA1EE3">
          <w:pPr>
            <w:tabs>
              <w:tab w:val="right" w:pos="8838"/>
            </w:tabs>
            <w:ind w:right="-105"/>
            <w:rPr>
              <w:b/>
              <w:bCs/>
            </w:rPr>
          </w:pPr>
          <w:r>
            <w:rPr>
              <w:b/>
              <w:bCs/>
            </w:rPr>
            <w:t>Comisionado Ponente:</w:t>
          </w:r>
        </w:p>
      </w:tc>
      <w:tc>
        <w:tcPr>
          <w:tcW w:w="4536" w:type="dxa"/>
        </w:tcPr>
        <w:p w14:paraId="2695CC33" w14:textId="77777777" w:rsidR="00E91FD8" w:rsidRDefault="00FA1EE3">
          <w:pPr>
            <w:tabs>
              <w:tab w:val="right" w:pos="8838"/>
            </w:tabs>
            <w:ind w:left="-113" w:right="-170"/>
            <w:rPr>
              <w:b/>
              <w:bCs/>
            </w:rPr>
          </w:pPr>
          <w:r>
            <w:t>Luis Gustavo Parra Noriega</w:t>
          </w:r>
        </w:p>
      </w:tc>
    </w:tr>
  </w:tbl>
  <w:p w14:paraId="107A5C5A" w14:textId="4DA43AF3" w:rsidR="00E91FD8" w:rsidRDefault="00E91FD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841A3" w14:textId="77777777" w:rsidR="00E91FD8" w:rsidRDefault="00E91FD8">
    <w:pPr>
      <w:widowControl w:val="0"/>
      <w:pBdr>
        <w:top w:val="nil"/>
        <w:left w:val="nil"/>
        <w:bottom w:val="nil"/>
        <w:right w:val="nil"/>
        <w:between w:val="nil"/>
      </w:pBdr>
      <w:spacing w:after="0" w:line="276" w:lineRule="auto"/>
      <w:jc w:val="left"/>
      <w:rPr>
        <w:color w:val="000000"/>
      </w:rPr>
    </w:pPr>
  </w:p>
  <w:tbl>
    <w:tblPr>
      <w:tblStyle w:val="a1"/>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E91FD8" w14:paraId="32CA5E11" w14:textId="77777777">
      <w:trPr>
        <w:trHeight w:val="132"/>
      </w:trPr>
      <w:tc>
        <w:tcPr>
          <w:tcW w:w="2551" w:type="dxa"/>
        </w:tcPr>
        <w:p w14:paraId="704B00C0" w14:textId="77777777" w:rsidR="00E91FD8" w:rsidRDefault="00FA1EE3">
          <w:pPr>
            <w:tabs>
              <w:tab w:val="right" w:pos="8838"/>
            </w:tabs>
            <w:ind w:right="-105"/>
            <w:rPr>
              <w:b/>
              <w:bCs/>
            </w:rPr>
          </w:pPr>
          <w:r>
            <w:rPr>
              <w:b/>
              <w:bCs/>
            </w:rPr>
            <w:t>Recurso de Revisión:</w:t>
          </w:r>
        </w:p>
      </w:tc>
      <w:tc>
        <w:tcPr>
          <w:tcW w:w="4253" w:type="dxa"/>
        </w:tcPr>
        <w:p w14:paraId="0868AD3B" w14:textId="77777777" w:rsidR="00E91FD8" w:rsidRDefault="00FA1EE3">
          <w:pPr>
            <w:tabs>
              <w:tab w:val="right" w:pos="8838"/>
            </w:tabs>
            <w:ind w:left="-113" w:right="-32"/>
          </w:pPr>
          <w:r>
            <w:t>10186/INFOEM/IP/RR/2025</w:t>
          </w:r>
        </w:p>
      </w:tc>
    </w:tr>
    <w:tr w:rsidR="00E91FD8" w14:paraId="35F9C756" w14:textId="77777777">
      <w:trPr>
        <w:trHeight w:val="132"/>
      </w:trPr>
      <w:tc>
        <w:tcPr>
          <w:tcW w:w="2551" w:type="dxa"/>
          <w:shd w:val="clear" w:color="auto" w:fill="auto"/>
        </w:tcPr>
        <w:p w14:paraId="18877D68" w14:textId="77777777" w:rsidR="00E91FD8" w:rsidRDefault="00FA1EE3">
          <w:pPr>
            <w:tabs>
              <w:tab w:val="left" w:pos="1875"/>
            </w:tabs>
            <w:ind w:right="-105"/>
            <w:rPr>
              <w:b/>
              <w:bCs/>
            </w:rPr>
          </w:pPr>
          <w:r>
            <w:rPr>
              <w:b/>
              <w:bCs/>
            </w:rPr>
            <w:t>Recurrente:</w:t>
          </w:r>
          <w:r>
            <w:rPr>
              <w:b/>
              <w:bCs/>
            </w:rPr>
            <w:tab/>
          </w:r>
        </w:p>
      </w:tc>
      <w:tc>
        <w:tcPr>
          <w:tcW w:w="4253" w:type="dxa"/>
          <w:shd w:val="clear" w:color="auto" w:fill="auto"/>
        </w:tcPr>
        <w:p w14:paraId="20E2C059" w14:textId="77777777" w:rsidR="00E91FD8" w:rsidRDefault="00E91FD8">
          <w:pPr>
            <w:tabs>
              <w:tab w:val="right" w:pos="8838"/>
            </w:tabs>
            <w:ind w:left="-113" w:right="-32"/>
          </w:pPr>
        </w:p>
      </w:tc>
    </w:tr>
    <w:tr w:rsidR="00E91FD8" w14:paraId="267E8DF4" w14:textId="77777777">
      <w:trPr>
        <w:trHeight w:val="261"/>
      </w:trPr>
      <w:tc>
        <w:tcPr>
          <w:tcW w:w="2551" w:type="dxa"/>
        </w:tcPr>
        <w:p w14:paraId="4A610023" w14:textId="77777777" w:rsidR="00E91FD8" w:rsidRDefault="00FA1EE3">
          <w:pPr>
            <w:tabs>
              <w:tab w:val="right" w:pos="8838"/>
            </w:tabs>
            <w:ind w:right="-105"/>
            <w:rPr>
              <w:b/>
              <w:bCs/>
            </w:rPr>
          </w:pPr>
          <w:r>
            <w:rPr>
              <w:b/>
              <w:bCs/>
            </w:rPr>
            <w:t>Sujeto Obligado:</w:t>
          </w:r>
        </w:p>
      </w:tc>
      <w:tc>
        <w:tcPr>
          <w:tcW w:w="4253" w:type="dxa"/>
        </w:tcPr>
        <w:p w14:paraId="064F2D03" w14:textId="1FD2C572" w:rsidR="00E91FD8" w:rsidRDefault="00841E72">
          <w:pPr>
            <w:tabs>
              <w:tab w:val="right" w:pos="8838"/>
            </w:tabs>
            <w:ind w:left="-113" w:right="-32"/>
          </w:pPr>
          <w:r>
            <w:t>Organismo Público Descentralizado para la Prestación de los Servicios de Agua Potable Alcantarillado y Saneamiento de Atizapán de Zaragoza</w:t>
          </w:r>
        </w:p>
      </w:tc>
    </w:tr>
    <w:tr w:rsidR="00E91FD8" w14:paraId="540E285D" w14:textId="77777777">
      <w:trPr>
        <w:trHeight w:val="261"/>
      </w:trPr>
      <w:tc>
        <w:tcPr>
          <w:tcW w:w="2551" w:type="dxa"/>
        </w:tcPr>
        <w:p w14:paraId="60189684" w14:textId="77777777" w:rsidR="00E91FD8" w:rsidRDefault="00FA1EE3">
          <w:pPr>
            <w:tabs>
              <w:tab w:val="right" w:pos="8838"/>
            </w:tabs>
            <w:ind w:right="-105"/>
            <w:rPr>
              <w:b/>
              <w:bCs/>
            </w:rPr>
          </w:pPr>
          <w:r>
            <w:rPr>
              <w:b/>
              <w:bCs/>
            </w:rPr>
            <w:t>Comisionado Ponente:</w:t>
          </w:r>
        </w:p>
      </w:tc>
      <w:tc>
        <w:tcPr>
          <w:tcW w:w="4253" w:type="dxa"/>
        </w:tcPr>
        <w:p w14:paraId="2A532DBB" w14:textId="77777777" w:rsidR="00E91FD8" w:rsidRDefault="00FA1EE3">
          <w:pPr>
            <w:tabs>
              <w:tab w:val="right" w:pos="8838"/>
            </w:tabs>
            <w:ind w:left="-113" w:right="-32"/>
            <w:rPr>
              <w:b/>
              <w:bCs/>
            </w:rPr>
          </w:pPr>
          <w:r>
            <w:t>Luis Gustavo Parra Noriega</w:t>
          </w:r>
        </w:p>
      </w:tc>
    </w:tr>
  </w:tbl>
  <w:p w14:paraId="3E2F51ED" w14:textId="77777777" w:rsidR="00E91FD8" w:rsidRDefault="0038161C">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FA059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73336"/>
    <w:multiLevelType w:val="multilevel"/>
    <w:tmpl w:val="DDD49CEE"/>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3C753F"/>
    <w:multiLevelType w:val="multilevel"/>
    <w:tmpl w:val="8E84E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2B1400"/>
    <w:multiLevelType w:val="hybridMultilevel"/>
    <w:tmpl w:val="11CE74C8"/>
    <w:lvl w:ilvl="0" w:tplc="7480C6B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16579B8"/>
    <w:multiLevelType w:val="multilevel"/>
    <w:tmpl w:val="D0BE9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9E101F"/>
    <w:multiLevelType w:val="multilevel"/>
    <w:tmpl w:val="5E6E2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766581"/>
    <w:multiLevelType w:val="multilevel"/>
    <w:tmpl w:val="ACD017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A046BC"/>
    <w:multiLevelType w:val="multilevel"/>
    <w:tmpl w:val="D34CBE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0"/>
  </w:num>
  <w:num w:numId="4">
    <w:abstractNumId w:val="4"/>
  </w:num>
  <w:num w:numId="5">
    <w:abstractNumId w:val="1"/>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D8"/>
    <w:rsid w:val="00212EAD"/>
    <w:rsid w:val="0029304F"/>
    <w:rsid w:val="0038161C"/>
    <w:rsid w:val="00384270"/>
    <w:rsid w:val="005129ED"/>
    <w:rsid w:val="007B03A9"/>
    <w:rsid w:val="00841E72"/>
    <w:rsid w:val="00A24DA4"/>
    <w:rsid w:val="00A61B19"/>
    <w:rsid w:val="00AE5180"/>
    <w:rsid w:val="00D83D0D"/>
    <w:rsid w:val="00DF23B0"/>
    <w:rsid w:val="00E91FD8"/>
    <w:rsid w:val="00EA5881"/>
    <w:rsid w:val="00F15838"/>
    <w:rsid w:val="00FA1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132A9"/>
  <w15:docId w15:val="{605999B4-69A0-0746-94AE-2DFFD0FC0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F4262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UqSkWOHZbioqnUZJdG1NdR8wg==">CgMxLjAyDmgubTRzdXB1c3VudW8wMg5oLjVieTRrcnJlOWt3MTIOaC40MTVzdXYzMG9taGsyDmguOWxoYzFlaXcyazU3Mg5oLjF3MXhheHBzdmZnNjIOaC5kYndwaTZ1bnFmem0yDmgubHRqa3pybXBpMXRwMg5oLm03ajI3bXUwd3pwNTIOaC5haXh4bzdpZG9weWkyDWguMnN0M2M3MWx2NjkyDmgudzF4M3B4cXdoZHZ5Mg5oLnJ2MXU2bTY3dnp2NzIOaC5jc2UzM3NuamhleGk4AHIhMWZzRHRfN3RhbjVsMEo3QlFDUlVFS1JIYmZtN255a3k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C772F4-E1A2-411B-B310-06C89C8F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5290</Words>
  <Characters>29099</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2026-03-20T21:25:00Z</cp:lastPrinted>
  <dcterms:created xsi:type="dcterms:W3CDTF">2026-03-20T21:25:00Z</dcterms:created>
  <dcterms:modified xsi:type="dcterms:W3CDTF">2026-03-20T21:25:00Z</dcterms:modified>
</cp:coreProperties>
</file>