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B26" w:rsidRDefault="000D3B26">
      <w:pPr>
        <w:widowControl w:val="0"/>
        <w:pBdr>
          <w:top w:val="nil"/>
          <w:left w:val="nil"/>
          <w:bottom w:val="nil"/>
          <w:right w:val="nil"/>
          <w:between w:val="nil"/>
        </w:pBdr>
        <w:spacing w:line="276" w:lineRule="auto"/>
      </w:pPr>
    </w:p>
    <w:p w:rsidR="000D3B26" w:rsidRPr="001135A8" w:rsidRDefault="00DF0FA8">
      <w:pPr>
        <w:tabs>
          <w:tab w:val="left" w:pos="3465"/>
        </w:tabs>
        <w:spacing w:line="360" w:lineRule="auto"/>
        <w:ind w:right="-787"/>
        <w:jc w:val="both"/>
        <w:rPr>
          <w:rFonts w:ascii="Palatino Linotype" w:eastAsia="Palatino Linotype" w:hAnsi="Palatino Linotype" w:cs="Palatino Linotype"/>
        </w:rPr>
      </w:pPr>
      <w:bookmarkStart w:id="0" w:name="_GoBack"/>
      <w:bookmarkEnd w:id="0"/>
      <w:r w:rsidRPr="001135A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A864CF">
        <w:rPr>
          <w:rFonts w:ascii="Palatino Linotype" w:eastAsia="Palatino Linotype" w:hAnsi="Palatino Linotype" w:cs="Palatino Linotype"/>
        </w:rPr>
        <w:t xml:space="preserve">veinticinco </w:t>
      </w:r>
      <w:r w:rsidR="00314464" w:rsidRPr="001135A8">
        <w:rPr>
          <w:rFonts w:ascii="Palatino Linotype" w:eastAsia="Palatino Linotype" w:hAnsi="Palatino Linotype" w:cs="Palatino Linotype"/>
        </w:rPr>
        <w:t>de marzo de dos mil veintiséis</w:t>
      </w:r>
      <w:r w:rsidRPr="001135A8">
        <w:rPr>
          <w:rFonts w:ascii="Palatino Linotype" w:eastAsia="Palatino Linotype" w:hAnsi="Palatino Linotype" w:cs="Palatino Linotype"/>
        </w:rPr>
        <w:t>.</w:t>
      </w:r>
    </w:p>
    <w:p w:rsidR="000D3B26" w:rsidRPr="001135A8" w:rsidRDefault="000D3B26">
      <w:pPr>
        <w:tabs>
          <w:tab w:val="left" w:pos="3465"/>
        </w:tabs>
        <w:spacing w:line="360" w:lineRule="auto"/>
        <w:ind w:right="-787"/>
        <w:jc w:val="both"/>
        <w:rPr>
          <w:rFonts w:ascii="Palatino Linotype" w:eastAsia="Palatino Linotype" w:hAnsi="Palatino Linotype" w:cs="Palatino Linotype"/>
        </w:rPr>
      </w:pPr>
    </w:p>
    <w:p w:rsidR="000D3B26" w:rsidRPr="001135A8" w:rsidRDefault="00DF0FA8">
      <w:pPr>
        <w:spacing w:line="360" w:lineRule="auto"/>
        <w:ind w:right="-787"/>
        <w:jc w:val="both"/>
        <w:rPr>
          <w:rFonts w:ascii="Palatino Linotype" w:eastAsia="Palatino Linotype" w:hAnsi="Palatino Linotype" w:cs="Palatino Linotype"/>
        </w:rPr>
      </w:pPr>
      <w:r w:rsidRPr="001135A8">
        <w:rPr>
          <w:rFonts w:ascii="Palatino Linotype" w:eastAsia="Palatino Linotype" w:hAnsi="Palatino Linotype" w:cs="Palatino Linotype"/>
          <w:b/>
        </w:rPr>
        <w:t xml:space="preserve">VISTAS </w:t>
      </w:r>
      <w:r w:rsidRPr="001135A8">
        <w:rPr>
          <w:rFonts w:ascii="Palatino Linotype" w:eastAsia="Palatino Linotype" w:hAnsi="Palatino Linotype" w:cs="Palatino Linotype"/>
        </w:rPr>
        <w:t xml:space="preserve">las constancias para resolver </w:t>
      </w:r>
      <w:r w:rsidRPr="001135A8">
        <w:rPr>
          <w:rFonts w:ascii="Palatino Linotype" w:eastAsia="Palatino Linotype" w:hAnsi="Palatino Linotype" w:cs="Palatino Linotype"/>
          <w:color w:val="000000"/>
        </w:rPr>
        <w:t xml:space="preserve">el Recurso de Revisión </w:t>
      </w:r>
      <w:r w:rsidR="00062795" w:rsidRPr="001135A8">
        <w:rPr>
          <w:rFonts w:ascii="Palatino Linotype" w:eastAsia="Palatino Linotype" w:hAnsi="Palatino Linotype" w:cs="Palatino Linotype"/>
          <w:b/>
          <w:color w:val="000000"/>
        </w:rPr>
        <w:t>09793</w:t>
      </w:r>
      <w:r w:rsidRPr="001135A8">
        <w:rPr>
          <w:rFonts w:ascii="Palatino Linotype" w:eastAsia="Palatino Linotype" w:hAnsi="Palatino Linotype" w:cs="Palatino Linotype"/>
          <w:b/>
          <w:color w:val="000000"/>
        </w:rPr>
        <w:t>/INFOEM/IP/RR/2025</w:t>
      </w:r>
      <w:r w:rsidRPr="001135A8">
        <w:rPr>
          <w:rFonts w:ascii="Palatino Linotype" w:eastAsia="Palatino Linotype" w:hAnsi="Palatino Linotype" w:cs="Palatino Linotype"/>
          <w:color w:val="000000"/>
        </w:rPr>
        <w:t>, promovido</w:t>
      </w:r>
      <w:r w:rsidR="00A864CF">
        <w:rPr>
          <w:rFonts w:ascii="Palatino Linotype" w:eastAsia="Palatino Linotype" w:hAnsi="Palatino Linotype" w:cs="Palatino Linotype"/>
          <w:color w:val="000000"/>
        </w:rPr>
        <w:t xml:space="preserve"> por</w:t>
      </w:r>
      <w:r w:rsidRPr="001135A8">
        <w:rPr>
          <w:rFonts w:ascii="Palatino Linotype" w:eastAsia="Palatino Linotype" w:hAnsi="Palatino Linotype" w:cs="Palatino Linotype"/>
          <w:color w:val="000000"/>
        </w:rPr>
        <w:t xml:space="preserve"> </w:t>
      </w:r>
      <w:r w:rsidR="00815119">
        <w:rPr>
          <w:rFonts w:ascii="Palatino Linotype" w:eastAsia="Palatino Linotype" w:hAnsi="Palatino Linotype" w:cs="Palatino Linotype"/>
          <w:b/>
          <w:color w:val="000000"/>
          <w:szCs w:val="22"/>
        </w:rPr>
        <w:t>XXXX</w:t>
      </w:r>
      <w:r w:rsidRPr="001135A8">
        <w:rPr>
          <w:rFonts w:ascii="Palatino Linotype" w:eastAsia="Palatino Linotype" w:hAnsi="Palatino Linotype" w:cs="Palatino Linotype"/>
          <w:color w:val="000000"/>
        </w:rPr>
        <w:t>,</w:t>
      </w:r>
      <w:r w:rsidRPr="001135A8">
        <w:rPr>
          <w:rFonts w:ascii="Palatino Linotype" w:eastAsia="Palatino Linotype" w:hAnsi="Palatino Linotype" w:cs="Palatino Linotype"/>
        </w:rPr>
        <w:t xml:space="preserve"> en lo sucesivo </w:t>
      </w:r>
      <w:r w:rsidRPr="001135A8">
        <w:rPr>
          <w:rFonts w:ascii="Palatino Linotype" w:eastAsia="Palatino Linotype" w:hAnsi="Palatino Linotype" w:cs="Palatino Linotype"/>
          <w:b/>
        </w:rPr>
        <w:t>EL RECURRENTE</w:t>
      </w:r>
      <w:r w:rsidRPr="001135A8">
        <w:rPr>
          <w:rFonts w:ascii="Palatino Linotype" w:eastAsia="Palatino Linotype" w:hAnsi="Palatino Linotype" w:cs="Palatino Linotype"/>
        </w:rPr>
        <w:t xml:space="preserve">, en contra de la respuesta otorgada a la solicitud de información </w:t>
      </w:r>
      <w:r w:rsidR="00062795" w:rsidRPr="001135A8">
        <w:rPr>
          <w:rFonts w:ascii="Palatino Linotype" w:eastAsia="Palatino Linotype" w:hAnsi="Palatino Linotype" w:cs="Palatino Linotype"/>
          <w:b/>
        </w:rPr>
        <w:t>00278/METEPEC/IP/2025</w:t>
      </w:r>
      <w:r w:rsidR="009A3211" w:rsidRPr="001135A8">
        <w:rPr>
          <w:rFonts w:ascii="Palatino Linotype" w:eastAsia="Palatino Linotype" w:hAnsi="Palatino Linotype" w:cs="Palatino Linotype"/>
          <w:b/>
        </w:rPr>
        <w:t>,</w:t>
      </w:r>
      <w:r w:rsidR="009A3211" w:rsidRPr="001135A8">
        <w:rPr>
          <w:rFonts w:ascii="Palatino Linotype" w:eastAsia="Palatino Linotype" w:hAnsi="Palatino Linotype" w:cs="Palatino Linotype"/>
        </w:rPr>
        <w:t xml:space="preserve"> por parte del</w:t>
      </w:r>
      <w:r w:rsidRPr="001135A8">
        <w:rPr>
          <w:rFonts w:ascii="Palatino Linotype" w:eastAsia="Palatino Linotype" w:hAnsi="Palatino Linotype" w:cs="Palatino Linotype"/>
        </w:rPr>
        <w:t xml:space="preserve"> </w:t>
      </w:r>
      <w:r w:rsidR="00062795" w:rsidRPr="001135A8">
        <w:rPr>
          <w:rFonts w:ascii="Palatino Linotype" w:eastAsia="Palatino Linotype" w:hAnsi="Palatino Linotype" w:cs="Palatino Linotype"/>
          <w:b/>
        </w:rPr>
        <w:t>Ayuntamiento de Metepec</w:t>
      </w:r>
      <w:r w:rsidRPr="001135A8">
        <w:rPr>
          <w:rFonts w:ascii="Palatino Linotype" w:eastAsia="Palatino Linotype" w:hAnsi="Palatino Linotype" w:cs="Palatino Linotype"/>
          <w:b/>
        </w:rPr>
        <w:t xml:space="preserve">, </w:t>
      </w:r>
      <w:r w:rsidRPr="001135A8">
        <w:rPr>
          <w:rFonts w:ascii="Palatino Linotype" w:eastAsia="Palatino Linotype" w:hAnsi="Palatino Linotype" w:cs="Palatino Linotype"/>
        </w:rPr>
        <w:t xml:space="preserve">en adelante el </w:t>
      </w:r>
      <w:r w:rsidRPr="001135A8">
        <w:rPr>
          <w:rFonts w:ascii="Palatino Linotype" w:eastAsia="Palatino Linotype" w:hAnsi="Palatino Linotype" w:cs="Palatino Linotype"/>
          <w:b/>
        </w:rPr>
        <w:t>SUJETO OBLIGADO</w:t>
      </w:r>
      <w:r w:rsidRPr="001135A8">
        <w:rPr>
          <w:rFonts w:ascii="Palatino Linotype" w:eastAsia="Palatino Linotype" w:hAnsi="Palatino Linotype" w:cs="Palatino Linotype"/>
        </w:rPr>
        <w:t xml:space="preserve">, se emite la presente resolución con base en los siguientes: </w:t>
      </w:r>
      <w:r w:rsidR="00FF261B" w:rsidRPr="001135A8">
        <w:rPr>
          <w:rFonts w:ascii="Palatino Linotype" w:eastAsia="Palatino Linotype" w:hAnsi="Palatino Linotype" w:cs="Palatino Linotype"/>
        </w:rPr>
        <w:t xml:space="preserve"> </w:t>
      </w:r>
    </w:p>
    <w:p w:rsidR="000D3B26" w:rsidRPr="001135A8" w:rsidRDefault="000D3B26">
      <w:pPr>
        <w:spacing w:line="360" w:lineRule="auto"/>
        <w:ind w:right="-787"/>
        <w:jc w:val="both"/>
        <w:rPr>
          <w:rFonts w:ascii="Palatino Linotype" w:eastAsia="Palatino Linotype" w:hAnsi="Palatino Linotype" w:cs="Palatino Linotype"/>
        </w:rPr>
      </w:pPr>
    </w:p>
    <w:p w:rsidR="000D3B26" w:rsidRPr="001135A8" w:rsidRDefault="00DF0FA8">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gjdgxs" w:colFirst="0" w:colLast="0"/>
      <w:bookmarkEnd w:id="1"/>
      <w:r w:rsidRPr="001135A8">
        <w:rPr>
          <w:rFonts w:ascii="Palatino Linotype" w:eastAsia="Palatino Linotype" w:hAnsi="Palatino Linotype" w:cs="Palatino Linotype"/>
          <w:b/>
          <w:color w:val="000000"/>
          <w:sz w:val="24"/>
          <w:szCs w:val="24"/>
        </w:rPr>
        <w:t>A N T E C E D E N T E S</w:t>
      </w:r>
    </w:p>
    <w:p w:rsidR="000D3B26" w:rsidRPr="001135A8" w:rsidRDefault="000D3B26">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0D3B26" w:rsidRPr="001135A8"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 xml:space="preserve">El </w:t>
      </w:r>
      <w:r w:rsidR="00062795" w:rsidRPr="001135A8">
        <w:rPr>
          <w:rFonts w:ascii="Palatino Linotype" w:eastAsia="Palatino Linotype" w:hAnsi="Palatino Linotype" w:cs="Palatino Linotype"/>
          <w:b/>
          <w:color w:val="000000"/>
        </w:rPr>
        <w:t>ocho de julio</w:t>
      </w:r>
      <w:r w:rsidRPr="001135A8">
        <w:rPr>
          <w:rFonts w:ascii="Palatino Linotype" w:eastAsia="Palatino Linotype" w:hAnsi="Palatino Linotype" w:cs="Palatino Linotype"/>
          <w:b/>
          <w:color w:val="000000"/>
        </w:rPr>
        <w:t xml:space="preserve"> de dos mil veinticinco</w:t>
      </w:r>
      <w:r w:rsidRPr="001135A8">
        <w:rPr>
          <w:rFonts w:ascii="Palatino Linotype" w:eastAsia="Palatino Linotype" w:hAnsi="Palatino Linotype" w:cs="Palatino Linotype"/>
          <w:color w:val="000000"/>
        </w:rPr>
        <w:t>,</w:t>
      </w:r>
      <w:r w:rsidRPr="001135A8">
        <w:rPr>
          <w:rFonts w:ascii="Palatino Linotype" w:eastAsia="Palatino Linotype" w:hAnsi="Palatino Linotype" w:cs="Palatino Linotype"/>
          <w:b/>
          <w:color w:val="000000"/>
        </w:rPr>
        <w:t xml:space="preserve"> </w:t>
      </w:r>
      <w:r w:rsidRPr="001135A8">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1135A8">
        <w:rPr>
          <w:rFonts w:ascii="Palatino Linotype" w:eastAsia="Palatino Linotype" w:hAnsi="Palatino Linotype" w:cs="Palatino Linotype"/>
          <w:b/>
          <w:color w:val="000000"/>
        </w:rPr>
        <w:t>solicitud de información pública</w:t>
      </w:r>
      <w:r w:rsidRPr="001135A8">
        <w:rPr>
          <w:rFonts w:ascii="Palatino Linotype" w:eastAsia="Palatino Linotype" w:hAnsi="Palatino Linotype" w:cs="Palatino Linotype"/>
          <w:color w:val="000000"/>
        </w:rPr>
        <w:t>:</w:t>
      </w:r>
    </w:p>
    <w:p w:rsidR="000D3B26" w:rsidRPr="001135A8" w:rsidRDefault="000D3B26">
      <w:pPr>
        <w:pBdr>
          <w:top w:val="nil"/>
          <w:left w:val="nil"/>
          <w:bottom w:val="nil"/>
          <w:right w:val="nil"/>
          <w:between w:val="nil"/>
        </w:pBdr>
        <w:ind w:right="-788"/>
        <w:jc w:val="both"/>
        <w:rPr>
          <w:rFonts w:ascii="Palatino Linotype" w:eastAsia="Palatino Linotype" w:hAnsi="Palatino Linotype" w:cs="Palatino Linotype"/>
          <w:color w:val="000000"/>
        </w:rPr>
      </w:pPr>
    </w:p>
    <w:p w:rsidR="000D3B26" w:rsidRPr="001135A8" w:rsidRDefault="00DF0FA8">
      <w:pPr>
        <w:pBdr>
          <w:top w:val="nil"/>
          <w:left w:val="nil"/>
          <w:bottom w:val="nil"/>
          <w:right w:val="nil"/>
          <w:between w:val="nil"/>
        </w:pBdr>
        <w:ind w:left="426" w:right="-788"/>
        <w:jc w:val="both"/>
        <w:rPr>
          <w:rFonts w:ascii="Palatino Linotype" w:eastAsia="Palatino Linotype" w:hAnsi="Palatino Linotype" w:cs="Palatino Linotype"/>
          <w:i/>
          <w:color w:val="000000"/>
        </w:rPr>
      </w:pPr>
      <w:r w:rsidRPr="001135A8">
        <w:rPr>
          <w:rFonts w:ascii="Palatino Linotype" w:eastAsia="Palatino Linotype" w:hAnsi="Palatino Linotype" w:cs="Palatino Linotype"/>
          <w:i/>
          <w:color w:val="000000"/>
        </w:rPr>
        <w:t xml:space="preserve"> “</w:t>
      </w:r>
      <w:r w:rsidR="00062795" w:rsidRPr="001135A8">
        <w:rPr>
          <w:rFonts w:ascii="Palatino Linotype" w:eastAsia="Palatino Linotype" w:hAnsi="Palatino Linotype" w:cs="Palatino Linotype"/>
          <w:i/>
          <w:color w:val="000000"/>
        </w:rPr>
        <w:t>solicito copia simple digitalizada a través del sistema electrónico saimex de los comprobantes de pago mediante cheque o transferencia electronica interbancaria con recursos publicos de la partida presupuestal 3251 realizados del 1 de enero de 2024 al 30 de junio de 2025.</w:t>
      </w:r>
      <w:r w:rsidRPr="001135A8">
        <w:rPr>
          <w:rFonts w:ascii="Palatino Linotype" w:eastAsia="Palatino Linotype" w:hAnsi="Palatino Linotype" w:cs="Palatino Linotype"/>
          <w:i/>
          <w:color w:val="000000"/>
        </w:rPr>
        <w:t>” (Sic)</w:t>
      </w:r>
    </w:p>
    <w:p w:rsidR="000D3B26" w:rsidRPr="001135A8" w:rsidRDefault="000D3B26">
      <w:pPr>
        <w:pBdr>
          <w:top w:val="nil"/>
          <w:left w:val="nil"/>
          <w:bottom w:val="nil"/>
          <w:right w:val="nil"/>
          <w:between w:val="nil"/>
        </w:pBdr>
        <w:ind w:right="-787"/>
        <w:jc w:val="both"/>
        <w:rPr>
          <w:rFonts w:ascii="Palatino Linotype" w:eastAsia="Palatino Linotype" w:hAnsi="Palatino Linotype" w:cs="Palatino Linotype"/>
          <w:i/>
          <w:color w:val="000000"/>
        </w:rPr>
      </w:pPr>
    </w:p>
    <w:p w:rsidR="000D3B26" w:rsidRPr="001135A8" w:rsidRDefault="00DF0FA8">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 xml:space="preserve">Se eligió como modalidad de entrega de la información: A través del </w:t>
      </w:r>
      <w:r w:rsidRPr="001135A8">
        <w:rPr>
          <w:rFonts w:ascii="Palatino Linotype" w:eastAsia="Palatino Linotype" w:hAnsi="Palatino Linotype" w:cs="Palatino Linotype"/>
          <w:b/>
          <w:color w:val="000000"/>
        </w:rPr>
        <w:t>SAIMEX.</w:t>
      </w:r>
    </w:p>
    <w:p w:rsidR="000D3B26" w:rsidRPr="001135A8"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0D3B26" w:rsidRPr="001135A8"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El</w:t>
      </w:r>
      <w:r w:rsidRPr="001135A8">
        <w:rPr>
          <w:rFonts w:ascii="Palatino Linotype" w:eastAsia="Palatino Linotype" w:hAnsi="Palatino Linotype" w:cs="Palatino Linotype"/>
          <w:b/>
          <w:color w:val="000000"/>
        </w:rPr>
        <w:t xml:space="preserve"> </w:t>
      </w:r>
      <w:r w:rsidR="00885D84" w:rsidRPr="001135A8">
        <w:rPr>
          <w:rFonts w:ascii="Palatino Linotype" w:eastAsia="Palatino Linotype" w:hAnsi="Palatino Linotype" w:cs="Palatino Linotype"/>
          <w:b/>
          <w:color w:val="000000"/>
        </w:rPr>
        <w:t>doce de agosto</w:t>
      </w:r>
      <w:r w:rsidRPr="001135A8">
        <w:rPr>
          <w:rFonts w:ascii="Palatino Linotype" w:eastAsia="Palatino Linotype" w:hAnsi="Palatino Linotype" w:cs="Palatino Linotype"/>
          <w:b/>
          <w:color w:val="000000"/>
        </w:rPr>
        <w:t xml:space="preserve"> de dos mil veinticinco</w:t>
      </w:r>
      <w:r w:rsidRPr="001135A8">
        <w:rPr>
          <w:rFonts w:ascii="Palatino Linotype" w:eastAsia="Palatino Linotype" w:hAnsi="Palatino Linotype" w:cs="Palatino Linotype"/>
          <w:color w:val="000000"/>
        </w:rPr>
        <w:t>, el Sujeto Obligado</w:t>
      </w:r>
      <w:r w:rsidRPr="001135A8">
        <w:rPr>
          <w:rFonts w:ascii="Palatino Linotype" w:eastAsia="Palatino Linotype" w:hAnsi="Palatino Linotype" w:cs="Palatino Linotype"/>
          <w:b/>
          <w:color w:val="000000"/>
        </w:rPr>
        <w:t>,</w:t>
      </w:r>
      <w:r w:rsidRPr="001135A8">
        <w:rPr>
          <w:rFonts w:ascii="Palatino Linotype" w:eastAsia="Palatino Linotype" w:hAnsi="Palatino Linotype" w:cs="Palatino Linotype"/>
          <w:color w:val="000000"/>
        </w:rPr>
        <w:t xml:space="preserve"> dio </w:t>
      </w:r>
      <w:r w:rsidRPr="001135A8">
        <w:rPr>
          <w:rFonts w:ascii="Palatino Linotype" w:eastAsia="Palatino Linotype" w:hAnsi="Palatino Linotype" w:cs="Palatino Linotype"/>
          <w:b/>
          <w:color w:val="000000"/>
        </w:rPr>
        <w:t>respuesta</w:t>
      </w:r>
      <w:r w:rsidRPr="001135A8">
        <w:rPr>
          <w:rFonts w:ascii="Palatino Linotype" w:eastAsia="Palatino Linotype" w:hAnsi="Palatino Linotype" w:cs="Palatino Linotype"/>
          <w:color w:val="000000"/>
        </w:rPr>
        <w:t xml:space="preserve"> a través </w:t>
      </w:r>
      <w:r w:rsidR="00885D84" w:rsidRPr="001135A8">
        <w:rPr>
          <w:rFonts w:ascii="Palatino Linotype" w:eastAsia="Palatino Linotype" w:hAnsi="Palatino Linotype" w:cs="Palatino Linotype"/>
          <w:color w:val="000000"/>
        </w:rPr>
        <w:t>del</w:t>
      </w:r>
      <w:r w:rsidR="006760B4" w:rsidRPr="001135A8">
        <w:rPr>
          <w:rFonts w:ascii="Palatino Linotype" w:eastAsia="Palatino Linotype" w:hAnsi="Palatino Linotype" w:cs="Palatino Linotype"/>
          <w:color w:val="000000"/>
        </w:rPr>
        <w:t xml:space="preserve"> </w:t>
      </w:r>
      <w:r w:rsidRPr="001135A8">
        <w:rPr>
          <w:rFonts w:ascii="Palatino Linotype" w:eastAsia="Palatino Linotype" w:hAnsi="Palatino Linotype" w:cs="Palatino Linotype"/>
          <w:color w:val="000000"/>
        </w:rPr>
        <w:t>siguiente archivo electrónico</w:t>
      </w:r>
      <w:r w:rsidRPr="001135A8">
        <w:rPr>
          <w:rFonts w:ascii="Palatino Linotype" w:eastAsia="Palatino Linotype" w:hAnsi="Palatino Linotype" w:cs="Palatino Linotype"/>
          <w:b/>
          <w:i/>
          <w:color w:val="000000"/>
        </w:rPr>
        <w:t>:</w:t>
      </w:r>
    </w:p>
    <w:p w:rsidR="000D3B26" w:rsidRPr="001135A8" w:rsidRDefault="000D3B26">
      <w:pPr>
        <w:pBdr>
          <w:top w:val="nil"/>
          <w:left w:val="nil"/>
          <w:bottom w:val="nil"/>
          <w:right w:val="nil"/>
          <w:between w:val="nil"/>
        </w:pBdr>
        <w:tabs>
          <w:tab w:val="left" w:pos="567"/>
        </w:tabs>
        <w:ind w:right="62"/>
        <w:jc w:val="both"/>
        <w:rPr>
          <w:rFonts w:ascii="Palatino Linotype" w:eastAsia="Palatino Linotype" w:hAnsi="Palatino Linotype" w:cs="Palatino Linotype"/>
          <w:b/>
          <w:sz w:val="22"/>
          <w:szCs w:val="22"/>
        </w:rPr>
      </w:pPr>
    </w:p>
    <w:p w:rsidR="00542102" w:rsidRPr="001135A8" w:rsidRDefault="00542102" w:rsidP="00C92208">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5E20F5" w:rsidRPr="001135A8" w:rsidRDefault="00885D84" w:rsidP="00A4069B">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1135A8">
        <w:rPr>
          <w:rFonts w:ascii="Palatino Linotype" w:eastAsia="Palatino Linotype" w:hAnsi="Palatino Linotype" w:cs="Palatino Linotype"/>
          <w:b/>
          <w:i/>
          <w:color w:val="000000"/>
          <w:sz w:val="22"/>
          <w:szCs w:val="22"/>
        </w:rPr>
        <w:t>Sol. 278 FIRMADO.pdf</w:t>
      </w:r>
    </w:p>
    <w:p w:rsidR="00930169" w:rsidRPr="001135A8" w:rsidRDefault="00A8707D" w:rsidP="00A4069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Oficio TM/1444/2025 de fecha 11 de agosto de 2025, firmado por el Tesorero Municipal, </w:t>
      </w:r>
      <w:r w:rsidR="003D612D" w:rsidRPr="001135A8">
        <w:rPr>
          <w:rFonts w:ascii="Palatino Linotype" w:eastAsia="Palatino Linotype" w:hAnsi="Palatino Linotype" w:cs="Palatino Linotype"/>
          <w:color w:val="000000"/>
          <w:sz w:val="22"/>
          <w:szCs w:val="22"/>
        </w:rPr>
        <w:t>a través del cual refiere que derivado de una búsqueda exhaustiva y razonable en los archivos de esta Tesorería Municipal y se informa lo siguiente:</w:t>
      </w:r>
    </w:p>
    <w:p w:rsidR="003D612D" w:rsidRPr="001135A8" w:rsidRDefault="003D612D" w:rsidP="00A4069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3D612D" w:rsidRPr="001135A8" w:rsidRDefault="003D612D" w:rsidP="003D612D">
      <w:pPr>
        <w:pBdr>
          <w:top w:val="nil"/>
          <w:left w:val="nil"/>
          <w:bottom w:val="nil"/>
          <w:right w:val="nil"/>
          <w:between w:val="nil"/>
        </w:pBdr>
        <w:tabs>
          <w:tab w:val="left" w:pos="426"/>
        </w:tabs>
        <w:ind w:left="567" w:right="-787"/>
        <w:jc w:val="both"/>
        <w:rPr>
          <w:rFonts w:ascii="Palatino Linotype" w:eastAsia="Palatino Linotype" w:hAnsi="Palatino Linotype" w:cs="Palatino Linotype"/>
          <w:i/>
          <w:color w:val="000000"/>
          <w:sz w:val="22"/>
          <w:szCs w:val="22"/>
        </w:rPr>
      </w:pPr>
      <w:r w:rsidRPr="001135A8">
        <w:rPr>
          <w:rFonts w:ascii="Palatino Linotype" w:eastAsia="Palatino Linotype" w:hAnsi="Palatino Linotype" w:cs="Palatino Linotype"/>
          <w:i/>
          <w:color w:val="000000"/>
          <w:sz w:val="22"/>
          <w:szCs w:val="22"/>
        </w:rPr>
        <w:t>“</w:t>
      </w:r>
      <w:r w:rsidRPr="001135A8">
        <w:rPr>
          <w:rFonts w:ascii="Palatino Linotype" w:eastAsia="Palatino Linotype" w:hAnsi="Palatino Linotype" w:cs="Palatino Linotype"/>
          <w:b/>
          <w:i/>
          <w:color w:val="000000"/>
          <w:sz w:val="22"/>
          <w:szCs w:val="22"/>
        </w:rPr>
        <w:t>El monto devengado de la partida 3251 del año fiscal 2024, se encuentra debidamente publicado conforme a lo dispuesto en los artículos 56 al 58 de la Ley General de Contabilidad Gubernamental</w:t>
      </w:r>
      <w:r w:rsidRPr="001135A8">
        <w:rPr>
          <w:rFonts w:ascii="Palatino Linotype" w:eastAsia="Palatino Linotype" w:hAnsi="Palatino Linotype" w:cs="Palatino Linotype"/>
          <w:i/>
          <w:color w:val="000000"/>
          <w:sz w:val="22"/>
          <w:szCs w:val="22"/>
        </w:rPr>
        <w:t xml:space="preserve">, en el cual se enmarca la obligación de publicar Información Financiera para conocimiento público. Y con la finalidad de simplificar la búsqueda, a efecto de que la misma sea precisa y concreta, se le proporciona el enlace en el que puede llevar a cabo la consulta y reproducción de la información dentro de la página del Ayuntamiento de Metepec en el siguiente link” </w:t>
      </w:r>
      <w:r w:rsidRPr="001135A8">
        <w:rPr>
          <w:rFonts w:ascii="Palatino Linotype" w:eastAsia="Palatino Linotype" w:hAnsi="Palatino Linotype" w:cs="Palatino Linotype"/>
          <w:color w:val="000000"/>
          <w:sz w:val="22"/>
          <w:szCs w:val="22"/>
        </w:rPr>
        <w:t>(proporcionado en formato cerrado)</w:t>
      </w:r>
      <w:r w:rsidRPr="001135A8">
        <w:rPr>
          <w:rFonts w:ascii="Palatino Linotype" w:eastAsia="Palatino Linotype" w:hAnsi="Palatino Linotype" w:cs="Palatino Linotype"/>
          <w:i/>
          <w:color w:val="000000"/>
          <w:sz w:val="22"/>
          <w:szCs w:val="22"/>
        </w:rPr>
        <w:t>:</w:t>
      </w:r>
    </w:p>
    <w:p w:rsidR="003D612D" w:rsidRPr="001135A8" w:rsidRDefault="003D612D" w:rsidP="00A4069B">
      <w:pPr>
        <w:pBdr>
          <w:top w:val="nil"/>
          <w:left w:val="nil"/>
          <w:bottom w:val="nil"/>
          <w:right w:val="nil"/>
          <w:between w:val="nil"/>
        </w:pBdr>
        <w:tabs>
          <w:tab w:val="left" w:pos="426"/>
        </w:tabs>
        <w:ind w:left="567" w:right="-787"/>
        <w:jc w:val="both"/>
        <w:rPr>
          <w:rFonts w:ascii="Palatino Linotype" w:eastAsia="Palatino Linotype" w:hAnsi="Palatino Linotype" w:cs="Palatino Linotype"/>
          <w:i/>
          <w:color w:val="000000"/>
          <w:sz w:val="22"/>
          <w:szCs w:val="22"/>
        </w:rPr>
      </w:pPr>
      <w:r w:rsidRPr="001135A8">
        <w:rPr>
          <w:rFonts w:ascii="Palatino Linotype" w:eastAsia="Palatino Linotype" w:hAnsi="Palatino Linotype" w:cs="Palatino Linotype"/>
          <w:i/>
          <w:noProof/>
          <w:color w:val="000000"/>
          <w:sz w:val="22"/>
          <w:szCs w:val="22"/>
          <w:lang w:val="es-MX"/>
        </w:rPr>
        <w:drawing>
          <wp:inline distT="0" distB="0" distL="0" distR="0" wp14:anchorId="1CBB93AB" wp14:editId="64C13C9E">
            <wp:extent cx="4315427" cy="400106"/>
            <wp:effectExtent l="152400" t="152400" r="35242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5427" cy="400106"/>
                    </a:xfrm>
                    <a:prstGeom prst="rect">
                      <a:avLst/>
                    </a:prstGeom>
                    <a:ln>
                      <a:noFill/>
                    </a:ln>
                    <a:effectLst>
                      <a:outerShdw blurRad="292100" dist="139700" dir="2700000" algn="tl" rotWithShape="0">
                        <a:srgbClr val="333333">
                          <a:alpha val="65000"/>
                        </a:srgbClr>
                      </a:outerShdw>
                    </a:effectLst>
                  </pic:spPr>
                </pic:pic>
              </a:graphicData>
            </a:graphic>
          </wp:inline>
        </w:drawing>
      </w:r>
    </w:p>
    <w:p w:rsidR="003D612D" w:rsidRPr="001135A8" w:rsidRDefault="003D612D" w:rsidP="00A4069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Señalando las indicaciones de consulta agregando capturas de pantalla</w:t>
      </w:r>
    </w:p>
    <w:p w:rsidR="003D612D" w:rsidRPr="001135A8" w:rsidRDefault="003D612D" w:rsidP="00A4069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0D3B26" w:rsidRPr="001135A8" w:rsidRDefault="000D3B26" w:rsidP="00DE3652">
      <w:pPr>
        <w:pBdr>
          <w:top w:val="nil"/>
          <w:left w:val="nil"/>
          <w:bottom w:val="nil"/>
          <w:right w:val="nil"/>
          <w:between w:val="nil"/>
        </w:pBdr>
        <w:tabs>
          <w:tab w:val="left" w:pos="0"/>
        </w:tabs>
        <w:ind w:right="-787"/>
        <w:jc w:val="both"/>
        <w:rPr>
          <w:rFonts w:ascii="Palatino Linotype" w:eastAsia="Palatino Linotype" w:hAnsi="Palatino Linotype" w:cs="Palatino Linotype"/>
          <w:i/>
          <w:color w:val="000000"/>
        </w:rPr>
      </w:pPr>
    </w:p>
    <w:p w:rsidR="000D3B26" w:rsidRPr="001135A8" w:rsidRDefault="00DF0FA8" w:rsidP="00DE365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El</w:t>
      </w:r>
      <w:r w:rsidRPr="001135A8">
        <w:rPr>
          <w:rFonts w:ascii="Palatino Linotype" w:eastAsia="Palatino Linotype" w:hAnsi="Palatino Linotype" w:cs="Palatino Linotype"/>
          <w:b/>
          <w:color w:val="000000"/>
        </w:rPr>
        <w:t xml:space="preserve"> </w:t>
      </w:r>
      <w:r w:rsidR="003D612D" w:rsidRPr="001135A8">
        <w:rPr>
          <w:rFonts w:ascii="Palatino Linotype" w:eastAsia="Palatino Linotype" w:hAnsi="Palatino Linotype" w:cs="Palatino Linotype"/>
          <w:b/>
          <w:color w:val="000000"/>
        </w:rPr>
        <w:t>veinte de agosto</w:t>
      </w:r>
      <w:r w:rsidRPr="001135A8">
        <w:rPr>
          <w:rFonts w:ascii="Palatino Linotype" w:eastAsia="Palatino Linotype" w:hAnsi="Palatino Linotype" w:cs="Palatino Linotype"/>
          <w:b/>
          <w:color w:val="000000"/>
        </w:rPr>
        <w:t xml:space="preserve"> de dos mil veinticinco</w:t>
      </w:r>
      <w:r w:rsidRPr="001135A8">
        <w:rPr>
          <w:rFonts w:ascii="Palatino Linotype" w:eastAsia="Palatino Linotype" w:hAnsi="Palatino Linotype" w:cs="Palatino Linotype"/>
          <w:color w:val="000000"/>
        </w:rPr>
        <w:t xml:space="preserve">, el particular interpuso el </w:t>
      </w:r>
      <w:r w:rsidRPr="001135A8">
        <w:rPr>
          <w:rFonts w:ascii="Palatino Linotype" w:eastAsia="Palatino Linotype" w:hAnsi="Palatino Linotype" w:cs="Palatino Linotype"/>
          <w:b/>
          <w:color w:val="000000"/>
        </w:rPr>
        <w:t>recurso de revisión</w:t>
      </w:r>
      <w:r w:rsidRPr="001135A8">
        <w:rPr>
          <w:rFonts w:ascii="Palatino Linotype" w:eastAsia="Palatino Linotype" w:hAnsi="Palatino Linotype" w:cs="Palatino Linotype"/>
          <w:color w:val="000000"/>
        </w:rPr>
        <w:t xml:space="preserve"> al que se le asignó el folio </w:t>
      </w:r>
      <w:r w:rsidR="003D612D" w:rsidRPr="001135A8">
        <w:rPr>
          <w:rFonts w:ascii="Palatino Linotype" w:eastAsia="Palatino Linotype" w:hAnsi="Palatino Linotype" w:cs="Palatino Linotype"/>
          <w:b/>
          <w:color w:val="000000"/>
        </w:rPr>
        <w:t>09793</w:t>
      </w:r>
      <w:r w:rsidRPr="001135A8">
        <w:rPr>
          <w:rFonts w:ascii="Palatino Linotype" w:eastAsia="Palatino Linotype" w:hAnsi="Palatino Linotype" w:cs="Palatino Linotype"/>
          <w:b/>
          <w:color w:val="000000"/>
        </w:rPr>
        <w:t xml:space="preserve">/INFOEM/IP/RR/2025 </w:t>
      </w:r>
      <w:r w:rsidRPr="001135A8">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0D3B26" w:rsidRPr="001135A8" w:rsidRDefault="000D3B26">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p w:rsidR="000D3B26" w:rsidRPr="001135A8" w:rsidRDefault="00DF0FA8" w:rsidP="0032476C">
      <w:pPr>
        <w:pBdr>
          <w:top w:val="nil"/>
          <w:left w:val="nil"/>
          <w:bottom w:val="nil"/>
          <w:right w:val="nil"/>
          <w:between w:val="nil"/>
        </w:pBdr>
        <w:ind w:left="851" w:right="-149"/>
        <w:jc w:val="both"/>
        <w:rPr>
          <w:rFonts w:ascii="Palatino Linotype" w:eastAsia="Palatino Linotype" w:hAnsi="Palatino Linotype" w:cs="Palatino Linotype"/>
          <w:i/>
          <w:color w:val="000000"/>
          <w:sz w:val="22"/>
          <w:szCs w:val="22"/>
        </w:rPr>
      </w:pPr>
      <w:bookmarkStart w:id="2" w:name="_heading=h.30j0zll" w:colFirst="0" w:colLast="0"/>
      <w:bookmarkEnd w:id="2"/>
      <w:r w:rsidRPr="001135A8">
        <w:rPr>
          <w:rFonts w:ascii="Palatino Linotype" w:eastAsia="Palatino Linotype" w:hAnsi="Palatino Linotype" w:cs="Palatino Linotype"/>
          <w:b/>
          <w:color w:val="000000"/>
          <w:sz w:val="22"/>
          <w:szCs w:val="22"/>
        </w:rPr>
        <w:t xml:space="preserve">Acto impugnado: </w:t>
      </w:r>
      <w:r w:rsidRPr="001135A8">
        <w:rPr>
          <w:rFonts w:ascii="Palatino Linotype" w:eastAsia="Palatino Linotype" w:hAnsi="Palatino Linotype" w:cs="Palatino Linotype"/>
          <w:i/>
          <w:color w:val="000000"/>
          <w:sz w:val="22"/>
          <w:szCs w:val="22"/>
        </w:rPr>
        <w:t>“</w:t>
      </w:r>
      <w:r w:rsidR="000D1683" w:rsidRPr="001135A8">
        <w:rPr>
          <w:rFonts w:ascii="Palatino Linotype" w:eastAsia="Palatino Linotype" w:hAnsi="Palatino Linotype" w:cs="Palatino Linotype"/>
          <w:i/>
          <w:color w:val="000000"/>
          <w:sz w:val="22"/>
          <w:szCs w:val="22"/>
        </w:rPr>
        <w:t>RESPUESTA A LA SOLICITUD 00278/METEPEC/IP/2025</w:t>
      </w:r>
      <w:r w:rsidRPr="001135A8">
        <w:rPr>
          <w:rFonts w:ascii="Palatino Linotype" w:eastAsia="Palatino Linotype" w:hAnsi="Palatino Linotype" w:cs="Palatino Linotype"/>
          <w:i/>
          <w:color w:val="000000"/>
          <w:sz w:val="22"/>
          <w:szCs w:val="22"/>
        </w:rPr>
        <w:t>” (Sic)</w:t>
      </w:r>
    </w:p>
    <w:p w:rsidR="000D3B26" w:rsidRPr="001135A8" w:rsidRDefault="000D3B26" w:rsidP="0032476C">
      <w:pPr>
        <w:pBdr>
          <w:top w:val="nil"/>
          <w:left w:val="nil"/>
          <w:bottom w:val="nil"/>
          <w:right w:val="nil"/>
          <w:between w:val="nil"/>
        </w:pBdr>
        <w:ind w:left="851" w:right="-149"/>
        <w:jc w:val="both"/>
        <w:rPr>
          <w:rFonts w:ascii="Palatino Linotype" w:eastAsia="Palatino Linotype" w:hAnsi="Palatino Linotype" w:cs="Palatino Linotype"/>
          <w:i/>
          <w:color w:val="000000"/>
          <w:sz w:val="22"/>
          <w:szCs w:val="22"/>
        </w:rPr>
      </w:pPr>
    </w:p>
    <w:p w:rsidR="000D3B26" w:rsidRPr="001135A8" w:rsidRDefault="00DF0FA8" w:rsidP="0032476C">
      <w:pPr>
        <w:pBdr>
          <w:top w:val="nil"/>
          <w:left w:val="nil"/>
          <w:bottom w:val="nil"/>
          <w:right w:val="nil"/>
          <w:between w:val="nil"/>
        </w:pBdr>
        <w:ind w:left="851" w:right="-149"/>
        <w:jc w:val="both"/>
        <w:rPr>
          <w:rFonts w:ascii="Palatino Linotype" w:eastAsia="Palatino Linotype" w:hAnsi="Palatino Linotype" w:cs="Palatino Linotype"/>
          <w:i/>
          <w:color w:val="000000"/>
          <w:sz w:val="22"/>
          <w:szCs w:val="22"/>
        </w:rPr>
      </w:pPr>
      <w:bookmarkStart w:id="3" w:name="_heading=h.1fob9te" w:colFirst="0" w:colLast="0"/>
      <w:bookmarkEnd w:id="3"/>
      <w:r w:rsidRPr="001135A8">
        <w:rPr>
          <w:rFonts w:ascii="Palatino Linotype" w:eastAsia="Palatino Linotype" w:hAnsi="Palatino Linotype" w:cs="Palatino Linotype"/>
          <w:b/>
          <w:color w:val="000000"/>
          <w:sz w:val="22"/>
          <w:szCs w:val="22"/>
        </w:rPr>
        <w:t xml:space="preserve">Razones o Motivos de inconformidad: </w:t>
      </w:r>
      <w:r w:rsidRPr="001135A8">
        <w:rPr>
          <w:rFonts w:ascii="Palatino Linotype" w:eastAsia="Palatino Linotype" w:hAnsi="Palatino Linotype" w:cs="Palatino Linotype"/>
          <w:i/>
          <w:color w:val="000000"/>
          <w:sz w:val="22"/>
          <w:szCs w:val="22"/>
        </w:rPr>
        <w:t>“</w:t>
      </w:r>
      <w:r w:rsidR="000D1683" w:rsidRPr="001135A8">
        <w:rPr>
          <w:rFonts w:ascii="Palatino Linotype" w:eastAsia="Palatino Linotype" w:hAnsi="Palatino Linotype" w:cs="Palatino Linotype"/>
          <w:i/>
          <w:color w:val="000000"/>
          <w:sz w:val="22"/>
          <w:szCs w:val="22"/>
        </w:rPr>
        <w:t>LAS LIGAS ELECTRONICAS QUE PROPORCIONA EL SUJETO OBLIGADO EN SU RESPUESTA A A PRESENTE SOLICITUD NO CONTIENEN LA INFORMACIÓN SOLICITADA CON TODA PRECISIÓN Y CLARIDAD (COMPROBANTES DE PAGO) POR LO QUE SOLICITO SE REVOQUE LA RESPUESTA DEL SUJETO OBIGADO Y SE ORDENE LA ENTREGA DE LA DOCUMENTACIÓN SOLICITADA DE MANERA PUNTUAL Y PRECISA.</w:t>
      </w:r>
      <w:r w:rsidRPr="001135A8">
        <w:rPr>
          <w:rFonts w:ascii="Palatino Linotype" w:eastAsia="Palatino Linotype" w:hAnsi="Palatino Linotype" w:cs="Palatino Linotype"/>
          <w:i/>
          <w:color w:val="000000"/>
          <w:sz w:val="22"/>
          <w:szCs w:val="22"/>
        </w:rPr>
        <w:t xml:space="preserve">” </w:t>
      </w:r>
      <w:r w:rsidRPr="001135A8">
        <w:rPr>
          <w:rFonts w:ascii="Palatino Linotype" w:eastAsia="Palatino Linotype" w:hAnsi="Palatino Linotype" w:cs="Palatino Linotype"/>
          <w:color w:val="000000"/>
          <w:sz w:val="22"/>
          <w:szCs w:val="22"/>
        </w:rPr>
        <w:t>(Sic)</w:t>
      </w:r>
    </w:p>
    <w:p w:rsidR="000D3B26" w:rsidRPr="001135A8"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0D3B26" w:rsidRPr="001135A8"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w:t>
      </w:r>
      <w:r w:rsidRPr="001135A8">
        <w:rPr>
          <w:rFonts w:ascii="Palatino Linotype" w:eastAsia="Palatino Linotype" w:hAnsi="Palatino Linotype" w:cs="Palatino Linotype"/>
          <w:b/>
          <w:color w:val="000000"/>
        </w:rPr>
        <w:t xml:space="preserve">acuerdo de admisión </w:t>
      </w:r>
      <w:r w:rsidRPr="001135A8">
        <w:rPr>
          <w:rFonts w:ascii="Palatino Linotype" w:eastAsia="Palatino Linotype" w:hAnsi="Palatino Linotype" w:cs="Palatino Linotype"/>
          <w:color w:val="000000"/>
        </w:rPr>
        <w:t xml:space="preserve">de fecha </w:t>
      </w:r>
      <w:r w:rsidR="00A64194" w:rsidRPr="001135A8">
        <w:rPr>
          <w:rFonts w:ascii="Palatino Linotype" w:eastAsia="Palatino Linotype" w:hAnsi="Palatino Linotype" w:cs="Palatino Linotype"/>
          <w:b/>
          <w:color w:val="000000"/>
        </w:rPr>
        <w:t>veinticinco de agosto</w:t>
      </w:r>
      <w:r w:rsidRPr="001135A8">
        <w:rPr>
          <w:rFonts w:ascii="Palatino Linotype" w:eastAsia="Palatino Linotype" w:hAnsi="Palatino Linotype" w:cs="Palatino Linotype"/>
          <w:b/>
          <w:color w:val="000000"/>
        </w:rPr>
        <w:t xml:space="preserve"> de dos mil veinticinco, </w:t>
      </w:r>
      <w:r w:rsidRPr="001135A8">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1135A8">
        <w:rPr>
          <w:rFonts w:ascii="Palatino Linotype" w:eastAsia="Palatino Linotype" w:hAnsi="Palatino Linotype" w:cs="Palatino Linotype"/>
        </w:rPr>
        <w:t>manifestara</w:t>
      </w:r>
      <w:r w:rsidRPr="001135A8">
        <w:rPr>
          <w:rFonts w:ascii="Palatino Linotype" w:eastAsia="Palatino Linotype" w:hAnsi="Palatino Linotype" w:cs="Palatino Linotype"/>
          <w:color w:val="000000"/>
        </w:rPr>
        <w:t xml:space="preserve"> lo que a su derecho conviniera, </w:t>
      </w:r>
      <w:r w:rsidRPr="001135A8">
        <w:rPr>
          <w:rFonts w:ascii="Palatino Linotype" w:eastAsia="Palatino Linotype" w:hAnsi="Palatino Linotype" w:cs="Palatino Linotype"/>
        </w:rPr>
        <w:t>ofreciera</w:t>
      </w:r>
      <w:r w:rsidRPr="001135A8">
        <w:rPr>
          <w:rFonts w:ascii="Palatino Linotype" w:eastAsia="Palatino Linotype" w:hAnsi="Palatino Linotype" w:cs="Palatino Linotype"/>
          <w:color w:val="000000"/>
        </w:rPr>
        <w:t xml:space="preserve"> pruebas y alegatos según corresponda al caso concreto, de esta forma para que el </w:t>
      </w:r>
      <w:r w:rsidRPr="001135A8">
        <w:rPr>
          <w:rFonts w:ascii="Palatino Linotype" w:eastAsia="Palatino Linotype" w:hAnsi="Palatino Linotype" w:cs="Palatino Linotype"/>
          <w:b/>
          <w:color w:val="000000"/>
        </w:rPr>
        <w:t xml:space="preserve">SUJETO OBLIGADO </w:t>
      </w:r>
      <w:r w:rsidRPr="001135A8">
        <w:rPr>
          <w:rFonts w:ascii="Palatino Linotype" w:eastAsia="Palatino Linotype" w:hAnsi="Palatino Linotype" w:cs="Palatino Linotype"/>
        </w:rPr>
        <w:t>presentara</w:t>
      </w:r>
      <w:r w:rsidRPr="001135A8">
        <w:rPr>
          <w:rFonts w:ascii="Palatino Linotype" w:eastAsia="Palatino Linotype" w:hAnsi="Palatino Linotype" w:cs="Palatino Linotype"/>
          <w:color w:val="000000"/>
        </w:rPr>
        <w:t xml:space="preserve"> el Informe Justificado procedente.</w:t>
      </w:r>
    </w:p>
    <w:p w:rsidR="000D3B26" w:rsidRPr="001135A8"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7E0360" w:rsidRPr="001135A8" w:rsidRDefault="00DF0FA8" w:rsidP="007E0360">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El Recurrente</w:t>
      </w:r>
      <w:r w:rsidRPr="001135A8">
        <w:rPr>
          <w:rFonts w:ascii="Palatino Linotype" w:eastAsia="Palatino Linotype" w:hAnsi="Palatino Linotype" w:cs="Palatino Linotype"/>
          <w:b/>
          <w:color w:val="000000"/>
        </w:rPr>
        <w:t xml:space="preserve"> </w:t>
      </w:r>
      <w:r w:rsidRPr="001135A8">
        <w:rPr>
          <w:rFonts w:ascii="Palatino Linotype" w:eastAsia="Palatino Linotype" w:hAnsi="Palatino Linotype" w:cs="Palatino Linotype"/>
          <w:color w:val="000000"/>
        </w:rPr>
        <w:t>dejó de realizar manifestaciones que a su derecho conviniera y asistiera. Por su parte, el Sujeto Obligado,</w:t>
      </w:r>
      <w:r w:rsidRPr="001135A8">
        <w:rPr>
          <w:rFonts w:ascii="Palatino Linotype" w:eastAsia="Palatino Linotype" w:hAnsi="Palatino Linotype" w:cs="Palatino Linotype"/>
          <w:b/>
          <w:color w:val="000000"/>
        </w:rPr>
        <w:t xml:space="preserve"> </w:t>
      </w:r>
      <w:r w:rsidR="001E5538" w:rsidRPr="001135A8">
        <w:rPr>
          <w:rFonts w:ascii="Palatino Linotype" w:eastAsia="Palatino Linotype" w:hAnsi="Palatino Linotype" w:cs="Palatino Linotype"/>
          <w:color w:val="000000"/>
        </w:rPr>
        <w:t xml:space="preserve">en fecha </w:t>
      </w:r>
      <w:r w:rsidR="001E5538" w:rsidRPr="001135A8">
        <w:rPr>
          <w:rFonts w:ascii="Palatino Linotype" w:eastAsia="Palatino Linotype" w:hAnsi="Palatino Linotype" w:cs="Palatino Linotype"/>
          <w:b/>
          <w:color w:val="000000"/>
        </w:rPr>
        <w:t xml:space="preserve"> quince de octubre de dos mil </w:t>
      </w:r>
      <w:r w:rsidR="00464953" w:rsidRPr="001135A8">
        <w:rPr>
          <w:rFonts w:ascii="Palatino Linotype" w:eastAsia="Palatino Linotype" w:hAnsi="Palatino Linotype" w:cs="Palatino Linotype"/>
          <w:b/>
          <w:color w:val="000000"/>
        </w:rPr>
        <w:t>veinticinco</w:t>
      </w:r>
      <w:r w:rsidR="001E5538" w:rsidRPr="001135A8">
        <w:rPr>
          <w:rFonts w:ascii="Palatino Linotype" w:eastAsia="Palatino Linotype" w:hAnsi="Palatino Linotype" w:cs="Palatino Linotype"/>
          <w:color w:val="000000"/>
        </w:rPr>
        <w:t xml:space="preserve">, </w:t>
      </w:r>
      <w:r w:rsidR="007E0360" w:rsidRPr="001135A8">
        <w:rPr>
          <w:rFonts w:ascii="Palatino Linotype" w:eastAsia="Palatino Linotype" w:hAnsi="Palatino Linotype" w:cs="Palatino Linotype"/>
          <w:color w:val="000000"/>
        </w:rPr>
        <w:t xml:space="preserve">presentó informe justificado, </w:t>
      </w:r>
      <w:r w:rsidR="00464953" w:rsidRPr="001135A8">
        <w:rPr>
          <w:rFonts w:ascii="Palatino Linotype" w:eastAsia="Palatino Linotype" w:hAnsi="Palatino Linotype" w:cs="Palatino Linotype"/>
          <w:color w:val="000000"/>
        </w:rPr>
        <w:t xml:space="preserve">a través </w:t>
      </w:r>
      <w:r w:rsidR="00A64194" w:rsidRPr="001135A8">
        <w:rPr>
          <w:rFonts w:ascii="Palatino Linotype" w:eastAsia="Palatino Linotype" w:hAnsi="Palatino Linotype" w:cs="Palatino Linotype"/>
          <w:color w:val="000000"/>
        </w:rPr>
        <w:t>de los</w:t>
      </w:r>
      <w:r w:rsidR="00464953" w:rsidRPr="001135A8">
        <w:rPr>
          <w:rFonts w:ascii="Palatino Linotype" w:eastAsia="Palatino Linotype" w:hAnsi="Palatino Linotype" w:cs="Palatino Linotype"/>
          <w:color w:val="000000"/>
        </w:rPr>
        <w:t xml:space="preserve"> archivo</w:t>
      </w:r>
      <w:r w:rsidR="00A64194" w:rsidRPr="001135A8">
        <w:rPr>
          <w:rFonts w:ascii="Palatino Linotype" w:eastAsia="Palatino Linotype" w:hAnsi="Palatino Linotype" w:cs="Palatino Linotype"/>
          <w:color w:val="000000"/>
        </w:rPr>
        <w:t>s</w:t>
      </w:r>
      <w:r w:rsidR="00464953" w:rsidRPr="001135A8">
        <w:rPr>
          <w:rFonts w:ascii="Palatino Linotype" w:eastAsia="Palatino Linotype" w:hAnsi="Palatino Linotype" w:cs="Palatino Linotype"/>
          <w:color w:val="000000"/>
        </w:rPr>
        <w:t xml:space="preserve"> digital</w:t>
      </w:r>
      <w:r w:rsidR="00A64194" w:rsidRPr="001135A8">
        <w:rPr>
          <w:rFonts w:ascii="Palatino Linotype" w:eastAsia="Palatino Linotype" w:hAnsi="Palatino Linotype" w:cs="Palatino Linotype"/>
          <w:color w:val="000000"/>
        </w:rPr>
        <w:t>es</w:t>
      </w:r>
      <w:r w:rsidR="00464953" w:rsidRPr="001135A8">
        <w:rPr>
          <w:rFonts w:ascii="Palatino Linotype" w:eastAsia="Palatino Linotype" w:hAnsi="Palatino Linotype" w:cs="Palatino Linotype"/>
          <w:color w:val="000000"/>
        </w:rPr>
        <w:t xml:space="preserve"> siguiente</w:t>
      </w:r>
      <w:r w:rsidR="00A64194" w:rsidRPr="001135A8">
        <w:rPr>
          <w:rFonts w:ascii="Palatino Linotype" w:eastAsia="Palatino Linotype" w:hAnsi="Palatino Linotype" w:cs="Palatino Linotype"/>
          <w:color w:val="000000"/>
        </w:rPr>
        <w:t>s</w:t>
      </w:r>
      <w:r w:rsidR="007E0360" w:rsidRPr="001135A8">
        <w:rPr>
          <w:rFonts w:ascii="Palatino Linotype" w:eastAsia="Palatino Linotype" w:hAnsi="Palatino Linotype" w:cs="Palatino Linotype"/>
          <w:color w:val="000000"/>
        </w:rPr>
        <w:t>:</w:t>
      </w:r>
    </w:p>
    <w:p w:rsidR="007E0360" w:rsidRPr="001135A8" w:rsidRDefault="007E0360" w:rsidP="005A0CA9">
      <w:pPr>
        <w:pBdr>
          <w:top w:val="nil"/>
          <w:left w:val="nil"/>
          <w:bottom w:val="nil"/>
          <w:right w:val="nil"/>
          <w:between w:val="nil"/>
        </w:pBdr>
        <w:ind w:right="-787"/>
        <w:jc w:val="both"/>
        <w:rPr>
          <w:rFonts w:ascii="Palatino Linotype" w:eastAsia="Palatino Linotype" w:hAnsi="Palatino Linotype" w:cs="Palatino Linotype"/>
          <w:color w:val="000000"/>
        </w:rPr>
      </w:pPr>
    </w:p>
    <w:p w:rsidR="005A0CA9" w:rsidRPr="001135A8" w:rsidRDefault="00A64194" w:rsidP="00A64194">
      <w:pPr>
        <w:pStyle w:val="Prrafodelista"/>
        <w:pBdr>
          <w:top w:val="nil"/>
          <w:left w:val="nil"/>
          <w:bottom w:val="nil"/>
          <w:right w:val="nil"/>
          <w:between w:val="nil"/>
        </w:pBdr>
        <w:ind w:left="567" w:right="-788"/>
        <w:jc w:val="both"/>
        <w:rPr>
          <w:rFonts w:ascii="Palatino Linotype" w:eastAsia="Palatino Linotype" w:hAnsi="Palatino Linotype" w:cs="Palatino Linotype"/>
          <w:b/>
          <w:i/>
          <w:color w:val="000000"/>
        </w:rPr>
      </w:pPr>
      <w:r w:rsidRPr="001135A8">
        <w:rPr>
          <w:rFonts w:ascii="Palatino Linotype" w:eastAsia="Palatino Linotype" w:hAnsi="Palatino Linotype" w:cs="Palatino Linotype"/>
          <w:b/>
          <w:i/>
          <w:color w:val="000000"/>
        </w:rPr>
        <w:t>278-NM.PDF</w:t>
      </w:r>
    </w:p>
    <w:p w:rsidR="00A64194" w:rsidRPr="001135A8" w:rsidRDefault="00CC0078" w:rsidP="00A64194">
      <w:pPr>
        <w:pStyle w:val="Prrafodelista"/>
        <w:pBdr>
          <w:top w:val="nil"/>
          <w:left w:val="nil"/>
          <w:bottom w:val="nil"/>
          <w:right w:val="nil"/>
          <w:between w:val="nil"/>
        </w:pBdr>
        <w:ind w:left="567" w:right="-788"/>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Oficio: DTYGA/MET/742/2025 de fecha 25 de agosto de 2025, firmado por el Director de Transparencia y Gobierno Abierto, a través del cual solicita al Tesorero Municipal realizar las manifestaciones que considere pertinentes, derivado de la interposición del medio de impugnación.</w:t>
      </w:r>
    </w:p>
    <w:p w:rsidR="00A64194" w:rsidRPr="001135A8" w:rsidRDefault="00A64194" w:rsidP="00A64194">
      <w:pPr>
        <w:pStyle w:val="Prrafodelista"/>
        <w:pBdr>
          <w:top w:val="nil"/>
          <w:left w:val="nil"/>
          <w:bottom w:val="nil"/>
          <w:right w:val="nil"/>
          <w:between w:val="nil"/>
        </w:pBdr>
        <w:ind w:left="567" w:right="-788"/>
        <w:jc w:val="both"/>
        <w:rPr>
          <w:rFonts w:ascii="Palatino Linotype" w:eastAsia="Palatino Linotype" w:hAnsi="Palatino Linotype" w:cs="Palatino Linotype"/>
          <w:b/>
          <w:i/>
          <w:color w:val="000000"/>
        </w:rPr>
      </w:pPr>
    </w:p>
    <w:p w:rsidR="00A64194" w:rsidRPr="001135A8" w:rsidRDefault="00A64194" w:rsidP="00A64194">
      <w:pPr>
        <w:pStyle w:val="Prrafodelista"/>
        <w:pBdr>
          <w:top w:val="nil"/>
          <w:left w:val="nil"/>
          <w:bottom w:val="nil"/>
          <w:right w:val="nil"/>
          <w:between w:val="nil"/>
        </w:pBdr>
        <w:ind w:left="567" w:right="-788"/>
        <w:jc w:val="both"/>
        <w:rPr>
          <w:rFonts w:ascii="Palatino Linotype" w:eastAsia="Palatino Linotype" w:hAnsi="Palatino Linotype" w:cs="Palatino Linotype"/>
          <w:b/>
          <w:i/>
          <w:color w:val="000000"/>
        </w:rPr>
      </w:pPr>
      <w:r w:rsidRPr="001135A8">
        <w:rPr>
          <w:rFonts w:ascii="Palatino Linotype" w:eastAsia="Palatino Linotype" w:hAnsi="Palatino Linotype" w:cs="Palatino Linotype"/>
          <w:b/>
          <w:i/>
          <w:color w:val="000000"/>
        </w:rPr>
        <w:t>RR 09793 SOL. 0278 TESORERÍA.pdf</w:t>
      </w:r>
    </w:p>
    <w:p w:rsidR="00E82A18" w:rsidRPr="001135A8" w:rsidRDefault="00E82A18" w:rsidP="00A64194">
      <w:pPr>
        <w:pStyle w:val="Prrafodelista"/>
        <w:pBdr>
          <w:top w:val="nil"/>
          <w:left w:val="nil"/>
          <w:bottom w:val="nil"/>
          <w:right w:val="nil"/>
          <w:between w:val="nil"/>
        </w:pBdr>
        <w:ind w:left="567" w:right="-788"/>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 xml:space="preserve">Oficio. TM/1524/2025 de fecha </w:t>
      </w:r>
      <w:r w:rsidR="007F2F54" w:rsidRPr="001135A8">
        <w:rPr>
          <w:rFonts w:ascii="Palatino Linotype" w:eastAsia="Palatino Linotype" w:hAnsi="Palatino Linotype" w:cs="Palatino Linotype"/>
          <w:color w:val="000000"/>
        </w:rPr>
        <w:t>27 de agosto de 2025, firmado por el Tesorero Municipal a través del cual ratifica su respuesta.</w:t>
      </w:r>
    </w:p>
    <w:p w:rsidR="00343A22" w:rsidRPr="001135A8" w:rsidRDefault="00343A22" w:rsidP="005A0CA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0D3B26" w:rsidRPr="001135A8" w:rsidRDefault="00DF0FA8" w:rsidP="005A0CA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sidRPr="001135A8">
        <w:rPr>
          <w:rFonts w:ascii="Palatino Linotype" w:eastAsia="Palatino Linotype" w:hAnsi="Palatino Linotype" w:cs="Palatino Linotype"/>
          <w:color w:val="000000"/>
        </w:rPr>
        <w:t>En fecha</w:t>
      </w:r>
      <w:r w:rsidRPr="001135A8">
        <w:rPr>
          <w:rFonts w:ascii="Palatino Linotype" w:eastAsia="Palatino Linotype" w:hAnsi="Palatino Linotype" w:cs="Palatino Linotype"/>
          <w:b/>
          <w:color w:val="000000"/>
        </w:rPr>
        <w:t xml:space="preserve"> </w:t>
      </w:r>
      <w:r w:rsidR="00A07D2A" w:rsidRPr="001135A8">
        <w:rPr>
          <w:rFonts w:ascii="Palatino Linotype" w:eastAsia="Palatino Linotype" w:hAnsi="Palatino Linotype" w:cs="Palatino Linotype"/>
          <w:b/>
          <w:color w:val="000000"/>
        </w:rPr>
        <w:t>dieciocho de marzo de dos mil veintiséis</w:t>
      </w:r>
      <w:r w:rsidRPr="001135A8">
        <w:rPr>
          <w:rFonts w:ascii="Palatino Linotype" w:eastAsia="Palatino Linotype" w:hAnsi="Palatino Linotype" w:cs="Palatino Linotype"/>
          <w:color w:val="000000"/>
        </w:rPr>
        <w:t xml:space="preserve">, se acordó </w:t>
      </w:r>
      <w:r w:rsidRPr="001135A8">
        <w:rPr>
          <w:rFonts w:ascii="Palatino Linotype" w:eastAsia="Palatino Linotype" w:hAnsi="Palatino Linotype" w:cs="Palatino Linotype"/>
          <w:b/>
          <w:color w:val="000000"/>
        </w:rPr>
        <w:t xml:space="preserve">ampliar el </w:t>
      </w:r>
      <w:r w:rsidRPr="001135A8">
        <w:rPr>
          <w:rFonts w:ascii="Palatino Linotype" w:eastAsia="Palatino Linotype" w:hAnsi="Palatino Linotype" w:cs="Palatino Linotype"/>
          <w:b/>
        </w:rPr>
        <w:t>plazo</w:t>
      </w:r>
      <w:r w:rsidRPr="001135A8">
        <w:rPr>
          <w:rFonts w:ascii="Palatino Linotype" w:eastAsia="Palatino Linotype" w:hAnsi="Palatino Linotype" w:cs="Palatino Linotype"/>
          <w:b/>
          <w:color w:val="000000"/>
        </w:rPr>
        <w:t xml:space="preserve"> para resolver</w:t>
      </w:r>
      <w:r w:rsidRPr="001135A8">
        <w:rPr>
          <w:rFonts w:ascii="Palatino Linotype" w:eastAsia="Palatino Linotype" w:hAnsi="Palatino Linotype" w:cs="Palatino Linotype"/>
          <w:color w:val="000000"/>
        </w:rPr>
        <w:t xml:space="preserve"> el presente Recurso de Revisión.</w:t>
      </w:r>
    </w:p>
    <w:p w:rsidR="000D3B26" w:rsidRPr="001135A8" w:rsidRDefault="000D3B26" w:rsidP="005A0CA9">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0D3B26" w:rsidRPr="001135A8" w:rsidRDefault="00DF0FA8" w:rsidP="005A0CA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1135A8">
        <w:rPr>
          <w:rFonts w:ascii="Palatino Linotype" w:eastAsia="Palatino Linotype" w:hAnsi="Palatino Linotype" w:cs="Palatino Linotype"/>
          <w:color w:val="000000"/>
        </w:rPr>
        <w:t xml:space="preserve">Seguidamente, en fecha </w:t>
      </w:r>
      <w:r w:rsidR="006842CA" w:rsidRPr="001135A8">
        <w:rPr>
          <w:rFonts w:ascii="Palatino Linotype" w:eastAsia="Palatino Linotype" w:hAnsi="Palatino Linotype" w:cs="Palatino Linotype"/>
          <w:b/>
          <w:color w:val="000000"/>
        </w:rPr>
        <w:t>veinticuatro</w:t>
      </w:r>
      <w:r w:rsidR="00B33E20" w:rsidRPr="001135A8">
        <w:rPr>
          <w:rFonts w:ascii="Palatino Linotype" w:eastAsia="Palatino Linotype" w:hAnsi="Palatino Linotype" w:cs="Palatino Linotype"/>
          <w:b/>
          <w:color w:val="000000"/>
        </w:rPr>
        <w:t xml:space="preserve"> de marzo de dos mil veintiséis</w:t>
      </w:r>
      <w:r w:rsidRPr="001135A8">
        <w:rPr>
          <w:rFonts w:ascii="Palatino Linotype" w:eastAsia="Palatino Linotype" w:hAnsi="Palatino Linotype" w:cs="Palatino Linotype"/>
          <w:color w:val="000000"/>
        </w:rPr>
        <w:t xml:space="preserve">, la Comisionada Ponente dictó el </w:t>
      </w:r>
      <w:r w:rsidRPr="001135A8">
        <w:rPr>
          <w:rFonts w:ascii="Palatino Linotype" w:eastAsia="Palatino Linotype" w:hAnsi="Palatino Linotype" w:cs="Palatino Linotype"/>
          <w:b/>
          <w:color w:val="000000"/>
        </w:rPr>
        <w:t>cierre del periodo de instrucción</w:t>
      </w:r>
      <w:r w:rsidRPr="001135A8">
        <w:rPr>
          <w:rFonts w:ascii="Palatino Linotype" w:eastAsia="Palatino Linotype" w:hAnsi="Palatino Linotype" w:cs="Palatino Linotype"/>
          <w:color w:val="000000"/>
        </w:rPr>
        <w:t xml:space="preserve"> y, ordenó la resolución que conforme a Derecho proceda, de acuerdo a las siguientes:</w:t>
      </w:r>
    </w:p>
    <w:p w:rsidR="000D3B26" w:rsidRPr="001135A8" w:rsidRDefault="000D3B26">
      <w:pPr>
        <w:pBdr>
          <w:top w:val="nil"/>
          <w:left w:val="nil"/>
          <w:bottom w:val="nil"/>
          <w:right w:val="nil"/>
          <w:between w:val="nil"/>
        </w:pBdr>
        <w:ind w:left="720" w:right="-787"/>
        <w:rPr>
          <w:rFonts w:ascii="Palatino Linotype" w:eastAsia="Palatino Linotype" w:hAnsi="Palatino Linotype" w:cs="Palatino Linotype"/>
          <w:b/>
          <w:color w:val="000000"/>
        </w:rPr>
      </w:pPr>
    </w:p>
    <w:p w:rsidR="00A02204" w:rsidRPr="001135A8" w:rsidRDefault="00A02204" w:rsidP="00A02204">
      <w:pPr>
        <w:keepNext/>
        <w:keepLines/>
        <w:spacing w:line="360" w:lineRule="auto"/>
        <w:jc w:val="center"/>
        <w:rPr>
          <w:rFonts w:ascii="Palatino Linotype" w:eastAsia="Palatino Linotype" w:hAnsi="Palatino Linotype" w:cs="Palatino Linotype"/>
          <w:b/>
        </w:rPr>
      </w:pPr>
      <w:r w:rsidRPr="001135A8">
        <w:rPr>
          <w:rFonts w:ascii="Palatino Linotype" w:eastAsia="Palatino Linotype" w:hAnsi="Palatino Linotype" w:cs="Palatino Linotype"/>
          <w:b/>
        </w:rPr>
        <w:t xml:space="preserve">C O N S I D E R A N D O </w:t>
      </w:r>
    </w:p>
    <w:p w:rsidR="00A02204" w:rsidRPr="001135A8" w:rsidRDefault="00A02204" w:rsidP="00A02204">
      <w:pPr>
        <w:spacing w:line="360" w:lineRule="auto"/>
        <w:rPr>
          <w:rFonts w:ascii="Palatino Linotype" w:eastAsia="Palatino Linotype" w:hAnsi="Palatino Linotype" w:cs="Palatino Linotype"/>
        </w:rPr>
      </w:pPr>
    </w:p>
    <w:p w:rsidR="00A02204" w:rsidRPr="001135A8" w:rsidRDefault="00A02204" w:rsidP="00A02204">
      <w:pPr>
        <w:keepNext/>
        <w:keepLines/>
        <w:spacing w:line="360" w:lineRule="auto"/>
        <w:rPr>
          <w:rFonts w:ascii="Palatino Linotype" w:eastAsia="Palatino Linotype" w:hAnsi="Palatino Linotype" w:cs="Palatino Linotype"/>
          <w:b/>
        </w:rPr>
      </w:pPr>
      <w:r w:rsidRPr="001135A8">
        <w:rPr>
          <w:rFonts w:ascii="Palatino Linotype" w:eastAsia="Palatino Linotype" w:hAnsi="Palatino Linotype" w:cs="Palatino Linotype"/>
          <w:b/>
        </w:rPr>
        <w:t>PRIMERO. De la competencia</w:t>
      </w:r>
    </w:p>
    <w:p w:rsidR="00A02204" w:rsidRPr="001135A8"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02204" w:rsidRPr="001135A8" w:rsidRDefault="00A02204" w:rsidP="00A02204">
      <w:pPr>
        <w:tabs>
          <w:tab w:val="left" w:pos="426"/>
        </w:tabs>
        <w:spacing w:line="360" w:lineRule="auto"/>
        <w:jc w:val="both"/>
        <w:rPr>
          <w:rFonts w:ascii="Palatino Linotype" w:eastAsia="Palatino Linotype" w:hAnsi="Palatino Linotype" w:cs="Palatino Linotype"/>
          <w:color w:val="000000"/>
        </w:rPr>
      </w:pPr>
    </w:p>
    <w:p w:rsidR="00A02204" w:rsidRPr="001135A8" w:rsidRDefault="00A02204" w:rsidP="00A02204">
      <w:pPr>
        <w:keepNext/>
        <w:keepLines/>
        <w:spacing w:line="360" w:lineRule="auto"/>
        <w:rPr>
          <w:rFonts w:ascii="Palatino Linotype" w:eastAsia="Palatino Linotype" w:hAnsi="Palatino Linotype" w:cs="Palatino Linotype"/>
          <w:b/>
        </w:rPr>
      </w:pPr>
      <w:r w:rsidRPr="001135A8">
        <w:rPr>
          <w:rFonts w:ascii="Palatino Linotype" w:eastAsia="Palatino Linotype" w:hAnsi="Palatino Linotype" w:cs="Palatino Linotype"/>
          <w:b/>
        </w:rPr>
        <w:t>SEGUNDO. De la oportunidad y procedencia.</w:t>
      </w:r>
    </w:p>
    <w:p w:rsidR="00A02204" w:rsidRPr="001135A8"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El </w:t>
      </w:r>
      <w:r w:rsidRPr="001135A8">
        <w:rPr>
          <w:rFonts w:ascii="Palatino Linotype" w:eastAsia="Palatino Linotype" w:hAnsi="Palatino Linotype" w:cs="Palatino Linotype"/>
          <w:color w:val="000000"/>
        </w:rPr>
        <w:t>medio</w:t>
      </w:r>
      <w:r w:rsidRPr="001135A8">
        <w:rPr>
          <w:rFonts w:ascii="Palatino Linotype" w:eastAsia="Palatino Linotype" w:hAnsi="Palatino Linotype" w:cs="Palatino Linotype"/>
        </w:rPr>
        <w:t xml:space="preserve"> de </w:t>
      </w:r>
      <w:r w:rsidRPr="001135A8">
        <w:rPr>
          <w:rFonts w:ascii="Palatino Linotype" w:eastAsia="Palatino Linotype" w:hAnsi="Palatino Linotype" w:cs="Palatino Linotype"/>
          <w:color w:val="000000"/>
        </w:rPr>
        <w:t>impugnación</w:t>
      </w:r>
      <w:r w:rsidRPr="001135A8">
        <w:rPr>
          <w:rFonts w:ascii="Palatino Linotype" w:eastAsia="Palatino Linotype" w:hAnsi="Palatino Linotype" w:cs="Palatino Linotype"/>
        </w:rPr>
        <w:t xml:space="preserve"> fue presentado a través del </w:t>
      </w:r>
      <w:r w:rsidRPr="001135A8">
        <w:rPr>
          <w:rFonts w:ascii="Palatino Linotype" w:eastAsia="Palatino Linotype" w:hAnsi="Palatino Linotype" w:cs="Palatino Linotype"/>
          <w:b/>
        </w:rPr>
        <w:t>SAIMEX,</w:t>
      </w:r>
      <w:r w:rsidRPr="001135A8">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1135A8">
        <w:rPr>
          <w:rFonts w:ascii="Palatino Linotype" w:eastAsia="Palatino Linotype" w:hAnsi="Palatino Linotype" w:cs="Palatino Linotype"/>
          <w:b/>
        </w:rPr>
        <w:t>SUJETO OBLIGADO</w:t>
      </w:r>
      <w:r w:rsidRPr="001135A8">
        <w:rPr>
          <w:rFonts w:ascii="Palatino Linotype" w:eastAsia="Palatino Linotype" w:hAnsi="Palatino Linotype" w:cs="Palatino Linotype"/>
        </w:rPr>
        <w:t xml:space="preserve"> entregó respuesta el </w:t>
      </w:r>
      <w:r w:rsidR="00BC10F7" w:rsidRPr="001135A8">
        <w:rPr>
          <w:rFonts w:ascii="Palatino Linotype" w:eastAsia="Palatino Linotype" w:hAnsi="Palatino Linotype" w:cs="Palatino Linotype"/>
          <w:b/>
        </w:rPr>
        <w:t>doce de agosto</w:t>
      </w:r>
      <w:r w:rsidRPr="001135A8">
        <w:rPr>
          <w:rFonts w:ascii="Palatino Linotype" w:eastAsia="Palatino Linotype" w:hAnsi="Palatino Linotype" w:cs="Palatino Linotype"/>
          <w:b/>
        </w:rPr>
        <w:t xml:space="preserve"> de dos mil veinticinco</w:t>
      </w:r>
      <w:r w:rsidRPr="001135A8">
        <w:rPr>
          <w:rFonts w:ascii="Palatino Linotype" w:eastAsia="Palatino Linotype" w:hAnsi="Palatino Linotype" w:cs="Palatino Linotype"/>
        </w:rPr>
        <w:t xml:space="preserve">, de tal forma que el plazo para interponer el recurso transcurrió del </w:t>
      </w:r>
      <w:r w:rsidR="00BC10F7" w:rsidRPr="001135A8">
        <w:rPr>
          <w:rFonts w:ascii="Palatino Linotype" w:eastAsia="Palatino Linotype" w:hAnsi="Palatino Linotype" w:cs="Palatino Linotype"/>
          <w:b/>
        </w:rPr>
        <w:t>trece de agosto al dos de septiembre</w:t>
      </w:r>
      <w:r w:rsidRPr="001135A8">
        <w:rPr>
          <w:rFonts w:ascii="Palatino Linotype" w:eastAsia="Palatino Linotype" w:hAnsi="Palatino Linotype" w:cs="Palatino Linotype"/>
          <w:b/>
        </w:rPr>
        <w:t xml:space="preserve"> de dos mil veinticinco, </w:t>
      </w:r>
      <w:r w:rsidRPr="001135A8">
        <w:rPr>
          <w:rFonts w:ascii="Palatino Linotype" w:eastAsia="Palatino Linotype" w:hAnsi="Palatino Linotype" w:cs="Palatino Linotype"/>
        </w:rPr>
        <w:t xml:space="preserve">en consecuencia, si el </w:t>
      </w:r>
      <w:r w:rsidRPr="001135A8">
        <w:rPr>
          <w:rFonts w:ascii="Palatino Linotype" w:eastAsia="Palatino Linotype" w:hAnsi="Palatino Linotype" w:cs="Palatino Linotype"/>
          <w:b/>
        </w:rPr>
        <w:t>PARTICULAR</w:t>
      </w:r>
      <w:r w:rsidRPr="001135A8">
        <w:rPr>
          <w:rFonts w:ascii="Palatino Linotype" w:eastAsia="Palatino Linotype" w:hAnsi="Palatino Linotype" w:cs="Palatino Linotype"/>
        </w:rPr>
        <w:t xml:space="preserve"> presentó su inconformidad el </w:t>
      </w:r>
      <w:r w:rsidR="00BC10F7" w:rsidRPr="001135A8">
        <w:rPr>
          <w:rFonts w:ascii="Palatino Linotype" w:eastAsia="Palatino Linotype" w:hAnsi="Palatino Linotype" w:cs="Palatino Linotype"/>
          <w:b/>
        </w:rPr>
        <w:t>veinte de agosto</w:t>
      </w:r>
      <w:r w:rsidRPr="001135A8">
        <w:rPr>
          <w:rFonts w:ascii="Palatino Linotype" w:eastAsia="Palatino Linotype" w:hAnsi="Palatino Linotype" w:cs="Palatino Linotype"/>
          <w:b/>
        </w:rPr>
        <w:t xml:space="preserve"> de dos mil veinticinco</w:t>
      </w:r>
      <w:r w:rsidRPr="001135A8">
        <w:rPr>
          <w:rFonts w:ascii="Palatino Linotype" w:eastAsia="Palatino Linotype" w:hAnsi="Palatino Linotype" w:cs="Palatino Linotype"/>
        </w:rPr>
        <w:t xml:space="preserve">, este  se encuentra dentro de los márgenes temporales previstos en el </w:t>
      </w:r>
      <w:r w:rsidRPr="001135A8">
        <w:rPr>
          <w:rFonts w:ascii="Palatino Linotype" w:eastAsia="Palatino Linotype" w:hAnsi="Palatino Linotype" w:cs="Palatino Linotype"/>
          <w:b/>
        </w:rPr>
        <w:t>artículo 178</w:t>
      </w:r>
      <w:r w:rsidRPr="001135A8">
        <w:rPr>
          <w:rFonts w:ascii="Palatino Linotype" w:eastAsia="Palatino Linotype" w:hAnsi="Palatino Linotype" w:cs="Palatino Linotype"/>
        </w:rPr>
        <w:t xml:space="preserve"> </w:t>
      </w:r>
      <w:r w:rsidRPr="001135A8">
        <w:rPr>
          <w:rFonts w:ascii="Palatino Linotype" w:eastAsia="Palatino Linotype" w:hAnsi="Palatino Linotype" w:cs="Palatino Linotype"/>
        </w:rPr>
        <w:lastRenderedPageBreak/>
        <w:t xml:space="preserve">de la </w:t>
      </w:r>
      <w:r w:rsidRPr="001135A8">
        <w:rPr>
          <w:rFonts w:ascii="Palatino Linotype" w:eastAsia="Palatino Linotype" w:hAnsi="Palatino Linotype" w:cs="Palatino Linotype"/>
          <w:b/>
        </w:rPr>
        <w:t xml:space="preserve">Ley de Transparencia y Acceso a la Información Pública del Estado de México y Municipios </w:t>
      </w:r>
      <w:r w:rsidRPr="001135A8">
        <w:rPr>
          <w:rFonts w:ascii="Palatino Linotype" w:eastAsia="Palatino Linotype" w:hAnsi="Palatino Linotype" w:cs="Palatino Linotype"/>
        </w:rPr>
        <w:t xml:space="preserve">vigente.  </w:t>
      </w:r>
    </w:p>
    <w:p w:rsidR="00A02204" w:rsidRPr="001135A8" w:rsidRDefault="00A02204" w:rsidP="00A02204">
      <w:pPr>
        <w:spacing w:line="360" w:lineRule="auto"/>
        <w:ind w:right="49"/>
        <w:jc w:val="both"/>
        <w:rPr>
          <w:rFonts w:ascii="Palatino Linotype" w:eastAsia="Palatino Linotype" w:hAnsi="Palatino Linotype" w:cs="Palatino Linotype"/>
        </w:rPr>
      </w:pPr>
      <w:bookmarkStart w:id="5" w:name="_heading=h.2et92p0" w:colFirst="0" w:colLast="0"/>
      <w:bookmarkEnd w:id="5"/>
    </w:p>
    <w:p w:rsidR="00A02204" w:rsidRPr="001135A8" w:rsidRDefault="00A02204" w:rsidP="00A02204">
      <w:pPr>
        <w:pStyle w:val="Ttulo2"/>
        <w:rPr>
          <w:rFonts w:ascii="Palatino Linotype" w:eastAsia="Palatino Linotype" w:hAnsi="Palatino Linotype" w:cs="Palatino Linotype"/>
          <w:b/>
          <w:i/>
          <w:color w:val="000000"/>
          <w:sz w:val="24"/>
          <w:szCs w:val="24"/>
        </w:rPr>
      </w:pPr>
      <w:r w:rsidRPr="001135A8">
        <w:rPr>
          <w:rFonts w:ascii="Palatino Linotype" w:eastAsia="Palatino Linotype" w:hAnsi="Palatino Linotype" w:cs="Palatino Linotype"/>
          <w:b/>
          <w:color w:val="000000"/>
          <w:sz w:val="24"/>
          <w:szCs w:val="24"/>
        </w:rPr>
        <w:t xml:space="preserve">TERCERO. Del planteamiento de la </w:t>
      </w:r>
      <w:r w:rsidRPr="001135A8">
        <w:rPr>
          <w:rFonts w:ascii="Palatino Linotype" w:eastAsia="Palatino Linotype" w:hAnsi="Palatino Linotype" w:cs="Palatino Linotype"/>
          <w:b/>
          <w:i/>
          <w:color w:val="000000"/>
          <w:sz w:val="24"/>
          <w:szCs w:val="24"/>
        </w:rPr>
        <w:t>Litis.</w:t>
      </w:r>
    </w:p>
    <w:p w:rsidR="00A02204" w:rsidRPr="001135A8"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 xml:space="preserve">Se </w:t>
      </w:r>
      <w:r w:rsidRPr="001135A8">
        <w:rPr>
          <w:rFonts w:ascii="Palatino Linotype" w:eastAsia="Palatino Linotype" w:hAnsi="Palatino Linotype" w:cs="Palatino Linotype"/>
        </w:rPr>
        <w:t>solicitó</w:t>
      </w:r>
      <w:r w:rsidRPr="001135A8">
        <w:rPr>
          <w:rFonts w:ascii="Palatino Linotype" w:eastAsia="Palatino Linotype" w:hAnsi="Palatino Linotype" w:cs="Palatino Linotype"/>
          <w:color w:val="000000"/>
        </w:rPr>
        <w:t xml:space="preserve"> tener acceso, a la información que a continuación se simplifica:</w:t>
      </w:r>
    </w:p>
    <w:p w:rsidR="00C12AEF" w:rsidRPr="001135A8" w:rsidRDefault="00C12AEF" w:rsidP="006D1D2F">
      <w:pPr>
        <w:pStyle w:val="Prrafodelista"/>
        <w:numPr>
          <w:ilvl w:val="0"/>
          <w:numId w:val="6"/>
        </w:numPr>
        <w:pBdr>
          <w:top w:val="nil"/>
          <w:left w:val="nil"/>
          <w:bottom w:val="nil"/>
          <w:right w:val="nil"/>
          <w:between w:val="nil"/>
        </w:pBdr>
        <w:ind w:right="-788"/>
        <w:jc w:val="both"/>
        <w:rPr>
          <w:rFonts w:ascii="Palatino Linotype" w:eastAsia="Palatino Linotype" w:hAnsi="Palatino Linotype" w:cs="Palatino Linotype"/>
          <w:i/>
          <w:color w:val="000000"/>
        </w:rPr>
      </w:pPr>
      <w:r w:rsidRPr="001135A8">
        <w:rPr>
          <w:rFonts w:ascii="Palatino Linotype" w:eastAsia="Palatino Linotype" w:hAnsi="Palatino Linotype" w:cs="Palatino Linotype"/>
          <w:i/>
          <w:color w:val="000000"/>
        </w:rPr>
        <w:t>Comprobantes de pago mediante cheque o transferencia electrónica interbancaria con recursos públicos de la partida presupuestal 3251, realizados del 01 de enero de 2024 al 30 de junio de 2025.</w:t>
      </w:r>
    </w:p>
    <w:p w:rsidR="00797BA7" w:rsidRPr="001135A8" w:rsidRDefault="00797BA7" w:rsidP="00A02204">
      <w:pPr>
        <w:pBdr>
          <w:top w:val="nil"/>
          <w:left w:val="nil"/>
          <w:bottom w:val="nil"/>
          <w:right w:val="nil"/>
          <w:between w:val="nil"/>
        </w:pBdr>
        <w:ind w:left="851" w:right="-788"/>
        <w:jc w:val="both"/>
        <w:rPr>
          <w:rFonts w:ascii="Palatino Linotype" w:eastAsia="Palatino Linotype" w:hAnsi="Palatino Linotype" w:cs="Palatino Linotype"/>
          <w:color w:val="000000"/>
        </w:rPr>
      </w:pPr>
    </w:p>
    <w:p w:rsidR="00A02204" w:rsidRPr="001135A8"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rPr>
        <w:t>En respuesta, el Sujeto Obligado</w:t>
      </w:r>
      <w:r w:rsidRPr="001135A8">
        <w:rPr>
          <w:rFonts w:ascii="Palatino Linotype" w:eastAsia="Palatino Linotype" w:hAnsi="Palatino Linotype" w:cs="Palatino Linotype"/>
          <w:b/>
        </w:rPr>
        <w:t xml:space="preserve"> </w:t>
      </w:r>
      <w:r w:rsidRPr="001135A8">
        <w:rPr>
          <w:rFonts w:ascii="Palatino Linotype" w:eastAsia="Palatino Linotype" w:hAnsi="Palatino Linotype" w:cs="Palatino Linotype"/>
        </w:rPr>
        <w:t xml:space="preserve">remitió el archivo ya descrito en el anterior párrafo 2, inconforme con la respuesta, se interpuso recurso de revisión argumentando sustancialmente </w:t>
      </w:r>
      <w:r w:rsidR="00AC3610" w:rsidRPr="001135A8">
        <w:rPr>
          <w:rFonts w:ascii="Palatino Linotype" w:eastAsia="Palatino Linotype" w:hAnsi="Palatino Linotype" w:cs="Palatino Linotype"/>
        </w:rPr>
        <w:t xml:space="preserve">la entrega de la información </w:t>
      </w:r>
      <w:r w:rsidR="007C1C2A" w:rsidRPr="001135A8">
        <w:rPr>
          <w:rFonts w:ascii="Palatino Linotype" w:eastAsia="Palatino Linotype" w:hAnsi="Palatino Linotype" w:cs="Palatino Linotype"/>
        </w:rPr>
        <w:t>que no corresponde a lo solicitado</w:t>
      </w:r>
      <w:r w:rsidRPr="001135A8">
        <w:rPr>
          <w:rFonts w:ascii="Palatino Linotype" w:eastAsia="Palatino Linotype" w:hAnsi="Palatino Linotype" w:cs="Palatino Linotype"/>
        </w:rPr>
        <w:t>.</w:t>
      </w:r>
    </w:p>
    <w:p w:rsidR="00A02204" w:rsidRPr="001135A8" w:rsidRDefault="00A02204" w:rsidP="00A02204">
      <w:pPr>
        <w:ind w:left="720" w:right="-788"/>
        <w:jc w:val="both"/>
        <w:rPr>
          <w:rFonts w:ascii="Palatino Linotype" w:eastAsia="Palatino Linotype" w:hAnsi="Palatino Linotype" w:cs="Palatino Linotype"/>
          <w:i/>
          <w:color w:val="000000"/>
        </w:rPr>
      </w:pPr>
    </w:p>
    <w:p w:rsidR="00A02204" w:rsidRPr="001135A8"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1135A8">
        <w:rPr>
          <w:rFonts w:ascii="Palatino Linotype" w:eastAsia="Palatino Linotype" w:hAnsi="Palatino Linotype" w:cs="Palatino Linotype"/>
          <w:b/>
        </w:rPr>
        <w:t xml:space="preserve">artículo 179, </w:t>
      </w:r>
      <w:r w:rsidR="007B5DE6" w:rsidRPr="001135A8">
        <w:rPr>
          <w:rFonts w:ascii="Palatino Linotype" w:eastAsia="Palatino Linotype" w:hAnsi="Palatino Linotype" w:cs="Palatino Linotype"/>
          <w:b/>
        </w:rPr>
        <w:t>fracción</w:t>
      </w:r>
      <w:r w:rsidRPr="001135A8">
        <w:rPr>
          <w:rFonts w:ascii="Palatino Linotype" w:eastAsia="Palatino Linotype" w:hAnsi="Palatino Linotype" w:cs="Palatino Linotype"/>
          <w:b/>
        </w:rPr>
        <w:t xml:space="preserve"> </w:t>
      </w:r>
      <w:r w:rsidR="00A86518" w:rsidRPr="001135A8">
        <w:rPr>
          <w:rFonts w:ascii="Palatino Linotype" w:eastAsia="Palatino Linotype" w:hAnsi="Palatino Linotype" w:cs="Palatino Linotype"/>
          <w:b/>
        </w:rPr>
        <w:t>V</w:t>
      </w:r>
      <w:r w:rsidR="007C1C2A" w:rsidRPr="001135A8">
        <w:rPr>
          <w:rFonts w:ascii="Palatino Linotype" w:eastAsia="Palatino Linotype" w:hAnsi="Palatino Linotype" w:cs="Palatino Linotype"/>
          <w:b/>
        </w:rPr>
        <w:t>I</w:t>
      </w:r>
      <w:r w:rsidRPr="001135A8">
        <w:rPr>
          <w:rFonts w:ascii="Palatino Linotype" w:eastAsia="Palatino Linotype" w:hAnsi="Palatino Linotype" w:cs="Palatino Linotype"/>
          <w:b/>
        </w:rPr>
        <w:t>, de la Ley de Transparencia y Acceso a la Información Pública del Estado de México y Municipios</w:t>
      </w:r>
      <w:r w:rsidRPr="001135A8">
        <w:rPr>
          <w:rFonts w:ascii="Palatino Linotype" w:eastAsia="Palatino Linotype" w:hAnsi="Palatino Linotype" w:cs="Palatino Linotype"/>
        </w:rPr>
        <w:t xml:space="preserve">; </w:t>
      </w:r>
      <w:r w:rsidR="007B5DE6" w:rsidRPr="001135A8">
        <w:rPr>
          <w:rFonts w:ascii="Palatino Linotype" w:eastAsia="Palatino Linotype" w:hAnsi="Palatino Linotype" w:cs="Palatino Linotype"/>
          <w:color w:val="000000"/>
        </w:rPr>
        <w:t>fracción</w:t>
      </w:r>
      <w:r w:rsidRPr="001135A8">
        <w:rPr>
          <w:rFonts w:ascii="Palatino Linotype" w:eastAsia="Palatino Linotype" w:hAnsi="Palatino Linotype" w:cs="Palatino Linotype"/>
          <w:color w:val="000000"/>
        </w:rPr>
        <w:t xml:space="preserve"> que determina la hipótesis relativa a </w:t>
      </w:r>
      <w:r w:rsidR="00F6709F" w:rsidRPr="001135A8">
        <w:rPr>
          <w:rFonts w:ascii="Palatino Linotype" w:eastAsia="Palatino Linotype" w:hAnsi="Palatino Linotype" w:cs="Palatino Linotype"/>
          <w:b/>
          <w:color w:val="000000"/>
        </w:rPr>
        <w:t xml:space="preserve">la entrega de información </w:t>
      </w:r>
      <w:r w:rsidR="007C1C2A" w:rsidRPr="001135A8">
        <w:rPr>
          <w:rFonts w:ascii="Palatino Linotype" w:eastAsia="Palatino Linotype" w:hAnsi="Palatino Linotype" w:cs="Palatino Linotype"/>
          <w:b/>
          <w:color w:val="000000"/>
        </w:rPr>
        <w:t>que no corresponda con lo solicitado</w:t>
      </w:r>
      <w:r w:rsidRPr="001135A8">
        <w:rPr>
          <w:rFonts w:ascii="Palatino Linotype" w:eastAsia="Palatino Linotype" w:hAnsi="Palatino Linotype" w:cs="Palatino Linotype"/>
          <w:color w:val="000000"/>
        </w:rPr>
        <w:t xml:space="preserve">; </w:t>
      </w:r>
      <w:r w:rsidRPr="001135A8">
        <w:rPr>
          <w:rFonts w:ascii="Palatino Linotype" w:eastAsia="Palatino Linotype" w:hAnsi="Palatino Linotype" w:cs="Palatino Linotype"/>
        </w:rPr>
        <w:t>contexto del cual se dolió el Recurrente al momento de interponer su inconformidad.</w:t>
      </w:r>
      <w:r w:rsidRPr="001135A8">
        <w:rPr>
          <w:rFonts w:ascii="Palatino Linotype" w:eastAsia="Palatino Linotype" w:hAnsi="Palatino Linotype" w:cs="Palatino Linotype"/>
          <w:color w:val="000000"/>
        </w:rPr>
        <w:t xml:space="preserve"> De modo tal que el presente recurso de revisión se </w:t>
      </w:r>
      <w:r w:rsidRPr="001135A8">
        <w:rPr>
          <w:rFonts w:ascii="Palatino Linotype" w:eastAsia="Palatino Linotype" w:hAnsi="Palatino Linotype" w:cs="Palatino Linotype"/>
        </w:rPr>
        <w:t>abocará</w:t>
      </w:r>
      <w:r w:rsidRPr="001135A8">
        <w:rPr>
          <w:rFonts w:ascii="Palatino Linotype" w:eastAsia="Palatino Linotype" w:hAnsi="Palatino Linotype" w:cs="Palatino Linotype"/>
          <w:color w:val="000000"/>
        </w:rPr>
        <w:t xml:space="preserve"> en determinar si el Sujeto Obligado con su respuesta ciertamente actualiza la causal de procedencia</w:t>
      </w:r>
      <w:r w:rsidRPr="001135A8">
        <w:rPr>
          <w:rFonts w:ascii="Palatino Linotype" w:eastAsia="Palatino Linotype" w:hAnsi="Palatino Linotype" w:cs="Palatino Linotype"/>
          <w:b/>
          <w:color w:val="000000"/>
        </w:rPr>
        <w:t xml:space="preserve"> </w:t>
      </w:r>
      <w:r w:rsidRPr="001135A8">
        <w:rPr>
          <w:rFonts w:ascii="Palatino Linotype" w:eastAsia="Palatino Linotype" w:hAnsi="Palatino Linotype" w:cs="Palatino Linotype"/>
          <w:color w:val="000000"/>
        </w:rPr>
        <w:t>señalada.</w:t>
      </w:r>
    </w:p>
    <w:p w:rsidR="00A02204" w:rsidRPr="001135A8" w:rsidRDefault="00A02204" w:rsidP="00A02204">
      <w:pPr>
        <w:spacing w:line="360" w:lineRule="auto"/>
        <w:ind w:right="-787"/>
        <w:rPr>
          <w:rFonts w:ascii="Palatino Linotype" w:eastAsia="Palatino Linotype" w:hAnsi="Palatino Linotype" w:cs="Palatino Linotype"/>
        </w:rPr>
      </w:pPr>
    </w:p>
    <w:p w:rsidR="00A02204" w:rsidRPr="001135A8" w:rsidRDefault="00A02204" w:rsidP="00A02204">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1135A8">
        <w:rPr>
          <w:rFonts w:ascii="Palatino Linotype" w:eastAsia="Palatino Linotype" w:hAnsi="Palatino Linotype" w:cs="Palatino Linotype"/>
          <w:b/>
          <w:color w:val="000000"/>
          <w:sz w:val="24"/>
          <w:szCs w:val="24"/>
        </w:rPr>
        <w:t>CUARTO. Del estudio y resolución del asunto.</w:t>
      </w:r>
    </w:p>
    <w:p w:rsidR="00A02204" w:rsidRPr="001135A8"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w:t>
      </w:r>
      <w:r w:rsidRPr="001135A8">
        <w:rPr>
          <w:rFonts w:ascii="Palatino Linotype" w:eastAsia="Palatino Linotype" w:hAnsi="Palatino Linotype" w:cs="Palatino Linotype"/>
        </w:rPr>
        <w:lastRenderedPageBreak/>
        <w:t>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A02204" w:rsidRPr="001135A8" w:rsidRDefault="00A02204" w:rsidP="00A02204">
      <w:pPr>
        <w:spacing w:line="360" w:lineRule="auto"/>
        <w:ind w:right="-787"/>
        <w:jc w:val="both"/>
        <w:rPr>
          <w:rFonts w:ascii="Palatino Linotype" w:eastAsia="Palatino Linotype" w:hAnsi="Palatino Linotype" w:cs="Palatino Linotype"/>
        </w:rPr>
      </w:pPr>
    </w:p>
    <w:p w:rsidR="00A02204" w:rsidRPr="001135A8"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02204" w:rsidRPr="001135A8" w:rsidRDefault="00A02204" w:rsidP="00A02204">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A02204" w:rsidRPr="001135A8"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0D3B26" w:rsidRPr="001135A8" w:rsidRDefault="000D3B26">
      <w:pPr>
        <w:ind w:right="-788"/>
        <w:jc w:val="both"/>
        <w:rPr>
          <w:rFonts w:ascii="Palatino Linotype" w:eastAsia="Palatino Linotype" w:hAnsi="Palatino Linotype" w:cs="Palatino Linotype"/>
        </w:rPr>
      </w:pPr>
    </w:p>
    <w:p w:rsidR="000D3B26" w:rsidRPr="001135A8" w:rsidRDefault="00DF0FA8">
      <w:pPr>
        <w:numPr>
          <w:ilvl w:val="0"/>
          <w:numId w:val="3"/>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1135A8">
        <w:rPr>
          <w:rFonts w:ascii="Palatino Linotype" w:eastAsia="Palatino Linotype" w:hAnsi="Palatino Linotype" w:cs="Palatino Linotype"/>
          <w:b/>
          <w:color w:val="000000"/>
        </w:rPr>
        <w:lastRenderedPageBreak/>
        <w:t>Del Sujeto Obligado.</w:t>
      </w:r>
    </w:p>
    <w:p w:rsidR="000D3B26" w:rsidRPr="001135A8" w:rsidRDefault="00C82200"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La Administración Pública Centralizada es una de las formas de organización de la Administración Pública Municipal, cuyos órganos auxilian al Ayuntamiento para el cumplimiento de sus funciones y están subordinados jerárquicamente al Presidente Municipal, integrándose por diversas unidades administrativas, </w:t>
      </w:r>
      <w:r w:rsidR="009B3740" w:rsidRPr="001135A8">
        <w:rPr>
          <w:rFonts w:ascii="Palatino Linotype" w:eastAsia="Palatino Linotype" w:hAnsi="Palatino Linotype" w:cs="Palatino Linotype"/>
        </w:rPr>
        <w:t xml:space="preserve">de conformidad con el artículo </w:t>
      </w:r>
      <w:r w:rsidRPr="001135A8">
        <w:rPr>
          <w:rFonts w:ascii="Palatino Linotype" w:eastAsia="Palatino Linotype" w:hAnsi="Palatino Linotype" w:cs="Palatino Linotype"/>
        </w:rPr>
        <w:t xml:space="preserve">37, </w:t>
      </w:r>
      <w:r w:rsidR="009B3740" w:rsidRPr="001135A8">
        <w:rPr>
          <w:rFonts w:ascii="Palatino Linotype" w:eastAsia="Palatino Linotype" w:hAnsi="Palatino Linotype" w:cs="Palatino Linotype"/>
        </w:rPr>
        <w:t>del Bando Municipal 2025.</w:t>
      </w:r>
    </w:p>
    <w:p w:rsidR="00C82200" w:rsidRPr="001135A8" w:rsidRDefault="00C82200" w:rsidP="00C8220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C82200" w:rsidRPr="001135A8" w:rsidRDefault="00C82200" w:rsidP="00C82200">
      <w:pPr>
        <w:pBdr>
          <w:top w:val="nil"/>
          <w:left w:val="nil"/>
          <w:bottom w:val="nil"/>
          <w:right w:val="nil"/>
          <w:between w:val="nil"/>
        </w:pBdr>
        <w:ind w:left="567" w:right="-788"/>
        <w:jc w:val="center"/>
        <w:rPr>
          <w:rFonts w:ascii="Palatino Linotype" w:eastAsia="Palatino Linotype" w:hAnsi="Palatino Linotype" w:cs="Palatino Linotype"/>
          <w:b/>
          <w:i/>
          <w:sz w:val="22"/>
        </w:rPr>
      </w:pPr>
      <w:r w:rsidRPr="001135A8">
        <w:rPr>
          <w:rFonts w:ascii="Palatino Linotype" w:eastAsia="Palatino Linotype" w:hAnsi="Palatino Linotype" w:cs="Palatino Linotype"/>
          <w:b/>
          <w:i/>
          <w:sz w:val="22"/>
        </w:rPr>
        <w:t>Bando Municipal 2025</w:t>
      </w:r>
    </w:p>
    <w:p w:rsidR="00C82200" w:rsidRPr="001135A8" w:rsidRDefault="00C82200" w:rsidP="00C82200">
      <w:pPr>
        <w:pBdr>
          <w:top w:val="nil"/>
          <w:left w:val="nil"/>
          <w:bottom w:val="nil"/>
          <w:right w:val="nil"/>
          <w:between w:val="nil"/>
        </w:pBdr>
        <w:ind w:left="567" w:right="-788"/>
        <w:jc w:val="center"/>
        <w:rPr>
          <w:rFonts w:ascii="Palatino Linotype" w:eastAsia="Palatino Linotype" w:hAnsi="Palatino Linotype" w:cs="Palatino Linotype"/>
          <w:i/>
          <w:sz w:val="22"/>
        </w:rPr>
      </w:pP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t xml:space="preserve">ARTÍCULO 37.-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 </w:t>
      </w: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t xml:space="preserve">I. Presidencia Municipal; </w:t>
      </w: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t xml:space="preserve">II. Secretaría del Ayuntamiento; </w:t>
      </w: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b/>
          <w:i/>
          <w:sz w:val="22"/>
        </w:rPr>
      </w:pPr>
      <w:r w:rsidRPr="001135A8">
        <w:rPr>
          <w:rFonts w:ascii="Palatino Linotype" w:eastAsia="Palatino Linotype" w:hAnsi="Palatino Linotype" w:cs="Palatino Linotype"/>
          <w:b/>
          <w:i/>
          <w:sz w:val="22"/>
        </w:rPr>
        <w:t>III. Tesorería Municipal;</w:t>
      </w: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t xml:space="preserve">IV. Órgano Interno de Control Municipal; </w:t>
      </w: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t xml:space="preserve">V. Consejería Jurídica; </w:t>
      </w: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t>VI. Direcciones de:</w:t>
      </w:r>
    </w:p>
    <w:p w:rsidR="00C82200" w:rsidRPr="001135A8" w:rsidRDefault="00C82200" w:rsidP="00C82200">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t>…</w:t>
      </w:r>
    </w:p>
    <w:p w:rsidR="00E96A9A" w:rsidRPr="001135A8" w:rsidRDefault="00E96A9A" w:rsidP="00E96A9A">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72388E" w:rsidRPr="001135A8" w:rsidRDefault="0072388E"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lang w:val="es-MX"/>
        </w:rPr>
        <w:t xml:space="preserve">La Tesorería Municipal es la encargada de conducir la disciplina presupuestal del Municipio y coordinar las diferentes fuentes de captación, en coordinación con las entidades federales, estatales y municipales, buscando lograr la realización de los objetivos contemplados en el Plan de Desarrollo Municipal, a través de una adecuada integración del presupuesto de ingresos y egresos del Municipio, para la correcta administración de la hacienda municipal, de conformidad con el artículo 3.52. del </w:t>
      </w:r>
      <w:r w:rsidRPr="001135A8">
        <w:rPr>
          <w:rFonts w:ascii="Palatino Linotype" w:eastAsia="Palatino Linotype" w:hAnsi="Palatino Linotype" w:cs="Palatino Linotype"/>
          <w:bCs/>
          <w:lang w:val="es-MX"/>
        </w:rPr>
        <w:t>Código de Reglamentación Municipal, mismo que tiene dentro de sus atribuciones las siguientes:</w:t>
      </w:r>
    </w:p>
    <w:p w:rsidR="0072388E" w:rsidRPr="001135A8" w:rsidRDefault="0072388E" w:rsidP="0072388E">
      <w:pPr>
        <w:pBdr>
          <w:top w:val="nil"/>
          <w:left w:val="nil"/>
          <w:bottom w:val="nil"/>
          <w:right w:val="nil"/>
          <w:between w:val="nil"/>
        </w:pBdr>
        <w:spacing w:line="360" w:lineRule="auto"/>
        <w:ind w:right="-787"/>
        <w:jc w:val="both"/>
        <w:rPr>
          <w:rFonts w:ascii="Palatino Linotype" w:eastAsia="Palatino Linotype" w:hAnsi="Palatino Linotype" w:cs="Palatino Linotype"/>
          <w:bCs/>
          <w:lang w:val="es-MX"/>
        </w:rPr>
      </w:pPr>
    </w:p>
    <w:p w:rsidR="0072388E" w:rsidRPr="001135A8" w:rsidRDefault="0072388E" w:rsidP="0072388E">
      <w:pPr>
        <w:pBdr>
          <w:top w:val="nil"/>
          <w:left w:val="nil"/>
          <w:bottom w:val="nil"/>
          <w:right w:val="nil"/>
          <w:between w:val="nil"/>
        </w:pBdr>
        <w:ind w:left="567" w:right="-788"/>
        <w:jc w:val="both"/>
        <w:rPr>
          <w:rFonts w:ascii="Palatino Linotype" w:eastAsia="Palatino Linotype" w:hAnsi="Palatino Linotype" w:cs="Palatino Linotype"/>
          <w:i/>
          <w:sz w:val="22"/>
        </w:rPr>
      </w:pPr>
      <w:r w:rsidRPr="001135A8">
        <w:rPr>
          <w:rFonts w:ascii="Palatino Linotype" w:eastAsia="Palatino Linotype" w:hAnsi="Palatino Linotype" w:cs="Palatino Linotype"/>
          <w:i/>
          <w:sz w:val="22"/>
        </w:rPr>
        <w:lastRenderedPageBreak/>
        <w:t xml:space="preserve">Artículo 3.53. Además de las previstas en la Ley Orgánica y en la legislación fiscal para los Municipios, son </w:t>
      </w:r>
      <w:r w:rsidRPr="001135A8">
        <w:rPr>
          <w:rFonts w:ascii="Palatino Linotype" w:eastAsia="Palatino Linotype" w:hAnsi="Palatino Linotype" w:cs="Palatino Linotype"/>
          <w:b/>
          <w:i/>
          <w:sz w:val="22"/>
        </w:rPr>
        <w:t>atribuciones de la Tesorería Municipal</w:t>
      </w:r>
      <w:r w:rsidRPr="001135A8">
        <w:rPr>
          <w:rFonts w:ascii="Palatino Linotype" w:eastAsia="Palatino Linotype" w:hAnsi="Palatino Linotype" w:cs="Palatino Linotype"/>
          <w:i/>
          <w:sz w:val="22"/>
        </w:rPr>
        <w:t xml:space="preserve"> las siguientes:</w:t>
      </w:r>
    </w:p>
    <w:p w:rsidR="0072388E" w:rsidRPr="001135A8" w:rsidRDefault="0072388E" w:rsidP="0072388E">
      <w:pPr>
        <w:pBdr>
          <w:top w:val="nil"/>
          <w:left w:val="nil"/>
          <w:bottom w:val="nil"/>
          <w:right w:val="nil"/>
          <w:between w:val="nil"/>
        </w:pBdr>
        <w:ind w:right="-788"/>
        <w:jc w:val="both"/>
        <w:rPr>
          <w:rFonts w:ascii="Palatino Linotype" w:eastAsia="Palatino Linotype" w:hAnsi="Palatino Linotype" w:cs="Palatino Linotype"/>
          <w:i/>
          <w:sz w:val="22"/>
          <w:lang w:val="es-MX"/>
        </w:rPr>
      </w:pPr>
    </w:p>
    <w:p w:rsidR="0072388E" w:rsidRPr="001135A8" w:rsidRDefault="00085ED2" w:rsidP="00085ED2">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 xml:space="preserve">I. </w:t>
      </w:r>
      <w:r w:rsidR="0072388E" w:rsidRPr="001135A8">
        <w:rPr>
          <w:rFonts w:ascii="Palatino Linotype" w:eastAsia="Palatino Linotype" w:hAnsi="Palatino Linotype" w:cs="Palatino Linotype"/>
          <w:i/>
          <w:sz w:val="22"/>
          <w:lang w:val="es-MX"/>
        </w:rPr>
        <w:t xml:space="preserve">Administrar la Hacienda Pública Municipal, de conformidad con las disposiciones legales aplicables; </w:t>
      </w:r>
    </w:p>
    <w:p w:rsidR="0072388E" w:rsidRPr="001135A8" w:rsidRDefault="00085ED2" w:rsidP="00085ED2">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 xml:space="preserve">II. </w:t>
      </w:r>
      <w:r w:rsidR="0072388E" w:rsidRPr="001135A8">
        <w:rPr>
          <w:rFonts w:ascii="Palatino Linotype" w:eastAsia="Palatino Linotype" w:hAnsi="Palatino Linotype" w:cs="Palatino Linotype"/>
          <w:i/>
          <w:sz w:val="22"/>
          <w:lang w:val="es-MX"/>
        </w:rPr>
        <w:t>Proponer la política financiera y tributaria del Ayuntamiento;</w:t>
      </w:r>
    </w:p>
    <w:p w:rsidR="00085ED2" w:rsidRPr="001135A8" w:rsidRDefault="00085ED2" w:rsidP="002D4331">
      <w:pPr>
        <w:pBdr>
          <w:top w:val="nil"/>
          <w:left w:val="nil"/>
          <w:bottom w:val="nil"/>
          <w:right w:val="nil"/>
          <w:between w:val="nil"/>
        </w:pBdr>
        <w:ind w:left="567" w:right="-788"/>
        <w:jc w:val="both"/>
        <w:rPr>
          <w:rFonts w:ascii="Arial" w:hAnsi="Arial" w:cs="Arial"/>
          <w:color w:val="000000"/>
          <w:lang w:val="es-MX"/>
        </w:rPr>
      </w:pPr>
      <w:r w:rsidRPr="001135A8">
        <w:rPr>
          <w:rFonts w:ascii="Palatino Linotype" w:eastAsia="Palatino Linotype" w:hAnsi="Palatino Linotype" w:cs="Palatino Linotype"/>
          <w:i/>
          <w:sz w:val="22"/>
          <w:lang w:val="es-MX"/>
        </w:rPr>
        <w:t>…</w:t>
      </w:r>
    </w:p>
    <w:p w:rsidR="00085ED2" w:rsidRPr="001135A8" w:rsidRDefault="00085ED2" w:rsidP="00085ED2">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XXVII. Autorizar la suficiencia presupuestal para la adquisición de bienes y servicios requeridos por las áreas, de conformidad con su presupuesto autorizado, para cada ejercicio, vigilando que se ajuste a la liquidez del Municipio, con los principios de austeridad, disciplina y transparencia;</w:t>
      </w:r>
    </w:p>
    <w:p w:rsidR="00085ED2" w:rsidRPr="001135A8" w:rsidRDefault="00085ED2" w:rsidP="00085ED2">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 xml:space="preserve">XXVIII. Verificar y realizar el pago de los documentos comprobatorios de las erogaciones realizadas por las áreas de la administración pública municipal, previa autorización de sus titulares, vigilando que cumplan con la normatividad aplicable; </w:t>
      </w:r>
    </w:p>
    <w:p w:rsidR="002D4331" w:rsidRPr="001135A8" w:rsidRDefault="00085ED2" w:rsidP="00085ED2">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XXIX. Autorizar, de acuerdo con las actividades de cada unidad administrativa, los gastos a realizar, de conformidad con su presupuesto asignado, conservando el archivo de comprobación correspondiente;</w:t>
      </w:r>
    </w:p>
    <w:p w:rsidR="002D4331" w:rsidRPr="001135A8" w:rsidRDefault="002D4331" w:rsidP="00085ED2">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w:t>
      </w:r>
    </w:p>
    <w:p w:rsidR="002D4331" w:rsidRPr="001135A8" w:rsidRDefault="002D4331" w:rsidP="002D4331">
      <w:pPr>
        <w:pBdr>
          <w:top w:val="nil"/>
          <w:left w:val="nil"/>
          <w:bottom w:val="nil"/>
          <w:right w:val="nil"/>
          <w:between w:val="nil"/>
        </w:pBdr>
        <w:ind w:left="567" w:right="-788"/>
        <w:jc w:val="both"/>
        <w:rPr>
          <w:rFonts w:ascii="Palatino Linotype" w:eastAsia="Palatino Linotype" w:hAnsi="Palatino Linotype" w:cs="Palatino Linotype"/>
          <w:i/>
          <w:sz w:val="22"/>
          <w:lang w:val="es-MX"/>
        </w:rPr>
      </w:pPr>
    </w:p>
    <w:p w:rsidR="006D3A94" w:rsidRPr="001135A8" w:rsidRDefault="002D4331"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XXXI. Aplicar el sistema de contabilidad gubernamental y las políticas de armonización contable, disciplina financiera y rendición de cuentas para el registro contable y presupuestal de las operaciones financieras que realicen las áreas de la ad</w:t>
      </w:r>
      <w:r w:rsidR="006D3A94" w:rsidRPr="001135A8">
        <w:rPr>
          <w:rFonts w:ascii="Palatino Linotype" w:eastAsia="Palatino Linotype" w:hAnsi="Palatino Linotype" w:cs="Palatino Linotype"/>
          <w:i/>
          <w:sz w:val="22"/>
          <w:lang w:val="es-MX"/>
        </w:rPr>
        <w:t>ministración pública municipal;</w:t>
      </w:r>
    </w:p>
    <w:p w:rsidR="006D3A94" w:rsidRPr="001135A8" w:rsidRDefault="006D3A94"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w:t>
      </w:r>
    </w:p>
    <w:p w:rsidR="006D3A94" w:rsidRPr="001135A8" w:rsidRDefault="006D3A94"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XXXIII. Evaluar y determinar la programación de los pagos de las obligaciones de acuerdo al flujo de efectivo;</w:t>
      </w:r>
    </w:p>
    <w:p w:rsidR="006D3A94" w:rsidRPr="001135A8" w:rsidRDefault="006D3A94"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w:t>
      </w:r>
    </w:p>
    <w:p w:rsidR="006D3A94" w:rsidRPr="001135A8" w:rsidRDefault="006D3A94"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 xml:space="preserve">XLIV. Elaborar los estados financieros, informes mensuales, cuenta pública y demás informes que le soliciten las autoridades competentes, recabando las firmas necesarias, de acuerdo a la naturaleza de la información que corresponda; </w:t>
      </w:r>
    </w:p>
    <w:p w:rsidR="006D3A94" w:rsidRPr="001135A8" w:rsidRDefault="006D3A94"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 xml:space="preserve">XLV. Integrar la documentación contable y presupuestal que se le requiera en la presentación de la cuenta pública; </w:t>
      </w:r>
    </w:p>
    <w:p w:rsidR="006D3A94" w:rsidRPr="001135A8" w:rsidRDefault="006D3A94"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r w:rsidRPr="001135A8">
        <w:rPr>
          <w:rFonts w:ascii="Palatino Linotype" w:eastAsia="Palatino Linotype" w:hAnsi="Palatino Linotype" w:cs="Palatino Linotype"/>
          <w:i/>
          <w:sz w:val="22"/>
          <w:lang w:val="es-MX"/>
        </w:rPr>
        <w:t>…</w:t>
      </w:r>
    </w:p>
    <w:p w:rsidR="006D3A94" w:rsidRPr="001135A8" w:rsidRDefault="006D3A94" w:rsidP="006D3A94">
      <w:pPr>
        <w:pBdr>
          <w:top w:val="nil"/>
          <w:left w:val="nil"/>
          <w:bottom w:val="nil"/>
          <w:right w:val="nil"/>
          <w:between w:val="nil"/>
        </w:pBdr>
        <w:ind w:left="567" w:right="-788"/>
        <w:jc w:val="both"/>
        <w:rPr>
          <w:rFonts w:ascii="Palatino Linotype" w:eastAsia="Palatino Linotype" w:hAnsi="Palatino Linotype" w:cs="Palatino Linotype"/>
          <w:i/>
          <w:sz w:val="22"/>
          <w:lang w:val="es-MX"/>
        </w:rPr>
      </w:pPr>
    </w:p>
    <w:p w:rsidR="0072388E" w:rsidRPr="001135A8" w:rsidRDefault="0072388E" w:rsidP="00A1573A">
      <w:pPr>
        <w:pBdr>
          <w:top w:val="nil"/>
          <w:left w:val="nil"/>
          <w:bottom w:val="nil"/>
          <w:right w:val="nil"/>
          <w:between w:val="nil"/>
        </w:pBdr>
        <w:ind w:right="-788"/>
        <w:jc w:val="both"/>
        <w:rPr>
          <w:rFonts w:ascii="Palatino Linotype" w:eastAsia="Palatino Linotype" w:hAnsi="Palatino Linotype" w:cs="Palatino Linotype"/>
          <w:i/>
          <w:sz w:val="22"/>
        </w:rPr>
      </w:pPr>
    </w:p>
    <w:p w:rsidR="004A5138" w:rsidRPr="001135A8" w:rsidRDefault="00A1573A"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La </w:t>
      </w:r>
      <w:r w:rsidRPr="001135A8">
        <w:rPr>
          <w:rFonts w:ascii="Palatino Linotype" w:eastAsia="Palatino Linotype" w:hAnsi="Palatino Linotype" w:cs="Palatino Linotype"/>
          <w:b/>
        </w:rPr>
        <w:t>Tesorería Municipal</w:t>
      </w:r>
      <w:r w:rsidRPr="001135A8">
        <w:rPr>
          <w:rFonts w:ascii="Palatino Linotype" w:eastAsia="Palatino Linotype" w:hAnsi="Palatino Linotype" w:cs="Palatino Linotype"/>
        </w:rPr>
        <w:t xml:space="preserve"> es la unidad administrativa encargada de Administrar la Hacienda Pública Municipal; realizar el pago de los documentos comprobatorios de las erogaciones realizadas; Autorizar, de acuerdo con las actividades de cada unidad administrativa, los gastos a realizar; Evaluar y determinar la programación de los pagos de las obligaciones, por mencionar algunas.</w:t>
      </w:r>
    </w:p>
    <w:p w:rsidR="004A5138" w:rsidRPr="001135A8" w:rsidRDefault="004A5138" w:rsidP="004A513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D55447" w:rsidRPr="001135A8" w:rsidRDefault="00D55447" w:rsidP="00D55447">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De lo anterior, es de precisar que la respuesta fue emitida por la </w:t>
      </w:r>
      <w:r w:rsidRPr="001135A8">
        <w:rPr>
          <w:rFonts w:ascii="Palatino Linotype" w:eastAsia="Palatino Linotype" w:hAnsi="Palatino Linotype" w:cs="Palatino Linotype"/>
          <w:b/>
        </w:rPr>
        <w:t>Tesorería Municipal</w:t>
      </w:r>
      <w:r w:rsidRPr="001135A8">
        <w:rPr>
          <w:rFonts w:ascii="Palatino Linotype" w:eastAsia="Palatino Linotype" w:hAnsi="Palatino Linotype" w:cs="Palatino Linotype"/>
        </w:rPr>
        <w:t xml:space="preserve">, advirtiendo en consecuencia que </w:t>
      </w:r>
      <w:r w:rsidRPr="001135A8">
        <w:rPr>
          <w:rFonts w:ascii="Palatino Linotype" w:eastAsia="Palatino Linotype" w:hAnsi="Palatino Linotype" w:cs="Palatino Linotype"/>
          <w:b/>
        </w:rPr>
        <w:t xml:space="preserve">EL SUJETO OBLIGADO </w:t>
      </w:r>
      <w:r w:rsidRPr="001135A8">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D55447" w:rsidRPr="001135A8" w:rsidRDefault="00D55447" w:rsidP="00D55447">
      <w:pPr>
        <w:spacing w:line="360" w:lineRule="auto"/>
        <w:ind w:right="-787"/>
        <w:jc w:val="both"/>
        <w:rPr>
          <w:rFonts w:ascii="Palatino Linotype" w:eastAsia="Palatino Linotype" w:hAnsi="Palatino Linotype" w:cs="Palatino Linotype"/>
        </w:rPr>
      </w:pPr>
    </w:p>
    <w:p w:rsidR="00D55447" w:rsidRPr="001135A8" w:rsidRDefault="00D55447" w:rsidP="00D55447">
      <w:pPr>
        <w:ind w:left="708" w:right="62"/>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XXXIX.</w:t>
      </w:r>
      <w:r w:rsidRPr="001135A8">
        <w:rPr>
          <w:rFonts w:ascii="Palatino Linotype" w:eastAsia="Palatino Linotype" w:hAnsi="Palatino Linotype" w:cs="Palatino Linotype"/>
          <w:i/>
          <w:sz w:val="22"/>
          <w:szCs w:val="22"/>
        </w:rPr>
        <w:t xml:space="preserve"> </w:t>
      </w:r>
      <w:r w:rsidRPr="001135A8">
        <w:rPr>
          <w:rFonts w:ascii="Palatino Linotype" w:eastAsia="Palatino Linotype" w:hAnsi="Palatino Linotype" w:cs="Palatino Linotype"/>
          <w:b/>
          <w:i/>
          <w:sz w:val="22"/>
          <w:szCs w:val="22"/>
        </w:rPr>
        <w:t>Servidor público habilitado</w:t>
      </w:r>
      <w:r w:rsidRPr="001135A8">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55447" w:rsidRPr="001135A8" w:rsidRDefault="00D55447" w:rsidP="00D55447">
      <w:pPr>
        <w:spacing w:line="360" w:lineRule="auto"/>
        <w:ind w:left="708" w:right="62"/>
        <w:jc w:val="both"/>
        <w:rPr>
          <w:rFonts w:ascii="Palatino Linotype" w:eastAsia="Palatino Linotype" w:hAnsi="Palatino Linotype" w:cs="Palatino Linotype"/>
          <w:sz w:val="22"/>
          <w:szCs w:val="22"/>
        </w:rPr>
      </w:pPr>
    </w:p>
    <w:p w:rsidR="00D55447" w:rsidRPr="001135A8" w:rsidRDefault="00D55447" w:rsidP="00D55447">
      <w:pPr>
        <w:numPr>
          <w:ilvl w:val="0"/>
          <w:numId w:val="2"/>
        </w:numPr>
        <w:spacing w:line="360" w:lineRule="auto"/>
        <w:ind w:left="0" w:right="-787" w:firstLine="0"/>
        <w:jc w:val="both"/>
      </w:pPr>
      <w:r w:rsidRPr="001135A8">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D55447" w:rsidRPr="001135A8" w:rsidRDefault="00D55447" w:rsidP="00D55447">
      <w:pPr>
        <w:ind w:right="-788"/>
        <w:jc w:val="both"/>
      </w:pPr>
    </w:p>
    <w:p w:rsidR="00D55447" w:rsidRPr="001135A8" w:rsidRDefault="00D55447" w:rsidP="00D55447">
      <w:pPr>
        <w:ind w:left="425"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r w:rsidRPr="001135A8">
        <w:rPr>
          <w:rFonts w:ascii="Palatino Linotype" w:eastAsia="Palatino Linotype" w:hAnsi="Palatino Linotype" w:cs="Palatino Linotype"/>
          <w:b/>
          <w:i/>
          <w:sz w:val="22"/>
          <w:szCs w:val="22"/>
        </w:rPr>
        <w:t>Artículo 162.</w:t>
      </w:r>
      <w:r w:rsidRPr="001135A8">
        <w:rPr>
          <w:rFonts w:ascii="Palatino Linotype" w:eastAsia="Palatino Linotype" w:hAnsi="Palatino Linotype" w:cs="Palatino Linotype"/>
          <w:i/>
          <w:sz w:val="22"/>
          <w:szCs w:val="22"/>
        </w:rPr>
        <w:t xml:space="preserve"> Las unidades de transparencia deberán garantizar que las solicitudes se turnen a </w:t>
      </w:r>
      <w:r w:rsidRPr="001135A8">
        <w:rPr>
          <w:rFonts w:ascii="Palatino Linotype" w:eastAsia="Palatino Linotype" w:hAnsi="Palatino Linotype" w:cs="Palatino Linotype"/>
          <w:b/>
          <w:i/>
          <w:sz w:val="22"/>
          <w:szCs w:val="22"/>
        </w:rPr>
        <w:t>todas las Áreas competentes</w:t>
      </w:r>
      <w:r w:rsidRPr="001135A8">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D55447" w:rsidRPr="001135A8" w:rsidRDefault="00D55447" w:rsidP="00D55447">
      <w:pPr>
        <w:spacing w:line="360" w:lineRule="auto"/>
        <w:ind w:right="-787"/>
        <w:jc w:val="both"/>
        <w:rPr>
          <w:rFonts w:ascii="Palatino Linotype" w:eastAsia="Palatino Linotype" w:hAnsi="Palatino Linotype" w:cs="Palatino Linotype"/>
          <w:color w:val="000000"/>
          <w:sz w:val="22"/>
          <w:szCs w:val="22"/>
        </w:rPr>
      </w:pPr>
    </w:p>
    <w:p w:rsidR="00D55447" w:rsidRPr="001135A8" w:rsidRDefault="00D55447" w:rsidP="00D55447">
      <w:pPr>
        <w:numPr>
          <w:ilvl w:val="0"/>
          <w:numId w:val="2"/>
        </w:numPr>
        <w:spacing w:line="360" w:lineRule="auto"/>
        <w:ind w:left="0" w:right="-787" w:firstLine="0"/>
        <w:jc w:val="both"/>
        <w:rPr>
          <w:color w:val="000000"/>
        </w:rPr>
      </w:pPr>
      <w:r w:rsidRPr="001135A8">
        <w:rPr>
          <w:rFonts w:ascii="Palatino Linotype" w:eastAsia="Palatino Linotype" w:hAnsi="Palatino Linotype" w:cs="Palatino Linotype"/>
          <w:color w:val="000000"/>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w:t>
      </w:r>
      <w:r w:rsidRPr="001135A8">
        <w:rPr>
          <w:rFonts w:ascii="Palatino Linotype" w:eastAsia="Palatino Linotype" w:hAnsi="Palatino Linotype" w:cs="Palatino Linotype"/>
          <w:color w:val="000000"/>
        </w:rPr>
        <w:lastRenderedPageBreak/>
        <w:t xml:space="preserve">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D55447" w:rsidRPr="001135A8" w:rsidRDefault="00D55447" w:rsidP="00D55447">
      <w:pPr>
        <w:spacing w:line="360" w:lineRule="auto"/>
        <w:ind w:right="-787"/>
        <w:jc w:val="both"/>
        <w:rPr>
          <w:color w:val="000000"/>
        </w:rPr>
      </w:pPr>
    </w:p>
    <w:p w:rsidR="00D55447" w:rsidRPr="001135A8" w:rsidRDefault="00D55447" w:rsidP="00D55447">
      <w:pPr>
        <w:ind w:left="567" w:right="-220"/>
        <w:jc w:val="both"/>
        <w:rPr>
          <w:rFonts w:ascii="Palatino Linotype" w:eastAsia="Palatino Linotype" w:hAnsi="Palatino Linotype" w:cs="Palatino Linotype"/>
          <w:i/>
          <w:color w:val="000000"/>
          <w:sz w:val="22"/>
          <w:szCs w:val="22"/>
        </w:rPr>
      </w:pPr>
      <w:r w:rsidRPr="001135A8">
        <w:rPr>
          <w:rFonts w:ascii="Palatino Linotype" w:eastAsia="Palatino Linotype" w:hAnsi="Palatino Linotype" w:cs="Palatino Linotype"/>
          <w:i/>
          <w:color w:val="000000"/>
          <w:sz w:val="22"/>
          <w:szCs w:val="22"/>
        </w:rPr>
        <w:t>“</w:t>
      </w:r>
      <w:r w:rsidRPr="001135A8">
        <w:rPr>
          <w:rFonts w:ascii="Palatino Linotype" w:eastAsia="Palatino Linotype" w:hAnsi="Palatino Linotype" w:cs="Palatino Linotype"/>
          <w:b/>
          <w:i/>
          <w:color w:val="000000"/>
          <w:sz w:val="22"/>
          <w:szCs w:val="22"/>
        </w:rPr>
        <w:t xml:space="preserve">Artículo 3. </w:t>
      </w:r>
      <w:r w:rsidRPr="001135A8">
        <w:rPr>
          <w:rFonts w:ascii="Palatino Linotype" w:eastAsia="Palatino Linotype" w:hAnsi="Palatino Linotype" w:cs="Palatino Linotype"/>
          <w:i/>
          <w:color w:val="000000"/>
          <w:sz w:val="22"/>
          <w:szCs w:val="22"/>
        </w:rPr>
        <w:t>Para los efectos de la presente Ley se entenderá por:</w:t>
      </w:r>
    </w:p>
    <w:p w:rsidR="00D55447" w:rsidRPr="001135A8" w:rsidRDefault="00D55447" w:rsidP="00D55447">
      <w:pPr>
        <w:ind w:left="567" w:right="-220"/>
        <w:jc w:val="both"/>
        <w:rPr>
          <w:rFonts w:ascii="Palatino Linotype" w:eastAsia="Palatino Linotype" w:hAnsi="Palatino Linotype" w:cs="Palatino Linotype"/>
          <w:i/>
          <w:color w:val="000000"/>
          <w:sz w:val="22"/>
          <w:szCs w:val="22"/>
        </w:rPr>
      </w:pPr>
      <w:r w:rsidRPr="001135A8">
        <w:rPr>
          <w:rFonts w:ascii="Palatino Linotype" w:eastAsia="Palatino Linotype" w:hAnsi="Palatino Linotype" w:cs="Palatino Linotype"/>
          <w:i/>
          <w:color w:val="000000"/>
          <w:sz w:val="22"/>
          <w:szCs w:val="22"/>
        </w:rPr>
        <w:t>(…)</w:t>
      </w:r>
    </w:p>
    <w:p w:rsidR="00D55447" w:rsidRPr="001135A8" w:rsidRDefault="00D55447" w:rsidP="00D55447">
      <w:pPr>
        <w:ind w:left="567" w:right="-220"/>
        <w:jc w:val="both"/>
        <w:rPr>
          <w:rFonts w:ascii="Palatino Linotype" w:eastAsia="Palatino Linotype" w:hAnsi="Palatino Linotype" w:cs="Palatino Linotype"/>
          <w:i/>
          <w:color w:val="000000"/>
          <w:sz w:val="22"/>
          <w:szCs w:val="22"/>
        </w:rPr>
      </w:pPr>
      <w:r w:rsidRPr="001135A8">
        <w:rPr>
          <w:rFonts w:ascii="Palatino Linotype" w:eastAsia="Palatino Linotype" w:hAnsi="Palatino Linotype" w:cs="Palatino Linotype"/>
          <w:b/>
          <w:i/>
          <w:color w:val="000000"/>
          <w:sz w:val="22"/>
          <w:szCs w:val="22"/>
        </w:rPr>
        <w:t>XI. Documento:</w:t>
      </w:r>
      <w:r w:rsidRPr="001135A8">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55447" w:rsidRPr="001135A8" w:rsidRDefault="00D55447" w:rsidP="00D55447">
      <w:pPr>
        <w:spacing w:line="360" w:lineRule="auto"/>
        <w:ind w:left="567" w:right="-220"/>
        <w:jc w:val="both"/>
        <w:rPr>
          <w:rFonts w:ascii="Palatino Linotype" w:eastAsia="Palatino Linotype" w:hAnsi="Palatino Linotype" w:cs="Palatino Linotype"/>
          <w:i/>
          <w:color w:val="000000"/>
          <w:sz w:val="22"/>
          <w:szCs w:val="22"/>
        </w:rPr>
      </w:pPr>
      <w:r w:rsidRPr="001135A8">
        <w:rPr>
          <w:rFonts w:ascii="Palatino Linotype" w:eastAsia="Palatino Linotype" w:hAnsi="Palatino Linotype" w:cs="Palatino Linotype"/>
          <w:i/>
          <w:color w:val="000000"/>
          <w:sz w:val="22"/>
          <w:szCs w:val="22"/>
        </w:rPr>
        <w:t>(…)”</w:t>
      </w:r>
    </w:p>
    <w:p w:rsidR="00D55447" w:rsidRPr="001135A8" w:rsidRDefault="00D55447" w:rsidP="00D55447">
      <w:pPr>
        <w:ind w:right="-787"/>
        <w:jc w:val="both"/>
        <w:rPr>
          <w:rFonts w:ascii="Palatino Linotype" w:eastAsia="Palatino Linotype" w:hAnsi="Palatino Linotype" w:cs="Palatino Linotype"/>
        </w:rPr>
      </w:pPr>
    </w:p>
    <w:p w:rsidR="00D55447" w:rsidRPr="001135A8" w:rsidRDefault="00D55447" w:rsidP="00D55447">
      <w:pPr>
        <w:numPr>
          <w:ilvl w:val="0"/>
          <w:numId w:val="2"/>
        </w:numPr>
        <w:spacing w:line="360" w:lineRule="auto"/>
        <w:ind w:left="0" w:right="-787" w:firstLine="0"/>
        <w:jc w:val="both"/>
        <w:rPr>
          <w:color w:val="000000"/>
        </w:rPr>
      </w:pPr>
      <w:r w:rsidRPr="001135A8">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55447" w:rsidRPr="001135A8" w:rsidRDefault="00D55447" w:rsidP="00D55447">
      <w:pPr>
        <w:spacing w:line="360" w:lineRule="auto"/>
        <w:ind w:right="-787"/>
        <w:jc w:val="both"/>
        <w:rPr>
          <w:color w:val="000000"/>
        </w:rPr>
      </w:pPr>
    </w:p>
    <w:p w:rsidR="00D55447" w:rsidRPr="001135A8" w:rsidRDefault="00D55447" w:rsidP="00D55447">
      <w:pPr>
        <w:ind w:left="567" w:right="-220"/>
        <w:jc w:val="both"/>
        <w:rPr>
          <w:rFonts w:ascii="Palatino Linotype" w:eastAsia="Palatino Linotype" w:hAnsi="Palatino Linotype" w:cs="Palatino Linotype"/>
          <w:b/>
          <w:i/>
          <w:sz w:val="22"/>
          <w:szCs w:val="22"/>
        </w:rPr>
      </w:pPr>
      <w:r w:rsidRPr="001135A8">
        <w:rPr>
          <w:rFonts w:ascii="Palatino Linotype" w:eastAsia="Palatino Linotype" w:hAnsi="Palatino Linotype" w:cs="Palatino Linotype"/>
          <w:b/>
          <w:sz w:val="22"/>
          <w:szCs w:val="22"/>
        </w:rPr>
        <w:t>“</w:t>
      </w:r>
      <w:r w:rsidRPr="001135A8">
        <w:rPr>
          <w:rFonts w:ascii="Palatino Linotype" w:eastAsia="Palatino Linotype" w:hAnsi="Palatino Linotype" w:cs="Palatino Linotype"/>
          <w:b/>
          <w:i/>
          <w:sz w:val="22"/>
          <w:szCs w:val="22"/>
        </w:rPr>
        <w:t>CRITERIO 0002-11</w:t>
      </w:r>
    </w:p>
    <w:p w:rsidR="00D55447" w:rsidRPr="001135A8" w:rsidRDefault="00D55447" w:rsidP="00D55447">
      <w:pPr>
        <w:ind w:left="567"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135A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55447" w:rsidRPr="001135A8" w:rsidRDefault="00D55447" w:rsidP="00D55447">
      <w:pPr>
        <w:ind w:left="567"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D55447" w:rsidRPr="001135A8" w:rsidRDefault="00D55447" w:rsidP="00D55447">
      <w:pPr>
        <w:ind w:left="567" w:right="-220"/>
        <w:jc w:val="both"/>
        <w:rPr>
          <w:rFonts w:ascii="Palatino Linotype" w:eastAsia="Palatino Linotype" w:hAnsi="Palatino Linotype" w:cs="Palatino Linotype"/>
          <w:b/>
          <w:i/>
          <w:sz w:val="22"/>
          <w:szCs w:val="22"/>
        </w:rPr>
      </w:pPr>
      <w:r w:rsidRPr="001135A8">
        <w:rPr>
          <w:rFonts w:ascii="Palatino Linotype" w:eastAsia="Palatino Linotype" w:hAnsi="Palatino Linotype" w:cs="Palatino Linotype"/>
          <w:b/>
          <w:i/>
          <w:sz w:val="22"/>
          <w:szCs w:val="22"/>
        </w:rPr>
        <w:t xml:space="preserve">1) </w:t>
      </w:r>
      <w:r w:rsidRPr="001135A8">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rsidR="00D55447" w:rsidRPr="001135A8" w:rsidRDefault="00D55447" w:rsidP="00D55447">
      <w:pPr>
        <w:ind w:left="567"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D55447" w:rsidRPr="001135A8" w:rsidRDefault="00D55447" w:rsidP="00D55447">
      <w:pPr>
        <w:ind w:left="567"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D55447" w:rsidRPr="001135A8" w:rsidRDefault="00D55447" w:rsidP="00D55447">
      <w:pPr>
        <w:pBdr>
          <w:top w:val="nil"/>
          <w:left w:val="nil"/>
          <w:bottom w:val="nil"/>
          <w:right w:val="nil"/>
          <w:between w:val="nil"/>
        </w:pBdr>
        <w:ind w:right="-787"/>
        <w:jc w:val="both"/>
        <w:rPr>
          <w:rFonts w:ascii="Palatino Linotype" w:eastAsia="Palatino Linotype" w:hAnsi="Palatino Linotype" w:cs="Palatino Linotype"/>
          <w:color w:val="000000"/>
        </w:rPr>
      </w:pPr>
    </w:p>
    <w:p w:rsidR="00D55447" w:rsidRPr="001135A8" w:rsidRDefault="00D55447" w:rsidP="00D55447">
      <w:pPr>
        <w:numPr>
          <w:ilvl w:val="0"/>
          <w:numId w:val="2"/>
        </w:numPr>
        <w:spacing w:line="360" w:lineRule="auto"/>
        <w:ind w:left="0" w:right="-787" w:firstLine="0"/>
        <w:jc w:val="both"/>
        <w:rPr>
          <w:color w:val="000000"/>
        </w:rPr>
      </w:pPr>
      <w:r w:rsidRPr="001135A8">
        <w:rPr>
          <w:rFonts w:ascii="Palatino Linotype" w:eastAsia="Palatino Linotype" w:hAnsi="Palatino Linotype" w:cs="Palatino Linotype"/>
          <w:color w:val="000000"/>
        </w:rPr>
        <w:t>Por su parte los artículos 160 y 166, de la Ley local en la materia, que se reproduce de la siguiente forma:</w:t>
      </w:r>
    </w:p>
    <w:p w:rsidR="00D55447" w:rsidRPr="001135A8" w:rsidRDefault="00D55447" w:rsidP="00D55447">
      <w:pPr>
        <w:spacing w:line="360" w:lineRule="auto"/>
        <w:ind w:right="-787"/>
        <w:jc w:val="both"/>
        <w:rPr>
          <w:color w:val="000000"/>
        </w:rPr>
      </w:pPr>
    </w:p>
    <w:p w:rsidR="00D55447" w:rsidRPr="001135A8" w:rsidRDefault="00D55447" w:rsidP="00D55447">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160.</w:t>
      </w:r>
      <w:r w:rsidRPr="001135A8">
        <w:rPr>
          <w:rFonts w:ascii="Palatino Linotype" w:eastAsia="Palatino Linotype" w:hAnsi="Palatino Linotype" w:cs="Palatino Linotype"/>
          <w:i/>
          <w:sz w:val="22"/>
          <w:szCs w:val="22"/>
        </w:rPr>
        <w:t xml:space="preserve"> </w:t>
      </w:r>
      <w:r w:rsidRPr="001135A8">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135A8">
        <w:rPr>
          <w:rFonts w:ascii="Palatino Linotype" w:eastAsia="Palatino Linotype" w:hAnsi="Palatino Linotype" w:cs="Palatino Linotype"/>
          <w:i/>
          <w:sz w:val="22"/>
          <w:szCs w:val="22"/>
        </w:rPr>
        <w:t>.</w:t>
      </w:r>
    </w:p>
    <w:p w:rsidR="00D55447" w:rsidRPr="001135A8" w:rsidRDefault="00D55447" w:rsidP="00D55447">
      <w:pPr>
        <w:ind w:left="566" w:right="-220"/>
        <w:jc w:val="both"/>
        <w:rPr>
          <w:rFonts w:ascii="Palatino Linotype" w:eastAsia="Palatino Linotype" w:hAnsi="Palatino Linotype" w:cs="Palatino Linotype"/>
          <w:i/>
          <w:sz w:val="22"/>
          <w:szCs w:val="22"/>
        </w:rPr>
      </w:pPr>
    </w:p>
    <w:p w:rsidR="00D55447" w:rsidRPr="001135A8" w:rsidRDefault="00D55447" w:rsidP="00D55447">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D55447" w:rsidRPr="001135A8" w:rsidRDefault="00D55447" w:rsidP="00D55447">
      <w:pPr>
        <w:ind w:left="566" w:right="-220"/>
        <w:jc w:val="both"/>
        <w:rPr>
          <w:rFonts w:ascii="Palatino Linotype" w:eastAsia="Palatino Linotype" w:hAnsi="Palatino Linotype" w:cs="Palatino Linotype"/>
          <w:i/>
          <w:sz w:val="22"/>
          <w:szCs w:val="22"/>
          <w:u w:val="single"/>
        </w:rPr>
      </w:pPr>
      <w:r w:rsidRPr="001135A8">
        <w:rPr>
          <w:rFonts w:ascii="Palatino Linotype" w:eastAsia="Palatino Linotype" w:hAnsi="Palatino Linotype" w:cs="Palatino Linotype"/>
          <w:b/>
          <w:i/>
          <w:sz w:val="22"/>
          <w:szCs w:val="22"/>
        </w:rPr>
        <w:t>Artículo 166.</w:t>
      </w:r>
      <w:r w:rsidRPr="001135A8">
        <w:rPr>
          <w:rFonts w:ascii="Palatino Linotype" w:eastAsia="Palatino Linotype" w:hAnsi="Palatino Linotype" w:cs="Palatino Linotype"/>
          <w:i/>
          <w:sz w:val="22"/>
          <w:szCs w:val="22"/>
        </w:rPr>
        <w:t xml:space="preserve"> </w:t>
      </w:r>
      <w:r w:rsidRPr="001135A8">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D55447" w:rsidRPr="001135A8" w:rsidRDefault="00D55447" w:rsidP="00D55447">
      <w:pPr>
        <w:ind w:right="-787"/>
        <w:jc w:val="both"/>
        <w:rPr>
          <w:rFonts w:ascii="Palatino Linotype" w:eastAsia="Palatino Linotype" w:hAnsi="Palatino Linotype" w:cs="Palatino Linotype"/>
        </w:rPr>
      </w:pPr>
    </w:p>
    <w:p w:rsidR="00D55447" w:rsidRPr="001135A8" w:rsidRDefault="00D55447" w:rsidP="00D55447">
      <w:pPr>
        <w:numPr>
          <w:ilvl w:val="0"/>
          <w:numId w:val="2"/>
        </w:numPr>
        <w:spacing w:line="360" w:lineRule="auto"/>
        <w:ind w:left="0" w:right="-787" w:firstLine="0"/>
        <w:jc w:val="both"/>
        <w:rPr>
          <w:color w:val="000000"/>
        </w:rPr>
      </w:pPr>
      <w:r w:rsidRPr="001135A8">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A37D1A" w:rsidRPr="001135A8" w:rsidRDefault="00A37D1A" w:rsidP="001B4ADD">
      <w:pPr>
        <w:spacing w:line="360" w:lineRule="auto"/>
        <w:ind w:right="-787"/>
        <w:jc w:val="both"/>
        <w:rPr>
          <w:color w:val="000000"/>
        </w:rPr>
      </w:pPr>
    </w:p>
    <w:p w:rsidR="00A37D1A" w:rsidRPr="001135A8" w:rsidRDefault="00A37D1A" w:rsidP="006D1D2F">
      <w:pPr>
        <w:numPr>
          <w:ilvl w:val="0"/>
          <w:numId w:val="5"/>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b/>
          <w:color w:val="000000"/>
        </w:rPr>
        <w:t xml:space="preserve">De la naturaleza de la información solicitada. </w:t>
      </w:r>
    </w:p>
    <w:p w:rsidR="00A37D1A" w:rsidRPr="001135A8" w:rsidRDefault="00A37D1A" w:rsidP="001B4ADD">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Se </w:t>
      </w:r>
      <w:r w:rsidRPr="001135A8">
        <w:rPr>
          <w:rFonts w:ascii="Palatino Linotype" w:eastAsia="Palatino Linotype" w:hAnsi="Palatino Linotype" w:cs="Palatino Linotype"/>
          <w:color w:val="000000"/>
        </w:rPr>
        <w:t>precisa</w:t>
      </w:r>
      <w:r w:rsidRPr="001135A8">
        <w:rPr>
          <w:rFonts w:ascii="Palatino Linotype" w:eastAsia="Palatino Linotype" w:hAnsi="Palatino Linotype" w:cs="Palatino Linotype"/>
        </w:rPr>
        <w:t xml:space="preserve"> </w:t>
      </w:r>
      <w:r w:rsidRPr="001135A8">
        <w:rPr>
          <w:rFonts w:ascii="Palatino Linotype" w:eastAsia="Palatino Linotype" w:hAnsi="Palatino Linotype" w:cs="Palatino Linotype"/>
          <w:color w:val="000000"/>
        </w:rPr>
        <w:t>que</w:t>
      </w:r>
      <w:r w:rsidRPr="001135A8">
        <w:rPr>
          <w:rFonts w:ascii="Palatino Linotype" w:eastAsia="Palatino Linotype" w:hAnsi="Palatino Linotype" w:cs="Palatino Linotype"/>
        </w:rPr>
        <w:t xml:space="preserve"> se obvia el análisis de la competencia por parte del </w:t>
      </w:r>
      <w:r w:rsidRPr="001135A8">
        <w:rPr>
          <w:rFonts w:ascii="Palatino Linotype" w:eastAsia="Palatino Linotype" w:hAnsi="Palatino Linotype" w:cs="Palatino Linotype"/>
          <w:b/>
        </w:rPr>
        <w:t>SUJETO OBLIGADO</w:t>
      </w:r>
      <w:r w:rsidRPr="001135A8">
        <w:rPr>
          <w:rFonts w:ascii="Palatino Linotype" w:eastAsia="Palatino Linotype" w:hAnsi="Palatino Linotype" w:cs="Palatino Linotype"/>
        </w:rPr>
        <w:t xml:space="preserve">, para generar, administrar o poseer la información solicitada, dado que éste ha </w:t>
      </w:r>
      <w:r w:rsidRPr="001135A8">
        <w:rPr>
          <w:rFonts w:ascii="Palatino Linotype" w:eastAsia="Palatino Linotype" w:hAnsi="Palatino Linotype" w:cs="Palatino Linotype"/>
        </w:rPr>
        <w:lastRenderedPageBreak/>
        <w:t xml:space="preserve">asumido la misma, en razón que en respuesta admitió contar con dicha información, tan es así que remitió </w:t>
      </w:r>
      <w:r w:rsidR="00A244F3" w:rsidRPr="001135A8">
        <w:rPr>
          <w:rFonts w:ascii="Palatino Linotype" w:eastAsia="Palatino Linotype" w:hAnsi="Palatino Linotype" w:cs="Palatino Linotype"/>
        </w:rPr>
        <w:t>las ligas electrónicas y las indicaciones para consultar la información requerida</w:t>
      </w:r>
      <w:r w:rsidRPr="001135A8">
        <w:rPr>
          <w:rFonts w:ascii="Palatino Linotype" w:eastAsia="Palatino Linotype" w:hAnsi="Palatino Linotype" w:cs="Palatino Linotype"/>
        </w:rPr>
        <w:t>.</w:t>
      </w:r>
    </w:p>
    <w:p w:rsidR="00A37D1A" w:rsidRPr="001135A8" w:rsidRDefault="00A37D1A" w:rsidP="00A37D1A">
      <w:pPr>
        <w:tabs>
          <w:tab w:val="left" w:pos="0"/>
          <w:tab w:val="left" w:pos="567"/>
        </w:tabs>
        <w:spacing w:line="360" w:lineRule="auto"/>
        <w:ind w:left="-566" w:right="-787"/>
        <w:jc w:val="both"/>
        <w:rPr>
          <w:rFonts w:ascii="Palatino Linotype" w:eastAsia="Palatino Linotype" w:hAnsi="Palatino Linotype" w:cs="Palatino Linotype"/>
        </w:rPr>
      </w:pPr>
    </w:p>
    <w:p w:rsidR="00A37D1A" w:rsidRPr="001135A8" w:rsidRDefault="00A37D1A" w:rsidP="00A37D1A">
      <w:pPr>
        <w:numPr>
          <w:ilvl w:val="0"/>
          <w:numId w:val="2"/>
        </w:numPr>
        <w:spacing w:line="360" w:lineRule="auto"/>
        <w:ind w:left="0" w:right="-787" w:firstLine="0"/>
        <w:jc w:val="both"/>
      </w:pPr>
      <w:bookmarkStart w:id="7" w:name="_heading=h.2s8eyo1" w:colFirst="0" w:colLast="0"/>
      <w:bookmarkEnd w:id="7"/>
      <w:r w:rsidRPr="001135A8">
        <w:rPr>
          <w:rFonts w:ascii="Palatino Linotype" w:eastAsia="Palatino Linotype" w:hAnsi="Palatino Linotype" w:cs="Palatino Linotype"/>
        </w:rPr>
        <w:t xml:space="preserve">En efecto, el </w:t>
      </w:r>
      <w:r w:rsidRPr="001135A8">
        <w:rPr>
          <w:rFonts w:ascii="Palatino Linotype" w:eastAsia="Palatino Linotype" w:hAnsi="Palatino Linotype" w:cs="Palatino Linotype"/>
          <w:color w:val="000000"/>
        </w:rPr>
        <w:t>hecho</w:t>
      </w:r>
      <w:r w:rsidRPr="001135A8">
        <w:rPr>
          <w:rFonts w:ascii="Palatino Linotype" w:eastAsia="Palatino Linotype" w:hAnsi="Palatino Linotype" w:cs="Palatino Linotype"/>
        </w:rPr>
        <w:t xml:space="preserve"> de que </w:t>
      </w:r>
      <w:r w:rsidRPr="001135A8">
        <w:rPr>
          <w:rFonts w:ascii="Palatino Linotype" w:eastAsia="Palatino Linotype" w:hAnsi="Palatino Linotype" w:cs="Palatino Linotype"/>
          <w:b/>
        </w:rPr>
        <w:t>EL SUJETO OBLIGADO</w:t>
      </w:r>
      <w:r w:rsidRPr="001135A8">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37D1A" w:rsidRPr="001135A8" w:rsidRDefault="00A37D1A" w:rsidP="00A37D1A">
      <w:pPr>
        <w:spacing w:line="360" w:lineRule="auto"/>
        <w:ind w:right="-787"/>
        <w:jc w:val="both"/>
      </w:pPr>
    </w:p>
    <w:p w:rsidR="00A37D1A" w:rsidRPr="001135A8" w:rsidRDefault="00A37D1A" w:rsidP="00A37D1A">
      <w:pPr>
        <w:tabs>
          <w:tab w:val="left" w:pos="8505"/>
        </w:tabs>
        <w:ind w:left="709" w:right="-85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r w:rsidRPr="001135A8">
        <w:rPr>
          <w:rFonts w:ascii="Palatino Linotype" w:eastAsia="Palatino Linotype" w:hAnsi="Palatino Linotype" w:cs="Palatino Linotype"/>
          <w:b/>
          <w:i/>
          <w:sz w:val="22"/>
          <w:szCs w:val="22"/>
        </w:rPr>
        <w:t>Artículo 12.</w:t>
      </w:r>
      <w:r w:rsidRPr="001135A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rsidR="00A37D1A" w:rsidRPr="001135A8" w:rsidRDefault="00A37D1A" w:rsidP="00A37D1A">
      <w:pPr>
        <w:tabs>
          <w:tab w:val="left" w:pos="8505"/>
        </w:tabs>
        <w:ind w:left="709" w:right="-858"/>
        <w:jc w:val="both"/>
        <w:rPr>
          <w:rFonts w:ascii="Palatino Linotype" w:eastAsia="Palatino Linotype" w:hAnsi="Palatino Linotype" w:cs="Palatino Linotype"/>
          <w:i/>
          <w:sz w:val="22"/>
          <w:szCs w:val="22"/>
        </w:rPr>
      </w:pPr>
    </w:p>
    <w:p w:rsidR="00A37D1A" w:rsidRPr="001135A8" w:rsidRDefault="00A37D1A" w:rsidP="00A37D1A">
      <w:pPr>
        <w:tabs>
          <w:tab w:val="left" w:pos="8505"/>
        </w:tabs>
        <w:ind w:left="709" w:right="-85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37D1A" w:rsidRPr="001135A8" w:rsidRDefault="00A37D1A" w:rsidP="00A37D1A">
      <w:pPr>
        <w:tabs>
          <w:tab w:val="left" w:pos="8505"/>
        </w:tabs>
        <w:ind w:left="709" w:right="-858"/>
        <w:jc w:val="both"/>
        <w:rPr>
          <w:rFonts w:ascii="Palatino Linotype" w:eastAsia="Palatino Linotype" w:hAnsi="Palatino Linotype" w:cs="Palatino Linotype"/>
          <w:i/>
          <w:sz w:val="22"/>
          <w:szCs w:val="22"/>
        </w:rPr>
      </w:pPr>
    </w:p>
    <w:p w:rsidR="00A37D1A" w:rsidRPr="001135A8" w:rsidRDefault="00A37D1A" w:rsidP="00A37D1A">
      <w:pPr>
        <w:pBdr>
          <w:top w:val="nil"/>
          <w:left w:val="nil"/>
          <w:bottom w:val="nil"/>
          <w:right w:val="nil"/>
          <w:between w:val="nil"/>
        </w:pBdr>
        <w:ind w:left="-566" w:right="-787"/>
        <w:rPr>
          <w:rFonts w:ascii="Palatino Linotype" w:eastAsia="Palatino Linotype" w:hAnsi="Palatino Linotype" w:cs="Palatino Linotype"/>
          <w:color w:val="000000"/>
        </w:rPr>
      </w:pPr>
    </w:p>
    <w:p w:rsidR="00A37D1A" w:rsidRPr="001135A8" w:rsidRDefault="00A37D1A" w:rsidP="00A37D1A">
      <w:pPr>
        <w:numPr>
          <w:ilvl w:val="0"/>
          <w:numId w:val="2"/>
        </w:numPr>
        <w:spacing w:line="360" w:lineRule="auto"/>
        <w:ind w:left="0" w:right="-787" w:firstLine="0"/>
        <w:jc w:val="both"/>
        <w:rPr>
          <w:color w:val="000000"/>
        </w:rPr>
      </w:pPr>
      <w:r w:rsidRPr="001135A8">
        <w:rPr>
          <w:rFonts w:ascii="Palatino Linotype" w:eastAsia="Palatino Linotype" w:hAnsi="Palatino Linotype" w:cs="Palatino Linotype"/>
        </w:rPr>
        <w:t xml:space="preserve">Así, el estudio de </w:t>
      </w:r>
      <w:r w:rsidRPr="001135A8">
        <w:rPr>
          <w:rFonts w:ascii="Palatino Linotype" w:eastAsia="Palatino Linotype" w:hAnsi="Palatino Linotype" w:cs="Palatino Linotype"/>
          <w:color w:val="000000"/>
        </w:rPr>
        <w:t>la</w:t>
      </w:r>
      <w:r w:rsidRPr="001135A8">
        <w:rPr>
          <w:rFonts w:ascii="Palatino Linotype" w:eastAsia="Palatino Linotype" w:hAnsi="Palatino Linotype" w:cs="Palatino Linotype"/>
        </w:rPr>
        <w:t xml:space="preserve"> naturaleza jurídica de la información pública solicitada, tiene por objeto determinar si ésta la genera, posee o administra </w:t>
      </w:r>
      <w:r w:rsidRPr="001135A8">
        <w:rPr>
          <w:rFonts w:ascii="Palatino Linotype" w:eastAsia="Palatino Linotype" w:hAnsi="Palatino Linotype" w:cs="Palatino Linotype"/>
          <w:b/>
        </w:rPr>
        <w:t>EL SUJETO OBLIGADO</w:t>
      </w:r>
      <w:r w:rsidRPr="001135A8">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0D3B26" w:rsidRPr="001135A8" w:rsidRDefault="000D3B26">
      <w:pPr>
        <w:spacing w:line="360" w:lineRule="auto"/>
        <w:ind w:right="-787"/>
        <w:jc w:val="both"/>
        <w:rPr>
          <w:rFonts w:ascii="Palatino Linotype" w:eastAsia="Palatino Linotype" w:hAnsi="Palatino Linotype" w:cs="Palatino Linotype"/>
          <w:color w:val="000000"/>
          <w:sz w:val="22"/>
          <w:szCs w:val="22"/>
        </w:rPr>
      </w:pPr>
    </w:p>
    <w:p w:rsidR="00C27E49" w:rsidRPr="001135A8" w:rsidRDefault="00C27E49" w:rsidP="00C27E49">
      <w:pPr>
        <w:numPr>
          <w:ilvl w:val="0"/>
          <w:numId w:val="2"/>
        </w:numPr>
        <w:spacing w:line="360" w:lineRule="auto"/>
        <w:ind w:left="0" w:right="-787" w:firstLine="0"/>
        <w:jc w:val="both"/>
        <w:rPr>
          <w:rFonts w:ascii="Palatino Linotype" w:eastAsia="Palatino Linotype" w:hAnsi="Palatino Linotype" w:cs="Palatino Linotype"/>
          <w:color w:val="000000" w:themeColor="text1"/>
        </w:rPr>
      </w:pPr>
      <w:r w:rsidRPr="001135A8">
        <w:rPr>
          <w:rFonts w:ascii="Palatino Linotype" w:eastAsia="Palatino Linotype" w:hAnsi="Palatino Linotype" w:cs="Palatino Linotype"/>
        </w:rPr>
        <w:t xml:space="preserve">De lo anterior, es de resaltar que </w:t>
      </w:r>
      <w:r w:rsidR="00C55CB5" w:rsidRPr="001135A8">
        <w:rPr>
          <w:rFonts w:ascii="Palatino Linotype" w:eastAsia="Palatino Linotype" w:hAnsi="Palatino Linotype" w:cs="Palatino Linotype"/>
        </w:rPr>
        <w:t>el link proporcionado en respuesta para consultar la información requerida fue</w:t>
      </w:r>
      <w:r w:rsidR="00C55CB5" w:rsidRPr="001135A8">
        <w:rPr>
          <w:rFonts w:ascii="Palatino Linotype" w:eastAsia="Palatino Linotype" w:hAnsi="Palatino Linotype" w:cs="Palatino Linotype"/>
          <w:color w:val="000000" w:themeColor="text1"/>
        </w:rPr>
        <w:t xml:space="preserve"> proporcionado</w:t>
      </w:r>
      <w:r w:rsidRPr="001135A8">
        <w:rPr>
          <w:rFonts w:ascii="Palatino Linotype" w:eastAsia="Palatino Linotype" w:hAnsi="Palatino Linotype" w:cs="Palatino Linotype"/>
          <w:color w:val="000000" w:themeColor="text1"/>
        </w:rPr>
        <w:t xml:space="preserve"> en formato cerrado;</w:t>
      </w:r>
      <w:r w:rsidRPr="001135A8">
        <w:rPr>
          <w:rFonts w:ascii="Palatino Linotype" w:eastAsia="Palatino Linotype" w:hAnsi="Palatino Linotype" w:cs="Palatino Linotype"/>
          <w:color w:val="000000"/>
        </w:rPr>
        <w:t xml:space="preserve"> es decir, que implica que se </w:t>
      </w:r>
      <w:r w:rsidRPr="001135A8">
        <w:rPr>
          <w:rFonts w:ascii="Palatino Linotype" w:eastAsia="Palatino Linotype" w:hAnsi="Palatino Linotype" w:cs="Palatino Linotype"/>
          <w:color w:val="000000"/>
        </w:rPr>
        <w:lastRenderedPageBreak/>
        <w:t xml:space="preserve">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1135A8">
        <w:rPr>
          <w:rFonts w:ascii="Palatino Linotype" w:eastAsia="Palatino Linotype" w:hAnsi="Palatino Linotype" w:cs="Palatino Linotype"/>
          <w:b/>
          <w:color w:val="000000"/>
        </w:rPr>
        <w:t>en formatos abiertos, con los efectos de facilitar la reutilización de la información</w:t>
      </w:r>
      <w:r w:rsidRPr="001135A8">
        <w:rPr>
          <w:rFonts w:ascii="Palatino Linotype" w:eastAsia="Palatino Linotype" w:hAnsi="Palatino Linotype" w:cs="Palatino Linotype"/>
          <w:color w:val="000000"/>
        </w:rPr>
        <w:t>, tal como a la letra refiere:</w:t>
      </w:r>
    </w:p>
    <w:p w:rsidR="00C27E49" w:rsidRPr="001135A8" w:rsidRDefault="00C27E49" w:rsidP="00C27E49">
      <w:pPr>
        <w:ind w:left="566" w:right="-220"/>
        <w:jc w:val="center"/>
        <w:rPr>
          <w:rFonts w:ascii="Palatino Linotype" w:eastAsia="Palatino Linotype" w:hAnsi="Palatino Linotype" w:cs="Palatino Linotype"/>
          <w:b/>
          <w:i/>
          <w:sz w:val="22"/>
          <w:szCs w:val="22"/>
        </w:rPr>
      </w:pPr>
    </w:p>
    <w:p w:rsidR="00C27E49" w:rsidRPr="001135A8" w:rsidRDefault="00C27E49" w:rsidP="00C27E49">
      <w:pPr>
        <w:ind w:left="566" w:right="-220"/>
        <w:jc w:val="center"/>
        <w:rPr>
          <w:rFonts w:ascii="Palatino Linotype" w:eastAsia="Palatino Linotype" w:hAnsi="Palatino Linotype" w:cs="Palatino Linotype"/>
          <w:b/>
          <w:i/>
          <w:sz w:val="22"/>
          <w:szCs w:val="22"/>
        </w:rPr>
      </w:pPr>
      <w:r w:rsidRPr="001135A8">
        <w:rPr>
          <w:rFonts w:ascii="Palatino Linotype" w:eastAsia="Palatino Linotype" w:hAnsi="Palatino Linotype" w:cs="Palatino Linotype"/>
          <w:b/>
          <w:i/>
          <w:sz w:val="22"/>
          <w:szCs w:val="22"/>
        </w:rPr>
        <w:t>Ley de Transparencia y Acceso a la Información Pública del Estado de México y Municipios</w:t>
      </w:r>
    </w:p>
    <w:p w:rsidR="00C27E49" w:rsidRPr="001135A8" w:rsidRDefault="00C27E49" w:rsidP="00C27E49">
      <w:pPr>
        <w:ind w:left="566" w:right="-220"/>
        <w:jc w:val="center"/>
        <w:rPr>
          <w:rFonts w:ascii="Palatino Linotype" w:eastAsia="Palatino Linotype" w:hAnsi="Palatino Linotype" w:cs="Palatino Linotype"/>
          <w:b/>
          <w:i/>
          <w:sz w:val="22"/>
          <w:szCs w:val="22"/>
        </w:rPr>
      </w:pP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3</w:t>
      </w:r>
      <w:r w:rsidRPr="001135A8">
        <w:rPr>
          <w:rFonts w:ascii="Palatino Linotype" w:eastAsia="Palatino Linotype" w:hAnsi="Palatino Linotype" w:cs="Palatino Linotype"/>
          <w:i/>
          <w:sz w:val="22"/>
          <w:szCs w:val="22"/>
        </w:rPr>
        <w:t>. Para los efectos de la presente Ley se entenderá por:</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VIII. Datos abiertos</w:t>
      </w:r>
      <w:r w:rsidRPr="001135A8">
        <w:rPr>
          <w:rFonts w:ascii="Palatino Linotype" w:eastAsia="Palatino Linotype" w:hAnsi="Palatino Linotype" w:cs="Palatino Linotype"/>
          <w:i/>
          <w:sz w:val="22"/>
          <w:szCs w:val="22"/>
        </w:rPr>
        <w:t xml:space="preserve">: Los datos digitales de carácter público que son accesibles en línea que pueden ser usados, reutilizados y redistribuidos por cualquier interesado y que tienen las siguientes características: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a) </w:t>
      </w:r>
      <w:r w:rsidRPr="001135A8">
        <w:rPr>
          <w:rFonts w:ascii="Palatino Linotype" w:eastAsia="Palatino Linotype" w:hAnsi="Palatino Linotype" w:cs="Palatino Linotype"/>
          <w:b/>
          <w:i/>
          <w:sz w:val="22"/>
          <w:szCs w:val="22"/>
        </w:rPr>
        <w:t>Accesibles</w:t>
      </w:r>
      <w:r w:rsidRPr="001135A8">
        <w:rPr>
          <w:rFonts w:ascii="Palatino Linotype" w:eastAsia="Palatino Linotype" w:hAnsi="Palatino Linotype" w:cs="Palatino Linotype"/>
          <w:i/>
          <w:sz w:val="22"/>
          <w:szCs w:val="22"/>
        </w:rPr>
        <w:t xml:space="preserve">: Los datos están disponibles para la gama más amplia de usuarios, para cualquier propósito;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b) </w:t>
      </w:r>
      <w:r w:rsidRPr="001135A8">
        <w:rPr>
          <w:rFonts w:ascii="Palatino Linotype" w:eastAsia="Palatino Linotype" w:hAnsi="Palatino Linotype" w:cs="Palatino Linotype"/>
          <w:b/>
          <w:i/>
          <w:sz w:val="22"/>
          <w:szCs w:val="22"/>
        </w:rPr>
        <w:t>Integrales</w:t>
      </w:r>
      <w:r w:rsidRPr="001135A8">
        <w:rPr>
          <w:rFonts w:ascii="Palatino Linotype" w:eastAsia="Palatino Linotype" w:hAnsi="Palatino Linotype" w:cs="Palatino Linotype"/>
          <w:i/>
          <w:sz w:val="22"/>
          <w:szCs w:val="22"/>
        </w:rPr>
        <w:t>: Contienen el tema que describen a detalle y con los metadatos necesarios;</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c) </w:t>
      </w:r>
      <w:r w:rsidRPr="001135A8">
        <w:rPr>
          <w:rFonts w:ascii="Palatino Linotype" w:eastAsia="Palatino Linotype" w:hAnsi="Palatino Linotype" w:cs="Palatino Linotype"/>
          <w:b/>
          <w:i/>
          <w:sz w:val="22"/>
          <w:szCs w:val="22"/>
        </w:rPr>
        <w:t>Gratuitos</w:t>
      </w:r>
      <w:r w:rsidRPr="001135A8">
        <w:rPr>
          <w:rFonts w:ascii="Palatino Linotype" w:eastAsia="Palatino Linotype" w:hAnsi="Palatino Linotype" w:cs="Palatino Linotype"/>
          <w:i/>
          <w:sz w:val="22"/>
          <w:szCs w:val="22"/>
        </w:rPr>
        <w:t xml:space="preserve">: Se obtienen sin entregar a cambio contraprestación alguna;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d) </w:t>
      </w:r>
      <w:r w:rsidRPr="001135A8">
        <w:rPr>
          <w:rFonts w:ascii="Palatino Linotype" w:eastAsia="Palatino Linotype" w:hAnsi="Palatino Linotype" w:cs="Palatino Linotype"/>
          <w:b/>
          <w:i/>
          <w:sz w:val="22"/>
          <w:szCs w:val="22"/>
        </w:rPr>
        <w:t>No discriminatorios</w:t>
      </w:r>
      <w:r w:rsidRPr="001135A8">
        <w:rPr>
          <w:rFonts w:ascii="Palatino Linotype" w:eastAsia="Palatino Linotype" w:hAnsi="Palatino Linotype" w:cs="Palatino Linotype"/>
          <w:i/>
          <w:sz w:val="22"/>
          <w:szCs w:val="22"/>
        </w:rPr>
        <w:t xml:space="preserve">: Los datos están disponibles para cualquier persona, sin necesidad de registro;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e) </w:t>
      </w:r>
      <w:r w:rsidRPr="001135A8">
        <w:rPr>
          <w:rFonts w:ascii="Palatino Linotype" w:eastAsia="Palatino Linotype" w:hAnsi="Palatino Linotype" w:cs="Palatino Linotype"/>
          <w:b/>
          <w:i/>
          <w:sz w:val="22"/>
          <w:szCs w:val="22"/>
        </w:rPr>
        <w:t>Oportunos</w:t>
      </w:r>
      <w:r w:rsidRPr="001135A8">
        <w:rPr>
          <w:rFonts w:ascii="Palatino Linotype" w:eastAsia="Palatino Linotype" w:hAnsi="Palatino Linotype" w:cs="Palatino Linotype"/>
          <w:i/>
          <w:sz w:val="22"/>
          <w:szCs w:val="22"/>
        </w:rPr>
        <w:t>: Son actualizados, periódicamente, conforme se generen;</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f) </w:t>
      </w:r>
      <w:r w:rsidRPr="001135A8">
        <w:rPr>
          <w:rFonts w:ascii="Palatino Linotype" w:eastAsia="Palatino Linotype" w:hAnsi="Palatino Linotype" w:cs="Palatino Linotype"/>
          <w:b/>
          <w:i/>
          <w:sz w:val="22"/>
          <w:szCs w:val="22"/>
        </w:rPr>
        <w:t>Permanentes</w:t>
      </w:r>
      <w:r w:rsidRPr="001135A8">
        <w:rPr>
          <w:rFonts w:ascii="Palatino Linotype" w:eastAsia="Palatino Linotype" w:hAnsi="Palatino Linotype" w:cs="Palatino Linotype"/>
          <w:i/>
          <w:sz w:val="22"/>
          <w:szCs w:val="22"/>
        </w:rPr>
        <w:t xml:space="preserve">: Se conservan en el tiempo, para lo cual, las versiones históricas relevantes para uso público se mantendrán disponibles con identificadores adecuados al efecto;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g) </w:t>
      </w:r>
      <w:r w:rsidRPr="001135A8">
        <w:rPr>
          <w:rFonts w:ascii="Palatino Linotype" w:eastAsia="Palatino Linotype" w:hAnsi="Palatino Linotype" w:cs="Palatino Linotype"/>
          <w:b/>
          <w:i/>
          <w:sz w:val="22"/>
          <w:szCs w:val="22"/>
        </w:rPr>
        <w:t>Primarios</w:t>
      </w:r>
      <w:r w:rsidRPr="001135A8">
        <w:rPr>
          <w:rFonts w:ascii="Palatino Linotype" w:eastAsia="Palatino Linotype" w:hAnsi="Palatino Linotype" w:cs="Palatino Linotype"/>
          <w:i/>
          <w:sz w:val="22"/>
          <w:szCs w:val="22"/>
        </w:rPr>
        <w:t xml:space="preserve">: Provienen de la fuente de origen con el máximo nivel de desagregación posible;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h) </w:t>
      </w:r>
      <w:r w:rsidRPr="001135A8">
        <w:rPr>
          <w:rFonts w:ascii="Palatino Linotype" w:eastAsia="Palatino Linotype" w:hAnsi="Palatino Linotype" w:cs="Palatino Linotype"/>
          <w:b/>
          <w:i/>
          <w:sz w:val="22"/>
          <w:szCs w:val="22"/>
        </w:rPr>
        <w:t>Legibles por máquinas</w:t>
      </w:r>
      <w:r w:rsidRPr="001135A8">
        <w:rPr>
          <w:rFonts w:ascii="Palatino Linotype" w:eastAsia="Palatino Linotype" w:hAnsi="Palatino Linotype" w:cs="Palatino Linotype"/>
          <w:i/>
          <w:sz w:val="22"/>
          <w:szCs w:val="22"/>
        </w:rPr>
        <w:t xml:space="preserve">: Deberán estar estructurados, total o parcialmente, para ser procesados e interpretados por equipos electrónicos de manera automática;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i) </w:t>
      </w:r>
      <w:r w:rsidRPr="001135A8">
        <w:rPr>
          <w:rFonts w:ascii="Palatino Linotype" w:eastAsia="Palatino Linotype" w:hAnsi="Palatino Linotype" w:cs="Palatino Linotype"/>
          <w:b/>
          <w:i/>
          <w:sz w:val="22"/>
          <w:szCs w:val="22"/>
        </w:rPr>
        <w:t>En formatos abiertos</w:t>
      </w:r>
      <w:r w:rsidRPr="001135A8">
        <w:rPr>
          <w:rFonts w:ascii="Palatino Linotype" w:eastAsia="Palatino Linotype" w:hAnsi="Palatino Linotype" w:cs="Palatino Linotype"/>
          <w:i/>
          <w:sz w:val="22"/>
          <w:szCs w:val="22"/>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j) </w:t>
      </w:r>
      <w:r w:rsidRPr="001135A8">
        <w:rPr>
          <w:rFonts w:ascii="Palatino Linotype" w:eastAsia="Palatino Linotype" w:hAnsi="Palatino Linotype" w:cs="Palatino Linotype"/>
          <w:b/>
          <w:i/>
          <w:sz w:val="22"/>
          <w:szCs w:val="22"/>
        </w:rPr>
        <w:t>De libre uso</w:t>
      </w:r>
      <w:r w:rsidRPr="001135A8">
        <w:rPr>
          <w:rFonts w:ascii="Palatino Linotype" w:eastAsia="Palatino Linotype" w:hAnsi="Palatino Linotype" w:cs="Palatino Linotype"/>
          <w:i/>
          <w:sz w:val="22"/>
          <w:szCs w:val="22"/>
        </w:rPr>
        <w:t>: Citan la fuente de origen como único requerimiento para ser utilizados libremente.</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C27E49" w:rsidRPr="001135A8" w:rsidRDefault="00C27E49" w:rsidP="00C27E49">
      <w:pPr>
        <w:ind w:left="566" w:right="-220"/>
        <w:jc w:val="both"/>
        <w:rPr>
          <w:rFonts w:ascii="Palatino Linotype" w:eastAsia="Palatino Linotype" w:hAnsi="Palatino Linotype" w:cs="Palatino Linotype"/>
          <w:i/>
          <w:sz w:val="22"/>
          <w:szCs w:val="22"/>
        </w:rPr>
      </w:pP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lastRenderedPageBreak/>
        <w:t>XVI. Formatos abiertos</w:t>
      </w:r>
      <w:r w:rsidRPr="001135A8">
        <w:rPr>
          <w:rFonts w:ascii="Palatino Linotype" w:eastAsia="Palatino Linotype" w:hAnsi="Palatino Linotype" w:cs="Palatino Linotype"/>
          <w:i/>
          <w:sz w:val="22"/>
          <w:szCs w:val="22"/>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C27E49" w:rsidRPr="001135A8" w:rsidRDefault="00C27E49" w:rsidP="00C27E49">
      <w:pPr>
        <w:ind w:left="566" w:right="-220"/>
        <w:jc w:val="both"/>
        <w:rPr>
          <w:rFonts w:ascii="Palatino Linotype" w:eastAsia="Palatino Linotype" w:hAnsi="Palatino Linotype" w:cs="Palatino Linotype"/>
          <w:i/>
          <w:sz w:val="22"/>
          <w:szCs w:val="22"/>
        </w:rPr>
      </w:pP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24</w:t>
      </w:r>
      <w:r w:rsidRPr="001135A8">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V. Promover la generación, documentación y publicación de la información en formatos abiertos y accesibles;</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C27E49" w:rsidRPr="001135A8" w:rsidRDefault="00C27E49" w:rsidP="00C27E49">
      <w:pPr>
        <w:ind w:left="566" w:right="-220"/>
        <w:jc w:val="both"/>
        <w:rPr>
          <w:rFonts w:ascii="Palatino Linotype" w:eastAsia="Palatino Linotype" w:hAnsi="Palatino Linotype" w:cs="Palatino Linotype"/>
          <w:i/>
          <w:sz w:val="22"/>
          <w:szCs w:val="22"/>
        </w:rPr>
      </w:pP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41</w:t>
      </w:r>
      <w:r w:rsidRPr="001135A8">
        <w:rPr>
          <w:rFonts w:ascii="Palatino Linotype" w:eastAsia="Palatino Linotype" w:hAnsi="Palatino Linotype" w:cs="Palatino Linotype"/>
          <w:i/>
          <w:sz w:val="22"/>
          <w:szCs w:val="22"/>
        </w:rPr>
        <w:t>. El Instituto promoverá la publicación de la información en datos abiertos y accesibles.</w:t>
      </w: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C27E49" w:rsidRPr="001135A8" w:rsidRDefault="00C27E49" w:rsidP="00C27E49">
      <w:pPr>
        <w:ind w:left="566" w:right="-220"/>
        <w:jc w:val="both"/>
        <w:rPr>
          <w:rFonts w:ascii="Palatino Linotype" w:eastAsia="Palatino Linotype" w:hAnsi="Palatino Linotype" w:cs="Palatino Linotype"/>
          <w:i/>
          <w:sz w:val="22"/>
          <w:szCs w:val="22"/>
        </w:rPr>
      </w:pPr>
    </w:p>
    <w:p w:rsidR="00C27E49" w:rsidRPr="001135A8" w:rsidRDefault="00C27E49" w:rsidP="00C27E49">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160</w:t>
      </w:r>
      <w:r w:rsidRPr="001135A8">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rsidR="00C27E49" w:rsidRPr="001135A8" w:rsidRDefault="00C27E49" w:rsidP="00C27E49">
      <w:pPr>
        <w:ind w:left="566" w:right="-220"/>
        <w:jc w:val="both"/>
        <w:rPr>
          <w:rFonts w:ascii="Palatino Linotype" w:eastAsia="Palatino Linotype" w:hAnsi="Palatino Linotype" w:cs="Palatino Linotype"/>
          <w:i/>
          <w:sz w:val="22"/>
          <w:szCs w:val="22"/>
        </w:rPr>
      </w:pPr>
    </w:p>
    <w:p w:rsidR="00C27E49" w:rsidRPr="001135A8" w:rsidRDefault="00C27E49" w:rsidP="00C55CB5">
      <w:pPr>
        <w:numPr>
          <w:ilvl w:val="0"/>
          <w:numId w:val="2"/>
        </w:numPr>
        <w:spacing w:line="360" w:lineRule="auto"/>
        <w:ind w:left="0" w:right="-787" w:firstLine="0"/>
        <w:jc w:val="both"/>
        <w:rPr>
          <w:rFonts w:ascii="Palatino Linotype" w:eastAsia="Palatino Linotype" w:hAnsi="Palatino Linotype" w:cs="Palatino Linotype"/>
          <w:b/>
          <w:color w:val="000000"/>
        </w:rPr>
      </w:pPr>
      <w:r w:rsidRPr="001135A8">
        <w:rPr>
          <w:rFonts w:ascii="Palatino Linotype" w:eastAsia="Palatino Linotype" w:hAnsi="Palatino Linotype" w:cs="Palatino Linotype"/>
          <w:color w:val="000000"/>
        </w:rPr>
        <w:t xml:space="preserve">Es así que, los Sujetos Obligados y este Organismo Garante, deben velar por la generación y entrega de la información a los Particulares </w:t>
      </w:r>
      <w:r w:rsidRPr="001135A8">
        <w:rPr>
          <w:rFonts w:ascii="Palatino Linotype" w:eastAsia="Palatino Linotype" w:hAnsi="Palatino Linotype" w:cs="Palatino Linotype"/>
          <w:b/>
          <w:color w:val="000000"/>
        </w:rPr>
        <w:t>en formatos abiertos, con los efectos de facilitar la reutilización de la información.</w:t>
      </w:r>
    </w:p>
    <w:p w:rsidR="00C27E49" w:rsidRPr="001135A8" w:rsidRDefault="00C27E49" w:rsidP="00C27E49">
      <w:pPr>
        <w:spacing w:line="360" w:lineRule="auto"/>
        <w:jc w:val="both"/>
        <w:rPr>
          <w:rFonts w:ascii="Palatino Linotype" w:eastAsia="Palatino Linotype" w:hAnsi="Palatino Linotype" w:cs="Palatino Linotype"/>
          <w:b/>
          <w:color w:val="000000"/>
        </w:rPr>
      </w:pPr>
    </w:p>
    <w:p w:rsidR="00C27E49" w:rsidRPr="001135A8" w:rsidRDefault="00C27E49" w:rsidP="00C55CB5">
      <w:pPr>
        <w:numPr>
          <w:ilvl w:val="0"/>
          <w:numId w:val="2"/>
        </w:numPr>
        <w:spacing w:line="360" w:lineRule="auto"/>
        <w:ind w:left="0" w:right="-787" w:firstLine="0"/>
        <w:jc w:val="both"/>
        <w:rPr>
          <w:rFonts w:ascii="Palatino Linotype" w:eastAsia="Palatino Linotype" w:hAnsi="Palatino Linotype" w:cs="Palatino Linotype"/>
          <w:color w:val="000000" w:themeColor="text1"/>
        </w:rPr>
      </w:pPr>
      <w:r w:rsidRPr="001135A8">
        <w:rPr>
          <w:rFonts w:ascii="Palatino Linotype" w:eastAsia="Palatino Linotype" w:hAnsi="Palatino Linotype" w:cs="Palatino Linotype"/>
          <w:color w:val="000000"/>
        </w:rPr>
        <w:t xml:space="preserve">En este sentido,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sidRPr="001135A8">
        <w:rPr>
          <w:rFonts w:ascii="Palatino Linotype" w:eastAsia="Palatino Linotype" w:hAnsi="Palatino Linotype" w:cs="Palatino Linotype"/>
          <w:b/>
          <w:color w:val="000000"/>
          <w:u w:val="single"/>
        </w:rPr>
        <w:t xml:space="preserve">se le hará saber por el medio requerido por el solicitante la fuente, el lugar y la forma en que puede consultar, reproducir </w:t>
      </w:r>
      <w:r w:rsidRPr="001135A8">
        <w:rPr>
          <w:rFonts w:ascii="Palatino Linotype" w:eastAsia="Palatino Linotype" w:hAnsi="Palatino Linotype" w:cs="Palatino Linotype"/>
          <w:b/>
          <w:color w:val="000000"/>
          <w:u w:val="single"/>
        </w:rPr>
        <w:lastRenderedPageBreak/>
        <w:t>o adquirir dicha información en un plazo no mayor a cinco días hábiles. La fuente deberá ser precisa y concreta y no debe implicar que el solicitante realice la búsqueda en toda la información que se encuentre disponible.</w:t>
      </w:r>
    </w:p>
    <w:p w:rsidR="00C27E49" w:rsidRPr="001135A8" w:rsidRDefault="00C27E49" w:rsidP="00C27E49">
      <w:pPr>
        <w:spacing w:line="360" w:lineRule="auto"/>
        <w:ind w:right="-787"/>
        <w:jc w:val="both"/>
        <w:rPr>
          <w:rFonts w:ascii="Palatino Linotype" w:eastAsia="Palatino Linotype" w:hAnsi="Palatino Linotype" w:cs="Palatino Linotype"/>
          <w:color w:val="000000" w:themeColor="text1"/>
        </w:rPr>
      </w:pPr>
    </w:p>
    <w:p w:rsidR="005D70E2" w:rsidRPr="001135A8" w:rsidRDefault="00C55CB5" w:rsidP="00C55CB5">
      <w:pPr>
        <w:numPr>
          <w:ilvl w:val="0"/>
          <w:numId w:val="2"/>
        </w:numPr>
        <w:spacing w:line="360" w:lineRule="auto"/>
        <w:ind w:left="0" w:right="-787" w:firstLine="0"/>
        <w:jc w:val="both"/>
        <w:rPr>
          <w:color w:val="000000"/>
        </w:rPr>
      </w:pPr>
      <w:r w:rsidRPr="001135A8">
        <w:rPr>
          <w:rFonts w:ascii="Palatino Linotype" w:eastAsia="Palatino Linotype" w:hAnsi="Palatino Linotype" w:cs="Palatino Linotype"/>
          <w:color w:val="000000" w:themeColor="text1"/>
        </w:rPr>
        <w:t xml:space="preserve">En este sentido, si bien la liga se proporcionó en formato cerrado, de los motivos de inconformidad se advierte que el particular si logró consultar la información, al referir que </w:t>
      </w:r>
      <w:r w:rsidRPr="001135A8">
        <w:rPr>
          <w:rFonts w:ascii="Palatino Linotype" w:eastAsia="Palatino Linotype" w:hAnsi="Palatino Linotype" w:cs="Palatino Linotype"/>
          <w:i/>
          <w:color w:val="000000" w:themeColor="text1"/>
        </w:rPr>
        <w:t>la liga proporciona en su respuesta no contienen la información solicitada con toda precisión y claridad (comprobantes de pago)</w:t>
      </w:r>
      <w:r w:rsidRPr="001135A8">
        <w:rPr>
          <w:rFonts w:ascii="Palatino Linotype" w:eastAsia="Palatino Linotype" w:hAnsi="Palatino Linotype" w:cs="Palatino Linotype"/>
          <w:color w:val="000000" w:themeColor="text1"/>
        </w:rPr>
        <w:t xml:space="preserve">, por lo que al analizar el contenido de la misma </w:t>
      </w:r>
      <w:r w:rsidR="006D7BB7" w:rsidRPr="001135A8">
        <w:rPr>
          <w:rFonts w:ascii="Palatino Linotype" w:eastAsia="Palatino Linotype" w:hAnsi="Palatino Linotype" w:cs="Palatino Linotype"/>
          <w:color w:val="000000" w:themeColor="text1"/>
        </w:rPr>
        <w:t>siguiendo las indicaciones del Sujeto Obligado, en lo que respecta a las indicaciones de la información 2024, se muestra el documento denominado bRM-08b FICHA TÉCNICA DE SEGUIMIENTO DE INDICADORES 2025 DE GESTION O ESTRATÉGICO</w:t>
      </w:r>
      <w:r w:rsidR="00DD461D" w:rsidRPr="001135A8">
        <w:rPr>
          <w:rFonts w:ascii="Palatino Linotype" w:eastAsia="Palatino Linotype" w:hAnsi="Palatino Linotype" w:cs="Palatino Linotype"/>
          <w:color w:val="000000" w:themeColor="text1"/>
        </w:rPr>
        <w:t xml:space="preserve"> 2025</w:t>
      </w:r>
      <w:r w:rsidR="006D7BB7" w:rsidRPr="001135A8">
        <w:rPr>
          <w:rFonts w:ascii="Palatino Linotype" w:eastAsia="Palatino Linotype" w:hAnsi="Palatino Linotype" w:cs="Palatino Linotype"/>
          <w:color w:val="000000" w:themeColor="text1"/>
        </w:rPr>
        <w:t>, en cuya página 64, proporciona la información relativa al proyecto coordinación para servicios de administración y mantenimiento de panteones, tal como se muestra en la imagen siguiente:</w:t>
      </w:r>
    </w:p>
    <w:p w:rsidR="006D7BB7" w:rsidRPr="001135A8" w:rsidRDefault="006D7BB7" w:rsidP="006D7BB7">
      <w:pPr>
        <w:spacing w:line="360" w:lineRule="auto"/>
        <w:ind w:right="-787"/>
        <w:jc w:val="both"/>
        <w:rPr>
          <w:rFonts w:ascii="Palatino Linotype" w:eastAsia="Palatino Linotype" w:hAnsi="Palatino Linotype" w:cs="Palatino Linotype"/>
          <w:color w:val="000000" w:themeColor="text1"/>
        </w:rPr>
      </w:pPr>
    </w:p>
    <w:p w:rsidR="00C55CB5" w:rsidRPr="001135A8" w:rsidRDefault="006D7BB7" w:rsidP="006D7BB7">
      <w:pPr>
        <w:spacing w:line="360" w:lineRule="auto"/>
        <w:ind w:right="-787"/>
        <w:jc w:val="center"/>
        <w:rPr>
          <w:color w:val="000000"/>
        </w:rPr>
      </w:pPr>
      <w:r w:rsidRPr="001135A8">
        <w:rPr>
          <w:noProof/>
          <w:color w:val="000000"/>
          <w:lang w:val="es-MX"/>
        </w:rPr>
        <w:lastRenderedPageBreak/>
        <w:drawing>
          <wp:inline distT="0" distB="0" distL="0" distR="0" wp14:anchorId="071EDCCE" wp14:editId="273849BE">
            <wp:extent cx="4441371" cy="399355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8532" cy="4026973"/>
                    </a:xfrm>
                    <a:prstGeom prst="rect">
                      <a:avLst/>
                    </a:prstGeom>
                  </pic:spPr>
                </pic:pic>
              </a:graphicData>
            </a:graphic>
          </wp:inline>
        </w:drawing>
      </w:r>
    </w:p>
    <w:p w:rsidR="006D7BB7" w:rsidRPr="001135A8" w:rsidRDefault="00DD461D" w:rsidP="00C033D6">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No obstante al seleccionar el apartado de CONTABILIDAD 2025, muestra la información de 2024, y al seguir los pasos previamente referenciados, se puede consultar el documento denominado CUENTA PÚBLICA 2024, Estado Analítico del Ejercicio del Presupuesto de Egresos, Clasificación por Objeto del Gasto (capítulo y concepto), del 01 de enero al 31 de diciembre, en cuya página 64, se logra observar el la partida presupuestal referida en la solicitud de información,</w:t>
      </w:r>
    </w:p>
    <w:p w:rsidR="00DD461D" w:rsidRPr="001135A8" w:rsidRDefault="00DD461D" w:rsidP="00DD461D">
      <w:pPr>
        <w:spacing w:line="360" w:lineRule="auto"/>
        <w:ind w:right="-787"/>
        <w:jc w:val="both"/>
        <w:rPr>
          <w:rFonts w:ascii="Palatino Linotype" w:eastAsia="Palatino Linotype" w:hAnsi="Palatino Linotype" w:cs="Palatino Linotype"/>
        </w:rPr>
      </w:pPr>
    </w:p>
    <w:p w:rsidR="00DD461D" w:rsidRPr="001135A8" w:rsidRDefault="00DD461D" w:rsidP="00DD461D">
      <w:pPr>
        <w:spacing w:line="360" w:lineRule="auto"/>
        <w:ind w:right="-787"/>
        <w:jc w:val="both"/>
        <w:rPr>
          <w:rFonts w:ascii="Palatino Linotype" w:eastAsia="Palatino Linotype" w:hAnsi="Palatino Linotype" w:cs="Palatino Linotype"/>
        </w:rPr>
      </w:pPr>
      <w:r w:rsidRPr="001135A8">
        <w:rPr>
          <w:rFonts w:ascii="Palatino Linotype" w:eastAsia="Palatino Linotype" w:hAnsi="Palatino Linotype" w:cs="Palatino Linotype"/>
          <w:noProof/>
          <w:lang w:val="es-MX"/>
        </w:rPr>
        <w:lastRenderedPageBreak/>
        <w:drawing>
          <wp:inline distT="0" distB="0" distL="0" distR="0" wp14:anchorId="6D78DA74" wp14:editId="6B02B2E0">
            <wp:extent cx="5756275" cy="28873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2887345"/>
                    </a:xfrm>
                    <a:prstGeom prst="rect">
                      <a:avLst/>
                    </a:prstGeom>
                  </pic:spPr>
                </pic:pic>
              </a:graphicData>
            </a:graphic>
          </wp:inline>
        </w:drawing>
      </w:r>
    </w:p>
    <w:p w:rsidR="00DD461D" w:rsidRPr="001135A8" w:rsidRDefault="00DD461D" w:rsidP="00DD461D">
      <w:pPr>
        <w:spacing w:line="360" w:lineRule="auto"/>
        <w:ind w:right="-787"/>
        <w:jc w:val="both"/>
        <w:rPr>
          <w:rFonts w:ascii="Palatino Linotype" w:eastAsia="Palatino Linotype" w:hAnsi="Palatino Linotype" w:cs="Palatino Linotype"/>
        </w:rPr>
      </w:pPr>
    </w:p>
    <w:p w:rsidR="00DD461D" w:rsidRPr="001135A8" w:rsidRDefault="00DD461D" w:rsidP="00C033D6">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Ahora bien, para la información de 2025, al seguir las indicaciones se puede consultar el documento denominado ESTADO ANALITICO DEL EJERCICIO DEL PRESUPUESTO DE EGRESOS CLASIFICACION POR OBJETO DEL GASTO (Capitulo y Concepto) DEL 1 AL 30 DE JUNIO DE 2025, tal como se muestra en la imagen siguiente:</w:t>
      </w:r>
    </w:p>
    <w:p w:rsidR="00DD461D" w:rsidRPr="001135A8" w:rsidRDefault="00DD461D" w:rsidP="00DD461D">
      <w:pPr>
        <w:spacing w:line="360" w:lineRule="auto"/>
        <w:ind w:right="-787"/>
        <w:jc w:val="both"/>
        <w:rPr>
          <w:rFonts w:ascii="Palatino Linotype" w:eastAsia="Palatino Linotype" w:hAnsi="Palatino Linotype" w:cs="Palatino Linotype"/>
        </w:rPr>
      </w:pPr>
    </w:p>
    <w:p w:rsidR="00DD461D" w:rsidRPr="001135A8" w:rsidRDefault="00DD461D" w:rsidP="00DD461D">
      <w:pPr>
        <w:spacing w:line="360" w:lineRule="auto"/>
        <w:ind w:right="-787"/>
        <w:jc w:val="both"/>
        <w:rPr>
          <w:rFonts w:ascii="Palatino Linotype" w:eastAsia="Palatino Linotype" w:hAnsi="Palatino Linotype" w:cs="Palatino Linotype"/>
        </w:rPr>
      </w:pPr>
      <w:r w:rsidRPr="001135A8">
        <w:rPr>
          <w:rFonts w:ascii="Palatino Linotype" w:eastAsia="Palatino Linotype" w:hAnsi="Palatino Linotype" w:cs="Palatino Linotype"/>
          <w:noProof/>
          <w:lang w:val="es-MX"/>
        </w:rPr>
        <w:lastRenderedPageBreak/>
        <w:drawing>
          <wp:inline distT="0" distB="0" distL="0" distR="0" wp14:anchorId="6FD18FBA" wp14:editId="428E617A">
            <wp:extent cx="5756275" cy="2849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2849880"/>
                    </a:xfrm>
                    <a:prstGeom prst="rect">
                      <a:avLst/>
                    </a:prstGeom>
                  </pic:spPr>
                </pic:pic>
              </a:graphicData>
            </a:graphic>
          </wp:inline>
        </w:drawing>
      </w:r>
    </w:p>
    <w:p w:rsidR="00DD461D" w:rsidRPr="001135A8" w:rsidRDefault="00DD461D" w:rsidP="00DD461D">
      <w:pPr>
        <w:spacing w:line="360" w:lineRule="auto"/>
        <w:ind w:right="-787"/>
        <w:jc w:val="both"/>
        <w:rPr>
          <w:rFonts w:ascii="Palatino Linotype" w:eastAsia="Palatino Linotype" w:hAnsi="Palatino Linotype" w:cs="Palatino Linotype"/>
        </w:rPr>
      </w:pPr>
    </w:p>
    <w:p w:rsidR="00DD461D" w:rsidRPr="001135A8" w:rsidRDefault="00DD461D" w:rsidP="00DD461D">
      <w:pPr>
        <w:spacing w:line="360" w:lineRule="auto"/>
        <w:ind w:right="-787"/>
        <w:jc w:val="both"/>
        <w:rPr>
          <w:rFonts w:ascii="Palatino Linotype" w:eastAsia="Palatino Linotype" w:hAnsi="Palatino Linotype" w:cs="Palatino Linotype"/>
        </w:rPr>
      </w:pPr>
    </w:p>
    <w:p w:rsidR="00DD461D" w:rsidRPr="001135A8" w:rsidRDefault="00AA17D9" w:rsidP="00C033D6">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Sin embargo</w:t>
      </w:r>
      <w:r w:rsidR="00DD461D" w:rsidRPr="001135A8">
        <w:rPr>
          <w:rFonts w:ascii="Palatino Linotype" w:eastAsia="Palatino Linotype" w:hAnsi="Palatino Linotype" w:cs="Palatino Linotype"/>
        </w:rPr>
        <w:t xml:space="preserve">, la información proporcionada no da cuenta del requerimiento realizado por el particular, ya que </w:t>
      </w:r>
      <w:r w:rsidR="00225A8C" w:rsidRPr="001135A8">
        <w:rPr>
          <w:rFonts w:ascii="Palatino Linotype" w:eastAsia="Palatino Linotype" w:hAnsi="Palatino Linotype" w:cs="Palatino Linotype"/>
        </w:rPr>
        <w:t>este documento muestra en cifras el presupuesto de egresos aprobado y ejercido o subejercido en determinada temporalidad, y no así los comprobantes de pago del recurso ejercido de la partida presupuestal requerida, por lo que el agravio manifestado por el recurrente resulta fundado.</w:t>
      </w:r>
    </w:p>
    <w:p w:rsidR="004739C8" w:rsidRPr="001135A8" w:rsidRDefault="004739C8" w:rsidP="004739C8">
      <w:pPr>
        <w:spacing w:line="360" w:lineRule="auto"/>
        <w:ind w:right="-787"/>
        <w:jc w:val="both"/>
        <w:rPr>
          <w:rFonts w:ascii="Palatino Linotype" w:eastAsia="Palatino Linotype" w:hAnsi="Palatino Linotype" w:cs="Palatino Linotype"/>
        </w:rPr>
      </w:pPr>
    </w:p>
    <w:p w:rsidR="004739C8" w:rsidRPr="001135A8" w:rsidRDefault="004739C8" w:rsidP="004739C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En virtud de lo anterior, en principio es de referir que en la solicitud se requirió: </w:t>
      </w:r>
      <w:r w:rsidRPr="001135A8">
        <w:rPr>
          <w:rFonts w:ascii="Palatino Linotype" w:eastAsia="Palatino Linotype" w:hAnsi="Palatino Linotype" w:cs="Palatino Linotype"/>
          <w:i/>
          <w:u w:val="single"/>
        </w:rPr>
        <w:t xml:space="preserve">Comprobantes </w:t>
      </w:r>
      <w:r w:rsidR="00C12AEF" w:rsidRPr="001135A8">
        <w:rPr>
          <w:rFonts w:ascii="Palatino Linotype" w:eastAsia="Palatino Linotype" w:hAnsi="Palatino Linotype" w:cs="Palatino Linotype"/>
          <w:i/>
          <w:u w:val="single"/>
        </w:rPr>
        <w:t xml:space="preserve">de pago mediante cheque o transferencia </w:t>
      </w:r>
      <w:r w:rsidRPr="001135A8">
        <w:rPr>
          <w:rFonts w:ascii="Palatino Linotype" w:eastAsia="Palatino Linotype" w:hAnsi="Palatino Linotype" w:cs="Palatino Linotype"/>
          <w:i/>
          <w:u w:val="single"/>
        </w:rPr>
        <w:t>electrónica</w:t>
      </w:r>
      <w:r w:rsidR="00C12AEF" w:rsidRPr="001135A8">
        <w:rPr>
          <w:rFonts w:ascii="Palatino Linotype" w:eastAsia="Palatino Linotype" w:hAnsi="Palatino Linotype" w:cs="Palatino Linotype"/>
          <w:i/>
          <w:u w:val="single"/>
        </w:rPr>
        <w:t xml:space="preserve"> interbancaria con recursos </w:t>
      </w:r>
      <w:r w:rsidRPr="001135A8">
        <w:rPr>
          <w:rFonts w:ascii="Palatino Linotype" w:eastAsia="Palatino Linotype" w:hAnsi="Palatino Linotype" w:cs="Palatino Linotype"/>
          <w:i/>
          <w:u w:val="single"/>
        </w:rPr>
        <w:t>públicos</w:t>
      </w:r>
      <w:r w:rsidR="00C12AEF" w:rsidRPr="001135A8">
        <w:rPr>
          <w:rFonts w:ascii="Palatino Linotype" w:eastAsia="Palatino Linotype" w:hAnsi="Palatino Linotype" w:cs="Palatino Linotype"/>
          <w:i/>
          <w:u w:val="single"/>
        </w:rPr>
        <w:t xml:space="preserve"> de la partida presupuestal 3251</w:t>
      </w:r>
      <w:r w:rsidRPr="001135A8">
        <w:rPr>
          <w:rFonts w:ascii="Palatino Linotype" w:eastAsia="Palatino Linotype" w:hAnsi="Palatino Linotype" w:cs="Palatino Linotype"/>
          <w:i/>
          <w:u w:val="single"/>
        </w:rPr>
        <w:t>,</w:t>
      </w:r>
      <w:r w:rsidR="00C12AEF" w:rsidRPr="001135A8">
        <w:rPr>
          <w:rFonts w:ascii="Palatino Linotype" w:eastAsia="Palatino Linotype" w:hAnsi="Palatino Linotype" w:cs="Palatino Linotype"/>
          <w:i/>
          <w:u w:val="single"/>
        </w:rPr>
        <w:t xml:space="preserve"> realizados del </w:t>
      </w:r>
      <w:r w:rsidRPr="001135A8">
        <w:rPr>
          <w:rFonts w:ascii="Palatino Linotype" w:eastAsia="Palatino Linotype" w:hAnsi="Palatino Linotype" w:cs="Palatino Linotype"/>
          <w:i/>
          <w:u w:val="single"/>
        </w:rPr>
        <w:t>0</w:t>
      </w:r>
      <w:r w:rsidR="00C12AEF" w:rsidRPr="001135A8">
        <w:rPr>
          <w:rFonts w:ascii="Palatino Linotype" w:eastAsia="Palatino Linotype" w:hAnsi="Palatino Linotype" w:cs="Palatino Linotype"/>
          <w:i/>
          <w:u w:val="single"/>
        </w:rPr>
        <w:t>1 de enero</w:t>
      </w:r>
      <w:r w:rsidRPr="001135A8">
        <w:rPr>
          <w:rFonts w:ascii="Palatino Linotype" w:eastAsia="Palatino Linotype" w:hAnsi="Palatino Linotype" w:cs="Palatino Linotype"/>
          <w:i/>
          <w:u w:val="single"/>
        </w:rPr>
        <w:t xml:space="preserve"> de 2024 al 30 de junio de 2025</w:t>
      </w:r>
      <w:r w:rsidRPr="001135A8">
        <w:rPr>
          <w:rFonts w:ascii="Palatino Linotype" w:eastAsia="Palatino Linotype" w:hAnsi="Palatino Linotype" w:cs="Palatino Linotype"/>
        </w:rPr>
        <w:t>, dichas partidas presupuestales de conformidad con el Clasificador por Objeto de Gasto Estatal-Municipal señala lo siguiente:</w:t>
      </w:r>
    </w:p>
    <w:p w:rsidR="004739C8" w:rsidRPr="001135A8" w:rsidRDefault="004739C8" w:rsidP="004739C8">
      <w:pPr>
        <w:spacing w:line="360" w:lineRule="auto"/>
        <w:ind w:right="-787"/>
        <w:jc w:val="both"/>
        <w:rPr>
          <w:rFonts w:ascii="Palatino Linotype" w:eastAsia="Palatino Linotype" w:hAnsi="Palatino Linotype" w:cs="Palatino Linotype"/>
        </w:rPr>
      </w:pPr>
    </w:p>
    <w:p w:rsidR="004739C8" w:rsidRPr="001135A8" w:rsidRDefault="004739C8"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lastRenderedPageBreak/>
        <w:t>1.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4739C8" w:rsidRPr="001135A8" w:rsidRDefault="004739C8" w:rsidP="004739C8">
      <w:pPr>
        <w:ind w:left="567" w:right="-788"/>
        <w:jc w:val="both"/>
        <w:rPr>
          <w:rFonts w:ascii="Palatino Linotype" w:eastAsia="Palatino Linotype" w:hAnsi="Palatino Linotype" w:cs="Palatino Linotype"/>
          <w:i/>
          <w:sz w:val="22"/>
          <w:szCs w:val="22"/>
        </w:rPr>
      </w:pPr>
    </w:p>
    <w:p w:rsidR="004739C8" w:rsidRPr="001135A8" w:rsidRDefault="004739C8"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2. El presente Clasificador por Objeto del Gasto, es de observancia obligatoria para las dependencias, entidades públicas y los Municipios, cumpliendo además con la normatividad que se emita en la materia.</w:t>
      </w:r>
    </w:p>
    <w:p w:rsidR="004739C8" w:rsidRPr="001135A8" w:rsidRDefault="004739C8"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4739C8" w:rsidRPr="001135A8" w:rsidRDefault="004739C8"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noProof/>
          <w:sz w:val="22"/>
          <w:szCs w:val="22"/>
          <w:lang w:val="es-MX"/>
        </w:rPr>
        <w:drawing>
          <wp:inline distT="0" distB="0" distL="0" distR="0" wp14:anchorId="17DC52F9" wp14:editId="7A67C9BC">
            <wp:extent cx="5756275" cy="428625"/>
            <wp:effectExtent l="152400" t="152400" r="358775" b="371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252" b="8556"/>
                    <a:stretch/>
                  </pic:blipFill>
                  <pic:spPr bwMode="auto">
                    <a:xfrm>
                      <a:off x="0" y="0"/>
                      <a:ext cx="5756275" cy="428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739C8" w:rsidRPr="001135A8" w:rsidRDefault="004739C8" w:rsidP="004739C8">
      <w:pPr>
        <w:ind w:left="567" w:right="-788"/>
        <w:jc w:val="center"/>
        <w:rPr>
          <w:rFonts w:ascii="Palatino Linotype" w:eastAsia="Palatino Linotype" w:hAnsi="Palatino Linotype" w:cs="Palatino Linotype"/>
          <w:b/>
          <w:i/>
          <w:sz w:val="22"/>
          <w:szCs w:val="22"/>
        </w:rPr>
      </w:pPr>
      <w:r w:rsidRPr="001135A8">
        <w:rPr>
          <w:rFonts w:ascii="Palatino Linotype" w:eastAsia="Palatino Linotype" w:hAnsi="Palatino Linotype" w:cs="Palatino Linotype"/>
          <w:b/>
          <w:i/>
          <w:sz w:val="22"/>
          <w:szCs w:val="22"/>
        </w:rPr>
        <w:t>Capítulo 3000 Servicios Generales</w:t>
      </w:r>
    </w:p>
    <w:p w:rsidR="004739C8" w:rsidRPr="001135A8" w:rsidRDefault="004739C8" w:rsidP="004739C8">
      <w:pPr>
        <w:ind w:left="567" w:right="-788"/>
        <w:jc w:val="center"/>
        <w:rPr>
          <w:rFonts w:ascii="Palatino Linotype" w:eastAsia="Palatino Linotype" w:hAnsi="Palatino Linotype" w:cs="Palatino Linotype"/>
          <w:b/>
          <w:i/>
          <w:sz w:val="22"/>
          <w:szCs w:val="22"/>
        </w:rPr>
      </w:pPr>
    </w:p>
    <w:p w:rsidR="002661B2" w:rsidRPr="001135A8" w:rsidRDefault="002661B2" w:rsidP="002661B2">
      <w:pPr>
        <w:ind w:left="567" w:right="-788"/>
        <w:jc w:val="center"/>
        <w:rPr>
          <w:rFonts w:ascii="Palatino Linotype" w:eastAsia="Palatino Linotype" w:hAnsi="Palatino Linotype" w:cs="Palatino Linotype"/>
          <w:b/>
          <w:i/>
          <w:sz w:val="22"/>
          <w:szCs w:val="22"/>
        </w:rPr>
      </w:pPr>
      <w:r w:rsidRPr="001135A8">
        <w:rPr>
          <w:rFonts w:ascii="Palatino Linotype" w:eastAsia="Palatino Linotype" w:hAnsi="Palatino Linotype" w:cs="Palatino Linotype"/>
          <w:b/>
          <w:i/>
          <w:sz w:val="22"/>
          <w:szCs w:val="22"/>
        </w:rPr>
        <w:t>Subcapítulo 3200 Servicios de Arrendamiento.</w:t>
      </w:r>
    </w:p>
    <w:p w:rsidR="002661B2" w:rsidRPr="001135A8" w:rsidRDefault="002661B2"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Asignaciones destinadas a cubrir erogaciones por concepto de arrendamiento de: edificios, locales, terrenos, maquinaria y equipo, vehículos, intangibles y otros análogos. </w:t>
      </w:r>
    </w:p>
    <w:p w:rsidR="002661B2" w:rsidRPr="001135A8" w:rsidRDefault="002661B2"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2661B2" w:rsidRPr="001135A8" w:rsidRDefault="002661B2"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3250 Arrendamiento de equipo de transporte</w:t>
      </w:r>
      <w:r w:rsidRPr="001135A8">
        <w:rPr>
          <w:rFonts w:ascii="Palatino Linotype" w:eastAsia="Palatino Linotype" w:hAnsi="Palatino Linotype" w:cs="Palatino Linotype"/>
          <w:i/>
          <w:sz w:val="22"/>
          <w:szCs w:val="22"/>
        </w:rPr>
        <w:t xml:space="preserve">. Asignaciones destinadas a cubrir el alquiler de toda clase de equipo de transporte, ya sea terrestre, aeroespacial, marítimo, lacustre y fluvial. </w:t>
      </w:r>
    </w:p>
    <w:p w:rsidR="002661B2" w:rsidRPr="001135A8" w:rsidRDefault="002661B2" w:rsidP="004739C8">
      <w:pPr>
        <w:ind w:left="567" w:right="-788"/>
        <w:jc w:val="both"/>
        <w:rPr>
          <w:rFonts w:ascii="Palatino Linotype" w:eastAsia="Palatino Linotype" w:hAnsi="Palatino Linotype" w:cs="Palatino Linotype"/>
          <w:i/>
          <w:sz w:val="22"/>
          <w:szCs w:val="22"/>
        </w:rPr>
      </w:pPr>
    </w:p>
    <w:p w:rsidR="002661B2" w:rsidRPr="001135A8" w:rsidRDefault="002661B2" w:rsidP="002661B2">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u w:val="single"/>
        </w:rPr>
        <w:t>3251 Arrendamiento de vehículos</w:t>
      </w:r>
      <w:r w:rsidRPr="001135A8">
        <w:rPr>
          <w:rFonts w:ascii="Palatino Linotype" w:eastAsia="Palatino Linotype" w:hAnsi="Palatino Linotype" w:cs="Palatino Linotype"/>
          <w:i/>
          <w:sz w:val="22"/>
          <w:szCs w:val="22"/>
        </w:rPr>
        <w:t>. Asignaciones para cubrir el alquiler de todo tipo de equipo de transporte terrestre, aéreo y lacustre. Incluye el pago de operadores y gastos derivados por el uso de este servicio.</w:t>
      </w:r>
    </w:p>
    <w:p w:rsidR="004739C8" w:rsidRPr="001135A8" w:rsidRDefault="004739C8" w:rsidP="004739C8">
      <w:pPr>
        <w:ind w:left="567" w:right="-788"/>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rsidR="004739C8" w:rsidRPr="001135A8" w:rsidRDefault="004739C8" w:rsidP="004739C8">
      <w:pPr>
        <w:ind w:left="567" w:right="-788"/>
        <w:jc w:val="both"/>
        <w:rPr>
          <w:rFonts w:ascii="Palatino Linotype" w:eastAsia="Palatino Linotype" w:hAnsi="Palatino Linotype" w:cs="Palatino Linotype"/>
          <w:i/>
          <w:sz w:val="22"/>
          <w:szCs w:val="22"/>
        </w:rPr>
      </w:pPr>
    </w:p>
    <w:p w:rsidR="00647390" w:rsidRPr="001135A8" w:rsidRDefault="004739C8" w:rsidP="00647390">
      <w:pPr>
        <w:numPr>
          <w:ilvl w:val="0"/>
          <w:numId w:val="2"/>
        </w:numPr>
        <w:spacing w:line="360" w:lineRule="auto"/>
        <w:ind w:left="0" w:right="-787" w:firstLine="0"/>
        <w:jc w:val="both"/>
        <w:rPr>
          <w:rFonts w:ascii="Palatino Linotype" w:hAnsi="Palatino Linotype" w:cs="Tahoma"/>
          <w:sz w:val="22"/>
          <w:szCs w:val="22"/>
        </w:rPr>
      </w:pPr>
      <w:r w:rsidRPr="001135A8">
        <w:rPr>
          <w:rFonts w:ascii="Palatino Linotype" w:hAnsi="Palatino Linotype" w:cs="Tahoma"/>
          <w:sz w:val="22"/>
          <w:szCs w:val="22"/>
        </w:rPr>
        <w:t xml:space="preserve">Ahora </w:t>
      </w:r>
      <w:r w:rsidRPr="001135A8">
        <w:rPr>
          <w:rFonts w:ascii="Palatino Linotype" w:eastAsia="Palatino Linotype" w:hAnsi="Palatino Linotype" w:cs="Palatino Linotype"/>
        </w:rPr>
        <w:t>bien</w:t>
      </w:r>
      <w:r w:rsidRPr="001135A8">
        <w:rPr>
          <w:rFonts w:ascii="Palatino Linotype" w:hAnsi="Palatino Linotype" w:cs="Tahoma"/>
          <w:sz w:val="22"/>
          <w:szCs w:val="22"/>
        </w:rPr>
        <w:t xml:space="preserve">, un </w:t>
      </w:r>
      <w:r w:rsidRPr="001135A8">
        <w:rPr>
          <w:rFonts w:ascii="Palatino Linotype" w:hAnsi="Palatino Linotype" w:cs="Tahoma"/>
          <w:b/>
          <w:sz w:val="22"/>
          <w:szCs w:val="22"/>
        </w:rPr>
        <w:t>comprobante de pago</w:t>
      </w:r>
      <w:r w:rsidRPr="001135A8">
        <w:rPr>
          <w:rFonts w:ascii="Palatino Linotype" w:hAnsi="Palatino Linotype" w:cs="Tahoma"/>
          <w:sz w:val="22"/>
          <w:szCs w:val="22"/>
        </w:rPr>
        <w:t xml:space="preserve"> confirma que se ha efectuado un pago, ya sea de una factura o una transacción, mostrando que el pago ha sido realizado. Existen distintos tipos de comprobantes de pago, como lo son de manera enunciativa recibos, tickets, notas y comprobantes de transferencias bancarias</w:t>
      </w:r>
      <w:r w:rsidR="00647390" w:rsidRPr="001135A8">
        <w:rPr>
          <w:rFonts w:ascii="Palatino Linotype" w:hAnsi="Palatino Linotype" w:cs="Tahoma"/>
          <w:sz w:val="22"/>
          <w:szCs w:val="22"/>
        </w:rPr>
        <w:t>.</w:t>
      </w:r>
    </w:p>
    <w:p w:rsidR="00647390" w:rsidRPr="001135A8" w:rsidRDefault="00647390" w:rsidP="00647390">
      <w:pPr>
        <w:spacing w:line="360" w:lineRule="auto"/>
        <w:ind w:right="-787"/>
        <w:jc w:val="both"/>
        <w:rPr>
          <w:rFonts w:ascii="Palatino Linotype" w:hAnsi="Palatino Linotype" w:cs="Tahoma"/>
          <w:sz w:val="22"/>
          <w:szCs w:val="22"/>
        </w:rPr>
      </w:pPr>
    </w:p>
    <w:p w:rsidR="004739C8" w:rsidRPr="001135A8" w:rsidRDefault="004739C8" w:rsidP="00647390">
      <w:pPr>
        <w:numPr>
          <w:ilvl w:val="0"/>
          <w:numId w:val="2"/>
        </w:numPr>
        <w:spacing w:line="360" w:lineRule="auto"/>
        <w:ind w:left="0" w:right="-787" w:firstLine="0"/>
        <w:jc w:val="both"/>
        <w:rPr>
          <w:rFonts w:ascii="Palatino Linotype" w:hAnsi="Palatino Linotype" w:cs="Tahoma"/>
          <w:sz w:val="22"/>
          <w:szCs w:val="22"/>
        </w:rPr>
      </w:pPr>
      <w:r w:rsidRPr="001135A8">
        <w:rPr>
          <w:rFonts w:ascii="Palatino Linotype" w:eastAsia="Palatino Linotype" w:hAnsi="Palatino Linotype" w:cs="Palatino Linotype"/>
          <w:color w:val="000000"/>
          <w:sz w:val="22"/>
          <w:szCs w:val="22"/>
        </w:rPr>
        <w:lastRenderedPageBreak/>
        <w:t xml:space="preserve">De </w:t>
      </w:r>
      <w:r w:rsidRPr="001135A8">
        <w:rPr>
          <w:rFonts w:ascii="Palatino Linotype" w:eastAsia="Palatino Linotype" w:hAnsi="Palatino Linotype" w:cs="Palatino Linotype"/>
        </w:rPr>
        <w:t>lo</w:t>
      </w:r>
      <w:r w:rsidRPr="001135A8">
        <w:rPr>
          <w:rFonts w:ascii="Palatino Linotype" w:eastAsia="Palatino Linotype" w:hAnsi="Palatino Linotype" w:cs="Palatino Linotype"/>
          <w:color w:val="000000"/>
          <w:sz w:val="22"/>
          <w:szCs w:val="22"/>
        </w:rPr>
        <w:t xml:space="preserve"> expuesto anteriormente</w:t>
      </w:r>
      <w:r w:rsidRPr="001135A8">
        <w:rPr>
          <w:rFonts w:ascii="Palatino Linotype" w:hAnsi="Palatino Linotype" w:cs="Tahoma"/>
          <w:sz w:val="22"/>
          <w:szCs w:val="22"/>
        </w:rPr>
        <w:t xml:space="preserve">, resulta importante contextualizar que lo solicitado de manera enunciativa más no  limitativa se puede encontrar en la </w:t>
      </w:r>
      <w:r w:rsidRPr="001135A8">
        <w:rPr>
          <w:rFonts w:ascii="Palatino Linotype" w:hAnsi="Palatino Linotype" w:cs="Tahoma"/>
          <w:b/>
          <w:sz w:val="22"/>
          <w:szCs w:val="22"/>
        </w:rPr>
        <w:t>póliza de egreso y póliza de cheque</w:t>
      </w:r>
      <w:r w:rsidRPr="001135A8">
        <w:rPr>
          <w:rFonts w:ascii="Palatino Linotype" w:hAnsi="Palatino Linotype" w:cs="Tahoma"/>
          <w:sz w:val="22"/>
          <w:szCs w:val="22"/>
        </w:rPr>
        <w:t xml:space="preserve">, por lo que, se analiza lo siguiente. </w:t>
      </w:r>
    </w:p>
    <w:p w:rsidR="004739C8" w:rsidRPr="001135A8" w:rsidRDefault="004739C8" w:rsidP="004739C8">
      <w:pPr>
        <w:spacing w:line="360" w:lineRule="auto"/>
        <w:ind w:right="-93"/>
        <w:jc w:val="both"/>
        <w:rPr>
          <w:rFonts w:ascii="Palatino Linotype" w:hAnsi="Palatino Linotype" w:cs="Tahoma"/>
          <w:sz w:val="22"/>
          <w:szCs w:val="22"/>
        </w:rPr>
      </w:pPr>
    </w:p>
    <w:p w:rsidR="004739C8" w:rsidRPr="001135A8" w:rsidRDefault="004739C8" w:rsidP="00647390">
      <w:pPr>
        <w:numPr>
          <w:ilvl w:val="0"/>
          <w:numId w:val="2"/>
        </w:numPr>
        <w:spacing w:line="360" w:lineRule="auto"/>
        <w:ind w:left="0" w:right="-787" w:firstLine="0"/>
        <w:jc w:val="both"/>
        <w:rPr>
          <w:rFonts w:ascii="Palatino Linotype" w:hAnsi="Palatino Linotype" w:cs="Tahoma"/>
          <w:sz w:val="22"/>
          <w:szCs w:val="22"/>
        </w:rPr>
      </w:pPr>
      <w:r w:rsidRPr="001135A8">
        <w:rPr>
          <w:rFonts w:ascii="Palatino Linotype" w:hAnsi="Palatino Linotype" w:cs="Tahoma"/>
          <w:sz w:val="22"/>
          <w:szCs w:val="22"/>
        </w:rPr>
        <w:t xml:space="preserve">En ese contexto, es de referir que de conformidad con  los artículos 342, 343, 344 y 345 del Código </w:t>
      </w:r>
      <w:r w:rsidRPr="001135A8">
        <w:rPr>
          <w:rFonts w:ascii="Palatino Linotype" w:eastAsia="Palatino Linotype" w:hAnsi="Palatino Linotype" w:cs="Palatino Linotype"/>
          <w:color w:val="000000"/>
          <w:sz w:val="22"/>
          <w:szCs w:val="22"/>
        </w:rPr>
        <w:t>Financiero</w:t>
      </w:r>
      <w:r w:rsidRPr="001135A8">
        <w:rPr>
          <w:rFonts w:ascii="Palatino Linotype" w:hAnsi="Palatino Linotype" w:cs="Tahoma"/>
          <w:sz w:val="22"/>
          <w:szCs w:val="22"/>
        </w:rPr>
        <w:t xml:space="preserve"> del Estado de México y Municipios, disponen el sistema y las políticas que deben seguirse para llevar el registro contable y presupuestal de las operaciones financieras, en los siguientes términos:</w:t>
      </w:r>
    </w:p>
    <w:p w:rsidR="004739C8" w:rsidRPr="001135A8" w:rsidRDefault="004739C8" w:rsidP="004739C8">
      <w:pPr>
        <w:spacing w:line="360" w:lineRule="auto"/>
        <w:ind w:right="-93"/>
        <w:jc w:val="both"/>
        <w:rPr>
          <w:rFonts w:ascii="Palatino Linotype" w:hAnsi="Palatino Linotype" w:cs="Tahoma"/>
          <w:sz w:val="22"/>
          <w:szCs w:val="22"/>
        </w:rPr>
      </w:pP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b/>
          <w:i/>
          <w:sz w:val="22"/>
          <w:szCs w:val="22"/>
        </w:rPr>
        <w:t>Artículo 342.-</w:t>
      </w:r>
      <w:r w:rsidRPr="001135A8">
        <w:rPr>
          <w:rFonts w:ascii="Palatino Linotype" w:hAnsi="Palatino Linotype" w:cs="Tahoma"/>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4739C8" w:rsidRPr="001135A8" w:rsidRDefault="004739C8" w:rsidP="004739C8">
      <w:pPr>
        <w:ind w:left="1134" w:right="-858"/>
        <w:jc w:val="both"/>
        <w:rPr>
          <w:rFonts w:ascii="Palatino Linotype" w:hAnsi="Palatino Linotype" w:cs="Tahoma"/>
          <w:i/>
          <w:sz w:val="22"/>
          <w:szCs w:val="22"/>
        </w:rPr>
      </w:pP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4739C8" w:rsidRPr="001135A8" w:rsidRDefault="004739C8" w:rsidP="004739C8">
      <w:pPr>
        <w:ind w:left="1134" w:right="-858"/>
        <w:jc w:val="both"/>
        <w:rPr>
          <w:rFonts w:ascii="Palatino Linotype" w:hAnsi="Palatino Linotype" w:cs="Tahoma"/>
          <w:i/>
          <w:sz w:val="22"/>
          <w:szCs w:val="22"/>
        </w:rPr>
      </w:pP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b/>
          <w:i/>
          <w:sz w:val="22"/>
          <w:szCs w:val="22"/>
        </w:rPr>
        <w:t>Artículo 343.-</w:t>
      </w:r>
      <w:r w:rsidRPr="001135A8">
        <w:rPr>
          <w:rFonts w:ascii="Palatino Linotype" w:hAnsi="Palatino Linotype" w:cs="Tahoma"/>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i/>
          <w:sz w:val="22"/>
          <w:szCs w:val="22"/>
        </w:rPr>
        <w:t>El sistema de contabilidad sobre base acumulativa total, se sustentará en las normas emitidas por el Consejo Nacional de Armonización Contable.</w:t>
      </w:r>
    </w:p>
    <w:p w:rsidR="004739C8" w:rsidRPr="001135A8" w:rsidRDefault="004739C8" w:rsidP="004739C8">
      <w:pPr>
        <w:ind w:left="1134" w:right="-858"/>
        <w:jc w:val="both"/>
        <w:rPr>
          <w:rFonts w:ascii="Palatino Linotype" w:hAnsi="Palatino Linotype" w:cs="Tahoma"/>
          <w:b/>
          <w:i/>
          <w:sz w:val="22"/>
          <w:szCs w:val="22"/>
        </w:rPr>
      </w:pPr>
    </w:p>
    <w:p w:rsidR="004739C8" w:rsidRPr="001135A8" w:rsidRDefault="004739C8" w:rsidP="004739C8">
      <w:pPr>
        <w:ind w:left="1134" w:right="-858"/>
        <w:jc w:val="both"/>
        <w:rPr>
          <w:rFonts w:ascii="Palatino Linotype" w:hAnsi="Palatino Linotype" w:cs="Tahoma"/>
          <w:b/>
          <w:i/>
          <w:sz w:val="22"/>
          <w:szCs w:val="22"/>
        </w:rPr>
      </w:pPr>
      <w:r w:rsidRPr="001135A8">
        <w:rPr>
          <w:rFonts w:ascii="Palatino Linotype" w:hAnsi="Palatino Linotype" w:cs="Tahoma"/>
          <w:b/>
          <w:i/>
          <w:sz w:val="22"/>
          <w:szCs w:val="22"/>
        </w:rPr>
        <w:t>Artículo 344.- Los Entes Públicos, a través de cualquiera de sus unidades administrativas, de acuerdo con su naturaleza jurídica y según corresponda, registrarán contablemente el efecto patrimonial y presupuestal de las operaciones financieras que realicen</w:t>
      </w:r>
      <w:r w:rsidRPr="001135A8">
        <w:rPr>
          <w:rFonts w:ascii="Palatino Linotype" w:hAnsi="Palatino Linotype" w:cs="Tahoma"/>
          <w:i/>
          <w:sz w:val="22"/>
          <w:szCs w:val="22"/>
        </w:rPr>
        <w:t>, en el momento en que ocurran, con base en el sistema y políticas de registro establecidas, en el caso de los Municipios, se hará por la Tesorería.</w:t>
      </w:r>
    </w:p>
    <w:p w:rsidR="004739C8" w:rsidRPr="001135A8" w:rsidRDefault="004739C8" w:rsidP="004739C8">
      <w:pPr>
        <w:ind w:left="1134" w:right="-858"/>
        <w:jc w:val="both"/>
        <w:rPr>
          <w:rFonts w:ascii="Palatino Linotype" w:hAnsi="Palatino Linotype" w:cs="Tahoma"/>
          <w:b/>
          <w:i/>
          <w:sz w:val="22"/>
          <w:szCs w:val="22"/>
        </w:rPr>
      </w:pPr>
    </w:p>
    <w:p w:rsidR="004739C8" w:rsidRPr="001135A8" w:rsidRDefault="004739C8" w:rsidP="004739C8">
      <w:pPr>
        <w:ind w:left="1134" w:right="-858"/>
        <w:jc w:val="both"/>
        <w:rPr>
          <w:rFonts w:ascii="Palatino Linotype" w:hAnsi="Palatino Linotype" w:cs="Tahoma"/>
          <w:b/>
          <w:i/>
          <w:sz w:val="22"/>
          <w:szCs w:val="22"/>
        </w:rPr>
      </w:pPr>
      <w:r w:rsidRPr="001135A8">
        <w:rPr>
          <w:rFonts w:ascii="Palatino Linotype" w:hAnsi="Palatino Linotype" w:cs="Tahoma"/>
          <w:b/>
          <w:i/>
          <w:sz w:val="22"/>
          <w:szCs w:val="22"/>
        </w:rPr>
        <w:t xml:space="preserve">Todo registro contable y presupuestal deberá estar soportado con los documentos de registro, justificativos y comprobatorios originales, </w:t>
      </w:r>
      <w:r w:rsidRPr="001135A8">
        <w:rPr>
          <w:rFonts w:ascii="Palatino Linotype" w:hAnsi="Palatino Linotype" w:cs="Tahoma"/>
          <w:i/>
          <w:sz w:val="22"/>
          <w:szCs w:val="22"/>
        </w:rPr>
        <w:t xml:space="preserve">en copias certificadas o en medios electrónicos, según corresponda, los que deberán permanecer en custodia y conservación de los Entes </w:t>
      </w:r>
      <w:r w:rsidRPr="001135A8">
        <w:rPr>
          <w:rFonts w:ascii="Palatino Linotype" w:hAnsi="Palatino Linotype" w:cs="Tahoma"/>
          <w:i/>
          <w:sz w:val="22"/>
          <w:szCs w:val="22"/>
        </w:rPr>
        <w:lastRenderedPageBreak/>
        <w:t xml:space="preserve">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i/>
          <w:sz w:val="22"/>
          <w:szCs w:val="22"/>
        </w:rPr>
        <w:t>…</w:t>
      </w:r>
    </w:p>
    <w:p w:rsidR="004739C8" w:rsidRPr="001135A8" w:rsidRDefault="004739C8" w:rsidP="004739C8">
      <w:pPr>
        <w:ind w:left="1134" w:right="-858"/>
        <w:jc w:val="both"/>
        <w:rPr>
          <w:rFonts w:ascii="Palatino Linotype" w:hAnsi="Palatino Linotype" w:cs="Tahoma"/>
          <w:b/>
          <w:i/>
          <w:sz w:val="22"/>
          <w:szCs w:val="22"/>
        </w:rPr>
      </w:pP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b/>
          <w:i/>
          <w:sz w:val="22"/>
          <w:szCs w:val="22"/>
        </w:rPr>
        <w:t>Artículo 345.-</w:t>
      </w:r>
      <w:r w:rsidRPr="001135A8">
        <w:rPr>
          <w:rFonts w:ascii="Palatino Linotype" w:hAnsi="Palatino Linotype" w:cs="Tahoma"/>
          <w:i/>
          <w:sz w:val="22"/>
          <w:szCs w:val="22"/>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4739C8" w:rsidRPr="001135A8" w:rsidRDefault="004739C8" w:rsidP="004739C8">
      <w:pPr>
        <w:ind w:left="1134" w:right="-858"/>
        <w:jc w:val="both"/>
        <w:rPr>
          <w:rFonts w:ascii="Palatino Linotype" w:hAnsi="Palatino Linotype" w:cs="Tahoma"/>
          <w:i/>
          <w:sz w:val="22"/>
          <w:szCs w:val="22"/>
        </w:rPr>
      </w:pP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4739C8" w:rsidRPr="001135A8" w:rsidRDefault="004739C8" w:rsidP="004739C8">
      <w:pPr>
        <w:ind w:left="1134" w:right="-858"/>
        <w:jc w:val="both"/>
        <w:rPr>
          <w:rFonts w:ascii="Palatino Linotype" w:hAnsi="Palatino Linotype" w:cs="Tahoma"/>
          <w:i/>
          <w:sz w:val="22"/>
          <w:szCs w:val="22"/>
        </w:rPr>
      </w:pPr>
    </w:p>
    <w:p w:rsidR="004739C8" w:rsidRPr="001135A8" w:rsidRDefault="004739C8" w:rsidP="004739C8">
      <w:pPr>
        <w:ind w:left="1134" w:right="-858"/>
        <w:jc w:val="both"/>
        <w:rPr>
          <w:rFonts w:ascii="Palatino Linotype" w:hAnsi="Palatino Linotype" w:cs="Tahoma"/>
          <w:i/>
          <w:sz w:val="22"/>
          <w:szCs w:val="22"/>
        </w:rPr>
      </w:pPr>
      <w:r w:rsidRPr="001135A8">
        <w:rPr>
          <w:rFonts w:ascii="Palatino Linotype" w:hAnsi="Palatino Linotype" w:cs="Tahoma"/>
          <w:i/>
          <w:sz w:val="22"/>
          <w:szCs w:val="22"/>
        </w:rPr>
        <w:t>El plazo señalado en este artículo empezará a contar a partir de la publicación en el Periódico Oficial, del decreto correspondiente</w:t>
      </w:r>
      <w:r w:rsidRPr="001135A8">
        <w:rPr>
          <w:rFonts w:ascii="Palatino Linotype" w:hAnsi="Palatino Linotype" w:cs="Tahoma"/>
          <w:b/>
          <w:i/>
          <w:sz w:val="22"/>
          <w:szCs w:val="22"/>
        </w:rPr>
        <w:t xml:space="preserve"> </w:t>
      </w:r>
      <w:r w:rsidR="00647390" w:rsidRPr="001135A8">
        <w:rPr>
          <w:rFonts w:ascii="Palatino Linotype" w:hAnsi="Palatino Linotype" w:cs="Tahoma"/>
          <w:b/>
          <w:i/>
          <w:sz w:val="22"/>
          <w:szCs w:val="22"/>
        </w:rPr>
        <w:t>.</w:t>
      </w:r>
    </w:p>
    <w:p w:rsidR="004739C8" w:rsidRPr="001135A8" w:rsidRDefault="004739C8" w:rsidP="004739C8">
      <w:pPr>
        <w:spacing w:line="360" w:lineRule="auto"/>
        <w:ind w:right="-93"/>
        <w:jc w:val="both"/>
        <w:rPr>
          <w:rFonts w:ascii="Palatino Linotype" w:hAnsi="Palatino Linotype" w:cs="Tahoma"/>
          <w:i/>
          <w:sz w:val="22"/>
          <w:szCs w:val="22"/>
        </w:rPr>
      </w:pPr>
    </w:p>
    <w:p w:rsidR="004739C8" w:rsidRPr="001135A8" w:rsidRDefault="004739C8" w:rsidP="00647390">
      <w:pPr>
        <w:numPr>
          <w:ilvl w:val="0"/>
          <w:numId w:val="2"/>
        </w:numPr>
        <w:spacing w:line="360" w:lineRule="auto"/>
        <w:ind w:left="0" w:right="-787" w:firstLine="0"/>
        <w:jc w:val="both"/>
        <w:rPr>
          <w:rFonts w:ascii="Palatino Linotype" w:hAnsi="Palatino Linotype" w:cs="Tahoma"/>
          <w:sz w:val="22"/>
          <w:szCs w:val="22"/>
        </w:rPr>
      </w:pPr>
      <w:r w:rsidRPr="001135A8">
        <w:rPr>
          <w:rFonts w:ascii="Palatino Linotype" w:hAnsi="Palatino Linotype" w:cs="Tahoma"/>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4739C8" w:rsidRPr="001135A8" w:rsidRDefault="004739C8" w:rsidP="004739C8">
      <w:pPr>
        <w:spacing w:line="360" w:lineRule="auto"/>
        <w:ind w:right="-93"/>
        <w:jc w:val="both"/>
        <w:rPr>
          <w:rFonts w:ascii="Palatino Linotype" w:hAnsi="Palatino Linotype" w:cs="Tahoma"/>
          <w:sz w:val="22"/>
          <w:szCs w:val="22"/>
        </w:rPr>
      </w:pPr>
    </w:p>
    <w:p w:rsidR="004739C8" w:rsidRPr="001135A8" w:rsidRDefault="004739C8" w:rsidP="00647390">
      <w:pPr>
        <w:numPr>
          <w:ilvl w:val="0"/>
          <w:numId w:val="2"/>
        </w:numPr>
        <w:spacing w:line="360" w:lineRule="auto"/>
        <w:ind w:left="0" w:right="-787" w:firstLine="0"/>
        <w:jc w:val="both"/>
        <w:rPr>
          <w:rFonts w:ascii="Palatino Linotype" w:hAnsi="Palatino Linotype" w:cs="Tahoma"/>
          <w:sz w:val="22"/>
          <w:szCs w:val="22"/>
        </w:rPr>
      </w:pPr>
      <w:r w:rsidRPr="001135A8">
        <w:rPr>
          <w:rFonts w:ascii="Palatino Linotype" w:hAnsi="Palatino Linotype" w:cs="Tahoma"/>
          <w:sz w:val="22"/>
          <w:szCs w:val="22"/>
        </w:rPr>
        <w:t xml:space="preserve">Al respecto, si bien es cierto que el Código Financiero del Estado de México y Municipios establece la </w:t>
      </w:r>
      <w:r w:rsidRPr="001135A8">
        <w:rPr>
          <w:rFonts w:ascii="Palatino Linotype" w:eastAsia="Palatino Linotype" w:hAnsi="Palatino Linotype" w:cs="Palatino Linotype"/>
          <w:color w:val="000000"/>
          <w:sz w:val="22"/>
          <w:szCs w:val="22"/>
        </w:rPr>
        <w:t>obligación</w:t>
      </w:r>
      <w:r w:rsidRPr="001135A8">
        <w:rPr>
          <w:rFonts w:ascii="Palatino Linotype" w:hAnsi="Palatino Linotype" w:cs="Tahoma"/>
          <w:sz w:val="22"/>
          <w:szCs w:val="22"/>
        </w:rPr>
        <w:t xml:space="preserve"> </w:t>
      </w:r>
      <w:r w:rsidR="00647390" w:rsidRPr="001135A8">
        <w:rPr>
          <w:rFonts w:ascii="Palatino Linotype" w:hAnsi="Palatino Linotype" w:cs="Tahoma"/>
          <w:sz w:val="22"/>
          <w:szCs w:val="22"/>
        </w:rPr>
        <w:t>a los Municipios</w:t>
      </w:r>
      <w:r w:rsidRPr="001135A8">
        <w:rPr>
          <w:rFonts w:ascii="Palatino Linotype" w:hAnsi="Palatino Linotype" w:cs="Tahoma"/>
          <w:sz w:val="22"/>
          <w:szCs w:val="22"/>
        </w:rPr>
        <w:t xml:space="preserve"> para llevar los registros contables y presupuestales; también lo es que, dicho ordenamiento jurídico no establece que debemos entender por registro contable y presupuestal; sin embargo, el “</w:t>
      </w:r>
      <w:r w:rsidRPr="001135A8">
        <w:rPr>
          <w:rFonts w:ascii="Palatino Linotype" w:hAnsi="Palatino Linotype" w:cs="Tahoma"/>
          <w:i/>
          <w:sz w:val="22"/>
          <w:szCs w:val="22"/>
        </w:rPr>
        <w:t>Glosario de Términos para el Proceso de Planeación, Programación, Presupuestación y Evaluación en la Administración Pública”</w:t>
      </w:r>
      <w:r w:rsidRPr="001135A8">
        <w:rPr>
          <w:rFonts w:ascii="Palatino Linotype" w:hAnsi="Palatino Linotype" w:cs="Tahoma"/>
          <w:sz w:val="22"/>
          <w:szCs w:val="22"/>
        </w:rPr>
        <w:t xml:space="preserve">, elaborado por el Grupo de Trabajo de Sistemas de Información Financiera, Contable y Presupuestal de la Comisión Permanente de </w:t>
      </w:r>
      <w:r w:rsidRPr="001135A8">
        <w:rPr>
          <w:rFonts w:ascii="Palatino Linotype" w:hAnsi="Palatino Linotype" w:cs="Tahoma"/>
          <w:sz w:val="22"/>
          <w:szCs w:val="22"/>
        </w:rPr>
        <w:lastRenderedPageBreak/>
        <w:t xml:space="preserve">Funcionarios Fiscales del Instituto para el Desarrollo Técnico de las Haciendas Públicas (INDETEC) señalan las siguientes </w:t>
      </w:r>
      <w:r w:rsidRPr="001135A8">
        <w:rPr>
          <w:rFonts w:ascii="Palatino Linotype" w:hAnsi="Palatino Linotype" w:cs="Tahoma"/>
          <w:b/>
          <w:sz w:val="22"/>
          <w:szCs w:val="22"/>
        </w:rPr>
        <w:t>definiciones</w:t>
      </w:r>
      <w:r w:rsidRPr="001135A8">
        <w:rPr>
          <w:rFonts w:ascii="Palatino Linotype" w:hAnsi="Palatino Linotype" w:cs="Tahoma"/>
          <w:sz w:val="22"/>
          <w:szCs w:val="22"/>
        </w:rPr>
        <w:t xml:space="preserve"> de las palabras registro contable y registro presupuestario:</w:t>
      </w:r>
    </w:p>
    <w:p w:rsidR="004739C8" w:rsidRPr="001135A8" w:rsidRDefault="004739C8" w:rsidP="004739C8">
      <w:pPr>
        <w:ind w:left="1134" w:right="900"/>
        <w:jc w:val="both"/>
        <w:rPr>
          <w:rFonts w:ascii="Palatino Linotype" w:hAnsi="Palatino Linotype" w:cs="Tahoma"/>
          <w:sz w:val="22"/>
          <w:szCs w:val="22"/>
        </w:rPr>
      </w:pPr>
    </w:p>
    <w:p w:rsidR="004739C8" w:rsidRPr="001135A8" w:rsidRDefault="004739C8" w:rsidP="004739C8">
      <w:pPr>
        <w:ind w:left="1134" w:right="900"/>
        <w:jc w:val="both"/>
        <w:rPr>
          <w:rFonts w:ascii="Palatino Linotype" w:hAnsi="Palatino Linotype" w:cs="Tahoma"/>
          <w:b/>
          <w:i/>
          <w:sz w:val="22"/>
          <w:szCs w:val="22"/>
        </w:rPr>
      </w:pPr>
      <w:r w:rsidRPr="001135A8">
        <w:rPr>
          <w:rFonts w:ascii="Palatino Linotype" w:hAnsi="Palatino Linotype" w:cs="Tahoma"/>
          <w:b/>
          <w:i/>
          <w:sz w:val="22"/>
          <w:szCs w:val="22"/>
        </w:rPr>
        <w:t xml:space="preserve">REGISTRO CONTABLE. </w:t>
      </w:r>
      <w:r w:rsidRPr="001135A8">
        <w:rPr>
          <w:rFonts w:ascii="Palatino Linotype" w:hAnsi="Palatino Linotype" w:cs="Tahoma"/>
          <w:i/>
          <w:sz w:val="22"/>
          <w:szCs w:val="22"/>
        </w:rPr>
        <w:t>Asiento que se realiza en los libros de contabilidad de las actividades relacionadas con el ingreso y egresos de un ente económico.</w:t>
      </w:r>
    </w:p>
    <w:p w:rsidR="004739C8" w:rsidRPr="001135A8" w:rsidRDefault="004739C8" w:rsidP="004739C8">
      <w:pPr>
        <w:ind w:left="1134" w:right="900"/>
        <w:jc w:val="both"/>
        <w:rPr>
          <w:rFonts w:ascii="Palatino Linotype" w:hAnsi="Palatino Linotype" w:cs="Tahoma"/>
          <w:i/>
          <w:sz w:val="22"/>
          <w:szCs w:val="22"/>
        </w:rPr>
      </w:pPr>
    </w:p>
    <w:p w:rsidR="004739C8" w:rsidRPr="001135A8" w:rsidRDefault="004739C8" w:rsidP="004739C8">
      <w:pPr>
        <w:ind w:left="1134" w:right="900"/>
        <w:jc w:val="both"/>
        <w:rPr>
          <w:rFonts w:ascii="Palatino Linotype" w:hAnsi="Palatino Linotype" w:cs="Tahoma"/>
          <w:i/>
          <w:sz w:val="22"/>
          <w:szCs w:val="22"/>
        </w:rPr>
      </w:pPr>
      <w:r w:rsidRPr="001135A8">
        <w:rPr>
          <w:rFonts w:ascii="Palatino Linotype" w:hAnsi="Palatino Linotype" w:cs="Tahoma"/>
          <w:b/>
          <w:i/>
          <w:sz w:val="22"/>
          <w:szCs w:val="22"/>
        </w:rPr>
        <w:t xml:space="preserve">REGISTRO PRESUPUESTARIO. </w:t>
      </w:r>
      <w:r w:rsidRPr="001135A8">
        <w:rPr>
          <w:rFonts w:ascii="Palatino Linotype" w:hAnsi="Palatino Linotype" w:cs="Tahoma"/>
          <w:i/>
          <w:sz w:val="22"/>
          <w:szCs w:val="22"/>
        </w:rPr>
        <w:t>Asiento contable de las erogaciones realizadas por las dependencias y entidades con relación a la asignación, modificación y ejercicio de los recursos presupuestarios que se les hayan autorizado.</w:t>
      </w:r>
    </w:p>
    <w:p w:rsidR="004739C8" w:rsidRPr="001135A8" w:rsidRDefault="004739C8" w:rsidP="004739C8">
      <w:pPr>
        <w:spacing w:line="360" w:lineRule="auto"/>
        <w:jc w:val="both"/>
        <w:rPr>
          <w:rFonts w:ascii="Palatino Linotype" w:hAnsi="Palatino Linotype" w:cs="Tahoma"/>
          <w:sz w:val="22"/>
          <w:szCs w:val="22"/>
        </w:rPr>
      </w:pPr>
    </w:p>
    <w:p w:rsidR="004739C8" w:rsidRPr="001135A8" w:rsidRDefault="004739C8" w:rsidP="00647390">
      <w:pPr>
        <w:numPr>
          <w:ilvl w:val="0"/>
          <w:numId w:val="2"/>
        </w:numPr>
        <w:spacing w:line="360" w:lineRule="auto"/>
        <w:ind w:left="0" w:right="-787" w:firstLine="0"/>
        <w:jc w:val="both"/>
        <w:rPr>
          <w:rFonts w:ascii="Palatino Linotype" w:hAnsi="Palatino Linotype" w:cs="Tahoma"/>
          <w:sz w:val="22"/>
          <w:szCs w:val="22"/>
        </w:rPr>
      </w:pPr>
      <w:r w:rsidRPr="001135A8">
        <w:rPr>
          <w:rFonts w:ascii="Palatino Linotype" w:hAnsi="Palatino Linotype" w:cs="Tahoma"/>
          <w:sz w:val="22"/>
          <w:szCs w:val="22"/>
        </w:rPr>
        <w:t xml:space="preserve">En este sentido, </w:t>
      </w:r>
      <w:r w:rsidRPr="001135A8">
        <w:rPr>
          <w:rFonts w:ascii="Palatino Linotype" w:eastAsia="Palatino Linotype" w:hAnsi="Palatino Linotype" w:cs="Palatino Linotype"/>
          <w:color w:val="000000"/>
          <w:sz w:val="22"/>
          <w:szCs w:val="22"/>
        </w:rPr>
        <w:t>cabe</w:t>
      </w:r>
      <w:r w:rsidRPr="001135A8">
        <w:rPr>
          <w:rFonts w:ascii="Palatino Linotype" w:hAnsi="Palatino Linotype" w:cs="Tahoma"/>
          <w:sz w:val="22"/>
          <w:szCs w:val="22"/>
        </w:rPr>
        <w:t xml:space="preserve"> referir que la Ley de Fiscalización Superior del Estado de México prevé en su artículo 4 que los Poderes Públicos del Estado son considerados entes fiscalizables, tal como se observa a continuación:</w:t>
      </w:r>
    </w:p>
    <w:p w:rsidR="004739C8" w:rsidRPr="001135A8" w:rsidRDefault="004739C8" w:rsidP="004739C8">
      <w:pPr>
        <w:spacing w:line="360" w:lineRule="auto"/>
        <w:ind w:right="-93"/>
        <w:jc w:val="both"/>
        <w:rPr>
          <w:rFonts w:ascii="Palatino Linotype" w:hAnsi="Palatino Linotype" w:cs="Tahoma"/>
          <w:sz w:val="22"/>
          <w:szCs w:val="22"/>
        </w:rPr>
      </w:pPr>
    </w:p>
    <w:p w:rsidR="004739C8" w:rsidRPr="001135A8" w:rsidRDefault="004739C8" w:rsidP="004739C8">
      <w:pPr>
        <w:ind w:left="1134" w:right="900"/>
        <w:jc w:val="both"/>
        <w:rPr>
          <w:rFonts w:ascii="Palatino Linotype" w:hAnsi="Palatino Linotype" w:cs="Tahoma"/>
          <w:i/>
          <w:sz w:val="22"/>
          <w:szCs w:val="22"/>
        </w:rPr>
      </w:pPr>
      <w:r w:rsidRPr="001135A8">
        <w:rPr>
          <w:rFonts w:ascii="Palatino Linotype" w:hAnsi="Palatino Linotype" w:cs="Tahoma"/>
          <w:b/>
          <w:i/>
          <w:sz w:val="22"/>
          <w:szCs w:val="22"/>
        </w:rPr>
        <w:t>Artículo 4.</w:t>
      </w:r>
      <w:r w:rsidRPr="001135A8">
        <w:rPr>
          <w:rFonts w:ascii="Palatino Linotype" w:hAnsi="Palatino Linotype" w:cs="Tahoma"/>
          <w:i/>
          <w:sz w:val="22"/>
          <w:szCs w:val="22"/>
        </w:rPr>
        <w:t xml:space="preserve"> Son sujetos de fiscalización:</w:t>
      </w:r>
    </w:p>
    <w:p w:rsidR="004739C8" w:rsidRPr="001135A8" w:rsidRDefault="004739C8" w:rsidP="004739C8">
      <w:pPr>
        <w:ind w:left="1134" w:right="900"/>
        <w:jc w:val="both"/>
        <w:rPr>
          <w:rFonts w:ascii="Palatino Linotype" w:hAnsi="Palatino Linotype" w:cs="Tahoma"/>
          <w:i/>
          <w:sz w:val="22"/>
          <w:szCs w:val="22"/>
        </w:rPr>
      </w:pPr>
      <w:r w:rsidRPr="001135A8">
        <w:rPr>
          <w:rFonts w:ascii="Palatino Linotype" w:hAnsi="Palatino Linotype" w:cs="Tahoma"/>
          <w:i/>
          <w:sz w:val="22"/>
          <w:szCs w:val="22"/>
        </w:rPr>
        <w:t>I. Los Poderes Públicos del Estado;</w:t>
      </w:r>
    </w:p>
    <w:p w:rsidR="004739C8" w:rsidRPr="001135A8" w:rsidRDefault="004739C8" w:rsidP="004739C8">
      <w:pPr>
        <w:ind w:left="1134" w:right="900"/>
        <w:jc w:val="both"/>
        <w:rPr>
          <w:rFonts w:ascii="Palatino Linotype" w:hAnsi="Palatino Linotype" w:cs="Tahoma"/>
          <w:i/>
          <w:sz w:val="22"/>
          <w:szCs w:val="22"/>
        </w:rPr>
      </w:pPr>
      <w:r w:rsidRPr="001135A8">
        <w:rPr>
          <w:rFonts w:ascii="Palatino Linotype" w:hAnsi="Palatino Linotype" w:cs="Tahoma"/>
          <w:i/>
          <w:sz w:val="22"/>
          <w:szCs w:val="22"/>
        </w:rPr>
        <w:t>…</w:t>
      </w:r>
    </w:p>
    <w:p w:rsidR="004739C8" w:rsidRPr="001135A8" w:rsidRDefault="004739C8" w:rsidP="004739C8">
      <w:pPr>
        <w:ind w:left="1134" w:right="900"/>
        <w:jc w:val="both"/>
        <w:rPr>
          <w:rFonts w:ascii="Palatino Linotype" w:hAnsi="Palatino Linotype" w:cs="Tahoma"/>
          <w:i/>
          <w:sz w:val="22"/>
          <w:szCs w:val="22"/>
        </w:rPr>
      </w:pPr>
    </w:p>
    <w:p w:rsidR="004739C8" w:rsidRPr="001135A8" w:rsidRDefault="004739C8" w:rsidP="004739C8">
      <w:pPr>
        <w:ind w:left="1134" w:right="900"/>
        <w:jc w:val="both"/>
        <w:rPr>
          <w:rFonts w:ascii="Palatino Linotype" w:hAnsi="Palatino Linotype" w:cs="Tahoma"/>
          <w:sz w:val="22"/>
          <w:szCs w:val="22"/>
        </w:rPr>
      </w:pPr>
      <w:r w:rsidRPr="001135A8">
        <w:rPr>
          <w:rFonts w:ascii="Palatino Linotype" w:hAnsi="Palatino Linotype" w:cs="Tahoma"/>
          <w:sz w:val="22"/>
          <w:szCs w:val="22"/>
        </w:rPr>
        <w:t xml:space="preserve">Asimismo, el ordenamiento legal referido señala en su artículo 8, fracción XI lo siguiente: </w:t>
      </w:r>
    </w:p>
    <w:p w:rsidR="004739C8" w:rsidRPr="001135A8" w:rsidRDefault="004739C8" w:rsidP="004739C8">
      <w:pPr>
        <w:ind w:left="1134" w:right="900"/>
        <w:jc w:val="both"/>
        <w:rPr>
          <w:rFonts w:ascii="Palatino Linotype" w:hAnsi="Palatino Linotype" w:cs="Tahoma"/>
          <w:sz w:val="22"/>
          <w:szCs w:val="22"/>
        </w:rPr>
      </w:pPr>
    </w:p>
    <w:p w:rsidR="004739C8" w:rsidRPr="001135A8" w:rsidRDefault="004739C8" w:rsidP="004739C8">
      <w:pPr>
        <w:ind w:left="1134" w:right="900"/>
        <w:jc w:val="both"/>
        <w:rPr>
          <w:rFonts w:ascii="Palatino Linotype" w:hAnsi="Palatino Linotype" w:cs="Tahoma"/>
          <w:i/>
          <w:sz w:val="22"/>
          <w:szCs w:val="22"/>
        </w:rPr>
      </w:pPr>
      <w:r w:rsidRPr="001135A8">
        <w:rPr>
          <w:rFonts w:ascii="Palatino Linotype" w:hAnsi="Palatino Linotype" w:cs="Tahoma"/>
          <w:i/>
          <w:sz w:val="22"/>
          <w:szCs w:val="22"/>
        </w:rPr>
        <w:t>Artículo 8. El Órgano Superior tendrá las siguientes atribuciones:</w:t>
      </w:r>
    </w:p>
    <w:p w:rsidR="004739C8" w:rsidRPr="001135A8" w:rsidRDefault="004739C8" w:rsidP="004739C8">
      <w:pPr>
        <w:ind w:left="1134" w:right="900"/>
        <w:jc w:val="both"/>
        <w:rPr>
          <w:rFonts w:ascii="Palatino Linotype" w:hAnsi="Palatino Linotype" w:cs="Tahoma"/>
          <w:i/>
          <w:sz w:val="22"/>
          <w:szCs w:val="22"/>
        </w:rPr>
      </w:pPr>
      <w:r w:rsidRPr="001135A8">
        <w:rPr>
          <w:rFonts w:ascii="Palatino Linotype" w:hAnsi="Palatino Linotype" w:cs="Tahoma"/>
          <w:i/>
          <w:sz w:val="22"/>
          <w:szCs w:val="22"/>
        </w:rPr>
        <w:t>…</w:t>
      </w:r>
    </w:p>
    <w:p w:rsidR="004739C8" w:rsidRPr="001135A8" w:rsidRDefault="004739C8" w:rsidP="004739C8">
      <w:pPr>
        <w:ind w:left="1134" w:right="900"/>
        <w:jc w:val="both"/>
        <w:rPr>
          <w:rFonts w:ascii="Palatino Linotype" w:hAnsi="Palatino Linotype" w:cs="Tahoma"/>
          <w:i/>
          <w:sz w:val="22"/>
          <w:szCs w:val="22"/>
        </w:rPr>
      </w:pPr>
      <w:r w:rsidRPr="001135A8">
        <w:rPr>
          <w:rFonts w:ascii="Palatino Linotype" w:hAnsi="Palatino Linotype" w:cs="Tahoma"/>
          <w:i/>
          <w:sz w:val="22"/>
          <w:szCs w:val="22"/>
        </w:rPr>
        <w:t xml:space="preserve">XI. </w:t>
      </w:r>
      <w:r w:rsidRPr="001135A8">
        <w:rPr>
          <w:rFonts w:ascii="Palatino Linotype" w:hAnsi="Palatino Linotype" w:cs="Tahoma"/>
          <w:b/>
          <w:i/>
          <w:sz w:val="22"/>
          <w:szCs w:val="22"/>
        </w:rPr>
        <w:t>Establecer los lineamientos, criterios, procedimientos, métodos y sistemas para las acciones de control y evaluación, necesarios para la fiscalización de las cuentas públicas y los informes trimestrales</w:t>
      </w:r>
      <w:r w:rsidRPr="001135A8">
        <w:rPr>
          <w:rFonts w:ascii="Palatino Linotype" w:hAnsi="Palatino Linotype" w:cs="Tahoma"/>
          <w:i/>
          <w:sz w:val="22"/>
          <w:szCs w:val="22"/>
        </w:rPr>
        <w:t xml:space="preserve">…” </w:t>
      </w:r>
    </w:p>
    <w:p w:rsidR="004739C8" w:rsidRPr="001135A8" w:rsidRDefault="004739C8" w:rsidP="004739C8">
      <w:pPr>
        <w:tabs>
          <w:tab w:val="left" w:pos="284"/>
        </w:tabs>
        <w:spacing w:before="240" w:after="240" w:line="360" w:lineRule="auto"/>
        <w:contextualSpacing/>
        <w:jc w:val="both"/>
        <w:rPr>
          <w:rFonts w:ascii="Palatino Linotype" w:hAnsi="Palatino Linotype"/>
          <w:bCs/>
          <w:sz w:val="22"/>
          <w:szCs w:val="22"/>
          <w:lang w:val="es-ES"/>
        </w:rPr>
      </w:pPr>
    </w:p>
    <w:p w:rsidR="004739C8" w:rsidRPr="001135A8" w:rsidRDefault="004739C8" w:rsidP="00647390">
      <w:pPr>
        <w:numPr>
          <w:ilvl w:val="0"/>
          <w:numId w:val="2"/>
        </w:numPr>
        <w:spacing w:line="360" w:lineRule="auto"/>
        <w:ind w:left="0" w:right="-787" w:firstLine="0"/>
        <w:jc w:val="both"/>
        <w:rPr>
          <w:rFonts w:ascii="Palatino Linotype" w:hAnsi="Palatino Linotype"/>
          <w:bCs/>
          <w:sz w:val="22"/>
          <w:szCs w:val="22"/>
          <w:lang w:val="es-ES"/>
        </w:rPr>
      </w:pPr>
      <w:r w:rsidRPr="001135A8">
        <w:rPr>
          <w:rFonts w:ascii="Palatino Linotype" w:hAnsi="Palatino Linotype" w:cs="Tahoma"/>
          <w:sz w:val="22"/>
          <w:szCs w:val="22"/>
        </w:rPr>
        <w:t>De</w:t>
      </w:r>
      <w:r w:rsidRPr="001135A8">
        <w:rPr>
          <w:rFonts w:ascii="Palatino Linotype" w:hAnsi="Palatino Linotype"/>
          <w:sz w:val="22"/>
          <w:szCs w:val="22"/>
          <w:lang w:val="es-ES"/>
        </w:rPr>
        <w:t xml:space="preserve"> la normatividad previamente plasmada, se desprende primeramente que el</w:t>
      </w:r>
      <w:r w:rsidRPr="001135A8">
        <w:rPr>
          <w:rFonts w:ascii="Palatino Linotype" w:hAnsi="Palatino Linotype"/>
          <w:bCs/>
          <w:sz w:val="22"/>
          <w:szCs w:val="22"/>
          <w:lang w:val="es-ES"/>
        </w:rPr>
        <w:t xml:space="preserve"> registro contable del efecto </w:t>
      </w:r>
      <w:r w:rsidRPr="001135A8">
        <w:rPr>
          <w:rFonts w:ascii="Palatino Linotype" w:hAnsi="Palatino Linotype" w:cs="Tahoma"/>
          <w:sz w:val="22"/>
          <w:szCs w:val="22"/>
        </w:rPr>
        <w:t>patrimonial</w:t>
      </w:r>
      <w:r w:rsidRPr="001135A8">
        <w:rPr>
          <w:rFonts w:ascii="Palatino Linotype" w:hAnsi="Palatino Linotype"/>
          <w:bCs/>
          <w:sz w:val="22"/>
          <w:szCs w:val="22"/>
          <w:lang w:val="es-ES"/>
        </w:rPr>
        <w:t xml:space="preserve"> y presupuestal de las operaciones financieras se realizará conforme al sistema y a las disposiciones que se aprueben en materia de planeación, programación, presupuestación, evaluación y contabilidad gubernamental.</w:t>
      </w:r>
    </w:p>
    <w:p w:rsidR="004739C8" w:rsidRPr="001135A8" w:rsidRDefault="004739C8" w:rsidP="004739C8">
      <w:pPr>
        <w:tabs>
          <w:tab w:val="left" w:pos="284"/>
        </w:tabs>
        <w:spacing w:before="240" w:after="240" w:line="360" w:lineRule="auto"/>
        <w:contextualSpacing/>
        <w:jc w:val="both"/>
        <w:rPr>
          <w:rFonts w:ascii="Palatino Linotype" w:hAnsi="Palatino Linotype"/>
          <w:sz w:val="22"/>
          <w:szCs w:val="22"/>
          <w:lang w:val="es-ES"/>
        </w:rPr>
      </w:pPr>
    </w:p>
    <w:p w:rsidR="004739C8" w:rsidRPr="001135A8" w:rsidRDefault="004739C8" w:rsidP="004739C8">
      <w:pPr>
        <w:ind w:left="567" w:right="-788"/>
        <w:jc w:val="both"/>
        <w:rPr>
          <w:rFonts w:ascii="Palatino Linotype" w:eastAsia="Palatino Linotype" w:hAnsi="Palatino Linotype" w:cs="Palatino Linotype"/>
          <w:i/>
          <w:sz w:val="22"/>
          <w:szCs w:val="22"/>
        </w:rPr>
      </w:pPr>
    </w:p>
    <w:p w:rsidR="004739C8" w:rsidRPr="001135A8" w:rsidRDefault="004739C8" w:rsidP="00647390">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En ese orden de </w:t>
      </w:r>
      <w:r w:rsidRPr="001135A8">
        <w:rPr>
          <w:rFonts w:ascii="Palatino Linotype" w:hAnsi="Palatino Linotype"/>
          <w:bCs/>
          <w:sz w:val="22"/>
          <w:szCs w:val="22"/>
          <w:lang w:val="es-ES"/>
        </w:rPr>
        <w:t>ideas</w:t>
      </w:r>
      <w:r w:rsidRPr="001135A8">
        <w:rPr>
          <w:rFonts w:ascii="Palatino Linotype" w:eastAsia="Palatino Linotype" w:hAnsi="Palatino Linotype" w:cs="Palatino Linotype"/>
        </w:rPr>
        <w:t xml:space="preserve">, es oportuno referir el Instructivo del Módulo 1 del 2025 del Órgano Superior de Fiscalización del Estado de México (OSFEM), en su apartado denominado </w:t>
      </w:r>
      <w:r w:rsidRPr="001135A8">
        <w:rPr>
          <w:rFonts w:ascii="Palatino Linotype" w:eastAsia="Palatino Linotype" w:hAnsi="Palatino Linotype" w:cs="Palatino Linotype"/>
          <w:b/>
        </w:rPr>
        <w:t>“</w:t>
      </w:r>
      <w:r w:rsidR="00647390" w:rsidRPr="001135A8">
        <w:rPr>
          <w:rFonts w:ascii="Palatino Linotype" w:eastAsia="Palatino Linotype" w:hAnsi="Palatino Linotype" w:cs="Palatino Linotype"/>
          <w:b/>
        </w:rPr>
        <w:t>31. Pólizas de Egresos con los documentos comprobatorios</w:t>
      </w:r>
      <w:r w:rsidRPr="001135A8">
        <w:rPr>
          <w:rFonts w:ascii="Palatino Linotype" w:eastAsia="Palatino Linotype" w:hAnsi="Palatino Linotype" w:cs="Palatino Linotype"/>
          <w:b/>
        </w:rPr>
        <w:t xml:space="preserve">”, </w:t>
      </w:r>
      <w:r w:rsidRPr="001135A8">
        <w:rPr>
          <w:rFonts w:ascii="Palatino Linotype" w:eastAsia="Palatino Linotype" w:hAnsi="Palatino Linotype" w:cs="Palatino Linotype"/>
        </w:rPr>
        <w:t xml:space="preserve"> este tipo de póliza refleja cualquier operación contable en la que se produzca una salida de efectivo o erogaciones, a través de transferencias bancarias electrónicas. No obstante, si dicha erogación se realiza a través de un cheque bancario la póliza cont</w:t>
      </w:r>
      <w:r w:rsidR="00647390" w:rsidRPr="001135A8">
        <w:rPr>
          <w:rFonts w:ascii="Palatino Linotype" w:eastAsia="Palatino Linotype" w:hAnsi="Palatino Linotype" w:cs="Palatino Linotype"/>
        </w:rPr>
        <w:t>able será una póliza de cheque.</w:t>
      </w:r>
      <w:r w:rsidR="00D06CC3" w:rsidRPr="001135A8">
        <w:rPr>
          <w:rFonts w:ascii="Palatino Linotype" w:eastAsia="Palatino Linotype" w:hAnsi="Palatino Linotype" w:cs="Palatino Linotype"/>
        </w:rPr>
        <w:t xml:space="preserve"> </w:t>
      </w:r>
      <w:r w:rsidR="00D06CC3" w:rsidRPr="001135A8">
        <w:rPr>
          <w:rFonts w:ascii="Palatino Linotype" w:eastAsia="Palatino Linotype" w:hAnsi="Palatino Linotype" w:cs="Palatino Linotype"/>
          <w:b/>
          <w:u w:val="single"/>
        </w:rPr>
        <w:t>Las pólizas de egresos</w:t>
      </w:r>
      <w:r w:rsidR="00D06CC3" w:rsidRPr="001135A8">
        <w:rPr>
          <w:rFonts w:ascii="Palatino Linotype" w:eastAsia="Palatino Linotype" w:hAnsi="Palatino Linotype" w:cs="Palatino Linotype"/>
        </w:rPr>
        <w:t xml:space="preserve"> deberán ser las que emita su sistema y </w:t>
      </w:r>
      <w:r w:rsidR="00D06CC3" w:rsidRPr="001135A8">
        <w:rPr>
          <w:rFonts w:ascii="Palatino Linotype" w:eastAsia="Palatino Linotype" w:hAnsi="Palatino Linotype" w:cs="Palatino Linotype"/>
          <w:b/>
          <w:u w:val="single"/>
        </w:rPr>
        <w:t>deberán estar soportadas por toda la documentación comprobatoria que justifique el egreso</w:t>
      </w:r>
      <w:r w:rsidR="00D06CC3" w:rsidRPr="001135A8">
        <w:rPr>
          <w:rFonts w:ascii="Palatino Linotype" w:eastAsia="Palatino Linotype" w:hAnsi="Palatino Linotype" w:cs="Palatino Linotype"/>
        </w:rPr>
        <w:t>, las cuales deberán coincidir con las presentadas en el Diario General de Pólizas de cada uno de los meses que corresponda.</w:t>
      </w:r>
    </w:p>
    <w:p w:rsidR="00647390" w:rsidRPr="001135A8" w:rsidRDefault="00647390" w:rsidP="00647390">
      <w:pPr>
        <w:spacing w:line="360" w:lineRule="auto"/>
        <w:ind w:right="-787"/>
        <w:jc w:val="both"/>
        <w:rPr>
          <w:rFonts w:ascii="Palatino Linotype" w:eastAsia="Palatino Linotype" w:hAnsi="Palatino Linotype" w:cs="Palatino Linotype"/>
        </w:rPr>
      </w:pPr>
    </w:p>
    <w:p w:rsidR="00647390" w:rsidRPr="001135A8" w:rsidRDefault="00647390" w:rsidP="00647390">
      <w:pPr>
        <w:spacing w:line="360" w:lineRule="auto"/>
        <w:ind w:right="-787"/>
        <w:jc w:val="center"/>
        <w:rPr>
          <w:rFonts w:ascii="Palatino Linotype" w:eastAsia="Palatino Linotype" w:hAnsi="Palatino Linotype" w:cs="Palatino Linotype"/>
        </w:rPr>
      </w:pPr>
      <w:r w:rsidRPr="001135A8">
        <w:rPr>
          <w:rFonts w:ascii="Palatino Linotype" w:eastAsia="Palatino Linotype" w:hAnsi="Palatino Linotype" w:cs="Palatino Linotype"/>
          <w:noProof/>
          <w:lang w:val="es-MX"/>
        </w:rPr>
        <w:drawing>
          <wp:inline distT="0" distB="0" distL="0" distR="0" wp14:anchorId="02CBFBA0" wp14:editId="29EC2CE1">
            <wp:extent cx="3677576" cy="29152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6692" cy="2922511"/>
                    </a:xfrm>
                    <a:prstGeom prst="rect">
                      <a:avLst/>
                    </a:prstGeom>
                  </pic:spPr>
                </pic:pic>
              </a:graphicData>
            </a:graphic>
          </wp:inline>
        </w:drawing>
      </w:r>
    </w:p>
    <w:p w:rsidR="004739C8" w:rsidRPr="001135A8" w:rsidRDefault="004739C8" w:rsidP="004739C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4739C8" w:rsidRPr="001135A8" w:rsidRDefault="004739C8" w:rsidP="00647390">
      <w:pPr>
        <w:numPr>
          <w:ilvl w:val="0"/>
          <w:numId w:val="2"/>
        </w:numPr>
        <w:spacing w:line="360" w:lineRule="auto"/>
        <w:ind w:left="0" w:right="-787" w:firstLine="0"/>
        <w:jc w:val="both"/>
        <w:rPr>
          <w:rFonts w:ascii="Palatino Linotype" w:eastAsia="Palatino Linotype" w:hAnsi="Palatino Linotype" w:cs="Palatino Linotype"/>
          <w:b/>
        </w:rPr>
      </w:pPr>
      <w:r w:rsidRPr="001135A8">
        <w:rPr>
          <w:rFonts w:ascii="Palatino Linotype" w:eastAsia="Palatino Linotype" w:hAnsi="Palatino Linotype" w:cs="Palatino Linotype"/>
          <w:b/>
        </w:rPr>
        <w:lastRenderedPageBreak/>
        <w:t>“</w:t>
      </w:r>
      <w:r w:rsidR="00647390" w:rsidRPr="001135A8">
        <w:rPr>
          <w:rFonts w:ascii="Palatino Linotype" w:eastAsia="Palatino Linotype" w:hAnsi="Palatino Linotype" w:cs="Palatino Linotype"/>
          <w:b/>
        </w:rPr>
        <w:t>33. Pólizas de Cheques con los documentos comprobatorios</w:t>
      </w:r>
      <w:r w:rsidRPr="001135A8">
        <w:rPr>
          <w:rFonts w:ascii="Palatino Linotype" w:eastAsia="Palatino Linotype" w:hAnsi="Palatino Linotype" w:cs="Palatino Linotype"/>
          <w:b/>
        </w:rPr>
        <w:t>”</w:t>
      </w:r>
      <w:r w:rsidRPr="001135A8">
        <w:rPr>
          <w:rFonts w:ascii="Palatino Linotype" w:eastAsia="Palatino Linotype" w:hAnsi="Palatino Linotype" w:cs="Palatino Linotype"/>
        </w:rPr>
        <w:t xml:space="preserve"> Este tipo de póliza se utiliza en caso de erogaciones realizadas a través de un cheque. </w:t>
      </w:r>
      <w:r w:rsidR="00D06CC3" w:rsidRPr="001135A8">
        <w:rPr>
          <w:rFonts w:ascii="Palatino Linotype" w:eastAsia="Palatino Linotype" w:hAnsi="Palatino Linotype" w:cs="Palatino Linotype"/>
          <w:b/>
          <w:u w:val="single"/>
        </w:rPr>
        <w:t>Las pólizas de cheque deberán</w:t>
      </w:r>
      <w:r w:rsidR="00D06CC3" w:rsidRPr="001135A8">
        <w:rPr>
          <w:rFonts w:ascii="Palatino Linotype" w:eastAsia="Palatino Linotype" w:hAnsi="Palatino Linotype" w:cs="Palatino Linotype"/>
        </w:rPr>
        <w:t xml:space="preserve"> ser las que emita su sistema y </w:t>
      </w:r>
      <w:r w:rsidR="00D06CC3" w:rsidRPr="001135A8">
        <w:rPr>
          <w:rFonts w:ascii="Palatino Linotype" w:eastAsia="Palatino Linotype" w:hAnsi="Palatino Linotype" w:cs="Palatino Linotype"/>
          <w:b/>
          <w:u w:val="single"/>
        </w:rPr>
        <w:t>deberán estar soportadas por toda la documentación comprobatoria que justifique la erogación</w:t>
      </w:r>
      <w:r w:rsidR="00D06CC3" w:rsidRPr="001135A8">
        <w:rPr>
          <w:rFonts w:ascii="Palatino Linotype" w:eastAsia="Palatino Linotype" w:hAnsi="Palatino Linotype" w:cs="Palatino Linotype"/>
        </w:rPr>
        <w:t>, las cuales deberán coincidir con las presentadas en el Diario General de Pólizas de cada uno de los meses que corresponda.</w:t>
      </w:r>
    </w:p>
    <w:p w:rsidR="00647390" w:rsidRPr="001135A8" w:rsidRDefault="00647390" w:rsidP="00647390">
      <w:pPr>
        <w:spacing w:line="360" w:lineRule="auto"/>
        <w:ind w:right="-787"/>
        <w:jc w:val="both"/>
        <w:rPr>
          <w:rFonts w:ascii="Palatino Linotype" w:eastAsia="Palatino Linotype" w:hAnsi="Palatino Linotype" w:cs="Palatino Linotype"/>
        </w:rPr>
      </w:pPr>
    </w:p>
    <w:p w:rsidR="00647390" w:rsidRPr="001135A8" w:rsidRDefault="00647390" w:rsidP="00647390">
      <w:pPr>
        <w:spacing w:line="360" w:lineRule="auto"/>
        <w:ind w:right="-787"/>
        <w:jc w:val="center"/>
        <w:rPr>
          <w:rFonts w:ascii="Palatino Linotype" w:eastAsia="Palatino Linotype" w:hAnsi="Palatino Linotype" w:cs="Palatino Linotype"/>
          <w:b/>
        </w:rPr>
      </w:pPr>
      <w:r w:rsidRPr="001135A8">
        <w:rPr>
          <w:rFonts w:ascii="Palatino Linotype" w:eastAsia="Palatino Linotype" w:hAnsi="Palatino Linotype" w:cs="Palatino Linotype"/>
          <w:b/>
          <w:noProof/>
          <w:lang w:val="es-MX"/>
        </w:rPr>
        <w:drawing>
          <wp:inline distT="0" distB="0" distL="0" distR="0" wp14:anchorId="612C3F11" wp14:editId="1BEE4F44">
            <wp:extent cx="3798686" cy="27539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6320" cy="2759530"/>
                    </a:xfrm>
                    <a:prstGeom prst="rect">
                      <a:avLst/>
                    </a:prstGeom>
                  </pic:spPr>
                </pic:pic>
              </a:graphicData>
            </a:graphic>
          </wp:inline>
        </w:drawing>
      </w:r>
    </w:p>
    <w:p w:rsidR="004739C8" w:rsidRPr="001135A8" w:rsidRDefault="004739C8" w:rsidP="004739C8">
      <w:pPr>
        <w:pBdr>
          <w:top w:val="nil"/>
          <w:left w:val="nil"/>
          <w:bottom w:val="nil"/>
          <w:right w:val="nil"/>
          <w:between w:val="nil"/>
        </w:pBdr>
        <w:rPr>
          <w:rFonts w:ascii="Palatino Linotype" w:eastAsia="Palatino Linotype" w:hAnsi="Palatino Linotype" w:cs="Palatino Linotype"/>
        </w:rPr>
      </w:pPr>
    </w:p>
    <w:p w:rsidR="004739C8" w:rsidRPr="001135A8" w:rsidRDefault="004739C8" w:rsidP="00097DD3">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Como se puedo observar, </w:t>
      </w:r>
      <w:r w:rsidRPr="001135A8">
        <w:rPr>
          <w:rFonts w:ascii="Palatino Linotype" w:eastAsia="Palatino Linotype" w:hAnsi="Palatino Linotype" w:cs="Palatino Linotype"/>
          <w:b/>
        </w:rPr>
        <w:t>las pólizas de egresos y las pólizas de cheques, de manera enunciativa mas no limitativa pueden colmar la pretensión del Recurrente</w:t>
      </w:r>
      <w:r w:rsidRPr="001135A8">
        <w:rPr>
          <w:rFonts w:ascii="Palatino Linotype" w:eastAsia="Palatino Linotype" w:hAnsi="Palatino Linotype" w:cs="Palatino Linotype"/>
        </w:rPr>
        <w:t>, pues contiene la información solicitada; asimismo es de referir que estos formatos se generan de manera mensual, como lo disponen los Lineamientos, fechas de capacitación y calendarización para la integración y presentación de los informes trimestrales estatales y municipales del ejercicio fiscal 2025, de las entidades fiscalizables del Estado de México, tal como se muestra a continuación:</w:t>
      </w:r>
    </w:p>
    <w:p w:rsidR="004739C8" w:rsidRPr="001135A8" w:rsidRDefault="00097DD3" w:rsidP="00097DD3">
      <w:pPr>
        <w:spacing w:line="360" w:lineRule="auto"/>
        <w:ind w:right="-787"/>
        <w:jc w:val="center"/>
        <w:rPr>
          <w:rFonts w:ascii="Palatino Linotype" w:eastAsia="Palatino Linotype" w:hAnsi="Palatino Linotype" w:cs="Palatino Linotype"/>
        </w:rPr>
      </w:pPr>
      <w:r w:rsidRPr="001135A8">
        <w:rPr>
          <w:rFonts w:ascii="Palatino Linotype" w:eastAsia="Palatino Linotype" w:hAnsi="Palatino Linotype" w:cs="Palatino Linotype"/>
          <w:noProof/>
          <w:lang w:val="es-MX"/>
        </w:rPr>
        <w:lastRenderedPageBreak/>
        <w:drawing>
          <wp:inline distT="0" distB="0" distL="0" distR="0" wp14:anchorId="76DC05DE" wp14:editId="5612EB5D">
            <wp:extent cx="4894639" cy="20669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8509" cy="2081228"/>
                    </a:xfrm>
                    <a:prstGeom prst="rect">
                      <a:avLst/>
                    </a:prstGeom>
                  </pic:spPr>
                </pic:pic>
              </a:graphicData>
            </a:graphic>
          </wp:inline>
        </w:drawing>
      </w:r>
    </w:p>
    <w:p w:rsidR="00225A8C" w:rsidRPr="001135A8" w:rsidRDefault="00225A8C" w:rsidP="00225A8C">
      <w:pPr>
        <w:spacing w:line="360" w:lineRule="auto"/>
        <w:ind w:right="-787"/>
        <w:jc w:val="both"/>
        <w:rPr>
          <w:rFonts w:ascii="Palatino Linotype" w:eastAsia="Palatino Linotype" w:hAnsi="Palatino Linotype" w:cs="Palatino Linotype"/>
        </w:rPr>
      </w:pPr>
    </w:p>
    <w:p w:rsidR="00D06CC3" w:rsidRPr="001135A8" w:rsidRDefault="00D06CC3" w:rsidP="00C033D6">
      <w:pPr>
        <w:numPr>
          <w:ilvl w:val="0"/>
          <w:numId w:val="2"/>
        </w:numPr>
        <w:spacing w:line="360" w:lineRule="auto"/>
        <w:ind w:left="0" w:right="-787" w:firstLine="0"/>
        <w:jc w:val="both"/>
        <w:rPr>
          <w:rFonts w:ascii="Palatino Linotype" w:eastAsia="Palatino Linotype" w:hAnsi="Palatino Linotype" w:cs="Palatino Linotype"/>
          <w:b/>
        </w:rPr>
      </w:pPr>
      <w:r w:rsidRPr="001135A8">
        <w:rPr>
          <w:rFonts w:ascii="Palatino Linotype" w:eastAsia="Palatino Linotype" w:hAnsi="Palatino Linotype" w:cs="Palatino Linotype"/>
          <w:b/>
        </w:rPr>
        <w:t xml:space="preserve">“13. Diario General de Pólizas” </w:t>
      </w:r>
      <w:r w:rsidRPr="001135A8">
        <w:rPr>
          <w:rFonts w:ascii="Palatino Linotype" w:eastAsia="Palatino Linotype" w:hAnsi="Palatino Linotype" w:cs="Palatino Linotype"/>
        </w:rPr>
        <w:t xml:space="preserve">tiene como finalidad llevar un control detallado y preciso de todos los registros contables que la entidad realizó en un determinado periodo de tiempo, dentro las especificaciones </w:t>
      </w:r>
      <w:r w:rsidR="001135A8" w:rsidRPr="001135A8">
        <w:rPr>
          <w:rFonts w:ascii="Palatino Linotype" w:eastAsia="Palatino Linotype" w:hAnsi="Palatino Linotype" w:cs="Palatino Linotype"/>
        </w:rPr>
        <w:t xml:space="preserve">debe presentar el numeral </w:t>
      </w:r>
      <w:r w:rsidR="001135A8" w:rsidRPr="001135A8">
        <w:rPr>
          <w:rFonts w:ascii="Palatino Linotype" w:eastAsia="Palatino Linotype" w:hAnsi="Palatino Linotype" w:cs="Palatino Linotype"/>
          <w:b/>
        </w:rPr>
        <w:t>5. Concepto</w:t>
      </w:r>
      <w:r w:rsidR="001135A8" w:rsidRPr="001135A8">
        <w:rPr>
          <w:rFonts w:ascii="Palatino Linotype" w:eastAsia="Palatino Linotype" w:hAnsi="Palatino Linotype" w:cs="Palatino Linotype"/>
        </w:rPr>
        <w:t>: Anotar el nombre del concepto del clasificador del objeto del gasto, de acuerdo al Manual Único de Contabilidad Gubernamental para las Dependencias y Entidades Públicas del Gobierno y Municipios del Estado de México.</w:t>
      </w:r>
    </w:p>
    <w:p w:rsidR="00D06CC3" w:rsidRPr="001135A8" w:rsidRDefault="00D06CC3" w:rsidP="00D06CC3">
      <w:pPr>
        <w:spacing w:line="360" w:lineRule="auto"/>
        <w:ind w:right="-787"/>
        <w:jc w:val="center"/>
        <w:rPr>
          <w:rFonts w:ascii="Palatino Linotype" w:eastAsia="Palatino Linotype" w:hAnsi="Palatino Linotype" w:cs="Palatino Linotype"/>
          <w:b/>
        </w:rPr>
      </w:pPr>
      <w:r w:rsidRPr="001135A8">
        <w:rPr>
          <w:rFonts w:ascii="Palatino Linotype" w:eastAsia="Palatino Linotype" w:hAnsi="Palatino Linotype" w:cs="Palatino Linotype"/>
          <w:b/>
          <w:noProof/>
          <w:lang w:val="es-MX"/>
        </w:rPr>
        <w:drawing>
          <wp:inline distT="0" distB="0" distL="0" distR="0" wp14:anchorId="693591F2" wp14:editId="68949905">
            <wp:extent cx="3615722" cy="2723857"/>
            <wp:effectExtent l="0" t="0" r="381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2020" cy="2743668"/>
                    </a:xfrm>
                    <a:prstGeom prst="rect">
                      <a:avLst/>
                    </a:prstGeom>
                  </pic:spPr>
                </pic:pic>
              </a:graphicData>
            </a:graphic>
          </wp:inline>
        </w:drawing>
      </w:r>
    </w:p>
    <w:p w:rsidR="001135A8" w:rsidRPr="001135A8" w:rsidRDefault="001135A8" w:rsidP="00C033D6">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lastRenderedPageBreak/>
        <w:t>La entrega del Diario General de Pólizas de manera mensual, tal como se muestra en la imagen siguiente:</w:t>
      </w:r>
    </w:p>
    <w:p w:rsidR="001135A8" w:rsidRPr="001135A8" w:rsidRDefault="001135A8" w:rsidP="001135A8">
      <w:pPr>
        <w:spacing w:line="360" w:lineRule="auto"/>
        <w:ind w:right="-787"/>
        <w:jc w:val="both"/>
        <w:rPr>
          <w:rFonts w:ascii="Palatino Linotype" w:eastAsia="Palatino Linotype" w:hAnsi="Palatino Linotype" w:cs="Palatino Linotype"/>
        </w:rPr>
      </w:pPr>
      <w:r w:rsidRPr="001135A8">
        <w:rPr>
          <w:rFonts w:ascii="Palatino Linotype" w:eastAsia="Palatino Linotype" w:hAnsi="Palatino Linotype" w:cs="Palatino Linotype"/>
          <w:noProof/>
          <w:lang w:val="es-MX"/>
        </w:rPr>
        <w:drawing>
          <wp:inline distT="0" distB="0" distL="0" distR="0" wp14:anchorId="28B63C06" wp14:editId="145F3D0B">
            <wp:extent cx="5756275" cy="1600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275" cy="1600200"/>
                    </a:xfrm>
                    <a:prstGeom prst="rect">
                      <a:avLst/>
                    </a:prstGeom>
                  </pic:spPr>
                </pic:pic>
              </a:graphicData>
            </a:graphic>
          </wp:inline>
        </w:drawing>
      </w:r>
    </w:p>
    <w:p w:rsidR="001135A8" w:rsidRPr="001135A8" w:rsidRDefault="001135A8" w:rsidP="001135A8">
      <w:pPr>
        <w:spacing w:line="360" w:lineRule="auto"/>
        <w:ind w:right="-787"/>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El </w:t>
      </w:r>
      <w:r w:rsidRPr="001135A8">
        <w:rPr>
          <w:rFonts w:ascii="Palatino Linotype" w:eastAsia="Palatino Linotype" w:hAnsi="Palatino Linotype" w:cs="Palatino Linotype"/>
          <w:b/>
        </w:rPr>
        <w:t>Diario General de Pólizas</w:t>
      </w:r>
      <w:r w:rsidRPr="001135A8">
        <w:rPr>
          <w:rFonts w:ascii="Palatino Linotype" w:eastAsia="Palatino Linotype" w:hAnsi="Palatino Linotype" w:cs="Palatino Linotype"/>
        </w:rPr>
        <w:t xml:space="preserve"> debe contener diversos datos relativos a la información contable y financiera del Sujeto Obligado, debe enviar mensualmente al Órgano Superior de Fiscalización, tales como el tipo de póliza, dentro de sus tipos se encuentran las pólizas de diario, de ingresos, de egresos, de cuentas por pagar y de cheque.</w:t>
      </w:r>
    </w:p>
    <w:p w:rsidR="001135A8" w:rsidRPr="001135A8" w:rsidRDefault="001135A8" w:rsidP="001135A8">
      <w:pPr>
        <w:spacing w:line="360" w:lineRule="auto"/>
        <w:ind w:right="-787"/>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Misma suerte corre la información solicitada para el ejercicio fiscal 2024.</w:t>
      </w:r>
    </w:p>
    <w:p w:rsidR="001135A8" w:rsidRPr="001135A8" w:rsidRDefault="001135A8" w:rsidP="001135A8">
      <w:pPr>
        <w:pBdr>
          <w:top w:val="nil"/>
          <w:left w:val="nil"/>
          <w:bottom w:val="nil"/>
          <w:right w:val="nil"/>
          <w:between w:val="nil"/>
        </w:pBdr>
        <w:spacing w:line="360" w:lineRule="auto"/>
        <w:ind w:right="-518"/>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En razón de lo expuesto es de precisar que la información solicitada debe de administrarse y poseerse en los archivos del </w:t>
      </w:r>
      <w:r w:rsidRPr="001135A8">
        <w:rPr>
          <w:rFonts w:ascii="Palatino Linotype" w:eastAsia="Palatino Linotype" w:hAnsi="Palatino Linotype" w:cs="Palatino Linotype"/>
          <w:b/>
        </w:rPr>
        <w:t xml:space="preserve">SUJETO OBLIGADO, </w:t>
      </w:r>
      <w:r w:rsidRPr="001135A8">
        <w:rPr>
          <w:rFonts w:ascii="Palatino Linotype" w:eastAsia="Palatino Linotype" w:hAnsi="Palatino Linotype" w:cs="Palatino Linotype"/>
        </w:rPr>
        <w:t>máxime que entregó una liga donde pretendió colmar el requerimie</w:t>
      </w:r>
      <w:r>
        <w:rPr>
          <w:rFonts w:ascii="Palatino Linotype" w:eastAsia="Palatino Linotype" w:hAnsi="Palatino Linotype" w:cs="Palatino Linotype"/>
        </w:rPr>
        <w:t>nto.</w:t>
      </w:r>
    </w:p>
    <w:p w:rsidR="001135A8" w:rsidRPr="001135A8" w:rsidRDefault="001135A8" w:rsidP="001135A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Ahora bien, en consecuencia de lo anterior es de referir que la información solicitada reviste interés público al transparentar las actividades que llevan a cabo los sujetos obligados, particularmente el </w:t>
      </w:r>
      <w:r>
        <w:rPr>
          <w:rFonts w:ascii="Palatino Linotype" w:eastAsia="Palatino Linotype" w:hAnsi="Palatino Linotype" w:cs="Palatino Linotype"/>
        </w:rPr>
        <w:t xml:space="preserve">Ayuntamiento de Metepec </w:t>
      </w:r>
      <w:r w:rsidRPr="001135A8">
        <w:rPr>
          <w:rFonts w:ascii="Palatino Linotype" w:eastAsia="Palatino Linotype" w:hAnsi="Palatino Linotype" w:cs="Palatino Linotype"/>
        </w:rPr>
        <w:t xml:space="preserve">es un Sujeto Obligado a transparentar y permitir el acceso a su información, en razón que se debe garantizar el efectivo acceso de toda </w:t>
      </w:r>
      <w:r w:rsidRPr="001135A8">
        <w:rPr>
          <w:rFonts w:ascii="Palatino Linotype" w:eastAsia="Palatino Linotype" w:hAnsi="Palatino Linotype" w:cs="Palatino Linotype"/>
        </w:rPr>
        <w:lastRenderedPageBreak/>
        <w:t>persona a la información en posesión de cualquier Sujeto Obligado, así como de cualquier persona que reciba recursos públicos.</w:t>
      </w:r>
    </w:p>
    <w:p w:rsidR="001135A8" w:rsidRPr="001135A8" w:rsidRDefault="001135A8" w:rsidP="001135A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Los sujetos obligados deberán hacer pública toda aquella información relativa a los montos y las personas a quienes entreguen, por cualquier motivo, recursos públicos y en consecuencia, los servidores públicos deberán transparentar sus acciones así como garantizar y respetar el derecho de acceso a la información pública.</w:t>
      </w:r>
    </w:p>
    <w:p w:rsidR="001135A8" w:rsidRPr="001135A8" w:rsidRDefault="001135A8" w:rsidP="001135A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Ahora bien, </w:t>
      </w:r>
      <w:r>
        <w:rPr>
          <w:rFonts w:ascii="Palatino Linotype" w:eastAsia="Palatino Linotype" w:hAnsi="Palatino Linotype" w:cs="Palatino Linotype"/>
        </w:rPr>
        <w:t xml:space="preserve">es importante mencionar que </w:t>
      </w:r>
      <w:r w:rsidRPr="001135A8">
        <w:rPr>
          <w:rFonts w:ascii="Palatino Linotype" w:eastAsia="Palatino Linotype" w:hAnsi="Palatino Linotype" w:cs="Palatino Linotype"/>
        </w:rPr>
        <w:t>la información privada y los datos personales concernientes a una persona física o jurídica colectiva identificada o identificable, tratándose de proveedores, prestadores de servicios o contratistas, dichos datos no deben ser suprimidos de la documentación que dé cuenta de la información requerida.</w:t>
      </w:r>
    </w:p>
    <w:p w:rsidR="001135A8" w:rsidRPr="001135A8" w:rsidRDefault="001135A8" w:rsidP="001135A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En este mismo sentido se tiene como obligación de transparencia común la de poner a disposición la información relativa a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1135A8" w:rsidRPr="001135A8" w:rsidRDefault="001135A8" w:rsidP="001135A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1135A8" w:rsidRPr="001135A8" w:rsidRDefault="001135A8" w:rsidP="001135A8">
      <w:pPr>
        <w:numPr>
          <w:ilvl w:val="0"/>
          <w:numId w:val="2"/>
        </w:numPr>
        <w:spacing w:line="360" w:lineRule="auto"/>
        <w:ind w:left="0" w:right="-787" w:firstLine="0"/>
        <w:jc w:val="both"/>
        <w:rPr>
          <w:rFonts w:ascii="Palatino Linotype" w:eastAsia="Palatino Linotype" w:hAnsi="Palatino Linotype" w:cs="Palatino Linotype"/>
          <w:bCs/>
        </w:rPr>
      </w:pPr>
      <w:r w:rsidRPr="001135A8">
        <w:rPr>
          <w:rFonts w:ascii="Palatino Linotype" w:eastAsia="Palatino Linotype" w:hAnsi="Palatino Linotype" w:cs="Palatino Linotype"/>
        </w:rPr>
        <w:t xml:space="preserve">En este sentido se deben señalar diversos datos de manera enunciativa mas no limitativa, que si bien corresponden a datos personales </w:t>
      </w:r>
      <w:r w:rsidRPr="001135A8">
        <w:rPr>
          <w:rFonts w:ascii="Palatino Linotype" w:eastAsia="Palatino Linotype" w:hAnsi="Palatino Linotype" w:cs="Palatino Linotype"/>
          <w:bCs/>
        </w:rPr>
        <w:t>no actualizan la causal de clasificación establecida en el artículo 143, fracción I, de la Ley de Transparencia y Acceso a la Información Pública del Estado de México y Municipios.</w:t>
      </w:r>
    </w:p>
    <w:p w:rsidR="001135A8" w:rsidRPr="001135A8" w:rsidRDefault="001135A8" w:rsidP="001135A8">
      <w:pPr>
        <w:pBdr>
          <w:top w:val="nil"/>
          <w:left w:val="nil"/>
          <w:bottom w:val="nil"/>
          <w:right w:val="nil"/>
          <w:between w:val="nil"/>
        </w:pBdr>
        <w:spacing w:line="360" w:lineRule="auto"/>
        <w:ind w:right="-787"/>
        <w:jc w:val="both"/>
        <w:rPr>
          <w:rFonts w:ascii="Palatino Linotype" w:eastAsia="Palatino Linotype" w:hAnsi="Palatino Linotype" w:cs="Palatino Linotype"/>
          <w:bCs/>
        </w:rPr>
      </w:pPr>
    </w:p>
    <w:p w:rsidR="001135A8" w:rsidRPr="001135A8" w:rsidRDefault="001135A8" w:rsidP="006D1D2F">
      <w:pPr>
        <w:pStyle w:val="Prrafodelista"/>
        <w:numPr>
          <w:ilvl w:val="0"/>
          <w:numId w:val="8"/>
        </w:numPr>
        <w:pBdr>
          <w:top w:val="nil"/>
          <w:left w:val="nil"/>
          <w:bottom w:val="nil"/>
          <w:right w:val="nil"/>
          <w:between w:val="nil"/>
        </w:pBdr>
        <w:spacing w:line="360" w:lineRule="auto"/>
        <w:ind w:right="-787"/>
        <w:jc w:val="both"/>
        <w:rPr>
          <w:rFonts w:ascii="Palatino Linotype" w:eastAsia="Palatino Linotype" w:hAnsi="Palatino Linotype" w:cs="Palatino Linotype"/>
          <w:b/>
          <w:bCs/>
        </w:rPr>
      </w:pPr>
      <w:r w:rsidRPr="001135A8">
        <w:rPr>
          <w:rFonts w:ascii="Palatino Linotype" w:hAnsi="Palatino Linotype"/>
          <w:b/>
          <w:color w:val="000000"/>
        </w:rPr>
        <w:t>Cuentas bancarias o clabes interbancarias</w:t>
      </w:r>
    </w:p>
    <w:p w:rsidR="001135A8" w:rsidRPr="001135A8" w:rsidRDefault="001135A8" w:rsidP="001135A8">
      <w:pPr>
        <w:numPr>
          <w:ilvl w:val="0"/>
          <w:numId w:val="2"/>
        </w:numPr>
        <w:spacing w:line="360" w:lineRule="auto"/>
        <w:ind w:left="0" w:right="-787" w:firstLine="0"/>
        <w:jc w:val="both"/>
      </w:pPr>
      <w:r w:rsidRPr="001135A8">
        <w:rPr>
          <w:rFonts w:ascii="Palatino Linotype" w:eastAsia="Palatino Linotype" w:hAnsi="Palatino Linotype" w:cs="Palatino Linotype"/>
        </w:rPr>
        <w:t xml:space="preserve">Resulta </w:t>
      </w:r>
      <w:r w:rsidRPr="001135A8">
        <w:rPr>
          <w:rFonts w:ascii="Palatino Linotype" w:eastAsia="Palatino Linotype" w:hAnsi="Palatino Linotype" w:cs="Palatino Linotype"/>
          <w:bCs/>
        </w:rPr>
        <w:t>importante</w:t>
      </w:r>
      <w:r w:rsidRPr="001135A8">
        <w:rPr>
          <w:rFonts w:ascii="Palatino Linotype" w:eastAsia="Palatino Linotype" w:hAnsi="Palatino Linotype" w:cs="Palatino Linotype"/>
        </w:rPr>
        <w:t xml:space="preserve"> señalar que </w:t>
      </w:r>
      <w:r w:rsidRPr="001135A8">
        <w:rPr>
          <w:rFonts w:ascii="Palatino Linotype" w:hAnsi="Palatino Linotype"/>
          <w:color w:val="000000"/>
        </w:rPr>
        <w:t>tratándose de las cuentas bancarias o clabes interbancarias de los Sujetos Obligados ya que su publicidad cede a la rendición de cuentas al transparentar la forma en que son administrados los recursos públicos.</w:t>
      </w:r>
    </w:p>
    <w:p w:rsidR="001135A8" w:rsidRPr="001135A8" w:rsidRDefault="001135A8" w:rsidP="001135A8">
      <w:pPr>
        <w:spacing w:line="360" w:lineRule="auto"/>
        <w:ind w:right="276"/>
        <w:jc w:val="both"/>
      </w:pPr>
    </w:p>
    <w:p w:rsidR="001135A8" w:rsidRPr="001135A8" w:rsidRDefault="001135A8" w:rsidP="001135A8">
      <w:pPr>
        <w:numPr>
          <w:ilvl w:val="0"/>
          <w:numId w:val="2"/>
        </w:numPr>
        <w:spacing w:line="360" w:lineRule="auto"/>
        <w:ind w:left="0" w:right="-787" w:firstLine="0"/>
        <w:jc w:val="both"/>
      </w:pPr>
      <w:r w:rsidRPr="001135A8">
        <w:rPr>
          <w:rFonts w:ascii="Palatino Linotype" w:hAnsi="Palatino Linotype"/>
          <w:color w:val="000000"/>
        </w:rPr>
        <w:t xml:space="preserve">Lo </w:t>
      </w:r>
      <w:r w:rsidRPr="001135A8">
        <w:rPr>
          <w:rFonts w:ascii="Palatino Linotype" w:eastAsia="Palatino Linotype" w:hAnsi="Palatino Linotype" w:cs="Palatino Linotype"/>
          <w:bCs/>
        </w:rPr>
        <w:t>argumentado</w:t>
      </w:r>
      <w:r w:rsidRPr="001135A8">
        <w:rPr>
          <w:rFonts w:ascii="Palatino Linotype" w:hAnsi="Palatino Linotype"/>
          <w:color w:val="000000"/>
        </w:rPr>
        <w:t xml:space="preserve"> encuentra sustento en los criterios orientadores 10/17 y 11/17 emitidos por el Instituto Nacional de Transparencia, Acceso a la Información y Protección de Datos Personales, INAI, que llevan por rubro y texto los siguientes:</w:t>
      </w:r>
    </w:p>
    <w:p w:rsidR="001135A8" w:rsidRPr="001135A8" w:rsidRDefault="001135A8" w:rsidP="001135A8">
      <w:pPr>
        <w:pStyle w:val="NormalWeb"/>
        <w:spacing w:before="240" w:beforeAutospacing="0" w:after="240" w:afterAutospacing="0"/>
        <w:ind w:left="1134" w:right="1127"/>
        <w:jc w:val="both"/>
      </w:pPr>
      <w:r w:rsidRPr="001135A8">
        <w:rPr>
          <w:rFonts w:ascii="Palatino Linotype" w:hAnsi="Palatino Linotype"/>
          <w:b/>
          <w:bCs/>
          <w:i/>
          <w:iCs/>
          <w:color w:val="000000"/>
          <w:sz w:val="22"/>
          <w:szCs w:val="22"/>
        </w:rPr>
        <w:t>“Cuentas bancarias y/o CLABE interbancaria de personas físicas y morales privadas.</w:t>
      </w:r>
      <w:r w:rsidRPr="001135A8">
        <w:rPr>
          <w:rFonts w:ascii="Palatino Linotype" w:hAnsi="Palatino Linotype"/>
          <w:i/>
          <w:iCs/>
          <w:color w:val="000000"/>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135A8" w:rsidRPr="001135A8" w:rsidRDefault="001135A8" w:rsidP="001135A8">
      <w:pPr>
        <w:pStyle w:val="NormalWeb"/>
        <w:spacing w:before="240" w:beforeAutospacing="0" w:after="240" w:afterAutospacing="0"/>
        <w:ind w:left="1134" w:right="1127"/>
        <w:jc w:val="both"/>
        <w:rPr>
          <w:rFonts w:ascii="Palatino Linotype" w:hAnsi="Palatino Linotype"/>
          <w:i/>
          <w:iCs/>
          <w:color w:val="000000"/>
          <w:sz w:val="22"/>
          <w:szCs w:val="22"/>
        </w:rPr>
      </w:pPr>
      <w:r w:rsidRPr="001135A8">
        <w:rPr>
          <w:rFonts w:ascii="Palatino Linotype" w:hAnsi="Palatino Linotype"/>
          <w:b/>
          <w:bCs/>
          <w:i/>
          <w:iCs/>
          <w:color w:val="000000"/>
          <w:sz w:val="22"/>
          <w:szCs w:val="22"/>
        </w:rPr>
        <w:t>Cuentas bancarias y/o CLABE interbancaria de sujetos obligados que reciben y/o transfieren recursos públicos, son información pública</w:t>
      </w:r>
      <w:r w:rsidRPr="001135A8">
        <w:rPr>
          <w:rFonts w:ascii="Palatino Linotype" w:hAnsi="Palatino Linotype"/>
          <w:i/>
          <w:iCs/>
          <w:color w:val="000000"/>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1135A8" w:rsidRPr="001135A8" w:rsidRDefault="001135A8" w:rsidP="001135A8">
      <w:pPr>
        <w:pStyle w:val="NormalWeb"/>
        <w:spacing w:before="0" w:beforeAutospacing="0" w:after="0" w:afterAutospacing="0"/>
        <w:ind w:left="1134" w:right="1128"/>
        <w:jc w:val="both"/>
      </w:pPr>
    </w:p>
    <w:p w:rsidR="001135A8" w:rsidRPr="001135A8" w:rsidRDefault="001135A8" w:rsidP="006D1D2F">
      <w:pPr>
        <w:pStyle w:val="Prrafodelista"/>
        <w:numPr>
          <w:ilvl w:val="0"/>
          <w:numId w:val="8"/>
        </w:numPr>
        <w:spacing w:line="360" w:lineRule="auto"/>
        <w:ind w:right="-787"/>
        <w:jc w:val="both"/>
      </w:pPr>
      <w:r w:rsidRPr="001135A8">
        <w:rPr>
          <w:rFonts w:ascii="Palatino Linotype" w:hAnsi="Palatino Linotype"/>
          <w:b/>
          <w:bCs/>
          <w:color w:val="000000"/>
        </w:rPr>
        <w:t>Registro Federal de Contribuyentes (RFC)</w:t>
      </w:r>
    </w:p>
    <w:p w:rsidR="001135A8" w:rsidRPr="001135A8" w:rsidRDefault="001135A8" w:rsidP="001135A8">
      <w:pPr>
        <w:numPr>
          <w:ilvl w:val="0"/>
          <w:numId w:val="2"/>
        </w:numPr>
        <w:spacing w:line="360" w:lineRule="auto"/>
        <w:ind w:left="0" w:right="-787" w:firstLine="0"/>
        <w:jc w:val="both"/>
      </w:pPr>
      <w:r w:rsidRPr="001135A8">
        <w:rPr>
          <w:rFonts w:ascii="Palatino Linotype" w:hAnsi="Palatino Linotype"/>
          <w:color w:val="000000"/>
        </w:rPr>
        <w:t xml:space="preserve">Por cuanto </w:t>
      </w:r>
      <w:r w:rsidRPr="001135A8">
        <w:rPr>
          <w:rFonts w:ascii="Palatino Linotype" w:eastAsia="Palatino Linotype" w:hAnsi="Palatino Linotype" w:cs="Palatino Linotype"/>
          <w:bCs/>
        </w:rPr>
        <w:t>hace</w:t>
      </w:r>
      <w:r w:rsidRPr="001135A8">
        <w:rPr>
          <w:rFonts w:ascii="Palatino Linotype" w:hAnsi="Palatino Linotype"/>
          <w:color w:val="000000"/>
        </w:rPr>
        <w:t xml:space="preserve"> al </w:t>
      </w:r>
      <w:r w:rsidRPr="001135A8">
        <w:rPr>
          <w:rFonts w:ascii="Palatino Linotype" w:hAnsi="Palatino Linotype"/>
          <w:b/>
          <w:bCs/>
          <w:color w:val="000000"/>
        </w:rPr>
        <w:t xml:space="preserve">Registro Federal de Contribuyentes (RFC), </w:t>
      </w:r>
      <w:r w:rsidRPr="001135A8">
        <w:rPr>
          <w:rFonts w:ascii="Palatino Linotype" w:hAnsi="Palatino Linotype"/>
          <w:color w:val="000000"/>
        </w:rPr>
        <w:t xml:space="preserve">si bien este Instituto ha sostenido que el RFC y domicilio de las personas físicas debe ser testado por los Sujetos Obligados, en las versiones públicas de los documentos que elaboren para atender las </w:t>
      </w:r>
      <w:r w:rsidRPr="001135A8">
        <w:rPr>
          <w:rFonts w:ascii="Palatino Linotype" w:hAnsi="Palatino Linotype"/>
          <w:color w:val="000000"/>
        </w:rPr>
        <w:lastRenderedPageBreak/>
        <w:t>solicitudes de información pública, lo cierto es que, tratándose de proveedores, prestadores de servicios o contratistas, dichos datos no deben ser suprimidos de las facturas y contratos que vayan a ser entregados.</w:t>
      </w:r>
    </w:p>
    <w:p w:rsidR="001135A8" w:rsidRPr="001135A8" w:rsidRDefault="001135A8" w:rsidP="001135A8">
      <w:pPr>
        <w:spacing w:line="360" w:lineRule="auto"/>
        <w:ind w:right="276"/>
        <w:jc w:val="both"/>
      </w:pPr>
    </w:p>
    <w:p w:rsidR="001135A8" w:rsidRPr="001135A8" w:rsidRDefault="001135A8" w:rsidP="001135A8">
      <w:pPr>
        <w:numPr>
          <w:ilvl w:val="0"/>
          <w:numId w:val="2"/>
        </w:numPr>
        <w:spacing w:line="360" w:lineRule="auto"/>
        <w:ind w:left="0" w:right="-787" w:firstLine="0"/>
        <w:jc w:val="both"/>
      </w:pPr>
      <w:r w:rsidRPr="001135A8">
        <w:rPr>
          <w:rFonts w:ascii="Palatino Linotype" w:hAnsi="Palatino Linotype"/>
          <w:color w:val="000000"/>
        </w:rPr>
        <w:t xml:space="preserve">Ello se debe a que, del ejercicio de ponderación entre el derecho a la protección de datos personales con el </w:t>
      </w:r>
      <w:r w:rsidRPr="001135A8">
        <w:rPr>
          <w:rFonts w:ascii="Palatino Linotype" w:eastAsia="Palatino Linotype" w:hAnsi="Palatino Linotype" w:cs="Palatino Linotype"/>
          <w:bCs/>
        </w:rPr>
        <w:t>derecho</w:t>
      </w:r>
      <w:r w:rsidRPr="001135A8">
        <w:rPr>
          <w:rFonts w:ascii="Palatino Linotype" w:hAnsi="Palatino Linotype"/>
          <w:color w:val="000000"/>
        </w:rPr>
        <w:t xml:space="preserve">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1135A8" w:rsidRPr="001135A8" w:rsidRDefault="001135A8" w:rsidP="001135A8">
      <w:pPr>
        <w:spacing w:line="360" w:lineRule="auto"/>
        <w:ind w:right="276"/>
        <w:jc w:val="both"/>
      </w:pPr>
    </w:p>
    <w:p w:rsidR="001135A8" w:rsidRPr="001135A8" w:rsidRDefault="001135A8" w:rsidP="001135A8">
      <w:pPr>
        <w:numPr>
          <w:ilvl w:val="0"/>
          <w:numId w:val="2"/>
        </w:numPr>
        <w:spacing w:line="360" w:lineRule="auto"/>
        <w:ind w:left="0" w:right="-787" w:firstLine="0"/>
        <w:jc w:val="both"/>
      </w:pPr>
      <w:r w:rsidRPr="001135A8">
        <w:rPr>
          <w:rFonts w:ascii="Palatino Linotype" w:eastAsia="Palatino Linotype" w:hAnsi="Palatino Linotype" w:cs="Palatino Linotype"/>
          <w:bCs/>
        </w:rPr>
        <w:t>Además</w:t>
      </w:r>
      <w:r w:rsidRPr="001135A8">
        <w:rPr>
          <w:rFonts w:ascii="Palatino Linotype" w:hAnsi="Palatino Linotype"/>
          <w:color w:val="000000"/>
        </w:rPr>
        <w:t>,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1135A8" w:rsidRPr="001135A8" w:rsidRDefault="001135A8" w:rsidP="001135A8">
      <w:pPr>
        <w:spacing w:line="360" w:lineRule="auto"/>
        <w:ind w:right="276"/>
        <w:jc w:val="both"/>
      </w:pPr>
    </w:p>
    <w:p w:rsidR="001135A8" w:rsidRPr="001135A8" w:rsidRDefault="001135A8" w:rsidP="001135A8">
      <w:pPr>
        <w:numPr>
          <w:ilvl w:val="0"/>
          <w:numId w:val="2"/>
        </w:numPr>
        <w:spacing w:line="360" w:lineRule="auto"/>
        <w:ind w:left="0" w:right="-787" w:firstLine="0"/>
        <w:jc w:val="both"/>
      </w:pPr>
      <w:r w:rsidRPr="001135A8">
        <w:rPr>
          <w:rFonts w:ascii="Palatino Linotype" w:hAnsi="Palatino Linotype"/>
          <w:color w:val="000000"/>
        </w:rPr>
        <w:t>Robustece lo anterior el criterio orientador 04/21 emitido por el Instituto Nacional de Transparencia, Acceso a la Información y Protección de Datos Personales, INAI, el cual refiere:</w:t>
      </w:r>
    </w:p>
    <w:p w:rsidR="001135A8" w:rsidRPr="001135A8" w:rsidRDefault="001135A8" w:rsidP="001135A8">
      <w:pPr>
        <w:pStyle w:val="NormalWeb"/>
        <w:tabs>
          <w:tab w:val="left" w:pos="7938"/>
        </w:tabs>
        <w:spacing w:before="120" w:beforeAutospacing="0" w:after="120" w:afterAutospacing="0"/>
        <w:ind w:left="1134" w:right="1127"/>
        <w:jc w:val="both"/>
        <w:rPr>
          <w:rFonts w:ascii="Palatino Linotype" w:hAnsi="Palatino Linotype"/>
          <w:i/>
          <w:iCs/>
          <w:color w:val="000000"/>
          <w:sz w:val="22"/>
          <w:szCs w:val="22"/>
        </w:rPr>
      </w:pPr>
      <w:r w:rsidRPr="001135A8">
        <w:rPr>
          <w:rFonts w:ascii="Palatino Linotype" w:hAnsi="Palatino Linotype"/>
          <w:b/>
          <w:bCs/>
          <w:i/>
          <w:iCs/>
          <w:color w:val="000000"/>
          <w:sz w:val="22"/>
          <w:szCs w:val="22"/>
        </w:rPr>
        <w:t xml:space="preserve">“Registro Federal de Contribuyentes (RFC) de personas físicas proveedoras o contratistas. </w:t>
      </w:r>
      <w:r w:rsidRPr="001135A8">
        <w:rPr>
          <w:rFonts w:ascii="Palatino Linotype" w:hAnsi="Palatino Linotype"/>
          <w:i/>
          <w:iCs/>
          <w:color w:val="000000"/>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1135A8" w:rsidRPr="001135A8" w:rsidRDefault="001135A8" w:rsidP="001135A8">
      <w:pPr>
        <w:pStyle w:val="NormalWeb"/>
        <w:tabs>
          <w:tab w:val="left" w:pos="7938"/>
        </w:tabs>
        <w:spacing w:before="120" w:beforeAutospacing="0" w:after="120" w:afterAutospacing="0"/>
        <w:ind w:left="1134" w:right="276"/>
        <w:jc w:val="both"/>
      </w:pPr>
    </w:p>
    <w:p w:rsidR="001135A8" w:rsidRPr="001135A8" w:rsidRDefault="001135A8" w:rsidP="001135A8">
      <w:pPr>
        <w:numPr>
          <w:ilvl w:val="0"/>
          <w:numId w:val="2"/>
        </w:numPr>
        <w:spacing w:line="360" w:lineRule="auto"/>
        <w:ind w:left="0" w:right="-787" w:firstLine="0"/>
        <w:jc w:val="both"/>
      </w:pPr>
      <w:r w:rsidRPr="001135A8">
        <w:rPr>
          <w:rFonts w:ascii="Palatino Linotype" w:hAnsi="Palatino Linotype"/>
          <w:color w:val="000000"/>
        </w:rPr>
        <w:t>Relacionado con lo anterior, el nombre de las personas físicas o los representantes legales de las personas morales,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1135A8" w:rsidRPr="001135A8" w:rsidRDefault="001135A8" w:rsidP="001135A8">
      <w:pPr>
        <w:spacing w:line="360" w:lineRule="auto"/>
        <w:ind w:right="-787"/>
        <w:jc w:val="both"/>
      </w:pPr>
    </w:p>
    <w:p w:rsidR="001135A8" w:rsidRPr="001135A8" w:rsidRDefault="001135A8" w:rsidP="001135A8">
      <w:pPr>
        <w:numPr>
          <w:ilvl w:val="0"/>
          <w:numId w:val="2"/>
        </w:numPr>
        <w:spacing w:line="360" w:lineRule="auto"/>
        <w:ind w:left="0" w:right="-787" w:firstLine="0"/>
        <w:jc w:val="both"/>
      </w:pPr>
      <w:r w:rsidRPr="001135A8">
        <w:rPr>
          <w:rFonts w:ascii="Palatino Linotype" w:hAnsi="Palatino Linotype"/>
          <w:color w:val="000000"/>
        </w:rPr>
        <w:t>Asimismo, resulta aplicable el contenido del criterio de interpretación 01/19 emitido por el Instituto Nacional de Transparencia, Acceso a la Información, y Protección de Datos Personales, INAI, que lleva por rubro y texto los siguientes:</w:t>
      </w:r>
    </w:p>
    <w:p w:rsidR="001135A8" w:rsidRPr="001135A8" w:rsidRDefault="001135A8" w:rsidP="001135A8">
      <w:pPr>
        <w:spacing w:line="360" w:lineRule="auto"/>
        <w:ind w:right="276"/>
        <w:jc w:val="both"/>
      </w:pPr>
    </w:p>
    <w:p w:rsidR="001135A8" w:rsidRPr="001135A8" w:rsidRDefault="001135A8" w:rsidP="001135A8">
      <w:pPr>
        <w:pStyle w:val="NormalWeb"/>
        <w:spacing w:before="0" w:beforeAutospacing="0" w:after="0" w:afterAutospacing="0"/>
        <w:ind w:left="1134" w:right="1127"/>
        <w:jc w:val="both"/>
        <w:rPr>
          <w:rFonts w:ascii="Palatino Linotype" w:hAnsi="Palatino Linotype"/>
          <w:i/>
          <w:iCs/>
          <w:color w:val="000000"/>
          <w:sz w:val="22"/>
          <w:szCs w:val="22"/>
        </w:rPr>
      </w:pPr>
      <w:r w:rsidRPr="001135A8">
        <w:rPr>
          <w:rFonts w:ascii="Palatino Linotype" w:hAnsi="Palatino Linotype"/>
          <w:b/>
          <w:bCs/>
          <w:i/>
          <w:iCs/>
          <w:color w:val="000000"/>
          <w:sz w:val="22"/>
          <w:szCs w:val="22"/>
        </w:rPr>
        <w:t>“Datos de identificación del representante o apoderado legal.</w:t>
      </w:r>
      <w:r w:rsidRPr="001135A8">
        <w:rPr>
          <w:rFonts w:ascii="Palatino Linotype" w:hAnsi="Palatino Linotype"/>
          <w:i/>
          <w:iCs/>
          <w:color w:val="000000"/>
          <w:sz w:val="22"/>
          <w:szCs w:val="22"/>
        </w:rPr>
        <w:t xml:space="preserve"> </w:t>
      </w:r>
      <w:r w:rsidRPr="001135A8">
        <w:rPr>
          <w:rFonts w:ascii="Palatino Linotype" w:hAnsi="Palatino Linotype"/>
          <w:b/>
          <w:bCs/>
          <w:i/>
          <w:iCs/>
          <w:color w:val="000000"/>
          <w:sz w:val="22"/>
          <w:szCs w:val="22"/>
        </w:rPr>
        <w:t xml:space="preserve">Naturaleza jurídica. </w:t>
      </w:r>
      <w:r w:rsidRPr="001135A8">
        <w:rPr>
          <w:rFonts w:ascii="Palatino Linotype" w:hAnsi="Palatino Linotype"/>
          <w:i/>
          <w:iCs/>
          <w:color w:val="000000"/>
          <w:sz w:val="22"/>
          <w:szCs w:val="22"/>
        </w:rPr>
        <w:t xml:space="preserve">El nombre, la firma y la rúbrica de una persona física, que actúe como representante o apoderado legal de un tercero que haya celebrado un acto jurídico, con algún sujeto obligado, </w:t>
      </w:r>
      <w:r w:rsidRPr="001135A8">
        <w:rPr>
          <w:rFonts w:ascii="Palatino Linotype" w:hAnsi="Palatino Linotype"/>
          <w:b/>
          <w:bCs/>
          <w:i/>
          <w:iCs/>
          <w:color w:val="000000"/>
          <w:sz w:val="22"/>
          <w:szCs w:val="22"/>
        </w:rPr>
        <w:t>es información pública, en razón de que tales datos fueron proporcionados con el objeto de expresar el consentimiento obligacional del tercero y otorgar validez a dicho instrumento jurídico</w:t>
      </w:r>
      <w:r w:rsidRPr="001135A8">
        <w:rPr>
          <w:rFonts w:ascii="Palatino Linotype" w:hAnsi="Palatino Linotype"/>
          <w:i/>
          <w:iCs/>
          <w:color w:val="000000"/>
          <w:sz w:val="22"/>
          <w:szCs w:val="22"/>
        </w:rPr>
        <w:t>.”</w:t>
      </w:r>
    </w:p>
    <w:p w:rsidR="001135A8" w:rsidRPr="001135A8" w:rsidRDefault="001135A8" w:rsidP="001135A8">
      <w:pPr>
        <w:shd w:val="clear" w:color="auto" w:fill="FFFFFF" w:themeFill="background1"/>
        <w:spacing w:line="360" w:lineRule="auto"/>
        <w:jc w:val="both"/>
        <w:rPr>
          <w:rFonts w:ascii="Palatino Linotype" w:hAnsi="Palatino Linotype"/>
          <w:b/>
          <w:bCs/>
          <w:color w:val="000000"/>
        </w:rPr>
      </w:pPr>
    </w:p>
    <w:p w:rsidR="001135A8" w:rsidRPr="001135A8" w:rsidRDefault="001135A8" w:rsidP="006D1D2F">
      <w:pPr>
        <w:pStyle w:val="Prrafodelista"/>
        <w:numPr>
          <w:ilvl w:val="0"/>
          <w:numId w:val="8"/>
        </w:numPr>
        <w:shd w:val="clear" w:color="auto" w:fill="FFFFFF" w:themeFill="background1"/>
        <w:spacing w:line="360" w:lineRule="auto"/>
        <w:jc w:val="both"/>
        <w:rPr>
          <w:rFonts w:ascii="Palatino Linotype" w:hAnsi="Palatino Linotype" w:cs="Tahoma"/>
          <w:b/>
        </w:rPr>
      </w:pPr>
      <w:r w:rsidRPr="001135A8">
        <w:rPr>
          <w:rFonts w:ascii="Palatino Linotype" w:hAnsi="Palatino Linotype" w:cs="Tahoma"/>
          <w:b/>
        </w:rPr>
        <w:t>Domicilio Fiscal o legal (proveedor persona física o moral)</w:t>
      </w:r>
    </w:p>
    <w:p w:rsidR="001135A8" w:rsidRDefault="001135A8" w:rsidP="001135A8">
      <w:pPr>
        <w:numPr>
          <w:ilvl w:val="0"/>
          <w:numId w:val="2"/>
        </w:numPr>
        <w:spacing w:line="360" w:lineRule="auto"/>
        <w:ind w:left="0" w:right="-787" w:firstLine="0"/>
        <w:jc w:val="both"/>
        <w:rPr>
          <w:rFonts w:ascii="Palatino Linotype" w:hAnsi="Palatino Linotype" w:cs="Tahoma"/>
          <w:lang w:val="es-ES"/>
        </w:rPr>
      </w:pPr>
      <w:r w:rsidRPr="001135A8">
        <w:rPr>
          <w:rFonts w:ascii="Palatino Linotype" w:eastAsia="Palatino Linotype" w:hAnsi="Palatino Linotype" w:cs="Palatino Linotype"/>
        </w:rPr>
        <w:lastRenderedPageBreak/>
        <w:t>De</w:t>
      </w:r>
      <w:r w:rsidRPr="001135A8">
        <w:rPr>
          <w:rFonts w:ascii="Palatino Linotype" w:hAnsi="Palatino Linotype" w:cs="Tahoma"/>
          <w:lang w:val="es-ES"/>
        </w:rPr>
        <w:t xml:space="preserve"> </w:t>
      </w:r>
      <w:r w:rsidRPr="001135A8">
        <w:rPr>
          <w:rFonts w:ascii="Palatino Linotype" w:hAnsi="Palatino Linotype"/>
          <w:color w:val="000000"/>
        </w:rPr>
        <w:t>acuerdo</w:t>
      </w:r>
      <w:r w:rsidRPr="001135A8">
        <w:rPr>
          <w:rFonts w:ascii="Palatino Linotype" w:hAnsi="Palatino Linotype" w:cs="Tahoma"/>
          <w:lang w:val="es-ES"/>
        </w:rPr>
        <w:t xml:space="preserve">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AA17D9" w:rsidRPr="001135A8" w:rsidRDefault="00AA17D9" w:rsidP="00AA17D9">
      <w:pPr>
        <w:spacing w:line="360" w:lineRule="auto"/>
        <w:ind w:right="-787"/>
        <w:jc w:val="both"/>
        <w:rPr>
          <w:rFonts w:ascii="Palatino Linotype" w:hAnsi="Palatino Linotype" w:cs="Tahoma"/>
          <w:lang w:val="es-ES"/>
        </w:rPr>
      </w:pPr>
    </w:p>
    <w:p w:rsidR="001135A8" w:rsidRPr="001135A8" w:rsidRDefault="001135A8" w:rsidP="001135A8">
      <w:pPr>
        <w:numPr>
          <w:ilvl w:val="0"/>
          <w:numId w:val="2"/>
        </w:numPr>
        <w:spacing w:line="360" w:lineRule="auto"/>
        <w:ind w:left="0" w:right="-787" w:firstLine="0"/>
        <w:jc w:val="both"/>
        <w:rPr>
          <w:rFonts w:ascii="Palatino Linotype" w:hAnsi="Palatino Linotype" w:cs="Tahoma"/>
          <w:bCs/>
          <w:iCs/>
          <w:lang w:val="es-ES"/>
        </w:rPr>
      </w:pPr>
      <w:r w:rsidRPr="001135A8">
        <w:rPr>
          <w:rFonts w:ascii="Palatino Linotype" w:hAnsi="Palatino Linotype" w:cs="Tahoma"/>
          <w:bCs/>
          <w:iCs/>
          <w:lang w:val="es-ES"/>
        </w:rPr>
        <w:t xml:space="preserve">Además, </w:t>
      </w:r>
      <w:r w:rsidRPr="001135A8">
        <w:rPr>
          <w:rFonts w:ascii="Palatino Linotype" w:hAnsi="Palatino Linotype"/>
          <w:color w:val="000000"/>
        </w:rPr>
        <w:t>respecto</w:t>
      </w:r>
      <w:r w:rsidRPr="001135A8">
        <w:rPr>
          <w:rFonts w:ascii="Palatino Linotype" w:hAnsi="Palatino Linotype" w:cs="Tahoma"/>
          <w:bCs/>
          <w:iCs/>
          <w:lang w:val="es-ES"/>
        </w:rPr>
        <w:t xml:space="preserve"> al domicilio fiscal, resulta necesario traer el artículo 22 del Código Financiero del Estado de México y Municipios, que establece:</w:t>
      </w:r>
    </w:p>
    <w:p w:rsidR="001135A8" w:rsidRPr="001135A8" w:rsidRDefault="001135A8" w:rsidP="001135A8">
      <w:pPr>
        <w:shd w:val="clear" w:color="auto" w:fill="FFFFFF" w:themeFill="background1"/>
        <w:ind w:left="1134" w:right="902"/>
        <w:jc w:val="both"/>
        <w:rPr>
          <w:rFonts w:ascii="Palatino Linotype" w:hAnsi="Palatino Linotype" w:cs="Tahoma"/>
          <w:b/>
          <w:bCs/>
          <w:i/>
          <w:iCs/>
          <w:sz w:val="22"/>
          <w:szCs w:val="22"/>
        </w:rPr>
      </w:pPr>
      <w:r w:rsidRPr="001135A8">
        <w:rPr>
          <w:rFonts w:ascii="Palatino Linotype" w:hAnsi="Palatino Linotype" w:cs="Tahoma"/>
          <w:b/>
          <w:bCs/>
          <w:i/>
          <w:iCs/>
          <w:sz w:val="22"/>
          <w:szCs w:val="22"/>
        </w:rPr>
        <w:t xml:space="preserve">Artículo 22.- Se considera domicilio fiscal de las personas físicas y jurídicas colectivas: </w:t>
      </w: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r w:rsidRPr="001135A8">
        <w:rPr>
          <w:rFonts w:ascii="Palatino Linotype" w:hAnsi="Palatino Linotype" w:cs="Tahoma"/>
          <w:bCs/>
          <w:i/>
          <w:iCs/>
          <w:sz w:val="22"/>
          <w:szCs w:val="22"/>
        </w:rPr>
        <w:t xml:space="preserve">I. El lugar o establecimiento donde se realicen actividades que generen obligaciones fiscales. </w:t>
      </w: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r w:rsidRPr="001135A8">
        <w:rPr>
          <w:rFonts w:ascii="Palatino Linotype" w:hAnsi="Palatino Linotype" w:cs="Tahoma"/>
          <w:bCs/>
          <w:i/>
          <w:iCs/>
          <w:sz w:val="22"/>
          <w:szCs w:val="22"/>
        </w:rPr>
        <w:t xml:space="preserve">II. El lugar o establecimiento en que se realice el hecho generador de la obligación fiscal, cuando las actividades no se realicen en forma habitual. </w:t>
      </w: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r w:rsidRPr="001135A8">
        <w:rPr>
          <w:rFonts w:ascii="Palatino Linotype" w:hAnsi="Palatino Linotype" w:cs="Tahoma"/>
          <w:bCs/>
          <w:i/>
          <w:iCs/>
          <w:sz w:val="22"/>
          <w:szCs w:val="22"/>
        </w:rPr>
        <w:t xml:space="preserve">III. El inmueble en el que residan en el territorio del Estado de México, cuando realicen sus actividades en la vía pública, en puestos fijos y semifijos; </w:t>
      </w: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r w:rsidRPr="001135A8">
        <w:rPr>
          <w:rFonts w:ascii="Palatino Linotype" w:hAnsi="Palatino Linotype" w:cs="Tahoma"/>
          <w:bCs/>
          <w:i/>
          <w:iCs/>
          <w:sz w:val="22"/>
          <w:szCs w:val="22"/>
        </w:rPr>
        <w:t xml:space="preserve">IV. La residencia que identifique la autoridad fiscal, cuando exista certeza de que es el único lugar posible de localización del contribuyente. </w:t>
      </w: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r w:rsidRPr="001135A8">
        <w:rPr>
          <w:rFonts w:ascii="Palatino Linotype" w:hAnsi="Palatino Linotype" w:cs="Tahoma"/>
          <w:bCs/>
          <w:i/>
          <w:iCs/>
          <w:sz w:val="22"/>
          <w:szCs w:val="22"/>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rsidR="001135A8" w:rsidRPr="001135A8" w:rsidRDefault="001135A8" w:rsidP="001135A8">
      <w:pPr>
        <w:shd w:val="clear" w:color="auto" w:fill="FFFFFF" w:themeFill="background1"/>
        <w:ind w:left="1134" w:right="902"/>
        <w:jc w:val="both"/>
        <w:rPr>
          <w:rFonts w:ascii="Palatino Linotype" w:hAnsi="Palatino Linotype" w:cs="Tahoma"/>
          <w:bCs/>
          <w:i/>
          <w:iCs/>
          <w:sz w:val="22"/>
          <w:szCs w:val="22"/>
        </w:rPr>
      </w:pPr>
      <w:r w:rsidRPr="001135A8">
        <w:rPr>
          <w:rFonts w:ascii="Palatino Linotype" w:hAnsi="Palatino Linotype" w:cs="Tahoma"/>
          <w:bCs/>
          <w:i/>
          <w:iCs/>
          <w:sz w:val="22"/>
          <w:szCs w:val="22"/>
        </w:rPr>
        <w:t>…</w:t>
      </w:r>
    </w:p>
    <w:p w:rsidR="001135A8" w:rsidRPr="001135A8" w:rsidRDefault="001135A8" w:rsidP="001135A8">
      <w:pPr>
        <w:jc w:val="both"/>
        <w:rPr>
          <w:rFonts w:ascii="Palatino Linotype" w:hAnsi="Palatino Linotype" w:cs="Tahoma"/>
          <w:bCs/>
          <w:iCs/>
          <w:lang w:val="es-ES"/>
        </w:rPr>
      </w:pPr>
    </w:p>
    <w:p w:rsidR="001135A8" w:rsidRPr="001135A8" w:rsidRDefault="001135A8" w:rsidP="006D1D2F">
      <w:pPr>
        <w:pStyle w:val="Prrafodelista"/>
        <w:numPr>
          <w:ilvl w:val="0"/>
          <w:numId w:val="8"/>
        </w:numPr>
        <w:spacing w:line="360" w:lineRule="auto"/>
        <w:ind w:right="-787"/>
        <w:jc w:val="both"/>
        <w:rPr>
          <w:rFonts w:ascii="Palatino Linotype" w:hAnsi="Palatino Linotype" w:cs="Tahoma"/>
          <w:b/>
          <w:bCs/>
        </w:rPr>
      </w:pPr>
      <w:r w:rsidRPr="001135A8">
        <w:rPr>
          <w:rFonts w:ascii="Palatino Linotype" w:hAnsi="Palatino Linotype" w:cs="Tahoma"/>
          <w:b/>
          <w:bCs/>
        </w:rPr>
        <w:t>Número telefónico</w:t>
      </w:r>
    </w:p>
    <w:p w:rsidR="001135A8" w:rsidRPr="001135A8" w:rsidRDefault="001135A8" w:rsidP="001135A8">
      <w:pPr>
        <w:numPr>
          <w:ilvl w:val="0"/>
          <w:numId w:val="2"/>
        </w:numPr>
        <w:spacing w:line="360" w:lineRule="auto"/>
        <w:ind w:left="0" w:right="-787" w:firstLine="0"/>
        <w:jc w:val="both"/>
        <w:rPr>
          <w:rFonts w:ascii="Palatino Linotype" w:hAnsi="Palatino Linotype" w:cs="Tahoma"/>
          <w:bCs/>
        </w:rPr>
      </w:pPr>
      <w:r w:rsidRPr="001135A8">
        <w:rPr>
          <w:rFonts w:ascii="Palatino Linotype" w:hAnsi="Palatino Linotype" w:cs="Tahoma"/>
          <w:b/>
          <w:bCs/>
        </w:rPr>
        <w:t>Un</w:t>
      </w:r>
      <w:r w:rsidRPr="001135A8">
        <w:rPr>
          <w:rFonts w:ascii="Palatino Linotype" w:hAnsi="Palatino Linotype" w:cs="Tahoma"/>
          <w:bCs/>
        </w:rPr>
        <w:t> </w:t>
      </w:r>
      <w:r w:rsidRPr="001135A8">
        <w:rPr>
          <w:rFonts w:ascii="Palatino Linotype" w:hAnsi="Palatino Linotype"/>
          <w:color w:val="000000"/>
        </w:rPr>
        <w:t>número</w:t>
      </w:r>
      <w:r w:rsidRPr="001135A8">
        <w:rPr>
          <w:rFonts w:ascii="Palatino Linotype" w:hAnsi="Palatino Linotype" w:cs="Tahoma"/>
          <w:b/>
          <w:bCs/>
        </w:rPr>
        <w:t xml:space="preserve"> de teléfono</w:t>
      </w:r>
      <w:r w:rsidRPr="001135A8">
        <w:rPr>
          <w:rFonts w:ascii="Palatino Linotype" w:hAnsi="Palatino Linotype" w:cs="Tahoma"/>
          <w:bCs/>
        </w:rPr>
        <w:t> es una secuencia de </w:t>
      </w:r>
      <w:r w:rsidRPr="001135A8">
        <w:rPr>
          <w:rStyle w:val="Hipervnculo"/>
          <w:rFonts w:ascii="Palatino Linotype" w:hAnsi="Palatino Linotype" w:cs="Tahoma"/>
          <w:bCs/>
          <w:color w:val="auto"/>
          <w:u w:val="none"/>
        </w:rPr>
        <w:t>dígitos</w:t>
      </w:r>
      <w:r w:rsidRPr="001135A8">
        <w:rPr>
          <w:rFonts w:ascii="Palatino Linotype" w:hAnsi="Palatino Linotype" w:cs="Tahoma"/>
          <w:bCs/>
        </w:rPr>
        <w:t> utilizada para identificar una </w:t>
      </w:r>
      <w:r w:rsidRPr="001135A8">
        <w:rPr>
          <w:rStyle w:val="Hipervnculo"/>
          <w:rFonts w:ascii="Palatino Linotype" w:hAnsi="Palatino Linotype" w:cs="Tahoma"/>
          <w:bCs/>
          <w:color w:val="auto"/>
          <w:u w:val="none"/>
        </w:rPr>
        <w:t>línea telefónica</w:t>
      </w:r>
      <w:r w:rsidRPr="001135A8">
        <w:rPr>
          <w:rFonts w:ascii="Palatino Linotype" w:hAnsi="Palatino Linotype" w:cs="Tahoma"/>
          <w:bCs/>
        </w:rPr>
        <w:t> dentro de una </w:t>
      </w:r>
      <w:r w:rsidRPr="001135A8">
        <w:rPr>
          <w:rStyle w:val="Hipervnculo"/>
          <w:rFonts w:ascii="Palatino Linotype" w:hAnsi="Palatino Linotype" w:cs="Tahoma"/>
          <w:bCs/>
          <w:color w:val="auto"/>
          <w:u w:val="none"/>
        </w:rPr>
        <w:t>Red Telefónica Conmutada</w:t>
      </w:r>
      <w:r w:rsidRPr="001135A8">
        <w:rPr>
          <w:rFonts w:ascii="Palatino Linotype" w:hAnsi="Palatino Linotype" w:cs="Tahoma"/>
          <w:bCs/>
        </w:rPr>
        <w:t xml:space="preserve">, el número contiene la información necesaria para identificar el punto final de la llamada. Los números de teléfono están a </w:t>
      </w:r>
      <w:r w:rsidRPr="001135A8">
        <w:rPr>
          <w:rFonts w:ascii="Palatino Linotype" w:hAnsi="Palatino Linotype" w:cs="Tahoma"/>
          <w:bCs/>
        </w:rPr>
        <w:lastRenderedPageBreak/>
        <w:t>menudo asignados a líneas que tienen conectados dispositivos distintos de un </w:t>
      </w:r>
      <w:r w:rsidRPr="001135A8">
        <w:rPr>
          <w:rStyle w:val="Hipervnculo"/>
          <w:rFonts w:ascii="Palatino Linotype" w:hAnsi="Palatino Linotype" w:cs="Tahoma"/>
          <w:bCs/>
          <w:color w:val="auto"/>
          <w:u w:val="none"/>
        </w:rPr>
        <w:t>teléfono</w:t>
      </w:r>
      <w:r w:rsidRPr="001135A8">
        <w:rPr>
          <w:rFonts w:ascii="Palatino Linotype" w:hAnsi="Palatino Linotype" w:cs="Tahoma"/>
          <w:bCs/>
        </w:rPr>
        <w:t>, tales como </w:t>
      </w:r>
      <w:r w:rsidRPr="001135A8">
        <w:rPr>
          <w:rStyle w:val="Hipervnculo"/>
          <w:rFonts w:ascii="Palatino Linotype" w:hAnsi="Palatino Linotype" w:cs="Tahoma"/>
          <w:bCs/>
          <w:color w:val="auto"/>
          <w:u w:val="none"/>
        </w:rPr>
        <w:t>faxes</w:t>
      </w:r>
      <w:r w:rsidRPr="001135A8">
        <w:rPr>
          <w:rFonts w:ascii="Palatino Linotype" w:hAnsi="Palatino Linotype" w:cs="Tahoma"/>
          <w:bCs/>
        </w:rPr>
        <w:t> y </w:t>
      </w:r>
      <w:r w:rsidRPr="001135A8">
        <w:rPr>
          <w:rStyle w:val="Hipervnculo"/>
          <w:rFonts w:ascii="Palatino Linotype" w:hAnsi="Palatino Linotype" w:cs="Tahoma"/>
          <w:bCs/>
          <w:color w:val="auto"/>
          <w:u w:val="none"/>
        </w:rPr>
        <w:t>módems</w:t>
      </w:r>
      <w:r w:rsidRPr="001135A8">
        <w:rPr>
          <w:rFonts w:ascii="Palatino Linotype" w:hAnsi="Palatino Linotype" w:cs="Tahoma"/>
          <w:bCs/>
        </w:rPr>
        <w:t>. Cada uno de esos </w:t>
      </w:r>
      <w:r w:rsidRPr="001135A8">
        <w:rPr>
          <w:rStyle w:val="Hipervnculo"/>
          <w:rFonts w:ascii="Palatino Linotype" w:hAnsi="Palatino Linotype" w:cs="Tahoma"/>
          <w:bCs/>
          <w:color w:val="auto"/>
          <w:u w:val="none"/>
        </w:rPr>
        <w:t>puntos de terminación de red</w:t>
      </w:r>
      <w:r w:rsidRPr="001135A8">
        <w:rPr>
          <w:rFonts w:ascii="Palatino Linotype" w:hAnsi="Palatino Linotype" w:cs="Tahoma"/>
          <w:bCs/>
        </w:rPr>
        <w:t> deben de tener un número único en la red para poder realizar una </w:t>
      </w:r>
      <w:r w:rsidRPr="001135A8">
        <w:rPr>
          <w:rStyle w:val="Hipervnculo"/>
          <w:rFonts w:ascii="Palatino Linotype" w:hAnsi="Palatino Linotype" w:cs="Tahoma"/>
          <w:bCs/>
          <w:color w:val="auto"/>
          <w:u w:val="none"/>
        </w:rPr>
        <w:t>llamada telefónica</w:t>
      </w:r>
      <w:r w:rsidRPr="001135A8">
        <w:rPr>
          <w:rFonts w:ascii="Palatino Linotype" w:hAnsi="Palatino Linotype" w:cs="Tahoma"/>
          <w:bCs/>
        </w:rPr>
        <w:t>.</w:t>
      </w:r>
    </w:p>
    <w:p w:rsidR="001135A8" w:rsidRPr="001135A8" w:rsidRDefault="001135A8" w:rsidP="001135A8">
      <w:pPr>
        <w:spacing w:line="360" w:lineRule="auto"/>
        <w:ind w:right="-93"/>
        <w:jc w:val="both"/>
        <w:rPr>
          <w:rFonts w:ascii="Palatino Linotype" w:hAnsi="Palatino Linotype" w:cs="Tahoma"/>
          <w:bCs/>
        </w:rPr>
      </w:pPr>
    </w:p>
    <w:p w:rsidR="001135A8" w:rsidRPr="001135A8" w:rsidRDefault="001135A8" w:rsidP="006D1D2F">
      <w:pPr>
        <w:pStyle w:val="Prrafodelista"/>
        <w:numPr>
          <w:ilvl w:val="0"/>
          <w:numId w:val="8"/>
        </w:numPr>
        <w:spacing w:line="360" w:lineRule="auto"/>
        <w:jc w:val="both"/>
        <w:rPr>
          <w:rFonts w:ascii="Palatino Linotype" w:hAnsi="Palatino Linotype" w:cs="Tahoma"/>
          <w:szCs w:val="22"/>
        </w:rPr>
      </w:pPr>
      <w:r w:rsidRPr="001135A8">
        <w:rPr>
          <w:rFonts w:ascii="Palatino Linotype" w:hAnsi="Palatino Linotype" w:cs="Tahoma"/>
          <w:b/>
          <w:szCs w:val="22"/>
        </w:rPr>
        <w:t>Correo electrónico</w:t>
      </w:r>
    </w:p>
    <w:p w:rsidR="001135A8" w:rsidRPr="001135A8" w:rsidRDefault="001135A8" w:rsidP="001135A8">
      <w:pPr>
        <w:numPr>
          <w:ilvl w:val="0"/>
          <w:numId w:val="2"/>
        </w:numPr>
        <w:spacing w:line="360" w:lineRule="auto"/>
        <w:ind w:left="0" w:right="-787" w:firstLine="0"/>
        <w:jc w:val="both"/>
        <w:rPr>
          <w:rFonts w:ascii="Palatino Linotype" w:hAnsi="Palatino Linotype" w:cs="Tahoma"/>
          <w:bCs/>
          <w:lang w:eastAsia="en-US"/>
        </w:rPr>
      </w:pPr>
      <w:r w:rsidRPr="001135A8">
        <w:rPr>
          <w:rFonts w:ascii="Palatino Linotype" w:hAnsi="Palatino Linotype" w:cs="Tahoma"/>
          <w:bCs/>
        </w:rPr>
        <w:t>El</w:t>
      </w:r>
      <w:r w:rsidRPr="001135A8">
        <w:rPr>
          <w:rFonts w:ascii="Palatino Linotype" w:hAnsi="Palatino Linotype" w:cs="Tahoma"/>
          <w:bCs/>
          <w:lang w:eastAsia="en-US"/>
        </w:rPr>
        <w:t xml:space="preserve"> </w:t>
      </w:r>
      <w:r w:rsidRPr="001135A8">
        <w:rPr>
          <w:rFonts w:ascii="Palatino Linotype" w:hAnsi="Palatino Linotype" w:cs="Tahoma"/>
          <w:b/>
          <w:bCs/>
          <w:lang w:eastAsia="en-US"/>
        </w:rPr>
        <w:t>correo electrónico</w:t>
      </w:r>
      <w:r w:rsidRPr="001135A8">
        <w:rPr>
          <w:rFonts w:ascii="Palatino Linotype" w:hAnsi="Palatino Linotype" w:cs="Tahoma"/>
          <w:bCs/>
          <w:lang w:eastAsia="en-US"/>
        </w:rPr>
        <w:t xml:space="preserve"> es un sistema de transmisión de mensajes a través de internet.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1135A8" w:rsidRPr="001135A8" w:rsidRDefault="001135A8" w:rsidP="001135A8">
      <w:pPr>
        <w:spacing w:line="360" w:lineRule="auto"/>
        <w:jc w:val="both"/>
      </w:pPr>
    </w:p>
    <w:p w:rsidR="001135A8" w:rsidRPr="001135A8" w:rsidRDefault="001135A8" w:rsidP="001135A8">
      <w:pPr>
        <w:numPr>
          <w:ilvl w:val="0"/>
          <w:numId w:val="2"/>
        </w:numPr>
        <w:spacing w:line="360" w:lineRule="auto"/>
        <w:ind w:left="0" w:right="-787" w:firstLine="0"/>
        <w:jc w:val="both"/>
        <w:rPr>
          <w:rFonts w:ascii="Palatino Linotype" w:hAnsi="Palatino Linotype" w:cs="Tahoma"/>
          <w:bCs/>
        </w:rPr>
      </w:pPr>
      <w:r w:rsidRPr="001135A8">
        <w:rPr>
          <w:rFonts w:ascii="Palatino Linotype" w:hAnsi="Palatino Linotype" w:cs="Tahoma"/>
          <w:bCs/>
        </w:rPr>
        <w:t xml:space="preserve">Al respecto debe mencionarse que </w:t>
      </w:r>
      <w:r w:rsidRPr="001135A8">
        <w:rPr>
          <w:rFonts w:ascii="Palatino Linotype" w:hAnsi="Palatino Linotype" w:cs="Tahoma"/>
          <w:bCs/>
          <w:iCs/>
          <w:lang w:val="es-ES"/>
        </w:rPr>
        <w:t xml:space="preserve">conforme a lo establecido en los criterios números 16, 18 y 19 de </w:t>
      </w:r>
      <w:r w:rsidRPr="001135A8">
        <w:rPr>
          <w:rFonts w:ascii="Palatino Linotype" w:hAnsi="Palatino Linotype" w:cs="Tahoma"/>
          <w:bCs/>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artículo 70, </w:t>
      </w:r>
      <w:r w:rsidRPr="001135A8">
        <w:rPr>
          <w:rFonts w:ascii="Palatino Linotype" w:hAnsi="Palatino Linotype" w:cs="Tahoma"/>
          <w:b/>
          <w:bCs/>
        </w:rPr>
        <w:t>el domicilio fiscal, y datos de contacto como teléfono y correo electrónico de los proveedores y contratistas, es un dato que debe ser público, motivo por el cual no es procedente que se realice su clasificación como confidencial.</w:t>
      </w:r>
    </w:p>
    <w:p w:rsidR="001135A8" w:rsidRPr="001135A8" w:rsidRDefault="001135A8" w:rsidP="001135A8">
      <w:pPr>
        <w:spacing w:line="360" w:lineRule="auto"/>
        <w:jc w:val="both"/>
        <w:rPr>
          <w:rFonts w:ascii="Palatino Linotype" w:hAnsi="Palatino Linotype" w:cs="Tahoma"/>
          <w:bCs/>
          <w:iCs/>
          <w:lang w:val="es-ES"/>
        </w:rPr>
      </w:pPr>
    </w:p>
    <w:p w:rsidR="001135A8" w:rsidRPr="001135A8" w:rsidRDefault="001135A8" w:rsidP="001135A8">
      <w:pPr>
        <w:numPr>
          <w:ilvl w:val="0"/>
          <w:numId w:val="2"/>
        </w:numPr>
        <w:spacing w:line="360" w:lineRule="auto"/>
        <w:ind w:left="0" w:right="-787" w:firstLine="0"/>
        <w:jc w:val="both"/>
        <w:rPr>
          <w:rFonts w:ascii="Palatino Linotype" w:hAnsi="Palatino Linotype" w:cs="Tahoma"/>
          <w:bCs/>
          <w:iCs/>
          <w:lang w:val="es-ES"/>
        </w:rPr>
      </w:pPr>
      <w:r w:rsidRPr="001135A8">
        <w:rPr>
          <w:rFonts w:ascii="Palatino Linotype" w:hAnsi="Palatino Linotype" w:cs="Tahoma"/>
          <w:bCs/>
          <w:lang w:val="es-ES" w:eastAsia="en-US"/>
        </w:rPr>
        <w:t xml:space="preserve">En este mismo orden de ideas, cuando las personas tienen una relación comercial, laboral, de servicios, trámites o del tipo que sea, necesariamente por un tema de interés </w:t>
      </w:r>
      <w:r w:rsidRPr="001135A8">
        <w:rPr>
          <w:rFonts w:ascii="Palatino Linotype" w:hAnsi="Palatino Linotype" w:cs="Tahoma"/>
          <w:bCs/>
          <w:lang w:val="es-ES" w:eastAsia="en-US"/>
        </w:rPr>
        <w:lastRenderedPageBreak/>
        <w:t>público, debe cederse un poco de privacidad, de tal forma que las personas en general puedan verificar el debido desempeño de los servidores públicos, la aplicación de la ley y el ejercicio de recursos públicos, en donde únicamente se privilegie la publicidad de los datos esenciales para la transparencia y rendición de cuentas, sin afectar la vida privada de las personas.</w:t>
      </w:r>
    </w:p>
    <w:p w:rsidR="001135A8" w:rsidRPr="001135A8" w:rsidRDefault="001135A8" w:rsidP="001135A8">
      <w:pPr>
        <w:shd w:val="clear" w:color="auto" w:fill="FFFFFF" w:themeFill="background1"/>
        <w:spacing w:line="360" w:lineRule="auto"/>
        <w:jc w:val="both"/>
        <w:rPr>
          <w:rFonts w:ascii="Palatino Linotype" w:hAnsi="Palatino Linotype" w:cs="Tahoma"/>
          <w:bCs/>
          <w:iCs/>
          <w:lang w:val="es-ES"/>
        </w:rPr>
      </w:pPr>
    </w:p>
    <w:p w:rsidR="001135A8" w:rsidRPr="001135A8" w:rsidRDefault="001135A8" w:rsidP="001135A8">
      <w:pPr>
        <w:numPr>
          <w:ilvl w:val="0"/>
          <w:numId w:val="2"/>
        </w:numPr>
        <w:spacing w:line="360" w:lineRule="auto"/>
        <w:ind w:left="0" w:right="-787" w:firstLine="0"/>
        <w:jc w:val="both"/>
        <w:rPr>
          <w:rFonts w:ascii="Palatino Linotype" w:hAnsi="Palatino Linotype" w:cs="Tahoma"/>
          <w:bCs/>
          <w:iCs/>
          <w:lang w:val="es-ES"/>
        </w:rPr>
      </w:pPr>
      <w:r w:rsidRPr="001135A8">
        <w:rPr>
          <w:rFonts w:ascii="Palatino Linotype" w:hAnsi="Palatino Linotype" w:cs="Tahoma"/>
          <w:bCs/>
          <w:iCs/>
          <w:lang w:val="es-ES"/>
        </w:rPr>
        <w:t xml:space="preserve">De tal </w:t>
      </w:r>
      <w:r w:rsidRPr="001135A8">
        <w:rPr>
          <w:rFonts w:ascii="Palatino Linotype" w:hAnsi="Palatino Linotype" w:cs="Tahoma"/>
          <w:bCs/>
          <w:lang w:val="es-ES" w:eastAsia="en-US"/>
        </w:rPr>
        <w:t>suerte</w:t>
      </w:r>
      <w:r w:rsidRPr="001135A8">
        <w:rPr>
          <w:rFonts w:ascii="Palatino Linotype" w:hAnsi="Palatino Linotype" w:cs="Tahoma"/>
          <w:bCs/>
          <w:iCs/>
          <w:lang w:val="es-ES"/>
        </w:rPr>
        <w:t xml:space="preserve"> que</w:t>
      </w:r>
      <w:r w:rsidRPr="001135A8">
        <w:rPr>
          <w:rFonts w:ascii="Palatino Linotype" w:hAnsi="Palatino Linotype" w:cs="Tahoma"/>
          <w:b/>
          <w:bCs/>
          <w:iCs/>
          <w:lang w:val="es-ES"/>
        </w:rPr>
        <w:t>, tratándose de proveedores (personas físicas o jurídico colectivas), el domicilio fiscal, número telefónico y correo electrónico no son datos susceptibles de clasificarse como confidenciales</w:t>
      </w:r>
      <w:r w:rsidRPr="001135A8">
        <w:rPr>
          <w:rFonts w:ascii="Palatino Linotype" w:hAnsi="Palatino Linotype" w:cs="Tahoma"/>
          <w:bCs/>
          <w:iCs/>
          <w:lang w:val="es-ES"/>
        </w:rPr>
        <w:t>, es decir, no se actualiza lo establecido en el artículo 143, fracción I de la Ley de Transparencia y Acceso a la Información Pública del Estado de México y Municipios.</w:t>
      </w:r>
    </w:p>
    <w:p w:rsidR="001135A8" w:rsidRPr="001135A8" w:rsidRDefault="001135A8" w:rsidP="001135A8">
      <w:pPr>
        <w:spacing w:line="360" w:lineRule="auto"/>
        <w:jc w:val="both"/>
        <w:rPr>
          <w:rFonts w:ascii="Palatino Linotype" w:hAnsi="Palatino Linotype" w:cs="Tahoma"/>
          <w:bCs/>
          <w:iCs/>
          <w:lang w:val="es-ES"/>
        </w:rPr>
      </w:pPr>
    </w:p>
    <w:p w:rsidR="001135A8" w:rsidRPr="001135A8" w:rsidRDefault="001135A8" w:rsidP="001135A8">
      <w:pPr>
        <w:numPr>
          <w:ilvl w:val="0"/>
          <w:numId w:val="2"/>
        </w:numPr>
        <w:spacing w:line="360" w:lineRule="auto"/>
        <w:ind w:left="0" w:right="-787" w:firstLine="0"/>
        <w:jc w:val="both"/>
        <w:rPr>
          <w:rFonts w:ascii="Palatino Linotype" w:hAnsi="Palatino Linotype" w:cs="Tahoma"/>
          <w:bCs/>
          <w:iCs/>
          <w:lang w:val="es-ES"/>
        </w:rPr>
      </w:pPr>
      <w:r w:rsidRPr="001135A8">
        <w:rPr>
          <w:rFonts w:ascii="Palatino Linotype" w:hAnsi="Palatino Linotype" w:cs="Tahoma"/>
          <w:bCs/>
          <w:iCs/>
          <w:lang w:val="es-ES"/>
        </w:rPr>
        <w:t xml:space="preserve">Por otro </w:t>
      </w:r>
      <w:r w:rsidRPr="001135A8">
        <w:rPr>
          <w:rFonts w:ascii="Palatino Linotype" w:hAnsi="Palatino Linotype" w:cs="Tahoma"/>
          <w:bCs/>
          <w:lang w:val="es-ES" w:eastAsia="en-US"/>
        </w:rPr>
        <w:t>lado</w:t>
      </w:r>
      <w:r w:rsidRPr="001135A8">
        <w:rPr>
          <w:rFonts w:ascii="Palatino Linotype" w:hAnsi="Palatino Linotype" w:cs="Tahoma"/>
          <w:bCs/>
          <w:iCs/>
          <w:lang w:val="es-ES"/>
        </w:rPr>
        <w:t>, es de precisar que</w:t>
      </w:r>
      <w:r w:rsidRPr="001135A8">
        <w:rPr>
          <w:rFonts w:ascii="Palatino Linotype" w:hAnsi="Palatino Linotype" w:cs="Arial"/>
        </w:rPr>
        <w:t xml:space="preserve">, referente al </w:t>
      </w:r>
      <w:r w:rsidRPr="001135A8">
        <w:rPr>
          <w:rFonts w:ascii="Palatino Linotype" w:hAnsi="Palatino Linotype" w:cs="Arial"/>
          <w:b/>
        </w:rPr>
        <w:t>QR</w:t>
      </w:r>
      <w:r w:rsidRPr="001135A8">
        <w:rPr>
          <w:rFonts w:ascii="Palatino Linotype" w:hAnsi="Palatino Linotype" w:cs="Arial"/>
        </w:rPr>
        <w:t xml:space="preserve">, </w:t>
      </w:r>
      <w:r w:rsidRPr="001135A8">
        <w:rPr>
          <w:rFonts w:ascii="Palatino Linotype" w:hAnsi="Palatino Linotype" w:cs="Arial"/>
          <w:b/>
        </w:rPr>
        <w:t>f</w:t>
      </w:r>
      <w:r w:rsidRPr="001135A8">
        <w:rPr>
          <w:rFonts w:ascii="Palatino Linotype" w:hAnsi="Palatino Linotype"/>
          <w:b/>
          <w:noProof/>
        </w:rPr>
        <w:t xml:space="preserve">olio fiscal, número de serie del certificado del emisor, </w:t>
      </w:r>
      <w:r w:rsidRPr="001135A8">
        <w:rPr>
          <w:rFonts w:ascii="Palatino Linotype" w:hAnsi="Palatino Linotype" w:cs="Arial"/>
          <w:b/>
        </w:rPr>
        <w:t>sello digital Comprobante Fiscal Digital por Internet (CFDI)</w:t>
      </w:r>
      <w:r w:rsidRPr="001135A8">
        <w:rPr>
          <w:rFonts w:ascii="Palatino Linotype" w:hAnsi="Palatino Linotype"/>
          <w:b/>
          <w:noProof/>
        </w:rPr>
        <w:t xml:space="preserve">, sello digital del SAT, Cadena Original del SAT, número de serie del certificado del SAT, </w:t>
      </w:r>
      <w:r w:rsidRPr="001135A8">
        <w:rPr>
          <w:rFonts w:ascii="Palatino Linotype" w:hAnsi="Palatino Linotype"/>
          <w:noProof/>
        </w:rPr>
        <w:t xml:space="preserve">si de </w:t>
      </w:r>
      <w:r w:rsidRPr="001135A8">
        <w:rPr>
          <w:rFonts w:ascii="Palatino Linotype" w:hAnsi="Palatino Linotype" w:cs="Tahoma"/>
          <w:bCs/>
          <w:lang w:val="es-ES" w:eastAsia="en-US"/>
        </w:rPr>
        <w:t xml:space="preserve">la secuencia de números y letras, se advierte el Registro Federal de Contribuyentes o una Clave Única de Registro de Población, que pueda hacer </w:t>
      </w:r>
      <w:r w:rsidRPr="001135A8">
        <w:rPr>
          <w:rFonts w:ascii="Palatino Linotype" w:hAnsi="Palatino Linotype" w:cs="Arial"/>
        </w:rPr>
        <w:t>identificable</w:t>
      </w:r>
      <w:r w:rsidRPr="001135A8">
        <w:rPr>
          <w:rFonts w:ascii="Palatino Linotype" w:hAnsi="Palatino Linotype" w:cs="Tahoma"/>
          <w:bCs/>
          <w:lang w:val="es-ES" w:eastAsia="en-US"/>
        </w:rPr>
        <w:t xml:space="preserve"> al titular del dato personal, no puede tenerse como dato público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w:t>
      </w:r>
    </w:p>
    <w:p w:rsidR="001135A8" w:rsidRPr="001135A8" w:rsidRDefault="001135A8" w:rsidP="001135A8">
      <w:pPr>
        <w:pBdr>
          <w:top w:val="nil"/>
          <w:left w:val="nil"/>
          <w:bottom w:val="nil"/>
          <w:right w:val="nil"/>
          <w:between w:val="nil"/>
        </w:pBdr>
        <w:spacing w:line="360" w:lineRule="auto"/>
        <w:ind w:right="-518"/>
        <w:jc w:val="both"/>
        <w:rPr>
          <w:rFonts w:ascii="Palatino Linotype" w:eastAsia="Palatino Linotype" w:hAnsi="Palatino Linotype" w:cs="Palatino Linotype"/>
        </w:rPr>
      </w:pPr>
    </w:p>
    <w:p w:rsidR="001135A8" w:rsidRPr="000655BF" w:rsidRDefault="001135A8" w:rsidP="000655BF">
      <w:pPr>
        <w:numPr>
          <w:ilvl w:val="0"/>
          <w:numId w:val="2"/>
        </w:numPr>
        <w:spacing w:line="360" w:lineRule="auto"/>
        <w:ind w:left="0" w:right="-787" w:firstLine="0"/>
        <w:jc w:val="both"/>
        <w:rPr>
          <w:rFonts w:ascii="Palatino Linotype" w:eastAsia="Palatino Linotype" w:hAnsi="Palatino Linotype" w:cs="Palatino Linotype"/>
          <w:i/>
          <w:color w:val="000000"/>
        </w:rPr>
      </w:pPr>
      <w:r w:rsidRPr="001135A8">
        <w:rPr>
          <w:rFonts w:ascii="Palatino Linotype" w:eastAsia="Palatino Linotype" w:hAnsi="Palatino Linotype" w:cs="Palatino Linotype"/>
          <w:color w:val="000000"/>
        </w:rPr>
        <w:lastRenderedPageBreak/>
        <w:t xml:space="preserve"> De lo </w:t>
      </w:r>
      <w:r w:rsidRPr="001135A8">
        <w:rPr>
          <w:rFonts w:ascii="Palatino Linotype" w:hAnsi="Palatino Linotype" w:cs="Tahoma"/>
          <w:bCs/>
          <w:lang w:val="es-ES" w:eastAsia="en-US"/>
        </w:rPr>
        <w:t>expuesto</w:t>
      </w:r>
      <w:r w:rsidRPr="001135A8">
        <w:rPr>
          <w:rFonts w:ascii="Palatino Linotype" w:eastAsia="Palatino Linotype" w:hAnsi="Palatino Linotype" w:cs="Palatino Linotype"/>
          <w:color w:val="000000"/>
        </w:rPr>
        <w:t xml:space="preserve">, es viable </w:t>
      </w:r>
      <w:r w:rsidRPr="001135A8">
        <w:rPr>
          <w:rFonts w:ascii="Palatino Linotype" w:eastAsia="Palatino Linotype" w:hAnsi="Palatino Linotype" w:cs="Palatino Linotype"/>
          <w:b/>
          <w:color w:val="000000"/>
        </w:rPr>
        <w:t>ORDENAR</w:t>
      </w:r>
      <w:r w:rsidRPr="001135A8">
        <w:rPr>
          <w:rFonts w:ascii="Palatino Linotype" w:eastAsia="Palatino Linotype" w:hAnsi="Palatino Linotype" w:cs="Palatino Linotype"/>
          <w:color w:val="000000"/>
        </w:rPr>
        <w:t xml:space="preserve"> al Sujeto Obligado que haga entrega vía Sistema de Acceso a la Información Mexiquense </w:t>
      </w:r>
      <w:r w:rsidRPr="001135A8">
        <w:rPr>
          <w:rFonts w:ascii="Palatino Linotype" w:eastAsia="Palatino Linotype" w:hAnsi="Palatino Linotype" w:cs="Palatino Linotype"/>
          <w:b/>
          <w:color w:val="000000"/>
        </w:rPr>
        <w:t>(SAIMEX),</w:t>
      </w:r>
      <w:r w:rsidRPr="001135A8">
        <w:rPr>
          <w:rFonts w:ascii="Palatino Linotype" w:eastAsia="Palatino Linotype" w:hAnsi="Palatino Linotype" w:cs="Palatino Linotype"/>
          <w:color w:val="000000"/>
        </w:rPr>
        <w:t xml:space="preserve"> </w:t>
      </w:r>
      <w:r w:rsidR="0050292B" w:rsidRPr="001135A8">
        <w:rPr>
          <w:rFonts w:ascii="Palatino Linotype" w:eastAsia="Palatino Linotype" w:hAnsi="Palatino Linotype" w:cs="Palatino Linotype"/>
          <w:color w:val="000000" w:themeColor="text1"/>
        </w:rPr>
        <w:t>previa búsqueda exhaustiva y razonable</w:t>
      </w:r>
      <w:r w:rsidR="0050292B">
        <w:rPr>
          <w:rFonts w:ascii="Palatino Linotype" w:eastAsia="Palatino Linotype" w:hAnsi="Palatino Linotype" w:cs="Palatino Linotype"/>
          <w:color w:val="000000"/>
        </w:rPr>
        <w:t xml:space="preserve">, </w:t>
      </w:r>
      <w:r w:rsidRPr="001135A8">
        <w:rPr>
          <w:rFonts w:ascii="Palatino Linotype" w:eastAsia="Palatino Linotype" w:hAnsi="Palatino Linotype" w:cs="Palatino Linotype"/>
          <w:color w:val="000000"/>
        </w:rPr>
        <w:t xml:space="preserve">de ser </w:t>
      </w:r>
      <w:r w:rsidR="000655BF">
        <w:rPr>
          <w:rFonts w:ascii="Palatino Linotype" w:eastAsia="Palatino Linotype" w:hAnsi="Palatino Linotype" w:cs="Palatino Linotype"/>
          <w:color w:val="000000"/>
        </w:rPr>
        <w:t>procedente</w:t>
      </w:r>
      <w:r w:rsidRPr="001135A8">
        <w:rPr>
          <w:rFonts w:ascii="Palatino Linotype" w:eastAsia="Palatino Linotype" w:hAnsi="Palatino Linotype" w:cs="Palatino Linotype"/>
          <w:color w:val="000000"/>
        </w:rPr>
        <w:t xml:space="preserve"> en versión pública, los </w:t>
      </w:r>
      <w:r w:rsidR="000655BF" w:rsidRPr="000655BF">
        <w:rPr>
          <w:rFonts w:ascii="Palatino Linotype" w:eastAsia="Palatino Linotype" w:hAnsi="Palatino Linotype" w:cs="Palatino Linotype"/>
          <w:b/>
          <w:color w:val="000000"/>
        </w:rPr>
        <w:t xml:space="preserve">Comprobantes </w:t>
      </w:r>
      <w:r w:rsidR="00C12AEF" w:rsidRPr="000655BF">
        <w:rPr>
          <w:rFonts w:ascii="Palatino Linotype" w:eastAsia="Palatino Linotype" w:hAnsi="Palatino Linotype" w:cs="Palatino Linotype"/>
          <w:b/>
          <w:color w:val="000000"/>
        </w:rPr>
        <w:t xml:space="preserve">de pago mediante cheque o transferencia </w:t>
      </w:r>
      <w:r w:rsidR="000655BF" w:rsidRPr="000655BF">
        <w:rPr>
          <w:rFonts w:ascii="Palatino Linotype" w:eastAsia="Palatino Linotype" w:hAnsi="Palatino Linotype" w:cs="Palatino Linotype"/>
          <w:b/>
          <w:color w:val="000000"/>
        </w:rPr>
        <w:t>electrónica</w:t>
      </w:r>
      <w:r w:rsidR="000655BF">
        <w:rPr>
          <w:rFonts w:ascii="Palatino Linotype" w:eastAsia="Palatino Linotype" w:hAnsi="Palatino Linotype" w:cs="Palatino Linotype"/>
          <w:b/>
          <w:color w:val="000000"/>
        </w:rPr>
        <w:t xml:space="preserve"> interbancaria, correspondientes a </w:t>
      </w:r>
      <w:r w:rsidR="00C12AEF" w:rsidRPr="000655BF">
        <w:rPr>
          <w:rFonts w:ascii="Palatino Linotype" w:eastAsia="Palatino Linotype" w:hAnsi="Palatino Linotype" w:cs="Palatino Linotype"/>
          <w:b/>
          <w:color w:val="000000"/>
        </w:rPr>
        <w:t>la partida presupuestal 3251</w:t>
      </w:r>
      <w:r w:rsidR="000655BF" w:rsidRPr="000655BF">
        <w:rPr>
          <w:rFonts w:ascii="Palatino Linotype" w:eastAsia="Palatino Linotype" w:hAnsi="Palatino Linotype" w:cs="Palatino Linotype"/>
          <w:b/>
          <w:color w:val="000000"/>
        </w:rPr>
        <w:t>,</w:t>
      </w:r>
      <w:r w:rsidR="00C12AEF" w:rsidRPr="000655BF">
        <w:rPr>
          <w:rFonts w:ascii="Palatino Linotype" w:eastAsia="Palatino Linotype" w:hAnsi="Palatino Linotype" w:cs="Palatino Linotype"/>
          <w:b/>
          <w:color w:val="000000"/>
        </w:rPr>
        <w:t xml:space="preserve"> realizados del </w:t>
      </w:r>
      <w:r w:rsidR="000655BF" w:rsidRPr="000655BF">
        <w:rPr>
          <w:rFonts w:ascii="Palatino Linotype" w:eastAsia="Palatino Linotype" w:hAnsi="Palatino Linotype" w:cs="Palatino Linotype"/>
          <w:b/>
          <w:color w:val="000000"/>
        </w:rPr>
        <w:t>0</w:t>
      </w:r>
      <w:r w:rsidR="00C12AEF" w:rsidRPr="000655BF">
        <w:rPr>
          <w:rFonts w:ascii="Palatino Linotype" w:eastAsia="Palatino Linotype" w:hAnsi="Palatino Linotype" w:cs="Palatino Linotype"/>
          <w:b/>
          <w:color w:val="000000"/>
        </w:rPr>
        <w:t>1 de enero</w:t>
      </w:r>
      <w:r w:rsidR="000655BF" w:rsidRPr="000655BF">
        <w:rPr>
          <w:rFonts w:ascii="Palatino Linotype" w:eastAsia="Palatino Linotype" w:hAnsi="Palatino Linotype" w:cs="Palatino Linotype"/>
          <w:b/>
          <w:color w:val="000000"/>
        </w:rPr>
        <w:t xml:space="preserve"> de 2024 al 30 de junio de 2025.</w:t>
      </w:r>
    </w:p>
    <w:p w:rsidR="001135A8" w:rsidRPr="001135A8" w:rsidRDefault="001135A8" w:rsidP="001135A8">
      <w:pPr>
        <w:keepNext/>
        <w:keepLines/>
        <w:spacing w:after="160" w:line="360" w:lineRule="auto"/>
        <w:rPr>
          <w:rFonts w:ascii="Palatino Linotype" w:eastAsia="Palatino Linotype" w:hAnsi="Palatino Linotype" w:cs="Palatino Linotype"/>
          <w:b/>
          <w:color w:val="000000"/>
        </w:rPr>
      </w:pPr>
    </w:p>
    <w:p w:rsidR="001135A8" w:rsidRPr="001135A8" w:rsidRDefault="001135A8" w:rsidP="001135A8">
      <w:pPr>
        <w:keepNext/>
        <w:keepLines/>
        <w:spacing w:after="160" w:line="360" w:lineRule="auto"/>
        <w:rPr>
          <w:rFonts w:ascii="Palatino Linotype" w:eastAsia="Palatino Linotype" w:hAnsi="Palatino Linotype" w:cs="Palatino Linotype"/>
          <w:b/>
          <w:color w:val="000000"/>
        </w:rPr>
      </w:pPr>
      <w:r w:rsidRPr="001135A8">
        <w:rPr>
          <w:rFonts w:ascii="Palatino Linotype" w:eastAsia="Palatino Linotype" w:hAnsi="Palatino Linotype" w:cs="Palatino Linotype"/>
          <w:b/>
          <w:color w:val="000000"/>
        </w:rPr>
        <w:t>QUINTO. De la versión pública.</w:t>
      </w:r>
    </w:p>
    <w:p w:rsidR="001135A8" w:rsidRPr="001135A8" w:rsidRDefault="001135A8" w:rsidP="006D1D2F">
      <w:pPr>
        <w:keepNext/>
        <w:keepLines/>
        <w:numPr>
          <w:ilvl w:val="0"/>
          <w:numId w:val="7"/>
        </w:numPr>
        <w:tabs>
          <w:tab w:val="left" w:pos="284"/>
        </w:tabs>
        <w:spacing w:after="160" w:line="360" w:lineRule="auto"/>
        <w:rPr>
          <w:rFonts w:ascii="Palatino Linotype" w:eastAsia="Palatino Linotype" w:hAnsi="Palatino Linotype" w:cs="Palatino Linotype"/>
          <w:b/>
          <w:color w:val="000000"/>
        </w:rPr>
      </w:pPr>
      <w:r w:rsidRPr="001135A8">
        <w:rPr>
          <w:rFonts w:ascii="Palatino Linotype" w:eastAsia="Palatino Linotype" w:hAnsi="Palatino Linotype" w:cs="Palatino Linotype"/>
          <w:b/>
          <w:color w:val="000000"/>
        </w:rPr>
        <w:t xml:space="preserve">Nociones generales. </w:t>
      </w:r>
    </w:p>
    <w:p w:rsidR="001135A8" w:rsidRPr="001135A8" w:rsidRDefault="001135A8" w:rsidP="00052D53">
      <w:pPr>
        <w:numPr>
          <w:ilvl w:val="0"/>
          <w:numId w:val="2"/>
        </w:numP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 xml:space="preserve">Debe </w:t>
      </w:r>
      <w:r w:rsidRPr="00052D53">
        <w:rPr>
          <w:rFonts w:ascii="Palatino Linotype" w:hAnsi="Palatino Linotype" w:cs="Tahoma"/>
          <w:bCs/>
          <w:lang w:val="es-ES" w:eastAsia="en-US"/>
        </w:rPr>
        <w:t>destacarse</w:t>
      </w:r>
      <w:r w:rsidRPr="001135A8">
        <w:rPr>
          <w:rFonts w:ascii="Palatino Linotype" w:eastAsia="Palatino Linotype" w:hAnsi="Palatino Linotype" w:cs="Palatino Linotype"/>
          <w:color w:val="000000"/>
        </w:rPr>
        <w:t xml:space="preserve"> </w:t>
      </w:r>
      <w:r w:rsidRPr="001135A8">
        <w:rPr>
          <w:rFonts w:ascii="Palatino Linotype" w:eastAsia="Palatino Linotype" w:hAnsi="Palatino Linotype" w:cs="Palatino Linotype"/>
        </w:rPr>
        <w:t>que</w:t>
      </w:r>
      <w:r w:rsidRPr="001135A8">
        <w:rPr>
          <w:rFonts w:ascii="Palatino Linotype" w:eastAsia="Palatino Linotype" w:hAnsi="Palatino Linotype" w:cs="Palatino Linotype"/>
          <w:color w:val="000000"/>
        </w:rPr>
        <w:t>, si debido a la naturaleza de la información solicitada</w:t>
      </w:r>
      <w:r w:rsidRPr="001135A8">
        <w:rPr>
          <w:rFonts w:ascii="Palatino Linotype" w:eastAsia="Palatino Linotype" w:hAnsi="Palatino Linotype" w:cs="Palatino Linotype"/>
          <w:b/>
          <w:color w:val="000000"/>
        </w:rPr>
        <w:t xml:space="preserve">, </w:t>
      </w:r>
      <w:r w:rsidRPr="001135A8">
        <w:rPr>
          <w:rFonts w:ascii="Palatino Linotype" w:eastAsia="Palatino Linotype" w:hAnsi="Palatino Linotype" w:cs="Palatino Linotype"/>
          <w:color w:val="000000"/>
        </w:rPr>
        <w:t xml:space="preserve">eventualmente pudieran obrar datos personales susceptibles de protegerse, el </w:t>
      </w:r>
      <w:r w:rsidRPr="001135A8">
        <w:rPr>
          <w:rFonts w:ascii="Palatino Linotype" w:eastAsia="Palatino Linotype" w:hAnsi="Palatino Linotype" w:cs="Palatino Linotype"/>
          <w:b/>
          <w:color w:val="000000"/>
        </w:rPr>
        <w:t xml:space="preserve">SUJETO OBLIGADO </w:t>
      </w:r>
      <w:r w:rsidRPr="001135A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1135A8" w:rsidRPr="001135A8" w:rsidRDefault="001135A8" w:rsidP="001135A8">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1135A8" w:rsidRPr="001135A8" w:rsidRDefault="001135A8" w:rsidP="00052D53">
      <w:pPr>
        <w:numPr>
          <w:ilvl w:val="0"/>
          <w:numId w:val="2"/>
        </w:numP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 xml:space="preserve">No pasa </w:t>
      </w:r>
      <w:r w:rsidRPr="00052D53">
        <w:rPr>
          <w:rFonts w:ascii="Palatino Linotype" w:hAnsi="Palatino Linotype" w:cs="Tahoma"/>
          <w:bCs/>
          <w:lang w:val="es-ES" w:eastAsia="en-US"/>
        </w:rPr>
        <w:t>desapercibido</w:t>
      </w:r>
      <w:r w:rsidRPr="001135A8">
        <w:rPr>
          <w:rFonts w:ascii="Palatino Linotype" w:eastAsia="Palatino Linotype" w:hAnsi="Palatino Linotype" w:cs="Palatino Linotype"/>
          <w:color w:val="000000"/>
        </w:rPr>
        <w:t xml:space="preserve"> para este Órgano Garante que los Sujetos Obligados</w:t>
      </w:r>
      <w:r w:rsidRPr="001135A8">
        <w:rPr>
          <w:rFonts w:ascii="Palatino Linotype" w:eastAsia="Palatino Linotype" w:hAnsi="Palatino Linotype" w:cs="Palatino Linotype"/>
          <w:b/>
          <w:color w:val="000000"/>
        </w:rPr>
        <w:t xml:space="preserve"> </w:t>
      </w:r>
      <w:r w:rsidRPr="001135A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1135A8" w:rsidRPr="001135A8" w:rsidRDefault="001135A8" w:rsidP="001135A8">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1135A8" w:rsidRPr="001135A8" w:rsidTr="002B31F9">
        <w:tc>
          <w:tcPr>
            <w:tcW w:w="2689" w:type="dxa"/>
          </w:tcPr>
          <w:p w:rsidR="001135A8" w:rsidRPr="001135A8" w:rsidRDefault="001135A8" w:rsidP="002B31F9">
            <w:pPr>
              <w:tabs>
                <w:tab w:val="left" w:pos="284"/>
              </w:tabs>
              <w:spacing w:line="360" w:lineRule="auto"/>
              <w:rPr>
                <w:rFonts w:ascii="Palatino Linotype" w:eastAsia="Palatino Linotype" w:hAnsi="Palatino Linotype" w:cs="Palatino Linotype"/>
                <w:b/>
                <w:sz w:val="22"/>
                <w:szCs w:val="22"/>
              </w:rPr>
            </w:pPr>
            <w:r w:rsidRPr="001135A8">
              <w:rPr>
                <w:rFonts w:ascii="Palatino Linotype" w:eastAsia="Palatino Linotype" w:hAnsi="Palatino Linotype" w:cs="Palatino Linotype"/>
                <w:b/>
                <w:sz w:val="22"/>
                <w:szCs w:val="22"/>
              </w:rPr>
              <w:t>a) Requisitos previos.</w:t>
            </w:r>
          </w:p>
        </w:tc>
        <w:tc>
          <w:tcPr>
            <w:tcW w:w="6520" w:type="dxa"/>
          </w:tcPr>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b/>
                <w:color w:val="000000"/>
                <w:sz w:val="22"/>
                <w:szCs w:val="22"/>
              </w:rPr>
            </w:pPr>
            <w:r w:rsidRPr="001135A8">
              <w:rPr>
                <w:rFonts w:ascii="Palatino Linotype" w:eastAsia="Palatino Linotype" w:hAnsi="Palatino Linotype" w:cs="Palatino Linotype"/>
                <w:b/>
                <w:color w:val="000000"/>
                <w:sz w:val="22"/>
                <w:szCs w:val="22"/>
              </w:rPr>
              <w:t xml:space="preserve">Los artículos 100 y 122 de la Ley Estatal y de la Ley General, vigente a la fecha de la solicitud de información, respectivamente, señalan que si los Sujetos Obligados </w:t>
            </w:r>
            <w:r w:rsidRPr="001135A8">
              <w:rPr>
                <w:rFonts w:ascii="Palatino Linotype" w:eastAsia="Palatino Linotype" w:hAnsi="Palatino Linotype" w:cs="Palatino Linotype"/>
                <w:b/>
                <w:color w:val="000000"/>
                <w:sz w:val="22"/>
                <w:szCs w:val="22"/>
              </w:rPr>
              <w:lastRenderedPageBreak/>
              <w:t xml:space="preserve">determinan que la información actualiza alguno de los supuestos de clasificación, es deber de los titulares de las áreas proponer su clasificación y no del Comité de Transparencia. </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b/>
                <w:color w:val="000000"/>
                <w:sz w:val="22"/>
                <w:szCs w:val="22"/>
              </w:rPr>
            </w:pPr>
            <w:r w:rsidRPr="001135A8">
              <w:rPr>
                <w:rFonts w:ascii="Palatino Linotype" w:eastAsia="Palatino Linotype" w:hAnsi="Palatino Linotype" w:cs="Palatino Linotype"/>
                <w:b/>
                <w:color w:val="000000"/>
                <w:sz w:val="22"/>
                <w:szCs w:val="22"/>
              </w:rPr>
              <w:t>Al hacerlo tienen que precisar de qué información se trata, señalando el supuesto de clasificación (confidencialidad o reserva).</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b/>
                <w:color w:val="000000"/>
                <w:sz w:val="22"/>
                <w:szCs w:val="22"/>
              </w:rPr>
            </w:pPr>
            <w:r w:rsidRPr="001135A8">
              <w:rPr>
                <w:rFonts w:ascii="Palatino Linotype" w:eastAsia="Palatino Linotype" w:hAnsi="Palatino Linotype" w:cs="Palatino Linotype"/>
                <w:b/>
                <w:color w:val="000000"/>
                <w:sz w:val="22"/>
                <w:szCs w:val="22"/>
              </w:rPr>
              <w:t>Además, se debe señalar el procedimiento, de los tres que establecen los artículos 132 y 106 de la Ley Estatal y General, respectivamente.</w:t>
            </w:r>
          </w:p>
          <w:p w:rsidR="001135A8" w:rsidRPr="001135A8" w:rsidRDefault="001135A8" w:rsidP="002B31F9">
            <w:pPr>
              <w:tabs>
                <w:tab w:val="left" w:pos="284"/>
              </w:tabs>
              <w:spacing w:line="360" w:lineRule="auto"/>
              <w:jc w:val="both"/>
              <w:rPr>
                <w:rFonts w:ascii="Palatino Linotype" w:eastAsia="Palatino Linotype" w:hAnsi="Palatino Linotype" w:cs="Palatino Linotype"/>
                <w:b/>
                <w:sz w:val="22"/>
                <w:szCs w:val="22"/>
              </w:rPr>
            </w:pPr>
            <w:r w:rsidRPr="001135A8">
              <w:rPr>
                <w:rFonts w:ascii="Palatino Linotype" w:eastAsia="Palatino Linotype" w:hAnsi="Palatino Linotype" w:cs="Palatino Linotype"/>
                <w:b/>
                <w:color w:val="000000"/>
                <w:sz w:val="22"/>
                <w:szCs w:val="22"/>
              </w:rPr>
              <w:t xml:space="preserve">El último de estos requisitos previos consiste en que no se pueden emitir acuerdos de carácter general ni particular, esto es, </w:t>
            </w:r>
            <w:r w:rsidRPr="001135A8">
              <w:rPr>
                <w:rFonts w:ascii="Palatino Linotype" w:eastAsia="Palatino Linotype" w:hAnsi="Palatino Linotype" w:cs="Palatino Linotype"/>
                <w:b/>
                <w:color w:val="000000"/>
                <w:sz w:val="22"/>
                <w:szCs w:val="22"/>
                <w:u w:val="single"/>
              </w:rPr>
              <w:t>no se puede hacer un acuerdo para clasificar de manera general todos los documentos de un expediente o área, sin</w:t>
            </w:r>
            <w:r w:rsidRPr="001135A8">
              <w:rPr>
                <w:rFonts w:ascii="Palatino Linotype" w:eastAsia="Palatino Linotype" w:hAnsi="Palatino Linotype" w:cs="Palatino Linotype"/>
                <w:b/>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1135A8" w:rsidRPr="001135A8" w:rsidTr="002B31F9">
        <w:tc>
          <w:tcPr>
            <w:tcW w:w="2689" w:type="dxa"/>
          </w:tcPr>
          <w:p w:rsidR="001135A8" w:rsidRPr="001135A8" w:rsidRDefault="001135A8" w:rsidP="002B31F9">
            <w:pPr>
              <w:tabs>
                <w:tab w:val="left" w:pos="284"/>
              </w:tabs>
              <w:spacing w:line="360" w:lineRule="auto"/>
              <w:rPr>
                <w:rFonts w:ascii="Palatino Linotype" w:eastAsia="Palatino Linotype" w:hAnsi="Palatino Linotype" w:cs="Palatino Linotype"/>
                <w:b/>
                <w:sz w:val="22"/>
                <w:szCs w:val="22"/>
              </w:rPr>
            </w:pPr>
            <w:r w:rsidRPr="001135A8">
              <w:rPr>
                <w:rFonts w:ascii="Palatino Linotype" w:eastAsia="Palatino Linotype" w:hAnsi="Palatino Linotype" w:cs="Palatino Linotype"/>
                <w:b/>
                <w:sz w:val="22"/>
                <w:szCs w:val="22"/>
              </w:rPr>
              <w:lastRenderedPageBreak/>
              <w:t>b) Supuestos de clasificación.</w:t>
            </w:r>
          </w:p>
        </w:tc>
        <w:tc>
          <w:tcPr>
            <w:tcW w:w="6520" w:type="dxa"/>
          </w:tcPr>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w:t>
            </w:r>
            <w:r w:rsidRPr="001135A8">
              <w:rPr>
                <w:rFonts w:ascii="Palatino Linotype" w:eastAsia="Palatino Linotype" w:hAnsi="Palatino Linotype" w:cs="Palatino Linotype"/>
                <w:color w:val="000000"/>
                <w:sz w:val="22"/>
                <w:szCs w:val="22"/>
              </w:rPr>
              <w:lastRenderedPageBreak/>
              <w:t>manera restrictiva y limitada, por lo que debe acreditarse que se cumple con esta condición y no se pueden ampliar las excepciones o supuestos de clasificación aduciendo analogía o mayoría de razón.</w:t>
            </w:r>
          </w:p>
          <w:p w:rsidR="001135A8" w:rsidRPr="001135A8" w:rsidRDefault="001135A8" w:rsidP="002B31F9">
            <w:pPr>
              <w:tabs>
                <w:tab w:val="left" w:pos="284"/>
              </w:tabs>
              <w:spacing w:line="360" w:lineRule="auto"/>
              <w:jc w:val="both"/>
              <w:rPr>
                <w:rFonts w:ascii="Palatino Linotype" w:eastAsia="Palatino Linotype" w:hAnsi="Palatino Linotype" w:cs="Palatino Linotype"/>
                <w:sz w:val="22"/>
                <w:szCs w:val="22"/>
              </w:rPr>
            </w:pPr>
            <w:r w:rsidRPr="001135A8">
              <w:rPr>
                <w:rFonts w:ascii="Palatino Linotype" w:eastAsia="Palatino Linotype" w:hAnsi="Palatino Linotype" w:cs="Palatino Linotype"/>
                <w:color w:val="000000"/>
                <w:sz w:val="22"/>
                <w:szCs w:val="22"/>
              </w:rPr>
              <w:t xml:space="preserve">El </w:t>
            </w:r>
            <w:r w:rsidRPr="001135A8">
              <w:rPr>
                <w:rFonts w:ascii="Palatino Linotype" w:eastAsia="Palatino Linotype" w:hAnsi="Palatino Linotype" w:cs="Palatino Linotype"/>
                <w:b/>
                <w:color w:val="000000"/>
                <w:sz w:val="22"/>
                <w:szCs w:val="22"/>
              </w:rPr>
              <w:t>Sujeto Obligado</w:t>
            </w:r>
            <w:r w:rsidRPr="001135A8">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135A8" w:rsidRPr="001135A8" w:rsidTr="002B31F9">
        <w:tc>
          <w:tcPr>
            <w:tcW w:w="2689" w:type="dxa"/>
          </w:tcPr>
          <w:p w:rsidR="001135A8" w:rsidRPr="001135A8" w:rsidRDefault="001135A8" w:rsidP="002B31F9">
            <w:pPr>
              <w:tabs>
                <w:tab w:val="left" w:pos="284"/>
              </w:tabs>
              <w:spacing w:line="360" w:lineRule="auto"/>
              <w:rPr>
                <w:rFonts w:ascii="Palatino Linotype" w:eastAsia="Palatino Linotype" w:hAnsi="Palatino Linotype" w:cs="Palatino Linotype"/>
                <w:b/>
                <w:sz w:val="22"/>
                <w:szCs w:val="22"/>
              </w:rPr>
            </w:pPr>
            <w:r w:rsidRPr="001135A8">
              <w:rPr>
                <w:rFonts w:ascii="Palatino Linotype" w:eastAsia="Palatino Linotype" w:hAnsi="Palatino Linotype" w:cs="Palatino Linotype"/>
                <w:b/>
                <w:sz w:val="22"/>
                <w:szCs w:val="22"/>
              </w:rPr>
              <w:lastRenderedPageBreak/>
              <w:t>c) Formalidades para emitir el acuerdo de clasificación.</w:t>
            </w:r>
          </w:p>
        </w:tc>
        <w:tc>
          <w:tcPr>
            <w:tcW w:w="6520" w:type="dxa"/>
          </w:tcPr>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Es necesario que </w:t>
            </w:r>
            <w:r w:rsidRPr="001135A8">
              <w:rPr>
                <w:rFonts w:ascii="Palatino Linotype" w:eastAsia="Palatino Linotype" w:hAnsi="Palatino Linotype" w:cs="Palatino Linotype"/>
                <w:b/>
                <w:color w:val="000000"/>
                <w:sz w:val="22"/>
                <w:szCs w:val="22"/>
                <w:u w:val="single"/>
              </w:rPr>
              <w:t>el acto reúna con los requisitos elementales</w:t>
            </w:r>
            <w:r w:rsidRPr="001135A8">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1135A8" w:rsidRPr="001135A8" w:rsidRDefault="001135A8" w:rsidP="002B31F9">
            <w:pPr>
              <w:tabs>
                <w:tab w:val="left" w:pos="284"/>
              </w:tabs>
              <w:spacing w:line="360" w:lineRule="auto"/>
              <w:jc w:val="both"/>
              <w:rPr>
                <w:rFonts w:ascii="Palatino Linotype" w:eastAsia="Palatino Linotype" w:hAnsi="Palatino Linotype" w:cs="Palatino Linotype"/>
                <w:sz w:val="22"/>
                <w:szCs w:val="22"/>
              </w:rPr>
            </w:pPr>
            <w:r w:rsidRPr="001135A8">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135A8" w:rsidRPr="001135A8" w:rsidTr="002B31F9">
        <w:tc>
          <w:tcPr>
            <w:tcW w:w="2689" w:type="dxa"/>
          </w:tcPr>
          <w:p w:rsidR="001135A8" w:rsidRPr="001135A8" w:rsidRDefault="001135A8" w:rsidP="002B31F9">
            <w:pPr>
              <w:tabs>
                <w:tab w:val="left" w:pos="284"/>
              </w:tabs>
              <w:spacing w:line="360" w:lineRule="auto"/>
              <w:rPr>
                <w:rFonts w:ascii="Palatino Linotype" w:eastAsia="Palatino Linotype" w:hAnsi="Palatino Linotype" w:cs="Palatino Linotype"/>
                <w:b/>
                <w:sz w:val="22"/>
                <w:szCs w:val="22"/>
              </w:rPr>
            </w:pPr>
          </w:p>
          <w:p w:rsidR="001135A8" w:rsidRPr="001135A8" w:rsidRDefault="001135A8" w:rsidP="002B31F9">
            <w:pPr>
              <w:tabs>
                <w:tab w:val="left" w:pos="284"/>
              </w:tabs>
              <w:spacing w:line="360" w:lineRule="auto"/>
              <w:jc w:val="both"/>
              <w:rPr>
                <w:rFonts w:ascii="Palatino Linotype" w:eastAsia="Palatino Linotype" w:hAnsi="Palatino Linotype" w:cs="Palatino Linotype"/>
                <w:b/>
                <w:sz w:val="22"/>
                <w:szCs w:val="22"/>
              </w:rPr>
            </w:pPr>
            <w:r w:rsidRPr="001135A8">
              <w:rPr>
                <w:rFonts w:ascii="Palatino Linotype" w:eastAsia="Palatino Linotype" w:hAnsi="Palatino Linotype" w:cs="Palatino Linotype"/>
                <w:b/>
                <w:color w:val="000000"/>
                <w:sz w:val="22"/>
                <w:szCs w:val="22"/>
              </w:rPr>
              <w:t xml:space="preserve">d) Requisitos de fondo del acuerdo de clasificación. </w:t>
            </w:r>
          </w:p>
        </w:tc>
        <w:tc>
          <w:tcPr>
            <w:tcW w:w="6520" w:type="dxa"/>
          </w:tcPr>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135A8">
              <w:rPr>
                <w:rFonts w:ascii="Palatino Linotype" w:eastAsia="Palatino Linotype" w:hAnsi="Palatino Linotype" w:cs="Palatino Linotype"/>
                <w:b/>
                <w:color w:val="000000"/>
                <w:sz w:val="22"/>
                <w:szCs w:val="22"/>
              </w:rPr>
              <w:t>Sujetos Obligados</w:t>
            </w:r>
            <w:r w:rsidRPr="001135A8">
              <w:rPr>
                <w:rFonts w:ascii="Palatino Linotype" w:eastAsia="Palatino Linotype" w:hAnsi="Palatino Linotype" w:cs="Palatino Linotype"/>
                <w:color w:val="000000"/>
                <w:sz w:val="22"/>
                <w:szCs w:val="22"/>
              </w:rPr>
              <w:t xml:space="preserve">, por lo que deberán fundar y motivar debidamente la clasificación. </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De lo anterior, se desprende que para una correcta </w:t>
            </w:r>
            <w:r w:rsidRPr="001135A8">
              <w:rPr>
                <w:rFonts w:ascii="Palatino Linotype" w:eastAsia="Palatino Linotype" w:hAnsi="Palatino Linotype" w:cs="Palatino Linotype"/>
                <w:b/>
                <w:color w:val="000000"/>
                <w:sz w:val="22"/>
                <w:szCs w:val="22"/>
              </w:rPr>
              <w:t>clasificación total o parcial</w:t>
            </w:r>
            <w:r w:rsidRPr="001135A8">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lastRenderedPageBreak/>
              <w:t xml:space="preserve">Ahora bien, </w:t>
            </w:r>
            <w:r w:rsidRPr="001135A8">
              <w:rPr>
                <w:rFonts w:ascii="Palatino Linotype" w:eastAsia="Palatino Linotype" w:hAnsi="Palatino Linotype" w:cs="Palatino Linotype"/>
                <w:b/>
                <w:color w:val="000000"/>
                <w:sz w:val="22"/>
                <w:szCs w:val="22"/>
                <w:u w:val="single"/>
              </w:rPr>
              <w:t>para cada caso además de fundar y motivar</w:t>
            </w:r>
            <w:r w:rsidRPr="001135A8">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135A8" w:rsidRPr="001135A8" w:rsidTr="002B31F9">
        <w:tc>
          <w:tcPr>
            <w:tcW w:w="2689" w:type="dxa"/>
          </w:tcPr>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b/>
                <w:sz w:val="22"/>
                <w:szCs w:val="22"/>
              </w:rPr>
            </w:pPr>
            <w:r w:rsidRPr="001135A8">
              <w:rPr>
                <w:rFonts w:ascii="Palatino Linotype" w:eastAsia="Palatino Linotype" w:hAnsi="Palatino Linotype" w:cs="Palatino Linotype"/>
                <w:b/>
                <w:sz w:val="22"/>
                <w:szCs w:val="22"/>
              </w:rPr>
              <w:lastRenderedPageBreak/>
              <w:t xml:space="preserve">e) Condiciones especiales de la clasificación de la información como confidencial. </w:t>
            </w:r>
          </w:p>
        </w:tc>
        <w:tc>
          <w:tcPr>
            <w:tcW w:w="6520" w:type="dxa"/>
          </w:tcPr>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1135A8" w:rsidRPr="001135A8" w:rsidRDefault="001135A8" w:rsidP="002B31F9">
            <w:pPr>
              <w:tabs>
                <w:tab w:val="left" w:pos="284"/>
              </w:tabs>
              <w:spacing w:line="360" w:lineRule="auto"/>
              <w:ind w:right="49"/>
              <w:jc w:val="both"/>
              <w:rPr>
                <w:rFonts w:ascii="Palatino Linotype" w:eastAsia="Palatino Linotype" w:hAnsi="Palatino Linotype" w:cs="Palatino Linotype"/>
                <w:color w:val="000000"/>
                <w:sz w:val="22"/>
                <w:szCs w:val="22"/>
              </w:rPr>
            </w:pPr>
            <w:r w:rsidRPr="001135A8">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1135A8" w:rsidRPr="001135A8" w:rsidRDefault="001135A8" w:rsidP="002B31F9">
            <w:pPr>
              <w:tabs>
                <w:tab w:val="left" w:pos="284"/>
              </w:tabs>
              <w:spacing w:line="360" w:lineRule="auto"/>
              <w:rPr>
                <w:rFonts w:ascii="Palatino Linotype" w:eastAsia="Palatino Linotype" w:hAnsi="Palatino Linotype" w:cs="Palatino Linotype"/>
                <w:sz w:val="22"/>
                <w:szCs w:val="22"/>
              </w:rPr>
            </w:pPr>
            <w:r w:rsidRPr="001135A8">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135A8" w:rsidRPr="001135A8" w:rsidRDefault="001135A8" w:rsidP="001135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1135A8" w:rsidRPr="001135A8" w:rsidRDefault="001135A8" w:rsidP="00052D53">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En ese sentido, el </w:t>
      </w:r>
      <w:r w:rsidRPr="001135A8">
        <w:rPr>
          <w:rFonts w:ascii="Palatino Linotype" w:eastAsia="Palatino Linotype" w:hAnsi="Palatino Linotype" w:cs="Palatino Linotype"/>
          <w:b/>
        </w:rPr>
        <w:t>SUJETO OBLIGADO</w:t>
      </w:r>
      <w:r w:rsidRPr="001135A8">
        <w:rPr>
          <w:rFonts w:ascii="Palatino Linotype" w:eastAsia="Palatino Linotype" w:hAnsi="Palatino Linotype" w:cs="Palatino Linotype"/>
        </w:rPr>
        <w:t xml:space="preserve"> deberá de emitir el Acuerdo del Comité de Transparencia, mediante el cual de manera fundada y motivada establezca las razones que </w:t>
      </w:r>
      <w:r w:rsidRPr="001135A8">
        <w:rPr>
          <w:rFonts w:ascii="Palatino Linotype" w:eastAsia="Palatino Linotype" w:hAnsi="Palatino Linotype" w:cs="Palatino Linotype"/>
        </w:rPr>
        <w:lastRenderedPageBreak/>
        <w:t xml:space="preserve">llevaron al Sujeto </w:t>
      </w:r>
      <w:r w:rsidRPr="00052D53">
        <w:rPr>
          <w:rFonts w:ascii="Palatino Linotype" w:hAnsi="Palatino Linotype" w:cs="Tahoma"/>
          <w:bCs/>
          <w:lang w:val="es-ES" w:eastAsia="en-US"/>
        </w:rPr>
        <w:t>Obligado</w:t>
      </w:r>
      <w:r w:rsidRPr="001135A8">
        <w:rPr>
          <w:rFonts w:ascii="Palatino Linotype" w:eastAsia="Palatino Linotype" w:hAnsi="Palatino Linotype" w:cs="Palatino Linotype"/>
        </w:rPr>
        <w:t xml:space="preserve"> a testar, suprimir o eliminar datos de dicho soporte </w:t>
      </w:r>
      <w:r w:rsidRPr="001135A8">
        <w:rPr>
          <w:rFonts w:ascii="Palatino Linotype" w:hAnsi="Palatino Linotype"/>
          <w:color w:val="000000"/>
        </w:rPr>
        <w:t>documental</w:t>
      </w:r>
      <w:r w:rsidRPr="001135A8">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135A8" w:rsidRPr="001135A8" w:rsidRDefault="001135A8" w:rsidP="001135A8">
      <w:pPr>
        <w:tabs>
          <w:tab w:val="left" w:pos="284"/>
        </w:tabs>
        <w:spacing w:line="360" w:lineRule="auto"/>
        <w:ind w:right="276"/>
        <w:jc w:val="both"/>
        <w:rPr>
          <w:rFonts w:ascii="Palatino Linotype" w:eastAsia="Palatino Linotype" w:hAnsi="Palatino Linotype" w:cs="Palatino Linotype"/>
          <w:color w:val="000000"/>
        </w:rPr>
      </w:pPr>
    </w:p>
    <w:p w:rsidR="001135A8" w:rsidRPr="00052D53" w:rsidRDefault="001135A8" w:rsidP="00052D53">
      <w:pPr>
        <w:numPr>
          <w:ilvl w:val="0"/>
          <w:numId w:val="2"/>
        </w:numP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rPr>
        <w:t xml:space="preserve">Derivado de lo establecido en párrafos anteriores, si el </w:t>
      </w:r>
      <w:r w:rsidRPr="001135A8">
        <w:rPr>
          <w:rFonts w:ascii="Palatino Linotype" w:eastAsia="Palatino Linotype" w:hAnsi="Palatino Linotype" w:cs="Palatino Linotype"/>
          <w:b/>
        </w:rPr>
        <w:t>SUJETO OBLIGADO</w:t>
      </w:r>
      <w:r w:rsidRPr="001135A8">
        <w:rPr>
          <w:rFonts w:ascii="Palatino Linotype" w:eastAsia="Palatino Linotype" w:hAnsi="Palatino Linotype" w:cs="Palatino Linotype"/>
        </w:rPr>
        <w:t xml:space="preserve"> incumple con estas formalidades y entrega la información sin proteger los datos personales o testando datos </w:t>
      </w:r>
      <w:r w:rsidRPr="00052D53">
        <w:rPr>
          <w:rFonts w:ascii="Palatino Linotype" w:hAnsi="Palatino Linotype" w:cs="Tahoma"/>
          <w:bCs/>
          <w:lang w:val="es-ES" w:eastAsia="en-US"/>
        </w:rPr>
        <w:t>considerados</w:t>
      </w:r>
      <w:r w:rsidRPr="001135A8">
        <w:rPr>
          <w:rFonts w:ascii="Palatino Linotype" w:eastAsia="Palatino Linotype" w:hAnsi="Palatino Linotype" w:cs="Palatino Linotype"/>
        </w:rPr>
        <w:t xml:space="preserve"> como públicos incumple con lo que estipulan las disposiciones legales establecidas, asimismo que si entrega un documento testado sin el debido acuerdo de clasificación.</w:t>
      </w:r>
    </w:p>
    <w:p w:rsidR="001135A8" w:rsidRPr="001135A8" w:rsidRDefault="001135A8" w:rsidP="001135A8">
      <w:pPr>
        <w:spacing w:line="360" w:lineRule="auto"/>
        <w:ind w:right="-787"/>
        <w:jc w:val="both"/>
        <w:rPr>
          <w:rFonts w:ascii="Palatino Linotype" w:eastAsia="Palatino Linotype" w:hAnsi="Palatino Linotype" w:cs="Palatino Linotype"/>
        </w:rPr>
      </w:pPr>
    </w:p>
    <w:p w:rsidR="005D70E2" w:rsidRPr="001135A8" w:rsidRDefault="005D70E2" w:rsidP="00C033D6">
      <w:pPr>
        <w:numPr>
          <w:ilvl w:val="0"/>
          <w:numId w:val="2"/>
        </w:numPr>
        <w:spacing w:line="360" w:lineRule="auto"/>
        <w:ind w:left="0" w:right="-787" w:firstLine="0"/>
        <w:jc w:val="both"/>
        <w:rPr>
          <w:rFonts w:ascii="Palatino Linotype" w:eastAsia="Palatino Linotype" w:hAnsi="Palatino Linotype" w:cs="Palatino Linotype"/>
        </w:rPr>
      </w:pPr>
      <w:r w:rsidRPr="001135A8">
        <w:rPr>
          <w:rFonts w:ascii="Palatino Linotype" w:eastAsia="Palatino Linotype" w:hAnsi="Palatino Linotype" w:cs="Palatino Linotype"/>
        </w:rPr>
        <w:t xml:space="preserve">Por lo expuesto, y con </w:t>
      </w:r>
      <w:r w:rsidRPr="001135A8">
        <w:rPr>
          <w:rFonts w:ascii="Palatino Linotype" w:eastAsia="Palatino Linotype" w:hAnsi="Palatino Linotype" w:cs="Palatino Linotype"/>
          <w:szCs w:val="22"/>
        </w:rPr>
        <w:t>fundamento</w:t>
      </w:r>
      <w:r w:rsidRPr="001135A8">
        <w:rPr>
          <w:rFonts w:ascii="Palatino Linotype" w:eastAsia="Palatino Linotype" w:hAnsi="Palatino Linotype" w:cs="Palatino Linotype"/>
        </w:rPr>
        <w:t xml:space="preserve"> en lo prescrito en los artículos </w:t>
      </w:r>
      <w:r w:rsidRPr="001135A8">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1135A8">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5D70E2" w:rsidRPr="001135A8" w:rsidRDefault="005D70E2" w:rsidP="005D70E2">
      <w:pPr>
        <w:ind w:right="278"/>
        <w:rPr>
          <w:rFonts w:ascii="Palatino Linotype" w:eastAsia="Palatino Linotype" w:hAnsi="Palatino Linotype" w:cs="Palatino Linotype"/>
        </w:rPr>
      </w:pPr>
    </w:p>
    <w:p w:rsidR="005D70E2" w:rsidRPr="001135A8" w:rsidRDefault="005D70E2" w:rsidP="005D70E2">
      <w:pPr>
        <w:spacing w:line="360" w:lineRule="auto"/>
        <w:ind w:right="-858"/>
        <w:jc w:val="center"/>
        <w:rPr>
          <w:rFonts w:ascii="Palatino Linotype" w:eastAsia="Palatino Linotype" w:hAnsi="Palatino Linotype" w:cs="Palatino Linotype"/>
          <w:b/>
        </w:rPr>
      </w:pPr>
      <w:r w:rsidRPr="001135A8">
        <w:rPr>
          <w:rFonts w:ascii="Palatino Linotype" w:eastAsia="Palatino Linotype" w:hAnsi="Palatino Linotype" w:cs="Palatino Linotype"/>
          <w:b/>
        </w:rPr>
        <w:t>R E S U E L V E</w:t>
      </w:r>
    </w:p>
    <w:p w:rsidR="005D70E2" w:rsidRPr="001135A8" w:rsidRDefault="005D70E2" w:rsidP="005D70E2">
      <w:pPr>
        <w:spacing w:line="360" w:lineRule="auto"/>
        <w:ind w:right="-787"/>
        <w:jc w:val="center"/>
        <w:rPr>
          <w:rFonts w:ascii="Palatino Linotype" w:eastAsia="Palatino Linotype" w:hAnsi="Palatino Linotype" w:cs="Palatino Linotype"/>
          <w:b/>
        </w:rPr>
      </w:pP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r w:rsidRPr="001135A8">
        <w:rPr>
          <w:rFonts w:ascii="Palatino Linotype" w:eastAsia="Palatino Linotype" w:hAnsi="Palatino Linotype" w:cs="Palatino Linotype"/>
          <w:b/>
          <w:color w:val="000000" w:themeColor="text1"/>
        </w:rPr>
        <w:t>PRIMERO</w:t>
      </w:r>
      <w:r w:rsidRPr="001135A8">
        <w:rPr>
          <w:rFonts w:ascii="Palatino Linotype" w:eastAsia="Palatino Linotype" w:hAnsi="Palatino Linotype" w:cs="Palatino Linotype"/>
          <w:color w:val="000000" w:themeColor="text1"/>
        </w:rPr>
        <w:t xml:space="preserve">. Resultan </w:t>
      </w:r>
      <w:r w:rsidRPr="001135A8">
        <w:rPr>
          <w:rFonts w:ascii="Palatino Linotype" w:eastAsia="Palatino Linotype" w:hAnsi="Palatino Linotype" w:cs="Palatino Linotype"/>
          <w:b/>
          <w:color w:val="000000" w:themeColor="text1"/>
        </w:rPr>
        <w:t>FUNDADAS</w:t>
      </w:r>
      <w:r w:rsidRPr="001135A8">
        <w:rPr>
          <w:rFonts w:ascii="Palatino Linotype" w:eastAsia="Palatino Linotype" w:hAnsi="Palatino Linotype" w:cs="Palatino Linotype"/>
          <w:color w:val="000000" w:themeColor="text1"/>
        </w:rPr>
        <w:t xml:space="preserve"> las razones o motivos de inconformidad hechos valer en el Recurso de Revisión </w:t>
      </w:r>
      <w:r w:rsidR="00052D53">
        <w:rPr>
          <w:rFonts w:ascii="Palatino Linotype" w:eastAsia="Palatino Linotype" w:hAnsi="Palatino Linotype" w:cs="Palatino Linotype"/>
          <w:color w:val="000000" w:themeColor="text1"/>
        </w:rPr>
        <w:t>0</w:t>
      </w:r>
      <w:r w:rsidR="00052D53">
        <w:rPr>
          <w:rFonts w:ascii="Palatino Linotype" w:eastAsia="Palatino Linotype" w:hAnsi="Palatino Linotype" w:cs="Palatino Linotype"/>
          <w:b/>
          <w:color w:val="000000" w:themeColor="text1"/>
        </w:rPr>
        <w:t>9793</w:t>
      </w:r>
      <w:r w:rsidRPr="001135A8">
        <w:rPr>
          <w:rFonts w:ascii="Palatino Linotype" w:eastAsia="Palatino Linotype" w:hAnsi="Palatino Linotype" w:cs="Palatino Linotype"/>
          <w:b/>
          <w:color w:val="000000" w:themeColor="text1"/>
        </w:rPr>
        <w:t>/INFOEM/IP/RR/2025</w:t>
      </w:r>
      <w:r w:rsidRPr="001135A8">
        <w:rPr>
          <w:rFonts w:ascii="Palatino Linotype" w:eastAsia="Palatino Linotype" w:hAnsi="Palatino Linotype" w:cs="Palatino Linotype"/>
          <w:color w:val="000000" w:themeColor="text1"/>
        </w:rPr>
        <w:t>,</w:t>
      </w:r>
      <w:r w:rsidRPr="001135A8">
        <w:rPr>
          <w:rFonts w:ascii="Palatino Linotype" w:eastAsia="Palatino Linotype" w:hAnsi="Palatino Linotype" w:cs="Palatino Linotype"/>
          <w:b/>
          <w:color w:val="000000" w:themeColor="text1"/>
        </w:rPr>
        <w:t xml:space="preserve"> </w:t>
      </w:r>
      <w:r w:rsidRPr="001135A8">
        <w:rPr>
          <w:rFonts w:ascii="Palatino Linotype" w:eastAsia="Palatino Linotype" w:hAnsi="Palatino Linotype" w:cs="Palatino Linotype"/>
          <w:color w:val="000000" w:themeColor="text1"/>
        </w:rPr>
        <w:t xml:space="preserve">en términos de los Considerandos </w:t>
      </w:r>
      <w:r w:rsidRPr="001135A8">
        <w:rPr>
          <w:rFonts w:ascii="Palatino Linotype" w:eastAsia="Palatino Linotype" w:hAnsi="Palatino Linotype" w:cs="Palatino Linotype"/>
          <w:b/>
          <w:color w:val="000000" w:themeColor="text1"/>
        </w:rPr>
        <w:t xml:space="preserve">Cuarto </w:t>
      </w:r>
      <w:r w:rsidRPr="001135A8">
        <w:rPr>
          <w:rFonts w:ascii="Palatino Linotype" w:eastAsia="Palatino Linotype" w:hAnsi="Palatino Linotype" w:cs="Palatino Linotype"/>
          <w:color w:val="000000" w:themeColor="text1"/>
        </w:rPr>
        <w:t xml:space="preserve">de la presente Resolución. </w:t>
      </w: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bookmarkStart w:id="8" w:name="_heading=h.vihmelcub0eb" w:colFirst="0" w:colLast="0"/>
      <w:bookmarkEnd w:id="8"/>
      <w:r w:rsidRPr="001135A8">
        <w:rPr>
          <w:rFonts w:ascii="Palatino Linotype" w:eastAsia="Palatino Linotype" w:hAnsi="Palatino Linotype" w:cs="Palatino Linotype"/>
          <w:b/>
          <w:color w:val="000000" w:themeColor="text1"/>
        </w:rPr>
        <w:t xml:space="preserve">SEGUNDO. </w:t>
      </w:r>
      <w:r w:rsidRPr="001135A8">
        <w:rPr>
          <w:rFonts w:ascii="Palatino Linotype" w:eastAsia="Palatino Linotype" w:hAnsi="Palatino Linotype" w:cs="Palatino Linotype"/>
          <w:color w:val="000000" w:themeColor="text1"/>
        </w:rPr>
        <w:t xml:space="preserve">Se </w:t>
      </w:r>
      <w:r w:rsidR="00052D53">
        <w:rPr>
          <w:rFonts w:ascii="Palatino Linotype" w:eastAsia="Palatino Linotype" w:hAnsi="Palatino Linotype" w:cs="Palatino Linotype"/>
          <w:b/>
          <w:color w:val="000000" w:themeColor="text1"/>
        </w:rPr>
        <w:t>REVOCA</w:t>
      </w:r>
      <w:r w:rsidRPr="001135A8">
        <w:rPr>
          <w:rFonts w:ascii="Palatino Linotype" w:eastAsia="Palatino Linotype" w:hAnsi="Palatino Linotype" w:cs="Palatino Linotype"/>
          <w:b/>
          <w:color w:val="000000" w:themeColor="text1"/>
        </w:rPr>
        <w:t xml:space="preserve"> </w:t>
      </w:r>
      <w:r w:rsidRPr="001135A8">
        <w:rPr>
          <w:rFonts w:ascii="Palatino Linotype" w:eastAsia="Palatino Linotype" w:hAnsi="Palatino Linotype" w:cs="Palatino Linotype"/>
          <w:color w:val="000000" w:themeColor="text1"/>
        </w:rPr>
        <w:t xml:space="preserve">la respuesta emitida por el </w:t>
      </w:r>
      <w:r w:rsidR="00052D53" w:rsidRPr="00062795">
        <w:rPr>
          <w:rFonts w:ascii="Palatino Linotype" w:eastAsia="Palatino Linotype" w:hAnsi="Palatino Linotype" w:cs="Palatino Linotype"/>
          <w:b/>
        </w:rPr>
        <w:t>Ayuntamiento de Metepec</w:t>
      </w:r>
      <w:r w:rsidR="00F85BFA" w:rsidRPr="001135A8">
        <w:rPr>
          <w:rFonts w:ascii="Palatino Linotype" w:eastAsia="Palatino Linotype" w:hAnsi="Palatino Linotype" w:cs="Palatino Linotype"/>
          <w:b/>
        </w:rPr>
        <w:t xml:space="preserve"> </w:t>
      </w:r>
      <w:r w:rsidRPr="001135A8">
        <w:rPr>
          <w:rFonts w:ascii="Palatino Linotype" w:eastAsia="Palatino Linotype" w:hAnsi="Palatino Linotype" w:cs="Palatino Linotype"/>
          <w:color w:val="000000" w:themeColor="text1"/>
        </w:rPr>
        <w:t xml:space="preserve">y se </w:t>
      </w:r>
      <w:r w:rsidRPr="001135A8">
        <w:rPr>
          <w:rFonts w:ascii="Palatino Linotype" w:eastAsia="Palatino Linotype" w:hAnsi="Palatino Linotype" w:cs="Palatino Linotype"/>
          <w:b/>
          <w:color w:val="000000" w:themeColor="text1"/>
        </w:rPr>
        <w:t>ORDENA</w:t>
      </w:r>
      <w:r w:rsidRPr="001135A8">
        <w:rPr>
          <w:rFonts w:ascii="Palatino Linotype" w:eastAsia="Palatino Linotype" w:hAnsi="Palatino Linotype" w:cs="Palatino Linotype"/>
          <w:color w:val="000000" w:themeColor="text1"/>
        </w:rPr>
        <w:t xml:space="preserve"> entregar a través del Sistema de Acceso a la Información Mexiquense (SAIMEX), previa búsqueda exhaustiva y razonable,</w:t>
      </w:r>
      <w:r w:rsidR="00F85BFA" w:rsidRPr="001135A8">
        <w:rPr>
          <w:rFonts w:ascii="Palatino Linotype" w:eastAsia="Palatino Linotype" w:hAnsi="Palatino Linotype" w:cs="Palatino Linotype"/>
          <w:color w:val="000000" w:themeColor="text1"/>
        </w:rPr>
        <w:t xml:space="preserve"> de ser procedente en versión pública,</w:t>
      </w:r>
      <w:r w:rsidRPr="001135A8">
        <w:rPr>
          <w:rFonts w:ascii="Palatino Linotype" w:eastAsia="Palatino Linotype" w:hAnsi="Palatino Linotype" w:cs="Palatino Linotype"/>
          <w:color w:val="000000" w:themeColor="text1"/>
        </w:rPr>
        <w:t xml:space="preserve"> la siguiente información:</w:t>
      </w: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p>
    <w:p w:rsidR="005D70E2" w:rsidRDefault="00052D53" w:rsidP="006D1D2F">
      <w:pPr>
        <w:pStyle w:val="Prrafodelista"/>
        <w:numPr>
          <w:ilvl w:val="0"/>
          <w:numId w:val="9"/>
        </w:numPr>
        <w:spacing w:line="360" w:lineRule="auto"/>
        <w:ind w:right="-716"/>
        <w:jc w:val="both"/>
        <w:rPr>
          <w:rFonts w:ascii="Palatino Linotype" w:eastAsia="Palatino Linotype" w:hAnsi="Palatino Linotype" w:cs="Palatino Linotype"/>
          <w:b/>
          <w:color w:val="000000" w:themeColor="text1"/>
        </w:rPr>
      </w:pPr>
      <w:r w:rsidRPr="00052D53">
        <w:rPr>
          <w:rFonts w:ascii="Palatino Linotype" w:eastAsia="Palatino Linotype" w:hAnsi="Palatino Linotype" w:cs="Palatino Linotype"/>
          <w:b/>
          <w:color w:val="000000" w:themeColor="text1"/>
        </w:rPr>
        <w:t>Comprobantes de pago mediante cheque o transferencia electrónica interbancaria, correspondientes a la partida presupuestal 3251, realizados del 01 de enero de 2024 al 30 de junio de 2025.</w:t>
      </w:r>
    </w:p>
    <w:p w:rsidR="00743A98" w:rsidRDefault="00743A98" w:rsidP="00743A98">
      <w:pPr>
        <w:spacing w:line="360" w:lineRule="auto"/>
        <w:ind w:right="-716"/>
        <w:jc w:val="both"/>
        <w:rPr>
          <w:rFonts w:ascii="Palatino Linotype" w:eastAsia="Palatino Linotype" w:hAnsi="Palatino Linotype" w:cs="Palatino Linotype"/>
          <w:b/>
          <w:color w:val="000000" w:themeColor="text1"/>
        </w:rPr>
      </w:pPr>
    </w:p>
    <w:p w:rsidR="00743A98" w:rsidRDefault="00743A98" w:rsidP="00743A98">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b/>
          <w:bCs/>
          <w:color w:val="000000"/>
        </w:rPr>
      </w:pPr>
      <w:r w:rsidRPr="0063015C">
        <w:rPr>
          <w:rFonts w:ascii="Palatino Linotype" w:eastAsia="Palatino Linotype" w:hAnsi="Palatino Linotype" w:cs="Palatino Linotype"/>
          <w:color w:val="000000"/>
        </w:rPr>
        <w:t xml:space="preserve">Para efectos de lo anterior, de ser procedente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3015C">
        <w:rPr>
          <w:rFonts w:ascii="Palatino Linotype" w:eastAsia="Palatino Linotype" w:hAnsi="Palatino Linotype" w:cs="Palatino Linotype"/>
          <w:b/>
          <w:bCs/>
          <w:color w:val="000000"/>
        </w:rPr>
        <w:t>RECURRENTE.</w:t>
      </w:r>
    </w:p>
    <w:p w:rsidR="00052D53" w:rsidRPr="00052D53" w:rsidRDefault="00052D53" w:rsidP="00052D53">
      <w:pPr>
        <w:pStyle w:val="Prrafodelista"/>
        <w:spacing w:line="360" w:lineRule="auto"/>
        <w:ind w:left="1146" w:right="-716"/>
        <w:jc w:val="both"/>
        <w:rPr>
          <w:rFonts w:ascii="Palatino Linotype" w:eastAsia="Palatino Linotype" w:hAnsi="Palatino Linotype" w:cs="Palatino Linotype"/>
          <w:b/>
          <w:color w:val="000000" w:themeColor="text1"/>
        </w:rPr>
      </w:pP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r w:rsidRPr="001135A8">
        <w:rPr>
          <w:rFonts w:ascii="Palatino Linotype" w:eastAsia="Palatino Linotype" w:hAnsi="Palatino Linotype" w:cs="Palatino Linotype"/>
          <w:b/>
          <w:color w:val="000000" w:themeColor="text1"/>
        </w:rPr>
        <w:t xml:space="preserve">TERCERO. Notifíquese </w:t>
      </w:r>
      <w:r w:rsidRPr="001135A8">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135A8">
        <w:rPr>
          <w:rFonts w:ascii="Palatino Linotype" w:eastAsia="Palatino Linotype" w:hAnsi="Palatino Linotype" w:cs="Palatino Linotype"/>
          <w:b/>
          <w:color w:val="000000" w:themeColor="text1"/>
        </w:rPr>
        <w:t>dé cumplimiento a lo ordenado dentro del plazo de diez días hábiles</w:t>
      </w:r>
      <w:r w:rsidRPr="001135A8">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1135A8">
        <w:rPr>
          <w:rFonts w:ascii="Palatino Linotype" w:eastAsia="Palatino Linotype" w:hAnsi="Palatino Linotype" w:cs="Palatino Linotype"/>
          <w:color w:val="000000" w:themeColor="text1"/>
        </w:rPr>
        <w:lastRenderedPageBreak/>
        <w:t>previsto en los artículos 198, 200, fracción III; 214, 215 y 216 de la Ley  de Transparencia y Acceso a la Información Pública del Estado de México y Municipios.</w:t>
      </w: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r w:rsidRPr="001135A8">
        <w:rPr>
          <w:rFonts w:ascii="Palatino Linotype" w:eastAsia="Palatino Linotype" w:hAnsi="Palatino Linotype" w:cs="Palatino Linotype"/>
          <w:b/>
          <w:color w:val="000000" w:themeColor="text1"/>
        </w:rPr>
        <w:t xml:space="preserve">CUARTO. </w:t>
      </w:r>
      <w:r w:rsidRPr="001135A8">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1135A8">
        <w:rPr>
          <w:rFonts w:ascii="Palatino Linotype" w:eastAsia="Palatino Linotype" w:hAnsi="Palatino Linotype" w:cs="Palatino Linotype"/>
          <w:b/>
          <w:color w:val="000000" w:themeColor="text1"/>
        </w:rPr>
        <w:t>Sujeto Obligado</w:t>
      </w:r>
      <w:r w:rsidRPr="001135A8">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5D70E2" w:rsidRPr="001135A8" w:rsidRDefault="005D70E2" w:rsidP="005D70E2">
      <w:pPr>
        <w:spacing w:line="360" w:lineRule="auto"/>
        <w:ind w:right="-716"/>
        <w:jc w:val="both"/>
        <w:rPr>
          <w:rFonts w:ascii="Palatino Linotype" w:eastAsia="Palatino Linotype" w:hAnsi="Palatino Linotype" w:cs="Palatino Linotype"/>
          <w:color w:val="000000" w:themeColor="text1"/>
        </w:rPr>
      </w:pPr>
    </w:p>
    <w:p w:rsidR="005D70E2" w:rsidRPr="001135A8" w:rsidRDefault="005D70E2" w:rsidP="005D70E2">
      <w:pPr>
        <w:tabs>
          <w:tab w:val="left" w:pos="8080"/>
        </w:tabs>
        <w:spacing w:line="360" w:lineRule="auto"/>
        <w:ind w:right="-716"/>
        <w:jc w:val="both"/>
        <w:rPr>
          <w:rFonts w:ascii="Palatino Linotype" w:eastAsia="Palatino Linotype" w:hAnsi="Palatino Linotype" w:cs="Palatino Linotype"/>
          <w:color w:val="000000" w:themeColor="text1"/>
        </w:rPr>
      </w:pPr>
      <w:bookmarkStart w:id="9" w:name="_heading=h.xhr981y4g39w" w:colFirst="0" w:colLast="0"/>
      <w:bookmarkEnd w:id="9"/>
      <w:r w:rsidRPr="001135A8">
        <w:rPr>
          <w:rFonts w:ascii="Palatino Linotype" w:eastAsia="Palatino Linotype" w:hAnsi="Palatino Linotype" w:cs="Palatino Linotype"/>
          <w:b/>
          <w:color w:val="000000" w:themeColor="text1"/>
        </w:rPr>
        <w:t xml:space="preserve">QUINTO. </w:t>
      </w:r>
      <w:r w:rsidRPr="001135A8">
        <w:rPr>
          <w:rFonts w:ascii="Palatino Linotype" w:eastAsia="Palatino Linotype" w:hAnsi="Palatino Linotype" w:cs="Palatino Linotype"/>
          <w:color w:val="000000" w:themeColor="text1"/>
        </w:rPr>
        <w:t xml:space="preserve">Notifíquese al Recurrente la presente resolución, vía </w:t>
      </w:r>
      <w:r w:rsidRPr="001135A8">
        <w:rPr>
          <w:rFonts w:ascii="Palatino Linotype" w:eastAsia="Palatino Linotype" w:hAnsi="Palatino Linotype" w:cs="Palatino Linotype"/>
          <w:b/>
          <w:color w:val="000000" w:themeColor="text1"/>
        </w:rPr>
        <w:t>SAIMEX</w:t>
      </w:r>
      <w:r w:rsidRPr="001135A8">
        <w:rPr>
          <w:rFonts w:ascii="Palatino Linotype" w:eastAsia="Palatino Linotype" w:hAnsi="Palatino Linotype" w:cs="Palatino Linotype"/>
          <w:color w:val="000000" w:themeColor="text1"/>
        </w:rPr>
        <w:t>.</w:t>
      </w:r>
    </w:p>
    <w:p w:rsidR="005D70E2" w:rsidRPr="001135A8" w:rsidRDefault="005D70E2" w:rsidP="005D70E2">
      <w:pPr>
        <w:tabs>
          <w:tab w:val="left" w:pos="8080"/>
        </w:tabs>
        <w:spacing w:line="360" w:lineRule="auto"/>
        <w:ind w:right="-716"/>
        <w:jc w:val="both"/>
        <w:rPr>
          <w:rFonts w:ascii="Palatino Linotype" w:eastAsia="Palatino Linotype" w:hAnsi="Palatino Linotype" w:cs="Palatino Linotype"/>
          <w:color w:val="000000" w:themeColor="text1"/>
        </w:rPr>
      </w:pPr>
    </w:p>
    <w:p w:rsidR="005D70E2" w:rsidRPr="001135A8" w:rsidRDefault="005D70E2" w:rsidP="005D70E2">
      <w:pPr>
        <w:shd w:val="clear" w:color="auto" w:fill="FFFFFF"/>
        <w:spacing w:line="360" w:lineRule="auto"/>
        <w:ind w:right="-716"/>
        <w:jc w:val="both"/>
        <w:rPr>
          <w:rFonts w:ascii="Palatino Linotype" w:eastAsia="Palatino Linotype" w:hAnsi="Palatino Linotype" w:cs="Palatino Linotype"/>
          <w:color w:val="000000" w:themeColor="text1"/>
        </w:rPr>
      </w:pPr>
      <w:r w:rsidRPr="001135A8">
        <w:rPr>
          <w:rFonts w:ascii="Palatino Linotype" w:eastAsia="Palatino Linotype" w:hAnsi="Palatino Linotype" w:cs="Palatino Linotype"/>
          <w:b/>
          <w:color w:val="000000" w:themeColor="text1"/>
        </w:rPr>
        <w:t xml:space="preserve">SEXTO. </w:t>
      </w:r>
      <w:r w:rsidRPr="001135A8">
        <w:rPr>
          <w:rFonts w:ascii="Palatino Linotype" w:eastAsia="Palatino Linotype" w:hAnsi="Palatino Linotype" w:cs="Palatino Linotype"/>
          <w:color w:val="000000" w:themeColor="text1"/>
        </w:rPr>
        <w:t>Se hace del conocimiento del</w:t>
      </w:r>
      <w:r w:rsidRPr="001135A8">
        <w:rPr>
          <w:rFonts w:ascii="Palatino Linotype" w:eastAsia="Palatino Linotype" w:hAnsi="Palatino Linotype" w:cs="Palatino Linotype"/>
          <w:b/>
          <w:color w:val="000000" w:themeColor="text1"/>
        </w:rPr>
        <w:t xml:space="preserve"> Recurrente </w:t>
      </w:r>
      <w:r w:rsidRPr="001135A8">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D3B26" w:rsidRPr="001135A8" w:rsidRDefault="000D3B26">
      <w:pPr>
        <w:spacing w:line="360" w:lineRule="auto"/>
        <w:ind w:right="-787"/>
        <w:jc w:val="both"/>
        <w:rPr>
          <w:rFonts w:ascii="Palatino Linotype" w:eastAsia="Palatino Linotype" w:hAnsi="Palatino Linotype" w:cs="Palatino Linotype"/>
          <w:b/>
        </w:rPr>
      </w:pPr>
    </w:p>
    <w:p w:rsidR="00A864CF" w:rsidRPr="003E2295" w:rsidRDefault="00A864CF" w:rsidP="00A864CF">
      <w:pPr>
        <w:spacing w:before="240" w:after="240" w:line="360" w:lineRule="auto"/>
        <w:ind w:right="-716" w:firstLine="1"/>
        <w:jc w:val="both"/>
        <w:rPr>
          <w:rFonts w:ascii="Palatino Linotype" w:hAnsi="Palatino Linotype"/>
        </w:rPr>
      </w:pPr>
      <w:bookmarkStart w:id="10" w:name="_heading=h.6fdsxojh0ru1" w:colFirst="0" w:colLast="0"/>
      <w:bookmarkStart w:id="11" w:name="_Hlk99014733"/>
      <w:bookmarkEnd w:id="10"/>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PRIMERA </w:t>
      </w:r>
      <w:r w:rsidRPr="003E2295">
        <w:rPr>
          <w:rFonts w:ascii="Palatino Linotype" w:hAnsi="Palatino Linotype" w:cs="Palatino Linotype"/>
        </w:rPr>
        <w:t>SESIÓN O</w:t>
      </w:r>
      <w:r>
        <w:rPr>
          <w:rFonts w:ascii="Palatino Linotype" w:hAnsi="Palatino Linotype" w:cs="Palatino Linotype"/>
        </w:rPr>
        <w:t>RDINARIA, CELEBRADA EL VEINTICINCO (25</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1"/>
    <w:p w:rsidR="000D3B26" w:rsidRDefault="000D3B26" w:rsidP="00A864CF">
      <w:pPr>
        <w:spacing w:line="360" w:lineRule="auto"/>
        <w:ind w:right="-716"/>
        <w:jc w:val="both"/>
        <w:rPr>
          <w:rFonts w:ascii="Palatino Linotype" w:eastAsia="Palatino Linotype" w:hAnsi="Palatino Linotype" w:cs="Palatino Linotype"/>
        </w:rPr>
      </w:pPr>
    </w:p>
    <w:p w:rsidR="000D3B26" w:rsidRDefault="000D3B26" w:rsidP="00A864CF">
      <w:pPr>
        <w:spacing w:line="360" w:lineRule="auto"/>
        <w:ind w:right="-716"/>
        <w:jc w:val="both"/>
        <w:rPr>
          <w:rFonts w:ascii="Palatino Linotype" w:eastAsia="Palatino Linotype" w:hAnsi="Palatino Linotype" w:cs="Palatino Linotype"/>
        </w:rPr>
      </w:pPr>
    </w:p>
    <w:p w:rsidR="000D3B26" w:rsidRDefault="000D3B26" w:rsidP="00A864CF">
      <w:pPr>
        <w:spacing w:line="360" w:lineRule="auto"/>
        <w:ind w:right="-716"/>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tabs>
          <w:tab w:val="left" w:pos="3374"/>
        </w:tabs>
        <w:spacing w:line="360" w:lineRule="auto"/>
        <w:ind w:right="-787"/>
        <w:rPr>
          <w:rFonts w:ascii="Palatino Linotype" w:eastAsia="Palatino Linotype" w:hAnsi="Palatino Linotype" w:cs="Palatino Linotype"/>
        </w:rPr>
      </w:pPr>
      <w:bookmarkStart w:id="12" w:name="_heading=h.lnxbz9" w:colFirst="0" w:colLast="0"/>
      <w:bookmarkEnd w:id="12"/>
    </w:p>
    <w:sectPr w:rsidR="000D3B26">
      <w:headerReference w:type="even" r:id="rId18"/>
      <w:headerReference w:type="default" r:id="rId19"/>
      <w:footerReference w:type="default" r:id="rId20"/>
      <w:headerReference w:type="first" r:id="rId21"/>
      <w:footerReference w:type="first" r:id="rId22"/>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EEC" w:rsidRDefault="003E1EEC">
      <w:r>
        <w:separator/>
      </w:r>
    </w:p>
  </w:endnote>
  <w:endnote w:type="continuationSeparator" w:id="0">
    <w:p w:rsidR="003E1EEC" w:rsidRDefault="003E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1D" w:rsidRDefault="00DD461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15119">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15119">
      <w:rPr>
        <w:rFonts w:ascii="Palatino Linotype" w:eastAsia="Palatino Linotype" w:hAnsi="Palatino Linotype" w:cs="Palatino Linotype"/>
        <w:noProof/>
        <w:color w:val="000000"/>
        <w:sz w:val="20"/>
        <w:szCs w:val="20"/>
      </w:rPr>
      <w:t>42</w:t>
    </w:r>
    <w:r>
      <w:rPr>
        <w:rFonts w:ascii="Palatino Linotype" w:eastAsia="Palatino Linotype" w:hAnsi="Palatino Linotype" w:cs="Palatino Linotype"/>
        <w:color w:val="000000"/>
        <w:sz w:val="20"/>
        <w:szCs w:val="20"/>
      </w:rPr>
      <w:fldChar w:fldCharType="end"/>
    </w:r>
  </w:p>
  <w:p w:rsidR="00DD461D" w:rsidRDefault="00DD461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1D" w:rsidRDefault="00DD461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1511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15119">
      <w:rPr>
        <w:rFonts w:ascii="Palatino Linotype" w:eastAsia="Palatino Linotype" w:hAnsi="Palatino Linotype" w:cs="Palatino Linotype"/>
        <w:noProof/>
        <w:color w:val="000000"/>
        <w:sz w:val="20"/>
        <w:szCs w:val="20"/>
      </w:rPr>
      <w:t>42</w:t>
    </w:r>
    <w:r>
      <w:rPr>
        <w:rFonts w:ascii="Palatino Linotype" w:eastAsia="Palatino Linotype" w:hAnsi="Palatino Linotype" w:cs="Palatino Linotype"/>
        <w:color w:val="000000"/>
        <w:sz w:val="20"/>
        <w:szCs w:val="20"/>
      </w:rPr>
      <w:fldChar w:fldCharType="end"/>
    </w:r>
  </w:p>
  <w:p w:rsidR="00DD461D" w:rsidRDefault="00DD461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EEC" w:rsidRDefault="003E1EEC">
      <w:r>
        <w:separator/>
      </w:r>
    </w:p>
  </w:footnote>
  <w:footnote w:type="continuationSeparator" w:id="0">
    <w:p w:rsidR="003E1EEC" w:rsidRDefault="003E1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1D" w:rsidRDefault="003E1EE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1D" w:rsidRDefault="00DD461D">
    <w:pPr>
      <w:widowControl w:val="0"/>
      <w:pBdr>
        <w:top w:val="nil"/>
        <w:left w:val="nil"/>
        <w:bottom w:val="nil"/>
        <w:right w:val="nil"/>
        <w:between w:val="nil"/>
      </w:pBdr>
      <w:spacing w:line="276" w:lineRule="auto"/>
      <w:rPr>
        <w:color w:val="000000"/>
      </w:rPr>
    </w:pPr>
  </w:p>
  <w:tbl>
    <w:tblPr>
      <w:tblStyle w:val="1"/>
      <w:tblW w:w="6761" w:type="dxa"/>
      <w:tblInd w:w="3261" w:type="dxa"/>
      <w:tblLayout w:type="fixed"/>
      <w:tblLook w:val="0400" w:firstRow="0" w:lastRow="0" w:firstColumn="0" w:lastColumn="0" w:noHBand="0" w:noVBand="1"/>
    </w:tblPr>
    <w:tblGrid>
      <w:gridCol w:w="2509"/>
      <w:gridCol w:w="4252"/>
    </w:tblGrid>
    <w:tr w:rsidR="00DD461D" w:rsidTr="00E82A18">
      <w:trPr>
        <w:trHeight w:val="227"/>
      </w:trPr>
      <w:tc>
        <w:tcPr>
          <w:tcW w:w="2509" w:type="dxa"/>
        </w:tcPr>
        <w:p w:rsidR="00DD461D" w:rsidRPr="00A864CF" w:rsidRDefault="00DD461D" w:rsidP="00062795">
          <w:pPr>
            <w:jc w:val="right"/>
            <w:rPr>
              <w:rFonts w:ascii="Palatino Linotype" w:eastAsia="Palatino Linotype" w:hAnsi="Palatino Linotype" w:cs="Palatino Linotype"/>
              <w:b/>
              <w:szCs w:val="22"/>
            </w:rPr>
          </w:pPr>
          <w:r w:rsidRPr="00A864CF">
            <w:rPr>
              <w:rFonts w:ascii="Palatino Linotype" w:eastAsia="Palatino Linotype" w:hAnsi="Palatino Linotype" w:cs="Palatino Linotype"/>
              <w:b/>
              <w:szCs w:val="22"/>
            </w:rPr>
            <w:t>Recurso de Revisión:</w:t>
          </w:r>
        </w:p>
      </w:tc>
      <w:tc>
        <w:tcPr>
          <w:tcW w:w="4252" w:type="dxa"/>
        </w:tcPr>
        <w:p w:rsidR="00DD461D" w:rsidRPr="00A864CF" w:rsidRDefault="00DD461D" w:rsidP="00062795">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A864CF">
            <w:rPr>
              <w:rFonts w:ascii="Palatino Linotype" w:eastAsia="Palatino Linotype" w:hAnsi="Palatino Linotype" w:cs="Palatino Linotype"/>
              <w:color w:val="000000"/>
              <w:szCs w:val="22"/>
            </w:rPr>
            <w:t>09793/INFOEM/IP/RR/2025</w:t>
          </w:r>
        </w:p>
      </w:tc>
    </w:tr>
    <w:tr w:rsidR="00DD461D" w:rsidTr="00E82A18">
      <w:trPr>
        <w:trHeight w:val="342"/>
      </w:trPr>
      <w:tc>
        <w:tcPr>
          <w:tcW w:w="2509" w:type="dxa"/>
        </w:tcPr>
        <w:p w:rsidR="00DD461D" w:rsidRPr="00A864CF" w:rsidRDefault="00DD461D" w:rsidP="00062795">
          <w:pPr>
            <w:jc w:val="right"/>
            <w:rPr>
              <w:rFonts w:ascii="Palatino Linotype" w:eastAsia="Palatino Linotype" w:hAnsi="Palatino Linotype" w:cs="Palatino Linotype"/>
              <w:b/>
              <w:szCs w:val="22"/>
            </w:rPr>
          </w:pPr>
          <w:r w:rsidRPr="00A864CF">
            <w:rPr>
              <w:rFonts w:ascii="Palatino Linotype" w:eastAsia="Palatino Linotype" w:hAnsi="Palatino Linotype" w:cs="Palatino Linotype"/>
              <w:b/>
              <w:szCs w:val="22"/>
            </w:rPr>
            <w:t>Sujeto Obligado:</w:t>
          </w:r>
        </w:p>
      </w:tc>
      <w:tc>
        <w:tcPr>
          <w:tcW w:w="4252" w:type="dxa"/>
        </w:tcPr>
        <w:p w:rsidR="00DD461D" w:rsidRPr="00A864CF" w:rsidRDefault="00DD461D" w:rsidP="00062795">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A864CF">
            <w:rPr>
              <w:rFonts w:ascii="Palatino Linotype" w:eastAsia="Palatino Linotype" w:hAnsi="Palatino Linotype" w:cs="Palatino Linotype"/>
              <w:color w:val="000000"/>
              <w:szCs w:val="22"/>
            </w:rPr>
            <w:t>Ayuntamiento de Metepec</w:t>
          </w:r>
        </w:p>
      </w:tc>
    </w:tr>
    <w:tr w:rsidR="00DD461D" w:rsidTr="00E82A18">
      <w:trPr>
        <w:trHeight w:val="342"/>
      </w:trPr>
      <w:tc>
        <w:tcPr>
          <w:tcW w:w="2509" w:type="dxa"/>
        </w:tcPr>
        <w:p w:rsidR="00DD461D" w:rsidRPr="00A864CF" w:rsidRDefault="00DD461D" w:rsidP="00062795">
          <w:pPr>
            <w:jc w:val="right"/>
            <w:rPr>
              <w:rFonts w:ascii="Palatino Linotype" w:eastAsia="Palatino Linotype" w:hAnsi="Palatino Linotype" w:cs="Palatino Linotype"/>
              <w:b/>
              <w:szCs w:val="22"/>
            </w:rPr>
          </w:pPr>
          <w:r w:rsidRPr="00A864CF">
            <w:rPr>
              <w:rFonts w:ascii="Palatino Linotype" w:eastAsia="Palatino Linotype" w:hAnsi="Palatino Linotype" w:cs="Palatino Linotype"/>
              <w:b/>
              <w:szCs w:val="22"/>
            </w:rPr>
            <w:t>Comisionada Ponente:</w:t>
          </w:r>
        </w:p>
      </w:tc>
      <w:tc>
        <w:tcPr>
          <w:tcW w:w="4252" w:type="dxa"/>
        </w:tcPr>
        <w:p w:rsidR="00DD461D" w:rsidRPr="00A864CF" w:rsidRDefault="00DD461D" w:rsidP="00062795">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A864CF">
            <w:rPr>
              <w:rFonts w:ascii="Palatino Linotype" w:eastAsia="Palatino Linotype" w:hAnsi="Palatino Linotype" w:cs="Palatino Linotype"/>
              <w:color w:val="000000"/>
              <w:szCs w:val="22"/>
            </w:rPr>
            <w:t>María del Rosario Mejía Ayala</w:t>
          </w:r>
        </w:p>
      </w:tc>
    </w:tr>
  </w:tbl>
  <w:p w:rsidR="00DD461D" w:rsidRDefault="003E1EEC">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1D" w:rsidRDefault="00DD461D">
    <w:pPr>
      <w:widowControl w:val="0"/>
      <w:pBdr>
        <w:top w:val="nil"/>
        <w:left w:val="nil"/>
        <w:bottom w:val="nil"/>
        <w:right w:val="nil"/>
        <w:between w:val="nil"/>
      </w:pBdr>
      <w:spacing w:line="276" w:lineRule="auto"/>
      <w:rPr>
        <w:color w:val="000000"/>
        <w:sz w:val="14"/>
        <w:szCs w:val="14"/>
      </w:rPr>
    </w:pPr>
  </w:p>
  <w:tbl>
    <w:tblPr>
      <w:tblStyle w:val="1"/>
      <w:tblW w:w="6761" w:type="dxa"/>
      <w:tblInd w:w="3261" w:type="dxa"/>
      <w:tblLayout w:type="fixed"/>
      <w:tblLook w:val="0400" w:firstRow="0" w:lastRow="0" w:firstColumn="0" w:lastColumn="0" w:noHBand="0" w:noVBand="1"/>
    </w:tblPr>
    <w:tblGrid>
      <w:gridCol w:w="2509"/>
      <w:gridCol w:w="4252"/>
    </w:tblGrid>
    <w:tr w:rsidR="00DD461D">
      <w:trPr>
        <w:trHeight w:val="227"/>
      </w:trPr>
      <w:tc>
        <w:tcPr>
          <w:tcW w:w="2509" w:type="dxa"/>
        </w:tcPr>
        <w:p w:rsidR="00DD461D" w:rsidRPr="00A864CF" w:rsidRDefault="00DD461D">
          <w:pPr>
            <w:jc w:val="right"/>
            <w:rPr>
              <w:rFonts w:ascii="Palatino Linotype" w:eastAsia="Palatino Linotype" w:hAnsi="Palatino Linotype" w:cs="Palatino Linotype"/>
              <w:b/>
              <w:szCs w:val="22"/>
            </w:rPr>
          </w:pPr>
          <w:r w:rsidRPr="00A864CF">
            <w:rPr>
              <w:rFonts w:ascii="Palatino Linotype" w:eastAsia="Palatino Linotype" w:hAnsi="Palatino Linotype" w:cs="Palatino Linotype"/>
              <w:b/>
              <w:szCs w:val="22"/>
            </w:rPr>
            <w:t>Recurso de Revisión:</w:t>
          </w:r>
        </w:p>
      </w:tc>
      <w:tc>
        <w:tcPr>
          <w:tcW w:w="4252" w:type="dxa"/>
        </w:tcPr>
        <w:p w:rsidR="00DD461D" w:rsidRPr="00A864CF" w:rsidRDefault="00DD461D">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A864CF">
            <w:rPr>
              <w:rFonts w:ascii="Palatino Linotype" w:eastAsia="Palatino Linotype" w:hAnsi="Palatino Linotype" w:cs="Palatino Linotype"/>
              <w:color w:val="000000"/>
              <w:szCs w:val="22"/>
            </w:rPr>
            <w:t>09793/INFOEM/IP/RR/2025</w:t>
          </w:r>
        </w:p>
      </w:tc>
    </w:tr>
    <w:tr w:rsidR="00DD461D">
      <w:trPr>
        <w:trHeight w:val="242"/>
      </w:trPr>
      <w:tc>
        <w:tcPr>
          <w:tcW w:w="2509" w:type="dxa"/>
        </w:tcPr>
        <w:p w:rsidR="00DD461D" w:rsidRPr="00A864CF" w:rsidRDefault="00DD461D">
          <w:pPr>
            <w:jc w:val="right"/>
            <w:rPr>
              <w:rFonts w:ascii="Palatino Linotype" w:eastAsia="Palatino Linotype" w:hAnsi="Palatino Linotype" w:cs="Palatino Linotype"/>
              <w:b/>
              <w:szCs w:val="22"/>
            </w:rPr>
          </w:pPr>
          <w:r w:rsidRPr="00A864CF">
            <w:rPr>
              <w:rFonts w:ascii="Palatino Linotype" w:eastAsia="Palatino Linotype" w:hAnsi="Palatino Linotype" w:cs="Palatino Linotype"/>
              <w:b/>
              <w:szCs w:val="22"/>
            </w:rPr>
            <w:t>Recurrente:</w:t>
          </w:r>
        </w:p>
      </w:tc>
      <w:tc>
        <w:tcPr>
          <w:tcW w:w="4252" w:type="dxa"/>
        </w:tcPr>
        <w:p w:rsidR="00DD461D" w:rsidRPr="00A864CF" w:rsidRDefault="00815119">
          <w:pPr>
            <w:rPr>
              <w:rFonts w:ascii="Palatino Linotype" w:eastAsia="Palatino Linotype" w:hAnsi="Palatino Linotype" w:cs="Palatino Linotype"/>
              <w:color w:val="000000"/>
              <w:szCs w:val="22"/>
              <w:highlight w:val="green"/>
            </w:rPr>
          </w:pPr>
          <w:r>
            <w:rPr>
              <w:rFonts w:ascii="Palatino Linotype" w:eastAsia="Palatino Linotype" w:hAnsi="Palatino Linotype" w:cs="Palatino Linotype"/>
              <w:color w:val="000000"/>
              <w:szCs w:val="22"/>
            </w:rPr>
            <w:t>XXXX</w:t>
          </w:r>
        </w:p>
      </w:tc>
    </w:tr>
    <w:tr w:rsidR="00DD461D">
      <w:trPr>
        <w:trHeight w:val="342"/>
      </w:trPr>
      <w:tc>
        <w:tcPr>
          <w:tcW w:w="2509" w:type="dxa"/>
        </w:tcPr>
        <w:p w:rsidR="00DD461D" w:rsidRPr="00A864CF" w:rsidRDefault="00DD461D">
          <w:pPr>
            <w:jc w:val="right"/>
            <w:rPr>
              <w:rFonts w:ascii="Palatino Linotype" w:eastAsia="Palatino Linotype" w:hAnsi="Palatino Linotype" w:cs="Palatino Linotype"/>
              <w:b/>
              <w:szCs w:val="22"/>
            </w:rPr>
          </w:pPr>
          <w:r w:rsidRPr="00A864CF">
            <w:rPr>
              <w:rFonts w:ascii="Palatino Linotype" w:eastAsia="Palatino Linotype" w:hAnsi="Palatino Linotype" w:cs="Palatino Linotype"/>
              <w:b/>
              <w:szCs w:val="22"/>
            </w:rPr>
            <w:t>Sujeto Obligado:</w:t>
          </w:r>
        </w:p>
      </w:tc>
      <w:tc>
        <w:tcPr>
          <w:tcW w:w="4252" w:type="dxa"/>
        </w:tcPr>
        <w:p w:rsidR="00DD461D" w:rsidRPr="00A864CF" w:rsidRDefault="00DD461D">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A864CF">
            <w:rPr>
              <w:rFonts w:ascii="Palatino Linotype" w:eastAsia="Palatino Linotype" w:hAnsi="Palatino Linotype" w:cs="Palatino Linotype"/>
              <w:color w:val="000000"/>
              <w:szCs w:val="22"/>
            </w:rPr>
            <w:t>Ayuntamiento de Metepec</w:t>
          </w:r>
        </w:p>
      </w:tc>
    </w:tr>
    <w:tr w:rsidR="00DD461D">
      <w:trPr>
        <w:trHeight w:val="342"/>
      </w:trPr>
      <w:tc>
        <w:tcPr>
          <w:tcW w:w="2509" w:type="dxa"/>
        </w:tcPr>
        <w:p w:rsidR="00DD461D" w:rsidRPr="00A864CF" w:rsidRDefault="00DD461D">
          <w:pPr>
            <w:jc w:val="right"/>
            <w:rPr>
              <w:rFonts w:ascii="Palatino Linotype" w:eastAsia="Palatino Linotype" w:hAnsi="Palatino Linotype" w:cs="Palatino Linotype"/>
              <w:b/>
              <w:szCs w:val="22"/>
            </w:rPr>
          </w:pPr>
          <w:r w:rsidRPr="00A864CF">
            <w:rPr>
              <w:rFonts w:ascii="Palatino Linotype" w:eastAsia="Palatino Linotype" w:hAnsi="Palatino Linotype" w:cs="Palatino Linotype"/>
              <w:b/>
              <w:szCs w:val="22"/>
            </w:rPr>
            <w:t>Comisionada Ponente:</w:t>
          </w:r>
        </w:p>
      </w:tc>
      <w:tc>
        <w:tcPr>
          <w:tcW w:w="4252" w:type="dxa"/>
        </w:tcPr>
        <w:p w:rsidR="00DD461D" w:rsidRPr="00A864CF" w:rsidRDefault="00DD461D">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A864CF">
            <w:rPr>
              <w:rFonts w:ascii="Palatino Linotype" w:eastAsia="Palatino Linotype" w:hAnsi="Palatino Linotype" w:cs="Palatino Linotype"/>
              <w:color w:val="000000"/>
              <w:szCs w:val="22"/>
            </w:rPr>
            <w:t>María del Rosario Mejía Ayala</w:t>
          </w:r>
        </w:p>
      </w:tc>
    </w:tr>
  </w:tbl>
  <w:p w:rsidR="00DD461D" w:rsidRDefault="003E1EE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F5283B"/>
    <w:multiLevelType w:val="hybridMultilevel"/>
    <w:tmpl w:val="36BC37B8"/>
    <w:lvl w:ilvl="0" w:tplc="080A0011">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1C035A11"/>
    <w:multiLevelType w:val="multilevel"/>
    <w:tmpl w:val="19A4FA0C"/>
    <w:lvl w:ilvl="0">
      <w:start w:val="1"/>
      <w:numFmt w:val="decimal"/>
      <w:pStyle w:val="Listaconvietas2"/>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1C3F59CB"/>
    <w:multiLevelType w:val="hybridMultilevel"/>
    <w:tmpl w:val="36BC37B8"/>
    <w:lvl w:ilvl="0" w:tplc="080A0011">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7B50D6"/>
    <w:multiLevelType w:val="multilevel"/>
    <w:tmpl w:val="E2487F1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064666"/>
    <w:multiLevelType w:val="hybridMultilevel"/>
    <w:tmpl w:val="5524C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694311"/>
    <w:multiLevelType w:val="multilevel"/>
    <w:tmpl w:val="5A5E1D8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5"/>
  </w:num>
  <w:num w:numId="2">
    <w:abstractNumId w:val="0"/>
  </w:num>
  <w:num w:numId="3">
    <w:abstractNumId w:val="8"/>
  </w:num>
  <w:num w:numId="4">
    <w:abstractNumId w:val="2"/>
  </w:num>
  <w:num w:numId="5">
    <w:abstractNumId w:val="4"/>
  </w:num>
  <w:num w:numId="6">
    <w:abstractNumId w:val="3"/>
  </w:num>
  <w:num w:numId="7">
    <w:abstractNumId w:val="6"/>
  </w:num>
  <w:num w:numId="8">
    <w:abstractNumId w:val="7"/>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26"/>
    <w:rsid w:val="00012548"/>
    <w:rsid w:val="00021725"/>
    <w:rsid w:val="00030D55"/>
    <w:rsid w:val="0003289A"/>
    <w:rsid w:val="000352D3"/>
    <w:rsid w:val="0004583C"/>
    <w:rsid w:val="00052D53"/>
    <w:rsid w:val="000548A7"/>
    <w:rsid w:val="000603F4"/>
    <w:rsid w:val="00062795"/>
    <w:rsid w:val="000655BF"/>
    <w:rsid w:val="00077F14"/>
    <w:rsid w:val="00081002"/>
    <w:rsid w:val="00085ED2"/>
    <w:rsid w:val="00086EBE"/>
    <w:rsid w:val="0008797C"/>
    <w:rsid w:val="000956F2"/>
    <w:rsid w:val="00097DD3"/>
    <w:rsid w:val="000A676B"/>
    <w:rsid w:val="000B09A0"/>
    <w:rsid w:val="000C1B9D"/>
    <w:rsid w:val="000C459A"/>
    <w:rsid w:val="000D0069"/>
    <w:rsid w:val="000D1683"/>
    <w:rsid w:val="000D3B26"/>
    <w:rsid w:val="000E30FD"/>
    <w:rsid w:val="000E481A"/>
    <w:rsid w:val="000E53AF"/>
    <w:rsid w:val="000E7E0B"/>
    <w:rsid w:val="000F6CF3"/>
    <w:rsid w:val="001016A9"/>
    <w:rsid w:val="00112E9A"/>
    <w:rsid w:val="001135A8"/>
    <w:rsid w:val="0012084C"/>
    <w:rsid w:val="00137775"/>
    <w:rsid w:val="0014094E"/>
    <w:rsid w:val="00147B9A"/>
    <w:rsid w:val="00154CCC"/>
    <w:rsid w:val="001626ED"/>
    <w:rsid w:val="00164DF8"/>
    <w:rsid w:val="001651B1"/>
    <w:rsid w:val="0017337C"/>
    <w:rsid w:val="00173EF1"/>
    <w:rsid w:val="001917FC"/>
    <w:rsid w:val="001B095A"/>
    <w:rsid w:val="001B4550"/>
    <w:rsid w:val="001B4ADD"/>
    <w:rsid w:val="001B5273"/>
    <w:rsid w:val="001C4BCA"/>
    <w:rsid w:val="001D5FD9"/>
    <w:rsid w:val="001E4D7D"/>
    <w:rsid w:val="001E5538"/>
    <w:rsid w:val="001F19F8"/>
    <w:rsid w:val="00204A60"/>
    <w:rsid w:val="002070B4"/>
    <w:rsid w:val="002079F1"/>
    <w:rsid w:val="002109AC"/>
    <w:rsid w:val="00220F0B"/>
    <w:rsid w:val="00222929"/>
    <w:rsid w:val="002237C4"/>
    <w:rsid w:val="00225A8C"/>
    <w:rsid w:val="00233B26"/>
    <w:rsid w:val="0023695C"/>
    <w:rsid w:val="00241398"/>
    <w:rsid w:val="002422BB"/>
    <w:rsid w:val="002477EE"/>
    <w:rsid w:val="00253663"/>
    <w:rsid w:val="00254ADE"/>
    <w:rsid w:val="00257AFE"/>
    <w:rsid w:val="002661B2"/>
    <w:rsid w:val="00271F45"/>
    <w:rsid w:val="00272AC5"/>
    <w:rsid w:val="00275BBB"/>
    <w:rsid w:val="00293FEC"/>
    <w:rsid w:val="002C2FFD"/>
    <w:rsid w:val="002C32AC"/>
    <w:rsid w:val="002D4331"/>
    <w:rsid w:val="002E75F0"/>
    <w:rsid w:val="00306383"/>
    <w:rsid w:val="00310B54"/>
    <w:rsid w:val="0031348B"/>
    <w:rsid w:val="00314464"/>
    <w:rsid w:val="003225ED"/>
    <w:rsid w:val="0032476C"/>
    <w:rsid w:val="00327A4B"/>
    <w:rsid w:val="0033262E"/>
    <w:rsid w:val="00343425"/>
    <w:rsid w:val="00343A22"/>
    <w:rsid w:val="0034609D"/>
    <w:rsid w:val="00354B3D"/>
    <w:rsid w:val="00381E20"/>
    <w:rsid w:val="003976E3"/>
    <w:rsid w:val="003A6FC8"/>
    <w:rsid w:val="003B04AC"/>
    <w:rsid w:val="003C3C63"/>
    <w:rsid w:val="003C6687"/>
    <w:rsid w:val="003D2433"/>
    <w:rsid w:val="003D612D"/>
    <w:rsid w:val="003E1EEC"/>
    <w:rsid w:val="003E3892"/>
    <w:rsid w:val="003F017E"/>
    <w:rsid w:val="003F118A"/>
    <w:rsid w:val="003F3700"/>
    <w:rsid w:val="00420A74"/>
    <w:rsid w:val="0043036C"/>
    <w:rsid w:val="004321F0"/>
    <w:rsid w:val="004358FA"/>
    <w:rsid w:val="004360CA"/>
    <w:rsid w:val="00441E28"/>
    <w:rsid w:val="00446730"/>
    <w:rsid w:val="00447F4B"/>
    <w:rsid w:val="00453D60"/>
    <w:rsid w:val="00456D18"/>
    <w:rsid w:val="0045751D"/>
    <w:rsid w:val="00464244"/>
    <w:rsid w:val="00464953"/>
    <w:rsid w:val="00467C61"/>
    <w:rsid w:val="004739C8"/>
    <w:rsid w:val="004848CE"/>
    <w:rsid w:val="004917C3"/>
    <w:rsid w:val="00492B0B"/>
    <w:rsid w:val="004A5138"/>
    <w:rsid w:val="004A5EBD"/>
    <w:rsid w:val="004D3F60"/>
    <w:rsid w:val="004D7778"/>
    <w:rsid w:val="004E778E"/>
    <w:rsid w:val="004F0068"/>
    <w:rsid w:val="004F64DA"/>
    <w:rsid w:val="00502698"/>
    <w:rsid w:val="0050292B"/>
    <w:rsid w:val="005038CE"/>
    <w:rsid w:val="005117B7"/>
    <w:rsid w:val="00540646"/>
    <w:rsid w:val="00542047"/>
    <w:rsid w:val="00542102"/>
    <w:rsid w:val="005524DA"/>
    <w:rsid w:val="005566BD"/>
    <w:rsid w:val="00563E40"/>
    <w:rsid w:val="005737DB"/>
    <w:rsid w:val="0057460E"/>
    <w:rsid w:val="00575BE5"/>
    <w:rsid w:val="00584342"/>
    <w:rsid w:val="0058435E"/>
    <w:rsid w:val="005864B2"/>
    <w:rsid w:val="005A0CA9"/>
    <w:rsid w:val="005A2F24"/>
    <w:rsid w:val="005C0CFD"/>
    <w:rsid w:val="005C1867"/>
    <w:rsid w:val="005D5E23"/>
    <w:rsid w:val="005D70E2"/>
    <w:rsid w:val="005E20F5"/>
    <w:rsid w:val="005E2B35"/>
    <w:rsid w:val="005F5A3D"/>
    <w:rsid w:val="00601DB8"/>
    <w:rsid w:val="006026A2"/>
    <w:rsid w:val="006027DD"/>
    <w:rsid w:val="0063015C"/>
    <w:rsid w:val="00647390"/>
    <w:rsid w:val="00652665"/>
    <w:rsid w:val="006760B4"/>
    <w:rsid w:val="006842CA"/>
    <w:rsid w:val="0069648A"/>
    <w:rsid w:val="006A4D32"/>
    <w:rsid w:val="006B2441"/>
    <w:rsid w:val="006B36AF"/>
    <w:rsid w:val="006C0192"/>
    <w:rsid w:val="006C5BCE"/>
    <w:rsid w:val="006C7888"/>
    <w:rsid w:val="006D1D2F"/>
    <w:rsid w:val="006D3A94"/>
    <w:rsid w:val="006D7BB7"/>
    <w:rsid w:val="006E2EAD"/>
    <w:rsid w:val="0070261D"/>
    <w:rsid w:val="007137BE"/>
    <w:rsid w:val="007143B3"/>
    <w:rsid w:val="00717767"/>
    <w:rsid w:val="007219FC"/>
    <w:rsid w:val="0072388E"/>
    <w:rsid w:val="00724CA6"/>
    <w:rsid w:val="00732E0A"/>
    <w:rsid w:val="00741FC0"/>
    <w:rsid w:val="00743A98"/>
    <w:rsid w:val="0074544B"/>
    <w:rsid w:val="00747535"/>
    <w:rsid w:val="00756E26"/>
    <w:rsid w:val="00763AB1"/>
    <w:rsid w:val="00774263"/>
    <w:rsid w:val="00781B71"/>
    <w:rsid w:val="00797BA7"/>
    <w:rsid w:val="007B5DE6"/>
    <w:rsid w:val="007C12D5"/>
    <w:rsid w:val="007C1C2A"/>
    <w:rsid w:val="007C22DA"/>
    <w:rsid w:val="007D3009"/>
    <w:rsid w:val="007D5B9B"/>
    <w:rsid w:val="007E0360"/>
    <w:rsid w:val="007E760B"/>
    <w:rsid w:val="007F1A2D"/>
    <w:rsid w:val="007F2F54"/>
    <w:rsid w:val="0080096E"/>
    <w:rsid w:val="008043DF"/>
    <w:rsid w:val="00810F29"/>
    <w:rsid w:val="00815119"/>
    <w:rsid w:val="0082273C"/>
    <w:rsid w:val="00822BB2"/>
    <w:rsid w:val="00824CB6"/>
    <w:rsid w:val="00825047"/>
    <w:rsid w:val="008620CA"/>
    <w:rsid w:val="00865B65"/>
    <w:rsid w:val="00870D6F"/>
    <w:rsid w:val="00871E38"/>
    <w:rsid w:val="00883A0E"/>
    <w:rsid w:val="0088421D"/>
    <w:rsid w:val="00885D84"/>
    <w:rsid w:val="008901F9"/>
    <w:rsid w:val="008907A2"/>
    <w:rsid w:val="00890DB3"/>
    <w:rsid w:val="00893BDD"/>
    <w:rsid w:val="00894C26"/>
    <w:rsid w:val="008A2547"/>
    <w:rsid w:val="008A3B8C"/>
    <w:rsid w:val="008C6253"/>
    <w:rsid w:val="008D07BC"/>
    <w:rsid w:val="008E08CF"/>
    <w:rsid w:val="008E519D"/>
    <w:rsid w:val="008F4E58"/>
    <w:rsid w:val="00901333"/>
    <w:rsid w:val="00911BC2"/>
    <w:rsid w:val="009127BA"/>
    <w:rsid w:val="00914A71"/>
    <w:rsid w:val="00916E2B"/>
    <w:rsid w:val="00930169"/>
    <w:rsid w:val="0094663A"/>
    <w:rsid w:val="009466CA"/>
    <w:rsid w:val="00953B0A"/>
    <w:rsid w:val="00970F9F"/>
    <w:rsid w:val="00991AFC"/>
    <w:rsid w:val="009A2728"/>
    <w:rsid w:val="009A2A29"/>
    <w:rsid w:val="009A3211"/>
    <w:rsid w:val="009B2615"/>
    <w:rsid w:val="009B3740"/>
    <w:rsid w:val="009D3D48"/>
    <w:rsid w:val="009D57CE"/>
    <w:rsid w:val="009E1742"/>
    <w:rsid w:val="009E23E3"/>
    <w:rsid w:val="009E5497"/>
    <w:rsid w:val="009F3CA3"/>
    <w:rsid w:val="009F3CB7"/>
    <w:rsid w:val="009F707D"/>
    <w:rsid w:val="00A004DC"/>
    <w:rsid w:val="00A02204"/>
    <w:rsid w:val="00A07D2A"/>
    <w:rsid w:val="00A1573A"/>
    <w:rsid w:val="00A16607"/>
    <w:rsid w:val="00A2153B"/>
    <w:rsid w:val="00A244F3"/>
    <w:rsid w:val="00A26834"/>
    <w:rsid w:val="00A37C9A"/>
    <w:rsid w:val="00A37D1A"/>
    <w:rsid w:val="00A4069B"/>
    <w:rsid w:val="00A44F18"/>
    <w:rsid w:val="00A450E7"/>
    <w:rsid w:val="00A46D98"/>
    <w:rsid w:val="00A52D83"/>
    <w:rsid w:val="00A64194"/>
    <w:rsid w:val="00A73AFC"/>
    <w:rsid w:val="00A752E2"/>
    <w:rsid w:val="00A7732E"/>
    <w:rsid w:val="00A81179"/>
    <w:rsid w:val="00A864CF"/>
    <w:rsid w:val="00A86518"/>
    <w:rsid w:val="00A8707D"/>
    <w:rsid w:val="00A902E7"/>
    <w:rsid w:val="00AA17D9"/>
    <w:rsid w:val="00AA5A06"/>
    <w:rsid w:val="00AC3610"/>
    <w:rsid w:val="00AC7434"/>
    <w:rsid w:val="00AD7455"/>
    <w:rsid w:val="00B063E7"/>
    <w:rsid w:val="00B33E20"/>
    <w:rsid w:val="00B376D0"/>
    <w:rsid w:val="00B43AED"/>
    <w:rsid w:val="00B61548"/>
    <w:rsid w:val="00B6355B"/>
    <w:rsid w:val="00B6472A"/>
    <w:rsid w:val="00B7046E"/>
    <w:rsid w:val="00B73D8C"/>
    <w:rsid w:val="00B73F70"/>
    <w:rsid w:val="00B813C3"/>
    <w:rsid w:val="00BB54BE"/>
    <w:rsid w:val="00BC10F7"/>
    <w:rsid w:val="00BC51A8"/>
    <w:rsid w:val="00BE5024"/>
    <w:rsid w:val="00BE79C2"/>
    <w:rsid w:val="00BF41E1"/>
    <w:rsid w:val="00C033D6"/>
    <w:rsid w:val="00C11F74"/>
    <w:rsid w:val="00C12AEF"/>
    <w:rsid w:val="00C27E49"/>
    <w:rsid w:val="00C42A66"/>
    <w:rsid w:val="00C43735"/>
    <w:rsid w:val="00C52769"/>
    <w:rsid w:val="00C527F6"/>
    <w:rsid w:val="00C5356F"/>
    <w:rsid w:val="00C55CB5"/>
    <w:rsid w:val="00C566C2"/>
    <w:rsid w:val="00C82200"/>
    <w:rsid w:val="00C92208"/>
    <w:rsid w:val="00C96CF1"/>
    <w:rsid w:val="00CB1BCF"/>
    <w:rsid w:val="00CB2459"/>
    <w:rsid w:val="00CB4FDE"/>
    <w:rsid w:val="00CC0078"/>
    <w:rsid w:val="00CC0691"/>
    <w:rsid w:val="00CD255F"/>
    <w:rsid w:val="00CD77A0"/>
    <w:rsid w:val="00CE0CB6"/>
    <w:rsid w:val="00CE16AD"/>
    <w:rsid w:val="00CF4E5E"/>
    <w:rsid w:val="00CF7C93"/>
    <w:rsid w:val="00D02CE5"/>
    <w:rsid w:val="00D06CC3"/>
    <w:rsid w:val="00D11A40"/>
    <w:rsid w:val="00D124FD"/>
    <w:rsid w:val="00D15995"/>
    <w:rsid w:val="00D22F1A"/>
    <w:rsid w:val="00D272E3"/>
    <w:rsid w:val="00D3311F"/>
    <w:rsid w:val="00D505F2"/>
    <w:rsid w:val="00D55447"/>
    <w:rsid w:val="00D64765"/>
    <w:rsid w:val="00D66165"/>
    <w:rsid w:val="00D84D59"/>
    <w:rsid w:val="00D90F67"/>
    <w:rsid w:val="00DA56A6"/>
    <w:rsid w:val="00DA5D9D"/>
    <w:rsid w:val="00DB39E1"/>
    <w:rsid w:val="00DB3A3C"/>
    <w:rsid w:val="00DD1D39"/>
    <w:rsid w:val="00DD461D"/>
    <w:rsid w:val="00DD4EC5"/>
    <w:rsid w:val="00DD6F53"/>
    <w:rsid w:val="00DE3652"/>
    <w:rsid w:val="00DF0FA8"/>
    <w:rsid w:val="00E0436C"/>
    <w:rsid w:val="00E062D4"/>
    <w:rsid w:val="00E06C1E"/>
    <w:rsid w:val="00E271D5"/>
    <w:rsid w:val="00E37EE0"/>
    <w:rsid w:val="00E706AB"/>
    <w:rsid w:val="00E82A18"/>
    <w:rsid w:val="00E9052B"/>
    <w:rsid w:val="00E96A9A"/>
    <w:rsid w:val="00EA1FA4"/>
    <w:rsid w:val="00EA2D5C"/>
    <w:rsid w:val="00EB0D29"/>
    <w:rsid w:val="00EC14F4"/>
    <w:rsid w:val="00EC1950"/>
    <w:rsid w:val="00ED220A"/>
    <w:rsid w:val="00ED3192"/>
    <w:rsid w:val="00EF241E"/>
    <w:rsid w:val="00EF4BCB"/>
    <w:rsid w:val="00F11342"/>
    <w:rsid w:val="00F13DAC"/>
    <w:rsid w:val="00F16717"/>
    <w:rsid w:val="00F21CBA"/>
    <w:rsid w:val="00F25DE6"/>
    <w:rsid w:val="00F32B83"/>
    <w:rsid w:val="00F376AB"/>
    <w:rsid w:val="00F47494"/>
    <w:rsid w:val="00F47E9B"/>
    <w:rsid w:val="00F63E1F"/>
    <w:rsid w:val="00F6709F"/>
    <w:rsid w:val="00F73C60"/>
    <w:rsid w:val="00F80E75"/>
    <w:rsid w:val="00F85328"/>
    <w:rsid w:val="00F85BFA"/>
    <w:rsid w:val="00FA30AD"/>
    <w:rsid w:val="00FB016D"/>
    <w:rsid w:val="00FB4A4F"/>
    <w:rsid w:val="00FB6FF5"/>
    <w:rsid w:val="00FC202D"/>
    <w:rsid w:val="00FF261B"/>
    <w:rsid w:val="00FF31CD"/>
    <w:rsid w:val="00FF56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16468EB-59F7-49F8-90D8-0AEDB216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4"/>
      </w:numPr>
      <w:contextualSpacing/>
    </w:pPr>
    <w:rPr>
      <w:rFonts w:ascii="Times New Roman" w:eastAsia="Times New Roman" w:hAnsi="Times New Roman" w:cs="Times New Roman"/>
      <w:sz w:val="20"/>
      <w:szCs w:val="20"/>
    </w:r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70" w:type="dxa"/>
        <w:right w:w="70" w:type="dxa"/>
      </w:tblCellMar>
    </w:tblPr>
  </w:style>
  <w:style w:type="table" w:customStyle="1" w:styleId="3">
    <w:name w:val="3"/>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Default">
    <w:name w:val="Default"/>
    <w:rsid w:val="00464244"/>
    <w:pPr>
      <w:autoSpaceDE w:val="0"/>
      <w:autoSpaceDN w:val="0"/>
      <w:adjustRightInd w:val="0"/>
    </w:pPr>
    <w:rPr>
      <w:rFonts w:ascii="Arial" w:eastAsiaTheme="minorHAnsi" w:hAnsi="Arial" w:cs="Arial"/>
      <w:color w:val="00000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052728">
      <w:bodyDiv w:val="1"/>
      <w:marLeft w:val="0"/>
      <w:marRight w:val="0"/>
      <w:marTop w:val="0"/>
      <w:marBottom w:val="0"/>
      <w:divBdr>
        <w:top w:val="none" w:sz="0" w:space="0" w:color="auto"/>
        <w:left w:val="none" w:sz="0" w:space="0" w:color="auto"/>
        <w:bottom w:val="none" w:sz="0" w:space="0" w:color="auto"/>
        <w:right w:val="none" w:sz="0" w:space="0" w:color="auto"/>
      </w:divBdr>
    </w:div>
    <w:div w:id="396437303">
      <w:bodyDiv w:val="1"/>
      <w:marLeft w:val="0"/>
      <w:marRight w:val="0"/>
      <w:marTop w:val="0"/>
      <w:marBottom w:val="0"/>
      <w:divBdr>
        <w:top w:val="none" w:sz="0" w:space="0" w:color="auto"/>
        <w:left w:val="none" w:sz="0" w:space="0" w:color="auto"/>
        <w:bottom w:val="none" w:sz="0" w:space="0" w:color="auto"/>
        <w:right w:val="none" w:sz="0" w:space="0" w:color="auto"/>
      </w:divBdr>
    </w:div>
    <w:div w:id="729576601">
      <w:bodyDiv w:val="1"/>
      <w:marLeft w:val="0"/>
      <w:marRight w:val="0"/>
      <w:marTop w:val="0"/>
      <w:marBottom w:val="0"/>
      <w:divBdr>
        <w:top w:val="none" w:sz="0" w:space="0" w:color="auto"/>
        <w:left w:val="none" w:sz="0" w:space="0" w:color="auto"/>
        <w:bottom w:val="none" w:sz="0" w:space="0" w:color="auto"/>
        <w:right w:val="none" w:sz="0" w:space="0" w:color="auto"/>
      </w:divBdr>
    </w:div>
    <w:div w:id="1775317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lEw6bXI6FrR851Zr8hOTnkB4Q==">CgMxLjAyCGguZ2pkZ3hzMgloLjMwajB6bGwyCWguMWZvYjl0ZTIJaC4zem55c2g3MgloLjJldDkycDAyCGgudHlqY3d0MgloLjNkeTZ2a20yCWguMXQzaDVzZjIOaC42ZmRzeG9qaDBydTEyCGgubG54Yno5OAByITFaX044ZmN2aGpsWndCMWY5cWZNTDluZGpkNEw5alczQQ==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42</Pages>
  <Words>9790</Words>
  <Characters>53846</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8</cp:revision>
  <cp:lastPrinted>2026-03-26T21:19:00Z</cp:lastPrinted>
  <dcterms:created xsi:type="dcterms:W3CDTF">2026-03-23T17:40:00Z</dcterms:created>
  <dcterms:modified xsi:type="dcterms:W3CDTF">2026-04-08T19:42:00Z</dcterms:modified>
</cp:coreProperties>
</file>