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Cs/>
        </w:rPr>
      </w:sdtEndPr>
      <w:sdtContent>
        <w:p w14:paraId="6EB1E64E" w14:textId="002F5C6D" w:rsidR="00C4052B" w:rsidRPr="00834F49"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834F49">
            <w:rPr>
              <w:rFonts w:ascii="Palatino Linotype" w:hAnsi="Palatino Linotype"/>
              <w:color w:val="000000" w:themeColor="text1"/>
              <w:sz w:val="22"/>
              <w:szCs w:val="22"/>
              <w:lang w:val="es-ES"/>
            </w:rPr>
            <w:t xml:space="preserve">RESOLUCIÓN DEL RECURSO DE REVISIÓN </w:t>
          </w:r>
          <w:r w:rsidR="00072206" w:rsidRPr="00834F49">
            <w:rPr>
              <w:rFonts w:ascii="Palatino Linotype" w:hAnsi="Palatino Linotype"/>
              <w:color w:val="000000" w:themeColor="text1"/>
              <w:sz w:val="22"/>
              <w:szCs w:val="22"/>
            </w:rPr>
            <w:t>13411</w:t>
          </w:r>
          <w:r w:rsidR="00107B20" w:rsidRPr="00834F49">
            <w:rPr>
              <w:rFonts w:ascii="Palatino Linotype" w:hAnsi="Palatino Linotype"/>
              <w:color w:val="000000" w:themeColor="text1"/>
              <w:sz w:val="22"/>
              <w:szCs w:val="22"/>
            </w:rPr>
            <w:t>/INFOEM/IP/RR/2025</w:t>
          </w:r>
          <w:r w:rsidR="00572C64" w:rsidRPr="00834F49">
            <w:rPr>
              <w:rFonts w:ascii="Palatino Linotype" w:hAnsi="Palatino Linotype"/>
              <w:color w:val="000000" w:themeColor="text1"/>
              <w:sz w:val="22"/>
              <w:szCs w:val="22"/>
            </w:rPr>
            <w:t xml:space="preserve"> Y ACUMULADO</w:t>
          </w:r>
          <w:r w:rsidR="00652BD8" w:rsidRPr="00834F49">
            <w:rPr>
              <w:rFonts w:ascii="Palatino Linotype" w:hAnsi="Palatino Linotype"/>
              <w:color w:val="000000" w:themeColor="text1"/>
              <w:sz w:val="22"/>
              <w:szCs w:val="22"/>
            </w:rPr>
            <w:t>S</w:t>
          </w:r>
        </w:p>
        <w:p w14:paraId="39DD2B22" w14:textId="77777777" w:rsidR="00C4052B" w:rsidRPr="00834F49" w:rsidRDefault="00C4052B" w:rsidP="002335E7">
          <w:pPr>
            <w:spacing w:after="0" w:line="360" w:lineRule="auto"/>
            <w:contextualSpacing/>
          </w:pPr>
        </w:p>
        <w:p w14:paraId="6013C35E" w14:textId="77777777" w:rsidR="0022173D" w:rsidRDefault="00C4052B">
          <w:pPr>
            <w:pStyle w:val="TDC1"/>
            <w:tabs>
              <w:tab w:val="right" w:leader="dot" w:pos="8921"/>
            </w:tabs>
            <w:rPr>
              <w:rFonts w:asciiTheme="minorHAnsi" w:eastAsiaTheme="minorEastAsia" w:hAnsiTheme="minorHAnsi" w:cstheme="minorBidi"/>
              <w:noProof/>
              <w:color w:val="auto"/>
            </w:rPr>
          </w:pPr>
          <w:r w:rsidRPr="00834F49">
            <w:fldChar w:fldCharType="begin"/>
          </w:r>
          <w:r w:rsidRPr="00834F49">
            <w:instrText xml:space="preserve"> TOC \o "1-3" \h \z \u </w:instrText>
          </w:r>
          <w:r w:rsidRPr="00834F49">
            <w:fldChar w:fldCharType="separate"/>
          </w:r>
          <w:hyperlink w:anchor="_Toc219388543" w:history="1">
            <w:r w:rsidR="0022173D" w:rsidRPr="008723B2">
              <w:rPr>
                <w:rStyle w:val="Hipervnculo"/>
                <w:noProof/>
              </w:rPr>
              <w:t>A N T E C E D E N T E S</w:t>
            </w:r>
            <w:r w:rsidR="0022173D">
              <w:rPr>
                <w:noProof/>
                <w:webHidden/>
              </w:rPr>
              <w:tab/>
            </w:r>
            <w:r w:rsidR="0022173D">
              <w:rPr>
                <w:noProof/>
                <w:webHidden/>
              </w:rPr>
              <w:fldChar w:fldCharType="begin"/>
            </w:r>
            <w:r w:rsidR="0022173D">
              <w:rPr>
                <w:noProof/>
                <w:webHidden/>
              </w:rPr>
              <w:instrText xml:space="preserve"> PAGEREF _Toc219388543 \h </w:instrText>
            </w:r>
            <w:r w:rsidR="0022173D">
              <w:rPr>
                <w:noProof/>
                <w:webHidden/>
              </w:rPr>
            </w:r>
            <w:r w:rsidR="0022173D">
              <w:rPr>
                <w:noProof/>
                <w:webHidden/>
              </w:rPr>
              <w:fldChar w:fldCharType="separate"/>
            </w:r>
            <w:r w:rsidR="00306402">
              <w:rPr>
                <w:noProof/>
                <w:webHidden/>
              </w:rPr>
              <w:t>2</w:t>
            </w:r>
            <w:r w:rsidR="0022173D">
              <w:rPr>
                <w:noProof/>
                <w:webHidden/>
              </w:rPr>
              <w:fldChar w:fldCharType="end"/>
            </w:r>
          </w:hyperlink>
        </w:p>
        <w:p w14:paraId="713AE867" w14:textId="77777777" w:rsidR="0022173D" w:rsidRDefault="00F3746F">
          <w:pPr>
            <w:pStyle w:val="TDC2"/>
            <w:rPr>
              <w:rFonts w:asciiTheme="minorHAnsi" w:eastAsiaTheme="minorEastAsia" w:hAnsiTheme="minorHAnsi" w:cstheme="minorBidi"/>
              <w:color w:val="auto"/>
              <w:lang w:eastAsia="es-MX"/>
            </w:rPr>
          </w:pPr>
          <w:hyperlink w:anchor="_Toc219388544" w:history="1">
            <w:r w:rsidR="0022173D" w:rsidRPr="008723B2">
              <w:rPr>
                <w:rStyle w:val="Hipervnculo"/>
              </w:rPr>
              <w:t>I. Presentación de la solicitud de información</w:t>
            </w:r>
            <w:r w:rsidR="0022173D">
              <w:rPr>
                <w:webHidden/>
              </w:rPr>
              <w:tab/>
            </w:r>
            <w:r w:rsidR="0022173D">
              <w:rPr>
                <w:webHidden/>
              </w:rPr>
              <w:fldChar w:fldCharType="begin"/>
            </w:r>
            <w:r w:rsidR="0022173D">
              <w:rPr>
                <w:webHidden/>
              </w:rPr>
              <w:instrText xml:space="preserve"> PAGEREF _Toc219388544 \h </w:instrText>
            </w:r>
            <w:r w:rsidR="0022173D">
              <w:rPr>
                <w:webHidden/>
              </w:rPr>
            </w:r>
            <w:r w:rsidR="0022173D">
              <w:rPr>
                <w:webHidden/>
              </w:rPr>
              <w:fldChar w:fldCharType="separate"/>
            </w:r>
            <w:r w:rsidR="00306402">
              <w:rPr>
                <w:webHidden/>
              </w:rPr>
              <w:t>2</w:t>
            </w:r>
            <w:r w:rsidR="0022173D">
              <w:rPr>
                <w:webHidden/>
              </w:rPr>
              <w:fldChar w:fldCharType="end"/>
            </w:r>
          </w:hyperlink>
        </w:p>
        <w:p w14:paraId="7BF2AFE6" w14:textId="77777777" w:rsidR="0022173D" w:rsidRDefault="00F3746F">
          <w:pPr>
            <w:pStyle w:val="TDC2"/>
            <w:rPr>
              <w:rFonts w:asciiTheme="minorHAnsi" w:eastAsiaTheme="minorEastAsia" w:hAnsiTheme="minorHAnsi" w:cstheme="minorBidi"/>
              <w:color w:val="auto"/>
              <w:lang w:eastAsia="es-MX"/>
            </w:rPr>
          </w:pPr>
          <w:hyperlink w:anchor="_Toc219388545" w:history="1">
            <w:r w:rsidR="0022173D" w:rsidRPr="008723B2">
              <w:rPr>
                <w:rStyle w:val="Hipervnculo"/>
              </w:rPr>
              <w:t>II. Respuestas del Sujeto Obligado</w:t>
            </w:r>
            <w:r w:rsidR="0022173D">
              <w:rPr>
                <w:webHidden/>
              </w:rPr>
              <w:tab/>
            </w:r>
            <w:r w:rsidR="0022173D">
              <w:rPr>
                <w:webHidden/>
              </w:rPr>
              <w:fldChar w:fldCharType="begin"/>
            </w:r>
            <w:r w:rsidR="0022173D">
              <w:rPr>
                <w:webHidden/>
              </w:rPr>
              <w:instrText xml:space="preserve"> PAGEREF _Toc219388545 \h </w:instrText>
            </w:r>
            <w:r w:rsidR="0022173D">
              <w:rPr>
                <w:webHidden/>
              </w:rPr>
            </w:r>
            <w:r w:rsidR="0022173D">
              <w:rPr>
                <w:webHidden/>
              </w:rPr>
              <w:fldChar w:fldCharType="separate"/>
            </w:r>
            <w:r w:rsidR="00306402">
              <w:rPr>
                <w:webHidden/>
              </w:rPr>
              <w:t>3</w:t>
            </w:r>
            <w:r w:rsidR="0022173D">
              <w:rPr>
                <w:webHidden/>
              </w:rPr>
              <w:fldChar w:fldCharType="end"/>
            </w:r>
          </w:hyperlink>
        </w:p>
        <w:p w14:paraId="28530DC2" w14:textId="77777777" w:rsidR="0022173D" w:rsidRDefault="00F3746F">
          <w:pPr>
            <w:pStyle w:val="TDC2"/>
            <w:rPr>
              <w:rFonts w:asciiTheme="minorHAnsi" w:eastAsiaTheme="minorEastAsia" w:hAnsiTheme="minorHAnsi" w:cstheme="minorBidi"/>
              <w:color w:val="auto"/>
              <w:lang w:eastAsia="es-MX"/>
            </w:rPr>
          </w:pPr>
          <w:hyperlink w:anchor="_Toc219388546" w:history="1">
            <w:r w:rsidR="0022173D" w:rsidRPr="008723B2">
              <w:rPr>
                <w:rStyle w:val="Hipervnculo"/>
              </w:rPr>
              <w:t>III. Interposición del Recurso de Revisión</w:t>
            </w:r>
            <w:r w:rsidR="0022173D">
              <w:rPr>
                <w:webHidden/>
              </w:rPr>
              <w:tab/>
            </w:r>
            <w:r w:rsidR="0022173D">
              <w:rPr>
                <w:webHidden/>
              </w:rPr>
              <w:fldChar w:fldCharType="begin"/>
            </w:r>
            <w:r w:rsidR="0022173D">
              <w:rPr>
                <w:webHidden/>
              </w:rPr>
              <w:instrText xml:space="preserve"> PAGEREF _Toc219388546 \h </w:instrText>
            </w:r>
            <w:r w:rsidR="0022173D">
              <w:rPr>
                <w:webHidden/>
              </w:rPr>
            </w:r>
            <w:r w:rsidR="0022173D">
              <w:rPr>
                <w:webHidden/>
              </w:rPr>
              <w:fldChar w:fldCharType="separate"/>
            </w:r>
            <w:r w:rsidR="00306402">
              <w:rPr>
                <w:webHidden/>
              </w:rPr>
              <w:t>4</w:t>
            </w:r>
            <w:r w:rsidR="0022173D">
              <w:rPr>
                <w:webHidden/>
              </w:rPr>
              <w:fldChar w:fldCharType="end"/>
            </w:r>
          </w:hyperlink>
        </w:p>
        <w:p w14:paraId="1543810E" w14:textId="77777777" w:rsidR="0022173D" w:rsidRDefault="00F3746F">
          <w:pPr>
            <w:pStyle w:val="TDC2"/>
            <w:rPr>
              <w:rFonts w:asciiTheme="minorHAnsi" w:eastAsiaTheme="minorEastAsia" w:hAnsiTheme="minorHAnsi" w:cstheme="minorBidi"/>
              <w:color w:val="auto"/>
              <w:lang w:eastAsia="es-MX"/>
            </w:rPr>
          </w:pPr>
          <w:hyperlink w:anchor="_Toc219388547" w:history="1">
            <w:r w:rsidR="0022173D" w:rsidRPr="008723B2">
              <w:rPr>
                <w:rStyle w:val="Hipervnculo"/>
              </w:rPr>
              <w:t>IV. Trámite de los Recursos de Revisión ante este Instituto</w:t>
            </w:r>
            <w:r w:rsidR="0022173D">
              <w:rPr>
                <w:webHidden/>
              </w:rPr>
              <w:tab/>
            </w:r>
            <w:r w:rsidR="0022173D">
              <w:rPr>
                <w:webHidden/>
              </w:rPr>
              <w:fldChar w:fldCharType="begin"/>
            </w:r>
            <w:r w:rsidR="0022173D">
              <w:rPr>
                <w:webHidden/>
              </w:rPr>
              <w:instrText xml:space="preserve"> PAGEREF _Toc219388547 \h </w:instrText>
            </w:r>
            <w:r w:rsidR="0022173D">
              <w:rPr>
                <w:webHidden/>
              </w:rPr>
            </w:r>
            <w:r w:rsidR="0022173D">
              <w:rPr>
                <w:webHidden/>
              </w:rPr>
              <w:fldChar w:fldCharType="separate"/>
            </w:r>
            <w:r w:rsidR="00306402">
              <w:rPr>
                <w:webHidden/>
              </w:rPr>
              <w:t>9</w:t>
            </w:r>
            <w:r w:rsidR="0022173D">
              <w:rPr>
                <w:webHidden/>
              </w:rPr>
              <w:fldChar w:fldCharType="end"/>
            </w:r>
          </w:hyperlink>
        </w:p>
        <w:p w14:paraId="59BAA4B1" w14:textId="77777777" w:rsidR="0022173D" w:rsidRDefault="00F3746F">
          <w:pPr>
            <w:pStyle w:val="TDC1"/>
            <w:tabs>
              <w:tab w:val="right" w:leader="dot" w:pos="8921"/>
            </w:tabs>
            <w:rPr>
              <w:rFonts w:asciiTheme="minorHAnsi" w:eastAsiaTheme="minorEastAsia" w:hAnsiTheme="minorHAnsi" w:cstheme="minorBidi"/>
              <w:noProof/>
              <w:color w:val="auto"/>
            </w:rPr>
          </w:pPr>
          <w:hyperlink w:anchor="_Toc219388548" w:history="1">
            <w:r w:rsidR="0022173D" w:rsidRPr="008723B2">
              <w:rPr>
                <w:rStyle w:val="Hipervnculo"/>
                <w:noProof/>
              </w:rPr>
              <w:t>C O N S I D E R A N D O S</w:t>
            </w:r>
            <w:r w:rsidR="0022173D">
              <w:rPr>
                <w:noProof/>
                <w:webHidden/>
              </w:rPr>
              <w:tab/>
            </w:r>
            <w:r w:rsidR="0022173D">
              <w:rPr>
                <w:noProof/>
                <w:webHidden/>
              </w:rPr>
              <w:fldChar w:fldCharType="begin"/>
            </w:r>
            <w:r w:rsidR="0022173D">
              <w:rPr>
                <w:noProof/>
                <w:webHidden/>
              </w:rPr>
              <w:instrText xml:space="preserve"> PAGEREF _Toc219388548 \h </w:instrText>
            </w:r>
            <w:r w:rsidR="0022173D">
              <w:rPr>
                <w:noProof/>
                <w:webHidden/>
              </w:rPr>
            </w:r>
            <w:r w:rsidR="0022173D">
              <w:rPr>
                <w:noProof/>
                <w:webHidden/>
              </w:rPr>
              <w:fldChar w:fldCharType="separate"/>
            </w:r>
            <w:r w:rsidR="00306402">
              <w:rPr>
                <w:noProof/>
                <w:webHidden/>
              </w:rPr>
              <w:t>10</w:t>
            </w:r>
            <w:r w:rsidR="0022173D">
              <w:rPr>
                <w:noProof/>
                <w:webHidden/>
              </w:rPr>
              <w:fldChar w:fldCharType="end"/>
            </w:r>
          </w:hyperlink>
        </w:p>
        <w:p w14:paraId="684CF363" w14:textId="77777777" w:rsidR="0022173D" w:rsidRDefault="00F3746F">
          <w:pPr>
            <w:pStyle w:val="TDC2"/>
            <w:rPr>
              <w:rFonts w:asciiTheme="minorHAnsi" w:eastAsiaTheme="minorEastAsia" w:hAnsiTheme="minorHAnsi" w:cstheme="minorBidi"/>
              <w:color w:val="auto"/>
              <w:lang w:eastAsia="es-MX"/>
            </w:rPr>
          </w:pPr>
          <w:hyperlink w:anchor="_Toc219388549" w:history="1">
            <w:r w:rsidR="0022173D" w:rsidRPr="008723B2">
              <w:rPr>
                <w:rStyle w:val="Hipervnculo"/>
              </w:rPr>
              <w:t>PRIMERO. Competencia</w:t>
            </w:r>
            <w:r w:rsidR="0022173D">
              <w:rPr>
                <w:webHidden/>
              </w:rPr>
              <w:tab/>
            </w:r>
            <w:r w:rsidR="0022173D">
              <w:rPr>
                <w:webHidden/>
              </w:rPr>
              <w:fldChar w:fldCharType="begin"/>
            </w:r>
            <w:r w:rsidR="0022173D">
              <w:rPr>
                <w:webHidden/>
              </w:rPr>
              <w:instrText xml:space="preserve"> PAGEREF _Toc219388549 \h </w:instrText>
            </w:r>
            <w:r w:rsidR="0022173D">
              <w:rPr>
                <w:webHidden/>
              </w:rPr>
            </w:r>
            <w:r w:rsidR="0022173D">
              <w:rPr>
                <w:webHidden/>
              </w:rPr>
              <w:fldChar w:fldCharType="separate"/>
            </w:r>
            <w:r w:rsidR="00306402">
              <w:rPr>
                <w:webHidden/>
              </w:rPr>
              <w:t>10</w:t>
            </w:r>
            <w:r w:rsidR="0022173D">
              <w:rPr>
                <w:webHidden/>
              </w:rPr>
              <w:fldChar w:fldCharType="end"/>
            </w:r>
          </w:hyperlink>
        </w:p>
        <w:p w14:paraId="6B221C0A" w14:textId="77777777" w:rsidR="0022173D" w:rsidRDefault="00F3746F">
          <w:pPr>
            <w:pStyle w:val="TDC2"/>
            <w:rPr>
              <w:rFonts w:asciiTheme="minorHAnsi" w:eastAsiaTheme="minorEastAsia" w:hAnsiTheme="minorHAnsi" w:cstheme="minorBidi"/>
              <w:color w:val="auto"/>
              <w:lang w:eastAsia="es-MX"/>
            </w:rPr>
          </w:pPr>
          <w:hyperlink w:anchor="_Toc219388550" w:history="1">
            <w:r w:rsidR="0022173D" w:rsidRPr="008723B2">
              <w:rPr>
                <w:rStyle w:val="Hipervnculo"/>
              </w:rPr>
              <w:t>SEGUNDO. Causales de improcedencia y sobreseimiento</w:t>
            </w:r>
            <w:r w:rsidR="0022173D">
              <w:rPr>
                <w:webHidden/>
              </w:rPr>
              <w:tab/>
            </w:r>
            <w:r w:rsidR="0022173D">
              <w:rPr>
                <w:webHidden/>
              </w:rPr>
              <w:fldChar w:fldCharType="begin"/>
            </w:r>
            <w:r w:rsidR="0022173D">
              <w:rPr>
                <w:webHidden/>
              </w:rPr>
              <w:instrText xml:space="preserve"> PAGEREF _Toc219388550 \h </w:instrText>
            </w:r>
            <w:r w:rsidR="0022173D">
              <w:rPr>
                <w:webHidden/>
              </w:rPr>
            </w:r>
            <w:r w:rsidR="0022173D">
              <w:rPr>
                <w:webHidden/>
              </w:rPr>
              <w:fldChar w:fldCharType="separate"/>
            </w:r>
            <w:r w:rsidR="00306402">
              <w:rPr>
                <w:webHidden/>
              </w:rPr>
              <w:t>11</w:t>
            </w:r>
            <w:r w:rsidR="0022173D">
              <w:rPr>
                <w:webHidden/>
              </w:rPr>
              <w:fldChar w:fldCharType="end"/>
            </w:r>
          </w:hyperlink>
        </w:p>
        <w:p w14:paraId="169AAE3C" w14:textId="77777777" w:rsidR="0022173D" w:rsidRDefault="00F3746F">
          <w:pPr>
            <w:pStyle w:val="TDC2"/>
            <w:rPr>
              <w:rFonts w:asciiTheme="minorHAnsi" w:eastAsiaTheme="minorEastAsia" w:hAnsiTheme="minorHAnsi" w:cstheme="minorBidi"/>
              <w:color w:val="auto"/>
              <w:lang w:eastAsia="es-MX"/>
            </w:rPr>
          </w:pPr>
          <w:hyperlink w:anchor="_Toc219388551" w:history="1">
            <w:r w:rsidR="0022173D" w:rsidRPr="008723B2">
              <w:rPr>
                <w:rStyle w:val="Hipervnculo"/>
              </w:rPr>
              <w:t>TERCERO. Determinación de la Controversia</w:t>
            </w:r>
            <w:r w:rsidR="0022173D">
              <w:rPr>
                <w:webHidden/>
              </w:rPr>
              <w:tab/>
            </w:r>
            <w:r w:rsidR="0022173D">
              <w:rPr>
                <w:webHidden/>
              </w:rPr>
              <w:fldChar w:fldCharType="begin"/>
            </w:r>
            <w:r w:rsidR="0022173D">
              <w:rPr>
                <w:webHidden/>
              </w:rPr>
              <w:instrText xml:space="preserve"> PAGEREF _Toc219388551 \h </w:instrText>
            </w:r>
            <w:r w:rsidR="0022173D">
              <w:rPr>
                <w:webHidden/>
              </w:rPr>
            </w:r>
            <w:r w:rsidR="0022173D">
              <w:rPr>
                <w:webHidden/>
              </w:rPr>
              <w:fldChar w:fldCharType="separate"/>
            </w:r>
            <w:r w:rsidR="00306402">
              <w:rPr>
                <w:webHidden/>
              </w:rPr>
              <w:t>13</w:t>
            </w:r>
            <w:r w:rsidR="0022173D">
              <w:rPr>
                <w:webHidden/>
              </w:rPr>
              <w:fldChar w:fldCharType="end"/>
            </w:r>
          </w:hyperlink>
        </w:p>
        <w:p w14:paraId="471AFE5A" w14:textId="77777777" w:rsidR="0022173D" w:rsidRDefault="00F3746F">
          <w:pPr>
            <w:pStyle w:val="TDC2"/>
            <w:rPr>
              <w:rFonts w:asciiTheme="minorHAnsi" w:eastAsiaTheme="minorEastAsia" w:hAnsiTheme="minorHAnsi" w:cstheme="minorBidi"/>
              <w:color w:val="auto"/>
              <w:lang w:eastAsia="es-MX"/>
            </w:rPr>
          </w:pPr>
          <w:hyperlink w:anchor="_Toc219388552" w:history="1">
            <w:r w:rsidR="0022173D" w:rsidRPr="008723B2">
              <w:rPr>
                <w:rStyle w:val="Hipervnculo"/>
              </w:rPr>
              <w:t>CUARTO. Marco normativo aplicable en materia de transparencia y acceso a la información pública</w:t>
            </w:r>
            <w:r w:rsidR="0022173D">
              <w:rPr>
                <w:webHidden/>
              </w:rPr>
              <w:tab/>
            </w:r>
            <w:r w:rsidR="0022173D">
              <w:rPr>
                <w:webHidden/>
              </w:rPr>
              <w:fldChar w:fldCharType="begin"/>
            </w:r>
            <w:r w:rsidR="0022173D">
              <w:rPr>
                <w:webHidden/>
              </w:rPr>
              <w:instrText xml:space="preserve"> PAGEREF _Toc219388552 \h </w:instrText>
            </w:r>
            <w:r w:rsidR="0022173D">
              <w:rPr>
                <w:webHidden/>
              </w:rPr>
            </w:r>
            <w:r w:rsidR="0022173D">
              <w:rPr>
                <w:webHidden/>
              </w:rPr>
              <w:fldChar w:fldCharType="separate"/>
            </w:r>
            <w:r w:rsidR="00306402">
              <w:rPr>
                <w:webHidden/>
              </w:rPr>
              <w:t>13</w:t>
            </w:r>
            <w:r w:rsidR="0022173D">
              <w:rPr>
                <w:webHidden/>
              </w:rPr>
              <w:fldChar w:fldCharType="end"/>
            </w:r>
          </w:hyperlink>
        </w:p>
        <w:p w14:paraId="719C9244" w14:textId="77777777" w:rsidR="0022173D" w:rsidRDefault="00F3746F">
          <w:pPr>
            <w:pStyle w:val="TDC2"/>
            <w:rPr>
              <w:rFonts w:asciiTheme="minorHAnsi" w:eastAsiaTheme="minorEastAsia" w:hAnsiTheme="minorHAnsi" w:cstheme="minorBidi"/>
              <w:color w:val="auto"/>
              <w:lang w:eastAsia="es-MX"/>
            </w:rPr>
          </w:pPr>
          <w:hyperlink w:anchor="_Toc219388553" w:history="1">
            <w:r w:rsidR="0022173D" w:rsidRPr="008723B2">
              <w:rPr>
                <w:rStyle w:val="Hipervnculo"/>
              </w:rPr>
              <w:t>QUINTO. Estudio de Fondo</w:t>
            </w:r>
            <w:r w:rsidR="0022173D">
              <w:rPr>
                <w:webHidden/>
              </w:rPr>
              <w:tab/>
            </w:r>
            <w:r w:rsidR="0022173D">
              <w:rPr>
                <w:webHidden/>
              </w:rPr>
              <w:fldChar w:fldCharType="begin"/>
            </w:r>
            <w:r w:rsidR="0022173D">
              <w:rPr>
                <w:webHidden/>
              </w:rPr>
              <w:instrText xml:space="preserve"> PAGEREF _Toc219388553 \h </w:instrText>
            </w:r>
            <w:r w:rsidR="0022173D">
              <w:rPr>
                <w:webHidden/>
              </w:rPr>
            </w:r>
            <w:r w:rsidR="0022173D">
              <w:rPr>
                <w:webHidden/>
              </w:rPr>
              <w:fldChar w:fldCharType="separate"/>
            </w:r>
            <w:r w:rsidR="00306402">
              <w:rPr>
                <w:webHidden/>
              </w:rPr>
              <w:t>14</w:t>
            </w:r>
            <w:r w:rsidR="0022173D">
              <w:rPr>
                <w:webHidden/>
              </w:rPr>
              <w:fldChar w:fldCharType="end"/>
            </w:r>
          </w:hyperlink>
        </w:p>
        <w:p w14:paraId="1EA43729" w14:textId="77777777" w:rsidR="0022173D" w:rsidRDefault="00F3746F">
          <w:pPr>
            <w:pStyle w:val="TDC2"/>
            <w:rPr>
              <w:rFonts w:asciiTheme="minorHAnsi" w:eastAsiaTheme="minorEastAsia" w:hAnsiTheme="minorHAnsi" w:cstheme="minorBidi"/>
              <w:color w:val="auto"/>
              <w:lang w:eastAsia="es-MX"/>
            </w:rPr>
          </w:pPr>
          <w:hyperlink w:anchor="_Toc219388554" w:history="1">
            <w:r w:rsidR="0022173D" w:rsidRPr="008723B2">
              <w:rPr>
                <w:rStyle w:val="Hipervnculo"/>
              </w:rPr>
              <w:t>SEXTO. Decisión</w:t>
            </w:r>
            <w:r w:rsidR="0022173D">
              <w:rPr>
                <w:webHidden/>
              </w:rPr>
              <w:tab/>
            </w:r>
            <w:r w:rsidR="0022173D">
              <w:rPr>
                <w:webHidden/>
              </w:rPr>
              <w:fldChar w:fldCharType="begin"/>
            </w:r>
            <w:r w:rsidR="0022173D">
              <w:rPr>
                <w:webHidden/>
              </w:rPr>
              <w:instrText xml:space="preserve"> PAGEREF _Toc219388554 \h </w:instrText>
            </w:r>
            <w:r w:rsidR="0022173D">
              <w:rPr>
                <w:webHidden/>
              </w:rPr>
            </w:r>
            <w:r w:rsidR="0022173D">
              <w:rPr>
                <w:webHidden/>
              </w:rPr>
              <w:fldChar w:fldCharType="separate"/>
            </w:r>
            <w:r w:rsidR="00306402">
              <w:rPr>
                <w:webHidden/>
              </w:rPr>
              <w:t>20</w:t>
            </w:r>
            <w:r w:rsidR="0022173D">
              <w:rPr>
                <w:webHidden/>
              </w:rPr>
              <w:fldChar w:fldCharType="end"/>
            </w:r>
          </w:hyperlink>
        </w:p>
        <w:p w14:paraId="1CE4EE7F" w14:textId="77777777" w:rsidR="0022173D" w:rsidRDefault="00F3746F">
          <w:pPr>
            <w:pStyle w:val="TDC2"/>
            <w:rPr>
              <w:rFonts w:asciiTheme="minorHAnsi" w:eastAsiaTheme="minorEastAsia" w:hAnsiTheme="minorHAnsi" w:cstheme="minorBidi"/>
              <w:color w:val="auto"/>
              <w:lang w:eastAsia="es-MX"/>
            </w:rPr>
          </w:pPr>
          <w:hyperlink w:anchor="_Toc219388555" w:history="1">
            <w:r w:rsidR="0022173D" w:rsidRPr="008723B2">
              <w:rPr>
                <w:rStyle w:val="Hipervnculo"/>
                <w:b/>
              </w:rPr>
              <w:t>SÉPTIMO. Vista a la Secretaría</w:t>
            </w:r>
            <w:r w:rsidR="0022173D" w:rsidRPr="008723B2">
              <w:rPr>
                <w:rStyle w:val="Hipervnculo"/>
                <w:b/>
                <w:lang w:val="x-none"/>
              </w:rPr>
              <w:t xml:space="preserve"> Técnica del </w:t>
            </w:r>
            <w:r w:rsidR="0022173D" w:rsidRPr="008723B2">
              <w:rPr>
                <w:rStyle w:val="Hipervnculo"/>
                <w:b/>
              </w:rPr>
              <w:t>Pleno</w:t>
            </w:r>
            <w:r w:rsidR="0022173D">
              <w:rPr>
                <w:webHidden/>
              </w:rPr>
              <w:tab/>
            </w:r>
            <w:r w:rsidR="0022173D">
              <w:rPr>
                <w:webHidden/>
              </w:rPr>
              <w:fldChar w:fldCharType="begin"/>
            </w:r>
            <w:r w:rsidR="0022173D">
              <w:rPr>
                <w:webHidden/>
              </w:rPr>
              <w:instrText xml:space="preserve"> PAGEREF _Toc219388555 \h </w:instrText>
            </w:r>
            <w:r w:rsidR="0022173D">
              <w:rPr>
                <w:webHidden/>
              </w:rPr>
            </w:r>
            <w:r w:rsidR="0022173D">
              <w:rPr>
                <w:webHidden/>
              </w:rPr>
              <w:fldChar w:fldCharType="separate"/>
            </w:r>
            <w:r w:rsidR="00306402">
              <w:rPr>
                <w:webHidden/>
              </w:rPr>
              <w:t>20</w:t>
            </w:r>
            <w:r w:rsidR="0022173D">
              <w:rPr>
                <w:webHidden/>
              </w:rPr>
              <w:fldChar w:fldCharType="end"/>
            </w:r>
          </w:hyperlink>
        </w:p>
        <w:p w14:paraId="159E465F" w14:textId="77777777" w:rsidR="0022173D" w:rsidRDefault="00F3746F">
          <w:pPr>
            <w:pStyle w:val="TDC1"/>
            <w:tabs>
              <w:tab w:val="right" w:leader="dot" w:pos="8921"/>
            </w:tabs>
            <w:rPr>
              <w:rFonts w:asciiTheme="minorHAnsi" w:eastAsiaTheme="minorEastAsia" w:hAnsiTheme="minorHAnsi" w:cstheme="minorBidi"/>
              <w:noProof/>
              <w:color w:val="auto"/>
            </w:rPr>
          </w:pPr>
          <w:hyperlink w:anchor="_Toc219388556" w:history="1">
            <w:r w:rsidR="0022173D" w:rsidRPr="008723B2">
              <w:rPr>
                <w:rStyle w:val="Hipervnculo"/>
                <w:rFonts w:eastAsia="Yu Gothic Light" w:cs="Times New Roman"/>
                <w:b/>
                <w:noProof/>
                <w:lang w:eastAsia="es-ES"/>
              </w:rPr>
              <w:t>R E S U E L V E</w:t>
            </w:r>
            <w:r w:rsidR="0022173D">
              <w:rPr>
                <w:noProof/>
                <w:webHidden/>
              </w:rPr>
              <w:tab/>
            </w:r>
            <w:r w:rsidR="0022173D">
              <w:rPr>
                <w:noProof/>
                <w:webHidden/>
              </w:rPr>
              <w:fldChar w:fldCharType="begin"/>
            </w:r>
            <w:r w:rsidR="0022173D">
              <w:rPr>
                <w:noProof/>
                <w:webHidden/>
              </w:rPr>
              <w:instrText xml:space="preserve"> PAGEREF _Toc219388556 \h </w:instrText>
            </w:r>
            <w:r w:rsidR="0022173D">
              <w:rPr>
                <w:noProof/>
                <w:webHidden/>
              </w:rPr>
            </w:r>
            <w:r w:rsidR="0022173D">
              <w:rPr>
                <w:noProof/>
                <w:webHidden/>
              </w:rPr>
              <w:fldChar w:fldCharType="separate"/>
            </w:r>
            <w:r w:rsidR="00306402">
              <w:rPr>
                <w:noProof/>
                <w:webHidden/>
              </w:rPr>
              <w:t>22</w:t>
            </w:r>
            <w:r w:rsidR="0022173D">
              <w:rPr>
                <w:noProof/>
                <w:webHidden/>
              </w:rPr>
              <w:fldChar w:fldCharType="end"/>
            </w:r>
          </w:hyperlink>
        </w:p>
        <w:p w14:paraId="1307D060" w14:textId="77777777" w:rsidR="00C4052B" w:rsidRPr="00834F49" w:rsidRDefault="00C4052B" w:rsidP="002335E7">
          <w:pPr>
            <w:spacing w:after="0" w:line="360" w:lineRule="auto"/>
            <w:contextualSpacing/>
          </w:pPr>
          <w:r w:rsidRPr="00834F49">
            <w:rPr>
              <w:bCs/>
              <w:lang w:val="es-ES"/>
            </w:rPr>
            <w:fldChar w:fldCharType="end"/>
          </w:r>
        </w:p>
      </w:sdtContent>
    </w:sdt>
    <w:p w14:paraId="2DD1AA19" w14:textId="77777777" w:rsidR="00C4052B" w:rsidRPr="00834F49" w:rsidRDefault="00C4052B" w:rsidP="002335E7">
      <w:pPr>
        <w:tabs>
          <w:tab w:val="left" w:pos="8931"/>
        </w:tabs>
        <w:spacing w:after="0" w:line="360" w:lineRule="auto"/>
        <w:contextualSpacing/>
      </w:pPr>
    </w:p>
    <w:p w14:paraId="5F7755E6" w14:textId="77777777" w:rsidR="00D05FA6" w:rsidRPr="00834F49" w:rsidRDefault="00D05FA6" w:rsidP="002335E7">
      <w:pPr>
        <w:spacing w:line="259" w:lineRule="auto"/>
        <w:contextualSpacing/>
      </w:pPr>
      <w:r w:rsidRPr="00834F49">
        <w:br w:type="page"/>
      </w:r>
    </w:p>
    <w:p w14:paraId="7CAF674D" w14:textId="77777777" w:rsidR="00072206" w:rsidRDefault="00072206" w:rsidP="002335E7">
      <w:pPr>
        <w:tabs>
          <w:tab w:val="left" w:pos="8931"/>
        </w:tabs>
        <w:spacing w:after="0" w:line="360" w:lineRule="auto"/>
        <w:contextualSpacing/>
      </w:pPr>
    </w:p>
    <w:p w14:paraId="00274A13" w14:textId="5F1FBE83" w:rsidR="005C690F" w:rsidRPr="00D05FA6" w:rsidRDefault="007D6307" w:rsidP="002335E7">
      <w:pPr>
        <w:tabs>
          <w:tab w:val="left" w:pos="8931"/>
        </w:tabs>
        <w:spacing w:after="0" w:line="360" w:lineRule="auto"/>
        <w:contextualSpacing/>
      </w:pPr>
      <w:r w:rsidRPr="00D05FA6">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652BD8">
        <w:t>catorce de enero</w:t>
      </w:r>
      <w:r w:rsidR="00530177" w:rsidRPr="00D05FA6">
        <w:t xml:space="preserve"> de dos mil </w:t>
      </w:r>
      <w:r w:rsidR="00652BD8">
        <w:t>veintiséis</w:t>
      </w:r>
      <w:r w:rsidR="00530177" w:rsidRPr="00D05FA6">
        <w:t>.</w:t>
      </w:r>
    </w:p>
    <w:p w14:paraId="7E51757E" w14:textId="77777777" w:rsidR="005C690F" w:rsidRPr="00D05FA6" w:rsidRDefault="005C690F" w:rsidP="002335E7">
      <w:pPr>
        <w:spacing w:after="0" w:line="360" w:lineRule="auto"/>
        <w:contextualSpacing/>
        <w:rPr>
          <w:b/>
        </w:rPr>
      </w:pPr>
    </w:p>
    <w:p w14:paraId="161564A1" w14:textId="14A5F37A" w:rsidR="00426C03" w:rsidRPr="00D05FA6" w:rsidRDefault="00426C03" w:rsidP="002335E7">
      <w:pPr>
        <w:spacing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072206">
        <w:rPr>
          <w:rFonts w:cs="Tahoma"/>
          <w:b/>
          <w:bCs/>
        </w:rPr>
        <w:t>13411</w:t>
      </w:r>
      <w:r w:rsidRPr="00D05FA6">
        <w:rPr>
          <w:rFonts w:eastAsia="Calibri" w:cs="Tahoma"/>
          <w:b/>
          <w:lang w:eastAsia="en-US"/>
        </w:rPr>
        <w:t xml:space="preserve">/INFOEM/IP/RR/2025 </w:t>
      </w:r>
      <w:r w:rsidR="00072206">
        <w:rPr>
          <w:rFonts w:cs="Tahoma"/>
          <w:b/>
          <w:bCs/>
          <w:color w:val="0D0D0D" w:themeColor="text1" w:themeTint="F2"/>
        </w:rPr>
        <w:t>13416</w:t>
      </w:r>
      <w:r w:rsidR="00652BD8" w:rsidRPr="00123222">
        <w:rPr>
          <w:rFonts w:cs="Tahoma"/>
          <w:b/>
          <w:bCs/>
          <w:color w:val="0D0D0D" w:themeColor="text1" w:themeTint="F2"/>
        </w:rPr>
        <w:t>/INFOEM/IP/RR/2025</w:t>
      </w:r>
      <w:r w:rsidR="00652BD8">
        <w:rPr>
          <w:rFonts w:cs="Tahoma"/>
          <w:b/>
          <w:bCs/>
          <w:color w:val="0D0D0D" w:themeColor="text1" w:themeTint="F2"/>
        </w:rPr>
        <w:t>,</w:t>
      </w:r>
      <w:r w:rsidR="00652BD8" w:rsidRPr="00123222">
        <w:rPr>
          <w:rFonts w:cs="Tahoma"/>
          <w:b/>
          <w:bCs/>
          <w:color w:val="0D0D0D" w:themeColor="text1" w:themeTint="F2"/>
        </w:rPr>
        <w:t xml:space="preserve"> </w:t>
      </w:r>
      <w:r w:rsidR="00072206">
        <w:rPr>
          <w:rFonts w:cs="Tahoma"/>
          <w:b/>
          <w:bCs/>
          <w:color w:val="0D0D0D" w:themeColor="text1" w:themeTint="F2"/>
        </w:rPr>
        <w:t>13421</w:t>
      </w:r>
      <w:r w:rsidR="00652BD8" w:rsidRPr="00123222">
        <w:rPr>
          <w:rFonts w:cs="Tahoma"/>
          <w:b/>
          <w:bCs/>
          <w:color w:val="0D0D0D" w:themeColor="text1" w:themeTint="F2"/>
        </w:rPr>
        <w:t>/INFOEM/IP/RR/2025</w:t>
      </w:r>
      <w:r w:rsidR="00652BD8">
        <w:rPr>
          <w:rFonts w:cs="Tahoma"/>
          <w:b/>
          <w:bCs/>
          <w:color w:val="0D0D0D" w:themeColor="text1" w:themeTint="F2"/>
        </w:rPr>
        <w:t>,</w:t>
      </w:r>
      <w:r w:rsidR="00652BD8" w:rsidRPr="00123222">
        <w:rPr>
          <w:rFonts w:cs="Tahoma"/>
          <w:b/>
          <w:bCs/>
          <w:color w:val="0D0D0D" w:themeColor="text1" w:themeTint="F2"/>
        </w:rPr>
        <w:t xml:space="preserve"> </w:t>
      </w:r>
      <w:r w:rsidR="00072206">
        <w:rPr>
          <w:rFonts w:cs="Tahoma"/>
          <w:b/>
          <w:bCs/>
          <w:color w:val="0D0D0D" w:themeColor="text1" w:themeTint="F2"/>
        </w:rPr>
        <w:t>13426</w:t>
      </w:r>
      <w:r w:rsidR="00652BD8" w:rsidRPr="00123222">
        <w:rPr>
          <w:rFonts w:cs="Tahoma"/>
          <w:b/>
          <w:bCs/>
          <w:color w:val="0D0D0D" w:themeColor="text1" w:themeTint="F2"/>
        </w:rPr>
        <w:t>/INFOEM/IP/RR/2025</w:t>
      </w:r>
      <w:r w:rsidR="00652BD8">
        <w:rPr>
          <w:rFonts w:cs="Tahoma"/>
          <w:b/>
          <w:bCs/>
          <w:color w:val="0D0D0D" w:themeColor="text1" w:themeTint="F2"/>
        </w:rPr>
        <w:t xml:space="preserve"> y </w:t>
      </w:r>
      <w:r w:rsidR="00072206">
        <w:rPr>
          <w:rFonts w:cs="Tahoma"/>
          <w:b/>
          <w:bCs/>
          <w:color w:val="0D0D0D" w:themeColor="text1" w:themeTint="F2"/>
        </w:rPr>
        <w:t>13431</w:t>
      </w:r>
      <w:r w:rsidR="00652BD8" w:rsidRPr="00123222">
        <w:rPr>
          <w:rFonts w:cs="Tahoma"/>
          <w:b/>
          <w:bCs/>
          <w:color w:val="0D0D0D" w:themeColor="text1" w:themeTint="F2"/>
        </w:rPr>
        <w:t>/INFOEM/IP/RR/2025</w:t>
      </w:r>
      <w:r w:rsidR="00572C64" w:rsidRPr="00D05FA6">
        <w:rPr>
          <w:rFonts w:cs="Tahoma"/>
          <w:b/>
          <w:bCs/>
        </w:rPr>
        <w:t xml:space="preserve">, </w:t>
      </w:r>
      <w:r w:rsidRPr="00D05FA6">
        <w:rPr>
          <w:rFonts w:cs="Tahoma"/>
          <w:bCs/>
        </w:rPr>
        <w:t>interpuestos por un</w:t>
      </w:r>
      <w:r w:rsidRPr="00D05FA6">
        <w:rPr>
          <w:rFonts w:cs="Tahoma"/>
          <w:b/>
          <w:bCs/>
        </w:rPr>
        <w:t xml:space="preserve"> </w:t>
      </w:r>
      <w:r w:rsidRPr="00D05FA6">
        <w:rPr>
          <w:rFonts w:cs="Tahoma"/>
          <w:bCs/>
        </w:rPr>
        <w:t>Recurrente y/o Particular, en contra de</w:t>
      </w:r>
      <w:r w:rsidR="00B725D0">
        <w:rPr>
          <w:rFonts w:cs="Tahoma"/>
          <w:bCs/>
        </w:rPr>
        <w:t xml:space="preserve"> la falta de r</w:t>
      </w:r>
      <w:r w:rsidRPr="00D05FA6">
        <w:rPr>
          <w:rFonts w:cs="Tahoma"/>
          <w:bCs/>
        </w:rPr>
        <w:t xml:space="preserve">espuestas del Sujeto Obligado </w:t>
      </w:r>
      <w:r w:rsidR="00010D49" w:rsidRPr="00D05FA6">
        <w:rPr>
          <w:rFonts w:cs="Tahoma"/>
          <w:b/>
          <w:bCs/>
        </w:rPr>
        <w:t>Ayuntamiento de Tepotzotlán</w:t>
      </w:r>
      <w:r w:rsidRPr="00D05FA6">
        <w:rPr>
          <w:rFonts w:cs="Tahoma"/>
          <w:bCs/>
        </w:rPr>
        <w:t xml:space="preserve">, </w:t>
      </w:r>
      <w:r w:rsidR="009222BA">
        <w:rPr>
          <w:rFonts w:cs="Tahoma"/>
          <w:bCs/>
        </w:rPr>
        <w:t xml:space="preserve">a las solicitudes </w:t>
      </w:r>
      <w:r w:rsidR="009222BA" w:rsidRPr="009222BA">
        <w:rPr>
          <w:rFonts w:cs="Tahoma"/>
          <w:b/>
          <w:bCs/>
        </w:rPr>
        <w:t>01050/TEPOTZOT/IP/2025, 01048/TEPOTZOT/IP/2025, 01043/TEPOTZOT/IP/2025, 01038/TEPOTZOT/IP/2025 y 01033/TEPOTZOT/IP/2025</w:t>
      </w:r>
      <w:r w:rsidR="009222BA">
        <w:rPr>
          <w:rFonts w:cs="Tahoma"/>
          <w:bCs/>
        </w:rPr>
        <w:t xml:space="preserve">, </w:t>
      </w:r>
      <w:r w:rsidRPr="00D05FA6">
        <w:rPr>
          <w:rFonts w:cs="Tahoma"/>
          <w:bCs/>
        </w:rPr>
        <w:t>se emite la presente Resolución, con base en los Antecedentes y Considerandos que a continuación se exponen:</w:t>
      </w:r>
    </w:p>
    <w:p w14:paraId="4DC22E1C" w14:textId="77777777" w:rsidR="005C690F" w:rsidRPr="00D05FA6" w:rsidRDefault="005C690F" w:rsidP="002335E7">
      <w:pPr>
        <w:spacing w:after="0" w:line="360" w:lineRule="auto"/>
        <w:contextualSpacing/>
        <w:rPr>
          <w:b/>
        </w:rPr>
      </w:pPr>
    </w:p>
    <w:p w14:paraId="2D6FB5CD" w14:textId="77777777" w:rsidR="005C690F" w:rsidRPr="00D05FA6" w:rsidRDefault="00CD6238" w:rsidP="002335E7">
      <w:pPr>
        <w:pStyle w:val="Ttulo1"/>
        <w:spacing w:before="0" w:after="0" w:line="360" w:lineRule="auto"/>
        <w:contextualSpacing/>
        <w:jc w:val="center"/>
        <w:rPr>
          <w:sz w:val="22"/>
          <w:szCs w:val="22"/>
        </w:rPr>
      </w:pPr>
      <w:bookmarkStart w:id="1" w:name="_Toc219388543"/>
      <w:r w:rsidRPr="00D05FA6">
        <w:rPr>
          <w:sz w:val="22"/>
          <w:szCs w:val="22"/>
        </w:rPr>
        <w:t>A N T E C E D E N T E S</w:t>
      </w:r>
      <w:bookmarkEnd w:id="1"/>
    </w:p>
    <w:p w14:paraId="319E33D8" w14:textId="77777777" w:rsidR="005C690F" w:rsidRPr="00D05FA6" w:rsidRDefault="005C690F" w:rsidP="002335E7">
      <w:pPr>
        <w:spacing w:after="0" w:line="360" w:lineRule="auto"/>
        <w:contextualSpacing/>
        <w:jc w:val="center"/>
        <w:rPr>
          <w:b/>
        </w:rPr>
      </w:pPr>
    </w:p>
    <w:p w14:paraId="1D37AC0E" w14:textId="77777777" w:rsidR="00E22EA8" w:rsidRPr="00D05FA6" w:rsidRDefault="00E22EA8" w:rsidP="002335E7">
      <w:pPr>
        <w:pStyle w:val="Ttulo2"/>
        <w:spacing w:before="0" w:after="0" w:line="360" w:lineRule="auto"/>
        <w:contextualSpacing/>
        <w:rPr>
          <w:sz w:val="22"/>
          <w:szCs w:val="22"/>
          <w:lang w:eastAsia="es-ES"/>
        </w:rPr>
      </w:pPr>
      <w:bookmarkStart w:id="2" w:name="_Toc219388544"/>
      <w:r w:rsidRPr="00D05FA6">
        <w:rPr>
          <w:sz w:val="22"/>
          <w:szCs w:val="22"/>
          <w:lang w:eastAsia="es-ES"/>
        </w:rPr>
        <w:t>I. Presentación de la solicitud de información</w:t>
      </w:r>
      <w:bookmarkEnd w:id="2"/>
    </w:p>
    <w:p w14:paraId="7BD04C9B" w14:textId="77777777" w:rsidR="00E22EA8" w:rsidRPr="00D05FA6" w:rsidRDefault="00E22EA8" w:rsidP="002335E7">
      <w:pPr>
        <w:tabs>
          <w:tab w:val="left" w:pos="567"/>
        </w:tabs>
        <w:spacing w:after="0" w:line="360" w:lineRule="auto"/>
        <w:contextualSpacing/>
        <w:rPr>
          <w:rFonts w:eastAsia="Times New Roman" w:cs="Tahoma"/>
          <w:lang w:eastAsia="es-ES"/>
        </w:rPr>
      </w:pPr>
    </w:p>
    <w:p w14:paraId="0117C701" w14:textId="1A56773D" w:rsidR="00426C03" w:rsidRPr="00D05FA6" w:rsidRDefault="00426C03" w:rsidP="002335E7">
      <w:pPr>
        <w:tabs>
          <w:tab w:val="left" w:pos="567"/>
        </w:tabs>
        <w:spacing w:line="360" w:lineRule="auto"/>
        <w:ind w:right="-28"/>
        <w:contextualSpacing/>
        <w:rPr>
          <w:rFonts w:cs="Tahoma"/>
        </w:rPr>
      </w:pPr>
      <w:r w:rsidRPr="00D05FA6">
        <w:rPr>
          <w:rFonts w:cs="Tahoma"/>
        </w:rPr>
        <w:t xml:space="preserve">El </w:t>
      </w:r>
      <w:r w:rsidR="00652BD8">
        <w:rPr>
          <w:rFonts w:cs="Tahoma"/>
        </w:rPr>
        <w:t>diez de noviembre</w:t>
      </w:r>
      <w:r w:rsidRPr="00D05FA6">
        <w:rPr>
          <w:rFonts w:cs="Tahoma"/>
        </w:rPr>
        <w:t xml:space="preserve"> de dos mil veinticinco, el Particular presentó </w:t>
      </w:r>
      <w:r w:rsidR="00652BD8">
        <w:rPr>
          <w:rFonts w:cs="Tahoma"/>
        </w:rPr>
        <w:t>cinco</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068994CE" w14:textId="77777777" w:rsidTr="00003078">
        <w:tc>
          <w:tcPr>
            <w:tcW w:w="502" w:type="dxa"/>
            <w:shd w:val="clear" w:color="auto" w:fill="DDD9C3" w:themeFill="background2" w:themeFillShade="E6"/>
          </w:tcPr>
          <w:p w14:paraId="3AB8115D" w14:textId="77777777" w:rsidR="00426C03" w:rsidRPr="00D05FA6"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1BA43B74"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003078">
        <w:tc>
          <w:tcPr>
            <w:tcW w:w="502" w:type="dxa"/>
          </w:tcPr>
          <w:p w14:paraId="671E5722" w14:textId="77777777" w:rsidR="00426C03" w:rsidRPr="00D05FA6" w:rsidRDefault="00426C03" w:rsidP="002335E7">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790" w:type="dxa"/>
          </w:tcPr>
          <w:p w14:paraId="1201AB51" w14:textId="561A7C75" w:rsidR="00426C03" w:rsidRPr="00D05FA6" w:rsidRDefault="00072206" w:rsidP="002335E7">
            <w:pPr>
              <w:spacing w:line="360" w:lineRule="auto"/>
              <w:contextualSpacing/>
              <w:rPr>
                <w:b/>
                <w:sz w:val="20"/>
                <w:szCs w:val="20"/>
              </w:rPr>
            </w:pPr>
            <w:r w:rsidRPr="00072206">
              <w:rPr>
                <w:b/>
                <w:sz w:val="20"/>
                <w:szCs w:val="20"/>
              </w:rPr>
              <w:t>01050/TEPOTZOT/IP/2025</w:t>
            </w:r>
          </w:p>
        </w:tc>
        <w:tc>
          <w:tcPr>
            <w:tcW w:w="5775" w:type="dxa"/>
          </w:tcPr>
          <w:p w14:paraId="3FBC3712" w14:textId="6031E109" w:rsidR="009A21E5" w:rsidRPr="009A21E5" w:rsidRDefault="00072206" w:rsidP="002335E7">
            <w:pPr>
              <w:tabs>
                <w:tab w:val="left" w:pos="567"/>
              </w:tabs>
              <w:spacing w:line="360" w:lineRule="auto"/>
              <w:ind w:right="-28"/>
              <w:contextualSpacing/>
              <w:rPr>
                <w:rFonts w:cs="Tahoma"/>
                <w:i/>
                <w:sz w:val="20"/>
                <w:szCs w:val="20"/>
              </w:rPr>
            </w:pPr>
            <w:r w:rsidRPr="00072206">
              <w:rPr>
                <w:i/>
                <w:sz w:val="20"/>
                <w:szCs w:val="20"/>
              </w:rPr>
              <w:t>¿Qué tipo de mantenimiento o limpieza realiza el Ayuntamiento en caminos, accesos o laterales que conectan con infraestructura de CAPUFE?</w:t>
            </w:r>
          </w:p>
        </w:tc>
      </w:tr>
      <w:tr w:rsidR="00FA5C01" w:rsidRPr="00D05FA6" w14:paraId="570FC2F7" w14:textId="77777777" w:rsidTr="00003078">
        <w:tc>
          <w:tcPr>
            <w:tcW w:w="502" w:type="dxa"/>
          </w:tcPr>
          <w:p w14:paraId="455EB7C2"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790" w:type="dxa"/>
          </w:tcPr>
          <w:p w14:paraId="5DBC601F" w14:textId="0B7D9BA9" w:rsidR="00426C03" w:rsidRPr="00D05FA6" w:rsidRDefault="00072206" w:rsidP="002335E7">
            <w:pPr>
              <w:spacing w:line="360" w:lineRule="auto"/>
              <w:contextualSpacing/>
              <w:rPr>
                <w:b/>
                <w:sz w:val="20"/>
                <w:szCs w:val="20"/>
              </w:rPr>
            </w:pPr>
            <w:r w:rsidRPr="00072206">
              <w:rPr>
                <w:b/>
                <w:sz w:val="20"/>
                <w:szCs w:val="20"/>
              </w:rPr>
              <w:t>01048/TEPOTZOT/IP/2025</w:t>
            </w:r>
          </w:p>
        </w:tc>
        <w:tc>
          <w:tcPr>
            <w:tcW w:w="5775" w:type="dxa"/>
          </w:tcPr>
          <w:p w14:paraId="1EC06C84" w14:textId="145C98D9" w:rsidR="00426C03" w:rsidRPr="00D05FA6" w:rsidRDefault="00072206" w:rsidP="002335E7">
            <w:pPr>
              <w:tabs>
                <w:tab w:val="left" w:pos="567"/>
              </w:tabs>
              <w:spacing w:line="360" w:lineRule="auto"/>
              <w:ind w:right="-28"/>
              <w:contextualSpacing/>
              <w:rPr>
                <w:i/>
                <w:sz w:val="20"/>
                <w:szCs w:val="20"/>
              </w:rPr>
            </w:pPr>
            <w:r w:rsidRPr="00072206">
              <w:rPr>
                <w:i/>
                <w:sz w:val="20"/>
                <w:szCs w:val="20"/>
              </w:rPr>
              <w:t>¿Qué gestiones realizó el Ayuntamiento ante CAPUFE para resolver los problemas de congestionamiento vial o accesos en la zona de la caseta de Tepotzotlán?</w:t>
            </w:r>
          </w:p>
        </w:tc>
      </w:tr>
      <w:tr w:rsidR="00652BD8" w:rsidRPr="00D05FA6" w14:paraId="67710760" w14:textId="77777777" w:rsidTr="003E4B81">
        <w:tc>
          <w:tcPr>
            <w:tcW w:w="502" w:type="dxa"/>
          </w:tcPr>
          <w:p w14:paraId="0782EF1B" w14:textId="69EEF00C"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3</w:t>
            </w:r>
          </w:p>
        </w:tc>
        <w:tc>
          <w:tcPr>
            <w:tcW w:w="2790" w:type="dxa"/>
          </w:tcPr>
          <w:p w14:paraId="451B90C9" w14:textId="16218848" w:rsidR="00652BD8" w:rsidRPr="00652BD8" w:rsidRDefault="00072206" w:rsidP="003E4B81">
            <w:pPr>
              <w:spacing w:line="360" w:lineRule="auto"/>
              <w:contextualSpacing/>
              <w:rPr>
                <w:b/>
                <w:sz w:val="20"/>
                <w:szCs w:val="20"/>
              </w:rPr>
            </w:pPr>
            <w:r w:rsidRPr="00072206">
              <w:rPr>
                <w:b/>
                <w:sz w:val="20"/>
                <w:szCs w:val="20"/>
              </w:rPr>
              <w:t>01043/TEPOTZOT/IP/2025</w:t>
            </w:r>
          </w:p>
        </w:tc>
        <w:tc>
          <w:tcPr>
            <w:tcW w:w="5775" w:type="dxa"/>
          </w:tcPr>
          <w:p w14:paraId="4D8E4EC7" w14:textId="039B9E3F" w:rsidR="00652BD8" w:rsidRPr="00D05FA6" w:rsidRDefault="00072206" w:rsidP="003E4B81">
            <w:pPr>
              <w:tabs>
                <w:tab w:val="left" w:pos="567"/>
              </w:tabs>
              <w:spacing w:line="360" w:lineRule="auto"/>
              <w:ind w:right="-28"/>
              <w:contextualSpacing/>
              <w:rPr>
                <w:i/>
                <w:sz w:val="20"/>
                <w:szCs w:val="20"/>
              </w:rPr>
            </w:pPr>
            <w:r w:rsidRPr="00072206">
              <w:rPr>
                <w:i/>
                <w:sz w:val="20"/>
                <w:szCs w:val="20"/>
              </w:rPr>
              <w:t>¿Qué funcionarios municipales son responsables de supervisar la correcta aplicación de los recursos del Fondo de Aportaciones para la Seguridad Pública (FASP)?</w:t>
            </w:r>
          </w:p>
        </w:tc>
      </w:tr>
      <w:tr w:rsidR="00652BD8" w:rsidRPr="00D05FA6" w14:paraId="60B07E28" w14:textId="77777777" w:rsidTr="003E4B81">
        <w:tc>
          <w:tcPr>
            <w:tcW w:w="502" w:type="dxa"/>
          </w:tcPr>
          <w:p w14:paraId="7634DAF8" w14:textId="0E7BE963"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64C147EA" w14:textId="6603437A" w:rsidR="00652BD8" w:rsidRPr="00652BD8" w:rsidRDefault="00072206" w:rsidP="003E4B81">
            <w:pPr>
              <w:spacing w:line="360" w:lineRule="auto"/>
              <w:contextualSpacing/>
              <w:rPr>
                <w:b/>
                <w:sz w:val="20"/>
                <w:szCs w:val="20"/>
              </w:rPr>
            </w:pPr>
            <w:r w:rsidRPr="00072206">
              <w:rPr>
                <w:b/>
                <w:sz w:val="20"/>
                <w:szCs w:val="20"/>
              </w:rPr>
              <w:t>01038/TEPOTZOT/IP/2025</w:t>
            </w:r>
          </w:p>
        </w:tc>
        <w:tc>
          <w:tcPr>
            <w:tcW w:w="5775" w:type="dxa"/>
          </w:tcPr>
          <w:p w14:paraId="65F0C488" w14:textId="4C0A3643" w:rsidR="00652BD8" w:rsidRPr="00D05FA6" w:rsidRDefault="00072206" w:rsidP="003E4B81">
            <w:pPr>
              <w:tabs>
                <w:tab w:val="left" w:pos="567"/>
              </w:tabs>
              <w:spacing w:line="360" w:lineRule="auto"/>
              <w:ind w:right="-28"/>
              <w:contextualSpacing/>
              <w:rPr>
                <w:i/>
                <w:sz w:val="20"/>
                <w:szCs w:val="20"/>
              </w:rPr>
            </w:pPr>
            <w:r w:rsidRPr="00072206">
              <w:rPr>
                <w:i/>
                <w:sz w:val="20"/>
                <w:szCs w:val="20"/>
              </w:rPr>
              <w:t>¿Qué tipo de capacitación en derechos humanos y anticorrupción recibieron los elementos de seguridad durante 2025 y quién la impartió?</w:t>
            </w:r>
          </w:p>
        </w:tc>
      </w:tr>
      <w:tr w:rsidR="00652BD8" w:rsidRPr="00D05FA6" w14:paraId="45A3CB2A" w14:textId="77777777" w:rsidTr="00003078">
        <w:tc>
          <w:tcPr>
            <w:tcW w:w="502" w:type="dxa"/>
          </w:tcPr>
          <w:p w14:paraId="0B7C217D" w14:textId="42B52A18" w:rsidR="00652BD8" w:rsidRPr="00D05FA6" w:rsidRDefault="0058417E" w:rsidP="002335E7">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341D64FE" w14:textId="6FF727FE" w:rsidR="00652BD8" w:rsidRPr="00652BD8" w:rsidRDefault="00072206" w:rsidP="002335E7">
            <w:pPr>
              <w:spacing w:line="360" w:lineRule="auto"/>
              <w:contextualSpacing/>
              <w:rPr>
                <w:b/>
                <w:sz w:val="20"/>
                <w:szCs w:val="20"/>
              </w:rPr>
            </w:pPr>
            <w:r w:rsidRPr="00072206">
              <w:rPr>
                <w:b/>
                <w:sz w:val="20"/>
                <w:szCs w:val="20"/>
              </w:rPr>
              <w:t>01033/TEPOTZOT/IP/2025</w:t>
            </w:r>
          </w:p>
        </w:tc>
        <w:tc>
          <w:tcPr>
            <w:tcW w:w="5775" w:type="dxa"/>
          </w:tcPr>
          <w:p w14:paraId="66B84108" w14:textId="4C4C5385" w:rsidR="00652BD8" w:rsidRPr="00D05FA6" w:rsidRDefault="00072206" w:rsidP="002335E7">
            <w:pPr>
              <w:tabs>
                <w:tab w:val="left" w:pos="567"/>
              </w:tabs>
              <w:spacing w:line="360" w:lineRule="auto"/>
              <w:ind w:right="-28"/>
              <w:contextualSpacing/>
              <w:rPr>
                <w:i/>
                <w:sz w:val="20"/>
                <w:szCs w:val="20"/>
              </w:rPr>
            </w:pPr>
            <w:r w:rsidRPr="00072206">
              <w:rPr>
                <w:i/>
                <w:sz w:val="20"/>
                <w:szCs w:val="20"/>
              </w:rPr>
              <w:t>¿Cuáles son los principales delitos registrados por la policía municipal en el año 2025?</w:t>
            </w:r>
          </w:p>
        </w:tc>
      </w:tr>
      <w:bookmarkEnd w:id="3"/>
    </w:tbl>
    <w:p w14:paraId="12B774B8" w14:textId="77777777" w:rsidR="00426C03" w:rsidRPr="00D05FA6" w:rsidRDefault="00426C03" w:rsidP="002335E7">
      <w:pPr>
        <w:tabs>
          <w:tab w:val="left" w:pos="4667"/>
        </w:tabs>
        <w:spacing w:line="360" w:lineRule="auto"/>
        <w:ind w:left="567" w:right="567"/>
        <w:contextualSpacing/>
        <w:rPr>
          <w:rFonts w:cs="Tahoma"/>
          <w:b/>
          <w:bCs/>
        </w:rPr>
      </w:pPr>
    </w:p>
    <w:p w14:paraId="23057B68" w14:textId="77777777" w:rsidR="00426C03" w:rsidRPr="00D05FA6" w:rsidRDefault="00426C03" w:rsidP="002335E7">
      <w:pPr>
        <w:tabs>
          <w:tab w:val="left" w:pos="4667"/>
        </w:tabs>
        <w:spacing w:line="360" w:lineRule="auto"/>
        <w:ind w:left="567" w:right="567"/>
        <w:contextualSpacing/>
        <w:rPr>
          <w:rFonts w:cs="Tahoma"/>
          <w:bCs/>
        </w:rPr>
      </w:pPr>
      <w:r w:rsidRPr="00D05FA6">
        <w:rPr>
          <w:rFonts w:cs="Tahoma"/>
          <w:b/>
          <w:bCs/>
        </w:rPr>
        <w:t>MODALIDAD DE ENTREGA</w:t>
      </w:r>
    </w:p>
    <w:p w14:paraId="245BFFFA" w14:textId="77777777" w:rsidR="00426C03" w:rsidRPr="00D05FA6" w:rsidRDefault="00426C03" w:rsidP="002335E7">
      <w:pPr>
        <w:spacing w:line="360" w:lineRule="auto"/>
        <w:ind w:right="567"/>
        <w:contextualSpacing/>
        <w:rPr>
          <w:rFonts w:cs="Arial"/>
          <w:bCs/>
        </w:rPr>
      </w:pPr>
    </w:p>
    <w:p w14:paraId="7877E053" w14:textId="77777777" w:rsidR="00426C03" w:rsidRPr="00D05FA6" w:rsidRDefault="00426C03" w:rsidP="002335E7">
      <w:pPr>
        <w:spacing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2335E7">
      <w:pPr>
        <w:pStyle w:val="Prrafodelista"/>
        <w:tabs>
          <w:tab w:val="left" w:pos="567"/>
        </w:tabs>
        <w:spacing w:line="360" w:lineRule="auto"/>
        <w:ind w:left="0"/>
        <w:rPr>
          <w:rFonts w:cs="Tahoma"/>
          <w:b/>
          <w:szCs w:val="20"/>
        </w:rPr>
      </w:pPr>
    </w:p>
    <w:p w14:paraId="7006E9C6" w14:textId="77777777" w:rsidR="00E22EA8" w:rsidRPr="00D05FA6" w:rsidRDefault="00107B20" w:rsidP="002335E7">
      <w:pPr>
        <w:pStyle w:val="Ttulo2"/>
        <w:spacing w:before="0" w:after="0" w:line="360" w:lineRule="auto"/>
        <w:contextualSpacing/>
        <w:rPr>
          <w:sz w:val="22"/>
          <w:szCs w:val="22"/>
        </w:rPr>
      </w:pPr>
      <w:bookmarkStart w:id="4" w:name="_Toc219388545"/>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2335E7">
      <w:pPr>
        <w:autoSpaceDE w:val="0"/>
        <w:autoSpaceDN w:val="0"/>
        <w:adjustRightInd w:val="0"/>
        <w:spacing w:after="0" w:line="360" w:lineRule="auto"/>
        <w:contextualSpacing/>
        <w:rPr>
          <w:b/>
          <w:bCs/>
        </w:rPr>
      </w:pPr>
    </w:p>
    <w:p w14:paraId="30D22D9F" w14:textId="77777777" w:rsidR="00572C64" w:rsidRPr="00D05FA6" w:rsidRDefault="00572C64" w:rsidP="002335E7">
      <w:pPr>
        <w:spacing w:line="360" w:lineRule="auto"/>
        <w:contextualSpacing/>
        <w:rPr>
          <w:rFonts w:eastAsiaTheme="minorHAnsi" w:cstheme="minorBidi"/>
          <w:lang w:eastAsia="en-US"/>
        </w:rPr>
      </w:pPr>
      <w:r w:rsidRPr="00D05FA6">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w:t>
      </w:r>
      <w:r w:rsidRPr="00D05FA6">
        <w:rPr>
          <w:rFonts w:eastAsiaTheme="minorHAnsi" w:cstheme="minorBidi"/>
          <w:lang w:eastAsia="en-US"/>
        </w:rPr>
        <w:lastRenderedPageBreak/>
        <w:t>párrafo cuarto y 178, párrafo segundo de la Ley de Transparencia y Acceso a la Información Pública del Estado de México y Municipios.</w:t>
      </w:r>
    </w:p>
    <w:p w14:paraId="0A2CF658" w14:textId="77777777" w:rsidR="00572C64" w:rsidRPr="00D05FA6" w:rsidRDefault="00572C64" w:rsidP="002335E7">
      <w:pPr>
        <w:spacing w:line="360" w:lineRule="auto"/>
        <w:contextualSpacing/>
        <w:rPr>
          <w:rFonts w:cs="Tahoma"/>
          <w:bCs/>
          <w:iCs/>
        </w:rPr>
      </w:pPr>
    </w:p>
    <w:p w14:paraId="79F34FAD" w14:textId="77777777" w:rsidR="00E22EA8" w:rsidRPr="00D05FA6" w:rsidRDefault="00E22EA8" w:rsidP="002335E7">
      <w:pPr>
        <w:pStyle w:val="Ttulo2"/>
        <w:spacing w:before="0" w:after="0" w:line="360" w:lineRule="auto"/>
        <w:contextualSpacing/>
        <w:rPr>
          <w:sz w:val="22"/>
          <w:szCs w:val="22"/>
        </w:rPr>
      </w:pPr>
      <w:bookmarkStart w:id="5" w:name="_Toc219388546"/>
      <w:r w:rsidRPr="00D05FA6">
        <w:rPr>
          <w:sz w:val="22"/>
          <w:szCs w:val="22"/>
        </w:rPr>
        <w:t>I</w:t>
      </w:r>
      <w:r w:rsidR="00EE2207" w:rsidRPr="00D05FA6">
        <w:rPr>
          <w:sz w:val="22"/>
          <w:szCs w:val="22"/>
        </w:rPr>
        <w:t>II</w:t>
      </w:r>
      <w:r w:rsidRPr="00D05FA6">
        <w:rPr>
          <w:sz w:val="22"/>
          <w:szCs w:val="22"/>
        </w:rPr>
        <w:t>. Interposición del Recurso de Revisión</w:t>
      </w:r>
      <w:bookmarkEnd w:id="5"/>
    </w:p>
    <w:p w14:paraId="0644AB85" w14:textId="77777777" w:rsidR="00E22EA8" w:rsidRPr="00D05FA6" w:rsidRDefault="00E22EA8" w:rsidP="002335E7">
      <w:pPr>
        <w:spacing w:after="0" w:line="360" w:lineRule="auto"/>
        <w:contextualSpacing/>
        <w:rPr>
          <w:b/>
        </w:rPr>
      </w:pPr>
    </w:p>
    <w:p w14:paraId="1374B09C" w14:textId="505074BE" w:rsidR="00F215CA" w:rsidRPr="00D05FA6" w:rsidRDefault="00083169" w:rsidP="002335E7">
      <w:pPr>
        <w:spacing w:after="0" w:line="360" w:lineRule="auto"/>
        <w:contextualSpacing/>
        <w:rPr>
          <w:bCs/>
        </w:rPr>
      </w:pPr>
      <w:r w:rsidRPr="00D05FA6">
        <w:rPr>
          <w:bCs/>
        </w:rPr>
        <w:t>El</w:t>
      </w:r>
      <w:r w:rsidR="008E5E71" w:rsidRPr="00D05FA6">
        <w:rPr>
          <w:bCs/>
        </w:rPr>
        <w:t xml:space="preserve"> </w:t>
      </w:r>
      <w:r w:rsidR="00652BD8">
        <w:t>tres de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 xml:space="preserve">, </w:t>
      </w:r>
      <w:r w:rsidR="00652BD8">
        <w:rPr>
          <w:bCs/>
        </w:rPr>
        <w:t>cinco</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2335E7">
      <w:pPr>
        <w:spacing w:after="0" w:line="360" w:lineRule="auto"/>
        <w:ind w:left="567" w:right="567"/>
        <w:contextualSpacing/>
        <w:rPr>
          <w:b/>
          <w:bCs/>
          <w:i/>
          <w:sz w:val="20"/>
          <w:szCs w:val="20"/>
        </w:rPr>
      </w:pPr>
    </w:p>
    <w:p w14:paraId="50B54C90" w14:textId="6ECC2672" w:rsidR="00072206" w:rsidRDefault="00072206" w:rsidP="002335E7">
      <w:pPr>
        <w:spacing w:after="0" w:line="360" w:lineRule="auto"/>
        <w:ind w:left="567" w:right="567"/>
        <w:contextualSpacing/>
        <w:rPr>
          <w:b/>
          <w:bCs/>
          <w:iCs/>
          <w:sz w:val="20"/>
          <w:szCs w:val="20"/>
        </w:rPr>
      </w:pPr>
      <w:r>
        <w:rPr>
          <w:b/>
          <w:bCs/>
          <w:iCs/>
          <w:sz w:val="20"/>
          <w:szCs w:val="20"/>
        </w:rPr>
        <w:t xml:space="preserve">Solicitud: </w:t>
      </w:r>
      <w:r w:rsidRPr="00072206">
        <w:rPr>
          <w:b/>
          <w:bCs/>
          <w:iCs/>
          <w:sz w:val="20"/>
          <w:szCs w:val="20"/>
        </w:rPr>
        <w:t>01050/TEPOTZOT/IP/2025</w:t>
      </w:r>
    </w:p>
    <w:p w14:paraId="1100EBD8" w14:textId="0E88AF9F" w:rsidR="008E5E71"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072206" w:rsidRPr="00072206">
        <w:rPr>
          <w:b/>
          <w:bCs/>
          <w:iCs/>
          <w:sz w:val="20"/>
          <w:szCs w:val="20"/>
        </w:rPr>
        <w:t>13411/INFOEM/IP/RR/2025</w:t>
      </w:r>
    </w:p>
    <w:p w14:paraId="6B648998"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061FFAFD" w14:textId="0D80BD49" w:rsidR="00FA5C01" w:rsidRDefault="00072206" w:rsidP="002335E7">
      <w:pPr>
        <w:spacing w:after="0" w:line="360" w:lineRule="auto"/>
        <w:ind w:left="567"/>
        <w:contextualSpacing/>
        <w:jc w:val="left"/>
        <w:rPr>
          <w:rFonts w:eastAsia="Times New Roman" w:cs="Times New Roman"/>
          <w:i/>
          <w:sz w:val="20"/>
          <w:szCs w:val="20"/>
        </w:rPr>
      </w:pPr>
      <w:r w:rsidRPr="00072206">
        <w:rPr>
          <w:rFonts w:eastAsia="Times New Roman" w:cs="Times New Roman"/>
          <w:i/>
          <w:sz w:val="20"/>
          <w:szCs w:val="20"/>
        </w:rPr>
        <w:t>¿Qué tipo de mantenimiento o limpieza realiza el Ayuntamiento en caminos, accesos o laterales que conectan con infraestructura de CAPUFE?</w:t>
      </w:r>
    </w:p>
    <w:p w14:paraId="13EC72E9"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517E8977" w14:textId="1BC0E0DA" w:rsidR="00FA5C01" w:rsidRDefault="00072206" w:rsidP="002335E7">
      <w:pPr>
        <w:spacing w:after="0" w:line="360" w:lineRule="auto"/>
        <w:ind w:left="567" w:right="567"/>
        <w:contextualSpacing/>
        <w:rPr>
          <w:rFonts w:eastAsia="Times New Roman" w:cs="Times New Roman"/>
          <w:i/>
          <w:sz w:val="20"/>
          <w:szCs w:val="20"/>
        </w:rPr>
      </w:pPr>
      <w:r w:rsidRPr="00072206">
        <w:rPr>
          <w:rFonts w:eastAsia="Times New Roman" w:cs="Times New Roman"/>
          <w:i/>
          <w:sz w:val="20"/>
          <w:szCs w:val="20"/>
        </w:rPr>
        <w:t xml:space="preserve">En términos del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6 y 8 constitucional tengo derecho a realizar mi petición así mismo de conformidad al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4, 11, 15, 92, 111, 112, 150, 151, 152, 160, 162, 176, 177, 178, 179, 180, de la Ley de Transparencia y Acceso a la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w:t>
      </w:r>
      <w:r w:rsidRPr="00072206">
        <w:rPr>
          <w:rFonts w:eastAsia="Times New Roman" w:cs="Times New Roman"/>
          <w:i/>
          <w:sz w:val="20"/>
          <w:szCs w:val="20"/>
        </w:rPr>
        <w:lastRenderedPageBreak/>
        <w:t>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advirtiéndole que, en caso de reincidencia, se procederá a imponer las medidas de apremio previstas en la ley.</w:t>
      </w:r>
    </w:p>
    <w:p w14:paraId="517ED36D" w14:textId="77777777" w:rsidR="00072206" w:rsidRPr="00D05FA6" w:rsidRDefault="00072206" w:rsidP="002335E7">
      <w:pPr>
        <w:spacing w:after="0" w:line="360" w:lineRule="auto"/>
        <w:ind w:left="567" w:right="567"/>
        <w:contextualSpacing/>
        <w:rPr>
          <w:b/>
          <w:bCs/>
          <w:i/>
          <w:sz w:val="20"/>
          <w:szCs w:val="20"/>
        </w:rPr>
      </w:pPr>
    </w:p>
    <w:p w14:paraId="7E6C7A0F" w14:textId="11858BB0"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Solicitud: </w:t>
      </w:r>
      <w:r w:rsidR="00072206" w:rsidRPr="00072206">
        <w:rPr>
          <w:b/>
          <w:bCs/>
          <w:iCs/>
          <w:sz w:val="20"/>
          <w:szCs w:val="20"/>
        </w:rPr>
        <w:t>01048/TEPOTZOT/IP/2025</w:t>
      </w:r>
    </w:p>
    <w:p w14:paraId="22939DDE" w14:textId="00DAC663"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072206">
        <w:rPr>
          <w:b/>
          <w:bCs/>
          <w:iCs/>
          <w:sz w:val="20"/>
          <w:szCs w:val="20"/>
        </w:rPr>
        <w:t>13416</w:t>
      </w:r>
      <w:r w:rsidRPr="00D05FA6">
        <w:rPr>
          <w:b/>
          <w:bCs/>
          <w:iCs/>
          <w:sz w:val="20"/>
          <w:szCs w:val="20"/>
        </w:rPr>
        <w:t xml:space="preserve">/INFOEM/IP/RR/2025 </w:t>
      </w:r>
    </w:p>
    <w:p w14:paraId="141C106A"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3A270B2" w14:textId="7F52708A" w:rsidR="00347250" w:rsidRDefault="00072206" w:rsidP="00072206">
      <w:pPr>
        <w:spacing w:after="0" w:line="360" w:lineRule="auto"/>
        <w:ind w:left="567" w:right="567"/>
        <w:contextualSpacing/>
        <w:rPr>
          <w:rFonts w:eastAsia="Times New Roman" w:cs="Times New Roman"/>
          <w:i/>
          <w:sz w:val="20"/>
          <w:szCs w:val="20"/>
        </w:rPr>
      </w:pPr>
      <w:r w:rsidRPr="00072206">
        <w:rPr>
          <w:rFonts w:eastAsia="Times New Roman" w:cs="Times New Roman"/>
          <w:i/>
          <w:sz w:val="20"/>
          <w:szCs w:val="20"/>
        </w:rPr>
        <w:t>¿Qué gestiones realizó el Ayuntamiento ante CAPUFE para resolver los problemas de</w:t>
      </w:r>
      <w:r>
        <w:rPr>
          <w:rFonts w:eastAsia="Times New Roman" w:cs="Times New Roman"/>
          <w:i/>
          <w:sz w:val="20"/>
          <w:szCs w:val="20"/>
        </w:rPr>
        <w:t xml:space="preserve"> </w:t>
      </w:r>
      <w:r w:rsidRPr="00072206">
        <w:rPr>
          <w:rFonts w:eastAsia="Times New Roman" w:cs="Times New Roman"/>
          <w:i/>
          <w:sz w:val="20"/>
          <w:szCs w:val="20"/>
        </w:rPr>
        <w:t>congestionamiento vial o accesos en la zona de la caseta de Tepotzotlán?</w:t>
      </w:r>
    </w:p>
    <w:p w14:paraId="29CA2A97"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159D08C" w14:textId="2CB5786A" w:rsidR="00347250" w:rsidRDefault="00072206" w:rsidP="002335E7">
      <w:pPr>
        <w:spacing w:after="0" w:line="360" w:lineRule="auto"/>
        <w:ind w:left="567" w:right="567"/>
        <w:contextualSpacing/>
        <w:rPr>
          <w:rFonts w:eastAsia="Times New Roman" w:cs="Times New Roman"/>
          <w:i/>
          <w:sz w:val="20"/>
          <w:szCs w:val="20"/>
        </w:rPr>
      </w:pPr>
      <w:r w:rsidRPr="00072206">
        <w:rPr>
          <w:rFonts w:eastAsia="Times New Roman" w:cs="Times New Roman"/>
          <w:i/>
          <w:sz w:val="20"/>
          <w:szCs w:val="20"/>
        </w:rPr>
        <w:t xml:space="preserve">En términos del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6 y 8 constitucional tengo derecho a realizar mi petición así mismo de conformidad al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4, 11, 15, 92, 111, 112, 150, 151, 152, 160, 162, 176, 177, 178, 179, 180, de la Ley de Transparencia y Acceso a la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w:t>
      </w:r>
      <w:r w:rsidRPr="00072206">
        <w:rPr>
          <w:rFonts w:eastAsia="Times New Roman" w:cs="Times New Roman"/>
          <w:i/>
          <w:sz w:val="20"/>
          <w:szCs w:val="20"/>
        </w:rPr>
        <w:lastRenderedPageBreak/>
        <w:t>impongan las sanciones correspondientes a los funcionarios responsables por incumplimiento de los plazos de respuesta.</w:t>
      </w:r>
    </w:p>
    <w:p w14:paraId="48D951F3" w14:textId="77777777" w:rsidR="00072206" w:rsidRDefault="00072206" w:rsidP="002335E7">
      <w:pPr>
        <w:spacing w:after="0" w:line="360" w:lineRule="auto"/>
        <w:ind w:left="567" w:right="567"/>
        <w:contextualSpacing/>
        <w:rPr>
          <w:b/>
          <w:bCs/>
          <w:i/>
          <w:sz w:val="20"/>
          <w:szCs w:val="20"/>
        </w:rPr>
      </w:pPr>
    </w:p>
    <w:p w14:paraId="2C7E6FD4" w14:textId="2E7850B7"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072206" w:rsidRPr="00072206">
        <w:rPr>
          <w:b/>
          <w:bCs/>
          <w:iCs/>
          <w:sz w:val="20"/>
          <w:szCs w:val="20"/>
        </w:rPr>
        <w:t>01043/TEPOTZOT/IP/2025</w:t>
      </w:r>
    </w:p>
    <w:p w14:paraId="0994F049" w14:textId="428D29B2"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072206" w:rsidRPr="00072206">
        <w:rPr>
          <w:b/>
          <w:bCs/>
          <w:iCs/>
          <w:sz w:val="20"/>
          <w:szCs w:val="20"/>
        </w:rPr>
        <w:t>13421/INFOEM/IP/RR/2025</w:t>
      </w:r>
    </w:p>
    <w:p w14:paraId="31D2D2F3"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3947789F" w14:textId="6BC2B0E7" w:rsidR="0058417E" w:rsidRPr="00D05FA6" w:rsidRDefault="00072206" w:rsidP="0058417E">
      <w:pPr>
        <w:spacing w:after="0" w:line="360" w:lineRule="auto"/>
        <w:ind w:left="567"/>
        <w:contextualSpacing/>
        <w:jc w:val="left"/>
        <w:rPr>
          <w:rFonts w:eastAsia="Times New Roman" w:cs="Times New Roman"/>
          <w:b/>
          <w:sz w:val="20"/>
          <w:szCs w:val="20"/>
        </w:rPr>
      </w:pPr>
      <w:r w:rsidRPr="00072206">
        <w:rPr>
          <w:rFonts w:eastAsia="Times New Roman" w:cs="Times New Roman"/>
          <w:i/>
          <w:sz w:val="20"/>
          <w:szCs w:val="20"/>
        </w:rPr>
        <w:t>¿Qué funcionarios municipales son responsables de supervisar la correcta aplicación de los recursos del Fondo de Aportaciones para la Seguridad Pública (FASP)? Dentro del plazo legal, no recibí respuesta alguna por parte del sujeto obligado, incurriendo en silencio administrativo.</w:t>
      </w:r>
    </w:p>
    <w:p w14:paraId="05EB34D2"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B561396" w14:textId="5D5054CD" w:rsidR="0058417E" w:rsidRDefault="00072206" w:rsidP="0058417E">
      <w:pPr>
        <w:autoSpaceDE w:val="0"/>
        <w:autoSpaceDN w:val="0"/>
        <w:adjustRightInd w:val="0"/>
        <w:spacing w:after="0" w:line="360" w:lineRule="auto"/>
        <w:ind w:left="567" w:right="539"/>
        <w:contextualSpacing/>
        <w:rPr>
          <w:rFonts w:eastAsia="Times New Roman" w:cs="Times New Roman"/>
          <w:i/>
          <w:sz w:val="20"/>
          <w:szCs w:val="20"/>
        </w:rPr>
      </w:pPr>
      <w:r w:rsidRPr="00072206">
        <w:rPr>
          <w:rFonts w:eastAsia="Times New Roman" w:cs="Times New Roman"/>
          <w:i/>
          <w:sz w:val="20"/>
          <w:szCs w:val="20"/>
        </w:rPr>
        <w:t xml:space="preserve">1. Violación al derecho de acceso a la información. El sujeto obligado incumplió con el plazo establecido para responder, vulnerando mi derecho previsto en el artículo 5 de la </w:t>
      </w:r>
      <w:proofErr w:type="spellStart"/>
      <w:r w:rsidRPr="00072206">
        <w:rPr>
          <w:rFonts w:eastAsia="Times New Roman" w:cs="Times New Roman"/>
          <w:i/>
          <w:sz w:val="20"/>
          <w:szCs w:val="20"/>
        </w:rPr>
        <w:t>LTAIPEMyM</w:t>
      </w:r>
      <w:proofErr w:type="spellEnd"/>
      <w:r w:rsidRPr="00072206">
        <w:rPr>
          <w:rFonts w:eastAsia="Times New Roman" w:cs="Times New Roman"/>
          <w:i/>
          <w:sz w:val="20"/>
          <w:szCs w:val="20"/>
        </w:rPr>
        <w:t xml:space="preserve">. 2. Transgresión al principio de máxima publicidad. La ausencia de respuesta constituye una negativa tácita injustificada. 3. Afectación al acceso a información pública relacionada con el ejercicio de recursos del FASP, la cual es de carácter público y debe ser accesible por transparentar el manejo de fondos destinados a seguridad pública. Solicito atentamente al INFOEM: 1. Admita el presente Recurso de Revisión. 2. Requiera al Ayuntamiento de Tepotzotlán a emitir una respuesta formal y completa a mi solicitud. 3. Ordene al sujeto obligado que entregue los nombres, cargos y funciones de los funcionarios responsables de supervisar la correcta aplicación del FASP, o en su caso, que justifique debidamente su inexistencia. 4. Se apliquen las medidas correspondientes derivadas de la omisión del sujeto obligado. En términos del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6 y 8 constitucional tengo derecho a realizar mi petición así mismo de conformidad al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4, 11, 15, 92, 111, 112, 150, 151, 152, 160, 162, 176, 177, 178, 179, 180, de la Ley de Transparencia y Acceso a la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w:t>
      </w:r>
      <w:r w:rsidRPr="00072206">
        <w:rPr>
          <w:rFonts w:eastAsia="Times New Roman" w:cs="Times New Roman"/>
          <w:i/>
          <w:sz w:val="20"/>
          <w:szCs w:val="20"/>
        </w:rPr>
        <w:lastRenderedPageBreak/>
        <w:t>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r w:rsidR="0058417E" w:rsidRPr="00D05FA6">
        <w:rPr>
          <w:rFonts w:eastAsia="Times New Roman" w:cs="Times New Roman"/>
          <w:i/>
          <w:sz w:val="20"/>
          <w:szCs w:val="20"/>
        </w:rPr>
        <w:t xml:space="preserve"> </w:t>
      </w:r>
    </w:p>
    <w:p w14:paraId="0CF2EEF8"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3E05BAC9"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072206" w:rsidRPr="00072206">
        <w:rPr>
          <w:b/>
          <w:bCs/>
          <w:iCs/>
          <w:sz w:val="20"/>
          <w:szCs w:val="20"/>
        </w:rPr>
        <w:t>01038/TEPOTZOT/IP/2025</w:t>
      </w:r>
    </w:p>
    <w:p w14:paraId="754DBA2F" w14:textId="6C251766" w:rsidR="0058417E" w:rsidRPr="00D05FA6" w:rsidRDefault="00072206" w:rsidP="0058417E">
      <w:pPr>
        <w:spacing w:after="0" w:line="360" w:lineRule="auto"/>
        <w:ind w:left="567" w:right="567"/>
        <w:contextualSpacing/>
        <w:rPr>
          <w:b/>
          <w:bCs/>
          <w:iCs/>
          <w:sz w:val="20"/>
          <w:szCs w:val="20"/>
        </w:rPr>
      </w:pPr>
      <w:r>
        <w:rPr>
          <w:b/>
          <w:bCs/>
          <w:iCs/>
          <w:sz w:val="20"/>
          <w:szCs w:val="20"/>
        </w:rPr>
        <w:t xml:space="preserve">Recurso de Revisión: </w:t>
      </w:r>
      <w:r w:rsidRPr="00072206">
        <w:rPr>
          <w:b/>
          <w:bCs/>
          <w:iCs/>
          <w:sz w:val="20"/>
          <w:szCs w:val="20"/>
        </w:rPr>
        <w:t>13426/INFOEM/IP/RR/2025</w:t>
      </w:r>
    </w:p>
    <w:p w14:paraId="41ECA4C5"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E79F19C" w14:textId="0DD64F94" w:rsidR="0058417E" w:rsidRPr="00D05FA6" w:rsidRDefault="00072206" w:rsidP="0058417E">
      <w:pPr>
        <w:spacing w:after="0" w:line="360" w:lineRule="auto"/>
        <w:ind w:left="567"/>
        <w:contextualSpacing/>
        <w:rPr>
          <w:rFonts w:eastAsia="Times New Roman" w:cs="Times New Roman"/>
          <w:i/>
          <w:sz w:val="20"/>
          <w:szCs w:val="20"/>
        </w:rPr>
      </w:pPr>
      <w:r w:rsidRPr="00072206">
        <w:rPr>
          <w:rFonts w:eastAsia="Times New Roman" w:cs="Times New Roman"/>
          <w:i/>
          <w:sz w:val="20"/>
          <w:szCs w:val="20"/>
        </w:rPr>
        <w:t>¿Qué tipo de capacitación en derechos humanos y anticorrupción recibieron los elementos de seguridad durante 2025 y quién la impartió? La falta total de respuesta del Ayuntamiento de Tepotzotlán.</w:t>
      </w:r>
    </w:p>
    <w:p w14:paraId="28468428"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4433A202" w14:textId="1E9AD4E2" w:rsidR="0058417E" w:rsidRDefault="00072206" w:rsidP="0058417E">
      <w:pPr>
        <w:autoSpaceDE w:val="0"/>
        <w:autoSpaceDN w:val="0"/>
        <w:adjustRightInd w:val="0"/>
        <w:spacing w:after="0" w:line="360" w:lineRule="auto"/>
        <w:ind w:left="567" w:right="539"/>
        <w:contextualSpacing/>
        <w:rPr>
          <w:rFonts w:eastAsia="Times New Roman" w:cs="Times New Roman"/>
          <w:i/>
          <w:sz w:val="20"/>
          <w:szCs w:val="20"/>
        </w:rPr>
      </w:pPr>
      <w:r w:rsidRPr="00072206">
        <w:rPr>
          <w:rFonts w:eastAsia="Times New Roman" w:cs="Times New Roman"/>
          <w:i/>
          <w:sz w:val="20"/>
          <w:szCs w:val="20"/>
        </w:rPr>
        <w:t xml:space="preserve">La omisión del sujeto obligado me causa agravio por lo siguiente: 1. Violación directa al derecho constitucional de acceso a la información, al incumplir los plazos legales y dejar sin respuesta la solicitud. 2. Inobservancia del principio de máxima publicidad, al retener información que debe ser pública por su naturaleza relacionada con capacitación institucional. 3. Obstaculización de la rendición de cuentas, al evitar transparentar la formación policial en áreas sensibles como derechos humanos y anticorrupción. 4. Opacidad reiterada por parte del sujeto obligado, lo que agrava el daño y evidencia una práctica sistemática de incumplimiento. En términos del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6 y 8 constitucional tengo derecho a realizar mi petición así mismo de conformidad al </w:t>
      </w:r>
      <w:proofErr w:type="spellStart"/>
      <w:r w:rsidRPr="00072206">
        <w:rPr>
          <w:rFonts w:eastAsia="Times New Roman" w:cs="Times New Roman"/>
          <w:i/>
          <w:sz w:val="20"/>
          <w:szCs w:val="20"/>
        </w:rPr>
        <w:t>articulo</w:t>
      </w:r>
      <w:proofErr w:type="spellEnd"/>
      <w:r w:rsidRPr="00072206">
        <w:rPr>
          <w:rFonts w:eastAsia="Times New Roman" w:cs="Times New Roman"/>
          <w:i/>
          <w:sz w:val="20"/>
          <w:szCs w:val="20"/>
        </w:rPr>
        <w:t xml:space="preserve"> 4, 11, 15, 92, 111, 112, 150, 151, 152, 160, 162, 176, 177, 178, 179, 180, de la Ley de Transparencia y Acceso a la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072206">
        <w:rPr>
          <w:rFonts w:eastAsia="Times New Roman" w:cs="Times New Roman"/>
          <w:i/>
          <w:sz w:val="20"/>
          <w:szCs w:val="20"/>
        </w:rPr>
        <w:t>publica</w:t>
      </w:r>
      <w:proofErr w:type="spellEnd"/>
      <w:r w:rsidRPr="00072206">
        <w:rPr>
          <w:rFonts w:eastAsia="Times New Roman" w:cs="Times New Roman"/>
          <w:i/>
          <w:sz w:val="20"/>
          <w:szCs w:val="20"/>
        </w:rPr>
        <w:t xml:space="preserve"> por lo que exijo una respuesta ya que se supone deben hacer una revisión exhaustiva para buscar los documentos públicos solicitados. Solicito respetuosamente </w:t>
      </w:r>
      <w:r w:rsidRPr="00072206">
        <w:rPr>
          <w:rFonts w:eastAsia="Times New Roman" w:cs="Times New Roman"/>
          <w:i/>
          <w:sz w:val="20"/>
          <w:szCs w:val="20"/>
        </w:rPr>
        <w:lastRenderedPageBreak/>
        <w:t>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p>
    <w:p w14:paraId="34E59A73" w14:textId="77777777" w:rsidR="00072206" w:rsidRPr="00D05FA6" w:rsidRDefault="00072206" w:rsidP="0058417E">
      <w:pPr>
        <w:autoSpaceDE w:val="0"/>
        <w:autoSpaceDN w:val="0"/>
        <w:adjustRightInd w:val="0"/>
        <w:spacing w:after="0" w:line="360" w:lineRule="auto"/>
        <w:ind w:left="567" w:right="539"/>
        <w:contextualSpacing/>
        <w:rPr>
          <w:rFonts w:eastAsia="Times New Roman" w:cs="Times New Roman"/>
          <w:i/>
          <w:sz w:val="20"/>
          <w:szCs w:val="20"/>
        </w:rPr>
      </w:pPr>
    </w:p>
    <w:p w14:paraId="64BEADBF" w14:textId="42D347E4"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072206" w:rsidRPr="00072206">
        <w:rPr>
          <w:b/>
          <w:bCs/>
          <w:iCs/>
          <w:sz w:val="20"/>
          <w:szCs w:val="20"/>
        </w:rPr>
        <w:t>01033/TEPOTZOT/IP/2025</w:t>
      </w:r>
    </w:p>
    <w:p w14:paraId="021C6689" w14:textId="4F881C25"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072206" w:rsidRPr="00072206">
        <w:rPr>
          <w:b/>
          <w:bCs/>
          <w:iCs/>
          <w:sz w:val="20"/>
          <w:szCs w:val="20"/>
        </w:rPr>
        <w:t>13431/INFOEM/IP/RR/2025</w:t>
      </w:r>
    </w:p>
    <w:p w14:paraId="169649B3"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7C8F24AF" w14:textId="295C82EB" w:rsidR="0058417E" w:rsidRPr="00D05FA6" w:rsidRDefault="00072206" w:rsidP="0058417E">
      <w:pPr>
        <w:spacing w:after="0" w:line="360" w:lineRule="auto"/>
        <w:ind w:left="567"/>
        <w:contextualSpacing/>
        <w:jc w:val="left"/>
        <w:rPr>
          <w:rFonts w:eastAsia="Times New Roman" w:cs="Times New Roman"/>
          <w:b/>
          <w:sz w:val="20"/>
          <w:szCs w:val="20"/>
        </w:rPr>
      </w:pPr>
      <w:r w:rsidRPr="00072206">
        <w:rPr>
          <w:rFonts w:eastAsia="Times New Roman" w:cs="Times New Roman"/>
          <w:i/>
          <w:sz w:val="20"/>
          <w:szCs w:val="20"/>
        </w:rPr>
        <w:t>¿Cuáles son los principales delitos registrados por la policía municipal en el año 2025? A la fecha de la presentación de este recurso no he recibido respuesta alguna, aun cuando el plazo legal previsto en los artículos aplicables de la Ley de Transparencia y Acceso a la Información Pública del Estado de México y Municipios ya concluyó.</w:t>
      </w:r>
    </w:p>
    <w:p w14:paraId="1A7F3B59"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30F7C647" w14:textId="31C2C93D" w:rsidR="0058417E" w:rsidRDefault="00072206" w:rsidP="002335E7">
      <w:pPr>
        <w:spacing w:after="0" w:line="360" w:lineRule="auto"/>
        <w:ind w:left="567" w:right="567"/>
        <w:contextualSpacing/>
        <w:rPr>
          <w:rFonts w:eastAsia="Times New Roman" w:cs="Times New Roman"/>
          <w:i/>
          <w:sz w:val="20"/>
          <w:szCs w:val="20"/>
        </w:rPr>
      </w:pPr>
      <w:r w:rsidRPr="00072206">
        <w:rPr>
          <w:rFonts w:eastAsia="Times New Roman" w:cs="Times New Roman"/>
          <w:i/>
          <w:sz w:val="20"/>
          <w:szCs w:val="20"/>
        </w:rPr>
        <w:t>Con fundamento en lo dispuesto por la Ley de Transparencia del Estado de México y Municipios, solicito respetuosamente al Instituto: 1. Admita el presente recurso de revisión. 2. Declare fundada la omisión de respuesta del Ayuntamiento de [municipio]. 3. Ordene al Sujeto Obligado emitir la respuesta completa y fundada a mi solicitud original, proporcionando los principales delitos registrados por la policía municipal en el año 2025, o en su caso una respuesta formal que siga los criterios legales de disponibilidad, inexistencia o clasificación.</w:t>
      </w:r>
    </w:p>
    <w:p w14:paraId="18AEEE9F" w14:textId="77777777" w:rsidR="00072206" w:rsidRDefault="00072206" w:rsidP="002335E7">
      <w:pPr>
        <w:spacing w:after="0" w:line="360" w:lineRule="auto"/>
        <w:ind w:left="567" w:right="567"/>
        <w:contextualSpacing/>
        <w:rPr>
          <w:b/>
          <w:bCs/>
          <w:i/>
          <w:sz w:val="20"/>
          <w:szCs w:val="20"/>
        </w:rPr>
      </w:pPr>
    </w:p>
    <w:p w14:paraId="0DA243E2" w14:textId="77777777" w:rsidR="00E22EA8" w:rsidRPr="00D05FA6" w:rsidRDefault="00EE2207" w:rsidP="002335E7">
      <w:pPr>
        <w:pStyle w:val="Ttulo2"/>
        <w:spacing w:before="0" w:after="0" w:line="360" w:lineRule="auto"/>
        <w:contextualSpacing/>
        <w:rPr>
          <w:sz w:val="22"/>
          <w:szCs w:val="22"/>
        </w:rPr>
      </w:pPr>
      <w:bookmarkStart w:id="6" w:name="_Toc219388547"/>
      <w:r w:rsidRPr="00D05FA6">
        <w:rPr>
          <w:sz w:val="22"/>
          <w:szCs w:val="22"/>
        </w:rPr>
        <w:lastRenderedPageBreak/>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6"/>
    </w:p>
    <w:p w14:paraId="2512F159" w14:textId="77777777" w:rsidR="009B2DAB" w:rsidRPr="00D05FA6" w:rsidRDefault="009B2DAB" w:rsidP="002335E7">
      <w:pPr>
        <w:spacing w:after="0" w:line="360" w:lineRule="auto"/>
        <w:contextualSpacing/>
        <w:rPr>
          <w:b/>
          <w:bCs/>
        </w:rPr>
      </w:pPr>
    </w:p>
    <w:p w14:paraId="62C1984E" w14:textId="1C9EEB62" w:rsidR="00FA5C01" w:rsidRPr="00D05FA6" w:rsidRDefault="00FA5C01" w:rsidP="002335E7">
      <w:pPr>
        <w:spacing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 xml:space="preserve">El </w:t>
      </w:r>
      <w:r w:rsidR="00652BD8">
        <w:rPr>
          <w:rFonts w:cs="Tahoma"/>
        </w:rPr>
        <w:t>tres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D05FA6" w:rsidRDefault="005914EE" w:rsidP="002335E7">
      <w:pPr>
        <w:spacing w:after="0" w:line="360" w:lineRule="auto"/>
        <w:contextualSpacing/>
        <w:rPr>
          <w:b/>
          <w:bCs/>
        </w:rPr>
      </w:pPr>
    </w:p>
    <w:p w14:paraId="791C0E36" w14:textId="624907DC" w:rsidR="00E22EA8" w:rsidRPr="00D05FA6" w:rsidRDefault="00E22EA8" w:rsidP="002335E7">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652BD8">
        <w:t>ocho 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Pr="00D05FA6" w:rsidRDefault="00992530" w:rsidP="002335E7">
      <w:pPr>
        <w:spacing w:after="0" w:line="360" w:lineRule="auto"/>
        <w:contextualSpacing/>
      </w:pPr>
    </w:p>
    <w:p w14:paraId="51FE8A13" w14:textId="77777777" w:rsidR="00572C64" w:rsidRPr="00D05FA6" w:rsidRDefault="00572C64" w:rsidP="002335E7">
      <w:pPr>
        <w:spacing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2335E7">
      <w:pPr>
        <w:spacing w:line="360" w:lineRule="auto"/>
        <w:contextualSpacing/>
        <w:rPr>
          <w:rFonts w:cs="Tahoma"/>
        </w:rPr>
      </w:pPr>
    </w:p>
    <w:p w14:paraId="066CF58E" w14:textId="77777777" w:rsidR="00572C64" w:rsidRPr="00D05FA6" w:rsidRDefault="00572C64" w:rsidP="002335E7">
      <w:pPr>
        <w:spacing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2335E7">
      <w:pPr>
        <w:spacing w:after="0" w:line="360" w:lineRule="auto"/>
        <w:contextualSpacing/>
        <w:rPr>
          <w:rFonts w:cs="Tahoma"/>
        </w:rPr>
      </w:pPr>
    </w:p>
    <w:p w14:paraId="47423890" w14:textId="68AEDCA8" w:rsidR="00FA5C01" w:rsidRPr="00D05FA6" w:rsidRDefault="00FA5C01" w:rsidP="002335E7">
      <w:pPr>
        <w:spacing w:line="360" w:lineRule="auto"/>
        <w:contextualSpacing/>
        <w:rPr>
          <w:rFonts w:cs="Tahoma"/>
        </w:rPr>
      </w:pPr>
      <w:r w:rsidRPr="00D05FA6">
        <w:rPr>
          <w:rFonts w:cs="Tahoma"/>
          <w:b/>
        </w:rPr>
        <w:t>e). Acumulación de los asuntos.</w:t>
      </w:r>
      <w:r w:rsidRPr="00D05FA6">
        <w:rPr>
          <w:rFonts w:cs="Tahoma"/>
        </w:rPr>
        <w:t xml:space="preserve"> </w:t>
      </w:r>
      <w:r w:rsidRPr="003E1BF2">
        <w:rPr>
          <w:rFonts w:cs="Tahoma"/>
        </w:rPr>
        <w:t>El</w:t>
      </w:r>
      <w:r w:rsidR="00572C64" w:rsidRPr="003E1BF2">
        <w:rPr>
          <w:rFonts w:cs="Tahoma"/>
        </w:rPr>
        <w:t xml:space="preserve"> </w:t>
      </w:r>
      <w:r w:rsidR="00652BD8">
        <w:rPr>
          <w:rFonts w:cs="Tahoma"/>
        </w:rPr>
        <w:t>dieciocho de diciembre</w:t>
      </w:r>
      <w:r w:rsidRPr="00D05FA6">
        <w:rPr>
          <w:rFonts w:eastAsia="Calibri" w:cs="Tahoma"/>
          <w:lang w:eastAsia="en-US"/>
        </w:rPr>
        <w:t xml:space="preserve"> de dos mil veinticinco</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652BD8" w:rsidRPr="000A78A0">
        <w:rPr>
          <w:rFonts w:eastAsia="Calibri" w:cs="Tahoma"/>
          <w:lang w:eastAsia="en-US"/>
        </w:rPr>
        <w:t>,</w:t>
      </w:r>
      <w:r w:rsidR="00652BD8">
        <w:rPr>
          <w:rFonts w:eastAsia="Calibri" w:cs="Tahoma"/>
          <w:lang w:eastAsia="en-US"/>
        </w:rPr>
        <w:t xml:space="preserve"> </w:t>
      </w:r>
      <w:r w:rsidR="009222BA">
        <w:rPr>
          <w:rFonts w:cs="Tahoma"/>
          <w:b/>
          <w:bCs/>
          <w:color w:val="0D0D0D" w:themeColor="text1" w:themeTint="F2"/>
        </w:rPr>
        <w:t>13416</w:t>
      </w:r>
      <w:r w:rsidR="009222BA" w:rsidRPr="00123222">
        <w:rPr>
          <w:rFonts w:cs="Tahoma"/>
          <w:b/>
          <w:bCs/>
          <w:color w:val="0D0D0D" w:themeColor="text1" w:themeTint="F2"/>
        </w:rPr>
        <w:t>/INFOEM/IP/RR/2025</w:t>
      </w:r>
      <w:r w:rsidR="009222BA">
        <w:rPr>
          <w:rFonts w:cs="Tahoma"/>
          <w:b/>
          <w:bCs/>
          <w:color w:val="0D0D0D" w:themeColor="text1" w:themeTint="F2"/>
        </w:rPr>
        <w:t>,</w:t>
      </w:r>
      <w:r w:rsidR="009222BA" w:rsidRPr="00123222">
        <w:rPr>
          <w:rFonts w:cs="Tahoma"/>
          <w:b/>
          <w:bCs/>
          <w:color w:val="0D0D0D" w:themeColor="text1" w:themeTint="F2"/>
        </w:rPr>
        <w:t xml:space="preserve"> </w:t>
      </w:r>
      <w:r w:rsidR="009222BA">
        <w:rPr>
          <w:rFonts w:cs="Tahoma"/>
          <w:b/>
          <w:bCs/>
          <w:color w:val="0D0D0D" w:themeColor="text1" w:themeTint="F2"/>
        </w:rPr>
        <w:t>13421</w:t>
      </w:r>
      <w:r w:rsidR="009222BA" w:rsidRPr="00123222">
        <w:rPr>
          <w:rFonts w:cs="Tahoma"/>
          <w:b/>
          <w:bCs/>
          <w:color w:val="0D0D0D" w:themeColor="text1" w:themeTint="F2"/>
        </w:rPr>
        <w:t>/INFOEM/IP/RR/2025</w:t>
      </w:r>
      <w:r w:rsidR="009222BA">
        <w:rPr>
          <w:rFonts w:cs="Tahoma"/>
          <w:b/>
          <w:bCs/>
          <w:color w:val="0D0D0D" w:themeColor="text1" w:themeTint="F2"/>
        </w:rPr>
        <w:t>,</w:t>
      </w:r>
      <w:r w:rsidR="009222BA" w:rsidRPr="00123222">
        <w:rPr>
          <w:rFonts w:cs="Tahoma"/>
          <w:b/>
          <w:bCs/>
          <w:color w:val="0D0D0D" w:themeColor="text1" w:themeTint="F2"/>
        </w:rPr>
        <w:t xml:space="preserve"> </w:t>
      </w:r>
      <w:r w:rsidR="009222BA">
        <w:rPr>
          <w:rFonts w:cs="Tahoma"/>
          <w:b/>
          <w:bCs/>
          <w:color w:val="0D0D0D" w:themeColor="text1" w:themeTint="F2"/>
        </w:rPr>
        <w:t>13426</w:t>
      </w:r>
      <w:r w:rsidR="009222BA" w:rsidRPr="00123222">
        <w:rPr>
          <w:rFonts w:cs="Tahoma"/>
          <w:b/>
          <w:bCs/>
          <w:color w:val="0D0D0D" w:themeColor="text1" w:themeTint="F2"/>
        </w:rPr>
        <w:t>/INFOEM/IP/RR/2025</w:t>
      </w:r>
      <w:r w:rsidR="009222BA">
        <w:rPr>
          <w:rFonts w:cs="Tahoma"/>
          <w:b/>
          <w:bCs/>
          <w:color w:val="0D0D0D" w:themeColor="text1" w:themeTint="F2"/>
        </w:rPr>
        <w:t xml:space="preserve"> y </w:t>
      </w:r>
      <w:r w:rsidR="009222BA">
        <w:rPr>
          <w:rFonts w:cs="Tahoma"/>
          <w:b/>
          <w:bCs/>
          <w:color w:val="0D0D0D" w:themeColor="text1" w:themeTint="F2"/>
        </w:rPr>
        <w:lastRenderedPageBreak/>
        <w:t>13431</w:t>
      </w:r>
      <w:r w:rsidR="009222BA" w:rsidRPr="00123222">
        <w:rPr>
          <w:rFonts w:cs="Tahoma"/>
          <w:b/>
          <w:bCs/>
          <w:color w:val="0D0D0D" w:themeColor="text1" w:themeTint="F2"/>
        </w:rPr>
        <w:t>/INFOEM/IP/RR/2025</w:t>
      </w:r>
      <w:r w:rsidR="009222BA">
        <w:rPr>
          <w:rFonts w:cs="Tahoma"/>
          <w:b/>
          <w:bCs/>
          <w:color w:val="0D0D0D" w:themeColor="text1" w:themeTint="F2"/>
        </w:rPr>
        <w:t xml:space="preserve"> </w:t>
      </w:r>
      <w:r w:rsidR="009222BA" w:rsidRPr="009222BA">
        <w:rPr>
          <w:rFonts w:cs="Tahoma"/>
          <w:bCs/>
          <w:color w:val="0D0D0D" w:themeColor="text1" w:themeTint="F2"/>
        </w:rPr>
        <w:t>al diverso</w:t>
      </w:r>
      <w:r w:rsidR="009222BA">
        <w:rPr>
          <w:rFonts w:cs="Tahoma"/>
          <w:b/>
          <w:bCs/>
          <w:color w:val="0D0D0D" w:themeColor="text1" w:themeTint="F2"/>
        </w:rPr>
        <w:t xml:space="preserve"> </w:t>
      </w:r>
      <w:r w:rsidR="009222BA">
        <w:rPr>
          <w:rFonts w:cs="Tahoma"/>
          <w:b/>
          <w:bCs/>
        </w:rPr>
        <w:t>13411</w:t>
      </w:r>
      <w:r w:rsidR="009222BA" w:rsidRPr="00D05FA6">
        <w:rPr>
          <w:rFonts w:eastAsia="Calibri" w:cs="Tahoma"/>
          <w:b/>
          <w:lang w:eastAsia="en-U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2335E7">
      <w:pPr>
        <w:spacing w:after="0" w:line="360" w:lineRule="auto"/>
        <w:contextualSpacing/>
        <w:rPr>
          <w:rFonts w:cs="Tahoma"/>
        </w:rPr>
      </w:pPr>
    </w:p>
    <w:p w14:paraId="341B96DD" w14:textId="3E5453C7" w:rsidR="00E22EA8" w:rsidRPr="00D05FA6" w:rsidRDefault="00CD16BA" w:rsidP="002335E7">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652BD8">
        <w:rPr>
          <w:rFonts w:cs="Tahoma"/>
        </w:rPr>
        <w:t>dieciocho de diciembre</w:t>
      </w:r>
      <w:r w:rsidR="00652BD8" w:rsidRPr="00D05FA6">
        <w:rPr>
          <w:rFonts w:eastAsia="Calibri" w:cs="Tahoma"/>
          <w:lang w:eastAsia="en-US"/>
        </w:rPr>
        <w:t xml:space="preserve"> </w:t>
      </w:r>
      <w:r w:rsidR="005C3BAC" w:rsidRPr="00D05FA6">
        <w:rPr>
          <w:rFonts w:eastAsia="Times New Roman" w:cs="Tahoma"/>
          <w:szCs w:val="24"/>
          <w:lang w:eastAsia="es-ES"/>
        </w:rPr>
        <w:t>de dos mil veinticinco</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2335E7">
      <w:pPr>
        <w:spacing w:after="0" w:line="360" w:lineRule="auto"/>
        <w:contextualSpacing/>
        <w:rPr>
          <w:b/>
          <w:bCs/>
          <w:lang w:val="es-ES"/>
        </w:rPr>
      </w:pPr>
    </w:p>
    <w:p w14:paraId="7CA87610" w14:textId="77777777" w:rsidR="005C690F" w:rsidRPr="00D05FA6" w:rsidRDefault="007D6307" w:rsidP="002335E7">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2335E7">
      <w:pPr>
        <w:spacing w:after="0" w:line="360" w:lineRule="auto"/>
        <w:contextualSpacing/>
      </w:pPr>
    </w:p>
    <w:p w14:paraId="7B5A392E" w14:textId="77777777" w:rsidR="005C690F" w:rsidRPr="00D05FA6" w:rsidRDefault="00CD6238" w:rsidP="002335E7">
      <w:pPr>
        <w:pStyle w:val="Ttulo1"/>
        <w:spacing w:before="0" w:after="0" w:line="360" w:lineRule="auto"/>
        <w:contextualSpacing/>
        <w:jc w:val="center"/>
        <w:rPr>
          <w:sz w:val="22"/>
          <w:szCs w:val="22"/>
        </w:rPr>
      </w:pPr>
      <w:bookmarkStart w:id="7" w:name="_Toc219388548"/>
      <w:r w:rsidRPr="00D05FA6">
        <w:rPr>
          <w:sz w:val="22"/>
          <w:szCs w:val="22"/>
        </w:rPr>
        <w:t>C O N S I D E R A N D O S</w:t>
      </w:r>
      <w:bookmarkEnd w:id="7"/>
    </w:p>
    <w:p w14:paraId="4F508AC7" w14:textId="77777777" w:rsidR="006F62BB" w:rsidRPr="00D05FA6" w:rsidRDefault="006F62BB" w:rsidP="002335E7">
      <w:pPr>
        <w:spacing w:after="0" w:line="360" w:lineRule="auto"/>
        <w:contextualSpacing/>
        <w:rPr>
          <w:b/>
        </w:rPr>
      </w:pPr>
    </w:p>
    <w:p w14:paraId="5FE8D1E0" w14:textId="77777777" w:rsidR="005C690F" w:rsidRPr="00D05FA6" w:rsidRDefault="007D6307" w:rsidP="002335E7">
      <w:pPr>
        <w:pStyle w:val="Ttulo2"/>
        <w:spacing w:before="0" w:after="0" w:line="360" w:lineRule="auto"/>
        <w:contextualSpacing/>
        <w:rPr>
          <w:sz w:val="22"/>
          <w:szCs w:val="22"/>
        </w:rPr>
      </w:pPr>
      <w:bookmarkStart w:id="8" w:name="_Toc219388549"/>
      <w:r w:rsidRPr="00D05FA6">
        <w:rPr>
          <w:sz w:val="22"/>
          <w:szCs w:val="22"/>
        </w:rPr>
        <w:t xml:space="preserve">PRIMERO. </w:t>
      </w:r>
      <w:r w:rsidR="00CD6238" w:rsidRPr="00D05FA6">
        <w:rPr>
          <w:sz w:val="22"/>
          <w:szCs w:val="22"/>
        </w:rPr>
        <w:t>Competencia</w:t>
      </w:r>
      <w:bookmarkEnd w:id="8"/>
    </w:p>
    <w:p w14:paraId="01C87990" w14:textId="77777777" w:rsidR="007A1ACB" w:rsidRPr="00D05FA6" w:rsidRDefault="007A1ACB" w:rsidP="002335E7">
      <w:pPr>
        <w:spacing w:after="0" w:line="360" w:lineRule="auto"/>
        <w:contextualSpacing/>
        <w:rPr>
          <w:b/>
        </w:rPr>
      </w:pPr>
    </w:p>
    <w:p w14:paraId="02EC2E1B" w14:textId="77777777" w:rsidR="00E61B38" w:rsidRPr="00D05FA6" w:rsidRDefault="00E61B38" w:rsidP="002335E7">
      <w:pPr>
        <w:spacing w:line="360" w:lineRule="auto"/>
        <w:contextualSpacing/>
        <w:rPr>
          <w:rFonts w:cs="Tahoma"/>
          <w:bCs/>
        </w:rPr>
      </w:pPr>
      <w:bookmarkStart w:id="9" w:name="_heading=h.30j0zll" w:colFirst="0" w:colLast="0"/>
      <w:bookmarkEnd w:id="9"/>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xml:space="preserve">, fracciones IV y V de la Constitución Política del Estado Libre y Soberano de México; Cuarto Transitorio, párrafo segundo del Decreto número 198 de la “LXII” Legislatura del </w:t>
      </w:r>
      <w:r w:rsidRPr="00D05FA6">
        <w:rPr>
          <w:rFonts w:cs="Tahoma"/>
          <w:bCs/>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2335E7">
      <w:pPr>
        <w:spacing w:after="0" w:line="360" w:lineRule="auto"/>
        <w:contextualSpacing/>
        <w:rPr>
          <w:rFonts w:eastAsia="Times New Roman" w:cs="Tahoma"/>
          <w:bCs/>
          <w:lang w:eastAsia="es-ES"/>
        </w:rPr>
      </w:pPr>
    </w:p>
    <w:p w14:paraId="68FE6DE7" w14:textId="77777777" w:rsidR="005C690F" w:rsidRPr="00D05FA6" w:rsidRDefault="007D6307" w:rsidP="002335E7">
      <w:pPr>
        <w:pStyle w:val="Ttulo2"/>
        <w:spacing w:before="0" w:after="0" w:line="360" w:lineRule="auto"/>
        <w:contextualSpacing/>
        <w:rPr>
          <w:sz w:val="22"/>
          <w:szCs w:val="22"/>
        </w:rPr>
      </w:pPr>
      <w:bookmarkStart w:id="10" w:name="_Toc219388550"/>
      <w:r w:rsidRPr="00D05FA6">
        <w:rPr>
          <w:sz w:val="22"/>
          <w:szCs w:val="22"/>
        </w:rPr>
        <w:t>SEGUNDO. Causales de</w:t>
      </w:r>
      <w:r w:rsidR="00CD6238" w:rsidRPr="00D05FA6">
        <w:rPr>
          <w:sz w:val="22"/>
          <w:szCs w:val="22"/>
        </w:rPr>
        <w:t xml:space="preserve"> improcedencia y sobreseimiento</w:t>
      </w:r>
      <w:bookmarkEnd w:id="10"/>
    </w:p>
    <w:p w14:paraId="03CB1E19" w14:textId="77777777" w:rsidR="005C690F" w:rsidRPr="00D05FA6" w:rsidRDefault="005C690F" w:rsidP="002335E7">
      <w:pPr>
        <w:spacing w:after="0" w:line="360" w:lineRule="auto"/>
        <w:contextualSpacing/>
      </w:pPr>
    </w:p>
    <w:p w14:paraId="224E5D21" w14:textId="77777777" w:rsidR="005C690F" w:rsidRPr="00D05FA6" w:rsidRDefault="007D6307" w:rsidP="002335E7">
      <w:pPr>
        <w:spacing w:after="0" w:line="360" w:lineRule="auto"/>
        <w:contextualSpacing/>
      </w:pPr>
      <w:r w:rsidRPr="00D05FA6">
        <w:t xml:space="preserve">De las constancias que forma parte del Recurso de Revisión que se analiza, se advierte que previo al estudio del fondo de la </w:t>
      </w:r>
      <w:proofErr w:type="spellStart"/>
      <w:r w:rsidRPr="00D05FA6">
        <w:rPr>
          <w:i/>
        </w:rPr>
        <w:t>litis</w:t>
      </w:r>
      <w:proofErr w:type="spellEnd"/>
      <w:r w:rsidRPr="00D05FA6">
        <w:t>, es necesario estudiar las causales de improcedencia y sobreseimiento que se adviertan, para determinar lo que en Derecho proceda.</w:t>
      </w:r>
    </w:p>
    <w:p w14:paraId="33578FBC" w14:textId="77777777" w:rsidR="009B2DAB" w:rsidRPr="00D05FA6" w:rsidRDefault="009B2DAB" w:rsidP="002335E7">
      <w:pPr>
        <w:spacing w:after="0" w:line="360" w:lineRule="auto"/>
        <w:contextualSpacing/>
      </w:pPr>
    </w:p>
    <w:p w14:paraId="4131E37B" w14:textId="77777777" w:rsidR="005C690F" w:rsidRPr="00D05FA6" w:rsidRDefault="007D6307" w:rsidP="002335E7">
      <w:pPr>
        <w:spacing w:after="0" w:line="360" w:lineRule="auto"/>
        <w:contextualSpacing/>
        <w:rPr>
          <w:b/>
        </w:rPr>
      </w:pPr>
      <w:r w:rsidRPr="00D05FA6">
        <w:rPr>
          <w:b/>
        </w:rPr>
        <w:t>Causales de improcedencia</w:t>
      </w:r>
    </w:p>
    <w:p w14:paraId="31F0CAC3" w14:textId="77777777" w:rsidR="005C690F" w:rsidRPr="00D05FA6" w:rsidRDefault="005C690F" w:rsidP="002335E7">
      <w:pPr>
        <w:spacing w:after="0" w:line="360" w:lineRule="auto"/>
        <w:contextualSpacing/>
      </w:pPr>
    </w:p>
    <w:p w14:paraId="7D9F75F3" w14:textId="77777777" w:rsidR="005C690F" w:rsidRPr="00D05FA6" w:rsidRDefault="007D6307" w:rsidP="002335E7">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2335E7">
      <w:pPr>
        <w:spacing w:after="0" w:line="360" w:lineRule="auto"/>
        <w:contextualSpacing/>
      </w:pPr>
    </w:p>
    <w:p w14:paraId="77AAA7B4" w14:textId="77777777" w:rsidR="003A208C" w:rsidRPr="00D05FA6" w:rsidRDefault="007D6307" w:rsidP="002335E7">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w:t>
      </w:r>
      <w:r w:rsidRPr="00D05FA6">
        <w:lastRenderedPageBreak/>
        <w:t>respuesta no formó parte del agravio; ni se realizó una consulta o ampliación a los alcances del requerimiento informativo.</w:t>
      </w:r>
    </w:p>
    <w:p w14:paraId="68F0A650" w14:textId="77777777" w:rsidR="00754528" w:rsidRPr="00D05FA6" w:rsidRDefault="00754528" w:rsidP="002335E7">
      <w:pPr>
        <w:spacing w:after="0" w:line="360" w:lineRule="auto"/>
        <w:contextualSpacing/>
      </w:pPr>
    </w:p>
    <w:p w14:paraId="73294A10" w14:textId="77777777" w:rsidR="009A5186" w:rsidRPr="00D05FA6" w:rsidRDefault="009A5186" w:rsidP="002335E7">
      <w:pPr>
        <w:spacing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2335E7">
      <w:pPr>
        <w:spacing w:line="360" w:lineRule="auto"/>
        <w:contextualSpacing/>
        <w:rPr>
          <w:rFonts w:cs="Tahoma"/>
          <w:lang w:val="es-ES"/>
        </w:rPr>
      </w:pPr>
    </w:p>
    <w:p w14:paraId="55273B2A" w14:textId="77777777" w:rsidR="009A5186" w:rsidRPr="00D05FA6" w:rsidRDefault="009A5186" w:rsidP="002335E7">
      <w:pPr>
        <w:spacing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2335E7">
      <w:pPr>
        <w:spacing w:after="0" w:line="360" w:lineRule="auto"/>
        <w:contextualSpacing/>
        <w:rPr>
          <w:lang w:val="es-ES"/>
        </w:rPr>
      </w:pPr>
    </w:p>
    <w:p w14:paraId="1F527B18" w14:textId="77777777" w:rsidR="005C690F" w:rsidRPr="00D05FA6" w:rsidRDefault="007D6307" w:rsidP="002335E7">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2335E7">
      <w:pPr>
        <w:spacing w:after="0" w:line="360" w:lineRule="auto"/>
        <w:contextualSpacing/>
      </w:pPr>
    </w:p>
    <w:p w14:paraId="1E4C4E28" w14:textId="77777777" w:rsidR="005C690F" w:rsidRPr="00D05FA6" w:rsidRDefault="007D6307" w:rsidP="002335E7">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2335E7">
      <w:pPr>
        <w:spacing w:after="0" w:line="360" w:lineRule="auto"/>
        <w:contextualSpacing/>
      </w:pPr>
    </w:p>
    <w:p w14:paraId="09839DBD" w14:textId="77777777" w:rsidR="005C690F" w:rsidRPr="00D05FA6" w:rsidRDefault="007D6307" w:rsidP="002335E7">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 xml:space="preserve">Recurrente se haya desistido del recurso, haya fallecido, sobreviniera alguna causal de improcedencia, que el Sujeto </w:t>
      </w:r>
      <w:r w:rsidRPr="00D05FA6">
        <w:lastRenderedPageBreak/>
        <w:t>Obligado hubiese modificado o revocado el acto impugnado o bien, haya quedado sin materia.</w:t>
      </w:r>
    </w:p>
    <w:p w14:paraId="19470732" w14:textId="77777777" w:rsidR="00712ED6" w:rsidRPr="00D05FA6" w:rsidRDefault="00712ED6" w:rsidP="002335E7">
      <w:pPr>
        <w:spacing w:after="0" w:line="360" w:lineRule="auto"/>
        <w:contextualSpacing/>
      </w:pPr>
    </w:p>
    <w:p w14:paraId="54EBD118" w14:textId="77777777" w:rsidR="005C690F" w:rsidRPr="00D05FA6" w:rsidRDefault="007D6307" w:rsidP="002335E7">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2335E7">
      <w:pPr>
        <w:spacing w:after="0" w:line="360" w:lineRule="auto"/>
        <w:contextualSpacing/>
        <w:rPr>
          <w:b/>
        </w:rPr>
      </w:pPr>
    </w:p>
    <w:p w14:paraId="18A3A9CB" w14:textId="77777777" w:rsidR="005C690F" w:rsidRPr="00D05FA6" w:rsidRDefault="007D6307" w:rsidP="002335E7">
      <w:pPr>
        <w:pStyle w:val="Ttulo2"/>
        <w:spacing w:before="0" w:after="0" w:line="360" w:lineRule="auto"/>
        <w:contextualSpacing/>
        <w:rPr>
          <w:sz w:val="22"/>
          <w:szCs w:val="22"/>
        </w:rPr>
      </w:pPr>
      <w:bookmarkStart w:id="11" w:name="_Toc219388551"/>
      <w:r w:rsidRPr="00D05FA6">
        <w:rPr>
          <w:sz w:val="22"/>
          <w:szCs w:val="22"/>
        </w:rPr>
        <w:t>TERCERO. De</w:t>
      </w:r>
      <w:r w:rsidR="00CD6238" w:rsidRPr="00D05FA6">
        <w:rPr>
          <w:sz w:val="22"/>
          <w:szCs w:val="22"/>
        </w:rPr>
        <w:t>terminación de la Controversia</w:t>
      </w:r>
      <w:bookmarkEnd w:id="11"/>
    </w:p>
    <w:p w14:paraId="59B5924F" w14:textId="77777777" w:rsidR="00897A05" w:rsidRPr="00D05FA6" w:rsidRDefault="00897A05" w:rsidP="002335E7">
      <w:pPr>
        <w:spacing w:after="0" w:line="360" w:lineRule="auto"/>
        <w:contextualSpacing/>
        <w:rPr>
          <w:b/>
        </w:rPr>
      </w:pPr>
    </w:p>
    <w:p w14:paraId="25BAB811" w14:textId="37A8C9DA" w:rsidR="009A21E5" w:rsidRDefault="007C7BAF" w:rsidP="002335E7">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2335E7">
      <w:pPr>
        <w:spacing w:after="0" w:line="360" w:lineRule="auto"/>
        <w:contextualSpacing/>
        <w:rPr>
          <w:rFonts w:cs="Tahoma"/>
        </w:rPr>
      </w:pPr>
    </w:p>
    <w:p w14:paraId="790B3ED5" w14:textId="77777777" w:rsidR="009A5186" w:rsidRPr="00D05FA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D05FA6" w:rsidRDefault="009A5186" w:rsidP="002335E7">
      <w:pPr>
        <w:tabs>
          <w:tab w:val="left" w:pos="4962"/>
        </w:tabs>
        <w:spacing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D05FA6" w:rsidRDefault="009A5186" w:rsidP="002335E7">
      <w:pPr>
        <w:tabs>
          <w:tab w:val="left" w:pos="4962"/>
        </w:tabs>
        <w:spacing w:line="360" w:lineRule="auto"/>
        <w:contextualSpacing/>
        <w:rPr>
          <w:rFonts w:eastAsia="Calibri" w:cs="Tahoma"/>
          <w:bCs/>
        </w:rPr>
      </w:pPr>
    </w:p>
    <w:p w14:paraId="04EB0485" w14:textId="77777777" w:rsidR="005C690F" w:rsidRPr="00D05FA6" w:rsidRDefault="007D6307" w:rsidP="002335E7">
      <w:pPr>
        <w:pStyle w:val="Ttulo2"/>
        <w:spacing w:before="0" w:after="0" w:line="360" w:lineRule="auto"/>
        <w:contextualSpacing/>
        <w:rPr>
          <w:sz w:val="22"/>
          <w:szCs w:val="22"/>
        </w:rPr>
      </w:pPr>
      <w:bookmarkStart w:id="12" w:name="_Toc219388552"/>
      <w:r w:rsidRPr="00D05FA6">
        <w:rPr>
          <w:sz w:val="22"/>
          <w:szCs w:val="22"/>
        </w:rPr>
        <w:t xml:space="preserve">CUARTO. Marco normativo aplicable en materia de transparencia y </w:t>
      </w:r>
      <w:r w:rsidR="00CD6238" w:rsidRPr="00D05FA6">
        <w:rPr>
          <w:sz w:val="22"/>
          <w:szCs w:val="22"/>
        </w:rPr>
        <w:t>acceso a la información pública</w:t>
      </w:r>
      <w:bookmarkEnd w:id="12"/>
    </w:p>
    <w:p w14:paraId="4719168B" w14:textId="77777777" w:rsidR="005C690F" w:rsidRPr="00D05FA6" w:rsidRDefault="005C690F" w:rsidP="002335E7">
      <w:pPr>
        <w:spacing w:after="0" w:line="360" w:lineRule="auto"/>
        <w:contextualSpacing/>
      </w:pPr>
    </w:p>
    <w:p w14:paraId="28829D20" w14:textId="77777777" w:rsidR="005C690F" w:rsidRPr="00D05FA6" w:rsidRDefault="007D6307" w:rsidP="002335E7">
      <w:pPr>
        <w:spacing w:after="0" w:line="360" w:lineRule="auto"/>
        <w:contextualSpacing/>
      </w:pPr>
      <w:r w:rsidRPr="00D05FA6">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2335E7">
      <w:pPr>
        <w:spacing w:after="0" w:line="360" w:lineRule="auto"/>
        <w:contextualSpacing/>
      </w:pPr>
    </w:p>
    <w:p w14:paraId="6DFD6297" w14:textId="77777777" w:rsidR="005C690F" w:rsidRPr="00D05FA6" w:rsidRDefault="007D6307" w:rsidP="002335E7">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2335E7">
      <w:pPr>
        <w:spacing w:after="0" w:line="360" w:lineRule="auto"/>
        <w:contextualSpacing/>
      </w:pPr>
    </w:p>
    <w:p w14:paraId="4A8ED314" w14:textId="77777777" w:rsidR="005C690F" w:rsidRPr="00D05FA6" w:rsidRDefault="007D6307" w:rsidP="002335E7">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2335E7">
      <w:pPr>
        <w:spacing w:after="0" w:line="360" w:lineRule="auto"/>
        <w:contextualSpacing/>
      </w:pPr>
    </w:p>
    <w:p w14:paraId="321BC72E" w14:textId="77777777" w:rsidR="005C690F" w:rsidRPr="00D05FA6" w:rsidRDefault="007D6307" w:rsidP="002335E7">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2335E7">
      <w:pPr>
        <w:spacing w:after="0" w:line="360" w:lineRule="auto"/>
        <w:contextualSpacing/>
      </w:pPr>
    </w:p>
    <w:p w14:paraId="327E54EC" w14:textId="77777777" w:rsidR="005C690F" w:rsidRPr="00D05FA6" w:rsidRDefault="007D6307" w:rsidP="002335E7">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2335E7">
      <w:pPr>
        <w:widowControl w:val="0"/>
        <w:spacing w:after="0" w:line="360" w:lineRule="auto"/>
        <w:contextualSpacing/>
      </w:pPr>
    </w:p>
    <w:p w14:paraId="3641A7E4" w14:textId="77777777" w:rsidR="00B04A35" w:rsidRPr="00D05FA6" w:rsidRDefault="007D6307" w:rsidP="002335E7">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D05FA6" w:rsidRDefault="005C690F" w:rsidP="002335E7">
      <w:pPr>
        <w:spacing w:after="0" w:line="360" w:lineRule="auto"/>
        <w:contextualSpacing/>
      </w:pPr>
    </w:p>
    <w:p w14:paraId="1D4BAB98" w14:textId="77777777" w:rsidR="005C690F" w:rsidRPr="00D05FA6" w:rsidRDefault="00CD6238" w:rsidP="002335E7">
      <w:pPr>
        <w:pStyle w:val="Ttulo2"/>
        <w:spacing w:before="0" w:after="0" w:line="360" w:lineRule="auto"/>
        <w:contextualSpacing/>
        <w:rPr>
          <w:sz w:val="22"/>
          <w:szCs w:val="22"/>
        </w:rPr>
      </w:pPr>
      <w:bookmarkStart w:id="13" w:name="_Toc219388553"/>
      <w:r w:rsidRPr="00D05FA6">
        <w:rPr>
          <w:sz w:val="22"/>
          <w:szCs w:val="22"/>
        </w:rPr>
        <w:t>Q</w:t>
      </w:r>
      <w:r w:rsidR="0044017B" w:rsidRPr="00D05FA6">
        <w:rPr>
          <w:sz w:val="22"/>
          <w:szCs w:val="22"/>
        </w:rPr>
        <w:t>UINTO</w:t>
      </w:r>
      <w:r w:rsidRPr="00D05FA6">
        <w:rPr>
          <w:sz w:val="22"/>
          <w:szCs w:val="22"/>
        </w:rPr>
        <w:t>. Estudio de Fondo</w:t>
      </w:r>
      <w:bookmarkEnd w:id="13"/>
    </w:p>
    <w:p w14:paraId="7B02A1EF" w14:textId="77777777" w:rsidR="00A56228" w:rsidRPr="00D05FA6" w:rsidRDefault="00A56228" w:rsidP="002335E7">
      <w:pPr>
        <w:spacing w:after="0" w:line="360" w:lineRule="auto"/>
        <w:contextualSpacing/>
        <w:rPr>
          <w:b/>
        </w:rPr>
      </w:pPr>
    </w:p>
    <w:p w14:paraId="2F0B451D" w14:textId="77777777" w:rsidR="00DF3B23" w:rsidRPr="00D05FA6" w:rsidRDefault="00DF3B23" w:rsidP="002335E7">
      <w:pPr>
        <w:spacing w:line="360" w:lineRule="auto"/>
        <w:contextualSpacing/>
        <w:rPr>
          <w:rFonts w:cs="Tahoma"/>
          <w:iCs/>
        </w:rPr>
      </w:pPr>
      <w:r w:rsidRPr="00D05FA6">
        <w:rPr>
          <w:rFonts w:cs="Tahoma"/>
          <w:iCs/>
        </w:rPr>
        <w:lastRenderedPageBreak/>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2335E7">
      <w:pPr>
        <w:spacing w:line="360" w:lineRule="auto"/>
        <w:contextualSpacing/>
        <w:rPr>
          <w:rFonts w:cs="Tahoma"/>
          <w:iCs/>
        </w:rPr>
      </w:pPr>
    </w:p>
    <w:p w14:paraId="35CDC262" w14:textId="77777777" w:rsidR="00DF3B23" w:rsidRPr="00D05FA6" w:rsidRDefault="00DF3B23" w:rsidP="002335E7">
      <w:pPr>
        <w:spacing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D05FA6" w:rsidRDefault="00DF3B23" w:rsidP="002335E7">
      <w:pPr>
        <w:spacing w:line="360" w:lineRule="auto"/>
        <w:contextualSpacing/>
        <w:rPr>
          <w:rFonts w:cs="Tahoma"/>
          <w:iCs/>
        </w:rPr>
      </w:pPr>
    </w:p>
    <w:p w14:paraId="6C8FB680"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2335E7">
      <w:pPr>
        <w:spacing w:line="360" w:lineRule="auto"/>
        <w:ind w:left="720"/>
        <w:contextualSpacing/>
        <w:rPr>
          <w:rFonts w:cs="Tahoma"/>
          <w:iCs/>
        </w:rPr>
      </w:pPr>
    </w:p>
    <w:p w14:paraId="5A51049F"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2335E7">
      <w:pPr>
        <w:pStyle w:val="Prrafodelista"/>
        <w:spacing w:line="360" w:lineRule="auto"/>
        <w:rPr>
          <w:rFonts w:cs="Tahoma"/>
          <w:iCs/>
          <w:szCs w:val="22"/>
        </w:rPr>
      </w:pPr>
    </w:p>
    <w:p w14:paraId="228356C7"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2335E7">
      <w:pPr>
        <w:spacing w:line="360" w:lineRule="auto"/>
        <w:contextualSpacing/>
        <w:rPr>
          <w:rFonts w:cs="Tahoma"/>
          <w:iCs/>
        </w:rPr>
      </w:pPr>
    </w:p>
    <w:p w14:paraId="06444838" w14:textId="77777777" w:rsidR="00DF3B23" w:rsidRPr="00D05FA6" w:rsidRDefault="00DF3B23" w:rsidP="002335E7">
      <w:pPr>
        <w:spacing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2335E7">
      <w:pPr>
        <w:spacing w:line="360" w:lineRule="auto"/>
        <w:contextualSpacing/>
        <w:rPr>
          <w:rFonts w:cs="Tahoma"/>
          <w:iCs/>
        </w:rPr>
      </w:pPr>
    </w:p>
    <w:p w14:paraId="225A1210" w14:textId="77777777" w:rsidR="00DF3B23" w:rsidRPr="00D05FA6" w:rsidRDefault="00DF3B23" w:rsidP="002335E7">
      <w:pPr>
        <w:spacing w:line="360" w:lineRule="auto"/>
        <w:contextualSpacing/>
        <w:rPr>
          <w:rFonts w:cs="Tahoma"/>
          <w:iCs/>
        </w:rPr>
      </w:pPr>
      <w:r w:rsidRPr="00D05FA6">
        <w:rPr>
          <w:rFonts w:cs="Tahoma"/>
          <w:iCs/>
        </w:rPr>
        <w:lastRenderedPageBreak/>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2335E7">
      <w:pPr>
        <w:spacing w:line="360" w:lineRule="auto"/>
        <w:contextualSpacing/>
        <w:rPr>
          <w:rFonts w:cs="Tahoma"/>
          <w:iCs/>
        </w:rPr>
      </w:pPr>
    </w:p>
    <w:p w14:paraId="1700B4E1" w14:textId="77777777" w:rsidR="00DF3B23" w:rsidRPr="00D05FA6" w:rsidRDefault="00DF3B23" w:rsidP="002335E7">
      <w:pPr>
        <w:spacing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2335E7">
      <w:pPr>
        <w:spacing w:line="360" w:lineRule="auto"/>
        <w:contextualSpacing/>
        <w:rPr>
          <w:rFonts w:cs="Tahoma"/>
          <w:iCs/>
        </w:rPr>
      </w:pPr>
    </w:p>
    <w:p w14:paraId="425E9EF5"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2335E7">
      <w:pPr>
        <w:spacing w:line="360" w:lineRule="auto"/>
        <w:ind w:left="720"/>
        <w:contextualSpacing/>
        <w:rPr>
          <w:rFonts w:cs="Tahoma"/>
          <w:iCs/>
        </w:rPr>
      </w:pPr>
    </w:p>
    <w:p w14:paraId="3272B7A4"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2335E7">
      <w:pPr>
        <w:pStyle w:val="Prrafodelista"/>
        <w:spacing w:line="360" w:lineRule="auto"/>
        <w:rPr>
          <w:rFonts w:cs="Tahoma"/>
          <w:iCs/>
          <w:szCs w:val="22"/>
        </w:rPr>
      </w:pPr>
    </w:p>
    <w:p w14:paraId="58055119"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w:t>
      </w:r>
      <w:r w:rsidRPr="00D05FA6">
        <w:rPr>
          <w:rFonts w:cs="Tahoma"/>
          <w:iCs/>
        </w:rPr>
        <w:lastRenderedPageBreak/>
        <w:t>ampliarse por siete días hábiles más, cuando existan razones fundadas y motivadas, a través del Comité de Transparencia;</w:t>
      </w:r>
    </w:p>
    <w:p w14:paraId="5F051F65" w14:textId="77777777" w:rsidR="00DF3B23" w:rsidRPr="00D05FA6" w:rsidRDefault="00DF3B23" w:rsidP="002335E7">
      <w:pPr>
        <w:pStyle w:val="Prrafodelista"/>
        <w:spacing w:line="360" w:lineRule="auto"/>
        <w:rPr>
          <w:rFonts w:cs="Tahoma"/>
          <w:iCs/>
          <w:szCs w:val="22"/>
        </w:rPr>
      </w:pPr>
    </w:p>
    <w:p w14:paraId="6292546F"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2335E7">
      <w:pPr>
        <w:spacing w:line="360" w:lineRule="auto"/>
        <w:contextualSpacing/>
        <w:rPr>
          <w:rFonts w:cs="Tahoma"/>
          <w:iCs/>
        </w:rPr>
      </w:pPr>
    </w:p>
    <w:p w14:paraId="70C53E26"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2335E7">
      <w:pPr>
        <w:pStyle w:val="Prrafodelista"/>
        <w:spacing w:line="360" w:lineRule="auto"/>
        <w:rPr>
          <w:rFonts w:cs="Tahoma"/>
          <w:iCs/>
          <w:szCs w:val="22"/>
        </w:rPr>
      </w:pPr>
    </w:p>
    <w:p w14:paraId="1F949CC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2335E7">
      <w:pPr>
        <w:spacing w:line="360" w:lineRule="auto"/>
        <w:contextualSpacing/>
        <w:rPr>
          <w:rFonts w:cs="Tahoma"/>
          <w:iCs/>
        </w:rPr>
      </w:pPr>
    </w:p>
    <w:p w14:paraId="13459184" w14:textId="7A54A117" w:rsidR="00DF3B23" w:rsidRPr="00D05FA6" w:rsidRDefault="00DF3B23" w:rsidP="002335E7">
      <w:pPr>
        <w:spacing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6C6CE7">
        <w:rPr>
          <w:rFonts w:cs="Tahoma"/>
          <w:iCs/>
        </w:rPr>
        <w:t>diez de noviembre</w:t>
      </w:r>
      <w:r w:rsidRPr="00D05FA6">
        <w:rPr>
          <w:rFonts w:cs="Tahoma"/>
          <w:iCs/>
        </w:rPr>
        <w:t xml:space="preserve"> de dos mil veinticinco.</w:t>
      </w:r>
    </w:p>
    <w:p w14:paraId="6EEC214F" w14:textId="77777777" w:rsidR="00DF3B23" w:rsidRPr="00D05FA6" w:rsidRDefault="00DF3B23" w:rsidP="002335E7">
      <w:pPr>
        <w:spacing w:line="360" w:lineRule="auto"/>
        <w:contextualSpacing/>
        <w:rPr>
          <w:rFonts w:cs="Tahoma"/>
          <w:iCs/>
        </w:rPr>
      </w:pPr>
    </w:p>
    <w:p w14:paraId="73C6C1EA" w14:textId="41CB277F" w:rsidR="00DF3B23" w:rsidRPr="00D05FA6" w:rsidRDefault="00DF3B23" w:rsidP="002335E7">
      <w:pPr>
        <w:spacing w:line="360" w:lineRule="auto"/>
        <w:contextualSpacing/>
        <w:rPr>
          <w:rFonts w:cs="Tahoma"/>
          <w:iCs/>
        </w:rPr>
      </w:pPr>
      <w:r w:rsidRPr="00D05FA6">
        <w:rPr>
          <w:rFonts w:cs="Tahoma"/>
          <w:iCs/>
        </w:rPr>
        <w:lastRenderedPageBreak/>
        <w:t xml:space="preserve">En ese orden de ideas, el plazo con el que contaba el Sujeto Obligado para emitir contestación a los requerimientos informativos comenzó a correr el </w:t>
      </w:r>
      <w:r w:rsidR="006C6CE7">
        <w:rPr>
          <w:rFonts w:cs="Tahoma"/>
          <w:iCs/>
        </w:rPr>
        <w:t xml:space="preserve">once de noviembre </w:t>
      </w:r>
      <w:r w:rsidRPr="00D05FA6">
        <w:rPr>
          <w:rFonts w:cs="Tahoma"/>
          <w:iCs/>
        </w:rPr>
        <w:t xml:space="preserve">y feneció el </w:t>
      </w:r>
      <w:r w:rsidR="006C6CE7">
        <w:rPr>
          <w:rFonts w:cs="Tahoma"/>
          <w:iCs/>
        </w:rPr>
        <w:t xml:space="preserve">dos de diciembre </w:t>
      </w:r>
      <w:r w:rsidRPr="00D05FA6">
        <w:rPr>
          <w:rFonts w:cs="Tahoma"/>
          <w:iCs/>
        </w:rPr>
        <w:t>de do</w:t>
      </w:r>
      <w:r w:rsidR="000C19C1">
        <w:rPr>
          <w:rFonts w:cs="Tahoma"/>
          <w:iCs/>
        </w:rPr>
        <w:t xml:space="preserve">s mil veinticinco; lo anterior </w:t>
      </w:r>
      <w:r w:rsidRPr="00D05FA6">
        <w:rPr>
          <w:rFonts w:cs="Tahoma"/>
          <w:iCs/>
        </w:rPr>
        <w:t xml:space="preserve">de conformidad con el artículo, 3°, fracción X, de la Ley de Transparencia y Acceso a la Información Pública del Estado de México y Municipios y </w:t>
      </w:r>
      <w:bookmarkStart w:id="14" w:name="_Hlk65786947"/>
      <w:r w:rsidRPr="00D05FA6">
        <w:rPr>
          <w:rFonts w:cs="Tahoma"/>
          <w:iCs/>
        </w:rPr>
        <w:t xml:space="preserve">el </w:t>
      </w:r>
      <w:r w:rsidRPr="00D05FA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D05FA6" w:rsidRDefault="00DF3B23" w:rsidP="002335E7">
      <w:pPr>
        <w:spacing w:line="360" w:lineRule="auto"/>
        <w:contextualSpacing/>
        <w:rPr>
          <w:rFonts w:cs="Tahoma"/>
          <w:iCs/>
        </w:rPr>
      </w:pPr>
    </w:p>
    <w:p w14:paraId="41BB126E" w14:textId="511E3A29" w:rsidR="00DF3B23" w:rsidRDefault="00DF3B23" w:rsidP="002335E7">
      <w:pPr>
        <w:spacing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9222BA">
        <w:rPr>
          <w:rFonts w:cs="Tahoma"/>
          <w:iCs/>
          <w:lang w:val="es-ES"/>
        </w:rPr>
        <w:t>13411</w:t>
      </w:r>
      <w:r w:rsidR="006C6CE7" w:rsidRPr="006C6CE7">
        <w:rPr>
          <w:rFonts w:cs="Tahoma"/>
          <w:iCs/>
          <w:lang w:val="es-ES"/>
        </w:rPr>
        <w:t>/INFOEM/IP/RR/2025</w:t>
      </w:r>
      <w:r w:rsidR="006C6CE7">
        <w:rPr>
          <w:rFonts w:cs="Tahoma"/>
          <w:iCs/>
          <w:lang w:val="es-ES"/>
        </w:rPr>
        <w:t>:</w:t>
      </w:r>
    </w:p>
    <w:p w14:paraId="40BEF036" w14:textId="175416D7" w:rsidR="00654A55" w:rsidRDefault="00654A55" w:rsidP="002335E7">
      <w:pPr>
        <w:spacing w:line="360" w:lineRule="auto"/>
        <w:contextualSpacing/>
        <w:jc w:val="center"/>
        <w:rPr>
          <w:rFonts w:cs="Tahoma"/>
          <w:iCs/>
          <w:lang w:val="es-ES"/>
        </w:rPr>
      </w:pPr>
    </w:p>
    <w:p w14:paraId="0D7889A2" w14:textId="4B727202" w:rsidR="009222BA" w:rsidRPr="00D05FA6" w:rsidRDefault="009222BA" w:rsidP="002335E7">
      <w:pPr>
        <w:spacing w:line="360" w:lineRule="auto"/>
        <w:contextualSpacing/>
        <w:jc w:val="center"/>
        <w:rPr>
          <w:rFonts w:cs="Tahoma"/>
          <w:iCs/>
          <w:lang w:val="es-ES"/>
        </w:rPr>
      </w:pPr>
      <w:r>
        <w:rPr>
          <w:noProof/>
        </w:rPr>
        <w:drawing>
          <wp:inline distT="0" distB="0" distL="0" distR="0" wp14:anchorId="008C9870" wp14:editId="782D832F">
            <wp:extent cx="2701740" cy="1439186"/>
            <wp:effectExtent l="0" t="0" r="381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493" t="30164" r="52751" b="51128"/>
                    <a:stretch/>
                  </pic:blipFill>
                  <pic:spPr bwMode="auto">
                    <a:xfrm>
                      <a:off x="0" y="0"/>
                      <a:ext cx="2731087" cy="1454819"/>
                    </a:xfrm>
                    <a:prstGeom prst="rect">
                      <a:avLst/>
                    </a:prstGeom>
                    <a:ln>
                      <a:noFill/>
                    </a:ln>
                    <a:extLst>
                      <a:ext uri="{53640926-AAD7-44D8-BBD7-CCE9431645EC}">
                        <a14:shadowObscured xmlns:a14="http://schemas.microsoft.com/office/drawing/2010/main"/>
                      </a:ext>
                    </a:extLst>
                  </pic:spPr>
                </pic:pic>
              </a:graphicData>
            </a:graphic>
          </wp:inline>
        </w:drawing>
      </w:r>
    </w:p>
    <w:p w14:paraId="781210D2" w14:textId="77777777" w:rsidR="00654A55" w:rsidRDefault="00654A55" w:rsidP="002335E7">
      <w:pPr>
        <w:spacing w:line="360" w:lineRule="auto"/>
        <w:contextualSpacing/>
        <w:jc w:val="center"/>
        <w:rPr>
          <w:rFonts w:cs="Tahoma"/>
          <w:iCs/>
          <w:noProof/>
        </w:rPr>
      </w:pPr>
    </w:p>
    <w:p w14:paraId="3AD533AB" w14:textId="77777777" w:rsidR="009222BA" w:rsidRDefault="009222BA" w:rsidP="002335E7">
      <w:pPr>
        <w:spacing w:line="360" w:lineRule="auto"/>
        <w:contextualSpacing/>
        <w:rPr>
          <w:rFonts w:cs="Tahoma"/>
          <w:iCs/>
        </w:rPr>
      </w:pPr>
    </w:p>
    <w:p w14:paraId="0BECBDE0" w14:textId="12767F06" w:rsidR="00DF3B23" w:rsidRPr="00D05FA6" w:rsidRDefault="00DF3B23" w:rsidP="002335E7">
      <w:pPr>
        <w:spacing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Pr>
          <w:rFonts w:cs="Tahoma"/>
          <w:iCs/>
        </w:rPr>
        <w:t>dos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2335E7">
      <w:pPr>
        <w:spacing w:line="360" w:lineRule="auto"/>
        <w:contextualSpacing/>
        <w:rPr>
          <w:rFonts w:cs="Tahoma"/>
          <w:iCs/>
        </w:rPr>
      </w:pPr>
    </w:p>
    <w:p w14:paraId="008ED518" w14:textId="77777777" w:rsidR="002335E7" w:rsidRPr="00647E3E" w:rsidRDefault="00DF3B23" w:rsidP="002335E7">
      <w:pPr>
        <w:spacing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2335E7">
      <w:pPr>
        <w:spacing w:line="360" w:lineRule="auto"/>
        <w:contextualSpacing/>
        <w:rPr>
          <w:rFonts w:eastAsia="Calibri" w:cs="Tahoma"/>
          <w:bCs/>
          <w:iCs/>
          <w:lang w:eastAsia="es-ES_tradnl"/>
        </w:rPr>
      </w:pPr>
    </w:p>
    <w:p w14:paraId="2BA81214" w14:textId="77777777" w:rsidR="002335E7" w:rsidRPr="00647E3E" w:rsidRDefault="002335E7" w:rsidP="002335E7">
      <w:pPr>
        <w:spacing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2335E7">
      <w:pPr>
        <w:spacing w:line="360" w:lineRule="auto"/>
        <w:contextualSpacing/>
        <w:rPr>
          <w:rFonts w:eastAsia="Calibri" w:cs="Tahoma"/>
          <w:iCs/>
          <w:lang w:val="es-ES" w:eastAsia="es-ES_tradnl"/>
        </w:rPr>
      </w:pPr>
    </w:p>
    <w:p w14:paraId="10BAF66A"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2335E7">
      <w:pPr>
        <w:spacing w:line="360" w:lineRule="auto"/>
        <w:contextualSpacing/>
        <w:rPr>
          <w:rFonts w:eastAsia="Calibri" w:cs="Tahoma"/>
          <w:bCs/>
          <w:iCs/>
          <w:lang w:val="es-ES" w:eastAsia="es-ES_tradnl"/>
        </w:rPr>
      </w:pPr>
    </w:p>
    <w:p w14:paraId="65868E74"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2335E7">
      <w:pPr>
        <w:spacing w:line="360" w:lineRule="auto"/>
        <w:contextualSpacing/>
        <w:rPr>
          <w:rFonts w:cs="Tahoma"/>
          <w:bCs/>
          <w:iCs/>
          <w:lang w:val="es-ES"/>
        </w:rPr>
      </w:pPr>
    </w:p>
    <w:p w14:paraId="723492CD" w14:textId="77777777" w:rsidR="002335E7" w:rsidRPr="000A49E2" w:rsidRDefault="002335E7" w:rsidP="002335E7">
      <w:pPr>
        <w:spacing w:line="360" w:lineRule="auto"/>
        <w:contextualSpacing/>
        <w:rPr>
          <w:rFonts w:cs="Tahoma"/>
          <w:bCs/>
          <w:iCs/>
          <w:lang w:val="es-ES"/>
        </w:rPr>
      </w:pPr>
      <w:r w:rsidRPr="000A49E2">
        <w:rPr>
          <w:rFonts w:cs="Tahoma"/>
          <w:bCs/>
          <w:iCs/>
          <w:lang w:val="es-ES_tradnl"/>
        </w:rPr>
        <w:lastRenderedPageBreak/>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2335E7">
      <w:pPr>
        <w:spacing w:line="360" w:lineRule="auto"/>
        <w:contextualSpacing/>
        <w:rPr>
          <w:rFonts w:cs="Tahoma"/>
          <w:iCs/>
          <w:lang w:val="es-ES"/>
        </w:rPr>
      </w:pPr>
    </w:p>
    <w:p w14:paraId="5D5B5BC5" w14:textId="77777777" w:rsidR="002335E7" w:rsidRPr="002335E7" w:rsidRDefault="002335E7" w:rsidP="002335E7">
      <w:pPr>
        <w:spacing w:line="360" w:lineRule="auto"/>
        <w:contextualSpacing/>
        <w:rPr>
          <w:rFonts w:cs="Tahoma"/>
          <w:bCs/>
          <w:iCs/>
          <w:lang w:val="es-ES"/>
        </w:rPr>
      </w:pPr>
      <w:bookmarkStart w:id="15"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D05FA6" w:rsidRDefault="00AE4C31" w:rsidP="002335E7">
      <w:pPr>
        <w:pStyle w:val="Ttulo2"/>
        <w:spacing w:line="360" w:lineRule="auto"/>
        <w:contextualSpacing/>
        <w:rPr>
          <w:sz w:val="22"/>
          <w:szCs w:val="22"/>
        </w:rPr>
      </w:pPr>
      <w:bookmarkStart w:id="16" w:name="_Toc189571937"/>
      <w:bookmarkStart w:id="17" w:name="_Toc219388554"/>
      <w:r w:rsidRPr="00D05FA6">
        <w:rPr>
          <w:sz w:val="22"/>
          <w:szCs w:val="22"/>
        </w:rPr>
        <w:t>SEXTO. Decisión</w:t>
      </w:r>
      <w:bookmarkEnd w:id="16"/>
      <w:bookmarkEnd w:id="17"/>
    </w:p>
    <w:p w14:paraId="69C063B7" w14:textId="77777777" w:rsidR="00AE4C31" w:rsidRPr="00D05FA6" w:rsidRDefault="00AE4C31" w:rsidP="002335E7">
      <w:pPr>
        <w:spacing w:line="360" w:lineRule="auto"/>
        <w:contextualSpacing/>
        <w:rPr>
          <w:rFonts w:cs="Tahoma"/>
        </w:rPr>
      </w:pPr>
    </w:p>
    <w:p w14:paraId="14BE54C6" w14:textId="0AEE35CE" w:rsidR="00AE4C31" w:rsidRPr="00D05FA6" w:rsidRDefault="00AE4C31" w:rsidP="002335E7">
      <w:pPr>
        <w:spacing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9222BA" w:rsidRPr="009222BA">
        <w:rPr>
          <w:rFonts w:cs="Tahoma"/>
          <w:bCs/>
        </w:rPr>
        <w:t>01050/TEPOTZOT/IP/2025</w:t>
      </w:r>
      <w:r w:rsidR="009222BA">
        <w:rPr>
          <w:rFonts w:cs="Tahoma"/>
          <w:bCs/>
        </w:rPr>
        <w:t xml:space="preserve">, </w:t>
      </w:r>
      <w:r w:rsidR="009222BA" w:rsidRPr="009222BA">
        <w:rPr>
          <w:rFonts w:cs="Tahoma"/>
          <w:bCs/>
        </w:rPr>
        <w:t>01048/TEPOTZOT/IP/2025</w:t>
      </w:r>
      <w:r w:rsidR="009222BA">
        <w:rPr>
          <w:rFonts w:cs="Tahoma"/>
          <w:bCs/>
        </w:rPr>
        <w:t xml:space="preserve">, </w:t>
      </w:r>
      <w:r w:rsidR="009222BA" w:rsidRPr="009222BA">
        <w:rPr>
          <w:rFonts w:cs="Tahoma"/>
          <w:bCs/>
        </w:rPr>
        <w:t>01043/TEPOTZOT/IP/2025</w:t>
      </w:r>
      <w:r w:rsidR="009222BA">
        <w:rPr>
          <w:rFonts w:cs="Tahoma"/>
          <w:bCs/>
        </w:rPr>
        <w:t xml:space="preserve">, </w:t>
      </w:r>
      <w:r w:rsidR="009222BA" w:rsidRPr="009222BA">
        <w:rPr>
          <w:rFonts w:cs="Tahoma"/>
          <w:bCs/>
        </w:rPr>
        <w:t>01038/TEPOTZOT/IP/2025</w:t>
      </w:r>
      <w:r w:rsidR="009222BA">
        <w:rPr>
          <w:rFonts w:cs="Tahoma"/>
          <w:bCs/>
        </w:rPr>
        <w:t xml:space="preserve"> y </w:t>
      </w:r>
      <w:r w:rsidR="009222BA" w:rsidRPr="009222BA">
        <w:rPr>
          <w:rFonts w:cs="Tahoma"/>
          <w:bCs/>
        </w:rPr>
        <w:t>01033/TEPOTZOT/IP/2025</w:t>
      </w:r>
      <w:r w:rsidRPr="00D05FA6">
        <w:rPr>
          <w:rFonts w:cs="Tahoma"/>
        </w:rPr>
        <w:t>.</w:t>
      </w:r>
    </w:p>
    <w:p w14:paraId="64C6FBFB" w14:textId="77777777" w:rsidR="00AE4C31" w:rsidRPr="00D05FA6" w:rsidRDefault="00AE4C31" w:rsidP="002335E7">
      <w:pPr>
        <w:spacing w:line="360" w:lineRule="auto"/>
        <w:contextualSpacing/>
        <w:rPr>
          <w:rFonts w:cs="Tahoma"/>
        </w:rPr>
      </w:pPr>
    </w:p>
    <w:p w14:paraId="40BDB409" w14:textId="77777777" w:rsidR="00AE4C31" w:rsidRPr="00D05FA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9388555"/>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8"/>
      <w:bookmarkEnd w:id="19"/>
    </w:p>
    <w:p w14:paraId="48B08DAB" w14:textId="77777777" w:rsidR="00AE4C31" w:rsidRPr="00D05FA6" w:rsidRDefault="00AE4C31" w:rsidP="002335E7">
      <w:pPr>
        <w:spacing w:after="0" w:line="360" w:lineRule="auto"/>
        <w:contextualSpacing/>
        <w:rPr>
          <w:rFonts w:eastAsia="Times New Roman" w:cs="Tahoma"/>
          <w:bCs/>
          <w:color w:val="auto"/>
          <w:lang w:eastAsia="es-ES"/>
        </w:rPr>
      </w:pPr>
    </w:p>
    <w:p w14:paraId="3837AF24"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 xml:space="preserve">omitió dar respuesta en el plazo señalado en el artículo 163 de la Ley de Transparencia y Acceso a la Información Pública del Estado de México y Municipios. Al respecto, el artículo 36, fracción </w:t>
      </w:r>
      <w:r w:rsidRPr="00D05FA6">
        <w:rPr>
          <w:rFonts w:eastAsia="Times New Roman" w:cs="Tahoma"/>
          <w:color w:val="auto"/>
          <w:lang w:eastAsia="es-ES"/>
        </w:rPr>
        <w:lastRenderedPageBreak/>
        <w:t>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2335E7">
      <w:pPr>
        <w:spacing w:after="0" w:line="360" w:lineRule="auto"/>
        <w:ind w:right="-93"/>
        <w:contextualSpacing/>
        <w:rPr>
          <w:rFonts w:eastAsia="Calibri" w:cs="Tahoma"/>
          <w:bCs/>
          <w:color w:val="auto"/>
          <w:lang w:eastAsia="en-US"/>
        </w:rPr>
      </w:pPr>
    </w:p>
    <w:p w14:paraId="7432959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2335E7">
      <w:pPr>
        <w:spacing w:after="0" w:line="360" w:lineRule="auto"/>
        <w:ind w:right="-93"/>
        <w:contextualSpacing/>
        <w:rPr>
          <w:rFonts w:eastAsia="Calibri" w:cs="Tahoma"/>
          <w:bCs/>
          <w:color w:val="auto"/>
          <w:lang w:eastAsia="en-US"/>
        </w:rPr>
      </w:pPr>
    </w:p>
    <w:p w14:paraId="06837BCB"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2335E7">
      <w:pPr>
        <w:spacing w:after="0" w:line="360" w:lineRule="auto"/>
        <w:ind w:right="-93"/>
        <w:contextualSpacing/>
        <w:rPr>
          <w:rFonts w:eastAsia="Calibri" w:cs="Tahoma"/>
          <w:bCs/>
          <w:color w:val="auto"/>
          <w:lang w:eastAsia="en-US"/>
        </w:rPr>
      </w:pPr>
    </w:p>
    <w:p w14:paraId="559D844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D05FA6" w:rsidRDefault="00AE4C31" w:rsidP="002335E7">
      <w:pPr>
        <w:spacing w:after="0" w:line="360" w:lineRule="auto"/>
        <w:ind w:right="-93"/>
        <w:contextualSpacing/>
        <w:rPr>
          <w:rFonts w:eastAsia="Calibri" w:cs="Tahoma"/>
          <w:bCs/>
          <w:color w:val="auto"/>
          <w:lang w:eastAsia="en-US"/>
        </w:rPr>
      </w:pPr>
    </w:p>
    <w:p w14:paraId="75B9D0AF"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2335E7">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D05FA6" w:rsidRDefault="00AE4C31" w:rsidP="002335E7">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2335E7">
      <w:pPr>
        <w:spacing w:after="0" w:line="360" w:lineRule="auto"/>
        <w:contextualSpacing/>
        <w:rPr>
          <w:rFonts w:eastAsia="Times New Roman" w:cs="Tahoma"/>
          <w:bCs/>
          <w:iCs/>
          <w:color w:val="auto"/>
          <w:lang w:eastAsia="es-ES"/>
        </w:rPr>
      </w:pPr>
    </w:p>
    <w:p w14:paraId="3542FBB5" w14:textId="77777777" w:rsidR="00AE4C31" w:rsidRPr="00D05FA6" w:rsidRDefault="00AE4C31" w:rsidP="002335E7">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2335E7">
      <w:pPr>
        <w:spacing w:after="0" w:line="360" w:lineRule="auto"/>
        <w:contextualSpacing/>
        <w:rPr>
          <w:rFonts w:eastAsia="Calibri" w:cs="Times New Roman"/>
          <w:color w:val="000000"/>
          <w:lang w:eastAsia="en-US"/>
        </w:rPr>
      </w:pPr>
    </w:p>
    <w:p w14:paraId="723D189C"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2335E7">
      <w:pPr>
        <w:spacing w:after="0" w:line="360" w:lineRule="auto"/>
        <w:contextualSpacing/>
        <w:rPr>
          <w:rFonts w:eastAsia="Times New Roman" w:cs="Tahoma"/>
          <w:bCs/>
          <w:iCs/>
          <w:color w:val="auto"/>
          <w:lang w:eastAsia="es-ES"/>
        </w:rPr>
      </w:pPr>
    </w:p>
    <w:p w14:paraId="12FBD3A0" w14:textId="77777777" w:rsidR="00AE4C31" w:rsidRPr="00D05FA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9388556"/>
      <w:r w:rsidRPr="00D05FA6">
        <w:rPr>
          <w:rFonts w:eastAsia="Yu Gothic Light" w:cs="Times New Roman"/>
          <w:b/>
          <w:color w:val="000000"/>
          <w:szCs w:val="32"/>
          <w:lang w:eastAsia="es-ES"/>
        </w:rPr>
        <w:t>R E S U E L V E</w:t>
      </w:r>
      <w:bookmarkEnd w:id="20"/>
      <w:bookmarkEnd w:id="21"/>
    </w:p>
    <w:p w14:paraId="61F25247" w14:textId="77777777" w:rsidR="00AE4C31" w:rsidRPr="00D05FA6" w:rsidRDefault="00AE4C31" w:rsidP="002335E7">
      <w:pPr>
        <w:spacing w:after="0" w:line="360" w:lineRule="auto"/>
        <w:contextualSpacing/>
        <w:rPr>
          <w:rFonts w:eastAsia="Times New Roman" w:cs="Tahoma"/>
          <w:b/>
          <w:bCs/>
          <w:iCs/>
          <w:color w:val="auto"/>
          <w:lang w:eastAsia="es-ES"/>
        </w:rPr>
      </w:pPr>
    </w:p>
    <w:p w14:paraId="284B4DA1" w14:textId="58A286BD"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w:t>
      </w:r>
      <w:r w:rsidR="009222BA">
        <w:rPr>
          <w:rFonts w:eastAsia="Times New Roman" w:cs="Tahoma"/>
          <w:bCs/>
          <w:iCs/>
          <w:color w:val="auto"/>
          <w:lang w:eastAsia="es-ES"/>
        </w:rPr>
        <w:t xml:space="preserve"> </w:t>
      </w:r>
      <w:r w:rsidR="009222BA">
        <w:rPr>
          <w:rFonts w:cs="Tahoma"/>
          <w:b/>
          <w:bCs/>
        </w:rPr>
        <w:t>13411</w:t>
      </w:r>
      <w:r w:rsidR="009222BA" w:rsidRPr="00D05FA6">
        <w:rPr>
          <w:rFonts w:eastAsia="Calibri" w:cs="Tahoma"/>
          <w:b/>
          <w:lang w:eastAsia="en-US"/>
        </w:rPr>
        <w:t xml:space="preserve">/INFOEM/IP/RR/2025 </w:t>
      </w:r>
      <w:r w:rsidR="009222BA">
        <w:rPr>
          <w:rFonts w:cs="Tahoma"/>
          <w:b/>
          <w:bCs/>
          <w:color w:val="0D0D0D" w:themeColor="text1" w:themeTint="F2"/>
        </w:rPr>
        <w:t>13416</w:t>
      </w:r>
      <w:r w:rsidR="009222BA" w:rsidRPr="00123222">
        <w:rPr>
          <w:rFonts w:cs="Tahoma"/>
          <w:b/>
          <w:bCs/>
          <w:color w:val="0D0D0D" w:themeColor="text1" w:themeTint="F2"/>
        </w:rPr>
        <w:t>/INFOEM/IP/RR/2025</w:t>
      </w:r>
      <w:r w:rsidR="009222BA">
        <w:rPr>
          <w:rFonts w:cs="Tahoma"/>
          <w:b/>
          <w:bCs/>
          <w:color w:val="0D0D0D" w:themeColor="text1" w:themeTint="F2"/>
        </w:rPr>
        <w:t>,</w:t>
      </w:r>
      <w:r w:rsidR="009222BA" w:rsidRPr="00123222">
        <w:rPr>
          <w:rFonts w:cs="Tahoma"/>
          <w:b/>
          <w:bCs/>
          <w:color w:val="0D0D0D" w:themeColor="text1" w:themeTint="F2"/>
        </w:rPr>
        <w:t xml:space="preserve"> </w:t>
      </w:r>
      <w:r w:rsidR="009222BA">
        <w:rPr>
          <w:rFonts w:cs="Tahoma"/>
          <w:b/>
          <w:bCs/>
          <w:color w:val="0D0D0D" w:themeColor="text1" w:themeTint="F2"/>
        </w:rPr>
        <w:t>13421</w:t>
      </w:r>
      <w:r w:rsidR="009222BA" w:rsidRPr="00123222">
        <w:rPr>
          <w:rFonts w:cs="Tahoma"/>
          <w:b/>
          <w:bCs/>
          <w:color w:val="0D0D0D" w:themeColor="text1" w:themeTint="F2"/>
        </w:rPr>
        <w:t>/INFOEM/IP/RR/2025</w:t>
      </w:r>
      <w:r w:rsidR="009222BA">
        <w:rPr>
          <w:rFonts w:cs="Tahoma"/>
          <w:b/>
          <w:bCs/>
          <w:color w:val="0D0D0D" w:themeColor="text1" w:themeTint="F2"/>
        </w:rPr>
        <w:t>,</w:t>
      </w:r>
      <w:r w:rsidR="009222BA" w:rsidRPr="00123222">
        <w:rPr>
          <w:rFonts w:cs="Tahoma"/>
          <w:b/>
          <w:bCs/>
          <w:color w:val="0D0D0D" w:themeColor="text1" w:themeTint="F2"/>
        </w:rPr>
        <w:t xml:space="preserve"> </w:t>
      </w:r>
      <w:r w:rsidR="009222BA">
        <w:rPr>
          <w:rFonts w:cs="Tahoma"/>
          <w:b/>
          <w:bCs/>
          <w:color w:val="0D0D0D" w:themeColor="text1" w:themeTint="F2"/>
        </w:rPr>
        <w:t>13426</w:t>
      </w:r>
      <w:r w:rsidR="009222BA" w:rsidRPr="00123222">
        <w:rPr>
          <w:rFonts w:cs="Tahoma"/>
          <w:b/>
          <w:bCs/>
          <w:color w:val="0D0D0D" w:themeColor="text1" w:themeTint="F2"/>
        </w:rPr>
        <w:t>/INFOEM/IP/RR/2025</w:t>
      </w:r>
      <w:r w:rsidR="009222BA">
        <w:rPr>
          <w:rFonts w:cs="Tahoma"/>
          <w:b/>
          <w:bCs/>
          <w:color w:val="0D0D0D" w:themeColor="text1" w:themeTint="F2"/>
        </w:rPr>
        <w:t xml:space="preserve"> </w:t>
      </w:r>
      <w:r w:rsidR="009222BA" w:rsidRPr="00834F49">
        <w:rPr>
          <w:rFonts w:cs="Tahoma"/>
          <w:bCs/>
          <w:color w:val="0D0D0D" w:themeColor="text1" w:themeTint="F2"/>
        </w:rPr>
        <w:t>y</w:t>
      </w:r>
      <w:r w:rsidR="009222BA">
        <w:rPr>
          <w:rFonts w:cs="Tahoma"/>
          <w:b/>
          <w:bCs/>
          <w:color w:val="0D0D0D" w:themeColor="text1" w:themeTint="F2"/>
        </w:rPr>
        <w:t xml:space="preserve"> 13431</w:t>
      </w:r>
      <w:r w:rsidR="009222BA" w:rsidRPr="00123222">
        <w:rPr>
          <w:rFonts w:cs="Tahoma"/>
          <w:b/>
          <w:bCs/>
          <w:color w:val="0D0D0D" w:themeColor="text1" w:themeTint="F2"/>
        </w:rPr>
        <w:t>/INFOEM/IP/RR/2025</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6BEDD92D" w14:textId="77777777" w:rsidR="00AE4C31" w:rsidRPr="00D05FA6" w:rsidRDefault="00AE4C31" w:rsidP="002335E7">
      <w:pPr>
        <w:spacing w:after="0" w:line="360" w:lineRule="auto"/>
        <w:contextualSpacing/>
        <w:rPr>
          <w:rFonts w:eastAsia="Times New Roman" w:cs="Tahoma"/>
          <w:bCs/>
          <w:iCs/>
          <w:color w:val="auto"/>
          <w:lang w:eastAsia="es-ES"/>
        </w:rPr>
      </w:pPr>
    </w:p>
    <w:p w14:paraId="1EB17C53" w14:textId="4FFCCE73" w:rsidR="00AE4C31" w:rsidRPr="00D05FA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lastRenderedPageBreak/>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9222BA" w:rsidRPr="00834F49">
        <w:rPr>
          <w:rFonts w:cs="Tahoma"/>
          <w:b/>
        </w:rPr>
        <w:t>01050/TEPOTZOT/IP/2025, 01048/TEPOTZOT/IP/2025, 01043/TEPOTZOT/IP/2025, 01038/TEPOTZOT/IP/2025</w:t>
      </w:r>
      <w:r w:rsidR="009222BA" w:rsidRPr="00834F49">
        <w:rPr>
          <w:rFonts w:cs="Tahoma"/>
        </w:rPr>
        <w:t xml:space="preserve"> y</w:t>
      </w:r>
      <w:r w:rsidR="009222BA" w:rsidRPr="00834F49">
        <w:rPr>
          <w:rFonts w:cs="Tahoma"/>
          <w:b/>
        </w:rPr>
        <w:t xml:space="preserve"> 01033/TEPOTZOT/IP/2025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19FB4210" w14:textId="77777777" w:rsidR="00AE4C31" w:rsidRPr="00D05FA6" w:rsidRDefault="00AE4C31" w:rsidP="002335E7">
      <w:pPr>
        <w:spacing w:after="0" w:line="360" w:lineRule="auto"/>
        <w:contextualSpacing/>
        <w:rPr>
          <w:rFonts w:eastAsia="Times New Roman" w:cs="Tahoma"/>
          <w:bCs/>
          <w:iCs/>
          <w:color w:val="auto"/>
          <w:lang w:eastAsia="es-ES"/>
        </w:rPr>
      </w:pPr>
    </w:p>
    <w:p w14:paraId="57222558" w14:textId="77777777" w:rsidR="00AE4C31" w:rsidRPr="00D05FA6" w:rsidRDefault="00AE4C31" w:rsidP="002335E7">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2335E7">
      <w:pPr>
        <w:spacing w:after="0" w:line="360" w:lineRule="auto"/>
        <w:contextualSpacing/>
        <w:rPr>
          <w:rFonts w:eastAsia="Times New Roman" w:cs="Tahoma"/>
          <w:bCs/>
          <w:iCs/>
          <w:color w:val="auto"/>
          <w:lang w:eastAsia="es-ES"/>
        </w:rPr>
      </w:pPr>
    </w:p>
    <w:p w14:paraId="0E5303A1"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2335E7">
      <w:pPr>
        <w:spacing w:after="0" w:line="360" w:lineRule="auto"/>
        <w:contextualSpacing/>
        <w:rPr>
          <w:rFonts w:eastAsia="Times New Roman" w:cs="Tahoma"/>
          <w:bCs/>
          <w:iCs/>
          <w:color w:val="auto"/>
          <w:lang w:eastAsia="es-ES"/>
        </w:rPr>
      </w:pPr>
    </w:p>
    <w:p w14:paraId="3493940A"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2335E7">
      <w:pPr>
        <w:spacing w:after="0" w:line="360" w:lineRule="auto"/>
        <w:contextualSpacing/>
        <w:rPr>
          <w:rFonts w:eastAsia="Times New Roman" w:cs="Tahoma"/>
          <w:bCs/>
          <w:iCs/>
          <w:color w:val="auto"/>
          <w:lang w:eastAsia="es-ES"/>
        </w:rPr>
      </w:pPr>
    </w:p>
    <w:p w14:paraId="39CDEFB2" w14:textId="77777777" w:rsidR="00AE4C31" w:rsidRPr="00D05FA6" w:rsidRDefault="00AE4C31" w:rsidP="002335E7">
      <w:pPr>
        <w:spacing w:after="0" w:line="360" w:lineRule="auto"/>
        <w:contextualSpacing/>
        <w:rPr>
          <w:rFonts w:eastAsia="Calibri" w:cs="Tahoma"/>
          <w:bCs/>
          <w:color w:val="auto"/>
          <w:lang w:eastAsia="en-US"/>
        </w:rPr>
      </w:pPr>
      <w:r w:rsidRPr="00D05FA6">
        <w:rPr>
          <w:rFonts w:eastAsia="Calibri" w:cs="Times New Roman"/>
          <w:b/>
          <w:bCs/>
          <w:color w:val="auto"/>
          <w:lang w:eastAsia="en-US"/>
        </w:rPr>
        <w:lastRenderedPageBreak/>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2335E7">
      <w:pPr>
        <w:spacing w:after="0" w:line="360" w:lineRule="auto"/>
        <w:contextualSpacing/>
        <w:rPr>
          <w:rFonts w:eastAsia="Times New Roman" w:cs="Tahoma"/>
          <w:b/>
          <w:bCs/>
          <w:iCs/>
          <w:color w:val="auto"/>
          <w:lang w:eastAsia="es-ES"/>
        </w:rPr>
      </w:pPr>
    </w:p>
    <w:p w14:paraId="14EDAB3E" w14:textId="0665733B" w:rsidR="00023BBD" w:rsidRPr="00FA5C01" w:rsidRDefault="00023BBD" w:rsidP="002335E7">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6CE7">
        <w:rPr>
          <w:rFonts w:eastAsia="Calibri" w:cs="Tahoma"/>
          <w:bCs/>
        </w:rPr>
        <w:t>PRIMERA</w:t>
      </w:r>
      <w:r w:rsidR="00B03A57" w:rsidRPr="00D05FA6">
        <w:rPr>
          <w:rFonts w:eastAsia="Calibri" w:cs="Tahoma"/>
          <w:bCs/>
        </w:rPr>
        <w:t xml:space="preserve"> </w:t>
      </w:r>
      <w:r w:rsidRPr="00D05FA6">
        <w:rPr>
          <w:rFonts w:eastAsia="Calibri" w:cs="Tahoma"/>
          <w:bCs/>
        </w:rPr>
        <w:t xml:space="preserve">SESIÓN ORDINARIA, CELEBRADA EL </w:t>
      </w:r>
      <w:r w:rsidR="006C6CE7">
        <w:rPr>
          <w:rFonts w:eastAsia="Calibri" w:cs="Tahoma"/>
          <w:bCs/>
        </w:rPr>
        <w:t xml:space="preserve">CATORCE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9FA12" w14:textId="77777777" w:rsidR="00F3746F" w:rsidRDefault="00F3746F">
      <w:pPr>
        <w:spacing w:after="0" w:line="240" w:lineRule="auto"/>
      </w:pPr>
      <w:r>
        <w:separator/>
      </w:r>
    </w:p>
  </w:endnote>
  <w:endnote w:type="continuationSeparator" w:id="0">
    <w:p w14:paraId="1366DE24" w14:textId="77777777" w:rsidR="00F3746F" w:rsidRDefault="00F3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6402">
      <w:rPr>
        <w:b/>
        <w:noProof/>
        <w:color w:val="000000"/>
        <w:sz w:val="24"/>
        <w:szCs w:val="24"/>
      </w:rPr>
      <w:t>25</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D7061">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D7061">
      <w:rPr>
        <w:b/>
        <w:noProof/>
        <w:color w:val="000000"/>
        <w:sz w:val="24"/>
        <w:szCs w:val="24"/>
      </w:rPr>
      <w:t>25</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D706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D7061">
      <w:rPr>
        <w:b/>
        <w:noProof/>
        <w:color w:val="000000"/>
        <w:sz w:val="24"/>
        <w:szCs w:val="24"/>
      </w:rPr>
      <w:t>25</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7182F" w14:textId="77777777" w:rsidR="00F3746F" w:rsidRDefault="00F3746F">
      <w:pPr>
        <w:spacing w:after="0" w:line="240" w:lineRule="auto"/>
      </w:pPr>
      <w:r>
        <w:separator/>
      </w:r>
    </w:p>
  </w:footnote>
  <w:footnote w:type="continuationSeparator" w:id="0">
    <w:p w14:paraId="116278D8" w14:textId="77777777" w:rsidR="00F3746F" w:rsidRDefault="00F37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 xml:space="preserve">Ayuntamiento de </w:t>
          </w:r>
          <w:proofErr w:type="spellStart"/>
          <w:r>
            <w:t>Temascalcingo</w:t>
          </w:r>
          <w:proofErr w:type="spellEnd"/>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F3746F">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F3746F">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54.3pt;margin-top:-127.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070"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673DF667" w14:textId="77777777" w:rsidTr="0007220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2C95BDFA" w:rsidR="00C50D58" w:rsidRPr="00EF0C39" w:rsidRDefault="00072206" w:rsidP="00572C64">
          <w:pPr>
            <w:tabs>
              <w:tab w:val="right" w:pos="8838"/>
            </w:tabs>
            <w:ind w:left="-115" w:right="-111"/>
          </w:pPr>
          <w:r>
            <w:t>13411</w:t>
          </w:r>
          <w:r w:rsidR="00C50D58">
            <w:t>/INFOEM/IP/RR/2025</w:t>
          </w:r>
          <w:r w:rsidR="00426C03">
            <w:t xml:space="preserve"> y acumulado</w:t>
          </w:r>
          <w:r w:rsidR="00652BD8">
            <w:t>s</w:t>
          </w:r>
        </w:p>
      </w:tc>
    </w:tr>
    <w:tr w:rsidR="00C50D58" w14:paraId="22EFCF1E" w14:textId="77777777" w:rsidTr="0007220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7220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E824C7">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2D0ADB56" w:rsidR="00C50D58" w:rsidRPr="00026C6B" w:rsidRDefault="00072206" w:rsidP="009A21E5">
          <w:pPr>
            <w:ind w:left="42" w:hanging="42"/>
          </w:pPr>
          <w:r>
            <w:t>13411</w:t>
          </w:r>
          <w:r w:rsidR="00C50D58">
            <w:t>/INFOEM/IP/RR/2025</w:t>
          </w:r>
          <w:r w:rsidR="00426C03">
            <w:t xml:space="preserve"> y acumulado</w:t>
          </w:r>
          <w:r w:rsidR="00652BD8">
            <w:t>s</w:t>
          </w:r>
        </w:p>
      </w:tc>
    </w:tr>
    <w:tr w:rsidR="00C50D58" w14:paraId="39FD768E" w14:textId="77777777" w:rsidTr="00E824C7">
      <w:trPr>
        <w:trHeight w:val="132"/>
      </w:trPr>
      <w:tc>
        <w:tcPr>
          <w:tcW w:w="2551" w:type="dxa"/>
        </w:tcPr>
        <w:p w14:paraId="1AB52FB7" w14:textId="77777777" w:rsidR="00C50D58" w:rsidRDefault="00C50D58">
          <w:pPr>
            <w:tabs>
              <w:tab w:val="left" w:pos="1875"/>
            </w:tabs>
            <w:ind w:right="-105"/>
            <w:rPr>
              <w:b/>
            </w:rPr>
          </w:pPr>
          <w:r>
            <w:rPr>
              <w:b/>
            </w:rPr>
            <w:t>Recurrente:</w:t>
          </w:r>
        </w:p>
      </w:tc>
      <w:tc>
        <w:tcPr>
          <w:tcW w:w="4253" w:type="dxa"/>
        </w:tcPr>
        <w:p w14:paraId="33F430B6" w14:textId="5759B3C8" w:rsidR="00C50D58" w:rsidRPr="00EF0C39" w:rsidRDefault="007D7061" w:rsidP="00530177">
          <w:r w:rsidRPr="007D7061">
            <w:rPr>
              <w:highlight w:val="black"/>
            </w:rPr>
            <w:t>XXXXXXXXXXXXXXXXXXXX</w:t>
          </w:r>
        </w:p>
      </w:tc>
    </w:tr>
    <w:tr w:rsidR="00C50D58" w14:paraId="55793EA6" w14:textId="77777777" w:rsidTr="00E824C7">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E824C7">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F3746F">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2206"/>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19C1"/>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3D"/>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768EB"/>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06402"/>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3F3A"/>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5A09"/>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8B3"/>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1D8"/>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555D"/>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D7061"/>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4F49"/>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2BA"/>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25D0"/>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479ED"/>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3746F"/>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513A"/>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29860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38652770">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56EA09-F850-4986-8E66-45D713AB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6348</Words>
  <Characters>34919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Cuenta Microsoft</cp:lastModifiedBy>
  <cp:revision>5</cp:revision>
  <cp:lastPrinted>2026-01-16T15:34:00Z</cp:lastPrinted>
  <dcterms:created xsi:type="dcterms:W3CDTF">2026-01-16T15:34:00Z</dcterms:created>
  <dcterms:modified xsi:type="dcterms:W3CDTF">2026-03-13T19:35:00Z</dcterms:modified>
</cp:coreProperties>
</file>