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89E" w:rsidRPr="000B1283" w:rsidRDefault="007F7F81">
      <w:pPr>
        <w:spacing w:line="360" w:lineRule="auto"/>
        <w:jc w:val="both"/>
        <w:rPr>
          <w:rFonts w:ascii="Palatino Linotype" w:eastAsia="Palatino Linotype" w:hAnsi="Palatino Linotype" w:cs="Palatino Linotype"/>
          <w:sz w:val="22"/>
          <w:szCs w:val="22"/>
        </w:rPr>
      </w:pPr>
      <w:bookmarkStart w:id="0" w:name="_GoBack"/>
      <w:bookmarkEnd w:id="0"/>
      <w:r w:rsidRPr="000B1283">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 ocho de abril de dos mil veintiséis.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VISTO</w:t>
      </w:r>
      <w:r w:rsidRPr="000B1283">
        <w:rPr>
          <w:rFonts w:ascii="Palatino Linotype" w:eastAsia="Palatino Linotype" w:hAnsi="Palatino Linotype" w:cs="Palatino Linotype"/>
          <w:sz w:val="22"/>
          <w:szCs w:val="22"/>
        </w:rPr>
        <w:t xml:space="preserve"> el expediente formado con motivo del recurso de revisión </w:t>
      </w:r>
      <w:r w:rsidRPr="000B1283">
        <w:rPr>
          <w:rFonts w:ascii="Palatino Linotype" w:eastAsia="Palatino Linotype" w:hAnsi="Palatino Linotype" w:cs="Palatino Linotype"/>
          <w:b/>
          <w:bCs/>
          <w:sz w:val="22"/>
          <w:szCs w:val="22"/>
        </w:rPr>
        <w:t>09124/INFOEM/IP/RR/2025</w:t>
      </w:r>
      <w:r w:rsidRPr="000B1283">
        <w:rPr>
          <w:rFonts w:ascii="Palatino Linotype" w:eastAsia="Palatino Linotype" w:hAnsi="Palatino Linotype" w:cs="Palatino Linotype"/>
          <w:sz w:val="22"/>
          <w:szCs w:val="22"/>
        </w:rPr>
        <w:t>, por</w:t>
      </w:r>
      <w:r w:rsidRPr="000B1283">
        <w:rPr>
          <w:rFonts w:ascii="Palatino Linotype" w:eastAsia="Palatino Linotype" w:hAnsi="Palatino Linotype" w:cs="Palatino Linotype"/>
          <w:b/>
          <w:bCs/>
          <w:sz w:val="22"/>
          <w:szCs w:val="22"/>
        </w:rPr>
        <w:t xml:space="preserve"> </w:t>
      </w:r>
      <w:r w:rsidRPr="000B1283">
        <w:rPr>
          <w:rFonts w:ascii="Palatino Linotype" w:eastAsia="Palatino Linotype" w:hAnsi="Palatino Linotype" w:cs="Palatino Linotype"/>
          <w:sz w:val="22"/>
          <w:szCs w:val="22"/>
        </w:rPr>
        <w:t>interpuesto por</w:t>
      </w:r>
      <w:r w:rsidRPr="000B1283">
        <w:rPr>
          <w:rFonts w:ascii="Palatino Linotype" w:eastAsia="Palatino Linotype" w:hAnsi="Palatino Linotype" w:cs="Palatino Linotype"/>
          <w:b/>
          <w:bCs/>
          <w:sz w:val="22"/>
          <w:szCs w:val="22"/>
        </w:rPr>
        <w:t xml:space="preserve"> un particular que no proporcionó nombre o seudónimo para ser identificado,</w:t>
      </w:r>
      <w:r w:rsidRPr="000B1283">
        <w:rPr>
          <w:rFonts w:ascii="Palatino Linotype" w:eastAsia="Palatino Linotype" w:hAnsi="Palatino Linotype" w:cs="Palatino Linotype"/>
          <w:sz w:val="22"/>
          <w:szCs w:val="22"/>
        </w:rPr>
        <w:t xml:space="preserve"> en lo sucesivo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en contra de la respuesta a su solicitud de información, por parte del </w:t>
      </w:r>
      <w:r w:rsidRPr="000B1283">
        <w:rPr>
          <w:rFonts w:ascii="Palatino Linotype" w:eastAsia="Palatino Linotype" w:hAnsi="Palatino Linotype" w:cs="Palatino Linotype"/>
          <w:b/>
          <w:bCs/>
          <w:sz w:val="22"/>
          <w:szCs w:val="22"/>
        </w:rPr>
        <w:t xml:space="preserve">Ayuntamiento de Melchor Ocampo, </w:t>
      </w:r>
      <w:r w:rsidRPr="000B1283">
        <w:rPr>
          <w:rFonts w:ascii="Palatino Linotype" w:eastAsia="Palatino Linotype" w:hAnsi="Palatino Linotype" w:cs="Palatino Linotype"/>
          <w:sz w:val="22"/>
          <w:szCs w:val="22"/>
        </w:rPr>
        <w:t xml:space="preserve">en lo sucesivo el </w:t>
      </w:r>
      <w:r w:rsidRPr="000B1283">
        <w:rPr>
          <w:rFonts w:ascii="Palatino Linotype" w:eastAsia="Palatino Linotype" w:hAnsi="Palatino Linotype" w:cs="Palatino Linotype"/>
          <w:b/>
          <w:bCs/>
          <w:sz w:val="22"/>
          <w:szCs w:val="22"/>
        </w:rPr>
        <w:t xml:space="preserve">Sujeto Obligado, </w:t>
      </w:r>
      <w:r w:rsidRPr="000B1283">
        <w:rPr>
          <w:rFonts w:ascii="Palatino Linotype" w:eastAsia="Palatino Linotype" w:hAnsi="Palatino Linotype" w:cs="Palatino Linotype"/>
          <w:sz w:val="22"/>
          <w:szCs w:val="22"/>
        </w:rPr>
        <w:t xml:space="preserve">se procede a dictar la presente resolución con base en los siguientes: </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center"/>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I. A N T E C E D E N T E S</w:t>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1. Solicitud de acceso a la información.</w:t>
      </w:r>
      <w:r w:rsidRPr="000B1283">
        <w:rPr>
          <w:rFonts w:ascii="Palatino Linotype" w:eastAsia="Palatino Linotype" w:hAnsi="Palatino Linotype" w:cs="Palatino Linotype"/>
          <w:sz w:val="22"/>
          <w:szCs w:val="22"/>
        </w:rPr>
        <w:t xml:space="preserve"> Con fecha </w:t>
      </w:r>
      <w:r w:rsidRPr="000B1283">
        <w:rPr>
          <w:rFonts w:ascii="Palatino Linotype" w:eastAsia="Palatino Linotype" w:hAnsi="Palatino Linotype" w:cs="Palatino Linotype"/>
          <w:b/>
          <w:bCs/>
          <w:sz w:val="22"/>
          <w:szCs w:val="22"/>
        </w:rPr>
        <w:t>dos de julio de dos mil veinticinco</w:t>
      </w:r>
      <w:r w:rsidRPr="000B1283">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0B1283">
        <w:rPr>
          <w:rFonts w:ascii="Palatino Linotype" w:eastAsia="Palatino Linotype" w:hAnsi="Palatino Linotype" w:cs="Palatino Linotype"/>
          <w:b/>
          <w:bCs/>
          <w:sz w:val="22"/>
          <w:szCs w:val="22"/>
        </w:rPr>
        <w:t>SAIMEX,</w:t>
      </w:r>
      <w:r w:rsidRPr="000B1283">
        <w:rPr>
          <w:rFonts w:ascii="Palatino Linotype" w:eastAsia="Palatino Linotype" w:hAnsi="Palatino Linotype" w:cs="Palatino Linotype"/>
          <w:sz w:val="22"/>
          <w:szCs w:val="22"/>
        </w:rPr>
        <w:t xml:space="preserve"> ante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la solicitud de acceso a la información pública, a la que se le asignó el número</w:t>
      </w:r>
      <w:r w:rsidRPr="000B1283">
        <w:rPr>
          <w:rFonts w:ascii="Palatino Linotype" w:eastAsia="Palatino Linotype" w:hAnsi="Palatino Linotype" w:cs="Palatino Linotype"/>
          <w:b/>
          <w:bCs/>
          <w:sz w:val="22"/>
          <w:szCs w:val="22"/>
        </w:rPr>
        <w:t xml:space="preserve"> 00183/MELOCAM/IP/2025; </w:t>
      </w:r>
      <w:r w:rsidRPr="000B1283">
        <w:rPr>
          <w:rFonts w:ascii="Palatino Linotype" w:eastAsia="Palatino Linotype" w:hAnsi="Palatino Linotype" w:cs="Palatino Linotype"/>
          <w:sz w:val="22"/>
          <w:szCs w:val="22"/>
        </w:rPr>
        <w:t>mediante la cual requirió la información siguiente:</w:t>
      </w:r>
    </w:p>
    <w:p w:rsidR="009F689E" w:rsidRPr="000B1283" w:rsidRDefault="009F689E">
      <w:pPr>
        <w:spacing w:line="276" w:lineRule="auto"/>
        <w:ind w:left="851" w:right="850"/>
        <w:jc w:val="both"/>
        <w:rPr>
          <w:rFonts w:ascii="Palatino Linotype" w:eastAsia="Palatino Linotype" w:hAnsi="Palatino Linotype" w:cs="Palatino Linotype"/>
          <w:i/>
          <w:iCs/>
          <w:sz w:val="22"/>
          <w:szCs w:val="22"/>
        </w:rPr>
      </w:pPr>
      <w:bookmarkStart w:id="1" w:name="_heading=h.gjdgxs" w:colFirst="0" w:colLast="0"/>
      <w:bookmarkEnd w:id="1"/>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“Solicito la agenda oficial de la presidencia, documento que obra en los archivos de la secretaria técnica de conformidad con el artículo 27 </w:t>
      </w:r>
      <w:proofErr w:type="spellStart"/>
      <w:r w:rsidRPr="000B1283">
        <w:rPr>
          <w:rFonts w:ascii="Palatino Linotype" w:eastAsia="Palatino Linotype" w:hAnsi="Palatino Linotype" w:cs="Palatino Linotype"/>
          <w:i/>
          <w:iCs/>
          <w:sz w:val="22"/>
          <w:szCs w:val="22"/>
        </w:rPr>
        <w:t>fraccion</w:t>
      </w:r>
      <w:proofErr w:type="spellEnd"/>
      <w:r w:rsidRPr="000B1283">
        <w:rPr>
          <w:rFonts w:ascii="Palatino Linotype" w:eastAsia="Palatino Linotype" w:hAnsi="Palatino Linotype" w:cs="Palatino Linotype"/>
          <w:i/>
          <w:iCs/>
          <w:sz w:val="22"/>
          <w:szCs w:val="22"/>
        </w:rPr>
        <w:t xml:space="preserve"> </w:t>
      </w:r>
      <w:proofErr w:type="spellStart"/>
      <w:r w:rsidRPr="000B1283">
        <w:rPr>
          <w:rFonts w:ascii="Palatino Linotype" w:eastAsia="Palatino Linotype" w:hAnsi="Palatino Linotype" w:cs="Palatino Linotype"/>
          <w:i/>
          <w:iCs/>
          <w:sz w:val="22"/>
          <w:szCs w:val="22"/>
        </w:rPr>
        <w:t>fraccion</w:t>
      </w:r>
      <w:proofErr w:type="spellEnd"/>
      <w:r w:rsidRPr="000B1283">
        <w:rPr>
          <w:rFonts w:ascii="Palatino Linotype" w:eastAsia="Palatino Linotype" w:hAnsi="Palatino Linotype" w:cs="Palatino Linotype"/>
          <w:i/>
          <w:iCs/>
          <w:sz w:val="22"/>
          <w:szCs w:val="22"/>
        </w:rPr>
        <w:t xml:space="preserve"> I de su reglamento vigente.” (Sic)</w:t>
      </w:r>
    </w:p>
    <w:p w:rsidR="009F689E" w:rsidRPr="000B1283" w:rsidRDefault="009F689E">
      <w:pPr>
        <w:ind w:left="851" w:right="902"/>
        <w:jc w:val="both"/>
        <w:rPr>
          <w:rFonts w:ascii="Palatino Linotype" w:eastAsia="Palatino Linotype" w:hAnsi="Palatino Linotype" w:cs="Palatino Linotype"/>
          <w:i/>
          <w:i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Modalidad de Entrega:</w:t>
      </w:r>
      <w:r w:rsidRPr="000B1283">
        <w:rPr>
          <w:rFonts w:ascii="Palatino Linotype" w:eastAsia="Palatino Linotype" w:hAnsi="Palatino Linotype" w:cs="Palatino Linotype"/>
          <w:sz w:val="22"/>
          <w:szCs w:val="22"/>
        </w:rPr>
        <w:t xml:space="preserve"> A través de SAIMEX.</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 xml:space="preserve">2. Respuesta. </w:t>
      </w:r>
      <w:r w:rsidRPr="000B1283">
        <w:rPr>
          <w:rFonts w:ascii="Palatino Linotype" w:eastAsia="Palatino Linotype" w:hAnsi="Palatino Linotype" w:cs="Palatino Linotype"/>
          <w:sz w:val="22"/>
          <w:szCs w:val="22"/>
        </w:rPr>
        <w:t xml:space="preserve">Con fecha </w:t>
      </w:r>
      <w:r w:rsidRPr="000B1283">
        <w:rPr>
          <w:rFonts w:ascii="Palatino Linotype" w:eastAsia="Palatino Linotype" w:hAnsi="Palatino Linotype" w:cs="Palatino Linotype"/>
          <w:b/>
          <w:bCs/>
          <w:sz w:val="22"/>
          <w:szCs w:val="22"/>
        </w:rPr>
        <w:t>veintinueve de julio de dos mil veinticinco</w:t>
      </w:r>
      <w:r w:rsidRPr="000B1283">
        <w:rPr>
          <w:rFonts w:ascii="Palatino Linotype" w:eastAsia="Palatino Linotype" w:hAnsi="Palatino Linotype" w:cs="Palatino Linotype"/>
          <w:sz w:val="22"/>
          <w:szCs w:val="22"/>
        </w:rPr>
        <w:t xml:space="preserve">, el </w:t>
      </w:r>
      <w:r w:rsidRPr="000B1283">
        <w:rPr>
          <w:rFonts w:ascii="Palatino Linotype" w:eastAsia="Palatino Linotype" w:hAnsi="Palatino Linotype" w:cs="Palatino Linotype"/>
          <w:b/>
          <w:bCs/>
          <w:sz w:val="22"/>
          <w:szCs w:val="22"/>
        </w:rPr>
        <w:t xml:space="preserve">Sujeto Obligado </w:t>
      </w:r>
      <w:r w:rsidRPr="000B1283">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rsidR="009F689E" w:rsidRPr="000B1283" w:rsidRDefault="007F7F81">
      <w:pPr>
        <w:spacing w:line="276" w:lineRule="auto"/>
        <w:ind w:left="851" w:right="902"/>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9F689E" w:rsidRPr="000B1283" w:rsidRDefault="007F7F81">
      <w:pPr>
        <w:spacing w:line="276" w:lineRule="auto"/>
        <w:ind w:left="851" w:right="902"/>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Buenas tardes se envía respuesta a la petición 00183MELOCAM/IP/2025, y se adjunta la agenda correspondiente solicitada. Excelente tarde</w:t>
      </w:r>
    </w:p>
    <w:p w:rsidR="009F689E" w:rsidRPr="000B1283" w:rsidRDefault="007F7F81">
      <w:pPr>
        <w:spacing w:line="276" w:lineRule="auto"/>
        <w:ind w:left="851" w:right="902"/>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ATENTAMENTE</w:t>
      </w:r>
    </w:p>
    <w:p w:rsidR="009F689E" w:rsidRPr="000B1283" w:rsidRDefault="007F7F81">
      <w:pPr>
        <w:spacing w:line="276" w:lineRule="auto"/>
        <w:ind w:left="851" w:right="902"/>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H. AYUNTAMIENTO MELCHOR OCAMPO” (Sic)</w:t>
      </w:r>
    </w:p>
    <w:p w:rsidR="009F689E" w:rsidRPr="000B1283" w:rsidRDefault="009F689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adjuntó los documentos electrónicos siguientes:</w:t>
      </w:r>
    </w:p>
    <w:p w:rsidR="009F689E" w:rsidRPr="000B1283" w:rsidRDefault="009F689E">
      <w:pPr>
        <w:pBdr>
          <w:top w:val="nil"/>
          <w:left w:val="nil"/>
          <w:bottom w:val="nil"/>
          <w:right w:val="nil"/>
          <w:between w:val="nil"/>
        </w:pBdr>
        <w:spacing w:line="360" w:lineRule="auto"/>
        <w:ind w:left="720" w:right="49"/>
        <w:jc w:val="both"/>
        <w:rPr>
          <w:rFonts w:ascii="Palatino Linotype" w:eastAsia="Palatino Linotype" w:hAnsi="Palatino Linotype" w:cs="Palatino Linotype"/>
          <w:i/>
          <w:iCs/>
          <w:sz w:val="22"/>
          <w:szCs w:val="22"/>
        </w:rPr>
      </w:pPr>
    </w:p>
    <w:p w:rsidR="009F689E" w:rsidRPr="000B1283" w:rsidRDefault="007F7F81">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 xml:space="preserve">RESPUESTA 00183-MELOCAM-IP-2025.pdf: </w:t>
      </w:r>
      <w:r w:rsidRPr="000B1283">
        <w:rPr>
          <w:rFonts w:ascii="Palatino Linotype" w:eastAsia="Palatino Linotype" w:hAnsi="Palatino Linotype" w:cs="Palatino Linotype"/>
          <w:sz w:val="22"/>
          <w:szCs w:val="22"/>
        </w:rPr>
        <w:t>Oficio número MO/PM/0571/2025 de fecha veintiocho de julio de dos mil veinticinco, suscrito por el Secretario Técnico del Municipio de Melchor Ocampo, mediante el cual informó que pone a disposición la agenda correspondiente de la fecha de ingreso de la solicitud al último evento agendado en la misma, detallando que en la respuesta se omite o reserva cualquier dato de carácter personal que pudiera poner en riesgo la seguridad del funcionario o de terceros, en términos de la normatividad vigente.</w:t>
      </w:r>
    </w:p>
    <w:p w:rsidR="009F689E" w:rsidRPr="000B1283" w:rsidRDefault="009F689E">
      <w:pPr>
        <w:pBdr>
          <w:top w:val="nil"/>
          <w:left w:val="nil"/>
          <w:bottom w:val="nil"/>
          <w:right w:val="nil"/>
          <w:between w:val="nil"/>
        </w:pBdr>
        <w:spacing w:line="360" w:lineRule="auto"/>
        <w:ind w:left="426" w:right="49"/>
        <w:jc w:val="both"/>
        <w:rPr>
          <w:rFonts w:ascii="Palatino Linotype" w:eastAsia="Palatino Linotype" w:hAnsi="Palatino Linotype" w:cs="Palatino Linotype"/>
          <w:b/>
          <w:bCs/>
          <w:i/>
          <w:iCs/>
          <w:sz w:val="22"/>
          <w:szCs w:val="22"/>
        </w:rPr>
      </w:pPr>
    </w:p>
    <w:p w:rsidR="009F689E" w:rsidRPr="000B1283" w:rsidRDefault="007F7F81">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AGENDA PRESIDENCIA_V.P..</w:t>
      </w:r>
      <w:proofErr w:type="spellStart"/>
      <w:r w:rsidRPr="000B1283">
        <w:rPr>
          <w:rFonts w:ascii="Palatino Linotype" w:eastAsia="Palatino Linotype" w:hAnsi="Palatino Linotype" w:cs="Palatino Linotype"/>
          <w:b/>
          <w:bCs/>
          <w:i/>
          <w:iCs/>
          <w:sz w:val="22"/>
          <w:szCs w:val="22"/>
        </w:rPr>
        <w:t>pdf</w:t>
      </w:r>
      <w:proofErr w:type="spellEnd"/>
      <w:r w:rsidRPr="000B1283">
        <w:rPr>
          <w:rFonts w:ascii="Palatino Linotype" w:eastAsia="Palatino Linotype" w:hAnsi="Palatino Linotype" w:cs="Palatino Linotype"/>
          <w:b/>
          <w:bCs/>
          <w:i/>
          <w:iCs/>
          <w:sz w:val="22"/>
          <w:szCs w:val="22"/>
        </w:rPr>
        <w:t xml:space="preserve">: </w:t>
      </w:r>
      <w:r w:rsidRPr="000B1283">
        <w:rPr>
          <w:rFonts w:ascii="Palatino Linotype" w:eastAsia="Palatino Linotype" w:hAnsi="Palatino Linotype" w:cs="Palatino Linotype"/>
          <w:sz w:val="22"/>
          <w:szCs w:val="22"/>
        </w:rPr>
        <w:t xml:space="preserve">Contiene la digitalización de la agenda del presidente municipal, del doce de julio al once de agosto de dos mil veinticinco, en versión pública. </w:t>
      </w:r>
    </w:p>
    <w:p w:rsidR="009F689E" w:rsidRPr="000B1283" w:rsidRDefault="009F689E">
      <w:pPr>
        <w:spacing w:line="360" w:lineRule="auto"/>
        <w:ind w:right="49"/>
        <w:jc w:val="both"/>
        <w:rPr>
          <w:rFonts w:ascii="Palatino Linotype" w:eastAsia="Palatino Linotype" w:hAnsi="Palatino Linotype" w:cs="Palatino Linotype"/>
          <w:b/>
          <w:bCs/>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3. Interposición del recurso de revisión. </w:t>
      </w:r>
      <w:r w:rsidRPr="000B1283">
        <w:rPr>
          <w:rFonts w:ascii="Palatino Linotype" w:eastAsia="Palatino Linotype" w:hAnsi="Palatino Linotype" w:cs="Palatino Linotype"/>
          <w:sz w:val="22"/>
          <w:szCs w:val="22"/>
        </w:rPr>
        <w:t xml:space="preserve">Inconforme con los términos de la respuesta emitida por parte del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el </w:t>
      </w:r>
      <w:r w:rsidRPr="000B1283">
        <w:rPr>
          <w:rFonts w:ascii="Palatino Linotype" w:eastAsia="Palatino Linotype" w:hAnsi="Palatino Linotype" w:cs="Palatino Linotype"/>
          <w:b/>
          <w:bCs/>
          <w:sz w:val="22"/>
          <w:szCs w:val="22"/>
        </w:rPr>
        <w:t>primero de agosto de dos mil veinticinco,</w:t>
      </w:r>
      <w:r w:rsidRPr="000B1283">
        <w:rPr>
          <w:rFonts w:ascii="Palatino Linotype" w:eastAsia="Palatino Linotype" w:hAnsi="Palatino Linotype" w:cs="Palatino Linotype"/>
          <w:sz w:val="22"/>
          <w:szCs w:val="22"/>
        </w:rPr>
        <w:t xml:space="preserv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interpuso el recurso de revisión a través de </w:t>
      </w:r>
      <w:r w:rsidRPr="000B1283">
        <w:rPr>
          <w:rFonts w:ascii="Palatino Linotype" w:eastAsia="Palatino Linotype" w:hAnsi="Palatino Linotype" w:cs="Palatino Linotype"/>
          <w:b/>
          <w:bCs/>
          <w:sz w:val="22"/>
          <w:szCs w:val="22"/>
        </w:rPr>
        <w:t>SAIMEX</w:t>
      </w:r>
      <w:r w:rsidRPr="000B1283">
        <w:rPr>
          <w:rFonts w:ascii="Palatino Linotype" w:eastAsia="Palatino Linotype" w:hAnsi="Palatino Linotype" w:cs="Palatino Linotype"/>
          <w:sz w:val="22"/>
          <w:szCs w:val="22"/>
        </w:rPr>
        <w:t>, sin embargo, al corresponder a un día inhábil se tuvo por presentada el día</w:t>
      </w:r>
      <w:r w:rsidRPr="000B1283">
        <w:rPr>
          <w:rFonts w:ascii="Palatino Linotype" w:eastAsia="Palatino Linotype" w:hAnsi="Palatino Linotype" w:cs="Palatino Linotype"/>
          <w:b/>
          <w:bCs/>
          <w:sz w:val="22"/>
          <w:szCs w:val="22"/>
        </w:rPr>
        <w:t xml:space="preserve"> cuatro de agosto de dos mil veinticinco, </w:t>
      </w:r>
      <w:r w:rsidRPr="000B1283">
        <w:rPr>
          <w:rFonts w:ascii="Palatino Linotype" w:eastAsia="Palatino Linotype" w:hAnsi="Palatino Linotype" w:cs="Palatino Linotype"/>
          <w:sz w:val="22"/>
          <w:szCs w:val="22"/>
        </w:rPr>
        <w:t>en donde se manifestó de la siguiente manera:</w:t>
      </w:r>
    </w:p>
    <w:p w:rsidR="009F689E" w:rsidRPr="000B1283" w:rsidRDefault="009F689E">
      <w:pPr>
        <w:spacing w:line="360" w:lineRule="auto"/>
        <w:ind w:right="49"/>
        <w:jc w:val="both"/>
        <w:rPr>
          <w:rFonts w:ascii="Palatino Linotype" w:eastAsia="Palatino Linotype" w:hAnsi="Palatino Linotype" w:cs="Palatino Linotype"/>
          <w:b/>
          <w:bCs/>
          <w:sz w:val="22"/>
          <w:szCs w:val="22"/>
        </w:rPr>
      </w:pPr>
    </w:p>
    <w:p w:rsidR="009F689E" w:rsidRPr="000B1283" w:rsidRDefault="007F7F81">
      <w:pPr>
        <w:numPr>
          <w:ilvl w:val="0"/>
          <w:numId w:val="1"/>
        </w:numPr>
        <w:pBdr>
          <w:top w:val="nil"/>
          <w:left w:val="nil"/>
          <w:bottom w:val="nil"/>
          <w:right w:val="nil"/>
          <w:between w:val="nil"/>
        </w:pBdr>
        <w:tabs>
          <w:tab w:val="left" w:pos="2745"/>
        </w:tabs>
        <w:spacing w:line="276" w:lineRule="auto"/>
        <w:ind w:left="851" w:right="850"/>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 xml:space="preserve">Acto impugnado: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“Respuesta” (Sic)</w:t>
      </w:r>
    </w:p>
    <w:p w:rsidR="009F689E" w:rsidRPr="000B1283" w:rsidRDefault="009F689E">
      <w:pPr>
        <w:spacing w:line="276" w:lineRule="auto"/>
        <w:ind w:left="851" w:right="850"/>
        <w:jc w:val="both"/>
        <w:rPr>
          <w:rFonts w:ascii="Palatino Linotype" w:eastAsia="Palatino Linotype" w:hAnsi="Palatino Linotype" w:cs="Palatino Linotype"/>
          <w:i/>
          <w:iCs/>
          <w:sz w:val="22"/>
          <w:szCs w:val="22"/>
        </w:rPr>
      </w:pPr>
    </w:p>
    <w:p w:rsidR="009F689E" w:rsidRPr="000B1283" w:rsidRDefault="007F7F81">
      <w:pPr>
        <w:numPr>
          <w:ilvl w:val="0"/>
          <w:numId w:val="1"/>
        </w:num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Y Razones o motivos de inconformidad</w:t>
      </w:r>
      <w:r w:rsidRPr="000B1283">
        <w:rPr>
          <w:rFonts w:ascii="Palatino Linotype" w:eastAsia="Palatino Linotype" w:hAnsi="Palatino Linotype" w:cs="Palatino Linotype"/>
          <w:sz w:val="22"/>
          <w:szCs w:val="22"/>
        </w:rPr>
        <w:t>:</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bookmarkStart w:id="2" w:name="_heading=h.30j0zll" w:colFirst="0" w:colLast="0"/>
      <w:bookmarkEnd w:id="2"/>
      <w:r w:rsidRPr="000B1283">
        <w:rPr>
          <w:rFonts w:ascii="Palatino Linotype" w:eastAsia="Palatino Linotype" w:hAnsi="Palatino Linotype" w:cs="Palatino Linotype"/>
          <w:i/>
          <w:iCs/>
          <w:sz w:val="22"/>
          <w:szCs w:val="22"/>
        </w:rPr>
        <w:t>“Información incompleta ni el periodo cumple” (Sic)</w:t>
      </w:r>
    </w:p>
    <w:p w:rsidR="009F689E" w:rsidRPr="000B1283" w:rsidRDefault="009F689E">
      <w:pPr>
        <w:spacing w:line="360" w:lineRule="auto"/>
        <w:ind w:right="51"/>
        <w:jc w:val="both"/>
        <w:rPr>
          <w:rFonts w:ascii="Palatino Linotype" w:eastAsia="Palatino Linotype" w:hAnsi="Palatino Linotype" w:cs="Palatino Linotype"/>
          <w:b/>
          <w:bCs/>
          <w:sz w:val="22"/>
          <w:szCs w:val="22"/>
        </w:rPr>
      </w:pPr>
    </w:p>
    <w:p w:rsidR="009F689E" w:rsidRPr="000B1283" w:rsidRDefault="007F7F81">
      <w:pPr>
        <w:spacing w:line="360" w:lineRule="auto"/>
        <w:ind w:right="5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4. Turno. </w:t>
      </w:r>
      <w:r w:rsidRPr="000B128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B1283">
        <w:rPr>
          <w:rFonts w:ascii="Palatino Linotype" w:eastAsia="Palatino Linotype" w:hAnsi="Palatino Linotype" w:cs="Palatino Linotype"/>
          <w:b/>
          <w:bCs/>
          <w:sz w:val="22"/>
          <w:szCs w:val="22"/>
        </w:rPr>
        <w:t xml:space="preserve">Guadalupe Ramírez Peña, </w:t>
      </w:r>
      <w:r w:rsidRPr="000B1283">
        <w:rPr>
          <w:rFonts w:ascii="Palatino Linotype" w:eastAsia="Palatino Linotype" w:hAnsi="Palatino Linotype" w:cs="Palatino Linotype"/>
          <w:sz w:val="22"/>
          <w:szCs w:val="22"/>
        </w:rPr>
        <w:t xml:space="preserve">a efecto de que analizara sobre su admisión o su </w:t>
      </w:r>
      <w:proofErr w:type="spellStart"/>
      <w:r w:rsidRPr="000B1283">
        <w:rPr>
          <w:rFonts w:ascii="Palatino Linotype" w:eastAsia="Palatino Linotype" w:hAnsi="Palatino Linotype" w:cs="Palatino Linotype"/>
          <w:sz w:val="22"/>
          <w:szCs w:val="22"/>
        </w:rPr>
        <w:t>desechamiento</w:t>
      </w:r>
      <w:proofErr w:type="spellEnd"/>
      <w:r w:rsidRPr="000B1283">
        <w:rPr>
          <w:rFonts w:ascii="Palatino Linotype" w:eastAsia="Palatino Linotype" w:hAnsi="Palatino Linotype" w:cs="Palatino Linotype"/>
          <w:sz w:val="22"/>
          <w:szCs w:val="22"/>
        </w:rPr>
        <w:t>.</w:t>
      </w:r>
    </w:p>
    <w:p w:rsidR="009F689E" w:rsidRPr="000B1283" w:rsidRDefault="009F689E">
      <w:pPr>
        <w:spacing w:line="360" w:lineRule="auto"/>
        <w:ind w:right="51"/>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5. Admisión del Recurso de revisión.</w:t>
      </w:r>
      <w:r w:rsidRPr="000B1283">
        <w:rPr>
          <w:rFonts w:ascii="Palatino Linotype" w:eastAsia="Palatino Linotype" w:hAnsi="Palatino Linotype" w:cs="Palatino Linotype"/>
          <w:sz w:val="22"/>
          <w:szCs w:val="22"/>
        </w:rPr>
        <w:t xml:space="preserve"> Con fecha</w:t>
      </w:r>
      <w:r w:rsidRPr="000B1283">
        <w:rPr>
          <w:rFonts w:ascii="Palatino Linotype" w:eastAsia="Palatino Linotype" w:hAnsi="Palatino Linotype" w:cs="Palatino Linotype"/>
          <w:b/>
          <w:bCs/>
          <w:sz w:val="22"/>
          <w:szCs w:val="22"/>
        </w:rPr>
        <w:t xml:space="preserve"> ocho de agosto de dos mil veinticinco, </w:t>
      </w:r>
      <w:r w:rsidRPr="000B128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B1283">
        <w:rPr>
          <w:rFonts w:ascii="Palatino Linotype" w:eastAsia="Palatino Linotype" w:hAnsi="Palatino Linotype" w:cs="Palatino Linotype"/>
          <w:b/>
          <w:bCs/>
          <w:sz w:val="22"/>
          <w:szCs w:val="22"/>
        </w:rPr>
        <w:t xml:space="preserve">Sujeto Obligado </w:t>
      </w:r>
      <w:r w:rsidRPr="000B1283">
        <w:rPr>
          <w:rFonts w:ascii="Palatino Linotype" w:eastAsia="Palatino Linotype" w:hAnsi="Palatino Linotype" w:cs="Palatino Linotype"/>
          <w:sz w:val="22"/>
          <w:szCs w:val="22"/>
        </w:rPr>
        <w:t>presentara su informe justificado.</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0B1283">
        <w:rPr>
          <w:rFonts w:ascii="Palatino Linotype" w:eastAsia="Palatino Linotype" w:hAnsi="Palatino Linotype" w:cs="Palatino Linotype"/>
          <w:b/>
          <w:bCs/>
          <w:sz w:val="22"/>
          <w:szCs w:val="22"/>
        </w:rPr>
        <w:t>6. Manifestaciones</w:t>
      </w:r>
      <w:r w:rsidRPr="000B1283">
        <w:rPr>
          <w:rFonts w:ascii="Palatino Linotype" w:eastAsia="Palatino Linotype" w:hAnsi="Palatino Linotype" w:cs="Palatino Linotype"/>
          <w:sz w:val="22"/>
          <w:szCs w:val="22"/>
        </w:rPr>
        <w:t xml:space="preserve">. De las constancias que obran en el expediente electrónico del SAIMEX, se advierte que, tanto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como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fueron omisos en realizar manifestaciones; se inserta imagen de referencia:</w:t>
      </w:r>
    </w:p>
    <w:p w:rsidR="009F689E" w:rsidRPr="000B1283" w:rsidRDefault="009F689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9F689E" w:rsidRPr="000B1283" w:rsidRDefault="007F7F81">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5760720" cy="12649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60720" cy="1264920"/>
                    </a:xfrm>
                    <a:prstGeom prst="rect">
                      <a:avLst/>
                    </a:prstGeom>
                    <a:ln/>
                  </pic:spPr>
                </pic:pic>
              </a:graphicData>
            </a:graphic>
          </wp:inline>
        </w:drawing>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7. Cierre de instrucción. </w:t>
      </w:r>
      <w:r w:rsidRPr="000B128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Pr="000B1283">
        <w:rPr>
          <w:rFonts w:ascii="Palatino Linotype" w:eastAsia="Palatino Linotype" w:hAnsi="Palatino Linotype" w:cs="Palatino Linotype"/>
          <w:b/>
          <w:bCs/>
          <w:sz w:val="22"/>
          <w:szCs w:val="22"/>
        </w:rPr>
        <w:t xml:space="preserve">veintitrés de marzo de dos mil veintiséis, </w:t>
      </w:r>
      <w:r w:rsidRPr="000B1283">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7. Ampliación de plazo. </w:t>
      </w:r>
      <w:r w:rsidRPr="000B1283">
        <w:rPr>
          <w:rFonts w:ascii="Palatino Linotype" w:eastAsia="Palatino Linotype" w:hAnsi="Palatino Linotype" w:cs="Palatino Linotype"/>
          <w:sz w:val="22"/>
          <w:szCs w:val="22"/>
        </w:rPr>
        <w:t xml:space="preserve">El </w:t>
      </w:r>
      <w:r w:rsidRPr="000B1283">
        <w:rPr>
          <w:rFonts w:ascii="Palatino Linotype" w:eastAsia="Palatino Linotype" w:hAnsi="Palatino Linotype" w:cs="Palatino Linotype"/>
          <w:b/>
          <w:bCs/>
          <w:sz w:val="22"/>
          <w:szCs w:val="22"/>
        </w:rPr>
        <w:t>veintitrés de marzo de dos mil veintiséis</w:t>
      </w:r>
      <w:r w:rsidRPr="000B1283">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numPr>
          <w:ilvl w:val="0"/>
          <w:numId w:val="4"/>
        </w:num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Complejidad del Asunto:</w:t>
      </w:r>
      <w:r w:rsidRPr="000B128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9F689E" w:rsidRPr="000B1283" w:rsidRDefault="007F7F81">
      <w:pPr>
        <w:numPr>
          <w:ilvl w:val="0"/>
          <w:numId w:val="4"/>
        </w:num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Actividad Procesal del interesado.</w:t>
      </w:r>
      <w:r w:rsidRPr="000B1283">
        <w:rPr>
          <w:rFonts w:ascii="Palatino Linotype" w:eastAsia="Palatino Linotype" w:hAnsi="Palatino Linotype" w:cs="Palatino Linotype"/>
          <w:sz w:val="22"/>
          <w:szCs w:val="22"/>
        </w:rPr>
        <w:t xml:space="preserve"> Acciones u omisiones del interesado.</w:t>
      </w:r>
    </w:p>
    <w:p w:rsidR="009F689E" w:rsidRPr="000B1283" w:rsidRDefault="007F7F81">
      <w:pPr>
        <w:numPr>
          <w:ilvl w:val="0"/>
          <w:numId w:val="4"/>
        </w:num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Conducta de la Autoridad:</w:t>
      </w:r>
      <w:r w:rsidRPr="000B128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9F689E" w:rsidRPr="000B1283" w:rsidRDefault="007F7F81">
      <w:pPr>
        <w:numPr>
          <w:ilvl w:val="0"/>
          <w:numId w:val="4"/>
        </w:num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w:t>
      </w:r>
      <w:r w:rsidRPr="000B1283">
        <w:rPr>
          <w:rFonts w:ascii="Palatino Linotype" w:eastAsia="Palatino Linotype" w:hAnsi="Palatino Linotype" w:cs="Palatino Linotype"/>
          <w:b/>
          <w:bCs/>
          <w:sz w:val="22"/>
          <w:szCs w:val="22"/>
        </w:rPr>
        <w:t xml:space="preserve">La afectación generada en la situación jurídica de la persona involucrada en el proceso: </w:t>
      </w:r>
      <w:r w:rsidRPr="000B1283">
        <w:rPr>
          <w:rFonts w:ascii="Palatino Linotype" w:eastAsia="Palatino Linotype" w:hAnsi="Palatino Linotype" w:cs="Palatino Linotype"/>
          <w:sz w:val="22"/>
          <w:szCs w:val="22"/>
        </w:rPr>
        <w:t>Violación a sus derechos humanos.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B1283">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0B1283">
        <w:rPr>
          <w:rFonts w:ascii="Palatino Linotype" w:eastAsia="Palatino Linotype" w:hAnsi="Palatino Linotype" w:cs="Palatino Linotype"/>
          <w:sz w:val="22"/>
          <w:szCs w:val="22"/>
        </w:rPr>
        <w:t>, visible en la Gaceta del Seminario Judicial de la Federación con el registro digital 205635.</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w:t>
      </w:r>
      <w:r w:rsidRPr="000B1283">
        <w:rPr>
          <w:rFonts w:ascii="Palatino Linotype" w:eastAsia="Palatino Linotype" w:hAnsi="Palatino Linotype" w:cs="Palatino Linotype"/>
          <w:i/>
          <w:iCs/>
          <w:sz w:val="22"/>
          <w:szCs w:val="22"/>
        </w:rPr>
        <w:t>“PLAZO RAZONABLE PARA RESOLVER. DIMENSIÓN Y EFECTOS DE ESTE CONCEPTO CUANDO SE ADUCE EXCESIVA CARGA DE TRABAJO.”</w:t>
      </w:r>
      <w:r w:rsidRPr="000B1283">
        <w:rPr>
          <w:rFonts w:ascii="Palatino Linotype" w:eastAsia="Palatino Linotype" w:hAnsi="Palatino Linotype" w:cs="Palatino Linotype"/>
          <w:sz w:val="22"/>
          <w:szCs w:val="22"/>
        </w:rPr>
        <w:t xml:space="preserve"> consultable en el Seminario Judicial de la Federación y su gaceta, con el registro digital 2002351.</w:t>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“PLAZO RAZONABLE PARA RESOLVER. CONCEPTO Y ELEMENTOS QUE LO INTEGRAN A LA LUZ DEL DERECHO INTERNACIONAL DE LOS DERECHOS HUMANOS.”</w:t>
      </w:r>
      <w:r w:rsidRPr="000B1283">
        <w:rPr>
          <w:rFonts w:ascii="Palatino Linotype" w:eastAsia="Palatino Linotype" w:hAnsi="Palatino Linotype" w:cs="Palatino Linotype"/>
          <w:sz w:val="22"/>
          <w:szCs w:val="22"/>
        </w:rPr>
        <w:t>, visible en el Seminario Judicial de la Federación y su gaceta, con el registro digital 2002350.</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9F689E" w:rsidRPr="000B1283" w:rsidRDefault="007F7F81">
      <w:pPr>
        <w:widowControl w:val="0"/>
        <w:spacing w:line="360" w:lineRule="auto"/>
        <w:jc w:val="center"/>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II. C O N S I D E R A N D O S</w:t>
      </w:r>
    </w:p>
    <w:p w:rsidR="009F689E" w:rsidRPr="000B1283" w:rsidRDefault="009F689E">
      <w:pPr>
        <w:widowControl w:val="0"/>
        <w:spacing w:line="360" w:lineRule="auto"/>
        <w:jc w:val="center"/>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Primero. Competencia.</w:t>
      </w:r>
      <w:r w:rsidRPr="000B128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0B1283">
        <w:rPr>
          <w:rFonts w:ascii="Palatino Linotype" w:eastAsia="Palatino Linotype" w:hAnsi="Palatino Linotype" w:cs="Palatino Linotype"/>
          <w:b/>
          <w:bCs/>
          <w:sz w:val="22"/>
          <w:szCs w:val="22"/>
        </w:rPr>
        <w:t xml:space="preserve">Segundo. Oportunidad y </w:t>
      </w:r>
      <w:proofErr w:type="spellStart"/>
      <w:r w:rsidRPr="000B1283">
        <w:rPr>
          <w:rFonts w:ascii="Palatino Linotype" w:eastAsia="Palatino Linotype" w:hAnsi="Palatino Linotype" w:cs="Palatino Linotype"/>
          <w:b/>
          <w:bCs/>
          <w:sz w:val="22"/>
          <w:szCs w:val="22"/>
        </w:rPr>
        <w:t>Procedibilidad</w:t>
      </w:r>
      <w:proofErr w:type="spellEnd"/>
      <w:r w:rsidRPr="000B1283">
        <w:rPr>
          <w:rFonts w:ascii="Palatino Linotype" w:eastAsia="Palatino Linotype" w:hAnsi="Palatino Linotype" w:cs="Palatino Linotype"/>
          <w:b/>
          <w:bCs/>
          <w:sz w:val="22"/>
          <w:szCs w:val="22"/>
        </w:rPr>
        <w:t xml:space="preserve"> del Recurso de Revisión. </w:t>
      </w:r>
      <w:r w:rsidRPr="000B1283">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0B1283">
        <w:rPr>
          <w:rFonts w:ascii="Palatino Linotype" w:eastAsia="Palatino Linotype" w:hAnsi="Palatino Linotype" w:cs="Palatino Linotype"/>
          <w:sz w:val="22"/>
          <w:szCs w:val="22"/>
        </w:rPr>
        <w:t>procedibilidad</w:t>
      </w:r>
      <w:proofErr w:type="spellEnd"/>
      <w:r w:rsidRPr="000B1283">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276" w:lineRule="auto"/>
        <w:ind w:left="851" w:right="90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 xml:space="preserve">Artículo 178. </w:t>
      </w:r>
      <w:r w:rsidRPr="000B1283">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remitió la respuesta a la solicitud de información el </w:t>
      </w:r>
      <w:r w:rsidRPr="000B1283">
        <w:rPr>
          <w:rFonts w:ascii="Palatino Linotype" w:eastAsia="Palatino Linotype" w:hAnsi="Palatino Linotype" w:cs="Palatino Linotype"/>
          <w:b/>
          <w:bCs/>
          <w:sz w:val="22"/>
          <w:szCs w:val="22"/>
        </w:rPr>
        <w:t xml:space="preserve">veintinueve de julio de dos mil veinticinco, </w:t>
      </w:r>
      <w:r w:rsidRPr="000B1283">
        <w:rPr>
          <w:rFonts w:ascii="Palatino Linotype" w:eastAsia="Palatino Linotype" w:hAnsi="Palatino Linotype" w:cs="Palatino Linotype"/>
          <w:sz w:val="22"/>
          <w:szCs w:val="22"/>
        </w:rPr>
        <w:t xml:space="preserve">mientras que el recurso de revisión interpuesto por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se tuvo por presentado el día </w:t>
      </w:r>
      <w:r w:rsidRPr="000B1283">
        <w:rPr>
          <w:rFonts w:ascii="Palatino Linotype" w:eastAsia="Palatino Linotype" w:hAnsi="Palatino Linotype" w:cs="Palatino Linotype"/>
          <w:b/>
          <w:bCs/>
          <w:sz w:val="22"/>
          <w:szCs w:val="22"/>
        </w:rPr>
        <w:t>cuatro de agosto de dos mil veinticinco</w:t>
      </w:r>
      <w:r w:rsidRPr="000B1283">
        <w:rPr>
          <w:rFonts w:ascii="Palatino Linotype" w:eastAsia="Palatino Linotype" w:hAnsi="Palatino Linotype" w:cs="Palatino Linotype"/>
          <w:sz w:val="22"/>
          <w:szCs w:val="22"/>
        </w:rPr>
        <w:t>; esto es, al primer día hábil siguiente al que se tuvo conocimiento de la respuesta.</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Por cuanto hace a la </w:t>
      </w:r>
      <w:proofErr w:type="spellStart"/>
      <w:r w:rsidRPr="000B1283">
        <w:rPr>
          <w:rFonts w:ascii="Palatino Linotype" w:eastAsia="Palatino Linotype" w:hAnsi="Palatino Linotype" w:cs="Palatino Linotype"/>
          <w:sz w:val="22"/>
          <w:szCs w:val="22"/>
        </w:rPr>
        <w:t>procedibilidad</w:t>
      </w:r>
      <w:proofErr w:type="spellEnd"/>
      <w:r w:rsidRPr="000B1283">
        <w:rPr>
          <w:rFonts w:ascii="Palatino Linotype" w:eastAsia="Palatino Linotype" w:hAnsi="Palatino Linotype" w:cs="Palatino Linotype"/>
          <w:sz w:val="22"/>
          <w:szCs w:val="22"/>
        </w:rPr>
        <w:t xml:space="preserve"> del recurso de revisión, es de suma importancia señalar que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no proporcionó su nombre</w:t>
      </w:r>
      <w:r w:rsidRPr="000B1283">
        <w:rPr>
          <w:rFonts w:ascii="Palatino Linotype" w:eastAsia="Palatino Linotype" w:hAnsi="Palatino Linotype" w:cs="Palatino Linotype"/>
          <w:b/>
          <w:bCs/>
          <w:sz w:val="22"/>
          <w:szCs w:val="22"/>
        </w:rPr>
        <w:t>,</w:t>
      </w:r>
      <w:r w:rsidRPr="000B1283">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276" w:lineRule="auto"/>
        <w:ind w:left="851" w:right="902"/>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 xml:space="preserve">Las solicitudes </w:t>
      </w:r>
      <w:r w:rsidRPr="000B1283">
        <w:rPr>
          <w:rFonts w:ascii="Palatino Linotype" w:eastAsia="Palatino Linotype" w:hAnsi="Palatino Linotype" w:cs="Palatino Linotype"/>
          <w:i/>
          <w:iCs/>
          <w:sz w:val="22"/>
          <w:szCs w:val="22"/>
        </w:rPr>
        <w:t xml:space="preserve">anónimas, con </w:t>
      </w:r>
      <w:r w:rsidRPr="000B1283">
        <w:rPr>
          <w:rFonts w:ascii="Palatino Linotype" w:eastAsia="Palatino Linotype" w:hAnsi="Palatino Linotype" w:cs="Palatino Linotype"/>
          <w:b/>
          <w:bCs/>
          <w:i/>
          <w:iCs/>
          <w:sz w:val="22"/>
          <w:szCs w:val="22"/>
        </w:rPr>
        <w:t>nombre incompleto o seudónimo</w:t>
      </w:r>
      <w:r w:rsidRPr="000B1283">
        <w:rPr>
          <w:rFonts w:ascii="Palatino Linotype" w:eastAsia="Palatino Linotype" w:hAnsi="Palatino Linotype" w:cs="Palatino Linotype"/>
          <w:i/>
          <w:iCs/>
          <w:sz w:val="22"/>
          <w:szCs w:val="22"/>
        </w:rPr>
        <w:t xml:space="preserve"> </w:t>
      </w:r>
      <w:r w:rsidRPr="000B1283">
        <w:rPr>
          <w:rFonts w:ascii="Palatino Linotype" w:eastAsia="Palatino Linotype" w:hAnsi="Palatino Linotype" w:cs="Palatino Linotype"/>
          <w:b/>
          <w:bCs/>
          <w:i/>
          <w:iCs/>
          <w:sz w:val="22"/>
          <w:szCs w:val="22"/>
        </w:rPr>
        <w:t>serán procedentes para su trámite por parte del sujeto obligado ante quien se presente</w:t>
      </w:r>
      <w:r w:rsidRPr="000B1283">
        <w:rPr>
          <w:rFonts w:ascii="Palatino Linotype" w:eastAsia="Palatino Linotype" w:hAnsi="Palatino Linotype" w:cs="Palatino Linotype"/>
          <w:i/>
          <w:iCs/>
          <w:sz w:val="22"/>
          <w:szCs w:val="22"/>
        </w:rPr>
        <w:t>. No podrá requerirse información adicional con motivo del nombre proporcionado por el solicitante."(Sic)</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Así también, por cuanto hace a la </w:t>
      </w:r>
      <w:proofErr w:type="spellStart"/>
      <w:r w:rsidRPr="000B1283">
        <w:rPr>
          <w:rFonts w:ascii="Palatino Linotype" w:eastAsia="Palatino Linotype" w:hAnsi="Palatino Linotype" w:cs="Palatino Linotype"/>
          <w:sz w:val="22"/>
          <w:szCs w:val="22"/>
        </w:rPr>
        <w:t>procedibilidad</w:t>
      </w:r>
      <w:proofErr w:type="spellEnd"/>
      <w:r w:rsidRPr="000B1283">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rsidR="009F689E" w:rsidRPr="000B1283" w:rsidRDefault="009F689E">
      <w:pPr>
        <w:spacing w:line="276" w:lineRule="auto"/>
        <w:ind w:left="851" w:right="850"/>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 xml:space="preserve">Artículo 179. </w:t>
      </w:r>
      <w:r w:rsidRPr="000B1283">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V. La entrega de información incompleta;</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(Sic)</w:t>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Tercero. Materia de Revisión</w:t>
      </w:r>
      <w:r w:rsidRPr="000B1283">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0B1283">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0B1283">
        <w:rPr>
          <w:rFonts w:ascii="Palatino Linotype" w:eastAsia="Palatino Linotype" w:hAnsi="Palatino Linotype" w:cs="Palatino Linotype"/>
          <w:sz w:val="22"/>
          <w:szCs w:val="22"/>
        </w:rPr>
        <w:t xml:space="preserve">de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o en su defecto, en caso de ser procedente, ordenar la entrega de información.</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Cuarto. Estudio de fondo del asunto. </w:t>
      </w:r>
      <w:r w:rsidRPr="000B1283">
        <w:rPr>
          <w:rFonts w:ascii="Palatino Linotype" w:eastAsia="Palatino Linotype" w:hAnsi="Palatino Linotype" w:cs="Palatino Linotype"/>
          <w:sz w:val="22"/>
          <w:szCs w:val="22"/>
        </w:rPr>
        <w:t xml:space="preserve">Es conveniente analizar si la respuesta del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 “</w:t>
      </w:r>
      <w:r w:rsidRPr="000B1283">
        <w:rPr>
          <w:rFonts w:ascii="Palatino Linotype" w:eastAsia="Palatino Linotype" w:hAnsi="Palatino Linotype" w:cs="Palatino Linotype"/>
          <w:b/>
          <w:bCs/>
          <w:i/>
          <w:iCs/>
          <w:sz w:val="22"/>
          <w:szCs w:val="22"/>
        </w:rPr>
        <w:t>Artículo 4</w:t>
      </w:r>
      <w:r w:rsidRPr="000B128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B128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B1283">
        <w:rPr>
          <w:rFonts w:ascii="Palatino Linotype" w:eastAsia="Palatino Linotype" w:hAnsi="Palatino Linotype" w:cs="Palatino Linotype"/>
          <w:i/>
          <w:iCs/>
          <w:sz w:val="22"/>
          <w:szCs w:val="22"/>
        </w:rPr>
        <w:t>.”</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Artículo 12.-</w:t>
      </w:r>
      <w:r w:rsidRPr="000B128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9F689E" w:rsidRPr="000B1283" w:rsidRDefault="009F689E">
      <w:pPr>
        <w:spacing w:line="276" w:lineRule="auto"/>
        <w:ind w:left="851" w:right="850"/>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B1283">
        <w:rPr>
          <w:rFonts w:ascii="Palatino Linotype" w:eastAsia="Palatino Linotype" w:hAnsi="Palatino Linotype" w:cs="Palatino Linotype"/>
          <w:i/>
          <w:iCs/>
          <w:sz w:val="22"/>
          <w:szCs w:val="22"/>
        </w:rPr>
        <w:t xml:space="preserve">. </w:t>
      </w:r>
      <w:r w:rsidRPr="000B1283">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9F689E" w:rsidRPr="000B1283" w:rsidRDefault="009F689E">
      <w:pPr>
        <w:ind w:left="567" w:right="758"/>
        <w:jc w:val="both"/>
        <w:rPr>
          <w:rFonts w:ascii="Palatino Linotype" w:eastAsia="Palatino Linotype" w:hAnsi="Palatino Linotype" w:cs="Palatino Linotype"/>
          <w:i/>
          <w:iCs/>
          <w:sz w:val="22"/>
          <w:szCs w:val="22"/>
        </w:rPr>
      </w:pPr>
    </w:p>
    <w:p w:rsidR="009F689E" w:rsidRPr="000B1283" w:rsidRDefault="007F7F81">
      <w:pPr>
        <w:spacing w:line="360" w:lineRule="auto"/>
        <w:ind w:right="-93"/>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9F689E" w:rsidRPr="000B1283" w:rsidRDefault="009F689E">
      <w:pPr>
        <w:spacing w:line="360" w:lineRule="auto"/>
        <w:ind w:right="-93"/>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sz w:val="22"/>
          <w:szCs w:val="22"/>
        </w:rPr>
        <w:t>Sirve de apoyo a lo anterior, el criterio 03-17, expuesto por el entonces Instituto Nacional de Transparencia, Acceso a la Información y Protección de Datos Personales, que dice:</w:t>
      </w:r>
      <w:r w:rsidRPr="000B1283">
        <w:rPr>
          <w:rFonts w:ascii="Palatino Linotype" w:eastAsia="Palatino Linotype" w:hAnsi="Palatino Linotype" w:cs="Palatino Linotype"/>
          <w:b/>
          <w:bCs/>
          <w:sz w:val="22"/>
          <w:szCs w:val="22"/>
        </w:rPr>
        <w:t xml:space="preserve"> </w:t>
      </w:r>
    </w:p>
    <w:p w:rsidR="009F689E" w:rsidRPr="000B1283" w:rsidRDefault="009F689E">
      <w:pPr>
        <w:ind w:left="851" w:right="850"/>
        <w:jc w:val="both"/>
        <w:rPr>
          <w:rFonts w:ascii="Palatino Linotype" w:eastAsia="Palatino Linotype" w:hAnsi="Palatino Linotype" w:cs="Palatino Linotype"/>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B128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Resoluciones: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RRA 0050/16. Instituto Nacional para la Evaluación de la Educación. 13 julio de 2016. Por unanimidad. Comisionado Ponente: Francisco Javier Acuña Llamas.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 RRA 0310/16. Instituto Nacional de Transparencia, Acceso a la Información y Protección de Datos Personales. 10 de agosto de 2016. Por unanimidad. Comisionada Ponente. Areli Cano Guadiana.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RRA 1889/16. Secretaría de Hacienda y Crédito Público. 05 de octubre de 2016. Por unanimidad. Comisionada Ponente. Ximena Puente de la Mora.”</w:t>
      </w:r>
    </w:p>
    <w:p w:rsidR="009F689E" w:rsidRPr="000B1283" w:rsidRDefault="009F689E">
      <w:pPr>
        <w:spacing w:line="360" w:lineRule="auto"/>
        <w:ind w:right="-93"/>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F689E" w:rsidRPr="000B1283" w:rsidRDefault="009F689E">
      <w:pPr>
        <w:ind w:left="851" w:right="899"/>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 xml:space="preserve">Artículo 3. </w:t>
      </w:r>
      <w:r w:rsidRPr="000B1283">
        <w:rPr>
          <w:rFonts w:ascii="Palatino Linotype" w:eastAsia="Palatino Linotype" w:hAnsi="Palatino Linotype" w:cs="Palatino Linotype"/>
          <w:i/>
          <w:iCs/>
          <w:sz w:val="22"/>
          <w:szCs w:val="22"/>
        </w:rPr>
        <w:t>Para los efectos de la presente Ley se entenderá por:</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XI. Documento:</w:t>
      </w:r>
      <w:r w:rsidRPr="000B1283">
        <w:rPr>
          <w:rFonts w:ascii="Palatino Linotype" w:eastAsia="Palatino Linotype" w:hAnsi="Palatino Linotype" w:cs="Palatino Linotype"/>
          <w:i/>
          <w:iCs/>
          <w:sz w:val="22"/>
          <w:szCs w:val="22"/>
        </w:rPr>
        <w:t xml:space="preserve"> Los expedientes, reportes, estudios, actas</w:t>
      </w:r>
      <w:r w:rsidRPr="000B1283">
        <w:rPr>
          <w:rFonts w:ascii="Palatino Linotype" w:eastAsia="Palatino Linotype" w:hAnsi="Palatino Linotype" w:cs="Palatino Linotype"/>
          <w:b/>
          <w:bCs/>
          <w:i/>
          <w:iCs/>
          <w:sz w:val="22"/>
          <w:szCs w:val="22"/>
        </w:rPr>
        <w:t>,</w:t>
      </w:r>
      <w:r w:rsidRPr="000B128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9F689E" w:rsidRPr="000B1283" w:rsidRDefault="009F689E">
      <w:pPr>
        <w:ind w:left="851" w:right="899"/>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F689E" w:rsidRPr="000B1283" w:rsidRDefault="009F689E">
      <w:pPr>
        <w:ind w:left="851" w:right="899"/>
        <w:jc w:val="both"/>
        <w:rPr>
          <w:rFonts w:ascii="Palatino Linotype" w:eastAsia="Palatino Linotype" w:hAnsi="Palatino Linotype" w:cs="Palatino Linotype"/>
          <w:sz w:val="22"/>
          <w:szCs w:val="22"/>
        </w:rPr>
      </w:pP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sz w:val="22"/>
          <w:szCs w:val="22"/>
        </w:rPr>
        <w:t>“</w:t>
      </w:r>
      <w:r w:rsidRPr="000B1283">
        <w:rPr>
          <w:rFonts w:ascii="Palatino Linotype" w:eastAsia="Palatino Linotype" w:hAnsi="Palatino Linotype" w:cs="Palatino Linotype"/>
          <w:b/>
          <w:bCs/>
          <w:i/>
          <w:iCs/>
          <w:sz w:val="22"/>
          <w:szCs w:val="22"/>
        </w:rPr>
        <w:t>CRITERIO 0002-11</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0B128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3) Que se trate de información registrada en cualquier soporte documental, que en ejercicio de las atribuciones conferidas, se encuentre en posesión de los Sujetos Obligados.”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Ayuntamiento de Melchor Ocampo, la </w:t>
      </w:r>
      <w:r w:rsidRPr="000B1283">
        <w:rPr>
          <w:rFonts w:ascii="Palatino Linotype" w:eastAsia="Palatino Linotype" w:hAnsi="Palatino Linotype" w:cs="Palatino Linotype"/>
          <w:b/>
          <w:bCs/>
          <w:sz w:val="22"/>
          <w:szCs w:val="22"/>
        </w:rPr>
        <w:t>Agenda oficial de la presidencia</w:t>
      </w:r>
      <w:r w:rsidRPr="000B1283">
        <w:rPr>
          <w:rFonts w:ascii="Palatino Linotype" w:eastAsia="Palatino Linotype" w:hAnsi="Palatino Linotype" w:cs="Palatino Linotype"/>
          <w:sz w:val="22"/>
          <w:szCs w:val="22"/>
        </w:rPr>
        <w:t xml:space="preserve"> </w:t>
      </w:r>
      <w:r w:rsidRPr="000B1283">
        <w:rPr>
          <w:rFonts w:ascii="Palatino Linotype" w:eastAsia="Palatino Linotype" w:hAnsi="Palatino Linotype" w:cs="Palatino Linotype"/>
          <w:b/>
          <w:bCs/>
          <w:sz w:val="22"/>
          <w:szCs w:val="22"/>
        </w:rPr>
        <w:t xml:space="preserve">que obra en los archivos de la Secretaría Técnica, de conformidad con el artículo 27 fracción I de su reglamento vigente. </w:t>
      </w:r>
    </w:p>
    <w:p w:rsidR="009F689E" w:rsidRPr="000B1283" w:rsidRDefault="009F689E">
      <w:pPr>
        <w:spacing w:line="360" w:lineRule="auto"/>
        <w:jc w:val="both"/>
        <w:rPr>
          <w:rFonts w:ascii="Palatino Linotype" w:eastAsia="Palatino Linotype" w:hAnsi="Palatino Linotype" w:cs="Palatino Linotype"/>
          <w:b/>
          <w:bCs/>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respuesta,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a través del Secretario Técnico informó la entrega de la agenda correspondiente de la fecha de ingreso de la solicitud al último evento agendado en la misma en versión pública, sin que hiciera entrega del acuerdo del Comité que fundara y motivara dicha clasificación.</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Derivado de ello, el hoy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se inconformó medularmente por la entrega de información incompleta. </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las partes fueron omisas en realizar alguna manifestación. </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Acotado lo anterior, conviene referir en primer lugar que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solicitó la información sin precisar temporalidad alguna, no obstante, este Instituto advierte que requiere información de la actual administración a la fecha de la solicitud; por tanto, es dable tener que la información indicada se requiere del primer de enero al dos de julio de dos mil veinticinco.</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Expuesto lo anterior y en observancia de lo previsto en los artículos 53 fracciones II y IV y 162 de la Ley de Transparencia y Acceso a la Información Pública del Estado de México y Municipios, la Unidad de Transparencia turnó la solicitud de información al área que, de acuerdo con sus facultades, competencias y funciones, pudiera contar con la información materia de la solicitud, esto es a la Secretaría Técnica, la cual de acuerdo al Reglamento Orgánico de la Administración Pública Municipal de Melchor Ocampo, tiene las siguientes atribuciones:</w:t>
      </w:r>
    </w:p>
    <w:p w:rsidR="009F689E" w:rsidRPr="000B1283" w:rsidRDefault="007F7F81">
      <w:pPr>
        <w:spacing w:line="276" w:lineRule="auto"/>
        <w:ind w:left="851" w:right="850"/>
        <w:jc w:val="center"/>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DE LA SECRETARÍA TÉCNICA</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ARTÍCULO 25.-</w:t>
      </w:r>
      <w:r w:rsidRPr="000B1283">
        <w:rPr>
          <w:rFonts w:ascii="Palatino Linotype" w:eastAsia="Palatino Linotype" w:hAnsi="Palatino Linotype" w:cs="Palatino Linotype"/>
          <w:i/>
          <w:iCs/>
          <w:sz w:val="22"/>
          <w:szCs w:val="22"/>
        </w:rPr>
        <w:t xml:space="preserve"> La </w:t>
      </w:r>
      <w:r w:rsidRPr="000B1283">
        <w:rPr>
          <w:rFonts w:ascii="Palatino Linotype" w:eastAsia="Palatino Linotype" w:hAnsi="Palatino Linotype" w:cs="Palatino Linotype"/>
          <w:b/>
          <w:bCs/>
          <w:i/>
          <w:iCs/>
          <w:sz w:val="22"/>
          <w:szCs w:val="22"/>
          <w:u w:val="single"/>
        </w:rPr>
        <w:t>Secretaría Técnica es la encargada de auxiliar a quien se desempeñe como titular del ejecutivo municipal en las diferentes actividades propias de su encomienda</w:t>
      </w:r>
      <w:r w:rsidRPr="000B1283">
        <w:rPr>
          <w:rFonts w:ascii="Palatino Linotype" w:eastAsia="Palatino Linotype" w:hAnsi="Palatino Linotype" w:cs="Palatino Linotype"/>
          <w:i/>
          <w:iCs/>
          <w:sz w:val="22"/>
          <w:szCs w:val="22"/>
        </w:rPr>
        <w:t>, también será responsable de la atención a la ciudadanía.</w:t>
      </w:r>
    </w:p>
    <w:p w:rsidR="009F689E" w:rsidRPr="000B1283" w:rsidRDefault="009F689E">
      <w:pPr>
        <w:spacing w:line="276" w:lineRule="auto"/>
        <w:ind w:left="851" w:right="850"/>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ARTICULO 26.-Son funciones y atribuciones de la </w:t>
      </w:r>
      <w:r w:rsidRPr="000B1283">
        <w:rPr>
          <w:rFonts w:ascii="Palatino Linotype" w:eastAsia="Palatino Linotype" w:hAnsi="Palatino Linotype" w:cs="Palatino Linotype"/>
          <w:b/>
          <w:bCs/>
          <w:i/>
          <w:iCs/>
          <w:sz w:val="22"/>
          <w:szCs w:val="22"/>
        </w:rPr>
        <w:t>Secretaría Técnica</w:t>
      </w:r>
      <w:r w:rsidRPr="000B1283">
        <w:rPr>
          <w:rFonts w:ascii="Palatino Linotype" w:eastAsia="Palatino Linotype" w:hAnsi="Palatino Linotype" w:cs="Palatino Linotype"/>
          <w:i/>
          <w:iCs/>
          <w:sz w:val="22"/>
          <w:szCs w:val="22"/>
        </w:rPr>
        <w:t xml:space="preserve"> las siguientes:</w:t>
      </w: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u w:val="single"/>
        </w:rPr>
      </w:pPr>
      <w:r w:rsidRPr="000B1283">
        <w:rPr>
          <w:rFonts w:ascii="Palatino Linotype" w:eastAsia="Palatino Linotype" w:hAnsi="Palatino Linotype" w:cs="Palatino Linotype"/>
          <w:b/>
          <w:bCs/>
          <w:i/>
          <w:iCs/>
          <w:sz w:val="22"/>
          <w:szCs w:val="22"/>
          <w:u w:val="single"/>
        </w:rPr>
        <w:t>I. Administrar la Agenda oficial de Presidencia en lo concerniente a atención ciudadana, entrevistas, eventos sociales y políticos;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 Conocer la calendarización de actividades sociales, culturales y cívicas que tengan programadas las distintas dependencias de la administración pública municipal, para instruir a la Unidad de Apoyo a Eventos Especiales a cubrir tales actividades;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III. Agendar reuniones de trabajo, sesiones de comités y comisiones en los que intervenga y sea parte la persona titular de la Presidencia Municipal</w:t>
      </w:r>
      <w:r w:rsidRPr="000B1283">
        <w:rPr>
          <w:rFonts w:ascii="Palatino Linotype" w:eastAsia="Palatino Linotype" w:hAnsi="Palatino Linotype" w:cs="Palatino Linotype"/>
          <w:i/>
          <w:iCs/>
          <w:sz w:val="22"/>
          <w:szCs w:val="22"/>
        </w:rPr>
        <w:t>, además de programar visitas a dependencias del gobierno estatal o federal, giras y demás eventos en los que deba participar quien ejerza la titularidad del Ejecutivo Municipal, de forma prioritaria, a fin de calendarizar y coordinar la realización actividades que no puedan ser delegables;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IV. Calendarizar las fechas en la cuales se dé atención a personas particulares a través del programa de miércoles ciudadano;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V. Calendarizar las fechas de ceremonias cívicas;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VI. Programar los eventos públicos de Presidencia;</w:t>
      </w:r>
    </w:p>
    <w:p w:rsidR="009F689E" w:rsidRPr="000B1283" w:rsidRDefault="007F7F81">
      <w:pPr>
        <w:spacing w:line="276" w:lineRule="auto"/>
        <w:ind w:left="851" w:right="850"/>
        <w:jc w:val="both"/>
        <w:rPr>
          <w:rFonts w:ascii="Palatino Linotype" w:eastAsia="Palatino Linotype" w:hAnsi="Palatino Linotype" w:cs="Palatino Linotype"/>
          <w:b/>
          <w:bCs/>
          <w:i/>
          <w:iCs/>
          <w:sz w:val="22"/>
          <w:szCs w:val="22"/>
        </w:rPr>
      </w:pPr>
      <w:r w:rsidRPr="000B1283">
        <w:rPr>
          <w:rFonts w:ascii="Palatino Linotype" w:eastAsia="Palatino Linotype" w:hAnsi="Palatino Linotype" w:cs="Palatino Linotype"/>
          <w:b/>
          <w:bCs/>
          <w:i/>
          <w:iCs/>
          <w:sz w:val="22"/>
          <w:szCs w:val="22"/>
        </w:rPr>
        <w:t>VII. Agendar ceremonias y actos especiales que ordene la persona titular de la Presidencia Municipal;</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VIII. Coordinar al personal a su cargo para la cobertura informativa de las actividades que realicen la persona titular de Presidencia y las distintas dependencias de la administración, para su posterior publicación en páginas oficiales;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IX. Coordinar información entre las distintas áreas de la administración pública municipal involucradas en la operación de eventos o actividades en los que requieran la participación o asistencia de la persona titular del ejecutivo;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 Tomar las medidas necesarias para que se cuente con recursos humanos y materiales necesarios para llevar a cabo eventos especiales, debiendo coordinarse en caso de ser necesario con otras dependencias de la administración;</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XI. Controlar y resguardar el mobiliario y equipo asignado a Presidencia;</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XII. Coordinar la logística con las dependencias y entidades involucradas en eventos especiales; 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XIII. Las demás que por delegación determine la persona titular de la Presidencia Municipal en ejercicio de sus facultades.”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(Énfasis Añadido)</w:t>
      </w:r>
    </w:p>
    <w:p w:rsidR="009F689E" w:rsidRPr="000B1283" w:rsidRDefault="009F689E">
      <w:pPr>
        <w:ind w:right="616"/>
        <w:jc w:val="both"/>
        <w:rPr>
          <w:rFonts w:ascii="Palatino Linotype" w:eastAsia="Palatino Linotype" w:hAnsi="Palatino Linotype" w:cs="Palatino Linotype"/>
          <w:i/>
          <w:iCs/>
          <w:sz w:val="22"/>
          <w:szCs w:val="22"/>
        </w:rPr>
      </w:pPr>
    </w:p>
    <w:p w:rsidR="009F689E" w:rsidRPr="000B1283" w:rsidRDefault="007F7F81">
      <w:pPr>
        <w:tabs>
          <w:tab w:val="left" w:pos="7797"/>
          <w:tab w:val="left" w:pos="8222"/>
        </w:tabs>
        <w:spacing w:line="360" w:lineRule="auto"/>
        <w:ind w:right="14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Es así que, la Secretaría Técnica del Ayuntamiento de Melchor Ocampo tiene la atribución de administrar la Agenda oficial de Presidencia en lo concerniente a atención ciudadana, entrevistas, eventos sociales y políticos; entonces, al haber turnado la solicitud a dicha dependencia, se advierte que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turnó la solicitud al área competente, cumpliendo con lo que disponen los artículos 151, 160, 162, 163, 164, 165 y 166, de la Ley de Transparencia y Acceso a la Información Pública del Estado de México y Municipios:</w:t>
      </w:r>
    </w:p>
    <w:p w:rsidR="009F689E" w:rsidRPr="000B1283" w:rsidRDefault="009F689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9F689E" w:rsidRPr="000B1283" w:rsidRDefault="007F7F81">
      <w:pPr>
        <w:spacing w:line="360" w:lineRule="auto"/>
        <w:ind w:left="284"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9F689E" w:rsidRPr="000B1283" w:rsidRDefault="009F689E">
      <w:pPr>
        <w:spacing w:line="360" w:lineRule="auto"/>
        <w:ind w:left="284" w:right="191"/>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este orden de ideas, se reitera que la Unidad de Transparencia siguió el procedimiento que establece el artículo 162 de la Ley de Transparencia Local, ya que turnó la solicitud de información a la Secretaría Técnica del Ayuntamiento, por ser el área competente para generar la documentación requerida por el particular, relativa a la agenda oficial de Presidencia. </w:t>
      </w:r>
    </w:p>
    <w:p w:rsidR="009F689E" w:rsidRPr="000B1283" w:rsidRDefault="009F689E">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En lo que corresponde a nuestra materia, al referirse a temas inherentes al cargo que desempeñan y se relacionan con temas de interés para la ciudadanía, el legislador tuvo a bien señalar que dichos documentos deben ser públicos y difundidos al público en general, por tal razón son considerados como una obligación de transparencia común, contemplada en la Ley de Transparencia y Acceso a la Información Pública del Estado de México y Municipios, en el artículo 92, fracción VX, el cual dispone lo siguiente: </w:t>
      </w:r>
    </w:p>
    <w:p w:rsidR="009F689E" w:rsidRPr="000B1283" w:rsidRDefault="009F689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 xml:space="preserve">Artículo 92. Los sujetos obligados deberán poner a disposición del público de manera permanente y actualizada </w:t>
      </w:r>
      <w:r w:rsidRPr="000B1283">
        <w:rPr>
          <w:rFonts w:ascii="Palatino Linotype" w:eastAsia="Palatino Linotype" w:hAnsi="Palatino Linotype" w:cs="Palatino Linotype"/>
          <w:i/>
          <w:iCs/>
          <w:sz w:val="22"/>
          <w:szCs w:val="22"/>
        </w:rPr>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i/>
          <w:iCs/>
          <w:sz w:val="22"/>
          <w:szCs w:val="22"/>
        </w:rPr>
        <w:t>XV. Agenda de reuniones</w:t>
      </w:r>
      <w:r w:rsidRPr="000B1283">
        <w:rPr>
          <w:rFonts w:ascii="Palatino Linotype" w:eastAsia="Palatino Linotype" w:hAnsi="Palatino Linotype" w:cs="Palatino Linotype"/>
          <w:i/>
          <w:iCs/>
          <w:sz w:val="22"/>
          <w:szCs w:val="22"/>
        </w:rPr>
        <w:t xml:space="preserve"> públicas a las que convoquen los titulares de los sujetos obligados;”</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(Énfasis añadido)</w:t>
      </w:r>
    </w:p>
    <w:p w:rsidR="009F689E" w:rsidRPr="000B1283" w:rsidRDefault="009F689E">
      <w:pPr>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Como se desprende de lo anterior, los sujetos obligados deberán poner a disposición del público de manera permanente y actualizada, entre otra, la información relativa a la agenda de reuniones públicas, información que debe publicarse en términos de los </w:t>
      </w:r>
      <w:r w:rsidRPr="000B1283">
        <w:rPr>
          <w:rFonts w:ascii="Palatino Linotype" w:eastAsia="Palatino Linotype" w:hAnsi="Palatino Linotype" w:cs="Palatino Linotype"/>
          <w:i/>
          <w:iCs/>
          <w:sz w:val="22"/>
          <w:szCs w:val="22"/>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0B1283">
        <w:rPr>
          <w:rFonts w:ascii="Palatino Linotype" w:eastAsia="Palatino Linotype" w:hAnsi="Palatino Linotype" w:cs="Palatino Linotype"/>
          <w:sz w:val="22"/>
          <w:szCs w:val="22"/>
        </w:rPr>
        <w:t xml:space="preserve">; </w:t>
      </w:r>
      <w:r w:rsidRPr="000B1283">
        <w:rPr>
          <w:rFonts w:ascii="Palatino Linotype" w:eastAsia="Palatino Linotype" w:hAnsi="Palatino Linotype" w:cs="Palatino Linotype"/>
          <w:i/>
          <w:iCs/>
          <w:sz w:val="22"/>
          <w:szCs w:val="22"/>
        </w:rPr>
        <w:t>adicional de aquella contemplada en el Título Quinto De La Ley General De Transparencia Y Acceso A La Información Pública</w:t>
      </w:r>
      <w:r w:rsidRPr="000B1283">
        <w:rPr>
          <w:rFonts w:ascii="Palatino Linotype" w:eastAsia="Palatino Linotype" w:hAnsi="Palatino Linotype" w:cs="Palatino Linotype"/>
          <w:sz w:val="22"/>
          <w:szCs w:val="22"/>
        </w:rPr>
        <w:t>, vigentes a la fecha de la solicitud, a saber:</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“En esta sección se publicará la calendarización de las reuniones públicas a las que convoquen los titulares de los sujetos obligados en el ámbito de su competencia.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Para efectos de la presente sección, las reuniones públicas se entenderán como aquéllas previstas con ese carácter en las leyes, reglamentos y demás normatividad aplicable; aquéllas en las que se emita convocatoria abierta al público y, en general, a las que pueda asistir cualquier persona, sin invitación alguna. La información se publicará de tal modo que los ciudadanos puedan conocer las reuniones públicas que celebrarán los sujetos obligados, el lugar, fecha y hora de las mismas y los temas que se abordaron.</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La información deberá publicarse de conformidad con la normatividad aplicable y la agenda de reuniones que utilicen los sujetos obligados.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i/>
          <w:iCs/>
          <w:sz w:val="22"/>
          <w:szCs w:val="22"/>
        </w:rPr>
        <w:t>Los sujetos obligados que derivado de sus atribuciones, facultades, competencias y funciones, no celebren reuniones de este tipo, deberán especificarlo mediante una nota fundada, motivada y actualizada al periodo que corresponda.”</w:t>
      </w:r>
    </w:p>
    <w:p w:rsidR="009F689E" w:rsidRPr="000B1283" w:rsidRDefault="009F689E">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u w:val="single"/>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u w:val="single"/>
        </w:rPr>
        <w:t>Dicha información debe actualizarse de manera trimestral o de conformidad con la normatividad aplicable y la agenda de reuniones que utilicen los sujetos obligados</w:t>
      </w:r>
      <w:r w:rsidRPr="000B1283">
        <w:rPr>
          <w:rFonts w:ascii="Palatino Linotype" w:eastAsia="Palatino Linotype" w:hAnsi="Palatino Linotype" w:cs="Palatino Linotype"/>
          <w:sz w:val="22"/>
          <w:szCs w:val="22"/>
        </w:rPr>
        <w:t>, siendo aplicable a todos los Sujetos Obligados, y debe cumplir con los Criterios sustantivos de contenido, adjetivos de actualización, adjetivos de confiabilidad y adjetivos de formato:</w:t>
      </w:r>
    </w:p>
    <w:p w:rsidR="009F689E" w:rsidRPr="000B1283" w:rsidRDefault="007F7F81">
      <w:pPr>
        <w:pBdr>
          <w:top w:val="nil"/>
          <w:left w:val="nil"/>
          <w:bottom w:val="nil"/>
          <w:right w:val="nil"/>
          <w:between w:val="nil"/>
        </w:pBdr>
        <w:jc w:val="center"/>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4837404" cy="3088055"/>
            <wp:effectExtent l="0" t="0" r="0" b="0"/>
            <wp:docPr id="5" name="image7.png" descr="https://lh7-rt.googleusercontent.com/docsz/AD_4nXf7bVijEYNwSKAQ8mmM0ZL2epS2DTWvC8_xxE-FpIzrMcVqgamjcz2OcZybB8WXH3lOyTktlzSJmouipzgmqQ3dLjzYE3E9WeWYk-Em1qXcjGHvy9GqhQfUCnIbwW133QBbuOp_skdX3k8zH3p9-A?key=p3nNUD9KO2aFd2IJOQzqQuZw"/>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f7bVijEYNwSKAQ8mmM0ZL2epS2DTWvC8_xxE-FpIzrMcVqgamjcz2OcZybB8WXH3lOyTktlzSJmouipzgmqQ3dLjzYE3E9WeWYk-Em1qXcjGHvy9GqhQfUCnIbwW133QBbuOp_skdX3k8zH3p9-A?key=p3nNUD9KO2aFd2IJOQzqQuZw"/>
                    <pic:cNvPicPr preferRelativeResize="0"/>
                  </pic:nvPicPr>
                  <pic:blipFill>
                    <a:blip r:embed="rId9"/>
                    <a:srcRect/>
                    <a:stretch>
                      <a:fillRect/>
                    </a:stretch>
                  </pic:blipFill>
                  <pic:spPr>
                    <a:xfrm>
                      <a:off x="0" y="0"/>
                      <a:ext cx="4837404" cy="3088055"/>
                    </a:xfrm>
                    <a:prstGeom prst="rect">
                      <a:avLst/>
                    </a:prstGeom>
                    <a:ln/>
                  </pic:spPr>
                </pic:pic>
              </a:graphicData>
            </a:graphic>
          </wp:inline>
        </w:drawing>
      </w:r>
    </w:p>
    <w:p w:rsidR="009F689E" w:rsidRPr="000B1283" w:rsidRDefault="009F689E">
      <w:pPr>
        <w:pBdr>
          <w:top w:val="nil"/>
          <w:left w:val="nil"/>
          <w:bottom w:val="nil"/>
          <w:right w:val="nil"/>
          <w:between w:val="nil"/>
        </w:pBdr>
        <w:jc w:val="center"/>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5760720" cy="11658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60720" cy="1165860"/>
                    </a:xfrm>
                    <a:prstGeom prst="rect">
                      <a:avLst/>
                    </a:prstGeom>
                    <a:ln/>
                  </pic:spPr>
                </pic:pic>
              </a:graphicData>
            </a:graphic>
          </wp:inline>
        </w:drawing>
      </w:r>
    </w:p>
    <w:p w:rsidR="009F689E" w:rsidRPr="000B1283" w:rsidRDefault="007F7F81">
      <w:pPr>
        <w:pBdr>
          <w:top w:val="nil"/>
          <w:left w:val="nil"/>
          <w:bottom w:val="nil"/>
          <w:right w:val="nil"/>
          <w:between w:val="nil"/>
        </w:pBdr>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5760720" cy="13030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60720" cy="1303020"/>
                    </a:xfrm>
                    <a:prstGeom prst="rect">
                      <a:avLst/>
                    </a:prstGeom>
                    <a:ln/>
                  </pic:spPr>
                </pic:pic>
              </a:graphicData>
            </a:graphic>
          </wp:inline>
        </w:drawing>
      </w:r>
    </w:p>
    <w:p w:rsidR="009F689E" w:rsidRPr="000B1283" w:rsidRDefault="009F689E">
      <w:pPr>
        <w:pBdr>
          <w:top w:val="nil"/>
          <w:left w:val="nil"/>
          <w:bottom w:val="nil"/>
          <w:right w:val="nil"/>
          <w:between w:val="nil"/>
        </w:pBdr>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Es importante mencionar que, de conformidad con la Tabla de actualización y conservación de los Lineamientos Técnicos previamente citados, la información debe publicarse con la mayor anticipación posible, como se lee enseguida:</w:t>
      </w:r>
    </w:p>
    <w:p w:rsidR="009F689E" w:rsidRPr="000B1283" w:rsidRDefault="007F7F81">
      <w:pPr>
        <w:pBdr>
          <w:top w:val="nil"/>
          <w:left w:val="nil"/>
          <w:bottom w:val="nil"/>
          <w:right w:val="nil"/>
          <w:between w:val="nil"/>
        </w:pBdr>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5610225" cy="1095375"/>
            <wp:effectExtent l="0" t="0" r="0" b="0"/>
            <wp:docPr id="6" name="image2.png" descr="https://lh7-rt.googleusercontent.com/docsz/AD_4nXeNFyo5-J4bbw8bZgi2enr_euKThaqEeTuRsMNfIiUZEHS8RlqhFnmFc_NzBdN9yU_HSt5PcoNBsQkAS0s-7ubFM9uIJDUCg2OECFcPPI2vBqvB7e1oaQvI4E8NR2OYAmwI3YrwDF8JlE3UGfAFWw?key=p3nNUD9KO2aFd2IJOQzqQuZw"/>
            <wp:cNvGraphicFramePr/>
            <a:graphic xmlns:a="http://schemas.openxmlformats.org/drawingml/2006/main">
              <a:graphicData uri="http://schemas.openxmlformats.org/drawingml/2006/picture">
                <pic:pic xmlns:pic="http://schemas.openxmlformats.org/drawingml/2006/picture">
                  <pic:nvPicPr>
                    <pic:cNvPr id="0" name="image2.png" descr="https://lh7-rt.googleusercontent.com/docsz/AD_4nXeNFyo5-J4bbw8bZgi2enr_euKThaqEeTuRsMNfIiUZEHS8RlqhFnmFc_NzBdN9yU_HSt5PcoNBsQkAS0s-7ubFM9uIJDUCg2OECFcPPI2vBqvB7e1oaQvI4E8NR2OYAmwI3YrwDF8JlE3UGfAFWw?key=p3nNUD9KO2aFd2IJOQzqQuZw"/>
                    <pic:cNvPicPr preferRelativeResize="0"/>
                  </pic:nvPicPr>
                  <pic:blipFill>
                    <a:blip r:embed="rId12"/>
                    <a:srcRect/>
                    <a:stretch>
                      <a:fillRect/>
                    </a:stretch>
                  </pic:blipFill>
                  <pic:spPr>
                    <a:xfrm>
                      <a:off x="0" y="0"/>
                      <a:ext cx="5610225" cy="1095375"/>
                    </a:xfrm>
                    <a:prstGeom prst="rect">
                      <a:avLst/>
                    </a:prstGeom>
                    <a:ln/>
                  </pic:spPr>
                </pic:pic>
              </a:graphicData>
            </a:graphic>
          </wp:inline>
        </w:drawing>
      </w:r>
    </w:p>
    <w:p w:rsidR="009F689E" w:rsidRPr="000B1283" w:rsidRDefault="007F7F81">
      <w:pPr>
        <w:pBdr>
          <w:top w:val="nil"/>
          <w:left w:val="nil"/>
          <w:bottom w:val="nil"/>
          <w:right w:val="nil"/>
          <w:between w:val="nil"/>
        </w:pBdr>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5610225" cy="971550"/>
            <wp:effectExtent l="0" t="0" r="0" b="0"/>
            <wp:docPr id="9" name="image6.png" descr="https://lh7-rt.googleusercontent.com/docsz/AD_4nXeWtRf1qNSPd9m6mpkGM9Tcid33vHW_7cXhXr34Fgkz_ebQIUyUrPZYwhZANkITwIP1CggitSLGuzBhD6AlIrM4RWmBJc2G_JOmlEjC3HmVb6FOzofn_hg7K1W2DSgfAXhwhDjT1mV4YpGLfUkI?key=p3nNUD9KO2aFd2IJOQzqQuZw"/>
            <wp:cNvGraphicFramePr/>
            <a:graphic xmlns:a="http://schemas.openxmlformats.org/drawingml/2006/main">
              <a:graphicData uri="http://schemas.openxmlformats.org/drawingml/2006/picture">
                <pic:pic xmlns:pic="http://schemas.openxmlformats.org/drawingml/2006/picture">
                  <pic:nvPicPr>
                    <pic:cNvPr id="0" name="image6.png" descr="https://lh7-rt.googleusercontent.com/docsz/AD_4nXeWtRf1qNSPd9m6mpkGM9Tcid33vHW_7cXhXr34Fgkz_ebQIUyUrPZYwhZANkITwIP1CggitSLGuzBhD6AlIrM4RWmBJc2G_JOmlEjC3HmVb6FOzofn_hg7K1W2DSgfAXhwhDjT1mV4YpGLfUkI?key=p3nNUD9KO2aFd2IJOQzqQuZw"/>
                    <pic:cNvPicPr preferRelativeResize="0"/>
                  </pic:nvPicPr>
                  <pic:blipFill>
                    <a:blip r:embed="rId13"/>
                    <a:srcRect/>
                    <a:stretch>
                      <a:fillRect/>
                    </a:stretch>
                  </pic:blipFill>
                  <pic:spPr>
                    <a:xfrm>
                      <a:off x="0" y="0"/>
                      <a:ext cx="5610225" cy="971550"/>
                    </a:xfrm>
                    <a:prstGeom prst="rect">
                      <a:avLst/>
                    </a:prstGeom>
                    <a:ln/>
                  </pic:spPr>
                </pic:pic>
              </a:graphicData>
            </a:graphic>
          </wp:inline>
        </w:drawing>
      </w:r>
    </w:p>
    <w:p w:rsidR="009F689E" w:rsidRPr="000B1283" w:rsidRDefault="009F689E">
      <w:pPr>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Ahora, atendiendo que la agenda que se solicita se determina que constituye información pública y debe proporcionarse al particular la más actualizada a la fecha de la solicitud, cabe recordar que, en respuesta el área competente informó la entrega de la información, misma que corresponde del doce de julio al once de agosto de dos mil veinticinco, tal y como se muestra a continuación: </w:t>
      </w: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2446673" cy="275079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446673" cy="2750795"/>
                    </a:xfrm>
                    <a:prstGeom prst="rect">
                      <a:avLst/>
                    </a:prstGeom>
                    <a:ln/>
                  </pic:spPr>
                </pic:pic>
              </a:graphicData>
            </a:graphic>
          </wp:inline>
        </w:drawing>
      </w:r>
      <w:r w:rsidRPr="000B1283">
        <w:rPr>
          <w:rFonts w:ascii="Palatino Linotype" w:eastAsia="Palatino Linotype" w:hAnsi="Palatino Linotype" w:cs="Palatino Linotype"/>
          <w:sz w:val="22"/>
          <w:szCs w:val="22"/>
        </w:rPr>
        <w:t xml:space="preserve"> </w:t>
      </w:r>
      <w:r w:rsidRPr="000B1283">
        <w:rPr>
          <w:rFonts w:ascii="Palatino Linotype" w:eastAsia="Palatino Linotype" w:hAnsi="Palatino Linotype" w:cs="Palatino Linotype"/>
          <w:noProof/>
          <w:sz w:val="22"/>
          <w:szCs w:val="22"/>
          <w:lang w:val="es-MX"/>
        </w:rPr>
        <w:drawing>
          <wp:inline distT="0" distB="0" distL="0" distR="0">
            <wp:extent cx="2720704" cy="30157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720704" cy="3015775"/>
                    </a:xfrm>
                    <a:prstGeom prst="rect">
                      <a:avLst/>
                    </a:prstGeom>
                    <a:ln/>
                  </pic:spPr>
                </pic:pic>
              </a:graphicData>
            </a:graphic>
          </wp:inline>
        </w:drawing>
      </w:r>
    </w:p>
    <w:p w:rsidR="009F689E" w:rsidRPr="000B1283" w:rsidRDefault="007F7F81">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w:t>
      </w:r>
    </w:p>
    <w:p w:rsidR="009F689E" w:rsidRPr="000B1283" w:rsidRDefault="007F7F81">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0B1283">
        <w:rPr>
          <w:rFonts w:ascii="Palatino Linotype" w:eastAsia="Palatino Linotype" w:hAnsi="Palatino Linotype" w:cs="Palatino Linotype"/>
          <w:noProof/>
          <w:sz w:val="22"/>
          <w:szCs w:val="22"/>
          <w:lang w:val="es-MX"/>
        </w:rPr>
        <w:drawing>
          <wp:inline distT="0" distB="0" distL="0" distR="0">
            <wp:extent cx="3119163" cy="218626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119163" cy="2186262"/>
                    </a:xfrm>
                    <a:prstGeom prst="rect">
                      <a:avLst/>
                    </a:prstGeom>
                    <a:ln/>
                  </pic:spPr>
                </pic:pic>
              </a:graphicData>
            </a:graphic>
          </wp:inline>
        </w:drawing>
      </w:r>
    </w:p>
    <w:p w:rsidR="009F689E" w:rsidRPr="000B1283" w:rsidRDefault="009F68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Motivo por el que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se inconformó, toda vez que faltó la entrega de la información correspondiente al periodo del primero de enero al dos de julio de dos mil veinticinco. </w:t>
      </w:r>
    </w:p>
    <w:p w:rsidR="009F689E" w:rsidRPr="000B1283" w:rsidRDefault="009F689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Por lo que al haber entregado información de manera incompleta se estima que el sujeto obligado, no fue congruente ni exhaustivo en su respuesta de conformidad con el Criterio 02/17 emitido por el entonces Instituto Nacional de Transparencia, Acceso a la Información y Protección de Datos Personales el cual establece lo siguiente:</w:t>
      </w:r>
    </w:p>
    <w:p w:rsidR="009F689E" w:rsidRPr="000B1283" w:rsidRDefault="009F689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i/>
          <w:iCs/>
          <w:sz w:val="22"/>
          <w:szCs w:val="22"/>
        </w:rPr>
        <w:t>Congruencia y exhaustividad. Sus alcances para garantizar el derecho de acceso a la información.</w:t>
      </w:r>
      <w:r w:rsidRPr="000B1283">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9F689E" w:rsidRPr="000B1283" w:rsidRDefault="009F689E">
      <w:pPr>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0B1283">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0B1283">
        <w:rPr>
          <w:rFonts w:ascii="Palatino Linotype" w:eastAsia="Palatino Linotype" w:hAnsi="Palatino Linotype" w:cs="Palatino Linotype"/>
          <w:sz w:val="22"/>
          <w:szCs w:val="22"/>
        </w:rPr>
        <w:t xml:space="preserve">, mientras que la exhaustividad establece que el sujeto obligado </w:t>
      </w:r>
      <w:r w:rsidRPr="000B1283">
        <w:rPr>
          <w:rFonts w:ascii="Palatino Linotype" w:eastAsia="Palatino Linotype" w:hAnsi="Palatino Linotype" w:cs="Palatino Linotype"/>
          <w:b/>
          <w:bCs/>
          <w:sz w:val="22"/>
          <w:szCs w:val="22"/>
        </w:rPr>
        <w:t>deberá atender de manera expresa cada uno de los puntos solicitados</w:t>
      </w:r>
      <w:r w:rsidRPr="000B1283">
        <w:rPr>
          <w:rFonts w:ascii="Palatino Linotype" w:eastAsia="Palatino Linotype" w:hAnsi="Palatino Linotype" w:cs="Palatino Linotype"/>
          <w:sz w:val="22"/>
          <w:szCs w:val="22"/>
        </w:rPr>
        <w:t xml:space="preserve">, situación que en el presente caso </w:t>
      </w:r>
      <w:r w:rsidRPr="000B1283">
        <w:rPr>
          <w:rFonts w:ascii="Palatino Linotype" w:eastAsia="Palatino Linotype" w:hAnsi="Palatino Linotype" w:cs="Palatino Linotype"/>
          <w:b/>
          <w:bCs/>
          <w:sz w:val="22"/>
          <w:szCs w:val="22"/>
          <w:u w:val="single"/>
        </w:rPr>
        <w:t>no aconteció</w:t>
      </w:r>
      <w:r w:rsidRPr="000B1283">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w:t>
      </w:r>
    </w:p>
    <w:p w:rsidR="009F689E" w:rsidRPr="000B1283" w:rsidRDefault="009F689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Por lo que, el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deberá realizar una nueva búsqueda exhaustiva y razonable en todas las áreas que deban generar, administrar o poseer la información requerida, como lo es la Secretaría Técnica, a efecto de que localice la información requerida.</w:t>
      </w:r>
    </w:p>
    <w:p w:rsidR="009F689E" w:rsidRPr="000B1283" w:rsidRDefault="009F68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Es importante mencionar que si bien, se advierte que la parte </w:t>
      </w:r>
      <w:r w:rsidRPr="000B1283">
        <w:rPr>
          <w:rFonts w:ascii="Palatino Linotype" w:eastAsia="Palatino Linotype" w:hAnsi="Palatino Linotype" w:cs="Palatino Linotype"/>
          <w:b/>
          <w:bCs/>
          <w:sz w:val="22"/>
          <w:szCs w:val="22"/>
        </w:rPr>
        <w:t>Recurrente</w:t>
      </w:r>
      <w:r w:rsidRPr="000B1283">
        <w:rPr>
          <w:rFonts w:ascii="Palatino Linotype" w:eastAsia="Palatino Linotype" w:hAnsi="Palatino Linotype" w:cs="Palatino Linotype"/>
          <w:sz w:val="22"/>
          <w:szCs w:val="22"/>
        </w:rPr>
        <w:t xml:space="preserve"> solicitó la información actualizada a la fecha de la presentación de su solicitud, es decir al dos de julio de dos mil veinticinco, no pueden tenerse como hechos futuros las fechas posteriores a la solicitud, ya que, como se ha dicho, la agenda es el documento en el que se registran los eventos o hechos pasados, presentes y futuros a los que se pretende asistir o realizar, por lo que puede ser el caso que en la agenda más actualizada se contengan eventos o hechos por realizarse en</w:t>
      </w:r>
      <w:r w:rsidRPr="000B1283">
        <w:rPr>
          <w:rFonts w:ascii="Palatino Linotype" w:eastAsia="Palatino Linotype" w:hAnsi="Palatino Linotype" w:cs="Palatino Linotype"/>
          <w:strike/>
          <w:sz w:val="22"/>
          <w:szCs w:val="22"/>
        </w:rPr>
        <w:t xml:space="preserve"> </w:t>
      </w:r>
      <w:r w:rsidRPr="000B1283">
        <w:rPr>
          <w:rFonts w:ascii="Palatino Linotype" w:eastAsia="Palatino Linotype" w:hAnsi="Palatino Linotype" w:cs="Palatino Linotype"/>
          <w:sz w:val="22"/>
          <w:szCs w:val="22"/>
        </w:rPr>
        <w:t>el mes de julio, por lo que se debe entregar la agenda más actualizada con la que se cuente al dos de julio de dos mil veinticinco.</w:t>
      </w:r>
    </w:p>
    <w:p w:rsidR="009F689E" w:rsidRPr="000B1283" w:rsidRDefault="009F68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Ahora bien, de ser el caso de que los documentos que se ordenan entregar contengan datos personales susceptibles de clasificarse como confidenciales, el </w:t>
      </w:r>
      <w:r w:rsidRPr="000B1283">
        <w:rPr>
          <w:rFonts w:ascii="Palatino Linotype" w:eastAsia="Palatino Linotype" w:hAnsi="Palatino Linotype" w:cs="Palatino Linotype"/>
          <w:b/>
          <w:bCs/>
          <w:sz w:val="22"/>
          <w:szCs w:val="22"/>
        </w:rPr>
        <w:t xml:space="preserve">Sujeto Obligado </w:t>
      </w:r>
      <w:r w:rsidRPr="000B1283">
        <w:rPr>
          <w:rFonts w:ascii="Palatino Linotype" w:eastAsia="Palatino Linotype" w:hAnsi="Palatino Linotype" w:cs="Palatino Linotype"/>
          <w:sz w:val="22"/>
          <w:szCs w:val="22"/>
        </w:rPr>
        <w:t>estará a lo dispuesto en el Considerando Quinto.</w:t>
      </w:r>
    </w:p>
    <w:p w:rsidR="009F689E" w:rsidRPr="000B1283" w:rsidRDefault="009F68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F689E" w:rsidRPr="000B1283" w:rsidRDefault="007F7F81">
      <w:pPr>
        <w:tabs>
          <w:tab w:val="left" w:pos="567"/>
        </w:tabs>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Quinto. De la versión pública. </w:t>
      </w:r>
      <w:r w:rsidRPr="000B1283">
        <w:rPr>
          <w:rFonts w:ascii="Palatino Linotype" w:eastAsia="Palatino Linotype" w:hAnsi="Palatino Linotype" w:cs="Palatino Linotype"/>
          <w:sz w:val="22"/>
          <w:szCs w:val="22"/>
        </w:rPr>
        <w:t xml:space="preserve">Es necesario precisar que, para la entrega de la información los Sujetos Obligados deben realizar un análisis con la finalidad de advertir si esta contiene datos que deben ser clasificados en los términos que la misma Ley en la materia señala. </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De ser el caso, se debe elaborar la versión pública de los documentos que vaya a entregar para dar cumplimiento al mandato constitucional de acceso a la información pública, sin menoscabar el derecho a la protección de los datos personales de terceros.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ind w:right="50"/>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rsidR="009F689E" w:rsidRPr="000B1283" w:rsidRDefault="009F689E">
      <w:pPr>
        <w:ind w:left="567" w:right="616"/>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Artículo 3.</w:t>
      </w:r>
      <w:r w:rsidRPr="000B1283">
        <w:rPr>
          <w:rFonts w:ascii="Palatino Linotype" w:eastAsia="Palatino Linotype" w:hAnsi="Palatino Linotype" w:cs="Palatino Linotype"/>
          <w:i/>
          <w:iCs/>
          <w:sz w:val="22"/>
          <w:szCs w:val="22"/>
        </w:rPr>
        <w:t xml:space="preserve"> Para los efectos de la presente Ley se entenderá por:</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XX. Información clasificada: Aquella considerada por la presente Ley como reservada o confidencial;</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Artículo 91.</w:t>
      </w:r>
      <w:r w:rsidRPr="000B1283">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Artículo 132.</w:t>
      </w:r>
      <w:r w:rsidRPr="000B1283">
        <w:rPr>
          <w:rFonts w:ascii="Palatino Linotype" w:eastAsia="Palatino Linotype" w:hAnsi="Palatino Linotype" w:cs="Palatino Linotype"/>
          <w:i/>
          <w:iCs/>
          <w:sz w:val="22"/>
          <w:szCs w:val="22"/>
        </w:rPr>
        <w:t xml:space="preserve"> La clasificación de la información se llevará a cabo en el momento en que:</w:t>
      </w:r>
    </w:p>
    <w:p w:rsidR="009F689E" w:rsidRPr="000B1283" w:rsidRDefault="007F7F81">
      <w:pPr>
        <w:tabs>
          <w:tab w:val="left" w:pos="1134"/>
        </w:tabs>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 Se reciba una solicitud de acceso a la información;</w:t>
      </w:r>
    </w:p>
    <w:p w:rsidR="009F689E" w:rsidRPr="000B1283" w:rsidRDefault="007F7F81">
      <w:pPr>
        <w:tabs>
          <w:tab w:val="left" w:pos="1134"/>
        </w:tabs>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 Se determine mediante resolución de autoridad competente; o</w:t>
      </w:r>
    </w:p>
    <w:p w:rsidR="009F689E" w:rsidRPr="000B1283" w:rsidRDefault="007F7F81">
      <w:pPr>
        <w:tabs>
          <w:tab w:val="left" w:pos="1134"/>
        </w:tabs>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III. Se generen versiones públicas para dar cumplimiento a las obligaciones de transparencia previstas en esta Ley.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Artículo 143</w:t>
      </w:r>
      <w:r w:rsidRPr="000B1283">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9F689E" w:rsidRPr="000B1283" w:rsidRDefault="009F689E">
      <w:pPr>
        <w:ind w:left="567" w:right="616"/>
        <w:jc w:val="both"/>
        <w:rPr>
          <w:rFonts w:ascii="Palatino Linotype" w:eastAsia="Palatino Linotype" w:hAnsi="Palatino Linotype" w:cs="Palatino Linotype"/>
          <w:i/>
          <w:i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w:t>
      </w:r>
      <w:r w:rsidRPr="000B1283">
        <w:rPr>
          <w:rFonts w:ascii="Palatino Linotype" w:eastAsia="Palatino Linotype" w:hAnsi="Palatino Linotype" w:cs="Palatino Linotype"/>
          <w:b/>
          <w:bCs/>
          <w:sz w:val="22"/>
          <w:szCs w:val="22"/>
        </w:rPr>
        <w:t>señalan las formalidades que deberá llevar el acuerdo de clasificación que deberá emitir el Sujeto Obligado,</w:t>
      </w:r>
      <w:r w:rsidRPr="000B1283">
        <w:rPr>
          <w:rFonts w:ascii="Palatino Linotype" w:eastAsia="Palatino Linotype" w:hAnsi="Palatino Linotype" w:cs="Palatino Linotype"/>
          <w:sz w:val="22"/>
          <w:szCs w:val="22"/>
        </w:rPr>
        <w:t xml:space="preserve"> siendo estas las siguientes:</w:t>
      </w:r>
    </w:p>
    <w:p w:rsidR="009F689E" w:rsidRPr="000B1283" w:rsidRDefault="009F689E">
      <w:pPr>
        <w:ind w:left="567" w:right="616"/>
        <w:jc w:val="both"/>
        <w:rPr>
          <w:rFonts w:ascii="Palatino Linotype" w:eastAsia="Palatino Linotype" w:hAnsi="Palatino Linotype" w:cs="Palatino Linotype"/>
          <w:i/>
          <w:iCs/>
          <w:sz w:val="22"/>
          <w:szCs w:val="22"/>
        </w:rPr>
      </w:pP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Quincuagésimo</w:t>
      </w:r>
      <w:r w:rsidRPr="000B1283">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Quincuagésimo primero.</w:t>
      </w:r>
      <w:r w:rsidRPr="000B1283">
        <w:rPr>
          <w:rFonts w:ascii="Palatino Linotype" w:eastAsia="Palatino Linotype" w:hAnsi="Palatino Linotype" w:cs="Palatino Linotype"/>
          <w:i/>
          <w:iCs/>
          <w:sz w:val="22"/>
          <w:szCs w:val="22"/>
        </w:rPr>
        <w:t xml:space="preserve"> Toda acta del Comité de Transparencia deberá contener: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 El número de sesión y fecha;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II. El nombre del área que solicitó la clasificación de información;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III. La fundamentación legal y motivación correspondiente;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IV. La resolución o resoluciones aprobadas; y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V. La rúbrica o firma digital de cada integrante del Comité de Transparencia.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 Los motivos y razonamientos que sustenten la confirmación o modificación de la prueba de daño;</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II. Descripción de las partes o secciones reservadas, en caso de clasificación parcial;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III. El periodo por el que mantendrá su clasificación y fecha de expiración; y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Quincuagésimo segundo.</w:t>
      </w:r>
      <w:r w:rsidRPr="000B1283">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0B1283">
        <w:rPr>
          <w:rFonts w:ascii="Palatino Linotype" w:eastAsia="Palatino Linotype" w:hAnsi="Palatino Linotype" w:cs="Palatino Linotype"/>
          <w:i/>
          <w:iCs/>
          <w:sz w:val="22"/>
          <w:szCs w:val="22"/>
        </w:rPr>
        <w:t>sobreposición</w:t>
      </w:r>
      <w:proofErr w:type="spellEnd"/>
      <w:r w:rsidRPr="000B1283">
        <w:rPr>
          <w:rFonts w:ascii="Palatino Linotype" w:eastAsia="Palatino Linotype" w:hAnsi="Palatino Linotype" w:cs="Palatino Linotype"/>
          <w:i/>
          <w:iCs/>
          <w:sz w:val="22"/>
          <w:szCs w:val="22"/>
        </w:rPr>
        <w:t xml:space="preserve"> de contenido distinto al autorizado por el Comité.</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III. Señalar las personas o instancias autorizadas a acceder a la información clasificada.</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rsidR="009F689E" w:rsidRPr="000B1283" w:rsidRDefault="009F68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r w:rsidRPr="000B1283">
        <w:rPr>
          <w:rFonts w:ascii="Palatino Linotype" w:eastAsia="Palatino Linotype" w:hAnsi="Palatino Linotype" w:cs="Palatino Linotype"/>
          <w:b/>
          <w:bCs/>
          <w:i/>
          <w:iCs/>
          <w:sz w:val="22"/>
          <w:szCs w:val="22"/>
        </w:rPr>
        <w:t>Quincuagésimo cuarto.</w:t>
      </w:r>
      <w:r w:rsidRPr="000B1283">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Quincuagésimo quinto.</w:t>
      </w:r>
      <w:r w:rsidRPr="000B1283">
        <w:rPr>
          <w:rFonts w:ascii="Palatino Linotype" w:eastAsia="Palatino Linotype" w:hAnsi="Palatino Linotype" w:cs="Palatino Linotype"/>
          <w:i/>
          <w:iCs/>
          <w:sz w:val="22"/>
          <w:szCs w:val="22"/>
        </w:rPr>
        <w:t xml:space="preserve"> Cada área del sujeto obligado podrá designar formalmente a una o más personas como responsables del </w:t>
      </w:r>
      <w:proofErr w:type="spellStart"/>
      <w:r w:rsidRPr="000B1283">
        <w:rPr>
          <w:rFonts w:ascii="Palatino Linotype" w:eastAsia="Palatino Linotype" w:hAnsi="Palatino Linotype" w:cs="Palatino Linotype"/>
          <w:i/>
          <w:iCs/>
          <w:sz w:val="22"/>
          <w:szCs w:val="22"/>
        </w:rPr>
        <w:t>testado</w:t>
      </w:r>
      <w:proofErr w:type="spellEnd"/>
      <w:r w:rsidRPr="000B1283">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b/>
          <w:bCs/>
          <w:i/>
          <w:iCs/>
          <w:sz w:val="22"/>
          <w:szCs w:val="22"/>
        </w:rPr>
        <w:t>Quincuagésimo séptimo.</w:t>
      </w:r>
      <w:r w:rsidRPr="000B1283">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9F689E" w:rsidRPr="000B1283" w:rsidRDefault="007F7F81">
      <w:pP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9F689E" w:rsidRPr="000B1283" w:rsidRDefault="009F689E">
      <w:pPr>
        <w:spacing w:line="360" w:lineRule="auto"/>
        <w:ind w:left="567" w:right="616"/>
        <w:jc w:val="both"/>
        <w:rPr>
          <w:rFonts w:ascii="Palatino Linotype" w:eastAsia="Palatino Linotype" w:hAnsi="Palatino Linotype" w:cs="Palatino Linotype"/>
          <w:i/>
          <w:i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Es entonces que, </w:t>
      </w:r>
      <w:r w:rsidRPr="000B1283">
        <w:rPr>
          <w:rFonts w:ascii="Palatino Linotype" w:eastAsia="Palatino Linotype" w:hAnsi="Palatino Linotype" w:cs="Palatino Linotype"/>
          <w:b/>
          <w:bCs/>
          <w:sz w:val="22"/>
          <w:szCs w:val="22"/>
        </w:rPr>
        <w:t>la entrega de documentos en su versión pública debe acompañarse necesariamente del Acuerdo del Comité de Transparencia que la sustente</w:t>
      </w:r>
      <w:r w:rsidRPr="000B1283">
        <w:rPr>
          <w:rFonts w:ascii="Palatino Linotype" w:eastAsia="Palatino Linotype" w:hAnsi="Palatino Linotype" w:cs="Palatino Linotype"/>
          <w:sz w:val="22"/>
          <w:szCs w:val="22"/>
        </w:rPr>
        <w:t xml:space="preserve">, el cual debe estar debidamente fundado y motivado y, deberá exponer los fundamentos y razonamientos que llevaron al Sujeto Obligado a testar, suprimir o eliminar datos de dicho soporte documental, </w:t>
      </w:r>
      <w:r w:rsidRPr="000B1283">
        <w:rPr>
          <w:rFonts w:ascii="Palatino Linotype" w:eastAsia="Palatino Linotype" w:hAnsi="Palatino Linotype" w:cs="Palatino Linotype"/>
          <w:b/>
          <w:bCs/>
          <w:sz w:val="22"/>
          <w:szCs w:val="22"/>
        </w:rPr>
        <w:t>ya que de no hacerlo, lo entregado no tendría un sustento jurídico ni resultaría ser una versión pública, sino más bien una documentación ilegible, incompleta o tachada</w:t>
      </w:r>
      <w:r w:rsidRPr="000B1283">
        <w:rPr>
          <w:rFonts w:ascii="Palatino Linotype" w:eastAsia="Palatino Linotype" w:hAnsi="Palatino Linotype" w:cs="Palatino Linotype"/>
          <w:sz w:val="22"/>
          <w:szCs w:val="22"/>
        </w:rPr>
        <w:t>. El no justificar las causas o motivos por las que no se aprecian determinados datos -ya sea porque se testan o suprimen- deja al solicitante en estado de incertidumbre, al no conocer o comprender por qué no aparece en la documentación respectiva.</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 xml:space="preserve">Asimismo, para que un acuerdo de Comité de Transparencia sea emitido y tenga validez jurídica, es necesario que las versiones públicas estén debidamente realizadas y el </w:t>
      </w:r>
      <w:proofErr w:type="spellStart"/>
      <w:r w:rsidRPr="000B1283">
        <w:rPr>
          <w:rFonts w:ascii="Palatino Linotype" w:eastAsia="Palatino Linotype" w:hAnsi="Palatino Linotype" w:cs="Palatino Linotype"/>
          <w:sz w:val="22"/>
          <w:szCs w:val="22"/>
        </w:rPr>
        <w:t>testado</w:t>
      </w:r>
      <w:proofErr w:type="spellEnd"/>
      <w:r w:rsidRPr="000B1283">
        <w:rPr>
          <w:rFonts w:ascii="Palatino Linotype" w:eastAsia="Palatino Linotype" w:hAnsi="Palatino Linotype" w:cs="Palatino Linotype"/>
          <w:sz w:val="22"/>
          <w:szCs w:val="22"/>
        </w:rPr>
        <w:t xml:space="preserve"> de la información sea correcto.</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5" w:name="_heading=h.lnxbz9" w:colFirst="0" w:colLast="0"/>
      <w:bookmarkEnd w:id="5"/>
      <w:r w:rsidRPr="000B1283">
        <w:rPr>
          <w:rFonts w:ascii="Palatino Linotype" w:eastAsia="Palatino Linotype" w:hAnsi="Palatino Linotype" w:cs="Palatino Linotype"/>
          <w:b/>
          <w:bCs/>
          <w:sz w:val="22"/>
          <w:szCs w:val="22"/>
        </w:rPr>
        <w:t>III. R E S U E L V E</w:t>
      </w:r>
    </w:p>
    <w:p w:rsidR="009F689E" w:rsidRPr="000B1283" w:rsidRDefault="009F689E">
      <w:pPr>
        <w:spacing w:line="360" w:lineRule="auto"/>
        <w:jc w:val="both"/>
        <w:rPr>
          <w:rFonts w:ascii="Palatino Linotype" w:eastAsia="Palatino Linotype" w:hAnsi="Palatino Linotype" w:cs="Palatino Linotype"/>
          <w:b/>
          <w:bCs/>
          <w:sz w:val="22"/>
          <w:szCs w:val="22"/>
        </w:rPr>
      </w:pPr>
      <w:bookmarkStart w:id="6" w:name="_heading=h.1fob9te" w:colFirst="0" w:colLast="0"/>
      <w:bookmarkEnd w:id="6"/>
    </w:p>
    <w:p w:rsidR="009F689E" w:rsidRPr="000B1283" w:rsidRDefault="007F7F81">
      <w:pPr>
        <w:spacing w:line="360" w:lineRule="auto"/>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 xml:space="preserve">Primero. </w:t>
      </w:r>
      <w:r w:rsidRPr="000B1283">
        <w:rPr>
          <w:rFonts w:ascii="Palatino Linotype" w:eastAsia="Palatino Linotype" w:hAnsi="Palatino Linotype" w:cs="Palatino Linotype"/>
          <w:sz w:val="22"/>
          <w:szCs w:val="22"/>
        </w:rPr>
        <w:t xml:space="preserve">Resultan </w:t>
      </w:r>
      <w:r w:rsidRPr="000B1283">
        <w:rPr>
          <w:rFonts w:ascii="Palatino Linotype" w:eastAsia="Palatino Linotype" w:hAnsi="Palatino Linotype" w:cs="Palatino Linotype"/>
          <w:b/>
          <w:bCs/>
          <w:sz w:val="22"/>
          <w:szCs w:val="22"/>
        </w:rPr>
        <w:t>fundadas</w:t>
      </w:r>
      <w:r w:rsidRPr="000B1283">
        <w:rPr>
          <w:rFonts w:ascii="Palatino Linotype" w:eastAsia="Palatino Linotype" w:hAnsi="Palatino Linotype" w:cs="Palatino Linotype"/>
          <w:sz w:val="22"/>
          <w:szCs w:val="22"/>
        </w:rPr>
        <w:t xml:space="preserve"> las razones o motivos de inconformidad hechos valer por </w:t>
      </w:r>
      <w:r w:rsidRPr="000B1283">
        <w:rPr>
          <w:rFonts w:ascii="Palatino Linotype" w:eastAsia="Palatino Linotype" w:hAnsi="Palatino Linotype" w:cs="Palatino Linotype"/>
          <w:b/>
          <w:bCs/>
          <w:sz w:val="22"/>
          <w:szCs w:val="22"/>
        </w:rPr>
        <w:t>la parte Recurrente</w:t>
      </w:r>
      <w:r w:rsidRPr="000B1283">
        <w:rPr>
          <w:rFonts w:ascii="Palatino Linotype" w:eastAsia="Palatino Linotype" w:hAnsi="Palatino Linotype" w:cs="Palatino Linotype"/>
          <w:sz w:val="22"/>
          <w:szCs w:val="22"/>
        </w:rPr>
        <w:t xml:space="preserve"> en el recurso de revisión </w:t>
      </w:r>
      <w:r w:rsidRPr="000B1283">
        <w:rPr>
          <w:rFonts w:ascii="Palatino Linotype" w:eastAsia="Palatino Linotype" w:hAnsi="Palatino Linotype" w:cs="Palatino Linotype"/>
          <w:b/>
          <w:bCs/>
          <w:sz w:val="22"/>
          <w:szCs w:val="22"/>
        </w:rPr>
        <w:t>09124/INFOEM/IP/RR/2025</w:t>
      </w:r>
      <w:r w:rsidRPr="000B1283">
        <w:rPr>
          <w:rFonts w:ascii="Palatino Linotype" w:eastAsia="Palatino Linotype" w:hAnsi="Palatino Linotype" w:cs="Palatino Linotype"/>
          <w:sz w:val="22"/>
          <w:szCs w:val="22"/>
        </w:rPr>
        <w:t xml:space="preserve">; por lo que, en términos del Considerando </w:t>
      </w:r>
      <w:r w:rsidRPr="000B1283">
        <w:rPr>
          <w:rFonts w:ascii="Palatino Linotype" w:eastAsia="Palatino Linotype" w:hAnsi="Palatino Linotype" w:cs="Palatino Linotype"/>
          <w:b/>
          <w:bCs/>
          <w:sz w:val="22"/>
          <w:szCs w:val="22"/>
        </w:rPr>
        <w:t xml:space="preserve">Cuarto </w:t>
      </w:r>
      <w:r w:rsidRPr="000B1283">
        <w:rPr>
          <w:rFonts w:ascii="Palatino Linotype" w:eastAsia="Palatino Linotype" w:hAnsi="Palatino Linotype" w:cs="Palatino Linotype"/>
          <w:sz w:val="22"/>
          <w:szCs w:val="22"/>
        </w:rPr>
        <w:t xml:space="preserve">de esta resolución, se </w:t>
      </w:r>
      <w:r w:rsidRPr="000B1283">
        <w:rPr>
          <w:rFonts w:ascii="Palatino Linotype" w:eastAsia="Palatino Linotype" w:hAnsi="Palatino Linotype" w:cs="Palatino Linotype"/>
          <w:b/>
          <w:bCs/>
          <w:sz w:val="22"/>
          <w:szCs w:val="22"/>
        </w:rPr>
        <w:t xml:space="preserve">REVOCA </w:t>
      </w:r>
      <w:r w:rsidRPr="000B1283">
        <w:rPr>
          <w:rFonts w:ascii="Palatino Linotype" w:eastAsia="Palatino Linotype" w:hAnsi="Palatino Linotype" w:cs="Palatino Linotype"/>
          <w:sz w:val="22"/>
          <w:szCs w:val="22"/>
        </w:rPr>
        <w:t xml:space="preserve">la respuesta emitida por el </w:t>
      </w:r>
      <w:r w:rsidRPr="000B1283">
        <w:rPr>
          <w:rFonts w:ascii="Palatino Linotype" w:eastAsia="Palatino Linotype" w:hAnsi="Palatino Linotype" w:cs="Palatino Linotype"/>
          <w:b/>
          <w:bCs/>
          <w:sz w:val="22"/>
          <w:szCs w:val="22"/>
        </w:rPr>
        <w:t>Sujeto Obligado.</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bookmarkStart w:id="7" w:name="_heading=h.xr464eu6ljnj" w:colFirst="0" w:colLast="0"/>
      <w:bookmarkEnd w:id="7"/>
      <w:r w:rsidRPr="000B1283">
        <w:rPr>
          <w:rFonts w:ascii="Palatino Linotype" w:eastAsia="Palatino Linotype" w:hAnsi="Palatino Linotype" w:cs="Palatino Linotype"/>
          <w:b/>
          <w:bCs/>
          <w:sz w:val="22"/>
          <w:szCs w:val="22"/>
        </w:rPr>
        <w:t xml:space="preserve">Segundo. </w:t>
      </w:r>
      <w:r w:rsidRPr="000B1283">
        <w:rPr>
          <w:rFonts w:ascii="Palatino Linotype" w:eastAsia="Palatino Linotype" w:hAnsi="Palatino Linotype" w:cs="Palatino Linotype"/>
          <w:sz w:val="22"/>
          <w:szCs w:val="22"/>
        </w:rPr>
        <w:t xml:space="preserve">Se </w:t>
      </w:r>
      <w:r w:rsidRPr="000B1283">
        <w:rPr>
          <w:rFonts w:ascii="Palatino Linotype" w:eastAsia="Palatino Linotype" w:hAnsi="Palatino Linotype" w:cs="Palatino Linotype"/>
          <w:b/>
          <w:bCs/>
          <w:sz w:val="22"/>
          <w:szCs w:val="22"/>
        </w:rPr>
        <w:t>Ordena</w:t>
      </w:r>
      <w:r w:rsidRPr="000B1283">
        <w:rPr>
          <w:rFonts w:ascii="Palatino Linotype" w:eastAsia="Palatino Linotype" w:hAnsi="Palatino Linotype" w:cs="Palatino Linotype"/>
          <w:sz w:val="22"/>
          <w:szCs w:val="22"/>
        </w:rPr>
        <w:t xml:space="preserve"> al </w:t>
      </w:r>
      <w:r w:rsidRPr="000B1283">
        <w:rPr>
          <w:rFonts w:ascii="Palatino Linotype" w:eastAsia="Palatino Linotype" w:hAnsi="Palatino Linotype" w:cs="Palatino Linotype"/>
          <w:b/>
          <w:bCs/>
          <w:sz w:val="22"/>
          <w:szCs w:val="22"/>
        </w:rPr>
        <w:t>Sujeto Obligado</w:t>
      </w:r>
      <w:r w:rsidRPr="000B1283">
        <w:rPr>
          <w:rFonts w:ascii="Palatino Linotype" w:eastAsia="Palatino Linotype" w:hAnsi="Palatino Linotype" w:cs="Palatino Linotype"/>
          <w:sz w:val="22"/>
          <w:szCs w:val="22"/>
        </w:rPr>
        <w:t xml:space="preserve">, en términos de los Considerandos </w:t>
      </w:r>
      <w:r w:rsidRPr="000B1283">
        <w:rPr>
          <w:rFonts w:ascii="Palatino Linotype" w:eastAsia="Palatino Linotype" w:hAnsi="Palatino Linotype" w:cs="Palatino Linotype"/>
          <w:b/>
          <w:bCs/>
          <w:sz w:val="22"/>
          <w:szCs w:val="22"/>
        </w:rPr>
        <w:t xml:space="preserve">Cuarto y Quinto </w:t>
      </w:r>
      <w:r w:rsidRPr="000B1283">
        <w:rPr>
          <w:rFonts w:ascii="Palatino Linotype" w:eastAsia="Palatino Linotype" w:hAnsi="Palatino Linotype" w:cs="Palatino Linotype"/>
          <w:sz w:val="22"/>
          <w:szCs w:val="22"/>
        </w:rPr>
        <w:t>de esta resolución, previa búsqueda exhaustiva y razonable, haga entrega vía SAIMEX, de ser el caso en versión pública, la siguiente información:</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numPr>
          <w:ilvl w:val="0"/>
          <w:numId w:val="3"/>
        </w:numPr>
        <w:pBdr>
          <w:top w:val="nil"/>
          <w:left w:val="nil"/>
          <w:bottom w:val="nil"/>
          <w:right w:val="nil"/>
          <w:between w:val="nil"/>
        </w:pBdr>
        <w:spacing w:line="360" w:lineRule="auto"/>
        <w:ind w:left="851" w:right="850" w:firstLine="0"/>
        <w:jc w:val="both"/>
        <w:rPr>
          <w:rFonts w:ascii="Palatino Linotype" w:eastAsia="Palatino Linotype" w:hAnsi="Palatino Linotype" w:cs="Palatino Linotype"/>
          <w:b/>
          <w:bCs/>
          <w:sz w:val="22"/>
          <w:szCs w:val="22"/>
        </w:rPr>
      </w:pPr>
      <w:r w:rsidRPr="000B1283">
        <w:rPr>
          <w:rFonts w:ascii="Palatino Linotype" w:eastAsia="Palatino Linotype" w:hAnsi="Palatino Linotype" w:cs="Palatino Linotype"/>
          <w:b/>
          <w:bCs/>
          <w:sz w:val="22"/>
          <w:szCs w:val="22"/>
        </w:rPr>
        <w:t xml:space="preserve">Agenda oficial de la Presidenta Municipal de la actual administración, del primero de enero al dos de julio de dos mil veinticinco. </w:t>
      </w:r>
    </w:p>
    <w:p w:rsidR="009F689E" w:rsidRPr="000B1283" w:rsidRDefault="009F689E">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p>
    <w:p w:rsidR="009F689E" w:rsidRPr="000B1283" w:rsidRDefault="007F7F81">
      <w:pPr>
        <w:pBdr>
          <w:top w:val="nil"/>
          <w:left w:val="nil"/>
          <w:bottom w:val="nil"/>
          <w:right w:val="nil"/>
          <w:between w:val="nil"/>
        </w:pBdr>
        <w:spacing w:line="276" w:lineRule="auto"/>
        <w:ind w:left="851" w:right="850"/>
        <w:jc w:val="both"/>
        <w:rPr>
          <w:rFonts w:ascii="Palatino Linotype" w:eastAsia="Palatino Linotype" w:hAnsi="Palatino Linotype" w:cs="Palatino Linotype"/>
          <w:i/>
          <w:iCs/>
          <w:sz w:val="22"/>
          <w:szCs w:val="22"/>
        </w:rPr>
      </w:pPr>
      <w:r w:rsidRPr="000B1283">
        <w:rPr>
          <w:rFonts w:ascii="Palatino Linotype" w:eastAsia="Palatino Linotype" w:hAnsi="Palatino Linotype" w:cs="Palatino Linotype"/>
          <w:i/>
          <w:iCs/>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0B1283">
        <w:rPr>
          <w:rFonts w:ascii="Palatino Linotype" w:eastAsia="Palatino Linotype" w:hAnsi="Palatino Linotype" w:cs="Palatino Linotype"/>
          <w:b/>
          <w:bCs/>
          <w:i/>
          <w:iCs/>
          <w:sz w:val="22"/>
          <w:szCs w:val="22"/>
        </w:rPr>
        <w:t>Recurrente</w:t>
      </w:r>
      <w:r w:rsidRPr="000B1283">
        <w:rPr>
          <w:rFonts w:ascii="Palatino Linotype" w:eastAsia="Palatino Linotype" w:hAnsi="Palatino Linotype" w:cs="Palatino Linotype"/>
          <w:i/>
          <w:iCs/>
          <w:sz w:val="22"/>
          <w:szCs w:val="22"/>
        </w:rPr>
        <w:t xml:space="preserve">, mismo que igualmente hará de su conocimiento. </w:t>
      </w:r>
    </w:p>
    <w:p w:rsidR="009F689E" w:rsidRPr="000B1283" w:rsidRDefault="009F689E">
      <w:pPr>
        <w:pBdr>
          <w:top w:val="nil"/>
          <w:left w:val="nil"/>
          <w:bottom w:val="nil"/>
          <w:right w:val="nil"/>
          <w:between w:val="nil"/>
        </w:pBdr>
        <w:spacing w:line="276" w:lineRule="auto"/>
        <w:ind w:left="284" w:right="616"/>
        <w:jc w:val="both"/>
        <w:rPr>
          <w:rFonts w:ascii="Palatino Linotype" w:eastAsia="Palatino Linotype" w:hAnsi="Palatino Linotype" w:cs="Palatino Linotype"/>
          <w:i/>
          <w:iCs/>
          <w:sz w:val="22"/>
          <w:szCs w:val="22"/>
        </w:rPr>
      </w:pPr>
    </w:p>
    <w:p w:rsidR="009F689E" w:rsidRPr="000B1283"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Tercero. Notifíquese vía SAIMEX, </w:t>
      </w:r>
      <w:r w:rsidRPr="000B1283">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9F689E" w:rsidRPr="000B1283" w:rsidRDefault="009F689E">
      <w:pPr>
        <w:spacing w:line="360" w:lineRule="auto"/>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Cuarto. Notifíquese a través del SAIMEX, </w:t>
      </w:r>
      <w:r w:rsidRPr="000B1283">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0B1283" w:rsidRDefault="007F7F81">
      <w:pPr>
        <w:spacing w:line="360" w:lineRule="auto"/>
        <w:ind w:right="49"/>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b/>
          <w:bCs/>
          <w:sz w:val="22"/>
          <w:szCs w:val="22"/>
        </w:rPr>
        <w:t xml:space="preserve">Quinto. Notifíquese vía SAIMEX, </w:t>
      </w:r>
      <w:r w:rsidRPr="000B1283">
        <w:rPr>
          <w:rFonts w:ascii="Palatino Linotype" w:eastAsia="Palatino Linotype" w:hAnsi="Palatino Linotype" w:cs="Palatino Linotype"/>
          <w:sz w:val="22"/>
          <w:szCs w:val="22"/>
        </w:rPr>
        <w:t>a</w:t>
      </w:r>
      <w:r w:rsidRPr="000B1283">
        <w:rPr>
          <w:rFonts w:ascii="Palatino Linotype" w:eastAsia="Palatino Linotype" w:hAnsi="Palatino Linotype" w:cs="Palatino Linotype"/>
          <w:b/>
          <w:bCs/>
          <w:sz w:val="22"/>
          <w:szCs w:val="22"/>
        </w:rPr>
        <w:t xml:space="preserve"> la parte Recurrente</w:t>
      </w:r>
      <w:r w:rsidRPr="000B1283">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9F689E" w:rsidRPr="000B1283" w:rsidRDefault="009F689E">
      <w:pPr>
        <w:spacing w:line="360" w:lineRule="auto"/>
        <w:ind w:right="49"/>
        <w:jc w:val="both"/>
        <w:rPr>
          <w:rFonts w:ascii="Palatino Linotype" w:eastAsia="Palatino Linotype" w:hAnsi="Palatino Linotype" w:cs="Palatino Linotype"/>
          <w:sz w:val="22"/>
          <w:szCs w:val="22"/>
        </w:rPr>
      </w:pPr>
    </w:p>
    <w:p w:rsidR="009F689E" w:rsidRPr="007F7F81" w:rsidRDefault="007F7F81">
      <w:pPr>
        <w:spacing w:line="360" w:lineRule="auto"/>
        <w:jc w:val="both"/>
        <w:rPr>
          <w:rFonts w:ascii="Palatino Linotype" w:eastAsia="Palatino Linotype" w:hAnsi="Palatino Linotype" w:cs="Palatino Linotype"/>
          <w:sz w:val="22"/>
          <w:szCs w:val="22"/>
        </w:rPr>
      </w:pPr>
      <w:r w:rsidRPr="000B128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sz w:val="22"/>
          <w:szCs w:val="22"/>
        </w:rPr>
      </w:pPr>
    </w:p>
    <w:p w:rsidR="009F689E" w:rsidRPr="007F7F81" w:rsidRDefault="009F689E">
      <w:pPr>
        <w:spacing w:line="360" w:lineRule="auto"/>
        <w:jc w:val="both"/>
        <w:rPr>
          <w:rFonts w:ascii="Palatino Linotype" w:eastAsia="Palatino Linotype" w:hAnsi="Palatino Linotype" w:cs="Palatino Linotype"/>
          <w:b/>
          <w:bCs/>
          <w:sz w:val="22"/>
          <w:szCs w:val="22"/>
        </w:rPr>
      </w:pPr>
    </w:p>
    <w:sectPr w:rsidR="009F689E" w:rsidRPr="007F7F81">
      <w:headerReference w:type="default" r:id="rId17"/>
      <w:footerReference w:type="default" r:id="rId18"/>
      <w:headerReference w:type="first" r:id="rId19"/>
      <w:footerReference w:type="first" r:id="rId20"/>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E4C" w:rsidRDefault="002D7E4C">
      <w:r>
        <w:separator/>
      </w:r>
    </w:p>
  </w:endnote>
  <w:endnote w:type="continuationSeparator" w:id="0">
    <w:p w:rsidR="002D7E4C" w:rsidRDefault="002D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05517E4-3DEB-4BDB-B1B5-3BD9E44C38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55DD04-A619-4870-A93B-42CB3148AA94}"/>
    <w:embedBold r:id="rId3" w:fontKey="{5F65DCF3-ACE0-4E66-A298-BAD0FC2176E1}"/>
  </w:font>
  <w:font w:name="Cambria">
    <w:panose1 w:val="02040503050406030204"/>
    <w:charset w:val="00"/>
    <w:family w:val="roman"/>
    <w:pitch w:val="variable"/>
    <w:sig w:usb0="E00006FF" w:usb1="420024FF" w:usb2="02000000" w:usb3="00000000" w:csb0="0000019F" w:csb1="00000000"/>
    <w:embedRegular r:id="rId4" w:fontKey="{FF376843-0E09-4535-A356-E5D80003CFB6}"/>
    <w:embedBold r:id="rId5" w:fontKey="{95D90DEC-FED1-46BA-9B49-B466E8D66708}"/>
    <w:embedBoldItalic r:id="rId6" w:fontKey="{BE6ED7C7-6A57-4E34-8D5F-6CDDC5763DAE}"/>
  </w:font>
  <w:font w:name="Georgia">
    <w:panose1 w:val="02040502050405020303"/>
    <w:charset w:val="00"/>
    <w:family w:val="roman"/>
    <w:pitch w:val="variable"/>
    <w:sig w:usb0="00000287" w:usb1="00000000" w:usb2="00000000" w:usb3="00000000" w:csb0="0000009F" w:csb1="00000000"/>
    <w:embedItalic r:id="rId7" w:fontKey="{1E0911FE-5EDA-4016-AD9A-5AFECEAD1201}"/>
  </w:font>
  <w:font w:name="Palatino Linotype">
    <w:panose1 w:val="02040502050505030304"/>
    <w:charset w:val="00"/>
    <w:family w:val="roman"/>
    <w:pitch w:val="variable"/>
    <w:sig w:usb0="E0000287" w:usb1="40000013" w:usb2="00000000" w:usb3="00000000" w:csb0="0000019F" w:csb1="00000000"/>
    <w:embedRegular r:id="rId8" w:fontKey="{4EC9F6DD-0B67-4BEC-B9A5-8C48966B31A6}"/>
    <w:embedBold r:id="rId9" w:fontKey="{DF23E9A4-DD59-49DB-938B-CD625C6A4A17}"/>
    <w:embedItalic r:id="rId10" w:fontKey="{D72F1E42-8AAE-4EBF-AAF5-59153C4CF310}"/>
    <w:embedBoldItalic r:id="rId11" w:fontKey="{AF842DAC-1B03-4483-92E9-74B6AC6D21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89E" w:rsidRDefault="007F7F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DF38A9">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DF38A9">
      <w:rPr>
        <w:rFonts w:ascii="Palatino Linotype" w:eastAsia="Palatino Linotype" w:hAnsi="Palatino Linotype" w:cs="Palatino Linotype"/>
        <w:b/>
        <w:bCs/>
        <w:noProof/>
        <w:color w:val="000000"/>
        <w:sz w:val="20"/>
        <w:szCs w:val="20"/>
      </w:rPr>
      <w:t>31</w:t>
    </w:r>
    <w:r>
      <w:rPr>
        <w:rFonts w:ascii="Palatino Linotype" w:eastAsia="Palatino Linotype" w:hAnsi="Palatino Linotype" w:cs="Palatino Linotype"/>
        <w:b/>
        <w:bCs/>
        <w:color w:val="000000"/>
        <w:sz w:val="20"/>
        <w:szCs w:val="20"/>
      </w:rPr>
      <w:fldChar w:fldCharType="end"/>
    </w:r>
  </w:p>
  <w:p w:rsidR="009F689E" w:rsidRDefault="009F689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89E" w:rsidRDefault="007F7F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DF38A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DF38A9">
      <w:rPr>
        <w:rFonts w:ascii="Palatino Linotype" w:eastAsia="Palatino Linotype" w:hAnsi="Palatino Linotype" w:cs="Palatino Linotype"/>
        <w:b/>
        <w:bCs/>
        <w:noProof/>
        <w:color w:val="000000"/>
        <w:sz w:val="20"/>
        <w:szCs w:val="20"/>
      </w:rPr>
      <w:t>31</w:t>
    </w:r>
    <w:r>
      <w:rPr>
        <w:rFonts w:ascii="Palatino Linotype" w:eastAsia="Palatino Linotype" w:hAnsi="Palatino Linotype" w:cs="Palatino Linotype"/>
        <w:b/>
        <w:bCs/>
        <w:color w:val="000000"/>
        <w:sz w:val="20"/>
        <w:szCs w:val="20"/>
      </w:rPr>
      <w:fldChar w:fldCharType="end"/>
    </w:r>
  </w:p>
  <w:p w:rsidR="009F689E" w:rsidRDefault="009F689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E4C" w:rsidRDefault="002D7E4C">
      <w:r>
        <w:separator/>
      </w:r>
    </w:p>
  </w:footnote>
  <w:footnote w:type="continuationSeparator" w:id="0">
    <w:p w:rsidR="002D7E4C" w:rsidRDefault="002D7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89E" w:rsidRDefault="007F7F8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-488308</wp:posOffset>
          </wp:positionV>
          <wp:extent cx="7809865" cy="10165715"/>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9F689E">
      <w:tc>
        <w:tcPr>
          <w:tcW w:w="2489" w:type="dxa"/>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9F689E" w:rsidRDefault="007F7F8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09124/INFOEM/IP/RR/2025</w:t>
          </w:r>
        </w:p>
      </w:tc>
    </w:tr>
    <w:tr w:rsidR="009F689E">
      <w:trPr>
        <w:trHeight w:val="228"/>
      </w:trPr>
      <w:tc>
        <w:tcPr>
          <w:tcW w:w="2489" w:type="dxa"/>
          <w:vAlign w:val="center"/>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9F689E" w:rsidRDefault="007F7F81">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Melchor Ocampo</w:t>
          </w:r>
        </w:p>
      </w:tc>
    </w:tr>
    <w:tr w:rsidR="009F689E">
      <w:tc>
        <w:tcPr>
          <w:tcW w:w="2489" w:type="dxa"/>
          <w:vAlign w:val="center"/>
        </w:tcPr>
        <w:p w:rsidR="009F689E" w:rsidRDefault="007F7F81">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9F689E" w:rsidRDefault="007F7F8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9F689E" w:rsidRDefault="007F7F8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89E" w:rsidRDefault="007F7F8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0"/>
      <w:tblW w:w="5670" w:type="dxa"/>
      <w:tblInd w:w="3261" w:type="dxa"/>
      <w:tblLayout w:type="fixed"/>
      <w:tblLook w:val="0400" w:firstRow="0" w:lastRow="0" w:firstColumn="0" w:lastColumn="0" w:noHBand="0" w:noVBand="1"/>
    </w:tblPr>
    <w:tblGrid>
      <w:gridCol w:w="2551"/>
      <w:gridCol w:w="3119"/>
    </w:tblGrid>
    <w:tr w:rsidR="009F689E">
      <w:tc>
        <w:tcPr>
          <w:tcW w:w="2551" w:type="dxa"/>
          <w:vAlign w:val="center"/>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rsidR="009F689E" w:rsidRDefault="007F7F81">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09124/INFOEM/IP/RR/2025</w:t>
          </w:r>
        </w:p>
      </w:tc>
    </w:tr>
    <w:tr w:rsidR="009F689E">
      <w:trPr>
        <w:trHeight w:val="130"/>
      </w:trPr>
      <w:tc>
        <w:tcPr>
          <w:tcW w:w="2551" w:type="dxa"/>
          <w:vAlign w:val="center"/>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rsidR="009F689E" w:rsidRDefault="007F7F81">
          <w:pPr>
            <w:tabs>
              <w:tab w:val="left" w:pos="3153"/>
            </w:tabs>
            <w:ind w:left="-45"/>
            <w:jc w:val="both"/>
            <w:rPr>
              <w:rFonts w:ascii="Palatino Linotype" w:eastAsia="Palatino Linotype" w:hAnsi="Palatino Linotype" w:cs="Palatino Linotype"/>
              <w:b/>
              <w:bCs/>
              <w:sz w:val="22"/>
              <w:szCs w:val="22"/>
            </w:rPr>
          </w:pPr>
          <w:r>
            <w:rPr>
              <w:noProof/>
              <w:lang w:val="es-MX"/>
            </w:rPr>
            <w:drawing>
              <wp:anchor distT="0" distB="0" distL="0" distR="0" simplePos="0" relativeHeight="251659264" behindDoc="1" locked="0" layoutInCell="1" hidden="0" allowOverlap="1">
                <wp:simplePos x="0" y="0"/>
                <wp:positionH relativeFrom="column">
                  <wp:posOffset>-4425309</wp:posOffset>
                </wp:positionH>
                <wp:positionV relativeFrom="paragraph">
                  <wp:posOffset>-361943</wp:posOffset>
                </wp:positionV>
                <wp:extent cx="7809865" cy="1016571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F689E">
      <w:trPr>
        <w:trHeight w:val="228"/>
      </w:trPr>
      <w:tc>
        <w:tcPr>
          <w:tcW w:w="2551" w:type="dxa"/>
          <w:vAlign w:val="center"/>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rsidR="009F689E" w:rsidRDefault="007F7F81">
          <w:pPr>
            <w:ind w:left="-45"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Melchor Ocampo</w:t>
          </w:r>
        </w:p>
      </w:tc>
    </w:tr>
    <w:tr w:rsidR="009F689E">
      <w:tc>
        <w:tcPr>
          <w:tcW w:w="2551" w:type="dxa"/>
          <w:vAlign w:val="center"/>
        </w:tcPr>
        <w:p w:rsidR="009F689E" w:rsidRDefault="007F7F8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rsidR="009F689E" w:rsidRDefault="007F7F81">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9F689E" w:rsidRDefault="009F689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8B0"/>
    <w:multiLevelType w:val="multilevel"/>
    <w:tmpl w:val="B8CC1BC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1C9112C"/>
    <w:multiLevelType w:val="multilevel"/>
    <w:tmpl w:val="D144A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C56372"/>
    <w:multiLevelType w:val="multilevel"/>
    <w:tmpl w:val="CAFC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2685C"/>
    <w:multiLevelType w:val="multilevel"/>
    <w:tmpl w:val="C2BE8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89E"/>
    <w:rsid w:val="00032362"/>
    <w:rsid w:val="000B1283"/>
    <w:rsid w:val="002D7E4C"/>
    <w:rsid w:val="007F7F81"/>
    <w:rsid w:val="009F689E"/>
    <w:rsid w:val="00DF38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EE14F-4B37-4C1B-A147-F768C37B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ym+0nNPe98T7UfresSKdP35Jw==">CgMxLjAyCGguZ2pkZ3hzMgloLjMwajB6bGwyCWguMnM4ZXlvMTIIaC50eWpjd3QyCGgubG54Yno5MgloLjFmb2I5dGUyDmgueHI0NjRldTZsam5qOAByITFPSEgxTFZUZFlCNHl0WlFVQXA4dzFfd2xwcHhhNTBWTA==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7970</Words>
  <Characters>43835</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2026-04-10T18:35:00Z</cp:lastPrinted>
  <dcterms:created xsi:type="dcterms:W3CDTF">2026-04-25T00:49:00Z</dcterms:created>
  <dcterms:modified xsi:type="dcterms:W3CDTF">2026-04-25T00:49:00Z</dcterms:modified>
</cp:coreProperties>
</file>