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4AE3F" w14:textId="1AE6E5BC" w:rsidR="006402E7" w:rsidRPr="0068276B" w:rsidRDefault="007226AA">
      <w:pPr>
        <w:spacing w:after="0" w:line="360" w:lineRule="auto"/>
        <w:ind w:right="49"/>
        <w:jc w:val="both"/>
        <w:rPr>
          <w:rFonts w:ascii="Palatino Linotype" w:eastAsia="Palatino Linotype" w:hAnsi="Palatino Linotype" w:cs="Palatino Linotype"/>
        </w:rPr>
      </w:pPr>
      <w:bookmarkStart w:id="0" w:name="_GoBack"/>
      <w:bookmarkEnd w:id="0"/>
      <w:r w:rsidRPr="0068276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382A68" w:rsidRPr="0068276B">
        <w:rPr>
          <w:rFonts w:ascii="Palatino Linotype" w:eastAsia="Palatino Linotype" w:hAnsi="Palatino Linotype" w:cs="Palatino Linotype"/>
        </w:rPr>
        <w:t xml:space="preserve">cinco de febrero de dos mil veintiséis. </w:t>
      </w:r>
    </w:p>
    <w:p w14:paraId="6DCD76AF" w14:textId="77777777" w:rsidR="006402E7" w:rsidRPr="0068276B" w:rsidRDefault="006402E7">
      <w:pPr>
        <w:spacing w:after="0" w:line="360" w:lineRule="auto"/>
        <w:ind w:right="49"/>
        <w:jc w:val="center"/>
        <w:rPr>
          <w:rFonts w:ascii="Palatino Linotype" w:eastAsia="Palatino Linotype" w:hAnsi="Palatino Linotype" w:cs="Palatino Linotype"/>
        </w:rPr>
      </w:pPr>
    </w:p>
    <w:p w14:paraId="7E4F0291" w14:textId="734F4E59" w:rsidR="006402E7" w:rsidRPr="0068276B" w:rsidRDefault="007226AA">
      <w:pP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rPr>
        <w:t xml:space="preserve">Visto el expediente relativo al recurso de revisión </w:t>
      </w:r>
      <w:r w:rsidR="00382A68" w:rsidRPr="0068276B">
        <w:rPr>
          <w:rFonts w:ascii="Palatino Linotype" w:eastAsia="Palatino Linotype" w:hAnsi="Palatino Linotype" w:cs="Palatino Linotype"/>
          <w:b/>
        </w:rPr>
        <w:t>14089</w:t>
      </w:r>
      <w:r w:rsidRPr="0068276B">
        <w:rPr>
          <w:rFonts w:ascii="Palatino Linotype" w:eastAsia="Palatino Linotype" w:hAnsi="Palatino Linotype" w:cs="Palatino Linotype"/>
          <w:b/>
        </w:rPr>
        <w:t>/INFOEM/IP/RR/2025</w:t>
      </w:r>
      <w:r w:rsidR="00DD2EA8" w:rsidRPr="0068276B">
        <w:rPr>
          <w:rFonts w:ascii="Palatino Linotype" w:eastAsia="Palatino Linotype" w:hAnsi="Palatino Linotype" w:cs="Palatino Linotype"/>
        </w:rPr>
        <w:t xml:space="preserve">, interpuesto por </w:t>
      </w:r>
      <w:r w:rsidR="00DD2EA8" w:rsidRPr="0068276B">
        <w:rPr>
          <w:rFonts w:ascii="Palatino Linotype" w:eastAsia="Palatino Linotype" w:hAnsi="Palatino Linotype" w:cs="Palatino Linotype"/>
          <w:b/>
        </w:rPr>
        <w:t xml:space="preserve">una persona usuaria del Sistema de Acceso a la Información Mexiquense; </w:t>
      </w:r>
      <w:r w:rsidRPr="0068276B">
        <w:rPr>
          <w:rFonts w:ascii="Palatino Linotype" w:eastAsia="Palatino Linotype" w:hAnsi="Palatino Linotype" w:cs="Palatino Linotype"/>
        </w:rPr>
        <w:t xml:space="preserve">al cual en lo sucesivo se le denominará el </w:t>
      </w:r>
      <w:r w:rsidRPr="0068276B">
        <w:rPr>
          <w:rFonts w:ascii="Palatino Linotype" w:eastAsia="Palatino Linotype" w:hAnsi="Palatino Linotype" w:cs="Palatino Linotype"/>
          <w:b/>
        </w:rPr>
        <w:t>RECURRENTE</w:t>
      </w:r>
      <w:r w:rsidRPr="0068276B">
        <w:rPr>
          <w:rFonts w:ascii="Palatino Linotype" w:eastAsia="Palatino Linotype" w:hAnsi="Palatino Linotype" w:cs="Palatino Linotype"/>
        </w:rPr>
        <w:t xml:space="preserve">, en contra de la respuesta a su solicitud de información identificada con número de folio </w:t>
      </w:r>
      <w:r w:rsidR="00382A68" w:rsidRPr="0068276B">
        <w:rPr>
          <w:rFonts w:ascii="Palatino Linotype" w:eastAsia="Palatino Linotype" w:hAnsi="Palatino Linotype" w:cs="Palatino Linotype"/>
          <w:b/>
        </w:rPr>
        <w:t>05928</w:t>
      </w:r>
      <w:r w:rsidRPr="0068276B">
        <w:rPr>
          <w:rFonts w:ascii="Palatino Linotype" w:eastAsia="Palatino Linotype" w:hAnsi="Palatino Linotype" w:cs="Palatino Linotype"/>
          <w:b/>
        </w:rPr>
        <w:t>/</w:t>
      </w:r>
      <w:r w:rsidR="00DD2EA8" w:rsidRPr="0068276B">
        <w:rPr>
          <w:rFonts w:ascii="Palatino Linotype" w:eastAsia="Palatino Linotype" w:hAnsi="Palatino Linotype" w:cs="Palatino Linotype"/>
          <w:b/>
        </w:rPr>
        <w:t>TOLUCA</w:t>
      </w:r>
      <w:r w:rsidRPr="0068276B">
        <w:rPr>
          <w:rFonts w:ascii="Palatino Linotype" w:eastAsia="Palatino Linotype" w:hAnsi="Palatino Linotype" w:cs="Palatino Linotype"/>
          <w:b/>
        </w:rPr>
        <w:t>/IP/2025</w:t>
      </w:r>
      <w:r w:rsidRPr="0068276B">
        <w:rPr>
          <w:rFonts w:ascii="Palatino Linotype" w:eastAsia="Palatino Linotype" w:hAnsi="Palatino Linotype" w:cs="Palatino Linotype"/>
        </w:rPr>
        <w:t xml:space="preserve"> proporcionada por parte del </w:t>
      </w:r>
      <w:r w:rsidR="00DD2EA8" w:rsidRPr="0068276B">
        <w:rPr>
          <w:rFonts w:ascii="Palatino Linotype" w:eastAsia="Palatino Linotype" w:hAnsi="Palatino Linotype" w:cs="Palatino Linotype"/>
          <w:b/>
        </w:rPr>
        <w:t>Ayuntamiento de Toluca</w:t>
      </w:r>
      <w:r w:rsidRPr="0068276B">
        <w:rPr>
          <w:rFonts w:ascii="Palatino Linotype" w:eastAsia="Palatino Linotype" w:hAnsi="Palatino Linotype" w:cs="Palatino Linotype"/>
        </w:rPr>
        <w:t xml:space="preserve">, en lo sucesivo el </w:t>
      </w:r>
      <w:r w:rsidRPr="0068276B">
        <w:rPr>
          <w:rFonts w:ascii="Palatino Linotype" w:eastAsia="Palatino Linotype" w:hAnsi="Palatino Linotype" w:cs="Palatino Linotype"/>
          <w:b/>
        </w:rPr>
        <w:t>SUJETO OBLIGADO</w:t>
      </w:r>
      <w:r w:rsidRPr="0068276B">
        <w:rPr>
          <w:rFonts w:ascii="Palatino Linotype" w:eastAsia="Palatino Linotype" w:hAnsi="Palatino Linotype" w:cs="Palatino Linotype"/>
        </w:rPr>
        <w:t>; se procede a dictar la presente resolución, con base en los siguientes:</w:t>
      </w:r>
    </w:p>
    <w:p w14:paraId="38228391" w14:textId="77777777" w:rsidR="006402E7" w:rsidRPr="0068276B" w:rsidRDefault="006402E7">
      <w:pPr>
        <w:spacing w:after="0" w:line="360" w:lineRule="auto"/>
        <w:ind w:right="49"/>
        <w:jc w:val="both"/>
        <w:rPr>
          <w:rFonts w:ascii="Palatino Linotype" w:eastAsia="Palatino Linotype" w:hAnsi="Palatino Linotype" w:cs="Palatino Linotype"/>
        </w:rPr>
      </w:pPr>
    </w:p>
    <w:p w14:paraId="1F1E1424" w14:textId="77777777" w:rsidR="006402E7" w:rsidRPr="0068276B" w:rsidRDefault="007226AA">
      <w:pPr>
        <w:spacing w:after="0" w:line="360" w:lineRule="auto"/>
        <w:ind w:right="49"/>
        <w:jc w:val="center"/>
        <w:rPr>
          <w:rFonts w:ascii="Palatino Linotype" w:eastAsia="Palatino Linotype" w:hAnsi="Palatino Linotype" w:cs="Palatino Linotype"/>
          <w:b/>
        </w:rPr>
      </w:pPr>
      <w:r w:rsidRPr="0068276B">
        <w:rPr>
          <w:rFonts w:ascii="Palatino Linotype" w:eastAsia="Palatino Linotype" w:hAnsi="Palatino Linotype" w:cs="Palatino Linotype"/>
          <w:b/>
        </w:rPr>
        <w:t>I.</w:t>
      </w:r>
      <w:r w:rsidRPr="0068276B">
        <w:rPr>
          <w:rFonts w:ascii="Palatino Linotype" w:eastAsia="Palatino Linotype" w:hAnsi="Palatino Linotype" w:cs="Palatino Linotype"/>
          <w:b/>
        </w:rPr>
        <w:tab/>
        <w:t>A N T E C E D E N T E S</w:t>
      </w:r>
    </w:p>
    <w:p w14:paraId="5FF760F9" w14:textId="77777777" w:rsidR="006402E7" w:rsidRPr="0068276B" w:rsidRDefault="006402E7">
      <w:pPr>
        <w:spacing w:after="0" w:line="360" w:lineRule="auto"/>
        <w:ind w:right="49"/>
        <w:jc w:val="both"/>
        <w:rPr>
          <w:rFonts w:ascii="Palatino Linotype" w:eastAsia="Palatino Linotype" w:hAnsi="Palatino Linotype" w:cs="Palatino Linotype"/>
        </w:rPr>
      </w:pPr>
    </w:p>
    <w:p w14:paraId="30501DA1" w14:textId="6BC63D1D" w:rsidR="006402E7" w:rsidRPr="0068276B" w:rsidRDefault="007226A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8276B">
        <w:rPr>
          <w:rFonts w:ascii="Palatino Linotype" w:eastAsia="Palatino Linotype" w:hAnsi="Palatino Linotype" w:cs="Palatino Linotype"/>
          <w:b/>
        </w:rPr>
        <w:t>Solicitud de acceso a la información.</w:t>
      </w:r>
      <w:r w:rsidRPr="0068276B">
        <w:rPr>
          <w:rFonts w:ascii="Palatino Linotype" w:eastAsia="Palatino Linotype" w:hAnsi="Palatino Linotype" w:cs="Palatino Linotype"/>
        </w:rPr>
        <w:t xml:space="preserve"> Con fecha</w:t>
      </w:r>
      <w:r w:rsidRPr="0068276B">
        <w:rPr>
          <w:rFonts w:ascii="Palatino Linotype" w:eastAsia="Palatino Linotype" w:hAnsi="Palatino Linotype" w:cs="Palatino Linotype"/>
          <w:b/>
        </w:rPr>
        <w:t xml:space="preserve"> </w:t>
      </w:r>
      <w:r w:rsidR="00382A68" w:rsidRPr="0068276B">
        <w:rPr>
          <w:rFonts w:ascii="Palatino Linotype" w:eastAsia="Palatino Linotype" w:hAnsi="Palatino Linotype" w:cs="Palatino Linotype"/>
          <w:b/>
        </w:rPr>
        <w:t>seis de noviembre</w:t>
      </w:r>
      <w:r w:rsidRPr="0068276B">
        <w:rPr>
          <w:rFonts w:ascii="Palatino Linotype" w:eastAsia="Palatino Linotype" w:hAnsi="Palatino Linotype" w:cs="Palatino Linotype"/>
          <w:b/>
        </w:rPr>
        <w:t xml:space="preserve"> de dos mil veinticinco</w:t>
      </w:r>
      <w:r w:rsidRPr="0068276B">
        <w:rPr>
          <w:rFonts w:ascii="Palatino Linotype" w:eastAsia="Palatino Linotype" w:hAnsi="Palatino Linotype" w:cs="Palatino Linotype"/>
        </w:rPr>
        <w:t xml:space="preserve">, la parte </w:t>
      </w:r>
      <w:r w:rsidRPr="0068276B">
        <w:rPr>
          <w:rFonts w:ascii="Palatino Linotype" w:eastAsia="Palatino Linotype" w:hAnsi="Palatino Linotype" w:cs="Palatino Linotype"/>
          <w:b/>
        </w:rPr>
        <w:t>RECURRENTE</w:t>
      </w:r>
      <w:r w:rsidRPr="0068276B">
        <w:rPr>
          <w:rFonts w:ascii="Palatino Linotype" w:eastAsia="Palatino Linotype" w:hAnsi="Palatino Linotype" w:cs="Palatino Linotype"/>
        </w:rPr>
        <w:t xml:space="preserve"> formuló solicitud de acceso a información pública al</w:t>
      </w:r>
      <w:r w:rsidRPr="0068276B">
        <w:rPr>
          <w:rFonts w:ascii="Palatino Linotype" w:eastAsia="Palatino Linotype" w:hAnsi="Palatino Linotype" w:cs="Palatino Linotype"/>
          <w:b/>
        </w:rPr>
        <w:t xml:space="preserve"> SUJETO OBLIGADO</w:t>
      </w:r>
      <w:r w:rsidRPr="0068276B">
        <w:rPr>
          <w:rFonts w:ascii="Palatino Linotype" w:eastAsia="Palatino Linotype" w:hAnsi="Palatino Linotype" w:cs="Palatino Linotype"/>
        </w:rPr>
        <w:t xml:space="preserve"> a través del Sistema de Acceso a la Infor</w:t>
      </w:r>
      <w:r w:rsidR="00382A68" w:rsidRPr="0068276B">
        <w:rPr>
          <w:rFonts w:ascii="Palatino Linotype" w:eastAsia="Palatino Linotype" w:hAnsi="Palatino Linotype" w:cs="Palatino Linotype"/>
        </w:rPr>
        <w:t>mación Mexiquense</w:t>
      </w:r>
      <w:r w:rsidRPr="0068276B">
        <w:rPr>
          <w:rFonts w:ascii="Palatino Linotype" w:eastAsia="Palatino Linotype" w:hAnsi="Palatino Linotype" w:cs="Palatino Linotype"/>
        </w:rPr>
        <w:t xml:space="preserve">, en la que requirió lo siguiente: </w:t>
      </w:r>
    </w:p>
    <w:p w14:paraId="0C8D75EB" w14:textId="77777777" w:rsidR="006402E7" w:rsidRPr="0068276B" w:rsidRDefault="00640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9F17657" w14:textId="75B4293C" w:rsidR="006402E7" w:rsidRPr="0068276B" w:rsidRDefault="00DD2EA8" w:rsidP="00691771">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68276B">
        <w:rPr>
          <w:rFonts w:ascii="Palatino Linotype" w:eastAsia="Palatino Linotype" w:hAnsi="Palatino Linotype" w:cs="Palatino Linotype"/>
          <w:i/>
        </w:rPr>
        <w:t>“</w:t>
      </w:r>
      <w:r w:rsidR="00382A68" w:rsidRPr="0068276B">
        <w:rPr>
          <w:rFonts w:ascii="Palatino Linotype" w:eastAsia="Palatino Linotype" w:hAnsi="Palatino Linotype" w:cs="Palatino Linotype"/>
          <w:i/>
        </w:rPr>
        <w:t>Las constancias de vecindad que entrego el municipio en 2025 y a que vecinos</w:t>
      </w:r>
      <w:r w:rsidRPr="0068276B">
        <w:rPr>
          <w:rFonts w:ascii="Palatino Linotype" w:eastAsia="Palatino Linotype" w:hAnsi="Palatino Linotype" w:cs="Palatino Linotype"/>
          <w:i/>
        </w:rPr>
        <w:t xml:space="preserve">”. </w:t>
      </w:r>
    </w:p>
    <w:p w14:paraId="2F55A366" w14:textId="77777777" w:rsidR="00691771" w:rsidRPr="0068276B" w:rsidRDefault="00691771">
      <w:pPr>
        <w:spacing w:after="0" w:line="360" w:lineRule="auto"/>
        <w:ind w:right="49"/>
        <w:jc w:val="both"/>
        <w:rPr>
          <w:rFonts w:ascii="Palatino Linotype" w:eastAsia="Palatino Linotype" w:hAnsi="Palatino Linotype" w:cs="Palatino Linotype"/>
          <w:b/>
        </w:rPr>
      </w:pPr>
    </w:p>
    <w:p w14:paraId="036A57F3" w14:textId="77777777" w:rsidR="006402E7" w:rsidRPr="0068276B" w:rsidRDefault="007226AA">
      <w:pP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b/>
        </w:rPr>
        <w:t>Modalidad elegida para la entrega de la información:</w:t>
      </w:r>
      <w:r w:rsidRPr="0068276B">
        <w:rPr>
          <w:rFonts w:ascii="Palatino Linotype" w:eastAsia="Palatino Linotype" w:hAnsi="Palatino Linotype" w:cs="Palatino Linotype"/>
        </w:rPr>
        <w:t xml:space="preserve"> a través del Sistema de Acceso a la Información Mexiquense (SAIMEX). </w:t>
      </w:r>
    </w:p>
    <w:p w14:paraId="21BCBB3A" w14:textId="77777777" w:rsidR="006402E7" w:rsidRPr="0068276B" w:rsidRDefault="006402E7">
      <w:pPr>
        <w:spacing w:after="0" w:line="360" w:lineRule="auto"/>
        <w:ind w:right="49"/>
        <w:jc w:val="both"/>
        <w:rPr>
          <w:rFonts w:ascii="Palatino Linotype" w:eastAsia="Palatino Linotype" w:hAnsi="Palatino Linotype" w:cs="Palatino Linotype"/>
        </w:rPr>
      </w:pPr>
    </w:p>
    <w:p w14:paraId="7B7ABFCC" w14:textId="784A231D" w:rsidR="006402E7" w:rsidRPr="0068276B" w:rsidRDefault="007226AA" w:rsidP="00382A6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rPr>
      </w:pPr>
      <w:r w:rsidRPr="0068276B">
        <w:rPr>
          <w:rFonts w:ascii="Palatino Linotype" w:eastAsia="Palatino Linotype" w:hAnsi="Palatino Linotype" w:cs="Palatino Linotype"/>
          <w:b/>
        </w:rPr>
        <w:t>Respuesta.</w:t>
      </w:r>
      <w:r w:rsidRPr="0068276B">
        <w:rPr>
          <w:rFonts w:ascii="Palatino Linotype" w:eastAsia="Palatino Linotype" w:hAnsi="Palatino Linotype" w:cs="Palatino Linotype"/>
        </w:rPr>
        <w:t xml:space="preserve"> Con fecha </w:t>
      </w:r>
      <w:r w:rsidR="00382A68" w:rsidRPr="0068276B">
        <w:rPr>
          <w:rFonts w:ascii="Palatino Linotype" w:eastAsia="Palatino Linotype" w:hAnsi="Palatino Linotype" w:cs="Palatino Linotype"/>
          <w:b/>
        </w:rPr>
        <w:t>veintiocho de noviembre</w:t>
      </w:r>
      <w:r w:rsidRPr="0068276B">
        <w:rPr>
          <w:rFonts w:ascii="Palatino Linotype" w:eastAsia="Palatino Linotype" w:hAnsi="Palatino Linotype" w:cs="Palatino Linotype"/>
          <w:b/>
        </w:rPr>
        <w:t xml:space="preserve"> de dos mil veinticinco</w:t>
      </w:r>
      <w:r w:rsidRPr="0068276B">
        <w:rPr>
          <w:rFonts w:ascii="Palatino Linotype" w:eastAsia="Palatino Linotype" w:hAnsi="Palatino Linotype" w:cs="Palatino Linotype"/>
        </w:rPr>
        <w:t xml:space="preserve">, el </w:t>
      </w:r>
      <w:r w:rsidRPr="0068276B">
        <w:rPr>
          <w:rFonts w:ascii="Palatino Linotype" w:eastAsia="Palatino Linotype" w:hAnsi="Palatino Linotype" w:cs="Palatino Linotype"/>
          <w:b/>
        </w:rPr>
        <w:t>SUJETO OBLIGADO</w:t>
      </w:r>
      <w:r w:rsidRPr="0068276B">
        <w:rPr>
          <w:rFonts w:ascii="Palatino Linotype" w:eastAsia="Palatino Linotype" w:hAnsi="Palatino Linotype" w:cs="Palatino Linotype"/>
        </w:rPr>
        <w:t xml:space="preserve"> envió su respuesta a la solicitud de acceso a la información a través del SAIMEX, </w:t>
      </w:r>
      <w:r w:rsidR="00DD2EA8" w:rsidRPr="0068276B">
        <w:rPr>
          <w:rFonts w:ascii="Palatino Linotype" w:eastAsia="Palatino Linotype" w:hAnsi="Palatino Linotype" w:cs="Palatino Linotype"/>
        </w:rPr>
        <w:t xml:space="preserve">la cual fue del conocimiento de las partes. </w:t>
      </w:r>
    </w:p>
    <w:p w14:paraId="2F1CF610" w14:textId="2BDCB660" w:rsidR="006402E7" w:rsidRPr="0068276B" w:rsidRDefault="007226A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8276B">
        <w:rPr>
          <w:rFonts w:ascii="Palatino Linotype" w:eastAsia="Palatino Linotype" w:hAnsi="Palatino Linotype" w:cs="Palatino Linotype"/>
          <w:b/>
        </w:rPr>
        <w:lastRenderedPageBreak/>
        <w:t xml:space="preserve">Recurso de Revisión. </w:t>
      </w:r>
      <w:r w:rsidRPr="0068276B">
        <w:rPr>
          <w:rFonts w:ascii="Palatino Linotype" w:eastAsia="Palatino Linotype" w:hAnsi="Palatino Linotype" w:cs="Palatino Linotype"/>
        </w:rPr>
        <w:t xml:space="preserve">El Particular, derivado de la respuesta del </w:t>
      </w:r>
      <w:r w:rsidRPr="0068276B">
        <w:rPr>
          <w:rFonts w:ascii="Palatino Linotype" w:eastAsia="Palatino Linotype" w:hAnsi="Palatino Linotype" w:cs="Palatino Linotype"/>
          <w:b/>
        </w:rPr>
        <w:t>SUJETO OBLIGADO</w:t>
      </w:r>
      <w:r w:rsidRPr="0068276B">
        <w:rPr>
          <w:rFonts w:ascii="Palatino Linotype" w:eastAsia="Palatino Linotype" w:hAnsi="Palatino Linotype" w:cs="Palatino Linotype"/>
        </w:rPr>
        <w:t xml:space="preserve"> interpuso Recurso de Revisión a través del </w:t>
      </w:r>
      <w:r w:rsidRPr="0068276B">
        <w:rPr>
          <w:rFonts w:ascii="Palatino Linotype" w:eastAsia="Palatino Linotype" w:hAnsi="Palatino Linotype" w:cs="Palatino Linotype"/>
          <w:b/>
        </w:rPr>
        <w:t>SAIMEX</w:t>
      </w:r>
      <w:r w:rsidRPr="0068276B">
        <w:rPr>
          <w:rFonts w:ascii="Palatino Linotype" w:eastAsia="Palatino Linotype" w:hAnsi="Palatino Linotype" w:cs="Palatino Linotype"/>
        </w:rPr>
        <w:t xml:space="preserve"> en fecha </w:t>
      </w:r>
      <w:r w:rsidR="00382A68" w:rsidRPr="0068276B">
        <w:rPr>
          <w:rFonts w:ascii="Palatino Linotype" w:eastAsia="Palatino Linotype" w:hAnsi="Palatino Linotype" w:cs="Palatino Linotype"/>
          <w:b/>
        </w:rPr>
        <w:t>diez de diciembre</w:t>
      </w:r>
      <w:r w:rsidR="00DD2EA8" w:rsidRPr="0068276B">
        <w:rPr>
          <w:rFonts w:ascii="Palatino Linotype" w:eastAsia="Palatino Linotype" w:hAnsi="Palatino Linotype" w:cs="Palatino Linotype"/>
          <w:b/>
        </w:rPr>
        <w:t xml:space="preserve"> </w:t>
      </w:r>
      <w:r w:rsidRPr="0068276B">
        <w:rPr>
          <w:rFonts w:ascii="Palatino Linotype" w:eastAsia="Palatino Linotype" w:hAnsi="Palatino Linotype" w:cs="Palatino Linotype"/>
          <w:b/>
        </w:rPr>
        <w:t>de dos mil veinticinco</w:t>
      </w:r>
      <w:r w:rsidRPr="0068276B">
        <w:rPr>
          <w:rFonts w:ascii="Palatino Linotype" w:eastAsia="Palatino Linotype" w:hAnsi="Palatino Linotype" w:cs="Palatino Linotype"/>
        </w:rPr>
        <w:t>, a través del cual expresó lo siguiente:</w:t>
      </w:r>
    </w:p>
    <w:p w14:paraId="05188E85" w14:textId="77777777" w:rsidR="006402E7" w:rsidRPr="0068276B" w:rsidRDefault="00640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A203B77" w14:textId="03FD0444" w:rsidR="006402E7" w:rsidRPr="0068276B" w:rsidRDefault="007226AA">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r w:rsidRPr="0068276B">
        <w:rPr>
          <w:rFonts w:ascii="Palatino Linotype" w:eastAsia="Palatino Linotype" w:hAnsi="Palatino Linotype" w:cs="Palatino Linotype"/>
          <w:b/>
        </w:rPr>
        <w:t xml:space="preserve">Acto impugnado. </w:t>
      </w:r>
      <w:r w:rsidRPr="0068276B">
        <w:rPr>
          <w:rFonts w:ascii="Palatino Linotype" w:eastAsia="Palatino Linotype" w:hAnsi="Palatino Linotype" w:cs="Palatino Linotype"/>
          <w:i/>
        </w:rPr>
        <w:t>“</w:t>
      </w:r>
      <w:r w:rsidR="00382A68" w:rsidRPr="0068276B">
        <w:rPr>
          <w:rFonts w:ascii="Palatino Linotype" w:eastAsia="Palatino Linotype" w:hAnsi="Palatino Linotype" w:cs="Palatino Linotype"/>
          <w:i/>
        </w:rPr>
        <w:t>No es la información solicita falta información</w:t>
      </w:r>
      <w:r w:rsidRPr="0068276B">
        <w:rPr>
          <w:rFonts w:ascii="Palatino Linotype" w:eastAsia="Palatino Linotype" w:hAnsi="Palatino Linotype" w:cs="Palatino Linotype"/>
          <w:i/>
        </w:rPr>
        <w:t>”.</w:t>
      </w:r>
    </w:p>
    <w:p w14:paraId="61961214" w14:textId="77777777" w:rsidR="006402E7" w:rsidRPr="0068276B" w:rsidRDefault="006402E7">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p>
    <w:p w14:paraId="55407EE7" w14:textId="070545F3" w:rsidR="006402E7" w:rsidRPr="0068276B" w:rsidRDefault="007226AA">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rPr>
      </w:pPr>
      <w:r w:rsidRPr="0068276B">
        <w:rPr>
          <w:rFonts w:ascii="Palatino Linotype" w:eastAsia="Palatino Linotype" w:hAnsi="Palatino Linotype" w:cs="Palatino Linotype"/>
          <w:b/>
        </w:rPr>
        <w:t>Razones o motivos de la inconformidad</w:t>
      </w:r>
      <w:r w:rsidRPr="0068276B">
        <w:rPr>
          <w:rFonts w:ascii="Palatino Linotype" w:eastAsia="Palatino Linotype" w:hAnsi="Palatino Linotype" w:cs="Palatino Linotype"/>
        </w:rPr>
        <w:t xml:space="preserve">: </w:t>
      </w:r>
      <w:r w:rsidRPr="0068276B">
        <w:rPr>
          <w:rFonts w:ascii="Palatino Linotype" w:eastAsia="Palatino Linotype" w:hAnsi="Palatino Linotype" w:cs="Palatino Linotype"/>
          <w:i/>
        </w:rPr>
        <w:t>“</w:t>
      </w:r>
      <w:r w:rsidR="00382A68" w:rsidRPr="0068276B">
        <w:rPr>
          <w:rFonts w:ascii="Palatino Linotype" w:eastAsia="Palatino Linotype" w:hAnsi="Palatino Linotype" w:cs="Palatino Linotype"/>
          <w:i/>
        </w:rPr>
        <w:t>No es la información solicita falta información</w:t>
      </w:r>
      <w:r w:rsidRPr="0068276B">
        <w:rPr>
          <w:rFonts w:ascii="Palatino Linotype" w:eastAsia="Palatino Linotype" w:hAnsi="Palatino Linotype" w:cs="Palatino Linotype"/>
          <w:i/>
        </w:rPr>
        <w:t xml:space="preserve">”. </w:t>
      </w:r>
    </w:p>
    <w:p w14:paraId="26514481" w14:textId="77777777" w:rsidR="006402E7" w:rsidRPr="0068276B" w:rsidRDefault="006402E7">
      <w:pPr>
        <w:spacing w:after="0" w:line="360" w:lineRule="auto"/>
        <w:ind w:right="49"/>
        <w:jc w:val="both"/>
        <w:rPr>
          <w:rFonts w:ascii="Palatino Linotype" w:eastAsia="Palatino Linotype" w:hAnsi="Palatino Linotype" w:cs="Palatino Linotype"/>
        </w:rPr>
      </w:pPr>
    </w:p>
    <w:p w14:paraId="16BDC183" w14:textId="33B4A5DB" w:rsidR="006402E7" w:rsidRPr="0068276B" w:rsidRDefault="007226A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8276B">
        <w:rPr>
          <w:rFonts w:ascii="Palatino Linotype" w:eastAsia="Palatino Linotype" w:hAnsi="Palatino Linotype" w:cs="Palatino Linotype"/>
          <w:b/>
        </w:rPr>
        <w:t>Turno.</w:t>
      </w:r>
      <w:r w:rsidRPr="0068276B">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382A68" w:rsidRPr="0068276B">
        <w:rPr>
          <w:rFonts w:ascii="Palatino Linotype" w:eastAsia="Palatino Linotype" w:hAnsi="Palatino Linotype" w:cs="Palatino Linotype"/>
          <w:b/>
        </w:rPr>
        <w:t>14089</w:t>
      </w:r>
      <w:r w:rsidRPr="0068276B">
        <w:rPr>
          <w:rFonts w:ascii="Palatino Linotype" w:eastAsia="Palatino Linotype" w:hAnsi="Palatino Linotype" w:cs="Palatino Linotype"/>
          <w:b/>
        </w:rPr>
        <w:t>/INFOEM/IP/RR/2025</w:t>
      </w:r>
      <w:r w:rsidRPr="0068276B">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08B57E5C" w14:textId="77777777" w:rsidR="006402E7" w:rsidRPr="0068276B" w:rsidRDefault="00640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5BD32A4" w14:textId="72F7701C" w:rsidR="006402E7" w:rsidRPr="0068276B" w:rsidRDefault="007226A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8276B">
        <w:rPr>
          <w:rFonts w:ascii="Palatino Linotype" w:eastAsia="Palatino Linotype" w:hAnsi="Palatino Linotype" w:cs="Palatino Linotype"/>
          <w:b/>
        </w:rPr>
        <w:t>Admisión del recurso de revisión</w:t>
      </w:r>
      <w:r w:rsidRPr="0068276B">
        <w:rPr>
          <w:rFonts w:ascii="Palatino Linotype" w:eastAsia="Palatino Linotype" w:hAnsi="Palatino Linotype" w:cs="Palatino Linotype"/>
        </w:rPr>
        <w:t xml:space="preserve">: En fecha </w:t>
      </w:r>
      <w:r w:rsidR="00382A68" w:rsidRPr="0068276B">
        <w:rPr>
          <w:rFonts w:ascii="Palatino Linotype" w:eastAsia="Palatino Linotype" w:hAnsi="Palatino Linotype" w:cs="Palatino Linotype"/>
          <w:b/>
        </w:rPr>
        <w:t>quince de diciembre</w:t>
      </w:r>
      <w:r w:rsidRPr="0068276B">
        <w:rPr>
          <w:rFonts w:ascii="Palatino Linotype" w:eastAsia="Palatino Linotype" w:hAnsi="Palatino Linotype" w:cs="Palatino Linotype"/>
          <w:b/>
        </w:rPr>
        <w:t xml:space="preserve"> de dos mil veinticinco</w:t>
      </w:r>
      <w:r w:rsidRPr="0068276B">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364C7F4B" w14:textId="77777777" w:rsidR="006402E7" w:rsidRPr="0068276B" w:rsidRDefault="006402E7">
      <w:pPr>
        <w:pBdr>
          <w:top w:val="nil"/>
          <w:left w:val="nil"/>
          <w:bottom w:val="nil"/>
          <w:right w:val="nil"/>
          <w:between w:val="nil"/>
        </w:pBdr>
        <w:ind w:left="720"/>
        <w:rPr>
          <w:rFonts w:ascii="Palatino Linotype" w:eastAsia="Palatino Linotype" w:hAnsi="Palatino Linotype" w:cs="Palatino Linotype"/>
        </w:rPr>
      </w:pPr>
    </w:p>
    <w:p w14:paraId="2FBC1F30" w14:textId="148D5894" w:rsidR="006402E7" w:rsidRPr="0068276B" w:rsidRDefault="007226AA" w:rsidP="00DD2EA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68276B">
        <w:rPr>
          <w:rFonts w:ascii="Palatino Linotype" w:eastAsia="Palatino Linotype" w:hAnsi="Palatino Linotype" w:cs="Palatino Linotype"/>
          <w:b/>
        </w:rPr>
        <w:t xml:space="preserve">Manifestaciones. </w:t>
      </w:r>
      <w:r w:rsidRPr="0068276B">
        <w:rPr>
          <w:rFonts w:ascii="Palatino Linotype" w:eastAsia="Palatino Linotype" w:hAnsi="Palatino Linotype" w:cs="Palatino Linotype"/>
        </w:rPr>
        <w:t xml:space="preserve">En fecha </w:t>
      </w:r>
      <w:r w:rsidR="00382A68" w:rsidRPr="0068276B">
        <w:rPr>
          <w:rFonts w:ascii="Palatino Linotype" w:eastAsia="Palatino Linotype" w:hAnsi="Palatino Linotype" w:cs="Palatino Linotype"/>
          <w:b/>
        </w:rPr>
        <w:t>ocho y trece de enero</w:t>
      </w:r>
      <w:r w:rsidRPr="0068276B">
        <w:rPr>
          <w:rFonts w:ascii="Palatino Linotype" w:eastAsia="Palatino Linotype" w:hAnsi="Palatino Linotype" w:cs="Palatino Linotype"/>
          <w:b/>
        </w:rPr>
        <w:t xml:space="preserve"> de dos mil </w:t>
      </w:r>
      <w:r w:rsidR="00382A68" w:rsidRPr="0068276B">
        <w:rPr>
          <w:rFonts w:ascii="Palatino Linotype" w:eastAsia="Palatino Linotype" w:hAnsi="Palatino Linotype" w:cs="Palatino Linotype"/>
          <w:b/>
        </w:rPr>
        <w:t>veintiséis</w:t>
      </w:r>
      <w:r w:rsidRPr="0068276B">
        <w:rPr>
          <w:rFonts w:ascii="Palatino Linotype" w:eastAsia="Palatino Linotype" w:hAnsi="Palatino Linotype" w:cs="Palatino Linotype"/>
        </w:rPr>
        <w:t xml:space="preserve">, </w:t>
      </w:r>
      <w:r w:rsidR="00DD2EA8" w:rsidRPr="0068276B">
        <w:rPr>
          <w:rFonts w:ascii="Palatino Linotype" w:eastAsia="Palatino Linotype" w:hAnsi="Palatino Linotype" w:cs="Palatino Linotype"/>
        </w:rPr>
        <w:t xml:space="preserve">el </w:t>
      </w:r>
      <w:r w:rsidR="00DD2EA8" w:rsidRPr="0068276B">
        <w:rPr>
          <w:rFonts w:ascii="Palatino Linotype" w:eastAsia="Palatino Linotype" w:hAnsi="Palatino Linotype" w:cs="Palatino Linotype"/>
          <w:b/>
        </w:rPr>
        <w:t xml:space="preserve">SUJETO OBLIGADO </w:t>
      </w:r>
      <w:r w:rsidR="00DD2EA8" w:rsidRPr="0068276B">
        <w:rPr>
          <w:rFonts w:ascii="Palatino Linotype" w:eastAsia="Palatino Linotype" w:hAnsi="Palatino Linotype" w:cs="Palatino Linotype"/>
        </w:rPr>
        <w:t xml:space="preserve">rindió su informe justificado, mediante el cual ratificó su respuesta inicial. </w:t>
      </w:r>
    </w:p>
    <w:p w14:paraId="5F053E17" w14:textId="77777777" w:rsidR="00DD2EA8" w:rsidRPr="0068276B" w:rsidRDefault="00DD2EA8" w:rsidP="00DD2E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72BE766" w14:textId="2AE06A18" w:rsidR="00DD2EA8" w:rsidRPr="0068276B" w:rsidRDefault="00DD2EA8" w:rsidP="00DD2EA8">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68276B">
        <w:rPr>
          <w:rFonts w:ascii="Palatino Linotype" w:eastAsia="Palatino Linotype" w:hAnsi="Palatino Linotype" w:cs="Palatino Linotype"/>
        </w:rPr>
        <w:t xml:space="preserve">El documento se hizo del conocimiento el </w:t>
      </w:r>
      <w:r w:rsidR="00382A68" w:rsidRPr="0068276B">
        <w:rPr>
          <w:rFonts w:ascii="Palatino Linotype" w:eastAsia="Palatino Linotype" w:hAnsi="Palatino Linotype" w:cs="Palatino Linotype"/>
          <w:b/>
        </w:rPr>
        <w:t xml:space="preserve">veintinueve de enero de dos mil veintiséis. </w:t>
      </w:r>
    </w:p>
    <w:p w14:paraId="1A59153D" w14:textId="77777777" w:rsidR="00DD2EA8" w:rsidRPr="0068276B" w:rsidRDefault="00DD2EA8" w:rsidP="00DD2EA8">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66908F30" w14:textId="77777777" w:rsidR="00DD2EA8" w:rsidRPr="0068276B" w:rsidRDefault="00DD2EA8" w:rsidP="00DD2E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rPr>
        <w:lastRenderedPageBreak/>
        <w:t xml:space="preserve">La parte Recurrente no realizó manifestaciones. </w:t>
      </w:r>
    </w:p>
    <w:p w14:paraId="55B15487" w14:textId="77777777" w:rsidR="007774A8" w:rsidRPr="0068276B" w:rsidRDefault="007774A8" w:rsidP="00DD2E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1E232C9" w14:textId="07CF5345" w:rsidR="006402E7" w:rsidRPr="0068276B" w:rsidRDefault="00DD2EA8" w:rsidP="00382A68">
      <w:pPr>
        <w:spacing w:after="0" w:line="360" w:lineRule="auto"/>
        <w:jc w:val="both"/>
        <w:rPr>
          <w:rFonts w:ascii="Palatino Linotype" w:eastAsia="Palatino Linotype" w:hAnsi="Palatino Linotype" w:cs="Palatino Linotype"/>
        </w:rPr>
      </w:pPr>
      <w:r w:rsidRPr="0068276B">
        <w:rPr>
          <w:rFonts w:ascii="Palatino Linotype" w:eastAsia="Palatino Linotype" w:hAnsi="Palatino Linotype" w:cs="Palatino Linotype"/>
          <w:b/>
        </w:rPr>
        <w:t>8</w:t>
      </w:r>
      <w:r w:rsidR="007226AA" w:rsidRPr="0068276B">
        <w:rPr>
          <w:rFonts w:ascii="Palatino Linotype" w:eastAsia="Palatino Linotype" w:hAnsi="Palatino Linotype" w:cs="Palatino Linotype"/>
          <w:b/>
        </w:rPr>
        <w:t>. Cierre de instrucción</w:t>
      </w:r>
      <w:r w:rsidR="007226AA" w:rsidRPr="0068276B">
        <w:rPr>
          <w:rFonts w:ascii="Palatino Linotype" w:eastAsia="Palatino Linotype" w:hAnsi="Palatino Linotype" w:cs="Palatino Linotype"/>
        </w:rPr>
        <w:t xml:space="preserve">. En fecha </w:t>
      </w:r>
      <w:r w:rsidR="00382A68" w:rsidRPr="0068276B">
        <w:rPr>
          <w:rFonts w:ascii="Palatino Linotype" w:eastAsia="Palatino Linotype" w:hAnsi="Palatino Linotype" w:cs="Palatino Linotype"/>
          <w:b/>
        </w:rPr>
        <w:t>cinco de febrero</w:t>
      </w:r>
      <w:r w:rsidR="007226AA" w:rsidRPr="0068276B">
        <w:rPr>
          <w:rFonts w:ascii="Palatino Linotype" w:eastAsia="Palatino Linotype" w:hAnsi="Palatino Linotype" w:cs="Palatino Linotype"/>
          <w:b/>
        </w:rPr>
        <w:t xml:space="preserve"> de dos mil </w:t>
      </w:r>
      <w:r w:rsidR="00382A68" w:rsidRPr="0068276B">
        <w:rPr>
          <w:rFonts w:ascii="Palatino Linotype" w:eastAsia="Palatino Linotype" w:hAnsi="Palatino Linotype" w:cs="Palatino Linotype"/>
          <w:b/>
        </w:rPr>
        <w:t>veintiséis</w:t>
      </w:r>
      <w:r w:rsidR="007226AA" w:rsidRPr="0068276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DC32328" w14:textId="77777777" w:rsidR="006402E7" w:rsidRPr="0068276B" w:rsidRDefault="006402E7">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5228A313" w14:textId="77777777" w:rsidR="00DD2EA8" w:rsidRPr="0068276B" w:rsidRDefault="007226AA">
      <w:pP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C04FF2B" w14:textId="77777777" w:rsidR="006402E7" w:rsidRPr="0068276B" w:rsidRDefault="006402E7">
      <w:pPr>
        <w:spacing w:after="0" w:line="360" w:lineRule="auto"/>
        <w:ind w:right="49"/>
        <w:jc w:val="both"/>
        <w:rPr>
          <w:rFonts w:ascii="Palatino Linotype" w:eastAsia="Palatino Linotype" w:hAnsi="Palatino Linotype" w:cs="Palatino Linotype"/>
        </w:rPr>
      </w:pPr>
    </w:p>
    <w:p w14:paraId="66BE0AB5" w14:textId="77777777" w:rsidR="006402E7" w:rsidRPr="0068276B" w:rsidRDefault="007226AA">
      <w:pPr>
        <w:spacing w:after="0" w:line="360" w:lineRule="auto"/>
        <w:ind w:right="49"/>
        <w:jc w:val="center"/>
        <w:rPr>
          <w:rFonts w:ascii="Palatino Linotype" w:eastAsia="Palatino Linotype" w:hAnsi="Palatino Linotype" w:cs="Palatino Linotype"/>
          <w:b/>
        </w:rPr>
      </w:pPr>
      <w:r w:rsidRPr="0068276B">
        <w:rPr>
          <w:rFonts w:ascii="Palatino Linotype" w:eastAsia="Palatino Linotype" w:hAnsi="Palatino Linotype" w:cs="Palatino Linotype"/>
          <w:b/>
        </w:rPr>
        <w:t>II.</w:t>
      </w:r>
      <w:r w:rsidRPr="0068276B">
        <w:rPr>
          <w:rFonts w:ascii="Palatino Linotype" w:eastAsia="Palatino Linotype" w:hAnsi="Palatino Linotype" w:cs="Palatino Linotype"/>
          <w:b/>
        </w:rPr>
        <w:tab/>
        <w:t>C O N S I D E R A N D O:</w:t>
      </w:r>
    </w:p>
    <w:p w14:paraId="23ADA5C9" w14:textId="77777777" w:rsidR="006402E7" w:rsidRPr="0068276B" w:rsidRDefault="006402E7">
      <w:pPr>
        <w:spacing w:after="0" w:line="360" w:lineRule="auto"/>
        <w:ind w:right="49"/>
        <w:jc w:val="both"/>
        <w:rPr>
          <w:rFonts w:ascii="Palatino Linotype" w:eastAsia="Palatino Linotype" w:hAnsi="Palatino Linotype" w:cs="Palatino Linotype"/>
        </w:rPr>
      </w:pPr>
    </w:p>
    <w:p w14:paraId="57BDD64D" w14:textId="77777777" w:rsidR="006402E7" w:rsidRPr="0068276B" w:rsidRDefault="00DD2EA8" w:rsidP="00DD2EA8">
      <w:pPr>
        <w:spacing w:after="0" w:line="360" w:lineRule="auto"/>
        <w:jc w:val="both"/>
        <w:rPr>
          <w:rFonts w:ascii="Palatino Linotype" w:eastAsia="Palatino Linotype" w:hAnsi="Palatino Linotype" w:cs="Palatino Linotype"/>
        </w:rPr>
      </w:pPr>
      <w:r w:rsidRPr="0068276B">
        <w:rPr>
          <w:rFonts w:ascii="Palatino Linotype" w:eastAsia="Palatino Linotype" w:hAnsi="Palatino Linotype" w:cs="Palatino Linotype"/>
          <w:b/>
        </w:rPr>
        <w:t>Primero. Competencia.</w:t>
      </w:r>
      <w:r w:rsidRPr="0068276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68276B">
        <w:t xml:space="preserve"> </w:t>
      </w:r>
      <w:r w:rsidRPr="0068276B">
        <w:rPr>
          <w:rFonts w:ascii="Palatino Linotype" w:eastAsia="Palatino Linotype" w:hAnsi="Palatino Linotype" w:cs="Palatino Linotype"/>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8D33059" w14:textId="77777777" w:rsidR="00DD2EA8" w:rsidRPr="0068276B" w:rsidRDefault="00DD2EA8" w:rsidP="00DD2EA8">
      <w:pPr>
        <w:spacing w:after="0" w:line="360" w:lineRule="auto"/>
        <w:jc w:val="both"/>
        <w:rPr>
          <w:rFonts w:ascii="Palatino Linotype" w:eastAsia="Palatino Linotype" w:hAnsi="Palatino Linotype" w:cs="Palatino Linotype"/>
        </w:rPr>
      </w:pPr>
    </w:p>
    <w:p w14:paraId="1F1CE7FA" w14:textId="4218BD5B" w:rsidR="006402E7" w:rsidRPr="0068276B" w:rsidRDefault="007226AA">
      <w:pP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b/>
        </w:rPr>
        <w:t>Segundo. Oportunidad y Procedibilidad del Recurso de Revisión.</w:t>
      </w:r>
      <w:r w:rsidRPr="0068276B">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0F04B176" w14:textId="77777777" w:rsidR="007774A8" w:rsidRPr="0068276B" w:rsidRDefault="007774A8">
      <w:pPr>
        <w:spacing w:after="0" w:line="360" w:lineRule="auto"/>
        <w:ind w:right="49"/>
        <w:jc w:val="both"/>
        <w:rPr>
          <w:rFonts w:ascii="Palatino Linotype" w:eastAsia="Palatino Linotype" w:hAnsi="Palatino Linotype" w:cs="Palatino Linotype"/>
        </w:rPr>
      </w:pPr>
    </w:p>
    <w:p w14:paraId="32FC2C00" w14:textId="1356F80C" w:rsidR="006402E7" w:rsidRPr="0068276B" w:rsidRDefault="007226AA">
      <w:pP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68276B">
        <w:rPr>
          <w:rFonts w:ascii="Palatino Linotype" w:eastAsia="Palatino Linotype" w:hAnsi="Palatino Linotype" w:cs="Palatino Linotype"/>
          <w:b/>
        </w:rPr>
        <w:t>SUJETO OBLIGADO</w:t>
      </w:r>
      <w:r w:rsidRPr="0068276B">
        <w:rPr>
          <w:rFonts w:ascii="Palatino Linotype" w:eastAsia="Palatino Linotype" w:hAnsi="Palatino Linotype" w:cs="Palatino Linotype"/>
        </w:rPr>
        <w:t xml:space="preserve"> remitió la respuesta a la solicitud de información el </w:t>
      </w:r>
      <w:r w:rsidR="00382A68" w:rsidRPr="0068276B">
        <w:rPr>
          <w:rFonts w:ascii="Palatino Linotype" w:eastAsia="Palatino Linotype" w:hAnsi="Palatino Linotype" w:cs="Palatino Linotype"/>
          <w:b/>
        </w:rPr>
        <w:t>veintiocho de noviembre de dos mil veinticinco</w:t>
      </w:r>
      <w:r w:rsidRPr="0068276B">
        <w:rPr>
          <w:rFonts w:ascii="Palatino Linotype" w:eastAsia="Palatino Linotype" w:hAnsi="Palatino Linotype" w:cs="Palatino Linotype"/>
        </w:rPr>
        <w:t xml:space="preserve">, mientras que el recurso de revisión interpuesto por la parte </w:t>
      </w:r>
      <w:r w:rsidRPr="0068276B">
        <w:rPr>
          <w:rFonts w:ascii="Palatino Linotype" w:eastAsia="Palatino Linotype" w:hAnsi="Palatino Linotype" w:cs="Palatino Linotype"/>
          <w:b/>
        </w:rPr>
        <w:t xml:space="preserve">RECURRENTE </w:t>
      </w:r>
      <w:r w:rsidRPr="0068276B">
        <w:rPr>
          <w:rFonts w:ascii="Palatino Linotype" w:eastAsia="Palatino Linotype" w:hAnsi="Palatino Linotype" w:cs="Palatino Linotype"/>
        </w:rPr>
        <w:t xml:space="preserve">se tuvo por presentado el </w:t>
      </w:r>
      <w:r w:rsidR="00382A68" w:rsidRPr="0068276B">
        <w:rPr>
          <w:rFonts w:ascii="Palatino Linotype" w:eastAsia="Palatino Linotype" w:hAnsi="Palatino Linotype" w:cs="Palatino Linotype"/>
          <w:b/>
        </w:rPr>
        <w:t>diez de diciembre</w:t>
      </w:r>
      <w:r w:rsidRPr="0068276B">
        <w:rPr>
          <w:rFonts w:ascii="Palatino Linotype" w:eastAsia="Palatino Linotype" w:hAnsi="Palatino Linotype" w:cs="Palatino Linotype"/>
          <w:b/>
        </w:rPr>
        <w:t xml:space="preserve"> de dos mil veinticinco</w:t>
      </w:r>
      <w:r w:rsidR="00DD2EA8" w:rsidRPr="0068276B">
        <w:rPr>
          <w:rFonts w:ascii="Palatino Linotype" w:eastAsia="Palatino Linotype" w:hAnsi="Palatino Linotype" w:cs="Palatino Linotype"/>
        </w:rPr>
        <w:t xml:space="preserve">, esto es al </w:t>
      </w:r>
      <w:r w:rsidR="00382A68" w:rsidRPr="0068276B">
        <w:rPr>
          <w:rFonts w:ascii="Palatino Linotype" w:eastAsia="Palatino Linotype" w:hAnsi="Palatino Linotype" w:cs="Palatino Linotype"/>
        </w:rPr>
        <w:t>octavo día</w:t>
      </w:r>
      <w:r w:rsidR="00DD2EA8" w:rsidRPr="0068276B">
        <w:rPr>
          <w:rFonts w:ascii="Palatino Linotype" w:eastAsia="Palatino Linotype" w:hAnsi="Palatino Linotype" w:cs="Palatino Linotype"/>
        </w:rPr>
        <w:t xml:space="preserve"> en que tuvo conocimiento de la respuesta. </w:t>
      </w:r>
    </w:p>
    <w:p w14:paraId="0F30CF19" w14:textId="77777777" w:rsidR="00DD2EA8" w:rsidRPr="0068276B" w:rsidRDefault="00DD2EA8">
      <w:pPr>
        <w:spacing w:after="0" w:line="360" w:lineRule="auto"/>
        <w:ind w:right="49"/>
        <w:jc w:val="both"/>
        <w:rPr>
          <w:rFonts w:ascii="Palatino Linotype" w:eastAsia="Palatino Linotype" w:hAnsi="Palatino Linotype" w:cs="Palatino Linotype"/>
        </w:rPr>
      </w:pPr>
    </w:p>
    <w:p w14:paraId="5E85B66A" w14:textId="77777777" w:rsidR="006402E7" w:rsidRPr="0068276B" w:rsidRDefault="007226AA">
      <w:pP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rPr>
        <w:t xml:space="preserve">En este sentido, al considerar la fecha en que se formuló la solicitud y la fecha en que respondió a esta el </w:t>
      </w:r>
      <w:r w:rsidRPr="0068276B">
        <w:rPr>
          <w:rFonts w:ascii="Palatino Linotype" w:eastAsia="Palatino Linotype" w:hAnsi="Palatino Linotype" w:cs="Palatino Linotype"/>
          <w:b/>
        </w:rPr>
        <w:t>SUJETO OBLIGADO</w:t>
      </w:r>
      <w:r w:rsidRPr="0068276B">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4AB3F386" w14:textId="77777777" w:rsidR="006402E7" w:rsidRPr="0068276B" w:rsidRDefault="006402E7">
      <w:pPr>
        <w:spacing w:after="0" w:line="360" w:lineRule="auto"/>
        <w:ind w:right="49"/>
        <w:jc w:val="both"/>
        <w:rPr>
          <w:rFonts w:ascii="Palatino Linotype" w:eastAsia="Palatino Linotype" w:hAnsi="Palatino Linotype" w:cs="Palatino Linotype"/>
        </w:rPr>
      </w:pPr>
    </w:p>
    <w:p w14:paraId="74922E8C" w14:textId="570E02FE" w:rsidR="006402E7" w:rsidRPr="0068276B" w:rsidRDefault="007226AA">
      <w:pPr>
        <w:spacing w:after="0" w:line="360" w:lineRule="auto"/>
        <w:jc w:val="both"/>
        <w:rPr>
          <w:rFonts w:ascii="Palatino Linotype" w:eastAsia="Palatino Linotype" w:hAnsi="Palatino Linotype" w:cs="Palatino Linotype"/>
        </w:rPr>
      </w:pPr>
      <w:r w:rsidRPr="0068276B">
        <w:rPr>
          <w:rFonts w:ascii="Palatino Linotype" w:eastAsia="Palatino Linotype" w:hAnsi="Palatino Linotype" w:cs="Palatino Linotype"/>
        </w:rPr>
        <w:t>Es de suma importancia mencionar que si bien la parte</w:t>
      </w:r>
      <w:r w:rsidR="00DD2EA8" w:rsidRPr="0068276B">
        <w:rPr>
          <w:rFonts w:ascii="Palatino Linotype" w:eastAsia="Palatino Linotype" w:hAnsi="Palatino Linotype" w:cs="Palatino Linotype"/>
        </w:rPr>
        <w:t xml:space="preserve"> Recurrente</w:t>
      </w:r>
      <w:r w:rsidRPr="0068276B">
        <w:rPr>
          <w:rFonts w:ascii="Palatino Linotype" w:eastAsia="Palatino Linotype" w:hAnsi="Palatino Linotype" w:cs="Palatino Linotype"/>
        </w:rPr>
        <w:t xml:space="preserve"> </w:t>
      </w:r>
      <w:r w:rsidR="00DD2EA8" w:rsidRPr="0068276B">
        <w:rPr>
          <w:rFonts w:ascii="Palatino Linotype" w:eastAsia="Palatino Linotype" w:hAnsi="Palatino Linotype" w:cs="Palatino Linotype"/>
        </w:rPr>
        <w:t xml:space="preserve">no </w:t>
      </w:r>
      <w:r w:rsidRPr="0068276B">
        <w:rPr>
          <w:rFonts w:ascii="Palatino Linotype" w:eastAsia="Palatino Linotype" w:hAnsi="Palatino Linotype" w:cs="Palatino Linotype"/>
        </w:rPr>
        <w:t>proporcionó nombre</w:t>
      </w:r>
      <w:r w:rsidR="00382A68" w:rsidRPr="0068276B">
        <w:rPr>
          <w:rFonts w:ascii="Palatino Linotype" w:eastAsia="Palatino Linotype" w:hAnsi="Palatino Linotype" w:cs="Palatino Linotype"/>
        </w:rPr>
        <w:t xml:space="preserve"> o seudónimo</w:t>
      </w:r>
      <w:r w:rsidRPr="0068276B">
        <w:rPr>
          <w:rFonts w:ascii="Palatino Linotype" w:eastAsia="Palatino Linotype" w:hAnsi="Palatino Linotype" w:cs="Palatino Linotype"/>
        </w:rPr>
        <w:t xml:space="preserve">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710AD04" w14:textId="77777777" w:rsidR="006402E7" w:rsidRPr="0068276B" w:rsidRDefault="006402E7">
      <w:pPr>
        <w:spacing w:after="0" w:line="360" w:lineRule="auto"/>
        <w:jc w:val="both"/>
        <w:rPr>
          <w:rFonts w:ascii="Palatino Linotype" w:eastAsia="Palatino Linotype" w:hAnsi="Palatino Linotype" w:cs="Palatino Linotype"/>
        </w:rPr>
      </w:pPr>
    </w:p>
    <w:p w14:paraId="45CA4B8B" w14:textId="77777777" w:rsidR="006402E7" w:rsidRPr="0068276B" w:rsidRDefault="007226AA">
      <w:pPr>
        <w:spacing w:after="0" w:line="276" w:lineRule="auto"/>
        <w:ind w:left="567" w:right="843"/>
        <w:jc w:val="both"/>
        <w:rPr>
          <w:rFonts w:ascii="Palatino Linotype" w:eastAsia="Palatino Linotype" w:hAnsi="Palatino Linotype" w:cs="Palatino Linotype"/>
          <w:i/>
        </w:rPr>
      </w:pPr>
      <w:r w:rsidRPr="0068276B">
        <w:rPr>
          <w:rFonts w:ascii="Palatino Linotype" w:eastAsia="Palatino Linotype" w:hAnsi="Palatino Linotype" w:cs="Palatino Linotype"/>
          <w:i/>
        </w:rPr>
        <w:t xml:space="preserve">"Las solicitudes </w:t>
      </w:r>
      <w:r w:rsidRPr="0068276B">
        <w:rPr>
          <w:rFonts w:ascii="Palatino Linotype" w:eastAsia="Palatino Linotype" w:hAnsi="Palatino Linotype" w:cs="Palatino Linotype"/>
          <w:b/>
          <w:i/>
        </w:rPr>
        <w:t>anónimas</w:t>
      </w:r>
      <w:r w:rsidRPr="0068276B">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7CC0EC35" w14:textId="77777777" w:rsidR="006402E7" w:rsidRPr="0068276B" w:rsidRDefault="006402E7">
      <w:pPr>
        <w:spacing w:after="0" w:line="360" w:lineRule="auto"/>
        <w:ind w:right="49"/>
        <w:jc w:val="both"/>
        <w:rPr>
          <w:rFonts w:ascii="Palatino Linotype" w:eastAsia="Palatino Linotype" w:hAnsi="Palatino Linotype" w:cs="Palatino Linotype"/>
        </w:rPr>
      </w:pPr>
    </w:p>
    <w:p w14:paraId="1032AFDB" w14:textId="77777777" w:rsidR="006402E7" w:rsidRPr="0068276B" w:rsidRDefault="007226AA">
      <w:pP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68276B">
        <w:rPr>
          <w:rFonts w:ascii="Palatino Linotype" w:eastAsia="Palatino Linotype" w:hAnsi="Palatino Linotype" w:cs="Palatino Linotype"/>
          <w:b/>
        </w:rPr>
        <w:t>SAIMEX</w:t>
      </w:r>
      <w:r w:rsidRPr="0068276B">
        <w:rPr>
          <w:rFonts w:ascii="Palatino Linotype" w:eastAsia="Palatino Linotype" w:hAnsi="Palatino Linotype" w:cs="Palatino Linotype"/>
        </w:rPr>
        <w:t xml:space="preserve">.  </w:t>
      </w:r>
    </w:p>
    <w:p w14:paraId="03912F1E" w14:textId="77777777" w:rsidR="006402E7" w:rsidRPr="0068276B" w:rsidRDefault="006402E7">
      <w:pPr>
        <w:spacing w:after="0" w:line="360" w:lineRule="auto"/>
        <w:ind w:right="49"/>
        <w:jc w:val="both"/>
        <w:rPr>
          <w:rFonts w:ascii="Palatino Linotype" w:eastAsia="Palatino Linotype" w:hAnsi="Palatino Linotype" w:cs="Palatino Linotype"/>
        </w:rPr>
      </w:pPr>
    </w:p>
    <w:p w14:paraId="73C93B1B" w14:textId="77777777" w:rsidR="006402E7" w:rsidRPr="0068276B" w:rsidRDefault="007226AA">
      <w:pP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rPr>
        <w:t>Finalmente, resulta procedente la interposición del recurso de revisión al rubro anotado, toda vez que se actualizan las hipótesis de procedencia prevista</w:t>
      </w:r>
      <w:r w:rsidR="00DD2EA8" w:rsidRPr="0068276B">
        <w:rPr>
          <w:rFonts w:ascii="Palatino Linotype" w:eastAsia="Palatino Linotype" w:hAnsi="Palatino Linotype" w:cs="Palatino Linotype"/>
        </w:rPr>
        <w:t>s en el artículo 179, fracción I</w:t>
      </w:r>
      <w:r w:rsidRPr="0068276B">
        <w:rPr>
          <w:rFonts w:ascii="Palatino Linotype" w:eastAsia="Palatino Linotype" w:hAnsi="Palatino Linotype" w:cs="Palatino Linotype"/>
        </w:rPr>
        <w:t xml:space="preserve"> de la Ley de la materia, que a la letra dice:</w:t>
      </w:r>
    </w:p>
    <w:p w14:paraId="09ED7745" w14:textId="77777777" w:rsidR="006402E7" w:rsidRPr="0068276B" w:rsidRDefault="006402E7">
      <w:pPr>
        <w:spacing w:after="0" w:line="360" w:lineRule="auto"/>
        <w:ind w:right="49"/>
        <w:jc w:val="both"/>
        <w:rPr>
          <w:rFonts w:ascii="Palatino Linotype" w:eastAsia="Palatino Linotype" w:hAnsi="Palatino Linotype" w:cs="Palatino Linotype"/>
        </w:rPr>
      </w:pPr>
    </w:p>
    <w:p w14:paraId="76053A4D" w14:textId="77777777" w:rsidR="006402E7" w:rsidRPr="0068276B" w:rsidRDefault="007226AA">
      <w:pPr>
        <w:spacing w:after="0" w:line="276" w:lineRule="auto"/>
        <w:ind w:left="567" w:right="560"/>
        <w:jc w:val="both"/>
        <w:rPr>
          <w:rFonts w:ascii="Palatino Linotype" w:eastAsia="Palatino Linotype" w:hAnsi="Palatino Linotype" w:cs="Palatino Linotype"/>
          <w:i/>
        </w:rPr>
      </w:pPr>
      <w:r w:rsidRPr="0068276B">
        <w:rPr>
          <w:rFonts w:ascii="Palatino Linotype" w:eastAsia="Palatino Linotype" w:hAnsi="Palatino Linotype" w:cs="Palatino Linotype"/>
          <w:i/>
        </w:rPr>
        <w:t>“</w:t>
      </w:r>
      <w:r w:rsidRPr="0068276B">
        <w:rPr>
          <w:rFonts w:ascii="Palatino Linotype" w:eastAsia="Palatino Linotype" w:hAnsi="Palatino Linotype" w:cs="Palatino Linotype"/>
          <w:b/>
          <w:i/>
        </w:rPr>
        <w:t>Artículo 179.</w:t>
      </w:r>
      <w:r w:rsidRPr="0068276B">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19A8A91" w14:textId="77777777" w:rsidR="006402E7" w:rsidRPr="0068276B" w:rsidRDefault="007226AA">
      <w:pPr>
        <w:spacing w:after="0" w:line="276" w:lineRule="auto"/>
        <w:ind w:left="567" w:right="560"/>
        <w:jc w:val="both"/>
        <w:rPr>
          <w:rFonts w:ascii="Palatino Linotype" w:eastAsia="Palatino Linotype" w:hAnsi="Palatino Linotype" w:cs="Palatino Linotype"/>
          <w:i/>
        </w:rPr>
      </w:pPr>
      <w:r w:rsidRPr="0068276B">
        <w:rPr>
          <w:rFonts w:ascii="Palatino Linotype" w:eastAsia="Palatino Linotype" w:hAnsi="Palatino Linotype" w:cs="Palatino Linotype"/>
          <w:i/>
        </w:rPr>
        <w:t>…</w:t>
      </w:r>
    </w:p>
    <w:p w14:paraId="60C2BA69" w14:textId="77777777" w:rsidR="00DD2EA8" w:rsidRPr="0068276B" w:rsidRDefault="00DD2EA8">
      <w:pPr>
        <w:spacing w:after="0" w:line="276" w:lineRule="auto"/>
        <w:ind w:left="567" w:right="560"/>
        <w:jc w:val="both"/>
        <w:rPr>
          <w:rFonts w:ascii="Palatino Linotype" w:eastAsia="Palatino Linotype" w:hAnsi="Palatino Linotype" w:cs="Palatino Linotype"/>
          <w:i/>
        </w:rPr>
      </w:pPr>
      <w:r w:rsidRPr="0068276B">
        <w:rPr>
          <w:rFonts w:ascii="Palatino Linotype" w:eastAsia="Palatino Linotype" w:hAnsi="Palatino Linotype" w:cs="Palatino Linotype"/>
          <w:i/>
        </w:rPr>
        <w:t>I. La negativa de entrega de la información</w:t>
      </w:r>
      <w:r w:rsidR="007226AA" w:rsidRPr="0068276B">
        <w:rPr>
          <w:rFonts w:ascii="Palatino Linotype" w:eastAsia="Palatino Linotype" w:hAnsi="Palatino Linotype" w:cs="Palatino Linotype"/>
          <w:i/>
        </w:rPr>
        <w:t>;</w:t>
      </w:r>
    </w:p>
    <w:p w14:paraId="297630E7" w14:textId="77777777" w:rsidR="006402E7" w:rsidRPr="0068276B" w:rsidRDefault="007226AA">
      <w:pPr>
        <w:spacing w:after="0" w:line="276" w:lineRule="auto"/>
        <w:ind w:left="567" w:right="560"/>
        <w:jc w:val="both"/>
        <w:rPr>
          <w:rFonts w:ascii="Palatino Linotype" w:eastAsia="Palatino Linotype" w:hAnsi="Palatino Linotype" w:cs="Palatino Linotype"/>
          <w:i/>
        </w:rPr>
      </w:pPr>
      <w:r w:rsidRPr="0068276B">
        <w:rPr>
          <w:rFonts w:ascii="Palatino Linotype" w:eastAsia="Palatino Linotype" w:hAnsi="Palatino Linotype" w:cs="Palatino Linotype"/>
          <w:i/>
        </w:rPr>
        <w:t xml:space="preserve"> …</w:t>
      </w:r>
    </w:p>
    <w:p w14:paraId="363ED0D4" w14:textId="77777777" w:rsidR="00DD2EA8" w:rsidRPr="0068276B" w:rsidRDefault="00DD2EA8">
      <w:pPr>
        <w:spacing w:after="0" w:line="360" w:lineRule="auto"/>
        <w:ind w:right="49"/>
        <w:jc w:val="both"/>
        <w:rPr>
          <w:rFonts w:ascii="Palatino Linotype" w:eastAsia="Palatino Linotype" w:hAnsi="Palatino Linotype" w:cs="Palatino Linotype"/>
          <w:b/>
        </w:rPr>
      </w:pPr>
    </w:p>
    <w:p w14:paraId="22DE36B9" w14:textId="77777777" w:rsidR="006402E7" w:rsidRPr="0068276B" w:rsidRDefault="007226AA">
      <w:pP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b/>
        </w:rPr>
        <w:t>Tercero. Materia de la revisión</w:t>
      </w:r>
      <w:r w:rsidRPr="0068276B">
        <w:rPr>
          <w:rFonts w:ascii="Palatino Linotype" w:eastAsia="Palatino Linotype" w:hAnsi="Palatino Linotype" w:cs="Palatino Linotype"/>
        </w:rPr>
        <w:t>. De la revisión a las constancias y documentos que obran en el expediente electrónico se advierte, que el tema sobre el que este Organismo Garante de Transparencia y Acceso a la Información se pronunciará será en determinar, si se actualiza la hip</w:t>
      </w:r>
      <w:r w:rsidR="00DD2EA8" w:rsidRPr="0068276B">
        <w:rPr>
          <w:rFonts w:ascii="Palatino Linotype" w:eastAsia="Palatino Linotype" w:hAnsi="Palatino Linotype" w:cs="Palatino Linotype"/>
        </w:rPr>
        <w:t>ótesis prevista en la fracción I</w:t>
      </w:r>
      <w:r w:rsidRPr="0068276B">
        <w:rPr>
          <w:rFonts w:ascii="Palatino Linotype" w:eastAsia="Palatino Linotype" w:hAnsi="Palatino Linotype" w:cs="Palatino Linotype"/>
        </w:rPr>
        <w:t xml:space="preserve"> del artículo 179 de la Ley en la materia. </w:t>
      </w:r>
    </w:p>
    <w:p w14:paraId="4F95BD5D" w14:textId="77777777" w:rsidR="00382A68" w:rsidRPr="0068276B" w:rsidRDefault="00382A68">
      <w:pPr>
        <w:spacing w:after="0" w:line="360" w:lineRule="auto"/>
        <w:ind w:right="49"/>
        <w:jc w:val="both"/>
        <w:rPr>
          <w:rFonts w:ascii="Palatino Linotype" w:eastAsia="Palatino Linotype" w:hAnsi="Palatino Linotype" w:cs="Palatino Linotype"/>
        </w:rPr>
      </w:pPr>
    </w:p>
    <w:p w14:paraId="36257458" w14:textId="3E8E7E17" w:rsidR="00DD2EA8" w:rsidRPr="0068276B" w:rsidRDefault="00DD2EA8" w:rsidP="00DD2EA8">
      <w:pPr>
        <w:spacing w:after="0" w:line="360" w:lineRule="auto"/>
        <w:jc w:val="both"/>
        <w:rPr>
          <w:rFonts w:ascii="Palatino Linotype" w:eastAsia="Palatino Linotype" w:hAnsi="Palatino Linotype" w:cs="Palatino Linotype"/>
        </w:rPr>
      </w:pPr>
      <w:r w:rsidRPr="0068276B">
        <w:rPr>
          <w:rFonts w:ascii="Palatino Linotype" w:eastAsia="Palatino Linotype" w:hAnsi="Palatino Linotype" w:cs="Palatino Linotype"/>
          <w:b/>
        </w:rPr>
        <w:t xml:space="preserve">Cuarto. Estudio de fondo del asunto. </w:t>
      </w:r>
      <w:r w:rsidRPr="0068276B">
        <w:rPr>
          <w:rFonts w:ascii="Palatino Linotype" w:eastAsia="Palatino Linotype" w:hAnsi="Palatino Linotype" w:cs="Palatino Linotype"/>
        </w:rPr>
        <w:t>Es conveniente analizar si la respuesta del Sujeto Obligado</w:t>
      </w:r>
      <w:r w:rsidRPr="0068276B">
        <w:rPr>
          <w:rFonts w:ascii="Palatino Linotype" w:eastAsia="Palatino Linotype" w:hAnsi="Palatino Linotype" w:cs="Palatino Linotype"/>
          <w:b/>
        </w:rPr>
        <w:t xml:space="preserve"> </w:t>
      </w:r>
      <w:r w:rsidRPr="0068276B">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A875596" w14:textId="77777777" w:rsidR="00651CE9" w:rsidRPr="0068276B" w:rsidRDefault="00651CE9" w:rsidP="00DD2EA8">
      <w:pPr>
        <w:spacing w:after="0" w:line="360" w:lineRule="auto"/>
        <w:jc w:val="both"/>
        <w:rPr>
          <w:rFonts w:ascii="Palatino Linotype" w:eastAsia="Palatino Linotype" w:hAnsi="Palatino Linotype" w:cs="Palatino Linotype"/>
        </w:rPr>
      </w:pPr>
    </w:p>
    <w:p w14:paraId="55ED232B" w14:textId="77777777" w:rsidR="00DD2EA8" w:rsidRPr="0068276B" w:rsidRDefault="00DD2EA8" w:rsidP="00DD2EA8">
      <w:pPr>
        <w:tabs>
          <w:tab w:val="left" w:pos="851"/>
        </w:tabs>
        <w:spacing w:after="0" w:line="276" w:lineRule="auto"/>
        <w:ind w:left="567" w:right="616"/>
        <w:jc w:val="both"/>
        <w:rPr>
          <w:rFonts w:ascii="Palatino Linotype" w:eastAsia="Palatino Linotype" w:hAnsi="Palatino Linotype" w:cs="Palatino Linotype"/>
          <w:i/>
        </w:rPr>
      </w:pPr>
      <w:r w:rsidRPr="0068276B">
        <w:rPr>
          <w:rFonts w:ascii="Palatino Linotype" w:eastAsia="Palatino Linotype" w:hAnsi="Palatino Linotype" w:cs="Palatino Linotype"/>
          <w:i/>
        </w:rPr>
        <w:t>“</w:t>
      </w:r>
      <w:r w:rsidRPr="0068276B">
        <w:rPr>
          <w:rFonts w:ascii="Palatino Linotype" w:eastAsia="Palatino Linotype" w:hAnsi="Palatino Linotype" w:cs="Palatino Linotype"/>
          <w:b/>
          <w:i/>
        </w:rPr>
        <w:t>Artículo 4</w:t>
      </w:r>
      <w:r w:rsidRPr="0068276B">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56B023D" w14:textId="77777777" w:rsidR="00DD2EA8" w:rsidRPr="0068276B" w:rsidRDefault="00DD2EA8" w:rsidP="00DD2EA8">
      <w:pPr>
        <w:tabs>
          <w:tab w:val="left" w:pos="851"/>
        </w:tabs>
        <w:spacing w:after="0" w:line="276" w:lineRule="auto"/>
        <w:ind w:left="567" w:right="616"/>
        <w:jc w:val="both"/>
        <w:rPr>
          <w:rFonts w:ascii="Palatino Linotype" w:eastAsia="Palatino Linotype" w:hAnsi="Palatino Linotype" w:cs="Palatino Linotype"/>
          <w:i/>
        </w:rPr>
      </w:pPr>
      <w:r w:rsidRPr="0068276B">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68276B">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5419AED" w14:textId="77777777" w:rsidR="00DD2EA8" w:rsidRPr="0068276B" w:rsidRDefault="00DD2EA8" w:rsidP="00DD2EA8">
      <w:pPr>
        <w:tabs>
          <w:tab w:val="left" w:pos="851"/>
        </w:tabs>
        <w:spacing w:after="0" w:line="276" w:lineRule="auto"/>
        <w:ind w:left="567" w:right="616"/>
        <w:jc w:val="both"/>
        <w:rPr>
          <w:rFonts w:ascii="Palatino Linotype" w:eastAsia="Palatino Linotype" w:hAnsi="Palatino Linotype" w:cs="Palatino Linotype"/>
          <w:i/>
        </w:rPr>
      </w:pPr>
      <w:r w:rsidRPr="0068276B">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68276B">
        <w:rPr>
          <w:rFonts w:ascii="Palatino Linotype" w:eastAsia="Palatino Linotype" w:hAnsi="Palatino Linotype" w:cs="Palatino Linotype"/>
          <w:i/>
        </w:rPr>
        <w:t>.”</w:t>
      </w:r>
    </w:p>
    <w:p w14:paraId="70E15BD9" w14:textId="77777777" w:rsidR="00DD2EA8" w:rsidRPr="0068276B" w:rsidRDefault="00DD2EA8" w:rsidP="00DD2EA8">
      <w:pPr>
        <w:spacing w:after="0" w:line="360" w:lineRule="auto"/>
        <w:jc w:val="both"/>
        <w:rPr>
          <w:rFonts w:ascii="Palatino Linotype" w:eastAsia="Palatino Linotype" w:hAnsi="Palatino Linotype" w:cs="Palatino Linotype"/>
        </w:rPr>
      </w:pPr>
    </w:p>
    <w:p w14:paraId="108D8773" w14:textId="77777777" w:rsidR="00DD2EA8" w:rsidRPr="0068276B" w:rsidRDefault="00DD2EA8" w:rsidP="00DD2EA8">
      <w:pPr>
        <w:spacing w:after="0" w:line="360" w:lineRule="auto"/>
        <w:jc w:val="both"/>
        <w:rPr>
          <w:rFonts w:ascii="Palatino Linotype" w:eastAsia="Palatino Linotype" w:hAnsi="Palatino Linotype" w:cs="Palatino Linotype"/>
        </w:rPr>
      </w:pPr>
      <w:r w:rsidRPr="0068276B">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09204BF" w14:textId="77777777" w:rsidR="00DD2EA8" w:rsidRPr="0068276B" w:rsidRDefault="00DD2EA8" w:rsidP="00DD2EA8">
      <w:pPr>
        <w:spacing w:after="0" w:line="276" w:lineRule="auto"/>
        <w:ind w:left="567" w:right="616"/>
        <w:jc w:val="both"/>
        <w:rPr>
          <w:rFonts w:ascii="Palatino Linotype" w:eastAsia="Palatino Linotype" w:hAnsi="Palatino Linotype" w:cs="Palatino Linotype"/>
        </w:rPr>
      </w:pPr>
    </w:p>
    <w:p w14:paraId="1CCCCF2F" w14:textId="77777777" w:rsidR="00DD2EA8" w:rsidRPr="0068276B" w:rsidRDefault="00DD2EA8" w:rsidP="00DD2EA8">
      <w:pPr>
        <w:spacing w:after="0" w:line="276" w:lineRule="auto"/>
        <w:ind w:left="567" w:right="616"/>
        <w:jc w:val="both"/>
        <w:rPr>
          <w:rFonts w:ascii="Palatino Linotype" w:eastAsia="Palatino Linotype" w:hAnsi="Palatino Linotype" w:cs="Palatino Linotype"/>
          <w:i/>
        </w:rPr>
      </w:pPr>
      <w:r w:rsidRPr="0068276B">
        <w:rPr>
          <w:rFonts w:ascii="Palatino Linotype" w:eastAsia="Palatino Linotype" w:hAnsi="Palatino Linotype" w:cs="Palatino Linotype"/>
          <w:i/>
        </w:rPr>
        <w:t>“</w:t>
      </w:r>
      <w:r w:rsidRPr="0068276B">
        <w:rPr>
          <w:rFonts w:ascii="Palatino Linotype" w:eastAsia="Palatino Linotype" w:hAnsi="Palatino Linotype" w:cs="Palatino Linotype"/>
          <w:b/>
          <w:i/>
        </w:rPr>
        <w:t>Artículo 12.-</w:t>
      </w:r>
      <w:r w:rsidRPr="0068276B">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834EF99" w14:textId="77777777" w:rsidR="00DD2EA8" w:rsidRPr="0068276B" w:rsidRDefault="00DD2EA8" w:rsidP="00DD2EA8">
      <w:pPr>
        <w:spacing w:after="0" w:line="276" w:lineRule="auto"/>
        <w:ind w:left="567" w:right="616"/>
        <w:jc w:val="both"/>
        <w:rPr>
          <w:rFonts w:ascii="Palatino Linotype" w:eastAsia="Palatino Linotype" w:hAnsi="Palatino Linotype" w:cs="Palatino Linotype"/>
          <w:i/>
        </w:rPr>
      </w:pPr>
    </w:p>
    <w:p w14:paraId="13C78C6D" w14:textId="7B880202" w:rsidR="00DD2EA8" w:rsidRPr="0068276B" w:rsidRDefault="00DD2EA8" w:rsidP="00382A68">
      <w:pPr>
        <w:spacing w:after="0" w:line="276" w:lineRule="auto"/>
        <w:ind w:left="567" w:right="616"/>
        <w:jc w:val="both"/>
        <w:rPr>
          <w:rFonts w:ascii="Palatino Linotype" w:eastAsia="Palatino Linotype" w:hAnsi="Palatino Linotype" w:cs="Palatino Linotype"/>
          <w:i/>
        </w:rPr>
      </w:pPr>
      <w:r w:rsidRPr="0068276B">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68276B">
        <w:rPr>
          <w:rFonts w:ascii="Palatino Linotype" w:eastAsia="Palatino Linotype" w:hAnsi="Palatino Linotype" w:cs="Palatino Linotype"/>
          <w:i/>
        </w:rPr>
        <w:t xml:space="preserve">. </w:t>
      </w:r>
      <w:r w:rsidRPr="0068276B">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68276B">
        <w:rPr>
          <w:rFonts w:ascii="Palatino Linotype" w:eastAsia="Palatino Linotype" w:hAnsi="Palatino Linotype" w:cs="Palatino Linotype"/>
          <w:i/>
        </w:rPr>
        <w:t xml:space="preserve">.” </w:t>
      </w:r>
    </w:p>
    <w:p w14:paraId="14EB54F4" w14:textId="77777777" w:rsidR="00651CE9" w:rsidRPr="0068276B" w:rsidRDefault="00651CE9" w:rsidP="00382A68">
      <w:pPr>
        <w:spacing w:after="0" w:line="276" w:lineRule="auto"/>
        <w:ind w:left="567" w:right="616"/>
        <w:jc w:val="both"/>
        <w:rPr>
          <w:rFonts w:ascii="Palatino Linotype" w:eastAsia="Palatino Linotype" w:hAnsi="Palatino Linotype" w:cs="Palatino Linotype"/>
          <w:i/>
        </w:rPr>
      </w:pPr>
    </w:p>
    <w:p w14:paraId="6962F614" w14:textId="77777777" w:rsidR="00DD2EA8" w:rsidRPr="0068276B" w:rsidRDefault="00DD2EA8" w:rsidP="00DD2EA8">
      <w:pPr>
        <w:spacing w:after="0" w:line="360" w:lineRule="auto"/>
        <w:ind w:right="-93"/>
        <w:jc w:val="both"/>
        <w:rPr>
          <w:rFonts w:ascii="Palatino Linotype" w:eastAsia="Palatino Linotype" w:hAnsi="Palatino Linotype" w:cs="Palatino Linotype"/>
        </w:rPr>
      </w:pPr>
      <w:r w:rsidRPr="0068276B">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14875E38" w14:textId="77777777" w:rsidR="00DD2EA8" w:rsidRPr="0068276B" w:rsidRDefault="00DD2EA8" w:rsidP="00DD2EA8">
      <w:pPr>
        <w:spacing w:after="0" w:line="360" w:lineRule="auto"/>
        <w:ind w:right="-93"/>
        <w:jc w:val="both"/>
        <w:rPr>
          <w:rFonts w:ascii="Palatino Linotype" w:eastAsia="Palatino Linotype" w:hAnsi="Palatino Linotype" w:cs="Palatino Linotype"/>
        </w:rPr>
      </w:pPr>
    </w:p>
    <w:p w14:paraId="283654F9" w14:textId="77777777" w:rsidR="00DD2EA8" w:rsidRPr="0068276B" w:rsidRDefault="00DD2EA8" w:rsidP="00DD2EA8">
      <w:pPr>
        <w:spacing w:after="0" w:line="360" w:lineRule="auto"/>
        <w:jc w:val="both"/>
        <w:rPr>
          <w:rFonts w:ascii="Palatino Linotype" w:eastAsia="Palatino Linotype" w:hAnsi="Palatino Linotype" w:cs="Palatino Linotype"/>
          <w:b/>
        </w:rPr>
      </w:pPr>
      <w:r w:rsidRPr="0068276B">
        <w:rPr>
          <w:rFonts w:ascii="Palatino Linotype" w:eastAsia="Palatino Linotype" w:hAnsi="Palatino Linotype" w:cs="Palatino Linotype"/>
        </w:rPr>
        <w:t xml:space="preserve">Sirve de apoyo a lo anterior, el criterio </w:t>
      </w:r>
      <w:r w:rsidR="008E790C" w:rsidRPr="0068276B">
        <w:rPr>
          <w:rFonts w:ascii="Palatino Linotype" w:eastAsia="Palatino Linotype" w:hAnsi="Palatino Linotype" w:cs="Palatino Linotype"/>
        </w:rPr>
        <w:t xml:space="preserve">orientador </w:t>
      </w:r>
      <w:r w:rsidRPr="0068276B">
        <w:rPr>
          <w:rFonts w:ascii="Palatino Linotype" w:eastAsia="Palatino Linotype" w:hAnsi="Palatino Linotype" w:cs="Palatino Linotype"/>
        </w:rPr>
        <w:t xml:space="preserve">03-17, expuesto por el </w:t>
      </w:r>
      <w:r w:rsidR="008E790C" w:rsidRPr="0068276B">
        <w:rPr>
          <w:rFonts w:ascii="Palatino Linotype" w:eastAsia="Palatino Linotype" w:hAnsi="Palatino Linotype" w:cs="Palatino Linotype"/>
        </w:rPr>
        <w:t xml:space="preserve">entonces </w:t>
      </w:r>
      <w:r w:rsidRPr="0068276B">
        <w:rPr>
          <w:rFonts w:ascii="Palatino Linotype" w:eastAsia="Palatino Linotype" w:hAnsi="Palatino Linotype" w:cs="Palatino Linotype"/>
        </w:rPr>
        <w:t>Instituto Nacional de Transparencia, Acceso a la Información y Protección de Datos Personales, que dice:</w:t>
      </w:r>
      <w:r w:rsidRPr="0068276B">
        <w:rPr>
          <w:rFonts w:ascii="Palatino Linotype" w:eastAsia="Palatino Linotype" w:hAnsi="Palatino Linotype" w:cs="Palatino Linotype"/>
          <w:b/>
        </w:rPr>
        <w:t xml:space="preserve"> </w:t>
      </w:r>
    </w:p>
    <w:p w14:paraId="4766AB00" w14:textId="77777777" w:rsidR="00DD2EA8" w:rsidRPr="0068276B" w:rsidRDefault="00DD2EA8" w:rsidP="00DD2EA8">
      <w:pPr>
        <w:spacing w:after="0" w:line="276" w:lineRule="auto"/>
        <w:ind w:left="851" w:right="850"/>
        <w:jc w:val="both"/>
        <w:rPr>
          <w:rFonts w:ascii="Palatino Linotype" w:eastAsia="Palatino Linotype" w:hAnsi="Palatino Linotype" w:cs="Palatino Linotype"/>
        </w:rPr>
      </w:pPr>
    </w:p>
    <w:p w14:paraId="48BAF0F9" w14:textId="77777777" w:rsidR="00DD2EA8" w:rsidRPr="0068276B" w:rsidRDefault="00DD2EA8" w:rsidP="00DD2EA8">
      <w:pPr>
        <w:spacing w:after="0" w:line="276" w:lineRule="auto"/>
        <w:ind w:left="567" w:right="616"/>
        <w:jc w:val="both"/>
        <w:rPr>
          <w:rFonts w:ascii="Palatino Linotype" w:eastAsia="Palatino Linotype" w:hAnsi="Palatino Linotype" w:cs="Palatino Linotype"/>
          <w:i/>
        </w:rPr>
      </w:pPr>
      <w:r w:rsidRPr="0068276B">
        <w:rPr>
          <w:rFonts w:ascii="Palatino Linotype" w:eastAsia="Palatino Linotype" w:hAnsi="Palatino Linotype" w:cs="Palatino Linotype"/>
          <w:i/>
        </w:rPr>
        <w:t>“</w:t>
      </w:r>
      <w:r w:rsidRPr="0068276B">
        <w:rPr>
          <w:rFonts w:ascii="Palatino Linotype" w:eastAsia="Palatino Linotype" w:hAnsi="Palatino Linotype" w:cs="Palatino Linotype"/>
          <w:b/>
          <w:i/>
        </w:rPr>
        <w:t>No existe obligación de elaborar documentos ad hoc para atender las solicitudes de acceso a la información.</w:t>
      </w:r>
      <w:r w:rsidRPr="0068276B">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6BB4F5B" w14:textId="77777777" w:rsidR="00DD2EA8" w:rsidRPr="0068276B" w:rsidRDefault="00DD2EA8" w:rsidP="00DD2EA8">
      <w:pPr>
        <w:spacing w:after="0" w:line="360" w:lineRule="auto"/>
        <w:ind w:right="-93"/>
        <w:jc w:val="both"/>
        <w:rPr>
          <w:rFonts w:ascii="Palatino Linotype" w:eastAsia="Palatino Linotype" w:hAnsi="Palatino Linotype" w:cs="Palatino Linotype"/>
        </w:rPr>
      </w:pPr>
    </w:p>
    <w:p w14:paraId="1AE03A2A" w14:textId="77777777" w:rsidR="00DD2EA8" w:rsidRPr="0068276B" w:rsidRDefault="00DD2EA8" w:rsidP="00DD2EA8">
      <w:pPr>
        <w:spacing w:after="0" w:line="360" w:lineRule="auto"/>
        <w:jc w:val="both"/>
        <w:rPr>
          <w:rFonts w:ascii="Palatino Linotype" w:eastAsia="Palatino Linotype" w:hAnsi="Palatino Linotype" w:cs="Palatino Linotype"/>
        </w:rPr>
      </w:pPr>
      <w:r w:rsidRPr="0068276B">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7242A83" w14:textId="77777777" w:rsidR="00DD2EA8" w:rsidRPr="0068276B" w:rsidRDefault="00DD2EA8" w:rsidP="00DD2EA8">
      <w:pPr>
        <w:spacing w:after="0" w:line="360" w:lineRule="auto"/>
        <w:jc w:val="both"/>
        <w:rPr>
          <w:rFonts w:ascii="Palatino Linotype" w:eastAsia="Palatino Linotype" w:hAnsi="Palatino Linotype" w:cs="Palatino Linotype"/>
        </w:rPr>
      </w:pPr>
    </w:p>
    <w:p w14:paraId="317FA17B" w14:textId="77777777" w:rsidR="00DD2EA8" w:rsidRPr="0068276B" w:rsidRDefault="00DD2EA8" w:rsidP="00DD2EA8">
      <w:pP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862C6E0" w14:textId="77777777" w:rsidR="00DD2EA8" w:rsidRPr="0068276B" w:rsidRDefault="00DD2EA8" w:rsidP="00DD2EA8">
      <w:pPr>
        <w:spacing w:after="0" w:line="360" w:lineRule="auto"/>
        <w:ind w:right="49"/>
        <w:jc w:val="both"/>
        <w:rPr>
          <w:rFonts w:ascii="Palatino Linotype" w:eastAsia="Palatino Linotype" w:hAnsi="Palatino Linotype" w:cs="Palatino Linotype"/>
        </w:rPr>
      </w:pPr>
    </w:p>
    <w:p w14:paraId="50743506" w14:textId="77777777" w:rsidR="00DD2EA8" w:rsidRPr="0068276B" w:rsidRDefault="00DD2EA8" w:rsidP="00DD2EA8">
      <w:pPr>
        <w:spacing w:after="0" w:line="360" w:lineRule="auto"/>
        <w:jc w:val="both"/>
        <w:rPr>
          <w:rFonts w:ascii="Palatino Linotype" w:eastAsia="Palatino Linotype" w:hAnsi="Palatino Linotype" w:cs="Palatino Linotype"/>
        </w:rPr>
      </w:pPr>
      <w:r w:rsidRPr="0068276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23031F" w14:textId="77777777" w:rsidR="00DD2EA8" w:rsidRPr="0068276B" w:rsidRDefault="00DD2EA8" w:rsidP="00DD2EA8">
      <w:pPr>
        <w:spacing w:after="0" w:line="360" w:lineRule="auto"/>
        <w:ind w:left="851" w:right="899"/>
        <w:jc w:val="both"/>
        <w:rPr>
          <w:rFonts w:ascii="Palatino Linotype" w:eastAsia="Palatino Linotype" w:hAnsi="Palatino Linotype" w:cs="Palatino Linotype"/>
          <w:i/>
        </w:rPr>
      </w:pPr>
    </w:p>
    <w:p w14:paraId="7B3B6ADD" w14:textId="77777777" w:rsidR="00DD2EA8" w:rsidRPr="0068276B" w:rsidRDefault="00DD2EA8" w:rsidP="00DD2EA8">
      <w:pPr>
        <w:spacing w:after="0" w:line="276" w:lineRule="auto"/>
        <w:ind w:left="851" w:right="899"/>
        <w:jc w:val="both"/>
        <w:rPr>
          <w:rFonts w:ascii="Palatino Linotype" w:eastAsia="Palatino Linotype" w:hAnsi="Palatino Linotype" w:cs="Palatino Linotype"/>
          <w:i/>
        </w:rPr>
      </w:pPr>
      <w:r w:rsidRPr="0068276B">
        <w:rPr>
          <w:rFonts w:ascii="Palatino Linotype" w:eastAsia="Palatino Linotype" w:hAnsi="Palatino Linotype" w:cs="Palatino Linotype"/>
          <w:i/>
        </w:rPr>
        <w:t>“</w:t>
      </w:r>
      <w:r w:rsidRPr="0068276B">
        <w:rPr>
          <w:rFonts w:ascii="Palatino Linotype" w:eastAsia="Palatino Linotype" w:hAnsi="Palatino Linotype" w:cs="Palatino Linotype"/>
          <w:b/>
          <w:i/>
        </w:rPr>
        <w:t xml:space="preserve">Artículo 3. </w:t>
      </w:r>
      <w:r w:rsidRPr="0068276B">
        <w:rPr>
          <w:rFonts w:ascii="Palatino Linotype" w:eastAsia="Palatino Linotype" w:hAnsi="Palatino Linotype" w:cs="Palatino Linotype"/>
          <w:i/>
        </w:rPr>
        <w:t>Para los efectos de la presente Ley se entenderá por:</w:t>
      </w:r>
    </w:p>
    <w:p w14:paraId="317F9FBD" w14:textId="77777777" w:rsidR="00DD2EA8" w:rsidRPr="0068276B" w:rsidRDefault="00DD2EA8" w:rsidP="00DD2EA8">
      <w:pPr>
        <w:spacing w:after="0" w:line="276" w:lineRule="auto"/>
        <w:ind w:left="851" w:right="899"/>
        <w:jc w:val="both"/>
        <w:rPr>
          <w:rFonts w:ascii="Palatino Linotype" w:eastAsia="Palatino Linotype" w:hAnsi="Palatino Linotype" w:cs="Palatino Linotype"/>
          <w:i/>
        </w:rPr>
      </w:pPr>
      <w:r w:rsidRPr="0068276B">
        <w:rPr>
          <w:rFonts w:ascii="Palatino Linotype" w:eastAsia="Palatino Linotype" w:hAnsi="Palatino Linotype" w:cs="Palatino Linotype"/>
          <w:i/>
        </w:rPr>
        <w:t>…</w:t>
      </w:r>
    </w:p>
    <w:p w14:paraId="081FEE74" w14:textId="77777777" w:rsidR="00DD2EA8" w:rsidRPr="0068276B" w:rsidRDefault="00DD2EA8" w:rsidP="00DD2EA8">
      <w:pPr>
        <w:spacing w:after="0" w:line="276" w:lineRule="auto"/>
        <w:ind w:left="851" w:right="899"/>
        <w:jc w:val="both"/>
        <w:rPr>
          <w:rFonts w:ascii="Palatino Linotype" w:eastAsia="Palatino Linotype" w:hAnsi="Palatino Linotype" w:cs="Palatino Linotype"/>
          <w:i/>
        </w:rPr>
      </w:pPr>
      <w:r w:rsidRPr="0068276B">
        <w:rPr>
          <w:rFonts w:ascii="Palatino Linotype" w:eastAsia="Palatino Linotype" w:hAnsi="Palatino Linotype" w:cs="Palatino Linotype"/>
          <w:b/>
          <w:i/>
        </w:rPr>
        <w:t>XI. Documento:</w:t>
      </w:r>
      <w:r w:rsidRPr="0068276B">
        <w:rPr>
          <w:rFonts w:ascii="Palatino Linotype" w:eastAsia="Palatino Linotype" w:hAnsi="Palatino Linotype" w:cs="Palatino Linotype"/>
          <w:i/>
        </w:rPr>
        <w:t xml:space="preserve"> Los expedientes, reportes, estudios, actas</w:t>
      </w:r>
      <w:r w:rsidRPr="0068276B">
        <w:rPr>
          <w:rFonts w:ascii="Palatino Linotype" w:eastAsia="Palatino Linotype" w:hAnsi="Palatino Linotype" w:cs="Palatino Linotype"/>
          <w:b/>
          <w:i/>
        </w:rPr>
        <w:t>,</w:t>
      </w:r>
      <w:r w:rsidRPr="0068276B">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C0B94FB" w14:textId="77777777" w:rsidR="00DD2EA8" w:rsidRPr="0068276B" w:rsidRDefault="00DD2EA8" w:rsidP="00DD2EA8">
      <w:pPr>
        <w:spacing w:after="0" w:line="360" w:lineRule="auto"/>
        <w:ind w:left="851" w:right="899"/>
        <w:jc w:val="both"/>
        <w:rPr>
          <w:rFonts w:ascii="Palatino Linotype" w:eastAsia="Palatino Linotype" w:hAnsi="Palatino Linotype" w:cs="Palatino Linotype"/>
        </w:rPr>
      </w:pPr>
    </w:p>
    <w:p w14:paraId="735F4DE7" w14:textId="77777777" w:rsidR="00DD2EA8" w:rsidRPr="0068276B" w:rsidRDefault="00DD2EA8" w:rsidP="00DD2EA8">
      <w:pPr>
        <w:spacing w:after="0" w:line="360" w:lineRule="auto"/>
        <w:jc w:val="both"/>
        <w:rPr>
          <w:rFonts w:ascii="Palatino Linotype" w:eastAsia="Palatino Linotype" w:hAnsi="Palatino Linotype" w:cs="Palatino Linotype"/>
        </w:rPr>
      </w:pPr>
      <w:r w:rsidRPr="0068276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A3C8643" w14:textId="77777777" w:rsidR="00DD2EA8" w:rsidRPr="0068276B" w:rsidRDefault="00DD2EA8" w:rsidP="00DD2EA8">
      <w:pPr>
        <w:spacing w:after="0" w:line="360" w:lineRule="auto"/>
        <w:ind w:left="851" w:right="899"/>
        <w:jc w:val="both"/>
        <w:rPr>
          <w:rFonts w:ascii="Palatino Linotype" w:eastAsia="Palatino Linotype" w:hAnsi="Palatino Linotype" w:cs="Palatino Linotype"/>
        </w:rPr>
      </w:pPr>
    </w:p>
    <w:p w14:paraId="6EF78F2E" w14:textId="77777777" w:rsidR="00DD2EA8" w:rsidRPr="0068276B" w:rsidRDefault="00DD2EA8" w:rsidP="00DD2EA8">
      <w:pPr>
        <w:spacing w:after="0" w:line="276" w:lineRule="auto"/>
        <w:ind w:left="851" w:right="899"/>
        <w:jc w:val="both"/>
        <w:rPr>
          <w:rFonts w:ascii="Palatino Linotype" w:eastAsia="Palatino Linotype" w:hAnsi="Palatino Linotype" w:cs="Palatino Linotype"/>
          <w:b/>
          <w:i/>
        </w:rPr>
      </w:pPr>
      <w:r w:rsidRPr="0068276B">
        <w:rPr>
          <w:rFonts w:ascii="Palatino Linotype" w:eastAsia="Palatino Linotype" w:hAnsi="Palatino Linotype" w:cs="Palatino Linotype"/>
          <w:b/>
        </w:rPr>
        <w:t>“</w:t>
      </w:r>
      <w:r w:rsidRPr="0068276B">
        <w:rPr>
          <w:rFonts w:ascii="Palatino Linotype" w:eastAsia="Palatino Linotype" w:hAnsi="Palatino Linotype" w:cs="Palatino Linotype"/>
          <w:b/>
          <w:i/>
        </w:rPr>
        <w:t>CRITERIO 0002-11</w:t>
      </w:r>
    </w:p>
    <w:p w14:paraId="2A3CC58F" w14:textId="77777777" w:rsidR="00DD2EA8" w:rsidRPr="0068276B" w:rsidRDefault="00DD2EA8" w:rsidP="00DD2EA8">
      <w:pPr>
        <w:spacing w:after="0" w:line="276" w:lineRule="auto"/>
        <w:ind w:left="851" w:right="899"/>
        <w:jc w:val="both"/>
        <w:rPr>
          <w:rFonts w:ascii="Palatino Linotype" w:eastAsia="Palatino Linotype" w:hAnsi="Palatino Linotype" w:cs="Palatino Linotype"/>
          <w:i/>
        </w:rPr>
      </w:pPr>
      <w:r w:rsidRPr="0068276B">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68276B">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73BD83" w14:textId="77777777" w:rsidR="00DD2EA8" w:rsidRPr="0068276B" w:rsidRDefault="00DD2EA8" w:rsidP="00DD2EA8">
      <w:pPr>
        <w:spacing w:after="0" w:line="276" w:lineRule="auto"/>
        <w:ind w:left="851" w:right="899"/>
        <w:jc w:val="both"/>
        <w:rPr>
          <w:rFonts w:ascii="Palatino Linotype" w:eastAsia="Palatino Linotype" w:hAnsi="Palatino Linotype" w:cs="Palatino Linotype"/>
          <w:i/>
        </w:rPr>
      </w:pPr>
      <w:r w:rsidRPr="0068276B">
        <w:rPr>
          <w:rFonts w:ascii="Palatino Linotype" w:eastAsia="Palatino Linotype" w:hAnsi="Palatino Linotype" w:cs="Palatino Linotype"/>
          <w:i/>
        </w:rPr>
        <w:t>En consecuencia el acceso a la información se refiere a que se cumplan cualquiera de los siguientes tres supuestos:</w:t>
      </w:r>
    </w:p>
    <w:p w14:paraId="0B3A3E22" w14:textId="77777777" w:rsidR="00DD2EA8" w:rsidRPr="0068276B" w:rsidRDefault="00DD2EA8" w:rsidP="00DD2EA8">
      <w:pPr>
        <w:spacing w:after="0" w:line="276" w:lineRule="auto"/>
        <w:ind w:left="851" w:right="899"/>
        <w:jc w:val="both"/>
        <w:rPr>
          <w:rFonts w:ascii="Palatino Linotype" w:eastAsia="Palatino Linotype" w:hAnsi="Palatino Linotype" w:cs="Palatino Linotype"/>
          <w:i/>
        </w:rPr>
      </w:pPr>
      <w:r w:rsidRPr="0068276B">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546E556C" w14:textId="77777777" w:rsidR="00DD2EA8" w:rsidRPr="0068276B" w:rsidRDefault="00DD2EA8" w:rsidP="00DD2EA8">
      <w:pPr>
        <w:spacing w:after="0" w:line="276" w:lineRule="auto"/>
        <w:ind w:left="851" w:right="899"/>
        <w:jc w:val="both"/>
        <w:rPr>
          <w:rFonts w:ascii="Palatino Linotype" w:eastAsia="Palatino Linotype" w:hAnsi="Palatino Linotype" w:cs="Palatino Linotype"/>
          <w:b/>
          <w:i/>
        </w:rPr>
      </w:pPr>
      <w:r w:rsidRPr="0068276B">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7CFFD7B" w14:textId="77777777" w:rsidR="00DD2EA8" w:rsidRPr="0068276B" w:rsidRDefault="00DD2EA8" w:rsidP="00DD2EA8">
      <w:pPr>
        <w:spacing w:after="0" w:line="276" w:lineRule="auto"/>
        <w:ind w:left="851" w:right="899"/>
        <w:jc w:val="both"/>
        <w:rPr>
          <w:rFonts w:ascii="Palatino Linotype" w:eastAsia="Palatino Linotype" w:hAnsi="Palatino Linotype" w:cs="Palatino Linotype"/>
          <w:b/>
          <w:i/>
        </w:rPr>
      </w:pPr>
      <w:r w:rsidRPr="0068276B">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713C2B13" w14:textId="77777777" w:rsidR="00DD2EA8" w:rsidRPr="0068276B" w:rsidRDefault="00DD2EA8" w:rsidP="00DD2EA8">
      <w:pPr>
        <w:spacing w:after="0" w:line="360" w:lineRule="auto"/>
        <w:jc w:val="both"/>
        <w:rPr>
          <w:rFonts w:ascii="Palatino Linotype" w:eastAsia="Palatino Linotype" w:hAnsi="Palatino Linotype" w:cs="Palatino Linotype"/>
        </w:rPr>
      </w:pPr>
    </w:p>
    <w:p w14:paraId="141D4D5E" w14:textId="1E659887" w:rsidR="00063C2B" w:rsidRPr="0068276B" w:rsidRDefault="00DD2EA8" w:rsidP="00382A68">
      <w:pPr>
        <w:spacing w:after="0" w:line="360" w:lineRule="auto"/>
        <w:jc w:val="both"/>
        <w:rPr>
          <w:rFonts w:ascii="Palatino Linotype" w:eastAsia="Palatino Linotype" w:hAnsi="Palatino Linotype" w:cs="Palatino Linotype"/>
          <w:b/>
        </w:rPr>
      </w:pPr>
      <w:r w:rsidRPr="0068276B">
        <w:rPr>
          <w:rFonts w:ascii="Palatino Linotype" w:eastAsia="Palatino Linotype" w:hAnsi="Palatino Linotype" w:cs="Palatino Linotype"/>
        </w:rPr>
        <w:t xml:space="preserve">Dicho lo anterior, es de destacar que la pretensión del ahora Recurrente es obtener </w:t>
      </w:r>
      <w:r w:rsidR="00382A68" w:rsidRPr="0068276B">
        <w:rPr>
          <w:rFonts w:ascii="Palatino Linotype" w:eastAsia="Palatino Linotype" w:hAnsi="Palatino Linotype" w:cs="Palatino Linotype"/>
        </w:rPr>
        <w:t xml:space="preserve">las </w:t>
      </w:r>
      <w:r w:rsidR="00382A68" w:rsidRPr="0068276B">
        <w:rPr>
          <w:rFonts w:ascii="Palatino Linotype" w:eastAsia="Palatino Linotype" w:hAnsi="Palatino Linotype" w:cs="Palatino Linotype"/>
          <w:b/>
        </w:rPr>
        <w:t xml:space="preserve">constancias de vecindad que entregó el Municipio en 2025 y el nombre de los particulares a quienes se les entregó. </w:t>
      </w:r>
    </w:p>
    <w:p w14:paraId="432DBC1B" w14:textId="77777777" w:rsidR="00DD2EA8" w:rsidRPr="0068276B" w:rsidRDefault="00DD2EA8" w:rsidP="00DD2EA8">
      <w:pPr>
        <w:spacing w:after="0" w:line="360" w:lineRule="auto"/>
        <w:jc w:val="both"/>
        <w:rPr>
          <w:rFonts w:ascii="Palatino Linotype" w:eastAsia="Palatino Linotype" w:hAnsi="Palatino Linotype" w:cs="Palatino Linotype"/>
        </w:rPr>
      </w:pPr>
    </w:p>
    <w:p w14:paraId="4C96310C" w14:textId="44B3D542" w:rsidR="006402E7" w:rsidRPr="0068276B" w:rsidRDefault="0015251E">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68276B">
        <w:rPr>
          <w:rFonts w:ascii="Palatino Linotype" w:eastAsia="Palatino Linotype" w:hAnsi="Palatino Linotype" w:cs="Palatino Linotype"/>
        </w:rPr>
        <w:t xml:space="preserve">En respuesta, el Sujeto Obligado </w:t>
      </w:r>
      <w:r w:rsidR="00382A68" w:rsidRPr="0068276B">
        <w:rPr>
          <w:rFonts w:ascii="Palatino Linotype" w:eastAsia="Palatino Linotype" w:hAnsi="Palatino Linotype" w:cs="Palatino Linotype"/>
        </w:rPr>
        <w:t xml:space="preserve">a través de la Secretaría del Ayuntamiento, informó que se realizó la búsqueda exhaustiva y razonable en los archivos que obran en el Departamento de Constancias de Vecindad y Certificaciones de la Secretaría del Ayuntamiento, siendo que se encontró la información solicitada, no obstante, </w:t>
      </w:r>
      <w:r w:rsidR="006543D8" w:rsidRPr="0068276B">
        <w:rPr>
          <w:rFonts w:ascii="Palatino Linotype" w:eastAsia="Palatino Linotype" w:hAnsi="Palatino Linotype" w:cs="Palatino Linotype"/>
        </w:rPr>
        <w:t xml:space="preserve">no pueden ser entregadas en razón de que son confidenciales. </w:t>
      </w:r>
      <w:r w:rsidRPr="0068276B">
        <w:rPr>
          <w:rFonts w:ascii="Palatino Linotype" w:eastAsia="Palatino Linotype" w:hAnsi="Palatino Linotype" w:cs="Palatino Linotype"/>
        </w:rPr>
        <w:t xml:space="preserve"> </w:t>
      </w:r>
      <w:r w:rsidR="006543D8" w:rsidRPr="0068276B">
        <w:rPr>
          <w:rFonts w:ascii="Palatino Linotype" w:eastAsia="Palatino Linotype" w:hAnsi="Palatino Linotype" w:cs="Palatino Linotype"/>
        </w:rPr>
        <w:t>Aunado a ello, refirió que se procedió a solicitar al Comité de Transparencia la clasificación como confidencial de los documentos donde consten las constancias de vecindad mediante acuerdo CT/SE/1359/2025 en la Milésima Tricentésima Quincuagésima Novena Sesión Extraordinaria de fecha catorce de no</w:t>
      </w:r>
      <w:r w:rsidR="000435F7" w:rsidRPr="0068276B">
        <w:rPr>
          <w:rFonts w:ascii="Palatino Linotype" w:eastAsia="Palatino Linotype" w:hAnsi="Palatino Linotype" w:cs="Palatino Linotype"/>
        </w:rPr>
        <w:t xml:space="preserve">viembre de dos mil veinticinco, no obstante no se proporcionó el acuerdo correspondiente. </w:t>
      </w:r>
    </w:p>
    <w:p w14:paraId="38E48003" w14:textId="77777777" w:rsidR="006402E7" w:rsidRPr="0068276B" w:rsidRDefault="006402E7">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310FC716" w14:textId="77777777" w:rsidR="0015251E" w:rsidRPr="0068276B" w:rsidRDefault="0015251E">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68276B">
        <w:rPr>
          <w:rFonts w:ascii="Palatino Linotype" w:eastAsia="Palatino Linotype" w:hAnsi="Palatino Linotype" w:cs="Palatino Linotype"/>
        </w:rPr>
        <w:t xml:space="preserve">Derivado de ello, la parte Recurrente se inconformó arguyendo la negativa de entrega de la información. </w:t>
      </w:r>
    </w:p>
    <w:p w14:paraId="45556238" w14:textId="77777777" w:rsidR="0015251E" w:rsidRPr="0068276B" w:rsidRDefault="0015251E">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77A5E644" w14:textId="77777777" w:rsidR="0015251E" w:rsidRPr="0068276B" w:rsidRDefault="0015251E">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68276B">
        <w:rPr>
          <w:rFonts w:ascii="Palatino Linotype" w:eastAsia="Palatino Linotype" w:hAnsi="Palatino Linotype" w:cs="Palatino Linotype"/>
        </w:rPr>
        <w:t xml:space="preserve">En atención a ello, el Sujeto Obligado ratificó su respuesta inicial. </w:t>
      </w:r>
    </w:p>
    <w:p w14:paraId="327FBC6F" w14:textId="77777777" w:rsidR="0015251E" w:rsidRPr="0068276B" w:rsidRDefault="0015251E">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0C1CD262" w14:textId="42092B8E" w:rsidR="0015251E" w:rsidRPr="0068276B" w:rsidRDefault="0015251E" w:rsidP="000435F7">
      <w:pPr>
        <w:spacing w:after="0" w:line="360" w:lineRule="auto"/>
        <w:ind w:right="-93"/>
        <w:jc w:val="both"/>
        <w:rPr>
          <w:rFonts w:ascii="Palatino Linotype" w:eastAsia="Palatino Linotype" w:hAnsi="Palatino Linotype" w:cs="Palatino Linotype"/>
        </w:rPr>
      </w:pPr>
      <w:r w:rsidRPr="0068276B">
        <w:rPr>
          <w:rFonts w:ascii="Palatino Linotype" w:eastAsia="Palatino Linotype" w:hAnsi="Palatino Linotype" w:cs="Palatino Linotype"/>
        </w:rPr>
        <w:t xml:space="preserve">Dicho esto, es necesario precisar que de las constancias que obran en el expediente se logra vislumbrar que el Sujeto Obligado, turnó la solicitud de información a la unidad administrativa competente, a saber la </w:t>
      </w:r>
      <w:r w:rsidR="006543D8" w:rsidRPr="0068276B">
        <w:rPr>
          <w:rFonts w:ascii="Palatino Linotype" w:eastAsia="Palatino Linotype" w:hAnsi="Palatino Linotype" w:cs="Palatino Linotype"/>
        </w:rPr>
        <w:t>Secretaría del Ayuntamiento</w:t>
      </w:r>
      <w:r w:rsidRPr="0068276B">
        <w:rPr>
          <w:rFonts w:ascii="Palatino Linotype" w:eastAsia="Palatino Linotype" w:hAnsi="Palatino Linotype" w:cs="Palatino Linotype"/>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48BFB339" w14:textId="77777777" w:rsidR="0015251E" w:rsidRPr="0068276B" w:rsidRDefault="0015251E" w:rsidP="0015251E">
      <w:pPr>
        <w:pStyle w:val="Prrafodelista"/>
        <w:numPr>
          <w:ilvl w:val="3"/>
          <w:numId w:val="9"/>
        </w:numPr>
        <w:spacing w:after="0" w:line="360" w:lineRule="auto"/>
        <w:ind w:left="567" w:right="560"/>
        <w:jc w:val="both"/>
        <w:rPr>
          <w:rFonts w:ascii="Palatino Linotype" w:eastAsia="Palatino Linotype" w:hAnsi="Palatino Linotype" w:cs="Palatino Linotype"/>
        </w:rPr>
      </w:pPr>
      <w:r w:rsidRPr="0068276B">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D4B5F54" w14:textId="77777777" w:rsidR="0015251E" w:rsidRPr="0068276B" w:rsidRDefault="0015251E" w:rsidP="0015251E">
      <w:pPr>
        <w:pStyle w:val="Prrafodelista"/>
        <w:numPr>
          <w:ilvl w:val="3"/>
          <w:numId w:val="9"/>
        </w:numPr>
        <w:spacing w:after="0" w:line="360" w:lineRule="auto"/>
        <w:ind w:left="567" w:right="560"/>
        <w:jc w:val="both"/>
        <w:rPr>
          <w:rFonts w:ascii="Palatino Linotype" w:eastAsia="Palatino Linotype" w:hAnsi="Palatino Linotype" w:cs="Palatino Linotype"/>
        </w:rPr>
      </w:pPr>
      <w:r w:rsidRPr="0068276B">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4F95209C" w14:textId="77777777" w:rsidR="0015251E" w:rsidRPr="0068276B" w:rsidRDefault="0015251E" w:rsidP="0015251E">
      <w:pPr>
        <w:spacing w:after="0" w:line="360" w:lineRule="auto"/>
        <w:ind w:right="560"/>
        <w:jc w:val="both"/>
        <w:rPr>
          <w:rFonts w:ascii="Palatino Linotype" w:eastAsia="Palatino Linotype" w:hAnsi="Palatino Linotype" w:cs="Palatino Linotype"/>
        </w:rPr>
      </w:pPr>
    </w:p>
    <w:p w14:paraId="2710EDB2" w14:textId="6875C7F9" w:rsidR="0015251E" w:rsidRPr="0068276B" w:rsidRDefault="0015251E" w:rsidP="0015251E">
      <w:pP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al no gestionar el requerimiento de información al área competente para conocer de lo peticionado. </w:t>
      </w:r>
    </w:p>
    <w:p w14:paraId="329DC994" w14:textId="77777777" w:rsidR="006543D8" w:rsidRPr="0068276B" w:rsidRDefault="006543D8" w:rsidP="006543D8">
      <w:pPr>
        <w:spacing w:after="0" w:line="360" w:lineRule="auto"/>
        <w:ind w:right="49"/>
        <w:jc w:val="both"/>
        <w:rPr>
          <w:rFonts w:ascii="Palatino Linotype" w:eastAsia="Palatino Linotype" w:hAnsi="Palatino Linotype" w:cs="Palatino Linotype"/>
        </w:rPr>
      </w:pPr>
    </w:p>
    <w:p w14:paraId="5D628787" w14:textId="745686EC" w:rsidR="004E1A82" w:rsidRPr="0068276B" w:rsidRDefault="004E1A82" w:rsidP="004E1A82">
      <w:pP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rPr>
        <w:t xml:space="preserve">Ahora bien, </w:t>
      </w:r>
      <w:r w:rsidR="00A642D5" w:rsidRPr="0068276B">
        <w:rPr>
          <w:rFonts w:ascii="Palatino Linotype" w:eastAsia="Palatino Linotype" w:hAnsi="Palatino Linotype" w:cs="Palatino Linotype"/>
        </w:rPr>
        <w:t>en lo que res</w:t>
      </w:r>
      <w:r w:rsidR="006543D8" w:rsidRPr="0068276B">
        <w:rPr>
          <w:rFonts w:ascii="Palatino Linotype" w:eastAsia="Palatino Linotype" w:hAnsi="Palatino Linotype" w:cs="Palatino Linotype"/>
        </w:rPr>
        <w:t xml:space="preserve">pecta al requerimiento del ahora Recurrente, </w:t>
      </w:r>
      <w:r w:rsidRPr="0068276B">
        <w:rPr>
          <w:rFonts w:ascii="Palatino Linotype" w:eastAsia="Palatino Linotype" w:hAnsi="Palatino Linotype" w:cs="Palatino Linotype"/>
        </w:rPr>
        <w:t xml:space="preserve">es de referir que, </w:t>
      </w:r>
      <w:r w:rsidRPr="0068276B">
        <w:rPr>
          <w:rFonts w:ascii="Palatino Linotype" w:hAnsi="Palatino Linotype" w:cs="Tahoma"/>
        </w:rPr>
        <w:t xml:space="preserve">el artículo 20 de la Ley de Transparencia y Acceso a la Información Pública del Estado de México y Municipios, establece que, ante la negativa de acceso a la información o su inexistencia, el sujeto obligado deberá demostrar que encuentra en alguna de las excepciones establecidas en la normatividad aplicable, como lo puede ser la clasificación de la información. </w:t>
      </w:r>
    </w:p>
    <w:p w14:paraId="27F63444" w14:textId="77777777" w:rsidR="004E1A82" w:rsidRPr="0068276B" w:rsidRDefault="004E1A82" w:rsidP="004E1A82">
      <w:pPr>
        <w:spacing w:after="0" w:line="360" w:lineRule="auto"/>
        <w:jc w:val="both"/>
        <w:rPr>
          <w:rFonts w:ascii="Palatino Linotype" w:hAnsi="Palatino Linotype" w:cs="Tahoma"/>
          <w:lang w:val="es-ES"/>
        </w:rPr>
      </w:pPr>
    </w:p>
    <w:p w14:paraId="2B3FDD3C" w14:textId="77777777" w:rsidR="004E1A82" w:rsidRPr="0068276B" w:rsidRDefault="004E1A82" w:rsidP="004E1A82">
      <w:pPr>
        <w:spacing w:after="0" w:line="360" w:lineRule="auto"/>
        <w:jc w:val="both"/>
        <w:rPr>
          <w:rFonts w:ascii="Palatino Linotype" w:hAnsi="Palatino Linotype" w:cs="Arial"/>
          <w:b/>
          <w:bCs/>
        </w:rPr>
      </w:pPr>
      <w:r w:rsidRPr="0068276B">
        <w:rPr>
          <w:rFonts w:ascii="Palatino Linotype" w:hAnsi="Palatino Linotype" w:cs="Tahoma"/>
          <w:lang w:val="es-ES"/>
        </w:rPr>
        <w:t xml:space="preserve">En ese contexto, </w:t>
      </w:r>
      <w:r w:rsidRPr="0068276B">
        <w:rPr>
          <w:rFonts w:ascii="Palatino Linotype" w:hAnsi="Palatino Linotype" w:cs="Arial"/>
          <w:bCs/>
        </w:rPr>
        <w:t xml:space="preserve">según Bonifaz, Leticia (2016), en la “Ley General de Transparencia y Acceso a la Información Pública Comentada” (p. 342), la </w:t>
      </w:r>
      <w:r w:rsidRPr="0068276B">
        <w:rPr>
          <w:rFonts w:ascii="Palatino Linotype" w:hAnsi="Palatino Linotype" w:cs="Arial"/>
          <w:b/>
          <w:bCs/>
        </w:rPr>
        <w:t>clasificación de la información</w:t>
      </w:r>
      <w:r w:rsidRPr="0068276B">
        <w:rPr>
          <w:rFonts w:ascii="Palatino Linotype" w:hAnsi="Palatino Linotype" w:cs="Arial"/>
          <w:bCs/>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68276B">
        <w:rPr>
          <w:rFonts w:ascii="Palatino Linotype" w:hAnsi="Palatino Linotype" w:cs="Arial"/>
          <w:b/>
          <w:bCs/>
        </w:rPr>
        <w:t>de manera adecuada la negativa de información.</w:t>
      </w:r>
    </w:p>
    <w:p w14:paraId="4C171A0B" w14:textId="77777777" w:rsidR="004E1A82" w:rsidRPr="0068276B" w:rsidRDefault="004E1A82" w:rsidP="004E1A82">
      <w:pPr>
        <w:spacing w:after="0" w:line="360" w:lineRule="auto"/>
        <w:jc w:val="both"/>
        <w:rPr>
          <w:rFonts w:ascii="Palatino Linotype" w:hAnsi="Palatino Linotype" w:cs="Tahoma"/>
          <w:bCs/>
          <w:lang w:eastAsia="en-US"/>
        </w:rPr>
      </w:pPr>
    </w:p>
    <w:p w14:paraId="477E1D7A" w14:textId="3682F888" w:rsidR="004E1A82" w:rsidRPr="0068276B" w:rsidRDefault="004E1A82" w:rsidP="004E1A82">
      <w:pPr>
        <w:spacing w:after="0" w:line="360" w:lineRule="auto"/>
        <w:jc w:val="both"/>
        <w:rPr>
          <w:rFonts w:ascii="Palatino Linotype" w:hAnsi="Palatino Linotype" w:cs="Tahoma"/>
        </w:rPr>
      </w:pPr>
      <w:r w:rsidRPr="0068276B">
        <w:rPr>
          <w:rFonts w:ascii="Palatino Linotype" w:hAnsi="Palatino Linotype" w:cs="Tahoma"/>
          <w:bCs/>
          <w:lang w:eastAsia="en-US"/>
        </w:rPr>
        <w:t>Además</w:t>
      </w:r>
      <w:r w:rsidRPr="0068276B">
        <w:rPr>
          <w:rFonts w:ascii="Palatino Linotype" w:hAnsi="Palatino Linotype" w:cs="Tahoma"/>
        </w:rPr>
        <w:t>, conforme al artículo 108, de la Ley General de Transparencia y Acceso a la Información Pública, el 134 de la Ley de Transparencia y Acceso a la Información Pública del Estado de México y Municipios, los sujetos obligados no podrán emitir acuerdos de carácter general que clasifiquen documentos o expedientes; por lo que, la clasificación de información se llevará a cabo mediante un análisis caso por caso.</w:t>
      </w:r>
    </w:p>
    <w:p w14:paraId="2326D8FA" w14:textId="77777777" w:rsidR="00651CE9" w:rsidRPr="0068276B" w:rsidRDefault="00651CE9" w:rsidP="004E1A82">
      <w:pPr>
        <w:spacing w:after="0" w:line="360" w:lineRule="auto"/>
        <w:jc w:val="both"/>
        <w:rPr>
          <w:rFonts w:ascii="Palatino Linotype" w:hAnsi="Palatino Linotype" w:cs="Tahoma"/>
          <w:b/>
        </w:rPr>
      </w:pPr>
    </w:p>
    <w:p w14:paraId="4C3DA4F1" w14:textId="77777777" w:rsidR="004E1A82" w:rsidRPr="0068276B" w:rsidRDefault="004E1A82" w:rsidP="004E1A82">
      <w:pPr>
        <w:spacing w:after="0" w:line="360" w:lineRule="auto"/>
        <w:jc w:val="both"/>
        <w:rPr>
          <w:rFonts w:ascii="Palatino Linotype" w:hAnsi="Palatino Linotype" w:cs="Tahoma"/>
        </w:rPr>
      </w:pPr>
      <w:r w:rsidRPr="0068276B">
        <w:rPr>
          <w:rFonts w:ascii="Palatino Linotype" w:hAnsi="Palatino Linotype" w:cs="Tahoma"/>
        </w:rPr>
        <w:t xml:space="preserve">Sobre lo anterior, el artículo 131 de la Ley referida, así como el Quinto de los Lineamientos Generales, establecen que los sujetos obligados </w:t>
      </w:r>
      <w:r w:rsidRPr="0068276B">
        <w:rPr>
          <w:rFonts w:ascii="Palatino Linotype" w:hAnsi="Palatino Linotype" w:cs="Tahoma"/>
          <w:b/>
        </w:rPr>
        <w:t>deberán fundar y motivar</w:t>
      </w:r>
      <w:r w:rsidRPr="0068276B">
        <w:rPr>
          <w:rFonts w:ascii="Palatino Linotype" w:hAnsi="Palatino Linotype" w:cs="Tahoma"/>
        </w:rPr>
        <w:t xml:space="preserve"> debidamente la clasificación de la información.</w:t>
      </w:r>
    </w:p>
    <w:p w14:paraId="73ED804C" w14:textId="77777777" w:rsidR="004E1A82" w:rsidRPr="0068276B" w:rsidRDefault="004E1A82" w:rsidP="004E1A82">
      <w:pPr>
        <w:spacing w:after="0" w:line="360" w:lineRule="auto"/>
        <w:jc w:val="both"/>
        <w:rPr>
          <w:rFonts w:ascii="Palatino Linotype" w:hAnsi="Palatino Linotype" w:cs="Tahoma"/>
          <w:b/>
        </w:rPr>
      </w:pPr>
    </w:p>
    <w:p w14:paraId="795FE023" w14:textId="77777777" w:rsidR="004E1A82" w:rsidRPr="0068276B" w:rsidRDefault="004E1A82" w:rsidP="004E1A82">
      <w:pPr>
        <w:spacing w:after="0" w:line="360" w:lineRule="auto"/>
        <w:jc w:val="both"/>
        <w:rPr>
          <w:rFonts w:ascii="Palatino Linotype" w:hAnsi="Palatino Linotype" w:cs="Tahoma"/>
          <w:bCs/>
          <w:iCs/>
        </w:rPr>
      </w:pPr>
      <w:r w:rsidRPr="0068276B">
        <w:rPr>
          <w:rFonts w:ascii="Palatino Linotype" w:hAnsi="Palatino Linotype" w:cs="Tahoma"/>
        </w:rPr>
        <w:t>Al respecto, e</w:t>
      </w:r>
      <w:r w:rsidRPr="0068276B">
        <w:rPr>
          <w:rFonts w:ascii="Palatino Linotype" w:hAnsi="Palatino Linotype" w:cs="Tahoma"/>
          <w:bCs/>
          <w:iCs/>
        </w:rPr>
        <w:t>l Octavo de los Lineamientos Generales, precisa lo siguiente:</w:t>
      </w:r>
    </w:p>
    <w:p w14:paraId="6E269AB8" w14:textId="77777777" w:rsidR="004E1A82" w:rsidRPr="0068276B" w:rsidRDefault="004E1A82" w:rsidP="004E1A82">
      <w:pPr>
        <w:spacing w:after="0" w:line="360" w:lineRule="auto"/>
        <w:jc w:val="both"/>
        <w:rPr>
          <w:rFonts w:ascii="Palatino Linotype" w:hAnsi="Palatino Linotype" w:cs="Tahoma"/>
          <w:bCs/>
          <w:iCs/>
        </w:rPr>
      </w:pPr>
    </w:p>
    <w:p w14:paraId="5A0A765C" w14:textId="77777777" w:rsidR="004E1A82" w:rsidRPr="0068276B" w:rsidRDefault="004E1A82" w:rsidP="004E1A82">
      <w:pPr>
        <w:numPr>
          <w:ilvl w:val="0"/>
          <w:numId w:val="10"/>
        </w:numPr>
        <w:spacing w:after="0" w:line="360" w:lineRule="auto"/>
        <w:jc w:val="both"/>
        <w:rPr>
          <w:rFonts w:ascii="Palatino Linotype" w:hAnsi="Palatino Linotype" w:cs="Tahoma"/>
          <w:bCs/>
        </w:rPr>
      </w:pPr>
      <w:r w:rsidRPr="0068276B">
        <w:rPr>
          <w:rFonts w:ascii="Palatino Linotype" w:hAnsi="Palatino Linotype" w:cs="Tahoma"/>
          <w:b/>
          <w:bCs/>
        </w:rPr>
        <w:t>Para fundar la clasificación</w:t>
      </w:r>
      <w:r w:rsidRPr="0068276B">
        <w:rPr>
          <w:rFonts w:ascii="Palatino Linotype" w:hAnsi="Palatino Linotype" w:cs="Tahoma"/>
          <w:bCs/>
        </w:rPr>
        <w:t xml:space="preserve"> de la información se deberán señalar el artículo, fracción, inciso, párrafo o numeral de la Ley aplicable;</w:t>
      </w:r>
    </w:p>
    <w:p w14:paraId="5E6B8874" w14:textId="77777777" w:rsidR="004E1A82" w:rsidRPr="0068276B" w:rsidRDefault="004E1A82" w:rsidP="004E1A82">
      <w:pPr>
        <w:numPr>
          <w:ilvl w:val="0"/>
          <w:numId w:val="10"/>
        </w:numPr>
        <w:spacing w:after="0" w:line="360" w:lineRule="auto"/>
        <w:jc w:val="both"/>
        <w:rPr>
          <w:rFonts w:ascii="Palatino Linotype" w:hAnsi="Palatino Linotype" w:cs="Tahoma"/>
          <w:bCs/>
        </w:rPr>
      </w:pPr>
      <w:r w:rsidRPr="0068276B">
        <w:rPr>
          <w:rFonts w:ascii="Palatino Linotype" w:hAnsi="Palatino Linotype" w:cs="Tahoma"/>
          <w:b/>
          <w:bCs/>
        </w:rPr>
        <w:t>Para motivar la clasificación</w:t>
      </w:r>
      <w:r w:rsidRPr="0068276B">
        <w:rPr>
          <w:rFonts w:ascii="Palatino Linotype" w:hAnsi="Palatino Linotype" w:cs="Tahoma"/>
          <w:bCs/>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5E5EAC98" w14:textId="77777777" w:rsidR="004E1A82" w:rsidRPr="0068276B" w:rsidRDefault="004E1A82" w:rsidP="004E1A82">
      <w:pPr>
        <w:spacing w:after="0" w:line="360" w:lineRule="auto"/>
        <w:ind w:left="720"/>
        <w:contextualSpacing/>
        <w:rPr>
          <w:rFonts w:ascii="Palatino Linotype" w:hAnsi="Palatino Linotype" w:cs="Tahoma"/>
          <w:bCs/>
        </w:rPr>
      </w:pPr>
    </w:p>
    <w:p w14:paraId="711036FB" w14:textId="77777777" w:rsidR="004E1A82" w:rsidRPr="0068276B" w:rsidRDefault="004E1A82" w:rsidP="004E1A82">
      <w:pPr>
        <w:spacing w:after="0" w:line="360" w:lineRule="auto"/>
        <w:jc w:val="both"/>
        <w:rPr>
          <w:rFonts w:ascii="Palatino Linotype" w:hAnsi="Palatino Linotype" w:cs="Tahoma"/>
        </w:rPr>
      </w:pPr>
      <w:r w:rsidRPr="0068276B">
        <w:rPr>
          <w:rFonts w:ascii="Palatino Linotype" w:hAnsi="Palatino Linotype" w:cs="Tahoma"/>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161A2D61" w14:textId="77777777" w:rsidR="004E1A82" w:rsidRPr="0068276B" w:rsidRDefault="004E1A82" w:rsidP="004E1A82">
      <w:pPr>
        <w:spacing w:after="0" w:line="360" w:lineRule="auto"/>
        <w:jc w:val="both"/>
        <w:rPr>
          <w:rFonts w:ascii="Palatino Linotype" w:hAnsi="Palatino Linotype" w:cs="Tahoma"/>
        </w:rPr>
      </w:pPr>
    </w:p>
    <w:p w14:paraId="054B8ED3" w14:textId="77777777" w:rsidR="004E1A82" w:rsidRPr="0068276B" w:rsidRDefault="004E1A82" w:rsidP="004E1A82">
      <w:pPr>
        <w:spacing w:after="0" w:line="276" w:lineRule="auto"/>
        <w:ind w:left="567" w:right="567"/>
        <w:jc w:val="both"/>
        <w:rPr>
          <w:rFonts w:ascii="Palatino Linotype" w:hAnsi="Palatino Linotype" w:cs="Tahoma"/>
          <w:i/>
        </w:rPr>
      </w:pPr>
      <w:r w:rsidRPr="0068276B">
        <w:rPr>
          <w:rFonts w:ascii="Palatino Linotype" w:hAnsi="Palatino Linotype" w:cs="Tahoma"/>
          <w:b/>
          <w:i/>
        </w:rPr>
        <w:t xml:space="preserve">“FUNDAMENTACION Y MOTIVACION, CONCEPTO DE. </w:t>
      </w:r>
      <w:r w:rsidRPr="0068276B">
        <w:rPr>
          <w:rFonts w:ascii="Palatino Linotype" w:hAnsi="Palatino Linotype" w:cs="Tahoma"/>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3EB2EB0D" w14:textId="77777777" w:rsidR="004E1A82" w:rsidRPr="0068276B" w:rsidRDefault="004E1A82" w:rsidP="004E1A82">
      <w:pPr>
        <w:spacing w:after="0" w:line="360" w:lineRule="auto"/>
        <w:jc w:val="both"/>
        <w:rPr>
          <w:rFonts w:ascii="Palatino Linotype" w:hAnsi="Palatino Linotype" w:cs="Tahoma"/>
        </w:rPr>
      </w:pPr>
    </w:p>
    <w:p w14:paraId="70F0269D" w14:textId="77777777" w:rsidR="004E1A82" w:rsidRPr="0068276B" w:rsidRDefault="004E1A82" w:rsidP="004E1A82">
      <w:pPr>
        <w:spacing w:after="0" w:line="360" w:lineRule="auto"/>
        <w:jc w:val="both"/>
        <w:rPr>
          <w:rFonts w:ascii="Palatino Linotype" w:hAnsi="Palatino Linotype" w:cs="Tahoma"/>
        </w:rPr>
      </w:pPr>
      <w:r w:rsidRPr="0068276B">
        <w:rPr>
          <w:rFonts w:ascii="Palatino Linotype" w:hAnsi="Palatino Linotype" w:cs="Tahoma"/>
        </w:rPr>
        <w:t>Conforme a lo anterior, se advierte lo siguiente:</w:t>
      </w:r>
    </w:p>
    <w:p w14:paraId="48064D85" w14:textId="77777777" w:rsidR="004E1A82" w:rsidRPr="0068276B" w:rsidRDefault="004E1A82" w:rsidP="004E1A82">
      <w:pPr>
        <w:spacing w:after="0" w:line="360" w:lineRule="auto"/>
        <w:jc w:val="both"/>
        <w:rPr>
          <w:rFonts w:ascii="Palatino Linotype" w:hAnsi="Palatino Linotype" w:cs="Tahoma"/>
        </w:rPr>
      </w:pPr>
    </w:p>
    <w:p w14:paraId="34D8C427" w14:textId="77777777" w:rsidR="004E1A82" w:rsidRPr="0068276B" w:rsidRDefault="004E1A82" w:rsidP="004E1A82">
      <w:pPr>
        <w:numPr>
          <w:ilvl w:val="0"/>
          <w:numId w:val="11"/>
        </w:numPr>
        <w:spacing w:after="0" w:line="360" w:lineRule="auto"/>
        <w:ind w:right="560"/>
        <w:jc w:val="both"/>
        <w:rPr>
          <w:rFonts w:ascii="Palatino Linotype" w:hAnsi="Palatino Linotype" w:cs="Tahoma"/>
          <w:b/>
        </w:rPr>
      </w:pPr>
      <w:r w:rsidRPr="0068276B">
        <w:rPr>
          <w:rFonts w:ascii="Palatino Linotype" w:hAnsi="Palatino Linotype" w:cs="Tahoma"/>
          <w:b/>
        </w:rPr>
        <w:t xml:space="preserve">Fundamentación: </w:t>
      </w:r>
      <w:r w:rsidRPr="0068276B">
        <w:rPr>
          <w:rFonts w:ascii="Palatino Linotype" w:hAnsi="Palatino Linotype" w:cs="Tahoma"/>
        </w:rPr>
        <w:t>Obligación de la autoridad que emite un acto, para citar los preceptos legales, sustantivos y adjetivos, en que se apoye para la determinación tomada.</w:t>
      </w:r>
    </w:p>
    <w:p w14:paraId="7AE9E807" w14:textId="77777777" w:rsidR="004E1A82" w:rsidRPr="0068276B" w:rsidRDefault="004E1A82" w:rsidP="004E1A82">
      <w:pPr>
        <w:numPr>
          <w:ilvl w:val="0"/>
          <w:numId w:val="11"/>
        </w:numPr>
        <w:spacing w:after="0" w:line="360" w:lineRule="auto"/>
        <w:ind w:right="560"/>
        <w:jc w:val="both"/>
        <w:rPr>
          <w:rFonts w:ascii="Palatino Linotype" w:hAnsi="Palatino Linotype" w:cs="Tahoma"/>
          <w:b/>
        </w:rPr>
      </w:pPr>
      <w:r w:rsidRPr="0068276B">
        <w:rPr>
          <w:rFonts w:ascii="Palatino Linotype" w:hAnsi="Palatino Linotype" w:cs="Tahoma"/>
          <w:b/>
        </w:rPr>
        <w:t xml:space="preserve">Motivación: </w:t>
      </w:r>
      <w:r w:rsidRPr="0068276B">
        <w:rPr>
          <w:rFonts w:ascii="Palatino Linotype" w:hAnsi="Palatino Linotype" w:cs="Tahoma"/>
        </w:rPr>
        <w:t>Razonamientos lógico-jurídicos sobre porque se consideró en el caso en concreto, que se ajusta a la hipótesis normativa.</w:t>
      </w:r>
    </w:p>
    <w:p w14:paraId="7A7748E7" w14:textId="77777777" w:rsidR="004E1A82" w:rsidRPr="0068276B" w:rsidRDefault="004E1A82" w:rsidP="004E1A82">
      <w:pPr>
        <w:spacing w:after="0" w:line="360" w:lineRule="auto"/>
        <w:jc w:val="both"/>
        <w:rPr>
          <w:rFonts w:ascii="Palatino Linotype" w:hAnsi="Palatino Linotype" w:cs="Tahoma"/>
          <w:lang w:val="es-ES" w:eastAsia="en-US"/>
        </w:rPr>
      </w:pPr>
    </w:p>
    <w:p w14:paraId="4D34C991" w14:textId="77777777" w:rsidR="004E1A82" w:rsidRPr="0068276B" w:rsidRDefault="004E1A82" w:rsidP="004E1A82">
      <w:pPr>
        <w:spacing w:after="0" w:line="360" w:lineRule="auto"/>
        <w:jc w:val="both"/>
        <w:rPr>
          <w:rFonts w:ascii="Palatino Linotype" w:hAnsi="Palatino Linotype" w:cs="Tahoma"/>
          <w:lang w:val="es-ES" w:eastAsia="en-US"/>
        </w:rPr>
      </w:pPr>
      <w:r w:rsidRPr="0068276B">
        <w:rPr>
          <w:rFonts w:ascii="Palatino Linotype" w:hAnsi="Palatino Linotype" w:cs="Tahoma"/>
          <w:lang w:val="es-ES" w:eastAsia="en-US"/>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7D259F0E" w14:textId="77777777" w:rsidR="004E1A82" w:rsidRPr="0068276B" w:rsidRDefault="004E1A82" w:rsidP="004E1A82">
      <w:pPr>
        <w:spacing w:after="0" w:line="360" w:lineRule="auto"/>
        <w:jc w:val="both"/>
        <w:rPr>
          <w:rFonts w:ascii="Palatino Linotype" w:eastAsia="Batang" w:hAnsi="Palatino Linotype" w:cs="Tahoma"/>
          <w:bCs/>
          <w:lang w:val="es-ES"/>
        </w:rPr>
      </w:pPr>
      <w:r w:rsidRPr="0068276B">
        <w:rPr>
          <w:rFonts w:ascii="Palatino Linotype" w:eastAsia="Batang" w:hAnsi="Palatino Linotype" w:cs="Tahoma"/>
          <w:bCs/>
          <w:lang w:val="es-ES"/>
        </w:rPr>
        <w:t xml:space="preserve"> </w:t>
      </w:r>
    </w:p>
    <w:p w14:paraId="4EA481A9" w14:textId="77777777" w:rsidR="006543D8" w:rsidRPr="0068276B" w:rsidRDefault="004E1A82" w:rsidP="004E1A82">
      <w:pPr>
        <w:spacing w:after="0" w:line="360" w:lineRule="auto"/>
        <w:jc w:val="both"/>
        <w:rPr>
          <w:rFonts w:ascii="Palatino Linotype" w:hAnsi="Palatino Linotype" w:cs="Tahoma"/>
          <w:bCs/>
          <w:iCs/>
        </w:rPr>
      </w:pPr>
      <w:r w:rsidRPr="0068276B">
        <w:rPr>
          <w:rFonts w:ascii="Palatino Linotype" w:hAnsi="Palatino Linotype" w:cs="Tahoma"/>
          <w:bCs/>
          <w:iCs/>
        </w:rPr>
        <w:t xml:space="preserve">Ahora bien, sin menoscabar lo anterior, es de señalar que la pretensión del ahora Recurrente, es obtener información relacionada con </w:t>
      </w:r>
      <w:r w:rsidR="006543D8" w:rsidRPr="0068276B">
        <w:rPr>
          <w:rFonts w:ascii="Palatino Linotype" w:hAnsi="Palatino Linotype" w:cs="Tahoma"/>
          <w:bCs/>
          <w:iCs/>
        </w:rPr>
        <w:t xml:space="preserve">las constancias de vecindad de particulares. </w:t>
      </w:r>
    </w:p>
    <w:p w14:paraId="14394F46" w14:textId="77777777" w:rsidR="006543D8" w:rsidRPr="0068276B" w:rsidRDefault="006543D8" w:rsidP="004E1A82">
      <w:pPr>
        <w:spacing w:after="0" w:line="360" w:lineRule="auto"/>
        <w:jc w:val="both"/>
        <w:rPr>
          <w:rFonts w:ascii="Palatino Linotype" w:hAnsi="Palatino Linotype" w:cs="Tahoma"/>
          <w:bCs/>
          <w:iCs/>
        </w:rPr>
      </w:pPr>
    </w:p>
    <w:p w14:paraId="75A2EA1F" w14:textId="2E410E6C" w:rsidR="006543D8" w:rsidRPr="0068276B" w:rsidRDefault="006543D8" w:rsidP="004E1A82">
      <w:pPr>
        <w:spacing w:after="0" w:line="360" w:lineRule="auto"/>
        <w:jc w:val="both"/>
        <w:rPr>
          <w:rFonts w:ascii="Palatino Linotype" w:hAnsi="Palatino Linotype" w:cs="Tahoma"/>
          <w:bCs/>
          <w:iCs/>
        </w:rPr>
      </w:pPr>
      <w:r w:rsidRPr="0068276B">
        <w:rPr>
          <w:rFonts w:ascii="Palatino Linotype" w:hAnsi="Palatino Linotype" w:cs="Tahoma"/>
          <w:bCs/>
          <w:iCs/>
        </w:rPr>
        <w:t xml:space="preserve">En ese sentido, es de referir que </w:t>
      </w:r>
      <w:r w:rsidRPr="0068276B">
        <w:rPr>
          <w:rFonts w:ascii="Palatino Linotype" w:hAnsi="Palatino Linotype" w:cs="Tahoma"/>
          <w:b/>
          <w:bCs/>
          <w:iCs/>
        </w:rPr>
        <w:t xml:space="preserve">la constancia de vecindad es un documento oficial expedido por una autoridad local que certifica que una persona reside habitualmente durante un tiempo determinado en un domicilio específico dentro de su territorio. </w:t>
      </w:r>
      <w:r w:rsidRPr="0068276B">
        <w:rPr>
          <w:rFonts w:ascii="Palatino Linotype" w:hAnsi="Palatino Linotype" w:cs="Tahoma"/>
          <w:bCs/>
          <w:iCs/>
        </w:rPr>
        <w:t xml:space="preserve">Este documento puede servir para acreditar el domicilio al no contar con comprobantes a nombre propio, para trámites administrativos, escolares o legales. </w:t>
      </w:r>
    </w:p>
    <w:p w14:paraId="5F13CA6B" w14:textId="77777777" w:rsidR="006543D8" w:rsidRPr="0068276B" w:rsidRDefault="006543D8" w:rsidP="004E1A82">
      <w:pPr>
        <w:spacing w:after="0" w:line="360" w:lineRule="auto"/>
        <w:jc w:val="both"/>
        <w:rPr>
          <w:rFonts w:ascii="Palatino Linotype" w:hAnsi="Palatino Linotype" w:cs="Tahoma"/>
          <w:bCs/>
          <w:iCs/>
        </w:rPr>
      </w:pPr>
    </w:p>
    <w:p w14:paraId="2753E50F" w14:textId="68FF5D16" w:rsidR="004E1A82" w:rsidRPr="0068276B" w:rsidRDefault="006543D8" w:rsidP="004E1A82">
      <w:pPr>
        <w:spacing w:after="0" w:line="360" w:lineRule="auto"/>
        <w:jc w:val="both"/>
        <w:rPr>
          <w:rFonts w:ascii="Palatino Linotype" w:hAnsi="Palatino Linotype" w:cs="Tahoma"/>
          <w:bCs/>
          <w:iCs/>
        </w:rPr>
      </w:pPr>
      <w:r w:rsidRPr="0068276B">
        <w:rPr>
          <w:rFonts w:ascii="Palatino Linotype" w:hAnsi="Palatino Linotype" w:cs="Tahoma"/>
          <w:bCs/>
          <w:iCs/>
        </w:rPr>
        <w:t>De lo anterior, se puede colegir que este documento acredita meramente la residencia de los particulares y su contenido versa únicamente en datos confidenciales</w:t>
      </w:r>
      <w:r w:rsidR="004E1A82" w:rsidRPr="0068276B">
        <w:rPr>
          <w:rFonts w:ascii="Palatino Linotype" w:hAnsi="Palatino Linotype" w:cs="Tahoma"/>
          <w:bCs/>
          <w:iCs/>
        </w:rPr>
        <w:t>, por lo que</w:t>
      </w:r>
      <w:r w:rsidR="004E1A82" w:rsidRPr="0068276B">
        <w:rPr>
          <w:rFonts w:ascii="Palatino Linotype" w:hAnsi="Palatino Linotype" w:cs="Tahoma"/>
          <w:bCs/>
        </w:rPr>
        <w:t>, es relevante señalar que la protección de los datos personales se encuentra prevista desde la Constitución Política de los Estados Unidos Mexicanos, establece lo siguiente:</w:t>
      </w:r>
    </w:p>
    <w:p w14:paraId="5887256C" w14:textId="77777777" w:rsidR="004E1A82" w:rsidRPr="0068276B" w:rsidRDefault="004E1A82" w:rsidP="004E1A82">
      <w:pPr>
        <w:spacing w:after="0" w:line="276" w:lineRule="auto"/>
        <w:ind w:right="-93"/>
        <w:jc w:val="both"/>
        <w:rPr>
          <w:rFonts w:ascii="Palatino Linotype" w:hAnsi="Palatino Linotype" w:cs="Tahoma"/>
          <w:bCs/>
        </w:rPr>
      </w:pPr>
    </w:p>
    <w:p w14:paraId="53B38A2F" w14:textId="77777777" w:rsidR="004E1A82" w:rsidRPr="0068276B" w:rsidRDefault="004E1A82" w:rsidP="004E1A82">
      <w:pPr>
        <w:tabs>
          <w:tab w:val="left" w:pos="993"/>
          <w:tab w:val="left" w:pos="8364"/>
        </w:tabs>
        <w:spacing w:after="0" w:line="276" w:lineRule="auto"/>
        <w:ind w:left="567" w:right="758"/>
        <w:jc w:val="both"/>
        <w:rPr>
          <w:rFonts w:ascii="Palatino Linotype" w:hAnsi="Palatino Linotype" w:cs="Arial"/>
          <w:i/>
          <w:iCs/>
        </w:rPr>
      </w:pPr>
      <w:r w:rsidRPr="0068276B">
        <w:rPr>
          <w:rFonts w:ascii="Palatino Linotype" w:hAnsi="Palatino Linotype" w:cs="Arial"/>
          <w:b/>
          <w:i/>
          <w:iCs/>
        </w:rPr>
        <w:t>Artículo 16.</w:t>
      </w:r>
      <w:r w:rsidRPr="0068276B">
        <w:rPr>
          <w:rFonts w:ascii="Palatino Linotype" w:hAnsi="Palatino Linotype" w:cs="Arial"/>
          <w:i/>
          <w:iCs/>
        </w:rPr>
        <w:t xml:space="preserve"> …</w:t>
      </w:r>
    </w:p>
    <w:p w14:paraId="29C900C5" w14:textId="77777777" w:rsidR="004E1A82" w:rsidRPr="0068276B" w:rsidRDefault="004E1A82" w:rsidP="004E1A82">
      <w:pPr>
        <w:tabs>
          <w:tab w:val="left" w:pos="993"/>
          <w:tab w:val="left" w:pos="8364"/>
        </w:tabs>
        <w:spacing w:after="0" w:line="276" w:lineRule="auto"/>
        <w:ind w:left="567" w:right="758"/>
        <w:jc w:val="both"/>
        <w:rPr>
          <w:rFonts w:ascii="Palatino Linotype" w:hAnsi="Palatino Linotype" w:cs="Arial"/>
          <w:i/>
          <w:iCs/>
        </w:rPr>
      </w:pPr>
      <w:r w:rsidRPr="0068276B">
        <w:rPr>
          <w:rFonts w:ascii="Palatino Linotype" w:hAnsi="Palatino Linotype" w:cs="Arial"/>
          <w:b/>
          <w:i/>
          <w:iCs/>
        </w:rPr>
        <w:t>Toda persona tiene derecho a la protección de sus datos personales</w:t>
      </w:r>
      <w:r w:rsidRPr="0068276B">
        <w:rPr>
          <w:rFonts w:ascii="Palatino Linotype" w:hAnsi="Palatino Linotype" w:cs="Arial"/>
          <w:i/>
          <w:iCs/>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F2F5B49" w14:textId="77777777" w:rsidR="004E1A82" w:rsidRPr="0068276B" w:rsidRDefault="004E1A82" w:rsidP="004E1A82">
      <w:pPr>
        <w:tabs>
          <w:tab w:val="left" w:pos="993"/>
          <w:tab w:val="left" w:pos="8364"/>
        </w:tabs>
        <w:spacing w:after="0" w:line="276" w:lineRule="auto"/>
        <w:ind w:left="567" w:right="758"/>
        <w:jc w:val="both"/>
        <w:rPr>
          <w:rFonts w:ascii="Palatino Linotype" w:hAnsi="Palatino Linotype" w:cs="Arial"/>
          <w:i/>
          <w:iCs/>
        </w:rPr>
      </w:pPr>
      <w:r w:rsidRPr="0068276B">
        <w:rPr>
          <w:rFonts w:ascii="Palatino Linotype" w:hAnsi="Palatino Linotype" w:cs="Arial"/>
          <w:i/>
          <w:iCs/>
        </w:rPr>
        <w:t>…”</w:t>
      </w:r>
    </w:p>
    <w:p w14:paraId="76CDD190" w14:textId="77777777" w:rsidR="004E1A82" w:rsidRPr="0068276B" w:rsidRDefault="004E1A82" w:rsidP="004E1A82">
      <w:pPr>
        <w:spacing w:after="0" w:line="360" w:lineRule="auto"/>
        <w:ind w:right="-93"/>
        <w:jc w:val="both"/>
        <w:rPr>
          <w:rFonts w:ascii="Palatino Linotype" w:hAnsi="Palatino Linotype" w:cs="Tahoma"/>
          <w:bCs/>
        </w:rPr>
      </w:pPr>
    </w:p>
    <w:p w14:paraId="50ED7D8B" w14:textId="77777777" w:rsidR="004E1A82" w:rsidRPr="0068276B" w:rsidRDefault="004E1A82" w:rsidP="004E1A82">
      <w:pPr>
        <w:spacing w:after="0" w:line="360" w:lineRule="auto"/>
        <w:ind w:right="-93"/>
        <w:jc w:val="both"/>
        <w:rPr>
          <w:rFonts w:ascii="Palatino Linotype" w:hAnsi="Palatino Linotype" w:cs="Tahoma"/>
          <w:bCs/>
        </w:rPr>
      </w:pPr>
      <w:r w:rsidRPr="0068276B">
        <w:rPr>
          <w:rFonts w:ascii="Palatino Linotype" w:hAnsi="Palatino Linotype" w:cs="Tahoma"/>
          <w:bCs/>
        </w:rPr>
        <w:t>De esto,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14:paraId="41F61DA1" w14:textId="77777777" w:rsidR="004E1A82" w:rsidRPr="0068276B" w:rsidRDefault="004E1A82" w:rsidP="004E1A82">
      <w:pPr>
        <w:spacing w:after="0" w:line="360" w:lineRule="auto"/>
        <w:ind w:right="-93"/>
        <w:jc w:val="both"/>
        <w:rPr>
          <w:rFonts w:ascii="Palatino Linotype" w:hAnsi="Palatino Linotype" w:cs="Tahoma"/>
          <w:bCs/>
        </w:rPr>
      </w:pPr>
    </w:p>
    <w:p w14:paraId="19DB850E" w14:textId="77777777" w:rsidR="004E1A82" w:rsidRPr="0068276B" w:rsidRDefault="004E1A82" w:rsidP="004E1A82">
      <w:pPr>
        <w:spacing w:after="0" w:line="360" w:lineRule="auto"/>
        <w:ind w:right="-93"/>
        <w:jc w:val="both"/>
        <w:rPr>
          <w:rFonts w:ascii="Palatino Linotype" w:hAnsi="Palatino Linotype" w:cs="Tahoma"/>
          <w:bCs/>
        </w:rPr>
      </w:pPr>
      <w:r w:rsidRPr="0068276B">
        <w:rPr>
          <w:rFonts w:ascii="Palatino Linotype" w:hAnsi="Palatino Linotype" w:cs="Tahoma"/>
          <w:bCs/>
        </w:rPr>
        <w:t>En ese contexto, en el artículo 20,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14:paraId="158C1C37" w14:textId="77777777" w:rsidR="004E1A82" w:rsidRPr="0068276B" w:rsidRDefault="004E1A82" w:rsidP="004E1A82">
      <w:pPr>
        <w:spacing w:after="0" w:line="360" w:lineRule="auto"/>
        <w:ind w:right="-93"/>
        <w:jc w:val="both"/>
        <w:rPr>
          <w:rFonts w:ascii="Palatino Linotype" w:hAnsi="Palatino Linotype" w:cs="Tahoma"/>
          <w:bCs/>
        </w:rPr>
      </w:pPr>
    </w:p>
    <w:p w14:paraId="3B233150" w14:textId="77777777" w:rsidR="004E1A82" w:rsidRPr="0068276B" w:rsidRDefault="004E1A82" w:rsidP="004E1A82">
      <w:pPr>
        <w:spacing w:after="0" w:line="360" w:lineRule="auto"/>
        <w:ind w:right="-93"/>
        <w:jc w:val="both"/>
        <w:rPr>
          <w:rFonts w:ascii="Palatino Linotype" w:hAnsi="Palatino Linotype" w:cs="Tahoma"/>
          <w:bCs/>
        </w:rPr>
      </w:pPr>
      <w:r w:rsidRPr="0068276B">
        <w:rPr>
          <w:rFonts w:ascii="Palatino Linotype" w:hAnsi="Palatino Linotype" w:cs="Tahoma"/>
          <w:bCs/>
        </w:rPr>
        <w:t>En concordancia de lo anterior, el artículo 115 y 119 de la Ley General de Transparencia, prevé:</w:t>
      </w:r>
    </w:p>
    <w:p w14:paraId="5027A0E7" w14:textId="77777777" w:rsidR="00691771" w:rsidRPr="0068276B" w:rsidRDefault="00691771" w:rsidP="004E1A82">
      <w:pPr>
        <w:spacing w:after="0" w:line="360" w:lineRule="auto"/>
        <w:ind w:right="-93"/>
        <w:jc w:val="both"/>
        <w:rPr>
          <w:rFonts w:ascii="Palatino Linotype" w:hAnsi="Palatino Linotype" w:cs="Tahoma"/>
          <w:bCs/>
        </w:rPr>
      </w:pPr>
    </w:p>
    <w:p w14:paraId="1B54ABC4" w14:textId="77777777" w:rsidR="004E1A82" w:rsidRPr="0068276B" w:rsidRDefault="004E1A82" w:rsidP="004E1A82">
      <w:pPr>
        <w:spacing w:after="0" w:line="276" w:lineRule="auto"/>
        <w:ind w:left="567" w:right="567"/>
        <w:jc w:val="both"/>
        <w:rPr>
          <w:rFonts w:ascii="Palatino Linotype" w:hAnsi="Palatino Linotype" w:cs="Arial"/>
          <w:i/>
          <w:iCs/>
        </w:rPr>
      </w:pPr>
      <w:r w:rsidRPr="0068276B">
        <w:rPr>
          <w:rFonts w:ascii="Palatino Linotype" w:hAnsi="Palatino Linotype" w:cs="Arial"/>
          <w:b/>
          <w:bCs/>
          <w:i/>
          <w:iCs/>
        </w:rPr>
        <w:t>“Artículo 115.</w:t>
      </w:r>
      <w:r w:rsidRPr="0068276B">
        <w:rPr>
          <w:rFonts w:ascii="Palatino Linotype" w:hAnsi="Palatino Linotype" w:cs="Arial"/>
          <w:i/>
          <w:iCs/>
        </w:rPr>
        <w:t xml:space="preserve"> Se considera información confidencial la que contiene datos personales concernientes a una persona identificada o identificable.</w:t>
      </w:r>
    </w:p>
    <w:p w14:paraId="1A4E3C9F" w14:textId="77777777" w:rsidR="004E1A82" w:rsidRPr="0068276B" w:rsidRDefault="004E1A82" w:rsidP="004E1A82">
      <w:pPr>
        <w:spacing w:after="0" w:line="276" w:lineRule="auto"/>
        <w:ind w:left="567" w:right="567"/>
        <w:jc w:val="both"/>
        <w:rPr>
          <w:rFonts w:ascii="Palatino Linotype" w:hAnsi="Palatino Linotype" w:cs="Arial"/>
          <w:i/>
          <w:iCs/>
        </w:rPr>
      </w:pPr>
      <w:r w:rsidRPr="0068276B">
        <w:rPr>
          <w:rFonts w:ascii="Palatino Linotype" w:hAnsi="Palatino Linotype" w:cs="Arial"/>
          <w:i/>
          <w:iCs/>
        </w:rPr>
        <w:t>…</w:t>
      </w:r>
    </w:p>
    <w:p w14:paraId="46785F00" w14:textId="77777777" w:rsidR="004E1A82" w:rsidRPr="0068276B" w:rsidRDefault="004E1A82" w:rsidP="004E1A82">
      <w:pPr>
        <w:spacing w:after="0" w:line="276" w:lineRule="auto"/>
        <w:ind w:left="567" w:right="567"/>
        <w:jc w:val="both"/>
        <w:rPr>
          <w:rFonts w:ascii="Palatino Linotype" w:hAnsi="Palatino Linotype" w:cs="Arial"/>
          <w:i/>
          <w:iCs/>
        </w:rPr>
      </w:pPr>
      <w:r w:rsidRPr="0068276B">
        <w:rPr>
          <w:rFonts w:ascii="Palatino Linotype" w:hAnsi="Palatino Linotype" w:cs="Arial"/>
          <w:b/>
          <w:bCs/>
          <w:i/>
          <w:iCs/>
        </w:rPr>
        <w:t>Artículo 119.</w:t>
      </w:r>
      <w:r w:rsidRPr="0068276B">
        <w:rPr>
          <w:rFonts w:ascii="Palatino Linotype" w:hAnsi="Palatino Linotype" w:cs="Arial"/>
          <w:i/>
          <w:iCs/>
        </w:rPr>
        <w:t xml:space="preserve"> Para que los sujetos obligados puedan permitir el acceso a información confidencial requieren obtener el consentimiento de los particulares titulares de la información. </w:t>
      </w:r>
    </w:p>
    <w:p w14:paraId="12E16888" w14:textId="77777777" w:rsidR="004E1A82" w:rsidRPr="0068276B" w:rsidRDefault="004E1A82" w:rsidP="004E1A82">
      <w:pPr>
        <w:spacing w:after="0" w:line="276" w:lineRule="auto"/>
        <w:ind w:left="567" w:right="567"/>
        <w:jc w:val="both"/>
        <w:rPr>
          <w:rFonts w:ascii="Palatino Linotype" w:hAnsi="Palatino Linotype" w:cs="Arial"/>
          <w:i/>
          <w:iCs/>
        </w:rPr>
      </w:pPr>
    </w:p>
    <w:p w14:paraId="6C73E19A" w14:textId="77777777" w:rsidR="004E1A82" w:rsidRPr="0068276B" w:rsidRDefault="004E1A82" w:rsidP="004E1A82">
      <w:pPr>
        <w:spacing w:after="0" w:line="276" w:lineRule="auto"/>
        <w:ind w:left="567" w:right="567"/>
        <w:jc w:val="both"/>
        <w:rPr>
          <w:rFonts w:ascii="Palatino Linotype" w:hAnsi="Palatino Linotype" w:cs="Arial"/>
          <w:i/>
          <w:iCs/>
        </w:rPr>
      </w:pPr>
      <w:r w:rsidRPr="0068276B">
        <w:rPr>
          <w:rFonts w:ascii="Palatino Linotype" w:hAnsi="Palatino Linotype" w:cs="Arial"/>
          <w:i/>
          <w:iCs/>
        </w:rPr>
        <w:t xml:space="preserve">No se requerirá el consentimiento del titular de la información confidencial cuando: </w:t>
      </w:r>
    </w:p>
    <w:p w14:paraId="34A2B3A0" w14:textId="77777777" w:rsidR="004E1A82" w:rsidRPr="0068276B" w:rsidRDefault="004E1A82" w:rsidP="004E1A82">
      <w:pPr>
        <w:spacing w:after="0" w:line="276" w:lineRule="auto"/>
        <w:ind w:left="567" w:right="567"/>
        <w:jc w:val="both"/>
        <w:rPr>
          <w:rFonts w:ascii="Palatino Linotype" w:hAnsi="Palatino Linotype" w:cs="Arial"/>
          <w:i/>
          <w:iCs/>
        </w:rPr>
      </w:pPr>
    </w:p>
    <w:p w14:paraId="60D1E381" w14:textId="77777777" w:rsidR="004E1A82" w:rsidRPr="0068276B" w:rsidRDefault="004E1A82" w:rsidP="004E1A82">
      <w:pPr>
        <w:spacing w:after="0" w:line="276" w:lineRule="auto"/>
        <w:ind w:left="567" w:right="567"/>
        <w:jc w:val="both"/>
        <w:rPr>
          <w:rFonts w:ascii="Palatino Linotype" w:hAnsi="Palatino Linotype" w:cs="Arial"/>
          <w:i/>
          <w:iCs/>
        </w:rPr>
      </w:pPr>
      <w:r w:rsidRPr="0068276B">
        <w:rPr>
          <w:rFonts w:ascii="Palatino Linotype" w:hAnsi="Palatino Linotype" w:cs="Arial"/>
          <w:i/>
          <w:iCs/>
        </w:rPr>
        <w:t xml:space="preserve">I. La información se encuentre en registros públicos o fuentes de acceso público; </w:t>
      </w:r>
    </w:p>
    <w:p w14:paraId="6F11B8A8" w14:textId="77777777" w:rsidR="004E1A82" w:rsidRPr="0068276B" w:rsidRDefault="004E1A82" w:rsidP="004E1A82">
      <w:pPr>
        <w:spacing w:after="0" w:line="276" w:lineRule="auto"/>
        <w:ind w:left="567" w:right="567"/>
        <w:jc w:val="both"/>
        <w:rPr>
          <w:rFonts w:ascii="Palatino Linotype" w:hAnsi="Palatino Linotype" w:cs="Arial"/>
          <w:i/>
          <w:iCs/>
        </w:rPr>
      </w:pPr>
      <w:r w:rsidRPr="0068276B">
        <w:rPr>
          <w:rFonts w:ascii="Palatino Linotype" w:hAnsi="Palatino Linotype" w:cs="Arial"/>
          <w:i/>
          <w:iCs/>
        </w:rPr>
        <w:t xml:space="preserve">II. Por ley tenga el carácter de pública; </w:t>
      </w:r>
    </w:p>
    <w:p w14:paraId="15E5FB59" w14:textId="77777777" w:rsidR="004E1A82" w:rsidRPr="0068276B" w:rsidRDefault="004E1A82" w:rsidP="004E1A82">
      <w:pPr>
        <w:spacing w:after="0" w:line="276" w:lineRule="auto"/>
        <w:ind w:left="567" w:right="567"/>
        <w:jc w:val="both"/>
        <w:rPr>
          <w:rFonts w:ascii="Palatino Linotype" w:hAnsi="Palatino Linotype" w:cs="Arial"/>
          <w:i/>
          <w:iCs/>
        </w:rPr>
      </w:pPr>
      <w:r w:rsidRPr="0068276B">
        <w:rPr>
          <w:rFonts w:ascii="Palatino Linotype" w:hAnsi="Palatino Linotype" w:cs="Arial"/>
          <w:i/>
          <w:iCs/>
        </w:rPr>
        <w:t xml:space="preserve">III. Exista una orden judicial; </w:t>
      </w:r>
    </w:p>
    <w:p w14:paraId="32E8319E" w14:textId="77777777" w:rsidR="004E1A82" w:rsidRPr="0068276B" w:rsidRDefault="004E1A82" w:rsidP="004E1A82">
      <w:pPr>
        <w:spacing w:after="0" w:line="276" w:lineRule="auto"/>
        <w:ind w:left="567" w:right="567"/>
        <w:jc w:val="both"/>
        <w:rPr>
          <w:rFonts w:ascii="Palatino Linotype" w:hAnsi="Palatino Linotype" w:cs="Arial"/>
          <w:i/>
          <w:iCs/>
        </w:rPr>
      </w:pPr>
      <w:r w:rsidRPr="0068276B">
        <w:rPr>
          <w:rFonts w:ascii="Palatino Linotype" w:hAnsi="Palatino Linotype" w:cs="Arial"/>
          <w:i/>
          <w:iCs/>
        </w:rPr>
        <w:t xml:space="preserve">IV. Por razones de seguridad nacional y salubridad general, o para proteger los derechos de terceros, se requiera su publicación, o </w:t>
      </w:r>
    </w:p>
    <w:p w14:paraId="10C43B4A" w14:textId="77777777" w:rsidR="004E1A82" w:rsidRPr="0068276B" w:rsidRDefault="004E1A82" w:rsidP="004E1A82">
      <w:pPr>
        <w:spacing w:after="0" w:line="276" w:lineRule="auto"/>
        <w:ind w:left="567" w:right="567"/>
        <w:jc w:val="both"/>
        <w:rPr>
          <w:rFonts w:ascii="Palatino Linotype" w:hAnsi="Palatino Linotype" w:cs="Arial"/>
          <w:i/>
          <w:iCs/>
        </w:rPr>
      </w:pPr>
      <w:r w:rsidRPr="0068276B">
        <w:rPr>
          <w:rFonts w:ascii="Palatino Linotype" w:hAnsi="Palatino Linotype" w:cs="Arial"/>
          <w:i/>
          <w:iC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532344E6" w14:textId="77777777" w:rsidR="004E1A82" w:rsidRPr="0068276B" w:rsidRDefault="004E1A82" w:rsidP="004E1A82">
      <w:pPr>
        <w:spacing w:after="0" w:line="276" w:lineRule="auto"/>
        <w:ind w:left="567" w:right="567"/>
        <w:jc w:val="both"/>
        <w:rPr>
          <w:rFonts w:ascii="Palatino Linotype" w:hAnsi="Palatino Linotype" w:cs="Arial"/>
          <w:i/>
          <w:iCs/>
        </w:rPr>
      </w:pPr>
      <w:r w:rsidRPr="0068276B">
        <w:rPr>
          <w:rFonts w:ascii="Palatino Linotype" w:hAnsi="Palatino Linotype" w:cs="Arial"/>
          <w:i/>
          <w:iCs/>
        </w:rPr>
        <w:t>…”</w:t>
      </w:r>
    </w:p>
    <w:p w14:paraId="0B16FC2E" w14:textId="77777777" w:rsidR="004E1A82" w:rsidRPr="0068276B" w:rsidRDefault="004E1A82" w:rsidP="004E1A82">
      <w:pPr>
        <w:spacing w:after="0" w:line="360" w:lineRule="auto"/>
        <w:ind w:right="-93"/>
        <w:jc w:val="both"/>
        <w:rPr>
          <w:rFonts w:ascii="Palatino Linotype" w:hAnsi="Palatino Linotype" w:cs="Tahoma"/>
          <w:bCs/>
        </w:rPr>
      </w:pPr>
    </w:p>
    <w:p w14:paraId="0BD53546" w14:textId="77777777" w:rsidR="004E1A82" w:rsidRPr="0068276B" w:rsidRDefault="004E1A82" w:rsidP="004E1A82">
      <w:pPr>
        <w:spacing w:after="0" w:line="360" w:lineRule="auto"/>
        <w:ind w:right="-93"/>
        <w:jc w:val="both"/>
        <w:rPr>
          <w:rFonts w:ascii="Palatino Linotype" w:hAnsi="Palatino Linotype" w:cs="Tahoma"/>
          <w:bCs/>
        </w:rPr>
      </w:pPr>
      <w:r w:rsidRPr="0068276B">
        <w:rPr>
          <w:rFonts w:ascii="Palatino Linotype" w:hAnsi="Palatino Linotype" w:cs="Tahoma"/>
          <w:bCs/>
        </w:rPr>
        <w:t>Situación que retoma de manera similar la Ley Estatal de Transparencia, en los artículos 143, fracción I, 147 y 148, que señalan:</w:t>
      </w:r>
    </w:p>
    <w:p w14:paraId="0D6979A0" w14:textId="77777777" w:rsidR="004E1A82" w:rsidRPr="0068276B" w:rsidRDefault="004E1A82" w:rsidP="004E1A82">
      <w:pPr>
        <w:spacing w:after="0" w:line="360" w:lineRule="auto"/>
        <w:ind w:right="-93"/>
        <w:jc w:val="both"/>
        <w:rPr>
          <w:rFonts w:ascii="Palatino Linotype" w:hAnsi="Palatino Linotype" w:cs="Tahoma"/>
          <w:bCs/>
        </w:rPr>
      </w:pPr>
    </w:p>
    <w:p w14:paraId="226BB5A2" w14:textId="77777777" w:rsidR="004E1A82" w:rsidRPr="0068276B" w:rsidRDefault="004E1A82" w:rsidP="00691771">
      <w:pPr>
        <w:spacing w:after="0" w:line="276" w:lineRule="auto"/>
        <w:ind w:left="567" w:right="567"/>
        <w:jc w:val="both"/>
        <w:rPr>
          <w:rFonts w:ascii="Palatino Linotype" w:hAnsi="Palatino Linotype" w:cs="Arial"/>
          <w:b/>
          <w:bCs/>
          <w:i/>
          <w:iCs/>
        </w:rPr>
      </w:pPr>
      <w:r w:rsidRPr="0068276B">
        <w:rPr>
          <w:rFonts w:ascii="Palatino Linotype" w:hAnsi="Palatino Linotype" w:cs="Arial"/>
          <w:b/>
          <w:bCs/>
          <w:i/>
          <w:iCs/>
        </w:rPr>
        <w:t xml:space="preserve">“Artículo 143. </w:t>
      </w:r>
      <w:r w:rsidRPr="0068276B">
        <w:rPr>
          <w:rFonts w:ascii="Palatino Linotype" w:hAnsi="Palatino Linotype" w:cs="Arial"/>
          <w:i/>
          <w:iCs/>
        </w:rPr>
        <w:t>Para los efectos de esta Ley se considera información confidencial, la clasificada como tal, de manera permanente, por su naturaleza, cuando:</w:t>
      </w:r>
      <w:r w:rsidRPr="0068276B">
        <w:rPr>
          <w:rFonts w:ascii="Palatino Linotype" w:hAnsi="Palatino Linotype" w:cs="Arial"/>
          <w:b/>
          <w:bCs/>
          <w:i/>
          <w:iCs/>
        </w:rPr>
        <w:t xml:space="preserve"> </w:t>
      </w:r>
    </w:p>
    <w:p w14:paraId="1923DEC5" w14:textId="77777777" w:rsidR="004E1A82" w:rsidRPr="0068276B" w:rsidRDefault="004E1A82" w:rsidP="004E1A82">
      <w:pPr>
        <w:spacing w:after="0" w:line="276" w:lineRule="auto"/>
        <w:ind w:left="567" w:right="567"/>
        <w:jc w:val="both"/>
        <w:rPr>
          <w:rFonts w:ascii="Palatino Linotype" w:hAnsi="Palatino Linotype" w:cs="Arial"/>
          <w:i/>
          <w:iCs/>
        </w:rPr>
      </w:pPr>
      <w:r w:rsidRPr="0068276B">
        <w:rPr>
          <w:rFonts w:ascii="Palatino Linotype" w:hAnsi="Palatino Linotype" w:cs="Arial"/>
          <w:i/>
          <w:iCs/>
        </w:rPr>
        <w:t>I. Se refiera a la información privada y los datos personales concernientes a una persona física o jurídica colectiva identificada o identificable;</w:t>
      </w:r>
    </w:p>
    <w:p w14:paraId="1025FA05" w14:textId="77777777" w:rsidR="004E1A82" w:rsidRPr="0068276B" w:rsidRDefault="004E1A82" w:rsidP="004E1A82">
      <w:pPr>
        <w:spacing w:after="0" w:line="276" w:lineRule="auto"/>
        <w:ind w:left="567" w:right="567"/>
        <w:jc w:val="both"/>
        <w:rPr>
          <w:rFonts w:ascii="Palatino Linotype" w:hAnsi="Palatino Linotype" w:cs="Arial"/>
          <w:i/>
          <w:iCs/>
        </w:rPr>
      </w:pPr>
      <w:r w:rsidRPr="0068276B">
        <w:rPr>
          <w:rFonts w:ascii="Palatino Linotype" w:hAnsi="Palatino Linotype" w:cs="Arial"/>
          <w:i/>
          <w:iCs/>
        </w:rPr>
        <w:t>…</w:t>
      </w:r>
    </w:p>
    <w:p w14:paraId="1BF54C1D" w14:textId="77777777" w:rsidR="004E1A82" w:rsidRPr="0068276B" w:rsidRDefault="004E1A82" w:rsidP="004E1A82">
      <w:pPr>
        <w:spacing w:after="0" w:line="276" w:lineRule="auto"/>
        <w:ind w:left="567" w:right="567"/>
        <w:jc w:val="both"/>
        <w:rPr>
          <w:rFonts w:ascii="Palatino Linotype" w:hAnsi="Palatino Linotype" w:cs="Arial"/>
          <w:i/>
          <w:iCs/>
        </w:rPr>
      </w:pPr>
      <w:r w:rsidRPr="0068276B">
        <w:rPr>
          <w:rFonts w:ascii="Palatino Linotype" w:hAnsi="Palatino Linotype" w:cs="Arial"/>
          <w:b/>
          <w:bCs/>
          <w:i/>
          <w:iCs/>
        </w:rPr>
        <w:t>Artículo 147.</w:t>
      </w:r>
      <w:r w:rsidRPr="0068276B">
        <w:rPr>
          <w:rFonts w:ascii="Palatino Linotype" w:hAnsi="Palatino Linotype" w:cs="Arial"/>
          <w:i/>
          <w:iCs/>
        </w:rPr>
        <w:t xml:space="preserve"> Para que los sujetos obligados puedan permitir el acceso a información confidencial requieren obtener el consentimiento de los particulares titulares de la información. </w:t>
      </w:r>
    </w:p>
    <w:p w14:paraId="2C75B427" w14:textId="77777777" w:rsidR="004E1A82" w:rsidRPr="0068276B" w:rsidRDefault="004E1A82" w:rsidP="004E1A82">
      <w:pPr>
        <w:spacing w:after="0" w:line="276" w:lineRule="auto"/>
        <w:ind w:left="567" w:right="567"/>
        <w:jc w:val="both"/>
        <w:rPr>
          <w:rFonts w:ascii="Palatino Linotype" w:hAnsi="Palatino Linotype" w:cs="Arial"/>
          <w:i/>
          <w:iCs/>
        </w:rPr>
      </w:pPr>
    </w:p>
    <w:p w14:paraId="3A8CF7D0" w14:textId="77777777" w:rsidR="004E1A82" w:rsidRPr="0068276B" w:rsidRDefault="004E1A82" w:rsidP="004E1A82">
      <w:pPr>
        <w:spacing w:after="0" w:line="276" w:lineRule="auto"/>
        <w:ind w:left="567" w:right="567"/>
        <w:jc w:val="both"/>
        <w:rPr>
          <w:rFonts w:ascii="Palatino Linotype" w:hAnsi="Palatino Linotype" w:cs="Arial"/>
          <w:i/>
          <w:iCs/>
        </w:rPr>
      </w:pPr>
      <w:r w:rsidRPr="0068276B">
        <w:rPr>
          <w:rFonts w:ascii="Palatino Linotype" w:hAnsi="Palatino Linotype" w:cs="Arial"/>
          <w:b/>
          <w:bCs/>
          <w:i/>
          <w:iCs/>
        </w:rPr>
        <w:t xml:space="preserve">Artículo 148. </w:t>
      </w:r>
      <w:r w:rsidRPr="0068276B">
        <w:rPr>
          <w:rFonts w:ascii="Palatino Linotype" w:hAnsi="Palatino Linotype" w:cs="Arial"/>
          <w:i/>
          <w:iCs/>
        </w:rPr>
        <w:t xml:space="preserve">No se requerirá el consentimiento del titular de la información confidencial cuando: </w:t>
      </w:r>
    </w:p>
    <w:p w14:paraId="4D0BB084" w14:textId="77777777" w:rsidR="004E1A82" w:rsidRPr="0068276B" w:rsidRDefault="004E1A82" w:rsidP="004E1A82">
      <w:pPr>
        <w:spacing w:after="0" w:line="276" w:lineRule="auto"/>
        <w:ind w:left="567" w:right="567"/>
        <w:jc w:val="both"/>
        <w:rPr>
          <w:rFonts w:ascii="Palatino Linotype" w:hAnsi="Palatino Linotype" w:cs="Arial"/>
          <w:i/>
          <w:iCs/>
        </w:rPr>
      </w:pPr>
    </w:p>
    <w:p w14:paraId="547F9C82" w14:textId="77777777" w:rsidR="004E1A82" w:rsidRPr="0068276B" w:rsidRDefault="004E1A82" w:rsidP="004E1A82">
      <w:pPr>
        <w:spacing w:after="0" w:line="276" w:lineRule="auto"/>
        <w:ind w:left="567" w:right="567"/>
        <w:jc w:val="both"/>
        <w:rPr>
          <w:rFonts w:ascii="Palatino Linotype" w:hAnsi="Palatino Linotype" w:cs="Arial"/>
          <w:i/>
          <w:iCs/>
        </w:rPr>
      </w:pPr>
      <w:r w:rsidRPr="0068276B">
        <w:rPr>
          <w:rFonts w:ascii="Palatino Linotype" w:hAnsi="Palatino Linotype" w:cs="Arial"/>
          <w:i/>
          <w:iCs/>
        </w:rPr>
        <w:t xml:space="preserve">I. La información se encuentre en registros públicos o fuentes de acceso público; </w:t>
      </w:r>
    </w:p>
    <w:p w14:paraId="3EA3F7ED" w14:textId="77777777" w:rsidR="004E1A82" w:rsidRPr="0068276B" w:rsidRDefault="004E1A82" w:rsidP="004E1A82">
      <w:pPr>
        <w:spacing w:after="0" w:line="276" w:lineRule="auto"/>
        <w:ind w:left="567" w:right="567"/>
        <w:jc w:val="both"/>
        <w:rPr>
          <w:rFonts w:ascii="Palatino Linotype" w:hAnsi="Palatino Linotype" w:cs="Arial"/>
          <w:i/>
          <w:iCs/>
        </w:rPr>
      </w:pPr>
      <w:r w:rsidRPr="0068276B">
        <w:rPr>
          <w:rFonts w:ascii="Palatino Linotype" w:hAnsi="Palatino Linotype" w:cs="Arial"/>
          <w:i/>
          <w:iCs/>
        </w:rPr>
        <w:t xml:space="preserve">II. Por Ley tenga el carácter de pública; </w:t>
      </w:r>
    </w:p>
    <w:p w14:paraId="336B0AA0" w14:textId="77777777" w:rsidR="004E1A82" w:rsidRPr="0068276B" w:rsidRDefault="004E1A82" w:rsidP="004E1A82">
      <w:pPr>
        <w:spacing w:after="0" w:line="276" w:lineRule="auto"/>
        <w:ind w:left="567" w:right="567"/>
        <w:jc w:val="both"/>
        <w:rPr>
          <w:rFonts w:ascii="Palatino Linotype" w:hAnsi="Palatino Linotype" w:cs="Arial"/>
          <w:i/>
          <w:iCs/>
        </w:rPr>
      </w:pPr>
      <w:r w:rsidRPr="0068276B">
        <w:rPr>
          <w:rFonts w:ascii="Palatino Linotype" w:hAnsi="Palatino Linotype" w:cs="Arial"/>
          <w:i/>
          <w:iCs/>
        </w:rPr>
        <w:t xml:space="preserve">III. Exista una orden judicial; </w:t>
      </w:r>
    </w:p>
    <w:p w14:paraId="2C837990" w14:textId="77777777" w:rsidR="004E1A82" w:rsidRPr="0068276B" w:rsidRDefault="004E1A82" w:rsidP="004E1A82">
      <w:pPr>
        <w:spacing w:after="0" w:line="276" w:lineRule="auto"/>
        <w:ind w:left="567" w:right="567"/>
        <w:jc w:val="both"/>
        <w:rPr>
          <w:rFonts w:ascii="Palatino Linotype" w:hAnsi="Palatino Linotype" w:cs="Arial"/>
          <w:i/>
          <w:iCs/>
        </w:rPr>
      </w:pPr>
      <w:r w:rsidRPr="0068276B">
        <w:rPr>
          <w:rFonts w:ascii="Palatino Linotype" w:hAnsi="Palatino Linotype" w:cs="Arial"/>
          <w:i/>
          <w:iCs/>
        </w:rPr>
        <w:t xml:space="preserve">IV. Por razones de seguridad pública, o para proteger los derechos de terceros, se requiera su publicación; o </w:t>
      </w:r>
    </w:p>
    <w:p w14:paraId="4ADB5032" w14:textId="77777777" w:rsidR="004E1A82" w:rsidRPr="0068276B" w:rsidRDefault="004E1A82" w:rsidP="004E1A82">
      <w:pPr>
        <w:spacing w:after="0" w:line="276" w:lineRule="auto"/>
        <w:ind w:left="567" w:right="567"/>
        <w:jc w:val="both"/>
        <w:rPr>
          <w:rFonts w:ascii="Palatino Linotype" w:hAnsi="Palatino Linotype" w:cs="Arial"/>
          <w:i/>
          <w:iCs/>
        </w:rPr>
      </w:pPr>
      <w:r w:rsidRPr="0068276B">
        <w:rPr>
          <w:rFonts w:ascii="Palatino Linotype" w:hAnsi="Palatino Linotype" w:cs="Arial"/>
          <w:i/>
          <w:iC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5AA0618F" w14:textId="77777777" w:rsidR="004E1A82" w:rsidRPr="0068276B" w:rsidRDefault="004E1A82" w:rsidP="004E1A82">
      <w:pPr>
        <w:spacing w:after="0" w:line="276" w:lineRule="auto"/>
        <w:ind w:left="567" w:right="567"/>
        <w:jc w:val="both"/>
        <w:rPr>
          <w:rFonts w:ascii="Palatino Linotype" w:hAnsi="Palatino Linotype" w:cs="Arial"/>
          <w:i/>
          <w:iCs/>
        </w:rPr>
      </w:pPr>
      <w:r w:rsidRPr="0068276B">
        <w:rPr>
          <w:rFonts w:ascii="Palatino Linotype" w:hAnsi="Palatino Linotype" w:cs="Arial"/>
          <w:i/>
          <w:iCs/>
        </w:rPr>
        <w:t>…”</w:t>
      </w:r>
    </w:p>
    <w:p w14:paraId="55CB8B28" w14:textId="77777777" w:rsidR="004E1A82" w:rsidRPr="0068276B" w:rsidRDefault="004E1A82" w:rsidP="004E1A82">
      <w:pPr>
        <w:spacing w:after="0" w:line="360" w:lineRule="auto"/>
        <w:ind w:right="-93"/>
        <w:jc w:val="both"/>
        <w:rPr>
          <w:rFonts w:ascii="Palatino Linotype" w:hAnsi="Palatino Linotype" w:cs="Tahoma"/>
          <w:bCs/>
        </w:rPr>
      </w:pPr>
    </w:p>
    <w:p w14:paraId="7CA6600F" w14:textId="77777777" w:rsidR="004E1A82" w:rsidRPr="0068276B" w:rsidRDefault="004E1A82" w:rsidP="004E1A82">
      <w:pPr>
        <w:spacing w:after="0" w:line="360" w:lineRule="auto"/>
        <w:ind w:right="-93"/>
        <w:jc w:val="both"/>
        <w:rPr>
          <w:rFonts w:ascii="Palatino Linotype" w:hAnsi="Palatino Linotype" w:cs="Tahoma"/>
          <w:bCs/>
          <w:lang w:val="es-ES"/>
        </w:rPr>
      </w:pPr>
      <w:r w:rsidRPr="0068276B">
        <w:rPr>
          <w:rFonts w:ascii="Palatino Linotype" w:hAnsi="Palatino Linotype" w:cs="Tahoma"/>
          <w:bCs/>
          <w:lang w:val="es-ES"/>
        </w:rPr>
        <w:t>Conforme a lo anterior,  se advierte que la información confidencial, es aquella que refiera a información de la vida privada o que contenga datos personales concernientes a una persona identificada o identificable, misma que no estará sujeta a temporalidad alguna y sólo podrán tener acceso a ella los titulares de la misma, sus representantes y los servidores públicos facultados para ello.</w:t>
      </w:r>
    </w:p>
    <w:p w14:paraId="15C01A2F" w14:textId="77777777" w:rsidR="004E1A82" w:rsidRPr="0068276B" w:rsidRDefault="004E1A82" w:rsidP="004E1A82">
      <w:pPr>
        <w:spacing w:after="0" w:line="360" w:lineRule="auto"/>
        <w:ind w:right="-93"/>
        <w:jc w:val="both"/>
        <w:rPr>
          <w:rFonts w:ascii="Palatino Linotype" w:hAnsi="Palatino Linotype" w:cs="Tahoma"/>
          <w:bCs/>
          <w:lang w:val="es-ES"/>
        </w:rPr>
      </w:pPr>
    </w:p>
    <w:p w14:paraId="05B944EF" w14:textId="77777777" w:rsidR="004E1A82" w:rsidRPr="0068276B" w:rsidRDefault="004E1A82" w:rsidP="004E1A82">
      <w:pPr>
        <w:spacing w:after="0" w:line="360" w:lineRule="auto"/>
        <w:ind w:right="-93"/>
        <w:jc w:val="both"/>
        <w:rPr>
          <w:rFonts w:ascii="Palatino Linotype" w:hAnsi="Palatino Linotype" w:cs="Tahoma"/>
          <w:bCs/>
          <w:lang w:val="es-ES"/>
        </w:rPr>
      </w:pPr>
      <w:r w:rsidRPr="0068276B">
        <w:rPr>
          <w:rFonts w:ascii="Palatino Linotype" w:hAnsi="Palatino Linotype" w:cs="Tahoma"/>
          <w:bCs/>
          <w:lang w:val="es-ES"/>
        </w:rPr>
        <w:t>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F963FB8" w14:textId="77777777" w:rsidR="004E1A82" w:rsidRPr="0068276B" w:rsidRDefault="004E1A82" w:rsidP="004E1A82">
      <w:pPr>
        <w:spacing w:after="0" w:line="360" w:lineRule="auto"/>
        <w:ind w:right="-93"/>
        <w:jc w:val="both"/>
        <w:rPr>
          <w:rFonts w:ascii="Palatino Linotype" w:hAnsi="Palatino Linotype" w:cs="Tahoma"/>
          <w:bCs/>
          <w:lang w:val="es-ES"/>
        </w:rPr>
      </w:pPr>
    </w:p>
    <w:p w14:paraId="321746D8" w14:textId="77777777" w:rsidR="004E1A82" w:rsidRPr="0068276B" w:rsidRDefault="004E1A82" w:rsidP="004E1A82">
      <w:pPr>
        <w:spacing w:after="0" w:line="360" w:lineRule="auto"/>
        <w:ind w:right="-93"/>
        <w:jc w:val="both"/>
        <w:rPr>
          <w:rFonts w:ascii="Palatino Linotype" w:hAnsi="Palatino Linotype" w:cs="Tahoma"/>
          <w:bCs/>
          <w:lang w:val="es-ES"/>
        </w:rPr>
      </w:pPr>
      <w:r w:rsidRPr="0068276B">
        <w:rPr>
          <w:rFonts w:ascii="Palatino Linotype" w:hAnsi="Palatino Linotype" w:cs="Tahoma"/>
          <w:bCs/>
          <w:lang w:val="es-ES"/>
        </w:rPr>
        <w:t xml:space="preserve">Además, los sujetos obligados serán responsables de los datos personales y, en relación con éstos, deberán cumplir, con las obligaciones establecidas en las leyes de la materia y en la </w:t>
      </w:r>
      <w:r w:rsidRPr="0068276B">
        <w:rPr>
          <w:rFonts w:ascii="Palatino Linotype" w:hAnsi="Palatino Linotype" w:cs="Tahoma"/>
          <w:bCs/>
          <w:iCs/>
          <w:lang w:val="es-ES"/>
        </w:rPr>
        <w:t>Ley General de Transparencia y Acceso a la Información Pública</w:t>
      </w:r>
      <w:r w:rsidRPr="0068276B">
        <w:rPr>
          <w:rFonts w:ascii="Palatino Linotype" w:hAnsi="Palatino Linotype" w:cs="Tahoma"/>
          <w:bCs/>
          <w:lang w:val="es-ES"/>
        </w:rPr>
        <w:t>.</w:t>
      </w:r>
    </w:p>
    <w:p w14:paraId="42058D82" w14:textId="77777777" w:rsidR="004E1A82" w:rsidRPr="0068276B" w:rsidRDefault="004E1A82" w:rsidP="004E1A82">
      <w:pPr>
        <w:spacing w:after="0" w:line="360" w:lineRule="auto"/>
        <w:ind w:right="-93"/>
        <w:jc w:val="both"/>
        <w:rPr>
          <w:rFonts w:ascii="Palatino Linotype" w:hAnsi="Palatino Linotype" w:cs="Tahoma"/>
          <w:b/>
        </w:rPr>
      </w:pPr>
    </w:p>
    <w:p w14:paraId="6A12812D" w14:textId="77777777" w:rsidR="004E1A82" w:rsidRPr="0068276B" w:rsidRDefault="004E1A82" w:rsidP="004E1A82">
      <w:pPr>
        <w:spacing w:after="0" w:line="360" w:lineRule="auto"/>
        <w:ind w:right="-93"/>
        <w:jc w:val="both"/>
        <w:rPr>
          <w:rFonts w:ascii="Palatino Linotype" w:hAnsi="Palatino Linotype" w:cs="Tahoma"/>
          <w:bCs/>
          <w:lang w:val="es-ES"/>
        </w:rPr>
      </w:pPr>
      <w:r w:rsidRPr="0068276B">
        <w:rPr>
          <w:rFonts w:ascii="Palatino Linotype" w:hAnsi="Palatino Linotype" w:cs="Tahoma"/>
          <w:bCs/>
          <w:lang w:val="es-ES"/>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62F28A17" w14:textId="77777777" w:rsidR="004E1A82" w:rsidRPr="0068276B" w:rsidRDefault="004E1A82" w:rsidP="004E1A82">
      <w:pPr>
        <w:spacing w:after="0" w:line="360" w:lineRule="auto"/>
        <w:ind w:right="-93"/>
        <w:jc w:val="both"/>
        <w:rPr>
          <w:rFonts w:ascii="Palatino Linotype" w:hAnsi="Palatino Linotype" w:cs="Tahoma"/>
          <w:bCs/>
          <w:lang w:val="es-ES"/>
        </w:rPr>
      </w:pPr>
    </w:p>
    <w:p w14:paraId="0DA88008" w14:textId="77777777" w:rsidR="004E1A82" w:rsidRPr="0068276B" w:rsidRDefault="004E1A82" w:rsidP="004E1A82">
      <w:pPr>
        <w:numPr>
          <w:ilvl w:val="0"/>
          <w:numId w:val="12"/>
        </w:numPr>
        <w:spacing w:after="0" w:line="360" w:lineRule="auto"/>
        <w:ind w:right="-93"/>
        <w:jc w:val="both"/>
        <w:rPr>
          <w:rFonts w:ascii="Palatino Linotype" w:hAnsi="Palatino Linotype" w:cs="Tahoma"/>
          <w:bCs/>
          <w:lang w:val="es-ES"/>
        </w:rPr>
      </w:pPr>
      <w:r w:rsidRPr="0068276B">
        <w:rPr>
          <w:rFonts w:ascii="Palatino Linotype" w:hAnsi="Palatino Linotype" w:cs="Tahoma"/>
          <w:bCs/>
          <w:lang w:val="es-ES"/>
        </w:rPr>
        <w:t xml:space="preserve">Se trate de datos personales, esto es, información concerniente a una persona física y que ésta sea identificada o identificable o bien, sea aquella que refiera aspectos de la vida privada o íntima de las personas. </w:t>
      </w:r>
    </w:p>
    <w:p w14:paraId="1444670F" w14:textId="77777777" w:rsidR="004E1A82" w:rsidRPr="0068276B" w:rsidRDefault="004E1A82" w:rsidP="004E1A82">
      <w:pPr>
        <w:spacing w:after="0" w:line="360" w:lineRule="auto"/>
        <w:ind w:right="-93"/>
        <w:jc w:val="both"/>
        <w:rPr>
          <w:rFonts w:ascii="Palatino Linotype" w:hAnsi="Palatino Linotype" w:cs="Tahoma"/>
          <w:bCs/>
          <w:lang w:val="es-ES"/>
        </w:rPr>
      </w:pPr>
    </w:p>
    <w:p w14:paraId="1F326E1D" w14:textId="77777777" w:rsidR="004E1A82" w:rsidRPr="0068276B" w:rsidRDefault="004E1A82" w:rsidP="004E1A82">
      <w:pPr>
        <w:numPr>
          <w:ilvl w:val="0"/>
          <w:numId w:val="12"/>
        </w:numPr>
        <w:spacing w:after="0" w:line="360" w:lineRule="auto"/>
        <w:ind w:right="-93"/>
        <w:jc w:val="both"/>
        <w:rPr>
          <w:rFonts w:ascii="Palatino Linotype" w:hAnsi="Palatino Linotype" w:cs="Tahoma"/>
          <w:bCs/>
          <w:lang w:val="es-ES"/>
        </w:rPr>
      </w:pPr>
      <w:r w:rsidRPr="0068276B">
        <w:rPr>
          <w:rFonts w:ascii="Palatino Linotype" w:hAnsi="Palatino Linotype" w:cs="Tahoma"/>
          <w:bCs/>
          <w:lang w:val="es-ES"/>
        </w:rPr>
        <w:t xml:space="preserve">Para la difusión de los datos, se requiera el consentimiento del titular. </w:t>
      </w:r>
    </w:p>
    <w:p w14:paraId="6CB702D5" w14:textId="77777777" w:rsidR="004E1A82" w:rsidRPr="0068276B" w:rsidRDefault="004E1A82" w:rsidP="004E1A82">
      <w:pPr>
        <w:spacing w:after="0" w:line="360" w:lineRule="auto"/>
        <w:jc w:val="both"/>
        <w:rPr>
          <w:rFonts w:ascii="Palatino Linotype" w:hAnsi="Palatino Linotype" w:cs="Tahoma"/>
          <w:bCs/>
        </w:rPr>
      </w:pPr>
    </w:p>
    <w:p w14:paraId="43F49D57" w14:textId="77777777" w:rsidR="004E1A82" w:rsidRPr="0068276B" w:rsidRDefault="004E1A82" w:rsidP="004E1A82">
      <w:pPr>
        <w:spacing w:after="0" w:line="360" w:lineRule="auto"/>
        <w:jc w:val="both"/>
        <w:rPr>
          <w:rFonts w:ascii="Palatino Linotype" w:hAnsi="Palatino Linotype" w:cs="Tahoma"/>
          <w:iCs/>
          <w:lang w:val="es-ES"/>
        </w:rPr>
      </w:pPr>
      <w:r w:rsidRPr="0068276B">
        <w:rPr>
          <w:rFonts w:ascii="Palatino Linotype" w:hAnsi="Palatino Linotype" w:cs="Tahoma"/>
          <w:iCs/>
          <w:lang w:val="es-ES"/>
        </w:rPr>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14:paraId="1A44E51B" w14:textId="77777777" w:rsidR="004E1A82" w:rsidRPr="0068276B" w:rsidRDefault="004E1A82" w:rsidP="004E1A82">
      <w:pPr>
        <w:spacing w:after="0" w:line="360" w:lineRule="auto"/>
        <w:jc w:val="both"/>
        <w:rPr>
          <w:rFonts w:ascii="Palatino Linotype" w:hAnsi="Palatino Linotype" w:cs="Tahoma"/>
          <w:iCs/>
          <w:lang w:val="es-ES"/>
        </w:rPr>
      </w:pPr>
    </w:p>
    <w:p w14:paraId="6015EFC2" w14:textId="77777777" w:rsidR="004E1A82" w:rsidRPr="0068276B" w:rsidRDefault="004E1A82" w:rsidP="004E1A82">
      <w:pPr>
        <w:pStyle w:val="Prrafodelista"/>
        <w:numPr>
          <w:ilvl w:val="0"/>
          <w:numId w:val="13"/>
        </w:numPr>
        <w:spacing w:after="0" w:line="360" w:lineRule="auto"/>
        <w:jc w:val="both"/>
        <w:rPr>
          <w:rFonts w:ascii="Palatino Linotype" w:hAnsi="Palatino Linotype" w:cs="Tahoma"/>
          <w:iCs/>
          <w:lang w:val="es-ES"/>
        </w:rPr>
      </w:pPr>
      <w:r w:rsidRPr="0068276B">
        <w:rPr>
          <w:rFonts w:ascii="Palatino Linotype" w:hAnsi="Palatino Linotype" w:cs="Tahoma"/>
          <w:b/>
          <w:iCs/>
          <w:lang w:val="es-ES"/>
        </w:rPr>
        <w:t xml:space="preserve">Datos Personales: </w:t>
      </w:r>
      <w:r w:rsidRPr="0068276B">
        <w:rPr>
          <w:rFonts w:ascii="Palatino Linotype" w:hAnsi="Palatino Linotype" w:cs="Tahoma"/>
          <w:iCs/>
          <w:lang w:val="es-ES"/>
        </w:rPr>
        <w:t>Son cualquier información concerniente a una persona física identificada o identificable, y</w:t>
      </w:r>
    </w:p>
    <w:p w14:paraId="449BD319" w14:textId="77777777" w:rsidR="004E1A82" w:rsidRPr="0068276B" w:rsidRDefault="004E1A82" w:rsidP="004E1A82">
      <w:pPr>
        <w:pStyle w:val="Prrafodelista"/>
        <w:spacing w:after="0" w:line="360" w:lineRule="auto"/>
        <w:jc w:val="both"/>
        <w:rPr>
          <w:rFonts w:ascii="Palatino Linotype" w:hAnsi="Palatino Linotype" w:cs="Tahoma"/>
          <w:iCs/>
          <w:lang w:val="es-ES"/>
        </w:rPr>
      </w:pPr>
    </w:p>
    <w:p w14:paraId="28FE35F5" w14:textId="77777777" w:rsidR="004E1A82" w:rsidRPr="0068276B" w:rsidRDefault="004E1A82" w:rsidP="004E1A82">
      <w:pPr>
        <w:pStyle w:val="Prrafodelista"/>
        <w:numPr>
          <w:ilvl w:val="0"/>
          <w:numId w:val="13"/>
        </w:numPr>
        <w:spacing w:after="0" w:line="360" w:lineRule="auto"/>
        <w:jc w:val="both"/>
        <w:rPr>
          <w:rFonts w:ascii="Palatino Linotype" w:hAnsi="Palatino Linotype" w:cs="Tahoma"/>
          <w:iCs/>
          <w:lang w:val="es-ES"/>
        </w:rPr>
      </w:pPr>
      <w:r w:rsidRPr="0068276B">
        <w:rPr>
          <w:rFonts w:ascii="Palatino Linotype" w:hAnsi="Palatino Linotype" w:cs="Tahoma"/>
          <w:b/>
          <w:iCs/>
          <w:lang w:val="es-ES"/>
        </w:rPr>
        <w:t>Datos Personales Sensibles:</w:t>
      </w:r>
      <w:r w:rsidRPr="0068276B">
        <w:rPr>
          <w:rFonts w:ascii="Palatino Linotype" w:hAnsi="Palatino Linotype" w:cs="Tahoma"/>
          <w:iCs/>
          <w:lang w:val="es-ES"/>
        </w:rPr>
        <w:t xml:space="preserve"> Son aquellos que refieran a la esfera más íntima de su titular y cuya utilización indebida pueda dar origen a discriminación o un riesgo grave para su titular, entre los cuales se encuentran aquellos que puedan revelar aspectos como origen racial o étnico, estado de salud, información genética, creencias religiosas, filosóficas y morales, opiniones políticas y preferencia sexual.</w:t>
      </w:r>
    </w:p>
    <w:p w14:paraId="3B68C39B" w14:textId="77777777" w:rsidR="004E1A82" w:rsidRPr="0068276B" w:rsidRDefault="004E1A82" w:rsidP="004E1A82">
      <w:pPr>
        <w:spacing w:after="0" w:line="360" w:lineRule="auto"/>
        <w:jc w:val="both"/>
        <w:rPr>
          <w:rFonts w:ascii="Palatino Linotype" w:hAnsi="Palatino Linotype" w:cs="Tahoma"/>
          <w:b/>
          <w:bCs/>
          <w:iCs/>
          <w:lang w:val="es-ES"/>
        </w:rPr>
      </w:pPr>
    </w:p>
    <w:p w14:paraId="058E8E4C" w14:textId="676E058C" w:rsidR="004E1A82" w:rsidRPr="0068276B" w:rsidRDefault="004E1A82" w:rsidP="004E1A82">
      <w:pPr>
        <w:tabs>
          <w:tab w:val="left" w:pos="3962"/>
        </w:tabs>
        <w:spacing w:after="0" w:line="360" w:lineRule="auto"/>
        <w:jc w:val="both"/>
        <w:rPr>
          <w:rFonts w:ascii="Palatino Linotype" w:hAnsi="Palatino Linotype" w:cs="Tahoma"/>
          <w:bCs/>
          <w:iCs/>
          <w:lang w:val="es-ES"/>
        </w:rPr>
      </w:pPr>
      <w:r w:rsidRPr="0068276B">
        <w:rPr>
          <w:rFonts w:ascii="Palatino Linotype" w:hAnsi="Palatino Linotype" w:cs="Tahoma"/>
          <w:bCs/>
          <w:iCs/>
          <w:lang w:val="es-ES"/>
        </w:rPr>
        <w:t xml:space="preserve">En el presente caso, proporcionar </w:t>
      </w:r>
      <w:r w:rsidR="006543D8" w:rsidRPr="0068276B">
        <w:rPr>
          <w:rFonts w:ascii="Palatino Linotype" w:hAnsi="Palatino Linotype" w:cs="Tahoma"/>
          <w:bCs/>
          <w:iCs/>
          <w:lang w:val="es-ES"/>
        </w:rPr>
        <w:t>las constancias de vecindad de particulares,</w:t>
      </w:r>
      <w:r w:rsidR="008A5073" w:rsidRPr="0068276B">
        <w:rPr>
          <w:rFonts w:ascii="Palatino Linotype" w:hAnsi="Palatino Linotype" w:cs="Tahoma"/>
          <w:bCs/>
          <w:iCs/>
          <w:lang w:val="es-ES"/>
        </w:rPr>
        <w:t xml:space="preserve"> </w:t>
      </w:r>
      <w:r w:rsidRPr="0068276B">
        <w:rPr>
          <w:rFonts w:ascii="Palatino Linotype" w:hAnsi="Palatino Linotype" w:cs="Tahoma"/>
          <w:bCs/>
          <w:iCs/>
          <w:lang w:val="es-ES"/>
        </w:rPr>
        <w:t xml:space="preserve">podría dañar su esfera más íntima, por lo que, son susceptibles de ser clasificados como confidenciales, en términos de la fracción I del artículo 143 de la Ley de Transparencia de la Entidad. </w:t>
      </w:r>
    </w:p>
    <w:p w14:paraId="28F093B0" w14:textId="77777777" w:rsidR="006543D8" w:rsidRPr="0068276B" w:rsidRDefault="006543D8" w:rsidP="004E1A82">
      <w:pPr>
        <w:tabs>
          <w:tab w:val="left" w:pos="3962"/>
        </w:tabs>
        <w:spacing w:after="0" w:line="360" w:lineRule="auto"/>
        <w:jc w:val="both"/>
        <w:rPr>
          <w:rFonts w:ascii="Palatino Linotype" w:hAnsi="Palatino Linotype" w:cs="Tahoma"/>
          <w:bCs/>
          <w:iCs/>
          <w:lang w:val="es-ES"/>
        </w:rPr>
      </w:pPr>
    </w:p>
    <w:p w14:paraId="305E96AA" w14:textId="54FBD430" w:rsidR="006543D8" w:rsidRPr="0068276B" w:rsidRDefault="006543D8" w:rsidP="004E1A82">
      <w:pPr>
        <w:tabs>
          <w:tab w:val="left" w:pos="3962"/>
        </w:tabs>
        <w:spacing w:after="0" w:line="360" w:lineRule="auto"/>
        <w:jc w:val="both"/>
        <w:rPr>
          <w:rFonts w:ascii="Palatino Linotype" w:hAnsi="Palatino Linotype" w:cs="Tahoma"/>
          <w:bCs/>
          <w:iCs/>
          <w:lang w:val="es-ES"/>
        </w:rPr>
      </w:pPr>
      <w:r w:rsidRPr="0068276B">
        <w:rPr>
          <w:rFonts w:ascii="Palatino Linotype" w:hAnsi="Palatino Linotype" w:cs="Tahoma"/>
          <w:bCs/>
          <w:iCs/>
          <w:lang w:val="es-ES"/>
        </w:rPr>
        <w:t xml:space="preserve">Ahora bien, cabe referir que si bien, la información solicitada actualiza una causal de clasificación, también lo es que, de las constancias que obran en el expediente electrónico, no se advierte que el Sujeto Obligado haya entregado en Acta mediante la cual sustentó dicha determinación. </w:t>
      </w:r>
    </w:p>
    <w:p w14:paraId="5F6A02FE" w14:textId="77777777" w:rsidR="008A5073" w:rsidRPr="0068276B" w:rsidRDefault="008A5073" w:rsidP="008A5073">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5445ECD9" w14:textId="28F3C39C" w:rsidR="006543D8" w:rsidRPr="0068276B" w:rsidRDefault="006543D8" w:rsidP="006543D8">
      <w:pP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rPr>
        <w:t>Por ello, es conveniente referir las restricciones al derecho de acceso a la información, en este caso, por tratarse de información de índole confidencial, debe acompañarse necesariamente del Acuerdo d</w:t>
      </w:r>
      <w:r w:rsidR="007774A8" w:rsidRPr="0068276B">
        <w:rPr>
          <w:rFonts w:ascii="Palatino Linotype" w:eastAsia="Palatino Linotype" w:hAnsi="Palatino Linotype" w:cs="Palatino Linotype"/>
        </w:rPr>
        <w:t>el Comité de Transparencia que lo</w:t>
      </w:r>
      <w:r w:rsidRPr="0068276B">
        <w:rPr>
          <w:rFonts w:ascii="Palatino Linotype" w:eastAsia="Palatino Linotype" w:hAnsi="Palatino Linotype" w:cs="Palatino Linotype"/>
        </w:rPr>
        <w:t xml:space="preserve"> sustente, el cual debe estar debidamente fundado y motivado y, deberá exponer los fundamentos </w:t>
      </w:r>
      <w:r w:rsidR="007774A8" w:rsidRPr="0068276B">
        <w:rPr>
          <w:rFonts w:ascii="Palatino Linotype" w:eastAsia="Palatino Linotype" w:hAnsi="Palatino Linotype" w:cs="Palatino Linotype"/>
        </w:rPr>
        <w:t xml:space="preserve">y razonamientos que llevaron a la determinación. </w:t>
      </w:r>
    </w:p>
    <w:p w14:paraId="199C1D39" w14:textId="77777777" w:rsidR="006543D8" w:rsidRPr="0068276B" w:rsidRDefault="006543D8" w:rsidP="006543D8">
      <w:pPr>
        <w:spacing w:after="0" w:line="360" w:lineRule="auto"/>
        <w:ind w:right="49"/>
        <w:jc w:val="both"/>
        <w:rPr>
          <w:rFonts w:ascii="Palatino Linotype" w:eastAsia="Palatino Linotype" w:hAnsi="Palatino Linotype" w:cs="Palatino Linotype"/>
        </w:rPr>
      </w:pPr>
    </w:p>
    <w:p w14:paraId="18C48A35" w14:textId="2AA405E6" w:rsidR="006543D8" w:rsidRPr="0068276B" w:rsidRDefault="006543D8" w:rsidP="006543D8">
      <w:pP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rPr>
        <w:t>En ese sentido, el Acuerdo de Clasificación deberá estar debidamente fundado y motivado, observando lo dispuesto por los artículos 49, fracción VIII, 122, 130, 132, fracciones I, II y III, 143 en su fracción primera y 149 de la Ley de Transparencia y Acceso a la Información Pública del Estado de México y Municipios en vigor Lineamientos Cuarto al Octavo, Décimo, Décimo Primero, Quincuagésimo y Quincuagésimo Tercero de los Lineamientos Generales en materia de Clasificación y Desclasificación de la Información, así como para la elaboración de Versiones Públicas, vigentes a la fecha de la solicitud de información que literalmente expresan:</w:t>
      </w:r>
    </w:p>
    <w:p w14:paraId="245EBB79" w14:textId="77777777" w:rsidR="00651CE9" w:rsidRPr="0068276B" w:rsidRDefault="00651CE9" w:rsidP="006543D8">
      <w:pPr>
        <w:spacing w:after="0" w:line="360" w:lineRule="auto"/>
        <w:ind w:right="49"/>
        <w:jc w:val="both"/>
        <w:rPr>
          <w:rFonts w:ascii="Palatino Linotype" w:eastAsia="Palatino Linotype" w:hAnsi="Palatino Linotype" w:cs="Palatino Linotype"/>
        </w:rPr>
      </w:pPr>
    </w:p>
    <w:p w14:paraId="46F6C7DA" w14:textId="77777777" w:rsidR="006543D8" w:rsidRPr="0068276B" w:rsidRDefault="006543D8" w:rsidP="006543D8">
      <w:pPr>
        <w:spacing w:after="0"/>
        <w:ind w:left="567" w:right="851"/>
        <w:jc w:val="center"/>
        <w:rPr>
          <w:rFonts w:ascii="Palatino Linotype" w:eastAsia="Palatino Linotype" w:hAnsi="Palatino Linotype" w:cs="Palatino Linotype"/>
          <w:b/>
          <w:i/>
        </w:rPr>
      </w:pPr>
      <w:r w:rsidRPr="0068276B">
        <w:rPr>
          <w:rFonts w:ascii="Palatino Linotype" w:eastAsia="Palatino Linotype" w:hAnsi="Palatino Linotype" w:cs="Palatino Linotype"/>
          <w:b/>
          <w:i/>
        </w:rPr>
        <w:t>Ley de Transparencia y Acceso a la Información Pública del Estado de México y Municipios</w:t>
      </w:r>
    </w:p>
    <w:p w14:paraId="045DE3AB" w14:textId="77777777" w:rsidR="006543D8" w:rsidRPr="0068276B" w:rsidRDefault="006543D8" w:rsidP="006543D8">
      <w:pPr>
        <w:spacing w:after="0"/>
        <w:ind w:left="567" w:right="851"/>
        <w:jc w:val="both"/>
        <w:rPr>
          <w:rFonts w:ascii="Palatino Linotype" w:eastAsia="Palatino Linotype" w:hAnsi="Palatino Linotype" w:cs="Palatino Linotype"/>
        </w:rPr>
      </w:pPr>
    </w:p>
    <w:p w14:paraId="20F3D90F"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“Artículo 49. Los Comités de Transparencia tendrán las siguientes atribuciones:</w:t>
      </w:r>
    </w:p>
    <w:p w14:paraId="45DAE84B"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VIII. Aprobar, modificar o revocar la clasificación de la información;</w:t>
      </w:r>
    </w:p>
    <w:p w14:paraId="7A0E68E6"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w:t>
      </w:r>
    </w:p>
    <w:p w14:paraId="15DB2FBA"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Artículo 122. La clasificación es el proceso mediante el cual el sujeto obligado determina que la información en su poder actualiza alguno de los supuestos de reserva o confidencialidad, de conformidad con lo dispuesto en el presente título.</w:t>
      </w:r>
    </w:p>
    <w:p w14:paraId="14C2A2E7"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Los supuestos de reserva o confidencialidad previstos en las leyes deberán ser acordes con las bases, principios y disposiciones establecidos en la Ley General y, en ningún caso, podrán contravenirla.</w:t>
      </w:r>
    </w:p>
    <w:p w14:paraId="09F03177"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Los titulares de las áreas de los sujetos obligados serán los responsables de clasificar la información, de conformidad con lo dispuesto en la presente Ley y demás disposiciones jurídicas aplicables.</w:t>
      </w:r>
    </w:p>
    <w:p w14:paraId="5EA668E3"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w:t>
      </w:r>
    </w:p>
    <w:p w14:paraId="3112B152"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Artículo 130.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35295CFF"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Artículo 132. La clasificación de la información se llevará a cabo en el momento en que:</w:t>
      </w:r>
    </w:p>
    <w:p w14:paraId="0EE1840C"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I. Se reciba una solicitud de acceso a la información;</w:t>
      </w:r>
    </w:p>
    <w:p w14:paraId="7C9378ED"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II. Se determine mediante resolución de autoridad competente; o</w:t>
      </w:r>
    </w:p>
    <w:p w14:paraId="4093219F"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III. Se generen versiones públicas para dar cumplimiento a las obligaciones de transparencia previstas en esta Ley.</w:t>
      </w:r>
    </w:p>
    <w:p w14:paraId="677D9E9C"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w:t>
      </w:r>
    </w:p>
    <w:p w14:paraId="593ABC4F"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Artículo 143. Para los efectos de esta Ley se considera información confidencial, la clasificada como tal, de manera permanente, por su naturaleza, cuando:</w:t>
      </w:r>
    </w:p>
    <w:p w14:paraId="3D570348"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4E25C02A"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w:t>
      </w:r>
    </w:p>
    <w:p w14:paraId="1949F163"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Artículo 149. El acuerdo que clasifique la información como confidencial deberá contener un razonamiento lógico en el que demuestre que la información se encuentra en alguna o algunas de las hipótesis previstas en la presente Ley.”</w:t>
      </w:r>
    </w:p>
    <w:p w14:paraId="44BE2C8B" w14:textId="77777777" w:rsidR="006543D8" w:rsidRPr="0068276B" w:rsidRDefault="006543D8" w:rsidP="006543D8">
      <w:pPr>
        <w:spacing w:after="0"/>
        <w:ind w:left="567" w:right="851"/>
        <w:jc w:val="both"/>
        <w:rPr>
          <w:rFonts w:ascii="Palatino Linotype" w:eastAsia="Palatino Linotype" w:hAnsi="Palatino Linotype" w:cs="Palatino Linotype"/>
        </w:rPr>
      </w:pPr>
      <w:r w:rsidRPr="0068276B">
        <w:rPr>
          <w:rFonts w:ascii="Palatino Linotype" w:eastAsia="Palatino Linotype" w:hAnsi="Palatino Linotype" w:cs="Palatino Linotype"/>
        </w:rPr>
        <w:t>Lineamientos Generales en materia de Clasificación y Desclasificación de la Información, vigentes a la fecha de la solicitud de información, así como para la elaboración de Versiones Públicas</w:t>
      </w:r>
    </w:p>
    <w:p w14:paraId="4EBFB892" w14:textId="77777777" w:rsidR="006543D8" w:rsidRPr="0068276B" w:rsidRDefault="006543D8" w:rsidP="006543D8">
      <w:pPr>
        <w:spacing w:after="0"/>
        <w:ind w:left="567" w:right="851"/>
        <w:jc w:val="both"/>
        <w:rPr>
          <w:rFonts w:ascii="Palatino Linotype" w:eastAsia="Palatino Linotype" w:hAnsi="Palatino Linotype" w:cs="Palatino Linotype"/>
          <w:i/>
        </w:rPr>
      </w:pPr>
    </w:p>
    <w:p w14:paraId="2C189E58"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77F5FA0"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7C8445CD" w14:textId="77777777" w:rsidR="006543D8" w:rsidRPr="0068276B" w:rsidRDefault="006543D8" w:rsidP="006543D8">
      <w:pPr>
        <w:spacing w:after="0"/>
        <w:ind w:left="567" w:right="851"/>
        <w:jc w:val="both"/>
        <w:rPr>
          <w:rFonts w:ascii="Palatino Linotype" w:eastAsia="Palatino Linotype" w:hAnsi="Palatino Linotype" w:cs="Palatino Linotype"/>
          <w:i/>
        </w:rPr>
      </w:pPr>
    </w:p>
    <w:p w14:paraId="7976D104"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E3D76EB"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w:t>
      </w:r>
    </w:p>
    <w:p w14:paraId="770807EF"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Séptimo. La clasificación de la información se llevará a cabo en el momento en que:</w:t>
      </w:r>
    </w:p>
    <w:p w14:paraId="0A25519D"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I. Se reciba una solicitud de acceso a la información;</w:t>
      </w:r>
    </w:p>
    <w:p w14:paraId="54B8BC31"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II. Se determine mediante resolución de autoridad competente, o</w:t>
      </w:r>
    </w:p>
    <w:p w14:paraId="4E187A91"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III. Se generen versiones públicas para dar cumplimiento a las obligaciones de transparencia previstas en la Ley General, la Ley Federal y las correspondientes de las entidades federativas.</w:t>
      </w:r>
    </w:p>
    <w:p w14:paraId="1C22F38E"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03E65120" w14:textId="77777777" w:rsidR="006543D8" w:rsidRPr="0068276B" w:rsidRDefault="006543D8" w:rsidP="006543D8">
      <w:pPr>
        <w:spacing w:after="0"/>
        <w:ind w:left="567" w:right="851"/>
        <w:jc w:val="both"/>
        <w:rPr>
          <w:rFonts w:ascii="Palatino Linotype" w:eastAsia="Palatino Linotype" w:hAnsi="Palatino Linotype" w:cs="Palatino Linotype"/>
          <w:i/>
        </w:rPr>
      </w:pPr>
    </w:p>
    <w:p w14:paraId="35C2F77E"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Octavo. Para fundar la clasificación de la información se debe señalar el artículo, fracción, inciso, párrafo o numeral de la ley o tratado internacional suscrito por el Estado mexicano que expresamente le otorga el carácter de reservada o confidencial.</w:t>
      </w:r>
    </w:p>
    <w:p w14:paraId="139D5F76" w14:textId="77777777" w:rsidR="006543D8" w:rsidRPr="0068276B" w:rsidRDefault="006543D8" w:rsidP="006543D8">
      <w:pPr>
        <w:spacing w:after="0"/>
        <w:ind w:left="567" w:right="851"/>
        <w:jc w:val="both"/>
        <w:rPr>
          <w:rFonts w:ascii="Palatino Linotype" w:eastAsia="Palatino Linotype" w:hAnsi="Palatino Linotype" w:cs="Palatino Linotype"/>
          <w:i/>
        </w:rPr>
      </w:pPr>
    </w:p>
    <w:p w14:paraId="1763FEAC"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722DC6ED" w14:textId="77777777" w:rsidR="006543D8" w:rsidRPr="0068276B" w:rsidRDefault="006543D8" w:rsidP="006543D8">
      <w:pPr>
        <w:spacing w:after="0"/>
        <w:ind w:left="567" w:right="851"/>
        <w:jc w:val="both"/>
        <w:rPr>
          <w:rFonts w:ascii="Palatino Linotype" w:eastAsia="Palatino Linotype" w:hAnsi="Palatino Linotype" w:cs="Palatino Linotype"/>
          <w:i/>
        </w:rPr>
      </w:pPr>
    </w:p>
    <w:p w14:paraId="61356603"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En caso de referirse a información reservada, la motivación de la clasificación también deberá comprender las circunstancias que justifican el establecimiento de determinado plazo de reserva.</w:t>
      </w:r>
    </w:p>
    <w:p w14:paraId="58975AED" w14:textId="77777777" w:rsidR="006543D8" w:rsidRPr="0068276B" w:rsidRDefault="006543D8" w:rsidP="006543D8">
      <w:pPr>
        <w:spacing w:after="0"/>
        <w:ind w:left="567" w:right="851"/>
        <w:jc w:val="both"/>
        <w:rPr>
          <w:rFonts w:ascii="Palatino Linotype" w:eastAsia="Palatino Linotype" w:hAnsi="Palatino Linotype" w:cs="Palatino Linotype"/>
          <w:i/>
        </w:rPr>
      </w:pPr>
    </w:p>
    <w:p w14:paraId="41882E22"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205EA7BE" w14:textId="77777777" w:rsidR="006543D8" w:rsidRPr="0068276B" w:rsidRDefault="006543D8" w:rsidP="006543D8">
      <w:pPr>
        <w:spacing w:after="0"/>
        <w:ind w:left="567" w:right="851"/>
        <w:jc w:val="both"/>
        <w:rPr>
          <w:rFonts w:ascii="Palatino Linotype" w:eastAsia="Palatino Linotype" w:hAnsi="Palatino Linotype" w:cs="Palatino Linotype"/>
          <w:i/>
        </w:rPr>
      </w:pPr>
    </w:p>
    <w:p w14:paraId="6A55F23F"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Los documentos contenidos en los archivos históricos y los identificados como históricos confidenciales no serán susceptibles de clasificación como reservados.</w:t>
      </w:r>
    </w:p>
    <w:p w14:paraId="7E3B4D00"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405EB57"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Décimo.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22249A4"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686FD4AB"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 xml:space="preserve">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253E97E3" w14:textId="77777777" w:rsidR="006543D8" w:rsidRPr="0068276B" w:rsidRDefault="006543D8" w:rsidP="006543D8">
      <w:pPr>
        <w:spacing w:after="0" w:line="360" w:lineRule="auto"/>
        <w:ind w:left="567" w:right="851"/>
        <w:jc w:val="both"/>
        <w:rPr>
          <w:rFonts w:ascii="Palatino Linotype" w:eastAsia="Palatino Linotype" w:hAnsi="Palatino Linotype" w:cs="Palatino Linotype"/>
          <w:i/>
        </w:rPr>
      </w:pPr>
    </w:p>
    <w:p w14:paraId="6D55AB4A" w14:textId="77777777" w:rsidR="006543D8" w:rsidRPr="0068276B" w:rsidRDefault="006543D8" w:rsidP="006543D8">
      <w:pPr>
        <w:spacing w:after="0" w:line="360" w:lineRule="auto"/>
        <w:jc w:val="both"/>
        <w:rPr>
          <w:rFonts w:ascii="Palatino Linotype" w:eastAsia="Palatino Linotype" w:hAnsi="Palatino Linotype" w:cs="Palatino Linotype"/>
        </w:rPr>
      </w:pPr>
      <w:r w:rsidRPr="0068276B">
        <w:rPr>
          <w:rFonts w:ascii="Palatino Linotype" w:eastAsia="Palatino Linotype" w:hAnsi="Palatino Linotype" w:cs="Palatino Linotype"/>
        </w:rPr>
        <w:t>Como se advierte dicho Acuerdo debe exponer de manera clara las razones por las 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vigentes a la fecha de la solicitud de información los cuales para mayor referencia en la parte que nos interesa, señalan:</w:t>
      </w:r>
    </w:p>
    <w:p w14:paraId="0A992F32" w14:textId="77777777" w:rsidR="006543D8" w:rsidRPr="0068276B" w:rsidRDefault="006543D8" w:rsidP="006543D8">
      <w:pPr>
        <w:spacing w:after="0" w:line="360" w:lineRule="auto"/>
        <w:jc w:val="both"/>
        <w:rPr>
          <w:rFonts w:ascii="Palatino Linotype" w:eastAsia="Palatino Linotype" w:hAnsi="Palatino Linotype" w:cs="Palatino Linotype"/>
        </w:rPr>
      </w:pPr>
    </w:p>
    <w:p w14:paraId="31B447A3" w14:textId="77777777" w:rsidR="006543D8" w:rsidRPr="0068276B" w:rsidRDefault="006543D8" w:rsidP="006543D8">
      <w:pPr>
        <w:spacing w:after="0"/>
        <w:ind w:left="567" w:right="851"/>
        <w:jc w:val="both"/>
        <w:rPr>
          <w:rFonts w:ascii="Palatino Linotype" w:eastAsia="Palatino Linotype" w:hAnsi="Palatino Linotype" w:cs="Palatino Linotype"/>
          <w:i/>
        </w:rPr>
      </w:pPr>
      <w:r w:rsidRPr="0068276B">
        <w:rPr>
          <w:rFonts w:ascii="Palatino Linotype" w:eastAsia="Palatino Linotype" w:hAnsi="Palatino Linotype" w:cs="Palatino Linotype"/>
          <w:i/>
        </w:rPr>
        <w:t>“</w:t>
      </w:r>
      <w:r w:rsidRPr="0068276B">
        <w:rPr>
          <w:rFonts w:ascii="Palatino Linotype" w:eastAsia="Palatino Linotype" w:hAnsi="Palatino Linotype" w:cs="Palatino Linotype"/>
          <w:b/>
          <w:i/>
        </w:rPr>
        <w:t>Artículo 135.</w:t>
      </w:r>
      <w:r w:rsidRPr="0068276B">
        <w:rPr>
          <w:rFonts w:ascii="Palatino Linotype" w:eastAsia="Palatino Linotype" w:hAnsi="Palatino Linotype" w:cs="Palatino Linotype"/>
          <w:i/>
        </w:rPr>
        <w:t xml:space="preserve"> Los lineamientos generales que se emitan al respecto en materia de clasificación de la información reservada y confidencial y, para la elaboración de versiones públicas, serán de observancia obligatoria para los sujetos obligados…”</w:t>
      </w:r>
    </w:p>
    <w:p w14:paraId="6C2D1413" w14:textId="77777777" w:rsidR="006543D8" w:rsidRPr="0068276B" w:rsidRDefault="006543D8" w:rsidP="006543D8">
      <w:pPr>
        <w:spacing w:after="0" w:line="360" w:lineRule="auto"/>
        <w:ind w:left="567" w:right="851"/>
        <w:jc w:val="both"/>
        <w:rPr>
          <w:rFonts w:ascii="Palatino Linotype" w:eastAsia="Palatino Linotype" w:hAnsi="Palatino Linotype" w:cs="Palatino Linotype"/>
          <w:i/>
        </w:rPr>
      </w:pPr>
    </w:p>
    <w:p w14:paraId="18681145" w14:textId="77777777" w:rsidR="006543D8" w:rsidRPr="0068276B" w:rsidRDefault="006543D8" w:rsidP="006543D8">
      <w:pPr>
        <w:pBdr>
          <w:top w:val="nil"/>
          <w:left w:val="nil"/>
          <w:bottom w:val="nil"/>
          <w:right w:val="nil"/>
          <w:between w:val="nil"/>
        </w:pBdr>
        <w:spacing w:after="0" w:line="360" w:lineRule="auto"/>
        <w:jc w:val="both"/>
        <w:rPr>
          <w:rFonts w:ascii="Palatino Linotype" w:eastAsia="Palatino Linotype" w:hAnsi="Palatino Linotype" w:cs="Palatino Linotype"/>
        </w:rPr>
      </w:pPr>
      <w:r w:rsidRPr="0068276B">
        <w:rPr>
          <w:rFonts w:ascii="Palatino Linotype" w:eastAsia="Palatino Linotype" w:hAnsi="Palatino Linotype" w:cs="Palatino Linotype"/>
        </w:rPr>
        <w:t>En tal virtud, el acuerdo emitido por el Comité de Transparencia, en términos de los artículos 122, 132  y 143 fracción I  de la  Ley de Transparencia y Acceso a la Información Pública del Estado de México y Municipios, deberá contener un razonamiento lógico, acorde a lo previsto  en los ordenamientos jurídicos en la Materia, que permita conocer al particular las condiciones y circunstancias que determinaron negar el acceso a la información; a través de la adecuada fundamentación y motivación, en el entendido de que, todo acto que la autoridad pronuncie en el ejercicio de sus atribuciones, debe expresar los fundamentos legales que le dieron origen y las razones por las que se deben aplicar al caso concreto.</w:t>
      </w:r>
    </w:p>
    <w:p w14:paraId="7183144E" w14:textId="77777777" w:rsidR="007774A8" w:rsidRPr="0068276B" w:rsidRDefault="007774A8" w:rsidP="006543D8">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BC2DB39" w14:textId="74D8BF13" w:rsidR="006543D8" w:rsidRPr="0068276B" w:rsidRDefault="006543D8" w:rsidP="006543D8">
      <w:pPr>
        <w:pBdr>
          <w:top w:val="nil"/>
          <w:left w:val="nil"/>
          <w:bottom w:val="nil"/>
          <w:right w:val="nil"/>
          <w:between w:val="nil"/>
        </w:pBdr>
        <w:spacing w:after="0" w:line="360" w:lineRule="auto"/>
        <w:jc w:val="both"/>
        <w:rPr>
          <w:rFonts w:ascii="Palatino Linotype" w:eastAsia="Palatino Linotype" w:hAnsi="Palatino Linotype" w:cs="Palatino Linotype"/>
        </w:rPr>
      </w:pPr>
      <w:r w:rsidRPr="0068276B">
        <w:rPr>
          <w:rFonts w:ascii="Palatino Linotype" w:eastAsia="Palatino Linotype" w:hAnsi="Palatino Linotype" w:cs="Palatino Linotype"/>
        </w:rPr>
        <w:t>Es decir, el acuerdo deberá contener un razonamiento lógico con el que se demuestre que la información solicitada por la parte Recurrente se encuentra en alguna de las hipótesis que contempla la misma ley; toda vez que de acuerdo con la referida Ley la carga de la prueba para justificar toda negativa de acceso a la información por actualizarse cualquiera de los supuestos previstos en la Ley, corresponde a los Sujetos Obligados fundando y motivando debidamente la clasificación.</w:t>
      </w:r>
    </w:p>
    <w:p w14:paraId="4D60CEFB" w14:textId="77777777" w:rsidR="006543D8" w:rsidRPr="0068276B" w:rsidRDefault="006543D8" w:rsidP="006543D8">
      <w:pPr>
        <w:pBdr>
          <w:top w:val="nil"/>
          <w:left w:val="nil"/>
          <w:bottom w:val="nil"/>
          <w:right w:val="nil"/>
          <w:between w:val="nil"/>
        </w:pBdr>
        <w:spacing w:after="0" w:line="360" w:lineRule="auto"/>
        <w:jc w:val="both"/>
        <w:rPr>
          <w:rFonts w:ascii="Palatino Linotype" w:eastAsia="Palatino Linotype" w:hAnsi="Palatino Linotype" w:cs="Palatino Linotype"/>
        </w:rPr>
      </w:pPr>
      <w:r w:rsidRPr="0068276B">
        <w:rPr>
          <w:rFonts w:ascii="Palatino Linotype" w:eastAsia="Palatino Linotype" w:hAnsi="Palatino Linotype" w:cs="Palatino Linotype"/>
        </w:rPr>
        <w:t>Respecto de la fundamentación y motivación, debe recordarse que la primera de ellas consiste en 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14:paraId="15F152A5" w14:textId="77777777" w:rsidR="006543D8" w:rsidRPr="0068276B" w:rsidRDefault="006543D8" w:rsidP="006543D8">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65FC4726" w14:textId="77777777" w:rsidR="006543D8" w:rsidRPr="0068276B" w:rsidRDefault="006543D8" w:rsidP="006543D8">
      <w:pPr>
        <w:pBdr>
          <w:top w:val="nil"/>
          <w:left w:val="nil"/>
          <w:bottom w:val="nil"/>
          <w:right w:val="nil"/>
          <w:between w:val="nil"/>
        </w:pBdr>
        <w:spacing w:after="0" w:line="360" w:lineRule="auto"/>
        <w:jc w:val="both"/>
        <w:rPr>
          <w:rFonts w:ascii="Palatino Linotype" w:eastAsia="Palatino Linotype" w:hAnsi="Palatino Linotype" w:cs="Palatino Linotype"/>
        </w:rPr>
      </w:pPr>
      <w:r w:rsidRPr="0068276B">
        <w:rPr>
          <w:rFonts w:ascii="Palatino Linotype" w:eastAsia="Palatino Linotype" w:hAnsi="Palatino Linotype" w:cs="Palatino Linotype"/>
        </w:rPr>
        <w:t>Sirven de sustento a lo anterior las tesis jurisprudenciales número I.4º.A. J/43 y VI. 2º. J/43, publicadas en el Semanario Judicial de la Federación y su Gaceta, bajo el número de registro 175,082 y 203,143, respectivamente, cuyo texto y sentido literal es el siguiente:</w:t>
      </w:r>
    </w:p>
    <w:p w14:paraId="1A427A63" w14:textId="77777777" w:rsidR="006543D8" w:rsidRPr="0068276B" w:rsidRDefault="006543D8" w:rsidP="006543D8">
      <w:pPr>
        <w:pBdr>
          <w:top w:val="nil"/>
          <w:left w:val="nil"/>
          <w:bottom w:val="nil"/>
          <w:right w:val="nil"/>
          <w:between w:val="nil"/>
        </w:pBdr>
        <w:spacing w:after="0" w:line="360" w:lineRule="auto"/>
        <w:ind w:left="851" w:right="902"/>
        <w:jc w:val="both"/>
        <w:rPr>
          <w:rFonts w:ascii="Palatino Linotype" w:eastAsia="Palatino Linotype" w:hAnsi="Palatino Linotype" w:cs="Palatino Linotype"/>
          <w:i/>
        </w:rPr>
      </w:pPr>
    </w:p>
    <w:p w14:paraId="035DEBEE" w14:textId="77777777" w:rsidR="006543D8" w:rsidRPr="0068276B" w:rsidRDefault="006543D8" w:rsidP="006543D8">
      <w:pPr>
        <w:pBdr>
          <w:top w:val="nil"/>
          <w:left w:val="nil"/>
          <w:bottom w:val="nil"/>
          <w:right w:val="nil"/>
          <w:between w:val="nil"/>
        </w:pBdr>
        <w:spacing w:after="0"/>
        <w:ind w:left="567" w:right="902"/>
        <w:jc w:val="both"/>
        <w:rPr>
          <w:rFonts w:ascii="Palatino Linotype" w:eastAsia="Palatino Linotype" w:hAnsi="Palatino Linotype" w:cs="Palatino Linotype"/>
        </w:rPr>
      </w:pPr>
      <w:r w:rsidRPr="0068276B">
        <w:rPr>
          <w:rFonts w:ascii="Palatino Linotype" w:eastAsia="Palatino Linotype" w:hAnsi="Palatino Linotype" w:cs="Palatino Linotype"/>
          <w:i/>
        </w:rPr>
        <w:t>“</w:t>
      </w:r>
      <w:r w:rsidRPr="0068276B">
        <w:rPr>
          <w:rFonts w:ascii="Palatino Linotype" w:eastAsia="Palatino Linotype" w:hAnsi="Palatino Linotype" w:cs="Palatino Linotype"/>
          <w:b/>
          <w:i/>
        </w:rPr>
        <w:t>FUNDAMENTACIÓN Y MOTIVACIÓN. EL ASPECTO FORMAL DE LA GARANTÍA Y SU FINALIDAD SE TRADUCEN EN EXPLICAR, JUSTIFICAR, POSIBILITAR LA DEFENSA Y COMUNICAR LA DECISIÓN.</w:t>
      </w:r>
      <w:r w:rsidRPr="0068276B">
        <w:rPr>
          <w:rFonts w:ascii="Palatino Linotype" w:eastAsia="Palatino Linotype" w:hAnsi="Palatino Linotype" w:cs="Palatino Linotype"/>
          <w:i/>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530B345" w14:textId="77777777" w:rsidR="006543D8" w:rsidRPr="0068276B" w:rsidRDefault="006543D8" w:rsidP="006543D8">
      <w:pPr>
        <w:pBdr>
          <w:top w:val="nil"/>
          <w:left w:val="nil"/>
          <w:bottom w:val="nil"/>
          <w:right w:val="nil"/>
          <w:between w:val="nil"/>
        </w:pBdr>
        <w:spacing w:after="0"/>
        <w:ind w:left="567" w:right="902"/>
        <w:jc w:val="both"/>
        <w:rPr>
          <w:rFonts w:ascii="Palatino Linotype" w:eastAsia="Palatino Linotype" w:hAnsi="Palatino Linotype" w:cs="Palatino Linotype"/>
        </w:rPr>
      </w:pPr>
    </w:p>
    <w:p w14:paraId="08378069" w14:textId="6CD45BE1" w:rsidR="006543D8" w:rsidRPr="0068276B" w:rsidRDefault="006543D8" w:rsidP="007774A8">
      <w:pPr>
        <w:pBdr>
          <w:top w:val="nil"/>
          <w:left w:val="nil"/>
          <w:bottom w:val="nil"/>
          <w:right w:val="nil"/>
          <w:between w:val="nil"/>
        </w:pBdr>
        <w:spacing w:after="0"/>
        <w:ind w:left="567" w:right="902"/>
        <w:jc w:val="both"/>
        <w:rPr>
          <w:rFonts w:ascii="Palatino Linotype" w:eastAsia="Palatino Linotype" w:hAnsi="Palatino Linotype" w:cs="Palatino Linotype"/>
          <w:i/>
        </w:rPr>
      </w:pPr>
      <w:r w:rsidRPr="0068276B">
        <w:rPr>
          <w:rFonts w:ascii="Palatino Linotype" w:eastAsia="Palatino Linotype" w:hAnsi="Palatino Linotype" w:cs="Palatino Linotype"/>
          <w:i/>
        </w:rPr>
        <w:t>“</w:t>
      </w:r>
      <w:r w:rsidRPr="0068276B">
        <w:rPr>
          <w:rFonts w:ascii="Palatino Linotype" w:eastAsia="Palatino Linotype" w:hAnsi="Palatino Linotype" w:cs="Palatino Linotype"/>
          <w:b/>
          <w:i/>
        </w:rPr>
        <w:t>FUNDAMENTACION Y MOTIVACION</w:t>
      </w:r>
      <w:r w:rsidRPr="0068276B">
        <w:rPr>
          <w:rFonts w:ascii="Palatino Linotype" w:eastAsia="Palatino Linotype" w:hAnsi="Palatino Linotype" w:cs="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p>
    <w:p w14:paraId="614AE3D3" w14:textId="77777777" w:rsidR="00651CE9" w:rsidRPr="0068276B" w:rsidRDefault="00651CE9" w:rsidP="008A5073">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367D8428" w14:textId="1A897061" w:rsidR="008A5073" w:rsidRPr="0068276B" w:rsidRDefault="008A5073" w:rsidP="008A5073">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b/>
        </w:rPr>
      </w:pPr>
      <w:r w:rsidRPr="0068276B">
        <w:rPr>
          <w:rFonts w:ascii="Palatino Linotype" w:eastAsia="Palatino Linotype" w:hAnsi="Palatino Linotype" w:cs="Palatino Linotype"/>
        </w:rPr>
        <w:t>En</w:t>
      </w:r>
      <w:r w:rsidR="007774A8" w:rsidRPr="0068276B">
        <w:rPr>
          <w:rFonts w:ascii="Palatino Linotype" w:eastAsia="Palatino Linotype" w:hAnsi="Palatino Linotype" w:cs="Palatino Linotype"/>
        </w:rPr>
        <w:t xml:space="preserve"> consecuencia, debido a que, la información es susceptible de ser clasificada pero no se remitió el Acuerdo de Clasificación emitido por el Comité de Transparencia mediante el cual se sustente dicha determinación, se considera que los agravios hechos valer por la parte Recurrente devienen </w:t>
      </w:r>
      <w:r w:rsidR="007774A8" w:rsidRPr="0068276B">
        <w:rPr>
          <w:rFonts w:ascii="Palatino Linotype" w:eastAsia="Palatino Linotype" w:hAnsi="Palatino Linotype" w:cs="Palatino Linotype"/>
          <w:b/>
        </w:rPr>
        <w:t xml:space="preserve">PARCIALMENTE FUNDADOS. </w:t>
      </w:r>
    </w:p>
    <w:p w14:paraId="02D7B969" w14:textId="77777777" w:rsidR="006543D8" w:rsidRPr="0068276B" w:rsidRDefault="006543D8" w:rsidP="008A5073">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0843C9AE" w14:textId="77777777" w:rsidR="006402E7" w:rsidRPr="0068276B" w:rsidRDefault="008A5073" w:rsidP="00A642D5">
      <w:pP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2B9CBA4E" w14:textId="77777777" w:rsidR="008A5073" w:rsidRPr="0068276B" w:rsidRDefault="008A5073">
      <w:pPr>
        <w:tabs>
          <w:tab w:val="left" w:pos="720"/>
        </w:tabs>
        <w:spacing w:after="0" w:line="276" w:lineRule="auto"/>
        <w:ind w:right="-28"/>
        <w:jc w:val="both"/>
        <w:rPr>
          <w:rFonts w:ascii="Palatino Linotype" w:eastAsia="Palatino Linotype" w:hAnsi="Palatino Linotype" w:cs="Palatino Linotype"/>
          <w:i/>
        </w:rPr>
      </w:pPr>
    </w:p>
    <w:p w14:paraId="36A40E9D" w14:textId="77777777" w:rsidR="006402E7" w:rsidRPr="0068276B" w:rsidRDefault="007226AA">
      <w:pPr>
        <w:spacing w:after="0" w:line="360" w:lineRule="auto"/>
        <w:ind w:right="49"/>
        <w:jc w:val="center"/>
        <w:rPr>
          <w:rFonts w:ascii="Palatino Linotype" w:eastAsia="Palatino Linotype" w:hAnsi="Palatino Linotype" w:cs="Palatino Linotype"/>
          <w:b/>
        </w:rPr>
      </w:pPr>
      <w:r w:rsidRPr="0068276B">
        <w:rPr>
          <w:rFonts w:ascii="Palatino Linotype" w:eastAsia="Palatino Linotype" w:hAnsi="Palatino Linotype" w:cs="Palatino Linotype"/>
          <w:b/>
        </w:rPr>
        <w:t>III.</w:t>
      </w:r>
      <w:r w:rsidRPr="0068276B">
        <w:rPr>
          <w:rFonts w:ascii="Palatino Linotype" w:eastAsia="Palatino Linotype" w:hAnsi="Palatino Linotype" w:cs="Palatino Linotype"/>
          <w:b/>
        </w:rPr>
        <w:tab/>
        <w:t>R E S U E L V E:</w:t>
      </w:r>
    </w:p>
    <w:p w14:paraId="4ED1736D" w14:textId="77777777" w:rsidR="006402E7" w:rsidRPr="0068276B" w:rsidRDefault="006402E7">
      <w:pPr>
        <w:spacing w:after="0" w:line="360" w:lineRule="auto"/>
        <w:ind w:right="49"/>
        <w:jc w:val="both"/>
        <w:rPr>
          <w:rFonts w:ascii="Palatino Linotype" w:eastAsia="Palatino Linotype" w:hAnsi="Palatino Linotype" w:cs="Palatino Linotype"/>
        </w:rPr>
      </w:pPr>
    </w:p>
    <w:p w14:paraId="544606FF" w14:textId="63686CA1" w:rsidR="006402E7" w:rsidRPr="0068276B" w:rsidRDefault="007226AA">
      <w:pP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b/>
        </w:rPr>
        <w:t>Primero.</w:t>
      </w:r>
      <w:r w:rsidRPr="0068276B">
        <w:rPr>
          <w:rFonts w:ascii="Palatino Linotype" w:eastAsia="Palatino Linotype" w:hAnsi="Palatino Linotype" w:cs="Palatino Linotype"/>
        </w:rPr>
        <w:t xml:space="preserve"> Resultan</w:t>
      </w:r>
      <w:r w:rsidRPr="0068276B">
        <w:rPr>
          <w:rFonts w:ascii="Palatino Linotype" w:eastAsia="Palatino Linotype" w:hAnsi="Palatino Linotype" w:cs="Palatino Linotype"/>
          <w:b/>
        </w:rPr>
        <w:t xml:space="preserve"> </w:t>
      </w:r>
      <w:r w:rsidR="00A642D5" w:rsidRPr="0068276B">
        <w:rPr>
          <w:rFonts w:ascii="Palatino Linotype" w:eastAsia="Palatino Linotype" w:hAnsi="Palatino Linotype" w:cs="Palatino Linotype"/>
          <w:b/>
        </w:rPr>
        <w:t xml:space="preserve">PARCIALMENTE </w:t>
      </w:r>
      <w:r w:rsidRPr="0068276B">
        <w:rPr>
          <w:rFonts w:ascii="Palatino Linotype" w:eastAsia="Palatino Linotype" w:hAnsi="Palatino Linotype" w:cs="Palatino Linotype"/>
          <w:b/>
        </w:rPr>
        <w:t>FUNDADOS</w:t>
      </w:r>
      <w:r w:rsidRPr="0068276B">
        <w:rPr>
          <w:rFonts w:ascii="Palatino Linotype" w:eastAsia="Palatino Linotype" w:hAnsi="Palatino Linotype" w:cs="Palatino Linotype"/>
        </w:rPr>
        <w:t xml:space="preserve"> los motivos de inconformidad hechos valer por el </w:t>
      </w:r>
      <w:r w:rsidRPr="0068276B">
        <w:rPr>
          <w:rFonts w:ascii="Palatino Linotype" w:eastAsia="Palatino Linotype" w:hAnsi="Palatino Linotype" w:cs="Palatino Linotype"/>
          <w:b/>
        </w:rPr>
        <w:t>RECURRENTE</w:t>
      </w:r>
      <w:r w:rsidRPr="0068276B">
        <w:rPr>
          <w:rFonts w:ascii="Palatino Linotype" w:eastAsia="Palatino Linotype" w:hAnsi="Palatino Linotype" w:cs="Palatino Linotype"/>
        </w:rPr>
        <w:t xml:space="preserve"> en el Recurso de Revisión </w:t>
      </w:r>
      <w:r w:rsidR="007774A8" w:rsidRPr="0068276B">
        <w:rPr>
          <w:rFonts w:ascii="Palatino Linotype" w:eastAsia="Palatino Linotype" w:hAnsi="Palatino Linotype" w:cs="Palatino Linotype"/>
          <w:b/>
        </w:rPr>
        <w:t>14089</w:t>
      </w:r>
      <w:r w:rsidRPr="0068276B">
        <w:rPr>
          <w:rFonts w:ascii="Palatino Linotype" w:eastAsia="Palatino Linotype" w:hAnsi="Palatino Linotype" w:cs="Palatino Linotype"/>
          <w:b/>
        </w:rPr>
        <w:t>/INFOEM/IP/RR/2025</w:t>
      </w:r>
      <w:r w:rsidRPr="0068276B">
        <w:rPr>
          <w:rFonts w:ascii="Palatino Linotype" w:eastAsia="Palatino Linotype" w:hAnsi="Palatino Linotype" w:cs="Palatino Linotype"/>
        </w:rPr>
        <w:t xml:space="preserve">, por lo que, en términos del </w:t>
      </w:r>
      <w:r w:rsidRPr="0068276B">
        <w:rPr>
          <w:rFonts w:ascii="Palatino Linotype" w:eastAsia="Palatino Linotype" w:hAnsi="Palatino Linotype" w:cs="Palatino Linotype"/>
          <w:b/>
        </w:rPr>
        <w:t>Considerando Cuarto</w:t>
      </w:r>
      <w:r w:rsidRPr="0068276B">
        <w:rPr>
          <w:rFonts w:ascii="Palatino Linotype" w:eastAsia="Palatino Linotype" w:hAnsi="Palatino Linotype" w:cs="Palatino Linotype"/>
        </w:rPr>
        <w:t xml:space="preserve"> de esta resolución, se </w:t>
      </w:r>
      <w:r w:rsidR="00A642D5" w:rsidRPr="0068276B">
        <w:rPr>
          <w:rFonts w:ascii="Palatino Linotype" w:eastAsia="Palatino Linotype" w:hAnsi="Palatino Linotype" w:cs="Palatino Linotype"/>
          <w:b/>
        </w:rPr>
        <w:t>MODIFICA</w:t>
      </w:r>
      <w:r w:rsidRPr="0068276B">
        <w:rPr>
          <w:rFonts w:ascii="Palatino Linotype" w:eastAsia="Palatino Linotype" w:hAnsi="Palatino Linotype" w:cs="Palatino Linotype"/>
          <w:b/>
        </w:rPr>
        <w:t xml:space="preserve"> </w:t>
      </w:r>
      <w:r w:rsidRPr="0068276B">
        <w:rPr>
          <w:rFonts w:ascii="Palatino Linotype" w:eastAsia="Palatino Linotype" w:hAnsi="Palatino Linotype" w:cs="Palatino Linotype"/>
        </w:rPr>
        <w:t xml:space="preserve">la respuesta emitida por el </w:t>
      </w:r>
      <w:r w:rsidRPr="0068276B">
        <w:rPr>
          <w:rFonts w:ascii="Palatino Linotype" w:eastAsia="Palatino Linotype" w:hAnsi="Palatino Linotype" w:cs="Palatino Linotype"/>
          <w:b/>
        </w:rPr>
        <w:t>SUJETO OBLIGADO</w:t>
      </w:r>
      <w:r w:rsidRPr="0068276B">
        <w:rPr>
          <w:rFonts w:ascii="Palatino Linotype" w:eastAsia="Palatino Linotype" w:hAnsi="Palatino Linotype" w:cs="Palatino Linotype"/>
        </w:rPr>
        <w:t>.</w:t>
      </w:r>
    </w:p>
    <w:p w14:paraId="1D873BC8" w14:textId="77777777" w:rsidR="006402E7" w:rsidRPr="0068276B" w:rsidRDefault="006402E7">
      <w:pPr>
        <w:spacing w:after="0" w:line="360" w:lineRule="auto"/>
        <w:ind w:right="49"/>
        <w:jc w:val="both"/>
        <w:rPr>
          <w:rFonts w:ascii="Palatino Linotype" w:eastAsia="Palatino Linotype" w:hAnsi="Palatino Linotype" w:cs="Palatino Linotype"/>
        </w:rPr>
      </w:pPr>
    </w:p>
    <w:p w14:paraId="680D24A5" w14:textId="77777777" w:rsidR="006402E7" w:rsidRPr="0068276B" w:rsidRDefault="007226AA">
      <w:pP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b/>
        </w:rPr>
        <w:t>Segundo</w:t>
      </w:r>
      <w:r w:rsidRPr="0068276B">
        <w:rPr>
          <w:rFonts w:ascii="Palatino Linotype" w:eastAsia="Palatino Linotype" w:hAnsi="Palatino Linotype" w:cs="Palatino Linotype"/>
        </w:rPr>
        <w:t xml:space="preserve">. Se </w:t>
      </w:r>
      <w:r w:rsidRPr="0068276B">
        <w:rPr>
          <w:rFonts w:ascii="Palatino Linotype" w:eastAsia="Palatino Linotype" w:hAnsi="Palatino Linotype" w:cs="Palatino Linotype"/>
          <w:b/>
        </w:rPr>
        <w:t>ORDENA</w:t>
      </w:r>
      <w:r w:rsidRPr="0068276B">
        <w:rPr>
          <w:rFonts w:ascii="Palatino Linotype" w:eastAsia="Palatino Linotype" w:hAnsi="Palatino Linotype" w:cs="Palatino Linotype"/>
        </w:rPr>
        <w:t xml:space="preserve"> al </w:t>
      </w:r>
      <w:r w:rsidRPr="0068276B">
        <w:rPr>
          <w:rFonts w:ascii="Palatino Linotype" w:eastAsia="Palatino Linotype" w:hAnsi="Palatino Linotype" w:cs="Palatino Linotype"/>
          <w:b/>
        </w:rPr>
        <w:t>SUJETO OBLIGADO</w:t>
      </w:r>
      <w:r w:rsidRPr="0068276B">
        <w:rPr>
          <w:rFonts w:ascii="Palatino Linotype" w:eastAsia="Palatino Linotype" w:hAnsi="Palatino Linotype" w:cs="Palatino Linotype"/>
        </w:rPr>
        <w:t xml:space="preserve"> a que, en términos de los Considerandos </w:t>
      </w:r>
      <w:r w:rsidRPr="0068276B">
        <w:rPr>
          <w:rFonts w:ascii="Palatino Linotype" w:eastAsia="Palatino Linotype" w:hAnsi="Palatino Linotype" w:cs="Palatino Linotype"/>
          <w:b/>
        </w:rPr>
        <w:t>Cuarto</w:t>
      </w:r>
      <w:r w:rsidRPr="0068276B">
        <w:rPr>
          <w:rFonts w:ascii="Palatino Linotype" w:eastAsia="Palatino Linotype" w:hAnsi="Palatino Linotype" w:cs="Palatino Linotype"/>
        </w:rPr>
        <w:t xml:space="preserve"> y </w:t>
      </w:r>
      <w:r w:rsidRPr="0068276B">
        <w:rPr>
          <w:rFonts w:ascii="Palatino Linotype" w:eastAsia="Palatino Linotype" w:hAnsi="Palatino Linotype" w:cs="Palatino Linotype"/>
          <w:b/>
        </w:rPr>
        <w:t>Quinto</w:t>
      </w:r>
      <w:r w:rsidRPr="0068276B">
        <w:rPr>
          <w:rFonts w:ascii="Palatino Linotype" w:eastAsia="Palatino Linotype" w:hAnsi="Palatino Linotype" w:cs="Palatino Linotype"/>
        </w:rPr>
        <w:t>, entregue vía Sistema de Acce</w:t>
      </w:r>
      <w:r w:rsidR="00A642D5" w:rsidRPr="0068276B">
        <w:rPr>
          <w:rFonts w:ascii="Palatino Linotype" w:eastAsia="Palatino Linotype" w:hAnsi="Palatino Linotype" w:cs="Palatino Linotype"/>
        </w:rPr>
        <w:t>so a la Información Mexiquense</w:t>
      </w:r>
      <w:r w:rsidR="00691771" w:rsidRPr="0068276B">
        <w:rPr>
          <w:rFonts w:ascii="Palatino Linotype" w:eastAsia="Palatino Linotype" w:hAnsi="Palatino Linotype" w:cs="Palatino Linotype"/>
        </w:rPr>
        <w:t xml:space="preserve">, </w:t>
      </w:r>
      <w:r w:rsidRPr="0068276B">
        <w:rPr>
          <w:rFonts w:ascii="Palatino Linotype" w:eastAsia="Palatino Linotype" w:hAnsi="Palatino Linotype" w:cs="Palatino Linotype"/>
        </w:rPr>
        <w:t xml:space="preserve">la siguiente información: </w:t>
      </w:r>
    </w:p>
    <w:p w14:paraId="5B43C899" w14:textId="77777777" w:rsidR="006402E7" w:rsidRPr="0068276B" w:rsidRDefault="006402E7">
      <w:pPr>
        <w:spacing w:after="0" w:line="360" w:lineRule="auto"/>
        <w:ind w:right="49"/>
        <w:jc w:val="both"/>
        <w:rPr>
          <w:rFonts w:ascii="Palatino Linotype" w:eastAsia="Palatino Linotype" w:hAnsi="Palatino Linotype" w:cs="Palatino Linotype"/>
        </w:rPr>
      </w:pPr>
    </w:p>
    <w:p w14:paraId="09E39794" w14:textId="009D8DE6" w:rsidR="007774A8" w:rsidRPr="0068276B" w:rsidRDefault="007226AA" w:rsidP="000435F7">
      <w:pPr>
        <w:pStyle w:val="Prrafodelista"/>
        <w:numPr>
          <w:ilvl w:val="0"/>
          <w:numId w:val="8"/>
        </w:numPr>
        <w:pBdr>
          <w:top w:val="nil"/>
          <w:left w:val="nil"/>
          <w:bottom w:val="nil"/>
          <w:right w:val="nil"/>
          <w:between w:val="nil"/>
        </w:pBdr>
        <w:spacing w:after="0" w:line="360" w:lineRule="auto"/>
        <w:ind w:left="567" w:right="-28"/>
        <w:jc w:val="both"/>
        <w:rPr>
          <w:rFonts w:ascii="Palatino Linotype" w:eastAsia="Palatino Linotype" w:hAnsi="Palatino Linotype" w:cs="Palatino Linotype"/>
        </w:rPr>
      </w:pPr>
      <w:r w:rsidRPr="0068276B">
        <w:rPr>
          <w:rFonts w:ascii="Palatino Linotype" w:eastAsia="Palatino Linotype" w:hAnsi="Palatino Linotype" w:cs="Palatino Linotype"/>
        </w:rPr>
        <w:t>El Acuerdo emitido por el Comité de Transparencia, en donde de manera fundada y motivada, confirme la clasificación</w:t>
      </w:r>
      <w:r w:rsidR="007774A8" w:rsidRPr="0068276B">
        <w:rPr>
          <w:rFonts w:ascii="Palatino Linotype" w:eastAsia="Palatino Linotype" w:hAnsi="Palatino Linotype" w:cs="Palatino Linotype"/>
        </w:rPr>
        <w:t xml:space="preserve"> como confidencial</w:t>
      </w:r>
      <w:r w:rsidRPr="0068276B">
        <w:rPr>
          <w:rFonts w:ascii="Palatino Linotype" w:eastAsia="Palatino Linotype" w:hAnsi="Palatino Linotype" w:cs="Palatino Linotype"/>
        </w:rPr>
        <w:t xml:space="preserve"> </w:t>
      </w:r>
      <w:r w:rsidR="007774A8" w:rsidRPr="0068276B">
        <w:rPr>
          <w:rFonts w:ascii="Palatino Linotype" w:eastAsia="Palatino Linotype" w:hAnsi="Palatino Linotype" w:cs="Palatino Linotype"/>
        </w:rPr>
        <w:t xml:space="preserve">de las constancias de vecindad </w:t>
      </w:r>
      <w:r w:rsidR="00CB0EFF" w:rsidRPr="0068276B">
        <w:rPr>
          <w:rFonts w:ascii="Palatino Linotype" w:eastAsia="Palatino Linotype" w:hAnsi="Palatino Linotype" w:cs="Palatino Linotype"/>
        </w:rPr>
        <w:t>generadas</w:t>
      </w:r>
      <w:r w:rsidR="007774A8" w:rsidRPr="0068276B">
        <w:rPr>
          <w:rFonts w:ascii="Palatino Linotype" w:eastAsia="Palatino Linotype" w:hAnsi="Palatino Linotype" w:cs="Palatino Linotype"/>
        </w:rPr>
        <w:t xml:space="preserve"> del uno de enero al seis de noviembre de dos mil veinticinco, </w:t>
      </w:r>
      <w:r w:rsidRPr="0068276B">
        <w:rPr>
          <w:rFonts w:ascii="Palatino Linotype" w:eastAsia="Palatino Linotype" w:hAnsi="Palatino Linotype" w:cs="Palatino Linotype"/>
        </w:rPr>
        <w:t>de conformidad con los artículos 49, fracción II, 143, fr</w:t>
      </w:r>
      <w:r w:rsidR="007774A8" w:rsidRPr="0068276B">
        <w:rPr>
          <w:rFonts w:ascii="Palatino Linotype" w:eastAsia="Palatino Linotype" w:hAnsi="Palatino Linotype" w:cs="Palatino Linotype"/>
        </w:rPr>
        <w:t xml:space="preserve">acción </w:t>
      </w:r>
      <w:r w:rsidRPr="0068276B">
        <w:rPr>
          <w:rFonts w:ascii="Palatino Linotype" w:eastAsia="Palatino Linotype" w:hAnsi="Palatino Linotype" w:cs="Palatino Linotype"/>
        </w:rPr>
        <w:t xml:space="preserve">I y 149 de la Ley de Transparencia y Acceso a la Información Pública del Estado de México y Municipios. </w:t>
      </w:r>
    </w:p>
    <w:p w14:paraId="3B1BA22F" w14:textId="69DFA1CF" w:rsidR="006402E7" w:rsidRPr="0068276B" w:rsidRDefault="007226AA" w:rsidP="007774A8">
      <w:pPr>
        <w:tabs>
          <w:tab w:val="left" w:pos="720"/>
        </w:tabs>
        <w:spacing w:after="0" w:line="276" w:lineRule="auto"/>
        <w:ind w:right="-28"/>
        <w:jc w:val="both"/>
        <w:rPr>
          <w:rFonts w:ascii="Palatino Linotype" w:eastAsia="Palatino Linotype" w:hAnsi="Palatino Linotype" w:cs="Palatino Linotype"/>
          <w:i/>
        </w:rPr>
      </w:pPr>
      <w:r w:rsidRPr="0068276B">
        <w:rPr>
          <w:rFonts w:ascii="Palatino Linotype" w:eastAsia="Palatino Linotype" w:hAnsi="Palatino Linotype" w:cs="Palatino Linotype"/>
          <w:i/>
        </w:rPr>
        <w:t xml:space="preserve"> </w:t>
      </w:r>
    </w:p>
    <w:p w14:paraId="2E29AE6E" w14:textId="77777777" w:rsidR="008A5073" w:rsidRPr="0068276B" w:rsidRDefault="008A5073" w:rsidP="008A5073">
      <w:pP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b/>
        </w:rPr>
        <w:t>Tercero.</w:t>
      </w:r>
      <w:r w:rsidRPr="0068276B">
        <w:rPr>
          <w:rFonts w:ascii="Palatino Linotype" w:eastAsia="Palatino Linotype" w:hAnsi="Palatino Linotype" w:cs="Palatino Linotype"/>
        </w:rPr>
        <w:t xml:space="preserve"> </w:t>
      </w:r>
      <w:r w:rsidRPr="0068276B">
        <w:rPr>
          <w:rFonts w:ascii="Palatino Linotype" w:eastAsia="Palatino Linotype" w:hAnsi="Palatino Linotype" w:cs="Palatino Linotype"/>
          <w:b/>
        </w:rPr>
        <w:t xml:space="preserve">Notifíquese vía SAIMEX </w:t>
      </w:r>
      <w:r w:rsidRPr="0068276B">
        <w:rPr>
          <w:rFonts w:ascii="Palatino Linotype" w:eastAsia="Palatino Linotype" w:hAnsi="Palatino Linotype" w:cs="Palatino Linotype"/>
        </w:rPr>
        <w:t>la presente resolución al T</w:t>
      </w:r>
      <w:r w:rsidRPr="0068276B">
        <w:rPr>
          <w:rFonts w:ascii="Palatino Linotype" w:eastAsia="Palatino Linotype" w:hAnsi="Palatino Linotype" w:cs="Palatino Linotype"/>
          <w:b/>
        </w:rPr>
        <w:t xml:space="preserve">itular de la Unidad de Transparencia </w:t>
      </w:r>
      <w:r w:rsidRPr="0068276B">
        <w:rPr>
          <w:rFonts w:ascii="Palatino Linotype" w:eastAsia="Palatino Linotype" w:hAnsi="Palatino Linotype" w:cs="Palatino Linotype"/>
        </w:rPr>
        <w:t xml:space="preserve">del </w:t>
      </w:r>
      <w:r w:rsidRPr="0068276B">
        <w:rPr>
          <w:rFonts w:ascii="Palatino Linotype" w:eastAsia="Palatino Linotype" w:hAnsi="Palatino Linotype" w:cs="Palatino Linotype"/>
          <w:b/>
        </w:rPr>
        <w:t>SUJETO OBLIGADO</w:t>
      </w:r>
      <w:r w:rsidRPr="0068276B">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0158522" w14:textId="77777777" w:rsidR="008A5073" w:rsidRPr="0068276B" w:rsidRDefault="008A5073" w:rsidP="008A5073">
      <w:pPr>
        <w:spacing w:after="0" w:line="360" w:lineRule="auto"/>
        <w:ind w:right="49"/>
        <w:jc w:val="both"/>
        <w:rPr>
          <w:rFonts w:ascii="Palatino Linotype" w:eastAsia="Palatino Linotype" w:hAnsi="Palatino Linotype" w:cs="Palatino Linotype"/>
        </w:rPr>
      </w:pPr>
    </w:p>
    <w:p w14:paraId="24A134A8" w14:textId="77777777" w:rsidR="008A5073" w:rsidRPr="0068276B" w:rsidRDefault="008A5073" w:rsidP="008A5073">
      <w:pPr>
        <w:spacing w:after="0" w:line="360" w:lineRule="auto"/>
        <w:jc w:val="both"/>
        <w:rPr>
          <w:rFonts w:ascii="Palatino Linotype" w:eastAsia="Palatino Linotype" w:hAnsi="Palatino Linotype" w:cs="Palatino Linotype"/>
        </w:rPr>
      </w:pPr>
      <w:r w:rsidRPr="0068276B">
        <w:rPr>
          <w:rFonts w:ascii="Palatino Linotype" w:eastAsia="Palatino Linotype" w:hAnsi="Palatino Linotype" w:cs="Palatino Linotype"/>
          <w:b/>
        </w:rPr>
        <w:t xml:space="preserve">Cuarto. Notifíquese vía SAIMEX </w:t>
      </w:r>
      <w:r w:rsidRPr="0068276B">
        <w:rPr>
          <w:rFonts w:ascii="Palatino Linotype" w:eastAsia="Palatino Linotype" w:hAnsi="Palatino Linotype" w:cs="Palatino Linotype"/>
        </w:rPr>
        <w:t xml:space="preserve">a la parte </w:t>
      </w:r>
      <w:r w:rsidRPr="0068276B">
        <w:rPr>
          <w:rFonts w:ascii="Palatino Linotype" w:eastAsia="Palatino Linotype" w:hAnsi="Palatino Linotype" w:cs="Palatino Linotype"/>
          <w:b/>
        </w:rPr>
        <w:t xml:space="preserve">Recurrente </w:t>
      </w:r>
      <w:r w:rsidRPr="0068276B">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76DD990" w14:textId="77777777" w:rsidR="008A5073" w:rsidRPr="0068276B" w:rsidRDefault="008A5073" w:rsidP="008A5073">
      <w:pPr>
        <w:spacing w:after="0" w:line="360" w:lineRule="auto"/>
        <w:jc w:val="both"/>
        <w:rPr>
          <w:rFonts w:ascii="Palatino Linotype" w:eastAsia="Palatino Linotype" w:hAnsi="Palatino Linotype" w:cs="Palatino Linotype"/>
        </w:rPr>
      </w:pPr>
    </w:p>
    <w:p w14:paraId="2C403C8F" w14:textId="77777777" w:rsidR="008A5073" w:rsidRPr="0068276B" w:rsidRDefault="008A5073" w:rsidP="008A5073">
      <w:pP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b/>
        </w:rPr>
        <w:t>Quinto.</w:t>
      </w:r>
      <w:r w:rsidRPr="0068276B">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68276B">
        <w:rPr>
          <w:rFonts w:ascii="Palatino Linotype" w:eastAsia="Palatino Linotype" w:hAnsi="Palatino Linotype" w:cs="Palatino Linotype"/>
          <w:b/>
        </w:rPr>
        <w:t>SUJETO OBLIGADO</w:t>
      </w:r>
      <w:r w:rsidRPr="0068276B">
        <w:rPr>
          <w:rFonts w:ascii="Palatino Linotype" w:eastAsia="Palatino Linotype" w:hAnsi="Palatino Linotype" w:cs="Palatino Linotype"/>
        </w:rPr>
        <w:t xml:space="preserve"> de manera fundada y motivada, podrá solicitar una ampliación de plazo para el cumplimiento de la presente resolución.</w:t>
      </w:r>
    </w:p>
    <w:p w14:paraId="37600C39" w14:textId="77777777" w:rsidR="008A5073" w:rsidRPr="0068276B" w:rsidRDefault="008A5073">
      <w:pPr>
        <w:spacing w:after="0" w:line="360" w:lineRule="auto"/>
        <w:ind w:right="49"/>
        <w:jc w:val="both"/>
        <w:rPr>
          <w:rFonts w:ascii="Palatino Linotype" w:eastAsia="Palatino Linotype" w:hAnsi="Palatino Linotype" w:cs="Palatino Linotype"/>
        </w:rPr>
      </w:pPr>
    </w:p>
    <w:p w14:paraId="7AC1AB1D" w14:textId="7E536F92" w:rsidR="006402E7" w:rsidRPr="00246DC9" w:rsidRDefault="007226AA">
      <w:pPr>
        <w:spacing w:after="0" w:line="360" w:lineRule="auto"/>
        <w:ind w:right="49"/>
        <w:jc w:val="both"/>
        <w:rPr>
          <w:rFonts w:ascii="Palatino Linotype" w:eastAsia="Palatino Linotype" w:hAnsi="Palatino Linotype" w:cs="Palatino Linotype"/>
        </w:rPr>
      </w:pPr>
      <w:r w:rsidRPr="0068276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774A8" w:rsidRPr="0068276B">
        <w:rPr>
          <w:rFonts w:ascii="Palatino Linotype" w:eastAsia="Palatino Linotype" w:hAnsi="Palatino Linotype" w:cs="Palatino Linotype"/>
        </w:rPr>
        <w:t>CUARTA SESIÓN ORDINARIA DE FECHA CINCO DE FEBRERO DE DOS MIL VEINTISÉIS</w:t>
      </w:r>
      <w:r w:rsidRPr="0068276B">
        <w:rPr>
          <w:rFonts w:ascii="Palatino Linotype" w:eastAsia="Palatino Linotype" w:hAnsi="Palatino Linotype" w:cs="Palatino Linotype"/>
        </w:rPr>
        <w:t>, ANTE EL SECRETARIO TÉCNICO DEL PLENO ALEXIS TAPIA RAMÍREZ.</w:t>
      </w:r>
    </w:p>
    <w:p w14:paraId="61EC2A33" w14:textId="3C1BD19A" w:rsidR="00246DC9" w:rsidRPr="00246DC9" w:rsidRDefault="00246DC9">
      <w:pPr>
        <w:spacing w:after="0" w:line="360" w:lineRule="auto"/>
        <w:ind w:right="49"/>
        <w:jc w:val="both"/>
        <w:rPr>
          <w:rFonts w:ascii="Palatino Linotype" w:eastAsia="Palatino Linotype" w:hAnsi="Palatino Linotype" w:cs="Palatino Linotype"/>
        </w:rPr>
      </w:pPr>
    </w:p>
    <w:p w14:paraId="1244CA14" w14:textId="74091F87" w:rsidR="00246DC9" w:rsidRPr="00246DC9" w:rsidRDefault="00246DC9">
      <w:pPr>
        <w:spacing w:after="0" w:line="360" w:lineRule="auto"/>
        <w:ind w:right="49"/>
        <w:jc w:val="both"/>
        <w:rPr>
          <w:rFonts w:ascii="Palatino Linotype" w:eastAsia="Palatino Linotype" w:hAnsi="Palatino Linotype" w:cs="Palatino Linotype"/>
        </w:rPr>
      </w:pPr>
    </w:p>
    <w:p w14:paraId="1D0B7C13" w14:textId="5CA3AC75" w:rsidR="00246DC9" w:rsidRPr="00246DC9" w:rsidRDefault="00246DC9">
      <w:pPr>
        <w:spacing w:after="0" w:line="360" w:lineRule="auto"/>
        <w:ind w:right="49"/>
        <w:jc w:val="both"/>
        <w:rPr>
          <w:rFonts w:ascii="Palatino Linotype" w:eastAsia="Palatino Linotype" w:hAnsi="Palatino Linotype" w:cs="Palatino Linotype"/>
        </w:rPr>
      </w:pPr>
    </w:p>
    <w:p w14:paraId="0E1BF041" w14:textId="60DCA8BB" w:rsidR="00246DC9" w:rsidRPr="00246DC9" w:rsidRDefault="00246DC9">
      <w:pPr>
        <w:spacing w:after="0" w:line="360" w:lineRule="auto"/>
        <w:ind w:right="49"/>
        <w:jc w:val="both"/>
        <w:rPr>
          <w:rFonts w:ascii="Palatino Linotype" w:eastAsia="Palatino Linotype" w:hAnsi="Palatino Linotype" w:cs="Palatino Linotype"/>
        </w:rPr>
      </w:pPr>
    </w:p>
    <w:p w14:paraId="0C41F3D7" w14:textId="593433C7" w:rsidR="00246DC9" w:rsidRPr="00246DC9" w:rsidRDefault="00246DC9">
      <w:pPr>
        <w:spacing w:after="0" w:line="360" w:lineRule="auto"/>
        <w:ind w:right="49"/>
        <w:jc w:val="both"/>
        <w:rPr>
          <w:rFonts w:ascii="Palatino Linotype" w:eastAsia="Palatino Linotype" w:hAnsi="Palatino Linotype" w:cs="Palatino Linotype"/>
        </w:rPr>
      </w:pPr>
    </w:p>
    <w:p w14:paraId="42B34DBB" w14:textId="73B9E31C" w:rsidR="00246DC9" w:rsidRPr="00246DC9" w:rsidRDefault="00246DC9">
      <w:pPr>
        <w:spacing w:after="0" w:line="360" w:lineRule="auto"/>
        <w:ind w:right="49"/>
        <w:jc w:val="both"/>
        <w:rPr>
          <w:rFonts w:ascii="Palatino Linotype" w:eastAsia="Palatino Linotype" w:hAnsi="Palatino Linotype" w:cs="Palatino Linotype"/>
        </w:rPr>
      </w:pPr>
    </w:p>
    <w:p w14:paraId="3D4AA3C1" w14:textId="7379033E" w:rsidR="00246DC9" w:rsidRPr="00246DC9" w:rsidRDefault="00246DC9">
      <w:pPr>
        <w:spacing w:after="0" w:line="360" w:lineRule="auto"/>
        <w:ind w:right="49"/>
        <w:jc w:val="both"/>
        <w:rPr>
          <w:rFonts w:ascii="Palatino Linotype" w:eastAsia="Palatino Linotype" w:hAnsi="Palatino Linotype" w:cs="Palatino Linotype"/>
        </w:rPr>
      </w:pPr>
    </w:p>
    <w:p w14:paraId="047E6374" w14:textId="7FBA0B6A" w:rsidR="00246DC9" w:rsidRPr="00246DC9" w:rsidRDefault="00246DC9">
      <w:pPr>
        <w:spacing w:after="0" w:line="360" w:lineRule="auto"/>
        <w:ind w:right="49"/>
        <w:jc w:val="both"/>
        <w:rPr>
          <w:rFonts w:ascii="Palatino Linotype" w:eastAsia="Palatino Linotype" w:hAnsi="Palatino Linotype" w:cs="Palatino Linotype"/>
        </w:rPr>
      </w:pPr>
    </w:p>
    <w:p w14:paraId="1F54DD24" w14:textId="15B47CD5" w:rsidR="00246DC9" w:rsidRPr="00246DC9" w:rsidRDefault="00246DC9">
      <w:pPr>
        <w:spacing w:after="0" w:line="360" w:lineRule="auto"/>
        <w:ind w:right="49"/>
        <w:jc w:val="both"/>
        <w:rPr>
          <w:rFonts w:ascii="Palatino Linotype" w:eastAsia="Palatino Linotype" w:hAnsi="Palatino Linotype" w:cs="Palatino Linotype"/>
        </w:rPr>
      </w:pPr>
    </w:p>
    <w:p w14:paraId="4825A72F" w14:textId="678B8B91" w:rsidR="00246DC9" w:rsidRPr="00246DC9" w:rsidRDefault="00246DC9">
      <w:pPr>
        <w:spacing w:after="0" w:line="360" w:lineRule="auto"/>
        <w:ind w:right="49"/>
        <w:jc w:val="both"/>
        <w:rPr>
          <w:rFonts w:ascii="Palatino Linotype" w:eastAsia="Palatino Linotype" w:hAnsi="Palatino Linotype" w:cs="Palatino Linotype"/>
        </w:rPr>
      </w:pPr>
    </w:p>
    <w:p w14:paraId="6F761D2E" w14:textId="214A4FF2" w:rsidR="00246DC9" w:rsidRPr="00246DC9" w:rsidRDefault="00246DC9">
      <w:pPr>
        <w:spacing w:after="0" w:line="360" w:lineRule="auto"/>
        <w:ind w:right="49"/>
        <w:jc w:val="both"/>
        <w:rPr>
          <w:rFonts w:ascii="Palatino Linotype" w:eastAsia="Palatino Linotype" w:hAnsi="Palatino Linotype" w:cs="Palatino Linotype"/>
        </w:rPr>
      </w:pPr>
    </w:p>
    <w:p w14:paraId="3AE9AF7C" w14:textId="31FE0735" w:rsidR="00246DC9" w:rsidRPr="00246DC9" w:rsidRDefault="00246DC9">
      <w:pPr>
        <w:spacing w:after="0" w:line="360" w:lineRule="auto"/>
        <w:ind w:right="49"/>
        <w:jc w:val="both"/>
        <w:rPr>
          <w:rFonts w:ascii="Palatino Linotype" w:eastAsia="Palatino Linotype" w:hAnsi="Palatino Linotype" w:cs="Palatino Linotype"/>
        </w:rPr>
      </w:pPr>
    </w:p>
    <w:p w14:paraId="796749F4" w14:textId="0A8CFD58" w:rsidR="00246DC9" w:rsidRPr="00246DC9" w:rsidRDefault="00246DC9">
      <w:pPr>
        <w:spacing w:after="0" w:line="360" w:lineRule="auto"/>
        <w:ind w:right="49"/>
        <w:jc w:val="both"/>
        <w:rPr>
          <w:rFonts w:ascii="Palatino Linotype" w:eastAsia="Palatino Linotype" w:hAnsi="Palatino Linotype" w:cs="Palatino Linotype"/>
        </w:rPr>
      </w:pPr>
    </w:p>
    <w:p w14:paraId="5DDFDB6E" w14:textId="6FF1E938" w:rsidR="00246DC9" w:rsidRPr="00246DC9" w:rsidRDefault="00246DC9">
      <w:pPr>
        <w:spacing w:after="0" w:line="360" w:lineRule="auto"/>
        <w:ind w:right="49"/>
        <w:jc w:val="both"/>
        <w:rPr>
          <w:rFonts w:ascii="Palatino Linotype" w:eastAsia="Palatino Linotype" w:hAnsi="Palatino Linotype" w:cs="Palatino Linotype"/>
        </w:rPr>
      </w:pPr>
    </w:p>
    <w:p w14:paraId="2E8CF684" w14:textId="70D9F274" w:rsidR="00246DC9" w:rsidRPr="00246DC9" w:rsidRDefault="00246DC9">
      <w:pPr>
        <w:spacing w:after="0" w:line="360" w:lineRule="auto"/>
        <w:ind w:right="49"/>
        <w:jc w:val="both"/>
        <w:rPr>
          <w:rFonts w:ascii="Palatino Linotype" w:eastAsia="Palatino Linotype" w:hAnsi="Palatino Linotype" w:cs="Palatino Linotype"/>
        </w:rPr>
      </w:pPr>
    </w:p>
    <w:p w14:paraId="7437376F" w14:textId="0556A1BA" w:rsidR="00246DC9" w:rsidRPr="00246DC9" w:rsidRDefault="00246DC9">
      <w:pPr>
        <w:spacing w:after="0" w:line="360" w:lineRule="auto"/>
        <w:ind w:right="49"/>
        <w:jc w:val="both"/>
        <w:rPr>
          <w:rFonts w:ascii="Palatino Linotype" w:eastAsia="Palatino Linotype" w:hAnsi="Palatino Linotype" w:cs="Palatino Linotype"/>
        </w:rPr>
      </w:pPr>
    </w:p>
    <w:p w14:paraId="67870E8C" w14:textId="4345F09E" w:rsidR="00246DC9" w:rsidRPr="00246DC9" w:rsidRDefault="00246DC9">
      <w:pPr>
        <w:spacing w:after="0" w:line="360" w:lineRule="auto"/>
        <w:ind w:right="49"/>
        <w:jc w:val="both"/>
        <w:rPr>
          <w:rFonts w:ascii="Palatino Linotype" w:eastAsia="Palatino Linotype" w:hAnsi="Palatino Linotype" w:cs="Palatino Linotype"/>
        </w:rPr>
      </w:pPr>
    </w:p>
    <w:p w14:paraId="6D2CBC7B" w14:textId="6847A7C7" w:rsidR="00246DC9" w:rsidRPr="00246DC9" w:rsidRDefault="00246DC9">
      <w:pPr>
        <w:spacing w:after="0" w:line="360" w:lineRule="auto"/>
        <w:ind w:right="49"/>
        <w:jc w:val="both"/>
        <w:rPr>
          <w:rFonts w:ascii="Palatino Linotype" w:eastAsia="Palatino Linotype" w:hAnsi="Palatino Linotype" w:cs="Palatino Linotype"/>
        </w:rPr>
      </w:pPr>
    </w:p>
    <w:p w14:paraId="1FFC691E" w14:textId="315965FD" w:rsidR="00246DC9" w:rsidRPr="00246DC9" w:rsidRDefault="00246DC9">
      <w:pPr>
        <w:spacing w:after="0" w:line="360" w:lineRule="auto"/>
        <w:ind w:right="49"/>
        <w:jc w:val="both"/>
        <w:rPr>
          <w:rFonts w:ascii="Palatino Linotype" w:eastAsia="Palatino Linotype" w:hAnsi="Palatino Linotype" w:cs="Palatino Linotype"/>
        </w:rPr>
      </w:pPr>
    </w:p>
    <w:p w14:paraId="4DAA5654" w14:textId="1ABEAFEE" w:rsidR="00246DC9" w:rsidRPr="00246DC9" w:rsidRDefault="00246DC9">
      <w:pPr>
        <w:spacing w:after="0" w:line="360" w:lineRule="auto"/>
        <w:ind w:right="49"/>
        <w:jc w:val="both"/>
        <w:rPr>
          <w:rFonts w:ascii="Palatino Linotype" w:eastAsia="Palatino Linotype" w:hAnsi="Palatino Linotype" w:cs="Palatino Linotype"/>
        </w:rPr>
      </w:pPr>
    </w:p>
    <w:p w14:paraId="20700804" w14:textId="04F05108" w:rsidR="00246DC9" w:rsidRPr="00246DC9" w:rsidRDefault="00246DC9">
      <w:pPr>
        <w:spacing w:after="0" w:line="360" w:lineRule="auto"/>
        <w:ind w:right="49"/>
        <w:jc w:val="both"/>
        <w:rPr>
          <w:rFonts w:ascii="Palatino Linotype" w:eastAsia="Palatino Linotype" w:hAnsi="Palatino Linotype" w:cs="Palatino Linotype"/>
        </w:rPr>
      </w:pPr>
    </w:p>
    <w:p w14:paraId="12614FA4" w14:textId="3A38EEBE" w:rsidR="00246DC9" w:rsidRPr="00246DC9" w:rsidRDefault="00246DC9">
      <w:pPr>
        <w:spacing w:after="0" w:line="360" w:lineRule="auto"/>
        <w:ind w:right="49"/>
        <w:jc w:val="both"/>
        <w:rPr>
          <w:rFonts w:ascii="Palatino Linotype" w:eastAsia="Palatino Linotype" w:hAnsi="Palatino Linotype" w:cs="Palatino Linotype"/>
        </w:rPr>
      </w:pPr>
    </w:p>
    <w:p w14:paraId="352BB049" w14:textId="6816C260" w:rsidR="00246DC9" w:rsidRPr="00246DC9" w:rsidRDefault="00246DC9">
      <w:pPr>
        <w:spacing w:after="0" w:line="360" w:lineRule="auto"/>
        <w:ind w:right="49"/>
        <w:jc w:val="both"/>
        <w:rPr>
          <w:rFonts w:ascii="Palatino Linotype" w:eastAsia="Palatino Linotype" w:hAnsi="Palatino Linotype" w:cs="Palatino Linotype"/>
        </w:rPr>
      </w:pPr>
    </w:p>
    <w:p w14:paraId="4C2BBF41" w14:textId="45550D69" w:rsidR="00246DC9" w:rsidRPr="00246DC9" w:rsidRDefault="00246DC9">
      <w:pPr>
        <w:spacing w:after="0" w:line="360" w:lineRule="auto"/>
        <w:ind w:right="49"/>
        <w:jc w:val="both"/>
        <w:rPr>
          <w:rFonts w:ascii="Palatino Linotype" w:eastAsia="Palatino Linotype" w:hAnsi="Palatino Linotype" w:cs="Palatino Linotype"/>
        </w:rPr>
      </w:pPr>
    </w:p>
    <w:p w14:paraId="6AF04517" w14:textId="1E977C4B" w:rsidR="00246DC9" w:rsidRPr="00246DC9" w:rsidRDefault="00246DC9">
      <w:pPr>
        <w:spacing w:after="0" w:line="360" w:lineRule="auto"/>
        <w:ind w:right="49"/>
        <w:jc w:val="both"/>
        <w:rPr>
          <w:rFonts w:ascii="Palatino Linotype" w:eastAsia="Palatino Linotype" w:hAnsi="Palatino Linotype" w:cs="Palatino Linotype"/>
        </w:rPr>
      </w:pPr>
    </w:p>
    <w:p w14:paraId="34880351" w14:textId="60F40B7F" w:rsidR="00246DC9" w:rsidRPr="00246DC9" w:rsidRDefault="00246DC9">
      <w:pPr>
        <w:spacing w:after="0" w:line="360" w:lineRule="auto"/>
        <w:ind w:right="49"/>
        <w:jc w:val="both"/>
        <w:rPr>
          <w:rFonts w:ascii="Palatino Linotype" w:eastAsia="Palatino Linotype" w:hAnsi="Palatino Linotype" w:cs="Palatino Linotype"/>
        </w:rPr>
      </w:pPr>
    </w:p>
    <w:p w14:paraId="0D69F582" w14:textId="77777777" w:rsidR="00246DC9" w:rsidRPr="00246DC9" w:rsidRDefault="00246DC9">
      <w:pPr>
        <w:spacing w:after="0" w:line="360" w:lineRule="auto"/>
        <w:ind w:right="49"/>
        <w:jc w:val="both"/>
        <w:rPr>
          <w:rFonts w:ascii="Palatino Linotype" w:eastAsia="Palatino Linotype" w:hAnsi="Palatino Linotype" w:cs="Palatino Linotype"/>
        </w:rPr>
      </w:pPr>
    </w:p>
    <w:sectPr w:rsidR="00246DC9" w:rsidRPr="00246DC9">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3FA2C" w14:textId="77777777" w:rsidR="00D1065E" w:rsidRDefault="00D1065E">
      <w:pPr>
        <w:spacing w:after="0" w:line="240" w:lineRule="auto"/>
      </w:pPr>
      <w:r>
        <w:separator/>
      </w:r>
    </w:p>
  </w:endnote>
  <w:endnote w:type="continuationSeparator" w:id="0">
    <w:p w14:paraId="41E4C015" w14:textId="77777777" w:rsidR="00D1065E" w:rsidRDefault="00D1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21FEC" w14:textId="59AF8954" w:rsidR="006543D8" w:rsidRDefault="006543D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B2DB4">
      <w:rPr>
        <w:b/>
        <w:noProof/>
        <w:color w:val="000000"/>
        <w:sz w:val="24"/>
        <w:szCs w:val="24"/>
      </w:rPr>
      <w:t>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B2DB4">
      <w:rPr>
        <w:b/>
        <w:noProof/>
        <w:color w:val="000000"/>
        <w:sz w:val="24"/>
        <w:szCs w:val="24"/>
      </w:rPr>
      <w:t>27</w:t>
    </w:r>
    <w:r>
      <w:rPr>
        <w:b/>
        <w:color w:val="000000"/>
        <w:sz w:val="24"/>
        <w:szCs w:val="24"/>
      </w:rPr>
      <w:fldChar w:fldCharType="end"/>
    </w:r>
  </w:p>
  <w:p w14:paraId="726FA2CF" w14:textId="77777777" w:rsidR="006543D8" w:rsidRDefault="006543D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0823B" w14:textId="5F7D8209" w:rsidR="006543D8" w:rsidRDefault="006543D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B2DB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B2DB4">
      <w:rPr>
        <w:b/>
        <w:noProof/>
        <w:color w:val="000000"/>
        <w:sz w:val="24"/>
        <w:szCs w:val="24"/>
      </w:rPr>
      <w:t>27</w:t>
    </w:r>
    <w:r>
      <w:rPr>
        <w:b/>
        <w:color w:val="000000"/>
        <w:sz w:val="24"/>
        <w:szCs w:val="24"/>
      </w:rPr>
      <w:fldChar w:fldCharType="end"/>
    </w:r>
  </w:p>
  <w:p w14:paraId="22D0CDFA" w14:textId="77777777" w:rsidR="006543D8" w:rsidRDefault="006543D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19A18" w14:textId="77777777" w:rsidR="00D1065E" w:rsidRDefault="00D1065E">
      <w:pPr>
        <w:spacing w:after="0" w:line="240" w:lineRule="auto"/>
      </w:pPr>
      <w:r>
        <w:separator/>
      </w:r>
    </w:p>
  </w:footnote>
  <w:footnote w:type="continuationSeparator" w:id="0">
    <w:p w14:paraId="1FBB3674" w14:textId="77777777" w:rsidR="00D1065E" w:rsidRDefault="00D10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D0C21" w14:textId="77777777" w:rsidR="006543D8" w:rsidRDefault="006543D8">
    <w:pPr>
      <w:widowControl w:val="0"/>
      <w:pBdr>
        <w:top w:val="nil"/>
        <w:left w:val="nil"/>
        <w:bottom w:val="nil"/>
        <w:right w:val="nil"/>
        <w:between w:val="nil"/>
      </w:pBdr>
      <w:spacing w:after="0" w:line="276" w:lineRule="auto"/>
      <w:rPr>
        <w:color w:val="000000"/>
      </w:rPr>
    </w:pPr>
  </w:p>
  <w:tbl>
    <w:tblPr>
      <w:tblStyle w:val="a6"/>
      <w:tblW w:w="5603" w:type="dxa"/>
      <w:tblInd w:w="3611" w:type="dxa"/>
      <w:tblLayout w:type="fixed"/>
      <w:tblLook w:val="0400" w:firstRow="0" w:lastRow="0" w:firstColumn="0" w:lastColumn="0" w:noHBand="0" w:noVBand="1"/>
    </w:tblPr>
    <w:tblGrid>
      <w:gridCol w:w="2551"/>
      <w:gridCol w:w="3052"/>
    </w:tblGrid>
    <w:tr w:rsidR="006543D8" w14:paraId="3285ED9C" w14:textId="77777777">
      <w:tc>
        <w:tcPr>
          <w:tcW w:w="2551" w:type="dxa"/>
          <w:vAlign w:val="center"/>
        </w:tcPr>
        <w:p w14:paraId="01C72595" w14:textId="77777777" w:rsidR="006543D8" w:rsidRDefault="006543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FF98591" w14:textId="760B44B2" w:rsidR="006543D8" w:rsidRDefault="006543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14089/INFOEM/IP/RR/2025</w:t>
          </w:r>
        </w:p>
      </w:tc>
    </w:tr>
    <w:tr w:rsidR="006543D8" w14:paraId="6C88A982" w14:textId="77777777" w:rsidTr="00691771">
      <w:trPr>
        <w:trHeight w:val="76"/>
      </w:trPr>
      <w:tc>
        <w:tcPr>
          <w:tcW w:w="2551" w:type="dxa"/>
          <w:vAlign w:val="center"/>
        </w:tcPr>
        <w:p w14:paraId="56F953A9" w14:textId="77777777" w:rsidR="006543D8" w:rsidRDefault="006543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r>
            <w:rPr>
              <w:noProof/>
            </w:rPr>
            <w:drawing>
              <wp:anchor distT="0" distB="0" distL="0" distR="0" simplePos="0" relativeHeight="251658240" behindDoc="1" locked="0" layoutInCell="1" hidden="0" allowOverlap="1" wp14:anchorId="66ED40CB" wp14:editId="36DBA9DA">
                <wp:simplePos x="0" y="0"/>
                <wp:positionH relativeFrom="column">
                  <wp:posOffset>-3261359</wp:posOffset>
                </wp:positionH>
                <wp:positionV relativeFrom="paragraph">
                  <wp:posOffset>-822324</wp:posOffset>
                </wp:positionV>
                <wp:extent cx="7809865" cy="10165715"/>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c>
        <w:tcPr>
          <w:tcW w:w="3052" w:type="dxa"/>
          <w:vAlign w:val="center"/>
        </w:tcPr>
        <w:p w14:paraId="360B5A01" w14:textId="77777777" w:rsidR="006543D8" w:rsidRPr="00691771" w:rsidRDefault="006543D8">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6543D8" w14:paraId="125EBED7" w14:textId="77777777">
      <w:tc>
        <w:tcPr>
          <w:tcW w:w="2551" w:type="dxa"/>
          <w:vAlign w:val="center"/>
        </w:tcPr>
        <w:p w14:paraId="51DBD590" w14:textId="77777777" w:rsidR="006543D8" w:rsidRDefault="006543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99CE088" w14:textId="77777777" w:rsidR="006543D8" w:rsidRDefault="006543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7CBF447" w14:textId="77777777" w:rsidR="006543D8" w:rsidRDefault="006543D8">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B70A8" w14:textId="77777777" w:rsidR="006543D8" w:rsidRDefault="006543D8">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40FDE93" wp14:editId="32EAD444">
          <wp:simplePos x="0" y="0"/>
          <wp:positionH relativeFrom="column">
            <wp:posOffset>-772605</wp:posOffset>
          </wp:positionH>
          <wp:positionV relativeFrom="paragraph">
            <wp:posOffset>-279928</wp:posOffset>
          </wp:positionV>
          <wp:extent cx="7809876" cy="10165823"/>
          <wp:effectExtent l="0" t="0" r="0" b="0"/>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6543D8" w14:paraId="314D0C0F" w14:textId="77777777" w:rsidTr="00691771">
      <w:tc>
        <w:tcPr>
          <w:tcW w:w="2551" w:type="dxa"/>
          <w:vAlign w:val="center"/>
        </w:tcPr>
        <w:p w14:paraId="005D953B" w14:textId="77777777" w:rsidR="006543D8" w:rsidRDefault="006543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132B4C1" w14:textId="5091E410" w:rsidR="006543D8" w:rsidRDefault="006543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14089/INFOEM/IP/RR/2025</w:t>
          </w:r>
        </w:p>
      </w:tc>
    </w:tr>
    <w:tr w:rsidR="006543D8" w14:paraId="2A70179F" w14:textId="77777777" w:rsidTr="00691771">
      <w:tc>
        <w:tcPr>
          <w:tcW w:w="2551" w:type="dxa"/>
          <w:vAlign w:val="center"/>
        </w:tcPr>
        <w:p w14:paraId="73D4694C" w14:textId="77777777" w:rsidR="006543D8" w:rsidRDefault="006543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36D87E3F" w14:textId="77777777" w:rsidR="006543D8" w:rsidRDefault="006543D8" w:rsidP="00DD2EA8">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6543D8" w14:paraId="6829B1E3" w14:textId="77777777" w:rsidTr="00691771">
      <w:trPr>
        <w:trHeight w:val="144"/>
      </w:trPr>
      <w:tc>
        <w:tcPr>
          <w:tcW w:w="2551" w:type="dxa"/>
          <w:vAlign w:val="center"/>
        </w:tcPr>
        <w:p w14:paraId="2946F559" w14:textId="77777777" w:rsidR="006543D8" w:rsidRDefault="006543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223F0EDB" w14:textId="77777777" w:rsidR="006543D8" w:rsidRDefault="006543D8">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6543D8" w14:paraId="0272D8A0" w14:textId="77777777" w:rsidTr="00691771">
      <w:tc>
        <w:tcPr>
          <w:tcW w:w="2551" w:type="dxa"/>
          <w:vAlign w:val="center"/>
        </w:tcPr>
        <w:p w14:paraId="229A3280" w14:textId="77777777" w:rsidR="006543D8" w:rsidRDefault="006543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0901499" w14:textId="77777777" w:rsidR="006543D8" w:rsidRDefault="006543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AED1798" w14:textId="77777777" w:rsidR="006543D8" w:rsidRDefault="006543D8">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3507"/>
    <w:multiLevelType w:val="hybridMultilevel"/>
    <w:tmpl w:val="9AA64A74"/>
    <w:lvl w:ilvl="0" w:tplc="F28EB328">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955C7F"/>
    <w:multiLevelType w:val="multilevel"/>
    <w:tmpl w:val="8B48EDF4"/>
    <w:lvl w:ilvl="0">
      <w:start w:val="7"/>
      <w:numFmt w:val="decimal"/>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C06766D"/>
    <w:multiLevelType w:val="multilevel"/>
    <w:tmpl w:val="0A4AF3EC"/>
    <w:lvl w:ilvl="0">
      <w:start w:val="1"/>
      <w:numFmt w:val="bullet"/>
      <w:lvlText w:val="●"/>
      <w:lvlJc w:val="left"/>
      <w:pPr>
        <w:ind w:left="720" w:hanging="360"/>
      </w:pPr>
      <w:rPr>
        <w:rFonts w:ascii="Noto Sans Symbols" w:eastAsia="Noto Sans Symbols" w:hAnsi="Noto Sans Symbols" w:cs="Noto Sans Symbols"/>
        <w:color w:val="000000"/>
      </w:rPr>
    </w:lvl>
    <w:lvl w:ilvl="1">
      <w:numFmt w:val="bullet"/>
      <w:lvlText w:val="•"/>
      <w:lvlJc w:val="left"/>
      <w:pPr>
        <w:ind w:left="1440" w:hanging="360"/>
      </w:pPr>
      <w:rPr>
        <w:rFonts w:ascii="Palatino Linotype" w:eastAsia="Palatino Linotype" w:hAnsi="Palatino Linotype" w:cs="Palatino Linotype"/>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971E89"/>
    <w:multiLevelType w:val="hybridMultilevel"/>
    <w:tmpl w:val="61707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893680"/>
    <w:multiLevelType w:val="multilevel"/>
    <w:tmpl w:val="2312B36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EF795B"/>
    <w:multiLevelType w:val="multilevel"/>
    <w:tmpl w:val="B364A7EC"/>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54AB5CB9"/>
    <w:multiLevelType w:val="multilevel"/>
    <w:tmpl w:val="D3E45AF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00075F"/>
    <w:multiLevelType w:val="multilevel"/>
    <w:tmpl w:val="0A522526"/>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3"/>
  </w:num>
  <w:num w:numId="4">
    <w:abstractNumId w:val="9"/>
  </w:num>
  <w:num w:numId="5">
    <w:abstractNumId w:val="5"/>
  </w:num>
  <w:num w:numId="6">
    <w:abstractNumId w:val="1"/>
  </w:num>
  <w:num w:numId="7">
    <w:abstractNumId w:val="4"/>
  </w:num>
  <w:num w:numId="8">
    <w:abstractNumId w:val="0"/>
  </w:num>
  <w:num w:numId="9">
    <w:abstractNumId w:val="12"/>
  </w:num>
  <w:num w:numId="10">
    <w:abstractNumId w:val="14"/>
  </w:num>
  <w:num w:numId="11">
    <w:abstractNumId w:val="2"/>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1"/>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2E7"/>
    <w:rsid w:val="000435F7"/>
    <w:rsid w:val="00063C2B"/>
    <w:rsid w:val="0015251E"/>
    <w:rsid w:val="00246DC9"/>
    <w:rsid w:val="00382A68"/>
    <w:rsid w:val="003919E5"/>
    <w:rsid w:val="003947C2"/>
    <w:rsid w:val="004C4B67"/>
    <w:rsid w:val="004E1A82"/>
    <w:rsid w:val="005F77B3"/>
    <w:rsid w:val="006402E7"/>
    <w:rsid w:val="00651CE9"/>
    <w:rsid w:val="006543D8"/>
    <w:rsid w:val="0068276B"/>
    <w:rsid w:val="00691771"/>
    <w:rsid w:val="007226AA"/>
    <w:rsid w:val="007774A8"/>
    <w:rsid w:val="00803AA1"/>
    <w:rsid w:val="008A5073"/>
    <w:rsid w:val="008E790C"/>
    <w:rsid w:val="009E721A"/>
    <w:rsid w:val="00A642D5"/>
    <w:rsid w:val="00C3098B"/>
    <w:rsid w:val="00CB0EFF"/>
    <w:rsid w:val="00D1065E"/>
    <w:rsid w:val="00DD2EA8"/>
    <w:rsid w:val="00DE1B00"/>
    <w:rsid w:val="00FB2DB4"/>
    <w:rsid w:val="00FE71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22E6C0"/>
  <w15:docId w15:val="{6F653820-F476-40C8-8460-753B26D6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inespaciado">
    <w:name w:val="No Spacing"/>
    <w:aliases w:val="Francesa,INAI"/>
    <w:link w:val="SinespaciadoCar"/>
    <w:uiPriority w:val="1"/>
    <w:qFormat/>
    <w:rsid w:val="00792DEA"/>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792DEA"/>
    <w:rPr>
      <w:rFonts w:ascii="Times New Roman" w:eastAsia="Times New Roman" w:hAnsi="Times New Roman" w:cs="Times New Roman"/>
      <w:sz w:val="24"/>
      <w:szCs w:val="24"/>
      <w:lang w:val="es-ES" w:eastAsia="es-ES"/>
    </w:r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163359">
      <w:bodyDiv w:val="1"/>
      <w:marLeft w:val="0"/>
      <w:marRight w:val="0"/>
      <w:marTop w:val="0"/>
      <w:marBottom w:val="0"/>
      <w:divBdr>
        <w:top w:val="none" w:sz="0" w:space="0" w:color="auto"/>
        <w:left w:val="none" w:sz="0" w:space="0" w:color="auto"/>
        <w:bottom w:val="none" w:sz="0" w:space="0" w:color="auto"/>
        <w:right w:val="none" w:sz="0" w:space="0" w:color="auto"/>
      </w:divBdr>
    </w:div>
    <w:div w:id="732125334">
      <w:bodyDiv w:val="1"/>
      <w:marLeft w:val="0"/>
      <w:marRight w:val="0"/>
      <w:marTop w:val="0"/>
      <w:marBottom w:val="0"/>
      <w:divBdr>
        <w:top w:val="none" w:sz="0" w:space="0" w:color="auto"/>
        <w:left w:val="none" w:sz="0" w:space="0" w:color="auto"/>
        <w:bottom w:val="none" w:sz="0" w:space="0" w:color="auto"/>
        <w:right w:val="none" w:sz="0" w:space="0" w:color="auto"/>
      </w:divBdr>
    </w:div>
    <w:div w:id="1429307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dLeJU1GYDpm3BS7gwVcV3kpCBg==">CgMxLjAyCWguMzBqMHpsbDIOaC43MzNweHd1Y24waWY4AHIhMXg1dE1tOUwxMzBBTnRHX0VzN09wUU9ObkNIVk9sV0Uw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7137</Words>
  <Characters>39258</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2026-02-09T16:43:00Z</cp:lastPrinted>
  <dcterms:created xsi:type="dcterms:W3CDTF">2026-03-24T18:19:00Z</dcterms:created>
  <dcterms:modified xsi:type="dcterms:W3CDTF">2026-03-24T18:19:00Z</dcterms:modified>
</cp:coreProperties>
</file>