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799A6" w14:textId="6473A4AC" w:rsidR="00E458B2" w:rsidRPr="007C38BF" w:rsidRDefault="008A7751">
      <w:pPr>
        <w:spacing w:after="0" w:line="360" w:lineRule="auto"/>
        <w:ind w:right="49"/>
        <w:jc w:val="both"/>
        <w:rPr>
          <w:rFonts w:ascii="Palatino Linotype" w:eastAsia="Palatino Linotype" w:hAnsi="Palatino Linotype" w:cs="Palatino Linotype"/>
        </w:rPr>
      </w:pPr>
      <w:bookmarkStart w:id="0" w:name="_GoBack"/>
      <w:bookmarkEnd w:id="0"/>
      <w:r w:rsidRPr="007C38BF">
        <w:rPr>
          <w:rFonts w:ascii="Palatino Linotype" w:eastAsia="Palatino Linotype" w:hAnsi="Palatino Linotype" w:cs="Palatino Linotype"/>
        </w:rPr>
        <w:t xml:space="preserve">Resolución del Pleno del Instituto de Transparencia, Acceso a la Información Pública y Protección de Datos Personales del Estado de México y Municipios, con domicilio en Metepec, Estado de México, a </w:t>
      </w:r>
      <w:r w:rsidR="007C38BF" w:rsidRPr="007C38BF">
        <w:rPr>
          <w:rFonts w:ascii="Palatino Linotype" w:eastAsia="Palatino Linotype" w:hAnsi="Palatino Linotype" w:cs="Palatino Linotype"/>
          <w:b/>
          <w:bCs/>
        </w:rPr>
        <w:t>veinticuatro</w:t>
      </w:r>
      <w:r w:rsidRPr="007C38BF">
        <w:rPr>
          <w:rFonts w:ascii="Palatino Linotype" w:eastAsia="Palatino Linotype" w:hAnsi="Palatino Linotype" w:cs="Palatino Linotype"/>
          <w:b/>
          <w:bCs/>
        </w:rPr>
        <w:t xml:space="preserve"> de septiembre de dos mil veintiséis</w:t>
      </w:r>
      <w:r w:rsidRPr="007C38BF">
        <w:rPr>
          <w:rFonts w:ascii="Palatino Linotype" w:eastAsia="Palatino Linotype" w:hAnsi="Palatino Linotype" w:cs="Palatino Linotype"/>
        </w:rPr>
        <w:t>.</w:t>
      </w:r>
    </w:p>
    <w:p w14:paraId="2A9E572A" w14:textId="77777777" w:rsidR="00E458B2" w:rsidRPr="007C38BF" w:rsidRDefault="00E458B2">
      <w:pPr>
        <w:spacing w:after="0" w:line="360" w:lineRule="auto"/>
        <w:ind w:right="49"/>
        <w:jc w:val="both"/>
        <w:rPr>
          <w:rFonts w:ascii="Palatino Linotype" w:eastAsia="Palatino Linotype" w:hAnsi="Palatino Linotype" w:cs="Palatino Linotype"/>
        </w:rPr>
      </w:pPr>
    </w:p>
    <w:p w14:paraId="1782A247"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Visto </w:t>
      </w:r>
      <w:r w:rsidRPr="007C38BF">
        <w:rPr>
          <w:rFonts w:ascii="Palatino Linotype" w:eastAsia="Palatino Linotype" w:hAnsi="Palatino Linotype" w:cs="Palatino Linotype"/>
        </w:rPr>
        <w:t xml:space="preserve">el expediente relativo al recurso de revisión número </w:t>
      </w:r>
      <w:r w:rsidRPr="007C38BF">
        <w:rPr>
          <w:rFonts w:ascii="Palatino Linotype" w:eastAsia="Palatino Linotype" w:hAnsi="Palatino Linotype" w:cs="Palatino Linotype"/>
          <w:b/>
          <w:bCs/>
        </w:rPr>
        <w:t xml:space="preserve">07882/INFOEM/IP/RR/2026, </w:t>
      </w:r>
      <w:r w:rsidRPr="007C38BF">
        <w:rPr>
          <w:rFonts w:ascii="Palatino Linotype" w:eastAsia="Palatino Linotype" w:hAnsi="Palatino Linotype" w:cs="Palatino Linotype"/>
        </w:rPr>
        <w:t>interpuestos por</w:t>
      </w:r>
      <w:r w:rsidRPr="007C38BF">
        <w:rPr>
          <w:rFonts w:ascii="Palatino Linotype" w:eastAsia="Palatino Linotype" w:hAnsi="Palatino Linotype" w:cs="Palatino Linotype"/>
          <w:b/>
          <w:bCs/>
        </w:rPr>
        <w:t xml:space="preserve"> un particular que no proporcionó nombre o seudónimo para ser identificado</w:t>
      </w:r>
      <w:r w:rsidRPr="007C38BF">
        <w:rPr>
          <w:rFonts w:ascii="Palatino Linotype" w:eastAsia="Palatino Linotype" w:hAnsi="Palatino Linotype" w:cs="Palatino Linotype"/>
        </w:rPr>
        <w:t xml:space="preserve">, en lo sucesivo la parte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xml:space="preserve">, en contra de la respuesta a la solicitud de información con número de folio </w:t>
      </w:r>
      <w:r w:rsidRPr="007C38BF">
        <w:rPr>
          <w:rFonts w:ascii="Palatino Linotype" w:eastAsia="Palatino Linotype" w:hAnsi="Palatino Linotype" w:cs="Palatino Linotype"/>
          <w:b/>
          <w:bCs/>
        </w:rPr>
        <w:t xml:space="preserve">00033/DIFHUEHUET/IP/2026, </w:t>
      </w:r>
      <w:r w:rsidRPr="007C38BF">
        <w:rPr>
          <w:rFonts w:ascii="Palatino Linotype" w:eastAsia="Palatino Linotype" w:hAnsi="Palatino Linotype" w:cs="Palatino Linotype"/>
        </w:rPr>
        <w:t xml:space="preserve">por parte del </w:t>
      </w:r>
      <w:r w:rsidRPr="007C38BF">
        <w:rPr>
          <w:rFonts w:ascii="Palatino Linotype" w:eastAsia="Palatino Linotype" w:hAnsi="Palatino Linotype" w:cs="Palatino Linotype"/>
          <w:b/>
          <w:bCs/>
        </w:rPr>
        <w:t xml:space="preserve">Sistema Municipal Para el Desarrollo Integral de la Familia de Huehuetoca, </w:t>
      </w:r>
      <w:r w:rsidRPr="007C38BF">
        <w:rPr>
          <w:rFonts w:ascii="Palatino Linotype" w:eastAsia="Palatino Linotype" w:hAnsi="Palatino Linotype" w:cs="Palatino Linotype"/>
        </w:rPr>
        <w:t xml:space="preserve">en lo sucesivo 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se procede a dictar la presente resolución, con base en lo siguiente:</w:t>
      </w:r>
    </w:p>
    <w:p w14:paraId="0998443B" w14:textId="77777777" w:rsidR="00E458B2" w:rsidRPr="007C38BF" w:rsidRDefault="00E458B2">
      <w:pPr>
        <w:spacing w:after="0" w:line="360" w:lineRule="auto"/>
        <w:jc w:val="both"/>
        <w:rPr>
          <w:rFonts w:ascii="Palatino Linotype" w:eastAsia="Palatino Linotype" w:hAnsi="Palatino Linotype" w:cs="Palatino Linotype"/>
        </w:rPr>
      </w:pPr>
    </w:p>
    <w:p w14:paraId="317E3505" w14:textId="77777777" w:rsidR="00E458B2" w:rsidRPr="007C38BF" w:rsidRDefault="008A7751">
      <w:pPr>
        <w:pBdr>
          <w:top w:val="nil"/>
          <w:left w:val="nil"/>
          <w:bottom w:val="nil"/>
          <w:right w:val="nil"/>
          <w:between w:val="nil"/>
        </w:pBdr>
        <w:spacing w:after="0" w:line="360" w:lineRule="auto"/>
        <w:jc w:val="center"/>
        <w:rPr>
          <w:rFonts w:ascii="Palatino Linotype" w:eastAsia="Palatino Linotype" w:hAnsi="Palatino Linotype" w:cs="Palatino Linotype"/>
          <w:b/>
          <w:bCs/>
        </w:rPr>
      </w:pPr>
      <w:r w:rsidRPr="007C38BF">
        <w:rPr>
          <w:rFonts w:ascii="Palatino Linotype" w:eastAsia="Palatino Linotype" w:hAnsi="Palatino Linotype" w:cs="Palatino Linotype"/>
          <w:b/>
          <w:bCs/>
        </w:rPr>
        <w:t>I. A N T E C E D E N T E S:</w:t>
      </w:r>
    </w:p>
    <w:p w14:paraId="51C4D363" w14:textId="77777777" w:rsidR="00E458B2" w:rsidRPr="007C38BF" w:rsidRDefault="00E458B2">
      <w:pPr>
        <w:pBdr>
          <w:top w:val="nil"/>
          <w:left w:val="nil"/>
          <w:bottom w:val="nil"/>
          <w:right w:val="nil"/>
          <w:between w:val="nil"/>
        </w:pBdr>
        <w:spacing w:after="0" w:line="360" w:lineRule="auto"/>
        <w:jc w:val="center"/>
        <w:rPr>
          <w:rFonts w:ascii="Palatino Linotype" w:eastAsia="Palatino Linotype" w:hAnsi="Palatino Linotype" w:cs="Palatino Linotype"/>
          <w:b/>
          <w:bCs/>
        </w:rPr>
      </w:pPr>
    </w:p>
    <w:p w14:paraId="06EE5D4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1.</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 xml:space="preserve">Solicitud de Información. </w:t>
      </w:r>
      <w:r w:rsidRPr="007C38BF">
        <w:rPr>
          <w:rFonts w:ascii="Palatino Linotype" w:eastAsia="Palatino Linotype" w:hAnsi="Palatino Linotype" w:cs="Palatino Linotype"/>
        </w:rPr>
        <w:t xml:space="preserve">El </w:t>
      </w:r>
      <w:r w:rsidRPr="007C38BF">
        <w:rPr>
          <w:rFonts w:ascii="Palatino Linotype" w:eastAsia="Palatino Linotype" w:hAnsi="Palatino Linotype" w:cs="Palatino Linotype"/>
          <w:b/>
          <w:bCs/>
        </w:rPr>
        <w:t xml:space="preserve">ocho de julio de dos mil veintiséis, </w:t>
      </w:r>
      <w:r w:rsidRPr="007C38BF">
        <w:rPr>
          <w:rFonts w:ascii="Palatino Linotype" w:eastAsia="Palatino Linotype" w:hAnsi="Palatino Linotype" w:cs="Palatino Linotype"/>
        </w:rPr>
        <w:t>la persona solicitante</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 xml:space="preserve">presentó, través del Sistema de Acceso a la Información Mexiquense, en lo subsecuente el </w:t>
      </w:r>
      <w:r w:rsidRPr="007C38BF">
        <w:rPr>
          <w:rFonts w:ascii="Palatino Linotype" w:eastAsia="Palatino Linotype" w:hAnsi="Palatino Linotype" w:cs="Palatino Linotype"/>
          <w:b/>
          <w:bCs/>
        </w:rPr>
        <w:t xml:space="preserve">SAIMEX, </w:t>
      </w:r>
      <w:r w:rsidRPr="007C38BF">
        <w:rPr>
          <w:rFonts w:ascii="Palatino Linotype" w:eastAsia="Palatino Linotype" w:hAnsi="Palatino Linotype" w:cs="Palatino Linotype"/>
        </w:rPr>
        <w:t xml:space="preserve">ante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la solicitud de acceso a la información pública, mediante la cual requirió la información siguiente:</w:t>
      </w:r>
    </w:p>
    <w:p w14:paraId="017C2364"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12665D3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“Solicito los expedientes laborales, así como los recibos de nómina en su correcta versión publica, correspondiente al segundo trimestre del 2026 del presente año, de todo el personal que labora en las áreas de Ingresos, Cuentas por Pagar y Adquisiciones, via de entrega, Sistema de Acceso a la Información Mexiquense”</w:t>
      </w:r>
    </w:p>
    <w:p w14:paraId="7C12CF0F"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789E741C" w14:textId="77777777" w:rsidR="00E458B2" w:rsidRPr="007C38BF" w:rsidRDefault="008A7751">
      <w:pPr>
        <w:spacing w:after="0" w:line="360" w:lineRule="auto"/>
        <w:jc w:val="both"/>
        <w:rPr>
          <w:rFonts w:ascii="Palatino Linotype" w:eastAsia="Palatino Linotype" w:hAnsi="Palatino Linotype" w:cs="Palatino Linotype"/>
        </w:rPr>
      </w:pPr>
      <w:bookmarkStart w:id="1" w:name="_heading=h.1fob9te" w:colFirst="0" w:colLast="0"/>
      <w:bookmarkEnd w:id="1"/>
      <w:r w:rsidRPr="007C38BF">
        <w:rPr>
          <w:rFonts w:ascii="Palatino Linotype" w:eastAsia="Palatino Linotype" w:hAnsi="Palatino Linotype" w:cs="Palatino Linotype"/>
          <w:b/>
          <w:bCs/>
        </w:rPr>
        <w:t xml:space="preserve">Modalidad elegida para la entrega de la información: </w:t>
      </w:r>
      <w:r w:rsidRPr="007C38BF">
        <w:rPr>
          <w:rFonts w:ascii="Palatino Linotype" w:eastAsia="Palatino Linotype" w:hAnsi="Palatino Linotype" w:cs="Palatino Linotype"/>
        </w:rPr>
        <w:t>a través del SAIMEX.</w:t>
      </w:r>
    </w:p>
    <w:p w14:paraId="71D94FED" w14:textId="77777777" w:rsidR="00E458B2" w:rsidRPr="007C38BF" w:rsidRDefault="00E458B2">
      <w:pPr>
        <w:widowControl w:val="0"/>
        <w:spacing w:after="0" w:line="360" w:lineRule="auto"/>
        <w:jc w:val="both"/>
        <w:rPr>
          <w:rFonts w:ascii="Palatino Linotype" w:eastAsia="Palatino Linotype" w:hAnsi="Palatino Linotype" w:cs="Palatino Linotype"/>
          <w:b/>
          <w:bCs/>
        </w:rPr>
      </w:pPr>
    </w:p>
    <w:p w14:paraId="38DC3DBF" w14:textId="77777777" w:rsidR="00E458B2" w:rsidRPr="007C38BF" w:rsidRDefault="008A7751">
      <w:pPr>
        <w:widowControl w:val="0"/>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2</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 xml:space="preserve">Respuesta. </w:t>
      </w:r>
      <w:r w:rsidRPr="007C38BF">
        <w:rPr>
          <w:rFonts w:ascii="Palatino Linotype" w:eastAsia="Palatino Linotype" w:hAnsi="Palatino Linotype" w:cs="Palatino Linotype"/>
        </w:rPr>
        <w:t xml:space="preserve">El </w:t>
      </w:r>
      <w:r w:rsidRPr="007C38BF">
        <w:rPr>
          <w:rFonts w:ascii="Palatino Linotype" w:eastAsia="Palatino Linotype" w:hAnsi="Palatino Linotype" w:cs="Palatino Linotype"/>
          <w:b/>
          <w:bCs/>
        </w:rPr>
        <w:t>doce de agosto de dos mil veintiséis</w:t>
      </w:r>
      <w:r w:rsidRPr="007C38BF">
        <w:rPr>
          <w:rFonts w:ascii="Palatino Linotype" w:eastAsia="Palatino Linotype" w:hAnsi="Palatino Linotype" w:cs="Palatino Linotype"/>
        </w:rPr>
        <w:t xml:space="preserve">, 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 xml:space="preserve">envió su </w:t>
      </w:r>
      <w:r w:rsidRPr="007C38BF">
        <w:rPr>
          <w:rFonts w:ascii="Palatino Linotype" w:eastAsia="Palatino Linotype" w:hAnsi="Palatino Linotype" w:cs="Palatino Linotype"/>
        </w:rPr>
        <w:lastRenderedPageBreak/>
        <w:t xml:space="preserve">respuesta a la solicitud de acceso a la información a través de SAIMEX, sustancialmente en los términos siguientes:  </w:t>
      </w:r>
    </w:p>
    <w:p w14:paraId="74398B98" w14:textId="77777777" w:rsidR="00E458B2" w:rsidRPr="007C38BF" w:rsidRDefault="00E458B2">
      <w:pPr>
        <w:widowControl w:val="0"/>
        <w:spacing w:after="0" w:line="240" w:lineRule="auto"/>
        <w:ind w:left="851" w:right="616"/>
        <w:jc w:val="both"/>
        <w:rPr>
          <w:rFonts w:ascii="Palatino Linotype" w:eastAsia="Palatino Linotype" w:hAnsi="Palatino Linotype" w:cs="Palatino Linotype"/>
          <w:i/>
          <w:iCs/>
        </w:rPr>
      </w:pPr>
    </w:p>
    <w:p w14:paraId="5EAD43CC" w14:textId="77777777" w:rsidR="00E458B2" w:rsidRPr="007C38BF" w:rsidRDefault="008A7751">
      <w:pPr>
        <w:widowControl w:val="0"/>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“ADJUNTO REMITO RESPUESTA ENTREGADA POR LAS AREAS CORRESPONDIENTES A LA INFORMACION</w:t>
      </w:r>
    </w:p>
    <w:p w14:paraId="380ED36F" w14:textId="77777777" w:rsidR="00E458B2" w:rsidRPr="007C38BF" w:rsidRDefault="008A7751">
      <w:pPr>
        <w:widowControl w:val="0"/>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ATENTAMENTE</w:t>
      </w:r>
    </w:p>
    <w:p w14:paraId="2BD21980" w14:textId="77777777" w:rsidR="00E458B2" w:rsidRPr="007C38BF" w:rsidRDefault="008A7751">
      <w:pPr>
        <w:widowControl w:val="0"/>
        <w:spacing w:after="0" w:line="276" w:lineRule="auto"/>
        <w:ind w:left="851" w:right="616"/>
        <w:jc w:val="both"/>
        <w:rPr>
          <w:rFonts w:ascii="Palatino Linotype" w:eastAsia="Palatino Linotype" w:hAnsi="Palatino Linotype" w:cs="Palatino Linotype"/>
        </w:rPr>
      </w:pPr>
      <w:r w:rsidRPr="007C38BF">
        <w:rPr>
          <w:rFonts w:ascii="Palatino Linotype" w:eastAsia="Palatino Linotype" w:hAnsi="Palatino Linotype" w:cs="Palatino Linotype"/>
          <w:i/>
          <w:iCs/>
        </w:rPr>
        <w:t>C. Adolfo Velázquez Cerón” (sic)</w:t>
      </w:r>
      <w:r w:rsidRPr="007C38BF">
        <w:rPr>
          <w:rFonts w:ascii="Palatino Linotype" w:eastAsia="Palatino Linotype" w:hAnsi="Palatino Linotype" w:cs="Palatino Linotype"/>
        </w:rPr>
        <w:t>”</w:t>
      </w:r>
    </w:p>
    <w:p w14:paraId="3629049D" w14:textId="77777777" w:rsidR="00E458B2" w:rsidRPr="007C38BF" w:rsidRDefault="00E458B2">
      <w:pPr>
        <w:widowControl w:val="0"/>
        <w:spacing w:after="0" w:line="240" w:lineRule="auto"/>
        <w:ind w:left="851" w:right="616"/>
        <w:jc w:val="both"/>
        <w:rPr>
          <w:rFonts w:ascii="Palatino Linotype" w:eastAsia="Palatino Linotype" w:hAnsi="Palatino Linotype" w:cs="Palatino Linotype"/>
        </w:rPr>
      </w:pPr>
    </w:p>
    <w:p w14:paraId="5EA2CEF4" w14:textId="77777777" w:rsidR="00E458B2" w:rsidRPr="007C38BF" w:rsidRDefault="008A7751">
      <w:pPr>
        <w:widowControl w:val="0"/>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adjuntó lo siguiente:</w:t>
      </w:r>
    </w:p>
    <w:p w14:paraId="26EA5144" w14:textId="77777777" w:rsidR="00E458B2" w:rsidRPr="007C38BF" w:rsidRDefault="00E458B2">
      <w:pPr>
        <w:widowControl w:val="0"/>
        <w:spacing w:after="0" w:line="360" w:lineRule="auto"/>
        <w:jc w:val="both"/>
        <w:rPr>
          <w:rFonts w:ascii="Palatino Linotype" w:eastAsia="Palatino Linotype" w:hAnsi="Palatino Linotype" w:cs="Palatino Linotype"/>
        </w:rPr>
      </w:pPr>
    </w:p>
    <w:p w14:paraId="063C6364" w14:textId="77777777" w:rsidR="00E458B2" w:rsidRPr="007C38BF" w:rsidRDefault="008A7751">
      <w:pPr>
        <w:widowControl w:val="0"/>
        <w:numPr>
          <w:ilvl w:val="0"/>
          <w:numId w:val="1"/>
        </w:numPr>
        <w:pBdr>
          <w:top w:val="nil"/>
          <w:left w:val="nil"/>
          <w:bottom w:val="nil"/>
          <w:right w:val="nil"/>
          <w:between w:val="nil"/>
        </w:pBdr>
        <w:spacing w:after="0" w:line="360" w:lineRule="auto"/>
        <w:ind w:right="616"/>
        <w:jc w:val="both"/>
      </w:pPr>
      <w:r w:rsidRPr="007C38BF">
        <w:rPr>
          <w:rFonts w:ascii="Palatino Linotype" w:eastAsia="Palatino Linotype" w:hAnsi="Palatino Linotype" w:cs="Palatino Linotype"/>
        </w:rPr>
        <w:t xml:space="preserve">Oficio número 065/SMDIFHUEHUE/RH/2026 de fecha once de agosto de dos mil veintiséis, signado por la Jefatura de Recursos Humanos en el que informó la entrega de la respuesta correspondiente a la solicitud de información número 00033/DIFHUEHUET/IP/2026. </w:t>
      </w:r>
    </w:p>
    <w:p w14:paraId="55BDA3F5" w14:textId="77777777" w:rsidR="00E458B2" w:rsidRPr="007C38BF" w:rsidRDefault="008A7751">
      <w:pPr>
        <w:widowControl w:val="0"/>
        <w:numPr>
          <w:ilvl w:val="0"/>
          <w:numId w:val="1"/>
        </w:numPr>
        <w:pBdr>
          <w:top w:val="nil"/>
          <w:left w:val="nil"/>
          <w:bottom w:val="nil"/>
          <w:right w:val="nil"/>
          <w:between w:val="nil"/>
        </w:pBdr>
        <w:spacing w:after="0" w:line="360" w:lineRule="auto"/>
        <w:ind w:right="616"/>
        <w:jc w:val="both"/>
      </w:pPr>
      <w:r w:rsidRPr="007C38BF">
        <w:rPr>
          <w:rFonts w:ascii="Palatino Linotype" w:eastAsia="Palatino Linotype" w:hAnsi="Palatino Linotype" w:cs="Palatino Linotype"/>
        </w:rPr>
        <w:t xml:space="preserve">Oficio número DIF/TES/0079/2026 de fecha doce de agosto de dos mil veintiséis, signado por la Tesorera del Sistema Municipal del DIF de Huehuetoca en el que informó que la obligación de proporcionar información de los sujetos obligados no comprende el procesamiento de la misma, ni el presentarla conforme al interés del solicitante y que se deben cubrir los gastos de reproducción o por la modalidad de entrega solicitada, de conformidad con los derechos, productos y aprovechamientos establecidos en la legislación aplicable, ello de conformidad con lo establecido en los artículo 12 párrafo segundo y 17 de la Ley de Transparencia y Acceso a la Información Pública del Estado de México y Municipios. </w:t>
      </w:r>
    </w:p>
    <w:p w14:paraId="6747C36C" w14:textId="77777777" w:rsidR="00E458B2" w:rsidRPr="007C38BF" w:rsidRDefault="00E458B2">
      <w:pPr>
        <w:widowControl w:val="0"/>
        <w:spacing w:after="0" w:line="276" w:lineRule="auto"/>
        <w:ind w:right="616"/>
        <w:jc w:val="both"/>
        <w:rPr>
          <w:rFonts w:ascii="Palatino Linotype" w:eastAsia="Palatino Linotype" w:hAnsi="Palatino Linotype" w:cs="Palatino Linotype"/>
        </w:rPr>
      </w:pPr>
    </w:p>
    <w:p w14:paraId="4720E2C5" w14:textId="77777777" w:rsidR="00E458B2" w:rsidRPr="007C38BF" w:rsidRDefault="008A7751">
      <w:pPr>
        <w:widowControl w:val="0"/>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3. Interposición del recurso de revisión. </w:t>
      </w:r>
      <w:r w:rsidRPr="007C38BF">
        <w:rPr>
          <w:rFonts w:ascii="Palatino Linotype" w:eastAsia="Palatino Linotype" w:hAnsi="Palatino Linotype" w:cs="Palatino Linotype"/>
        </w:rPr>
        <w:t>Inconforme con la respuesta del</w:t>
      </w:r>
      <w:r w:rsidRPr="007C38BF">
        <w:rPr>
          <w:rFonts w:ascii="Palatino Linotype" w:eastAsia="Palatino Linotype" w:hAnsi="Palatino Linotype" w:cs="Palatino Linotype"/>
          <w:b/>
          <w:bCs/>
        </w:rPr>
        <w:t xml:space="preserve"> Sujeto Obligado, </w:t>
      </w:r>
      <w:r w:rsidRPr="007C38BF">
        <w:rPr>
          <w:rFonts w:ascii="Palatino Linotype" w:eastAsia="Palatino Linotype" w:hAnsi="Palatino Linotype" w:cs="Palatino Linotype"/>
        </w:rPr>
        <w:t xml:space="preserve">el </w:t>
      </w:r>
      <w:r w:rsidRPr="007C38BF">
        <w:rPr>
          <w:rFonts w:ascii="Palatino Linotype" w:eastAsia="Palatino Linotype" w:hAnsi="Palatino Linotype" w:cs="Palatino Linotype"/>
          <w:b/>
          <w:bCs/>
        </w:rPr>
        <w:t xml:space="preserve">diecisiete de agosto de dos mil veintiséis, </w:t>
      </w:r>
      <w:r w:rsidRPr="007C38BF">
        <w:rPr>
          <w:rFonts w:ascii="Palatino Linotype" w:eastAsia="Palatino Linotype" w:hAnsi="Palatino Linotype" w:cs="Palatino Linotype"/>
        </w:rPr>
        <w:t>la parte</w:t>
      </w:r>
      <w:r w:rsidRPr="007C38BF">
        <w:rPr>
          <w:rFonts w:ascii="Palatino Linotype" w:eastAsia="Palatino Linotype" w:hAnsi="Palatino Linotype" w:cs="Palatino Linotype"/>
          <w:b/>
          <w:bCs/>
        </w:rPr>
        <w:t xml:space="preserve"> Recurrente </w:t>
      </w:r>
      <w:r w:rsidRPr="007C38BF">
        <w:rPr>
          <w:rFonts w:ascii="Palatino Linotype" w:eastAsia="Palatino Linotype" w:hAnsi="Palatino Linotype" w:cs="Palatino Linotype"/>
        </w:rPr>
        <w:t xml:space="preserve">interpuso los recursos de </w:t>
      </w:r>
      <w:r w:rsidRPr="007C38BF">
        <w:rPr>
          <w:rFonts w:ascii="Palatino Linotype" w:eastAsia="Palatino Linotype" w:hAnsi="Palatino Linotype" w:cs="Palatino Linotype"/>
        </w:rPr>
        <w:lastRenderedPageBreak/>
        <w:t>revisión, en los cuales manifestó lo siguiente:</w:t>
      </w:r>
    </w:p>
    <w:p w14:paraId="53A885EB" w14:textId="77777777" w:rsidR="00E458B2" w:rsidRPr="007C38BF" w:rsidRDefault="00E458B2">
      <w:pPr>
        <w:tabs>
          <w:tab w:val="left" w:pos="2745"/>
        </w:tabs>
        <w:spacing w:after="0" w:line="360" w:lineRule="auto"/>
        <w:ind w:left="851" w:right="616"/>
        <w:jc w:val="both"/>
        <w:rPr>
          <w:rFonts w:ascii="Palatino Linotype" w:eastAsia="Palatino Linotype" w:hAnsi="Palatino Linotype" w:cs="Palatino Linotype"/>
          <w:b/>
          <w:bCs/>
        </w:rPr>
      </w:pPr>
    </w:p>
    <w:p w14:paraId="032666DC" w14:textId="77777777" w:rsidR="00E458B2" w:rsidRPr="007C38BF" w:rsidRDefault="008A7751">
      <w:pPr>
        <w:tabs>
          <w:tab w:val="left" w:pos="2745"/>
        </w:tabs>
        <w:spacing w:after="0" w:line="360" w:lineRule="auto"/>
        <w:ind w:left="851" w:right="616"/>
        <w:jc w:val="both"/>
        <w:rPr>
          <w:rFonts w:ascii="Palatino Linotype" w:eastAsia="Palatino Linotype" w:hAnsi="Palatino Linotype" w:cs="Palatino Linotype"/>
          <w:b/>
          <w:bCs/>
        </w:rPr>
      </w:pPr>
      <w:r w:rsidRPr="007C38BF">
        <w:rPr>
          <w:rFonts w:ascii="Palatino Linotype" w:eastAsia="Palatino Linotype" w:hAnsi="Palatino Linotype" w:cs="Palatino Linotype"/>
          <w:b/>
          <w:bCs/>
        </w:rPr>
        <w:t xml:space="preserve">Acto impugnado: </w:t>
      </w:r>
    </w:p>
    <w:p w14:paraId="7344BB45" w14:textId="77777777" w:rsidR="00E458B2" w:rsidRPr="007C38BF" w:rsidRDefault="008A7751">
      <w:pPr>
        <w:tabs>
          <w:tab w:val="left" w:pos="2745"/>
        </w:tabs>
        <w:spacing w:after="0"/>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“RESPUESTA NO VALIDA.” (sic)</w:t>
      </w:r>
    </w:p>
    <w:p w14:paraId="2ED12C7F" w14:textId="77777777" w:rsidR="00E458B2" w:rsidRPr="007C38BF" w:rsidRDefault="00E458B2">
      <w:pPr>
        <w:spacing w:after="0" w:line="360" w:lineRule="auto"/>
        <w:ind w:left="851" w:right="616"/>
        <w:jc w:val="both"/>
        <w:rPr>
          <w:rFonts w:ascii="Palatino Linotype" w:eastAsia="Palatino Linotype" w:hAnsi="Palatino Linotype" w:cs="Palatino Linotype"/>
          <w:b/>
          <w:bCs/>
        </w:rPr>
      </w:pPr>
      <w:bookmarkStart w:id="2" w:name="_heading=h.30j0zll" w:colFirst="0" w:colLast="0"/>
      <w:bookmarkEnd w:id="2"/>
    </w:p>
    <w:p w14:paraId="29A4DA3B" w14:textId="77777777" w:rsidR="00E458B2" w:rsidRPr="007C38BF" w:rsidRDefault="008A7751">
      <w:pPr>
        <w:spacing w:after="0" w:line="360" w:lineRule="auto"/>
        <w:ind w:left="851" w:right="616"/>
        <w:jc w:val="both"/>
        <w:rPr>
          <w:rFonts w:ascii="Palatino Linotype" w:eastAsia="Palatino Linotype" w:hAnsi="Palatino Linotype" w:cs="Palatino Linotype"/>
        </w:rPr>
      </w:pPr>
      <w:r w:rsidRPr="007C38BF">
        <w:rPr>
          <w:rFonts w:ascii="Palatino Linotype" w:eastAsia="Palatino Linotype" w:hAnsi="Palatino Linotype" w:cs="Palatino Linotype"/>
          <w:b/>
          <w:bCs/>
        </w:rPr>
        <w:t>Y Razones o motivos de inconformidad</w:t>
      </w:r>
      <w:r w:rsidRPr="007C38BF">
        <w:rPr>
          <w:rFonts w:ascii="Palatino Linotype" w:eastAsia="Palatino Linotype" w:hAnsi="Palatino Linotype" w:cs="Palatino Linotype"/>
        </w:rPr>
        <w:t xml:space="preserve">: </w:t>
      </w:r>
    </w:p>
    <w:p w14:paraId="3454D7F6" w14:textId="77777777" w:rsidR="00E458B2" w:rsidRPr="007C38BF" w:rsidRDefault="008A7751">
      <w:pPr>
        <w:tabs>
          <w:tab w:val="left" w:pos="2745"/>
        </w:tabs>
        <w:spacing w:after="0"/>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“SOLICITO AL PLENO DEL INFOEM, que se investiguen todas las respuestas emitidas por este departamento de transparencia y las dependencias involucradas en emitir contestacionse, ya que no puede ser posible que se laven las manos haciendo alusion a varios articulos, lo </w:t>
      </w:r>
      <w:r w:rsidRPr="007C38BF">
        <w:rPr>
          <w:rFonts w:ascii="Palatino Linotype" w:eastAsia="Palatino Linotype" w:hAnsi="Palatino Linotype" w:cs="Palatino Linotype"/>
          <w:b/>
          <w:bCs/>
          <w:i/>
          <w:iCs/>
        </w:rPr>
        <w:t>requiero es respuesta a mi peticion</w:t>
      </w:r>
      <w:r w:rsidRPr="007C38BF">
        <w:rPr>
          <w:rFonts w:ascii="Palatino Linotype" w:eastAsia="Palatino Linotype" w:hAnsi="Palatino Linotype" w:cs="Palatino Linotype"/>
          <w:i/>
          <w:iCs/>
        </w:rPr>
        <w:t>.” (sic)</w:t>
      </w:r>
    </w:p>
    <w:p w14:paraId="35EDB9A1" w14:textId="77777777" w:rsidR="00E458B2" w:rsidRPr="007C38BF" w:rsidRDefault="00E458B2">
      <w:pPr>
        <w:tabs>
          <w:tab w:val="left" w:pos="2745"/>
        </w:tabs>
        <w:spacing w:after="0"/>
        <w:ind w:left="851" w:right="616"/>
        <w:jc w:val="both"/>
        <w:rPr>
          <w:rFonts w:ascii="Palatino Linotype" w:eastAsia="Palatino Linotype" w:hAnsi="Palatino Linotype" w:cs="Palatino Linotype"/>
          <w:i/>
          <w:iCs/>
        </w:rPr>
      </w:pPr>
    </w:p>
    <w:p w14:paraId="7BF73757"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4. Turno. </w:t>
      </w:r>
      <w:r w:rsidRPr="007C38BF">
        <w:rPr>
          <w:rFonts w:ascii="Palatino Linotype" w:eastAsia="Palatino Linotype" w:hAnsi="Palatino Linotype" w:cs="Palatino Linotype"/>
        </w:rPr>
        <w:t xml:space="preserve">De conformidad con el artículo 185, fracción I de la Ley de Transparencia y Acceso a la Información Pública del Estado de México y Municipios, el recurso de revisión número </w:t>
      </w:r>
      <w:r w:rsidRPr="007C38BF">
        <w:rPr>
          <w:rFonts w:ascii="Palatino Linotype" w:eastAsia="Palatino Linotype" w:hAnsi="Palatino Linotype" w:cs="Palatino Linotype"/>
          <w:b/>
          <w:bCs/>
        </w:rPr>
        <w:t>07882/INFOEM/IP/RR/2026</w:t>
      </w:r>
      <w:r w:rsidRPr="007C38BF">
        <w:rPr>
          <w:rFonts w:ascii="Palatino Linotype" w:eastAsia="Palatino Linotype" w:hAnsi="Palatino Linotype" w:cs="Palatino Linotype"/>
        </w:rPr>
        <w:t xml:space="preserve">, se turnó por el sistema electrónico del Instituto de Transparencia, Acceso a la Información Pública y Protección de Datos Personales del Estado de México y Municipios, a la Comisionada </w:t>
      </w:r>
      <w:r w:rsidRPr="007C38BF">
        <w:rPr>
          <w:rFonts w:ascii="Palatino Linotype" w:eastAsia="Palatino Linotype" w:hAnsi="Palatino Linotype" w:cs="Palatino Linotype"/>
          <w:b/>
          <w:bCs/>
        </w:rPr>
        <w:t>Guadalupe Ramírez Peña</w:t>
      </w:r>
      <w:r w:rsidRPr="007C38BF">
        <w:rPr>
          <w:rFonts w:ascii="Palatino Linotype" w:eastAsia="Palatino Linotype" w:hAnsi="Palatino Linotype" w:cs="Palatino Linotype"/>
        </w:rPr>
        <w:t xml:space="preserve">, para su análisis, estudio, elaboración del proyecto y presentación ante el Pleno de este Instituto. </w:t>
      </w:r>
    </w:p>
    <w:p w14:paraId="56130D59" w14:textId="77777777" w:rsidR="00E458B2" w:rsidRPr="007C38BF" w:rsidRDefault="00E458B2">
      <w:pPr>
        <w:spacing w:after="0" w:line="360" w:lineRule="auto"/>
        <w:jc w:val="both"/>
        <w:rPr>
          <w:rFonts w:ascii="Palatino Linotype" w:eastAsia="Palatino Linotype" w:hAnsi="Palatino Linotype" w:cs="Palatino Linotype"/>
        </w:rPr>
      </w:pPr>
    </w:p>
    <w:p w14:paraId="33F3FC34"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b/>
          <w:bCs/>
        </w:rPr>
        <w:t xml:space="preserve">5. Admisión. </w:t>
      </w:r>
      <w:r w:rsidRPr="007C38BF">
        <w:rPr>
          <w:rFonts w:ascii="Palatino Linotype" w:eastAsia="Palatino Linotype" w:hAnsi="Palatino Linotype" w:cs="Palatino Linotype"/>
        </w:rPr>
        <w:t>El</w:t>
      </w:r>
      <w:r w:rsidRPr="007C38BF">
        <w:rPr>
          <w:rFonts w:ascii="Palatino Linotype" w:eastAsia="Palatino Linotype" w:hAnsi="Palatino Linotype" w:cs="Palatino Linotype"/>
          <w:b/>
          <w:bCs/>
        </w:rPr>
        <w:t xml:space="preserve"> veinticuatro de agosto de dos mil veintiséis</w:t>
      </w:r>
      <w:r w:rsidRPr="007C38BF">
        <w:rPr>
          <w:rFonts w:ascii="Palatino Linotype" w:eastAsia="Palatino Linotype" w:hAnsi="Palatino Linotype" w:cs="Palatino Linotype"/>
        </w:rPr>
        <w:t>, en términos de lo dispuesto en el artículo 185, fracciones I, II y IV de la Ley de Transparencia y Acceso a la Información Pública del Estado de México y Municipios, se admitió a trámite el recurso de revisión</w:t>
      </w:r>
      <w:r w:rsidRPr="007C38BF">
        <w:rPr>
          <w:rFonts w:ascii="Palatino Linotype" w:eastAsia="Palatino Linotype" w:hAnsi="Palatino Linotype" w:cs="Palatino Linotype"/>
          <w:b/>
          <w:bCs/>
        </w:rPr>
        <w:t xml:space="preserve">. </w:t>
      </w:r>
    </w:p>
    <w:p w14:paraId="321F2DCF" w14:textId="77777777" w:rsidR="00E458B2" w:rsidRPr="007C38BF" w:rsidRDefault="00E458B2">
      <w:pPr>
        <w:spacing w:after="0" w:line="360" w:lineRule="auto"/>
        <w:jc w:val="both"/>
        <w:rPr>
          <w:rFonts w:ascii="Palatino Linotype" w:eastAsia="Palatino Linotype" w:hAnsi="Palatino Linotype" w:cs="Palatino Linotype"/>
          <w:b/>
          <w:bCs/>
        </w:rPr>
      </w:pPr>
    </w:p>
    <w:p w14:paraId="712D2CA5" w14:textId="77777777" w:rsidR="00E458B2" w:rsidRPr="007C38BF" w:rsidRDefault="008A7751">
      <w:pPr>
        <w:widowControl w:val="0"/>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6. Manifestaciones. </w:t>
      </w:r>
      <w:r w:rsidRPr="007C38BF">
        <w:rPr>
          <w:rFonts w:ascii="Palatino Linotype" w:eastAsia="Palatino Linotype" w:hAnsi="Palatino Linotype" w:cs="Palatino Linotype"/>
        </w:rPr>
        <w:t xml:space="preserve">De las constancias que obran en el expediente electrónico del SAIMEX se desprende que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no rindió su informe justificado, del mismo modo la parte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xml:space="preserve"> omitió realizar manifestaciones, como se observa a continuación:</w:t>
      </w:r>
    </w:p>
    <w:p w14:paraId="6D16BCF6" w14:textId="77777777" w:rsidR="00E458B2" w:rsidRPr="007C38BF" w:rsidRDefault="00E458B2">
      <w:pPr>
        <w:widowControl w:val="0"/>
        <w:spacing w:after="0" w:line="360" w:lineRule="auto"/>
        <w:ind w:right="49"/>
        <w:jc w:val="both"/>
        <w:rPr>
          <w:rFonts w:ascii="Palatino Linotype" w:eastAsia="Palatino Linotype" w:hAnsi="Palatino Linotype" w:cs="Palatino Linotype"/>
        </w:rPr>
      </w:pPr>
    </w:p>
    <w:p w14:paraId="1C5C0F7F" w14:textId="77777777" w:rsidR="00E458B2" w:rsidRPr="007C38BF" w:rsidRDefault="008A7751">
      <w:pPr>
        <w:widowControl w:val="0"/>
        <w:spacing w:after="0" w:line="360" w:lineRule="auto"/>
        <w:ind w:right="49"/>
        <w:jc w:val="center"/>
        <w:rPr>
          <w:rFonts w:ascii="Palatino Linotype" w:eastAsia="Palatino Linotype" w:hAnsi="Palatino Linotype" w:cs="Palatino Linotype"/>
        </w:rPr>
      </w:pPr>
      <w:r w:rsidRPr="007C38BF">
        <w:rPr>
          <w:rFonts w:ascii="Palatino Linotype" w:eastAsia="Palatino Linotype" w:hAnsi="Palatino Linotype" w:cs="Palatino Linotype"/>
          <w:noProof/>
        </w:rPr>
        <w:drawing>
          <wp:inline distT="0" distB="0" distL="0" distR="0" wp14:anchorId="5E212B83" wp14:editId="398F3A46">
            <wp:extent cx="5612130" cy="1682750"/>
            <wp:effectExtent l="0" t="0" r="0" b="0"/>
            <wp:docPr id="19356683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612130" cy="1682750"/>
                    </a:xfrm>
                    <a:prstGeom prst="rect">
                      <a:avLst/>
                    </a:prstGeom>
                    <a:ln/>
                  </pic:spPr>
                </pic:pic>
              </a:graphicData>
            </a:graphic>
          </wp:inline>
        </w:drawing>
      </w:r>
    </w:p>
    <w:p w14:paraId="12CB44CB" w14:textId="77777777" w:rsidR="00E458B2" w:rsidRPr="007C38BF" w:rsidRDefault="00E458B2">
      <w:pPr>
        <w:widowControl w:val="0"/>
        <w:spacing w:after="0" w:line="360" w:lineRule="auto"/>
        <w:ind w:right="49"/>
        <w:jc w:val="both"/>
        <w:rPr>
          <w:rFonts w:ascii="Palatino Linotype" w:eastAsia="Palatino Linotype" w:hAnsi="Palatino Linotype" w:cs="Palatino Linotype"/>
        </w:rPr>
      </w:pPr>
    </w:p>
    <w:p w14:paraId="1B1AE86E"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b/>
          <w:bCs/>
        </w:rPr>
        <w:t xml:space="preserve">7. Returno. </w:t>
      </w:r>
      <w:r w:rsidRPr="007C38BF">
        <w:rPr>
          <w:rFonts w:ascii="Palatino Linotype" w:eastAsia="Palatino Linotype" w:hAnsi="Palatino Linotype" w:cs="Palatino Linotype"/>
        </w:rPr>
        <w:t xml:space="preserve">Mediante acuerdo de fecha diecinueve de agosto de dos mil veintiséis, el Pleno de este Organismo Garante, aprobó returnar el recurso de revisión a la </w:t>
      </w:r>
      <w:r w:rsidRPr="007C38BF">
        <w:rPr>
          <w:rFonts w:ascii="Palatino Linotype" w:eastAsia="Palatino Linotype" w:hAnsi="Palatino Linotype" w:cs="Palatino Linotype"/>
          <w:b/>
          <w:bCs/>
        </w:rPr>
        <w:t>Comisionada Guadalupe Ramírez Peña</w:t>
      </w:r>
      <w:r w:rsidRPr="007C38BF">
        <w:rPr>
          <w:rFonts w:ascii="Palatino Linotype" w:eastAsia="Palatino Linotype" w:hAnsi="Palatino Linotype" w:cs="Palatino Linotype"/>
        </w:rPr>
        <w:t>, a efecto de que formulara y presentara el proyecto de resolución correspondiente.</w:t>
      </w:r>
    </w:p>
    <w:p w14:paraId="72537EC7" w14:textId="77777777" w:rsidR="00E458B2" w:rsidRPr="007C38BF" w:rsidRDefault="00E458B2">
      <w:pPr>
        <w:spacing w:after="0" w:line="360" w:lineRule="auto"/>
        <w:jc w:val="both"/>
        <w:rPr>
          <w:rFonts w:ascii="Palatino Linotype" w:eastAsia="Palatino Linotype" w:hAnsi="Palatino Linotype" w:cs="Palatino Linotype"/>
        </w:rPr>
      </w:pPr>
    </w:p>
    <w:p w14:paraId="083388B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8. Cierre de Instrucción. </w:t>
      </w:r>
      <w:r w:rsidRPr="007C38BF">
        <w:rPr>
          <w:rFonts w:ascii="Palatino Linotype" w:eastAsia="Palatino Linotype" w:hAnsi="Palatino Linotype" w:cs="Palatino Linotype"/>
        </w:rPr>
        <w:t xml:space="preserve">El </w:t>
      </w:r>
      <w:r w:rsidRPr="007C38BF">
        <w:rPr>
          <w:rFonts w:ascii="Palatino Linotype" w:eastAsia="Palatino Linotype" w:hAnsi="Palatino Linotype" w:cs="Palatino Linotype"/>
          <w:b/>
          <w:bCs/>
        </w:rPr>
        <w:t>diecisiete de septiembre de dos mil veintiséis</w:t>
      </w:r>
      <w:r w:rsidRPr="007C38BF">
        <w:rPr>
          <w:rFonts w:ascii="Palatino Linotype" w:eastAsia="Palatino Linotype" w:hAnsi="Palatino Linotype" w:cs="Palatino Linotype"/>
        </w:rPr>
        <w:t>, con fundamento en lo establecido en el artículo 185, fracción VI de la Ley de Transparencia y Acceso a la Información Pública del Estado de México y Municipios, al no existir trámite pendiente por realizar y haber sido sustanciados medios de impugnación se acordó el cierre de instrucción y se procede a formular la resolución que en derecho corresponda.</w:t>
      </w:r>
    </w:p>
    <w:p w14:paraId="3C0F8D19" w14:textId="77777777" w:rsidR="00E458B2" w:rsidRPr="007C38BF" w:rsidRDefault="00E458B2">
      <w:pPr>
        <w:spacing w:after="0" w:line="360" w:lineRule="auto"/>
        <w:jc w:val="both"/>
        <w:rPr>
          <w:rFonts w:ascii="Palatino Linotype" w:eastAsia="Palatino Linotype" w:hAnsi="Palatino Linotype" w:cs="Palatino Linotype"/>
        </w:rPr>
      </w:pPr>
    </w:p>
    <w:p w14:paraId="3BA4C4A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razón de que fue debidamente sustanciado el expediente electrónico y no existe diligencia pendiente de desahogo, se emite la Resolución que conforme a Derecho proceda, de acuerdo con los siguientes: </w:t>
      </w:r>
    </w:p>
    <w:p w14:paraId="3B19534C" w14:textId="6B9A425A" w:rsidR="00E458B2" w:rsidRPr="007C38BF" w:rsidRDefault="00E458B2">
      <w:pPr>
        <w:spacing w:after="0" w:line="360" w:lineRule="auto"/>
        <w:jc w:val="both"/>
        <w:rPr>
          <w:rFonts w:ascii="Palatino Linotype" w:eastAsia="Palatino Linotype" w:hAnsi="Palatino Linotype" w:cs="Palatino Linotype"/>
        </w:rPr>
      </w:pPr>
    </w:p>
    <w:p w14:paraId="17F054F5" w14:textId="79F801F5" w:rsidR="00E604E1" w:rsidRPr="007C38BF" w:rsidRDefault="00E604E1">
      <w:pPr>
        <w:spacing w:after="0" w:line="360" w:lineRule="auto"/>
        <w:jc w:val="both"/>
        <w:rPr>
          <w:rFonts w:ascii="Palatino Linotype" w:eastAsia="Palatino Linotype" w:hAnsi="Palatino Linotype" w:cs="Palatino Linotype"/>
        </w:rPr>
      </w:pPr>
    </w:p>
    <w:p w14:paraId="3A7014BB" w14:textId="78D8262B" w:rsidR="00E604E1" w:rsidRPr="007C38BF" w:rsidRDefault="00E604E1">
      <w:pPr>
        <w:spacing w:after="0" w:line="360" w:lineRule="auto"/>
        <w:jc w:val="both"/>
        <w:rPr>
          <w:rFonts w:ascii="Palatino Linotype" w:eastAsia="Palatino Linotype" w:hAnsi="Palatino Linotype" w:cs="Palatino Linotype"/>
        </w:rPr>
      </w:pPr>
    </w:p>
    <w:p w14:paraId="173D3077" w14:textId="77777777" w:rsidR="00E604E1" w:rsidRPr="007C38BF" w:rsidRDefault="00E604E1">
      <w:pPr>
        <w:spacing w:after="0" w:line="360" w:lineRule="auto"/>
        <w:jc w:val="both"/>
        <w:rPr>
          <w:rFonts w:ascii="Palatino Linotype" w:eastAsia="Palatino Linotype" w:hAnsi="Palatino Linotype" w:cs="Palatino Linotype"/>
        </w:rPr>
      </w:pPr>
    </w:p>
    <w:p w14:paraId="559D6486" w14:textId="77777777" w:rsidR="00E458B2" w:rsidRPr="007C38BF" w:rsidRDefault="008A7751">
      <w:pPr>
        <w:pBdr>
          <w:top w:val="nil"/>
          <w:left w:val="nil"/>
          <w:bottom w:val="nil"/>
          <w:right w:val="nil"/>
          <w:between w:val="nil"/>
        </w:pBdr>
        <w:spacing w:after="0" w:line="360" w:lineRule="auto"/>
        <w:jc w:val="center"/>
        <w:rPr>
          <w:rFonts w:ascii="Palatino Linotype" w:eastAsia="Palatino Linotype" w:hAnsi="Palatino Linotype" w:cs="Palatino Linotype"/>
          <w:b/>
          <w:bCs/>
        </w:rPr>
      </w:pPr>
      <w:r w:rsidRPr="007C38BF">
        <w:rPr>
          <w:rFonts w:ascii="Palatino Linotype" w:eastAsia="Palatino Linotype" w:hAnsi="Palatino Linotype" w:cs="Palatino Linotype"/>
          <w:b/>
          <w:bCs/>
        </w:rPr>
        <w:t>II. C O N S I D E R A N D O S:</w:t>
      </w:r>
    </w:p>
    <w:p w14:paraId="12264153" w14:textId="77777777" w:rsidR="00E458B2" w:rsidRPr="007C38BF" w:rsidRDefault="00E458B2">
      <w:pPr>
        <w:pBdr>
          <w:top w:val="nil"/>
          <w:left w:val="nil"/>
          <w:bottom w:val="nil"/>
          <w:right w:val="nil"/>
          <w:between w:val="nil"/>
        </w:pBdr>
        <w:spacing w:after="0" w:line="360" w:lineRule="auto"/>
        <w:jc w:val="center"/>
        <w:rPr>
          <w:rFonts w:ascii="Palatino Linotype" w:eastAsia="Palatino Linotype" w:hAnsi="Palatino Linotype" w:cs="Palatino Linotype"/>
          <w:b/>
          <w:bCs/>
        </w:rPr>
      </w:pPr>
    </w:p>
    <w:p w14:paraId="60A4BC0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Primero. Competencia.</w:t>
      </w:r>
      <w:r w:rsidRPr="007C38BF">
        <w:rPr>
          <w:rFonts w:ascii="Palatino Linotype" w:eastAsia="Palatino Linotype" w:hAnsi="Palatino Linotype" w:cs="Palatino Linotype"/>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ACF5A0D" w14:textId="77777777" w:rsidR="00E458B2" w:rsidRPr="007C38BF" w:rsidRDefault="00E458B2">
      <w:pPr>
        <w:spacing w:after="0" w:line="360" w:lineRule="auto"/>
        <w:jc w:val="both"/>
        <w:rPr>
          <w:rFonts w:ascii="Palatino Linotype" w:eastAsia="Palatino Linotype" w:hAnsi="Palatino Linotype" w:cs="Palatino Linotype"/>
        </w:rPr>
      </w:pPr>
    </w:p>
    <w:p w14:paraId="6FBE6CF3"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Segundo. Oportunidad y Procedibilidad del Recurso de Revisión</w:t>
      </w:r>
      <w:r w:rsidRPr="007C38BF">
        <w:rPr>
          <w:rFonts w:ascii="Palatino Linotype" w:eastAsia="Palatino Linotype" w:hAnsi="Palatino Linotype" w:cs="Palatino Linotype"/>
        </w:rPr>
        <w:t>. Previo al estudio del fondo del asunto, se procede a analizar los requisitos de oportunidad y procedibilidad que deben reunir los recursos de revisión interpuestos, previstos en los artículos 178 y 180 de la Ley de Transparencia y Acceso a la Información Pública del Estado de México y Municipios.</w:t>
      </w:r>
    </w:p>
    <w:p w14:paraId="7766AA5F" w14:textId="77777777" w:rsidR="00E458B2" w:rsidRPr="007C38BF" w:rsidRDefault="00E458B2">
      <w:pPr>
        <w:spacing w:after="0" w:line="360" w:lineRule="auto"/>
        <w:jc w:val="both"/>
        <w:rPr>
          <w:rFonts w:ascii="Palatino Linotype" w:eastAsia="Palatino Linotype" w:hAnsi="Palatino Linotype" w:cs="Palatino Linotype"/>
        </w:rPr>
      </w:pPr>
    </w:p>
    <w:p w14:paraId="38A307B5"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El recurso de revisión fueron interpuestos dentro del plazo de quince días hábiles, previsto en el artículo 178 de la Ley de Transparencia y Acceso a la Información Pública del Estado de México y Municipios, toda vez que 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 xml:space="preserve">remitió la respuesta a la solicitud de información el </w:t>
      </w:r>
      <w:r w:rsidRPr="007C38BF">
        <w:rPr>
          <w:rFonts w:ascii="Palatino Linotype" w:eastAsia="Palatino Linotype" w:hAnsi="Palatino Linotype" w:cs="Palatino Linotype"/>
          <w:b/>
          <w:bCs/>
        </w:rPr>
        <w:t xml:space="preserve">doce de agosto de dos mil veintiséis, </w:t>
      </w:r>
      <w:r w:rsidRPr="007C38BF">
        <w:rPr>
          <w:rFonts w:ascii="Palatino Linotype" w:eastAsia="Palatino Linotype" w:hAnsi="Palatino Linotype" w:cs="Palatino Linotype"/>
        </w:rPr>
        <w:t xml:space="preserve">mientras que el recurso de revisión interpuesto por la parte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xml:space="preserve">, se tuvo por presentado el </w:t>
      </w:r>
      <w:r w:rsidRPr="007C38BF">
        <w:rPr>
          <w:rFonts w:ascii="Palatino Linotype" w:eastAsia="Palatino Linotype" w:hAnsi="Palatino Linotype" w:cs="Palatino Linotype"/>
          <w:b/>
          <w:bCs/>
        </w:rPr>
        <w:t>diecisiete de agosto de dos mil veintiséis,</w:t>
      </w:r>
      <w:r w:rsidRPr="007C38BF">
        <w:rPr>
          <w:rFonts w:ascii="Palatino Linotype" w:eastAsia="Palatino Linotype" w:hAnsi="Palatino Linotype" w:cs="Palatino Linotype"/>
        </w:rPr>
        <w:t xml:space="preserve"> esto es al tercer día hábil posterior a aquel en el que tuvo conocimiento de las respuestas impugnadas. En este sentido, se concluye que el presente recurso de revisión se encuentra dentro de los márgenes temporales previstos en las disposiciones legales referidas.</w:t>
      </w:r>
    </w:p>
    <w:p w14:paraId="616B74B5" w14:textId="77777777" w:rsidR="00E458B2" w:rsidRPr="007C38BF" w:rsidRDefault="00E458B2">
      <w:pPr>
        <w:spacing w:after="0" w:line="360" w:lineRule="auto"/>
        <w:jc w:val="both"/>
        <w:rPr>
          <w:rFonts w:ascii="Palatino Linotype" w:eastAsia="Palatino Linotype" w:hAnsi="Palatino Linotype" w:cs="Palatino Linotype"/>
        </w:rPr>
      </w:pPr>
    </w:p>
    <w:p w14:paraId="7269284E"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Asimismo por cuanto hace a la procedibilidad del recurso de revisión, es de suma importancia señalar que la parte </w:t>
      </w:r>
      <w:r w:rsidRPr="007C38BF">
        <w:rPr>
          <w:rFonts w:ascii="Palatino Linotype" w:eastAsia="Palatino Linotype" w:hAnsi="Palatino Linotype" w:cs="Palatino Linotype"/>
          <w:b/>
          <w:bCs/>
        </w:rPr>
        <w:t xml:space="preserve">Recurrente no proporcionó nombre o seudónimo para ser identificado </w:t>
      </w:r>
      <w:r w:rsidRPr="007C38BF">
        <w:rPr>
          <w:rFonts w:ascii="Palatino Linotype" w:eastAsia="Palatino Linotype" w:hAnsi="Palatino Linotype" w:cs="Palatino Linotype"/>
        </w:rPr>
        <w:t>como se advierte en el detalle de seguimiento del SAIMEX, no obstante, el no proporcionar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473C2F66"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6AF327A8"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Las solicitudes anónimas,</w:t>
      </w:r>
      <w:r w:rsidRPr="007C38BF">
        <w:rPr>
          <w:rFonts w:ascii="Palatino Linotype" w:eastAsia="Palatino Linotype" w:hAnsi="Palatino Linotype" w:cs="Palatino Linotype"/>
          <w:i/>
          <w:iCs/>
        </w:rPr>
        <w:t xml:space="preserve"> con nombre incompleto o seudónimo </w:t>
      </w:r>
      <w:r w:rsidRPr="007C38BF">
        <w:rPr>
          <w:rFonts w:ascii="Palatino Linotype" w:eastAsia="Palatino Linotype" w:hAnsi="Palatino Linotype" w:cs="Palatino Linotype"/>
          <w:b/>
          <w:bCs/>
          <w:i/>
          <w:iCs/>
        </w:rPr>
        <w:t>serán procedentes para su trámite por parte del sujeto obligado ante quien se presente</w:t>
      </w:r>
      <w:r w:rsidRPr="007C38BF">
        <w:rPr>
          <w:rFonts w:ascii="Palatino Linotype" w:eastAsia="Palatino Linotype" w:hAnsi="Palatino Linotype" w:cs="Palatino Linotype"/>
          <w:i/>
          <w:iCs/>
        </w:rPr>
        <w:t>. No podrá requerirse información adicional con motivo del nombre proporcionado por el solicitante."(Énfasis añadido)</w:t>
      </w:r>
    </w:p>
    <w:p w14:paraId="0D453C70" w14:textId="77777777" w:rsidR="00E458B2" w:rsidRPr="007C38BF" w:rsidRDefault="00E458B2">
      <w:pPr>
        <w:spacing w:after="0" w:line="360" w:lineRule="auto"/>
        <w:jc w:val="both"/>
        <w:rPr>
          <w:rFonts w:ascii="Palatino Linotype" w:eastAsia="Palatino Linotype" w:hAnsi="Palatino Linotype" w:cs="Palatino Linotype"/>
        </w:rPr>
      </w:pPr>
    </w:p>
    <w:p w14:paraId="342C5773"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rPr>
        <w:t>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RPr="007C38BF">
        <w:rPr>
          <w:rFonts w:ascii="Palatino Linotype" w:eastAsia="Palatino Linotype" w:hAnsi="Palatino Linotype" w:cs="Palatino Linotype"/>
          <w:b/>
          <w:bCs/>
        </w:rPr>
        <w:t xml:space="preserve"> SAIMEX.</w:t>
      </w:r>
    </w:p>
    <w:p w14:paraId="2423AA8D" w14:textId="77777777" w:rsidR="00E458B2" w:rsidRPr="007C38BF" w:rsidRDefault="00E458B2">
      <w:pPr>
        <w:spacing w:after="0" w:line="360" w:lineRule="auto"/>
        <w:jc w:val="both"/>
        <w:rPr>
          <w:rFonts w:ascii="Palatino Linotype" w:eastAsia="Palatino Linotype" w:hAnsi="Palatino Linotype" w:cs="Palatino Linotype"/>
          <w:b/>
          <w:bCs/>
        </w:rPr>
      </w:pPr>
    </w:p>
    <w:p w14:paraId="0752998D"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Finalmente, se advierte que resulta procedente la interposición del recurso, según lo manifestado por la parte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xml:space="preserve"> en sus motivos de inconformidad, de acuerdo al artículo 179, fracción I del ordenamiento legal citado, que a la letra dice: </w:t>
      </w:r>
    </w:p>
    <w:p w14:paraId="06D95DCA"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5BEFBE43"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179.</w:t>
      </w:r>
      <w:r w:rsidRPr="007C38BF">
        <w:rPr>
          <w:rFonts w:ascii="Palatino Linotype" w:eastAsia="Palatino Linotype" w:hAnsi="Palatino Linotype" w:cs="Palatino Linotype"/>
          <w:i/>
          <w:iCs/>
        </w:rPr>
        <w:t xml:space="preserve"> El recurso de revisión es un medio de protección que la Ley otorga a los particulares, para hacer valer su derecho de acceso a la información pública, y procederá en contra de las siguientes causas:</w:t>
      </w:r>
    </w:p>
    <w:p w14:paraId="1762ECCE"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492353DB" w14:textId="77777777" w:rsidR="00E458B2" w:rsidRPr="007C38BF" w:rsidRDefault="008A7751">
      <w:pPr>
        <w:spacing w:after="0" w:line="276" w:lineRule="auto"/>
        <w:ind w:left="851" w:right="616"/>
        <w:rPr>
          <w:rFonts w:ascii="Palatino Linotype" w:eastAsia="Palatino Linotype" w:hAnsi="Palatino Linotype" w:cs="Palatino Linotype"/>
          <w:i/>
          <w:iCs/>
        </w:rPr>
      </w:pPr>
      <w:r w:rsidRPr="007C38BF">
        <w:rPr>
          <w:rFonts w:ascii="Palatino Linotype" w:eastAsia="Palatino Linotype" w:hAnsi="Palatino Linotype" w:cs="Palatino Linotype"/>
          <w:i/>
          <w:iCs/>
        </w:rPr>
        <w:t>I. La negativa a la información solicitada; …”</w:t>
      </w:r>
    </w:p>
    <w:p w14:paraId="6B54DB29" w14:textId="77777777" w:rsidR="00E458B2" w:rsidRPr="007C38BF" w:rsidRDefault="00E458B2">
      <w:pPr>
        <w:spacing w:after="0" w:line="276" w:lineRule="auto"/>
        <w:ind w:left="851" w:right="616"/>
        <w:rPr>
          <w:rFonts w:ascii="Palatino Linotype" w:eastAsia="Palatino Linotype" w:hAnsi="Palatino Linotype" w:cs="Palatino Linotype"/>
          <w:i/>
          <w:iCs/>
        </w:rPr>
      </w:pPr>
    </w:p>
    <w:p w14:paraId="3168B59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Tercero. Materia de la revisión. </w:t>
      </w:r>
      <w:r w:rsidRPr="007C38BF">
        <w:rPr>
          <w:rFonts w:ascii="Palatino Linotype" w:eastAsia="Palatino Linotype" w:hAnsi="Palatino Linotype" w:cs="Palatino Linotype"/>
        </w:rPr>
        <w:t xml:space="preserve">De la revisión a las constancias y documentos que obran en los expedientes electrónicos se advierte, que el tema sobre el que este Organismo Garante de Transparencia y Acceso a la Información se pronunciará será: </w:t>
      </w:r>
      <w:r w:rsidRPr="007C38BF">
        <w:rPr>
          <w:rFonts w:ascii="Palatino Linotype" w:eastAsia="Palatino Linotype" w:hAnsi="Palatino Linotype" w:cs="Palatino Linotype"/>
          <w:b/>
          <w:bCs/>
        </w:rPr>
        <w:t xml:space="preserve">verificar si la información proporcionada por el Sujeto Obligado es adecuada y suficiente para satisfacer el derecho de acceso a la información pública </w:t>
      </w:r>
      <w:r w:rsidRPr="007C38BF">
        <w:rPr>
          <w:rFonts w:ascii="Palatino Linotype" w:eastAsia="Palatino Linotype" w:hAnsi="Palatino Linotype" w:cs="Palatino Linotype"/>
        </w:rPr>
        <w:t xml:space="preserve">de la parte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o en su defecto, en caso de ser procedente, ordenar la entrega de información.</w:t>
      </w:r>
    </w:p>
    <w:p w14:paraId="190B723F" w14:textId="77777777" w:rsidR="00E458B2" w:rsidRPr="007C38BF" w:rsidRDefault="00E458B2">
      <w:pPr>
        <w:spacing w:after="0" w:line="360" w:lineRule="auto"/>
        <w:jc w:val="both"/>
        <w:rPr>
          <w:rFonts w:ascii="Palatino Linotype" w:eastAsia="Palatino Linotype" w:hAnsi="Palatino Linotype" w:cs="Palatino Linotype"/>
        </w:rPr>
      </w:pPr>
    </w:p>
    <w:p w14:paraId="672A8F2F"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Cuarto. Estudio del asunto. </w:t>
      </w:r>
      <w:r w:rsidRPr="007C38BF">
        <w:rPr>
          <w:rFonts w:ascii="Palatino Linotype" w:eastAsia="Palatino Linotype" w:hAnsi="Palatino Linotype" w:cs="Palatino Linotype"/>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trascribe para un mejor entendimiento:</w:t>
      </w:r>
    </w:p>
    <w:p w14:paraId="66C3F608" w14:textId="77777777" w:rsidR="00E458B2" w:rsidRPr="007C38BF" w:rsidRDefault="00E458B2">
      <w:pPr>
        <w:spacing w:after="0" w:line="240" w:lineRule="auto"/>
        <w:ind w:left="851" w:right="902"/>
        <w:jc w:val="both"/>
        <w:rPr>
          <w:rFonts w:ascii="Palatino Linotype" w:eastAsia="Palatino Linotype" w:hAnsi="Palatino Linotype" w:cs="Palatino Linotype"/>
          <w:i/>
          <w:iCs/>
        </w:rPr>
      </w:pPr>
    </w:p>
    <w:p w14:paraId="06C289B2"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4</w:t>
      </w:r>
      <w:r w:rsidRPr="007C38BF">
        <w:rPr>
          <w:rFonts w:ascii="Palatino Linotype" w:eastAsia="Palatino Linotype" w:hAnsi="Palatino Linotype" w:cs="Palatino Linotype"/>
          <w:i/>
          <w:iCs/>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70291DA5"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Toda la información generada, obtenida, adquirida, transformada, administrada o en posesión de los sujetos obligados es pública y accesible de manera permanente a cualquier persona</w:t>
      </w:r>
      <w:r w:rsidRPr="007C38BF">
        <w:rPr>
          <w:rFonts w:ascii="Palatino Linotype" w:eastAsia="Palatino Linotype" w:hAnsi="Palatino Linotype" w:cs="Palatino Linotype"/>
          <w:i/>
          <w:iCs/>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746334AE"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Los sujetos obligados deben poner en práctica, políticas y programas de acceso a la información que se apeguen a criterios de publicidad, veracidad, oportunidad, precisión y suficiencia en beneficio de los solicitantes</w:t>
      </w:r>
      <w:r w:rsidRPr="007C38BF">
        <w:rPr>
          <w:rFonts w:ascii="Palatino Linotype" w:eastAsia="Palatino Linotype" w:hAnsi="Palatino Linotype" w:cs="Palatino Linotype"/>
          <w:i/>
          <w:iCs/>
        </w:rPr>
        <w:t>.”</w:t>
      </w:r>
    </w:p>
    <w:p w14:paraId="1CE8ED3A" w14:textId="77777777" w:rsidR="00E458B2" w:rsidRPr="007C38BF" w:rsidRDefault="00E458B2">
      <w:pPr>
        <w:spacing w:after="0" w:line="240" w:lineRule="auto"/>
        <w:ind w:left="851" w:right="902"/>
        <w:jc w:val="both"/>
        <w:rPr>
          <w:rFonts w:ascii="Palatino Linotype" w:eastAsia="Palatino Linotype" w:hAnsi="Palatino Linotype" w:cs="Palatino Linotype"/>
          <w:i/>
          <w:iCs/>
        </w:rPr>
      </w:pPr>
    </w:p>
    <w:p w14:paraId="2EE180D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1C18AFD8" w14:textId="77777777" w:rsidR="00E458B2" w:rsidRPr="007C38BF" w:rsidRDefault="00E458B2">
      <w:pPr>
        <w:spacing w:after="0" w:line="360" w:lineRule="auto"/>
        <w:jc w:val="both"/>
        <w:rPr>
          <w:rFonts w:ascii="Palatino Linotype" w:eastAsia="Palatino Linotype" w:hAnsi="Palatino Linotype" w:cs="Palatino Linotype"/>
        </w:rPr>
      </w:pPr>
    </w:p>
    <w:p w14:paraId="7A1EAEF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12.-</w:t>
      </w:r>
      <w:r w:rsidRPr="007C38BF">
        <w:rPr>
          <w:rFonts w:ascii="Palatino Linotype" w:eastAsia="Palatino Linotype" w:hAnsi="Palatino Linotype" w:cs="Palatino Linotype"/>
          <w:i/>
          <w:iCs/>
        </w:rPr>
        <w:t xml:space="preserve"> Quienes generen, recopilen, administren, manejen, procesen, archiven o conserven información pública serán responsables de la misma en los términos de las disposiciones jurídicas aplicables. </w:t>
      </w:r>
    </w:p>
    <w:p w14:paraId="062BD843"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Los sujetos obligados sólo proporcionarán la información pública que se les requiera y que obre en sus archivos y en el estado en que ésta se encuentre</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La obligación de proporcionar información no comprende el procesamiento de la misma, ni el presentarla conforme al interés del solicitante; no estarán obligados a generarla, resumirla, efectuar cálculos o practicar investigaciones.” (Sic)</w:t>
      </w:r>
    </w:p>
    <w:p w14:paraId="5B14263B" w14:textId="77777777" w:rsidR="00E458B2" w:rsidRPr="007C38BF" w:rsidRDefault="00E458B2">
      <w:pPr>
        <w:spacing w:after="0" w:line="360" w:lineRule="auto"/>
        <w:ind w:right="-93"/>
        <w:jc w:val="both"/>
        <w:rPr>
          <w:rFonts w:ascii="Palatino Linotype" w:eastAsia="Palatino Linotype" w:hAnsi="Palatino Linotype" w:cs="Palatino Linotype"/>
        </w:rPr>
      </w:pPr>
    </w:p>
    <w:p w14:paraId="2F0B7F80" w14:textId="77777777" w:rsidR="00E458B2" w:rsidRPr="007C38BF" w:rsidRDefault="008A7751">
      <w:pPr>
        <w:spacing w:after="0" w:line="360" w:lineRule="auto"/>
        <w:ind w:right="-93"/>
        <w:jc w:val="both"/>
        <w:rPr>
          <w:rFonts w:ascii="Palatino Linotype" w:eastAsia="Palatino Linotype" w:hAnsi="Palatino Linotype" w:cs="Palatino Linotype"/>
        </w:rPr>
      </w:pPr>
      <w:r w:rsidRPr="007C38BF">
        <w:rPr>
          <w:rFonts w:ascii="Palatino Linotype" w:eastAsia="Palatino Linotype" w:hAnsi="Palatino Linotype" w:cs="Palatino Linotype"/>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solo se concretaran a proporcionar la información solicitada que tengan en su poder en el estado que se encuentran, sin necesidad de concretarse al interés o términos específicos del solicitante.</w:t>
      </w:r>
    </w:p>
    <w:p w14:paraId="672711B6" w14:textId="77777777" w:rsidR="00E458B2" w:rsidRPr="007C38BF" w:rsidRDefault="00E458B2">
      <w:pPr>
        <w:spacing w:after="0" w:line="360" w:lineRule="auto"/>
        <w:ind w:right="-93"/>
        <w:jc w:val="both"/>
        <w:rPr>
          <w:rFonts w:ascii="Palatino Linotype" w:eastAsia="Palatino Linotype" w:hAnsi="Palatino Linotype" w:cs="Palatino Linotype"/>
        </w:rPr>
      </w:pPr>
    </w:p>
    <w:p w14:paraId="60DF6681"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rPr>
        <w:t>Sirve de apoyo a lo anterior, el criterio orientador 03/17, emitido por el entonces Instituto Nacional de Transparencia, Acceso a la Información y Protección de Datos Personales, que por rubro y texto, dispone lo siguiente:</w:t>
      </w:r>
      <w:r w:rsidRPr="007C38BF">
        <w:rPr>
          <w:rFonts w:ascii="Palatino Linotype" w:eastAsia="Palatino Linotype" w:hAnsi="Palatino Linotype" w:cs="Palatino Linotype"/>
          <w:b/>
          <w:bCs/>
        </w:rPr>
        <w:t xml:space="preserve"> </w:t>
      </w:r>
    </w:p>
    <w:p w14:paraId="756C5893" w14:textId="77777777" w:rsidR="00E458B2" w:rsidRPr="007C38BF" w:rsidRDefault="00E458B2">
      <w:pPr>
        <w:spacing w:after="0"/>
        <w:ind w:left="851" w:right="616"/>
        <w:jc w:val="both"/>
        <w:rPr>
          <w:rFonts w:ascii="Palatino Linotype" w:eastAsia="Palatino Linotype" w:hAnsi="Palatino Linotype" w:cs="Palatino Linotype"/>
          <w:i/>
          <w:iCs/>
        </w:rPr>
      </w:pPr>
    </w:p>
    <w:p w14:paraId="588EE6F4"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No existe obligación de elaborar documentos ad hoc para atender las solicitudes de acceso a la información.</w:t>
      </w:r>
      <w:r w:rsidRPr="007C38BF">
        <w:rPr>
          <w:rFonts w:ascii="Palatino Linotype" w:eastAsia="Palatino Linotype" w:hAnsi="Palatino Linotype" w:cs="Palatino Linotype"/>
          <w:i/>
          <w:iCs/>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información.”(Sic)</w:t>
      </w:r>
    </w:p>
    <w:p w14:paraId="7D3EF9AD" w14:textId="77777777" w:rsidR="00E458B2" w:rsidRPr="007C38BF" w:rsidRDefault="00E458B2">
      <w:pPr>
        <w:spacing w:after="0"/>
        <w:ind w:left="1134" w:right="902"/>
        <w:jc w:val="both"/>
        <w:rPr>
          <w:rFonts w:ascii="Palatino Linotype" w:eastAsia="Palatino Linotype" w:hAnsi="Palatino Linotype" w:cs="Palatino Linotype"/>
          <w:i/>
          <w:iCs/>
        </w:rPr>
      </w:pPr>
    </w:p>
    <w:p w14:paraId="73FD564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58E412D9" w14:textId="77777777" w:rsidR="00E458B2" w:rsidRPr="007C38BF" w:rsidRDefault="00E458B2">
      <w:pPr>
        <w:spacing w:after="0" w:line="360" w:lineRule="auto"/>
        <w:jc w:val="both"/>
        <w:rPr>
          <w:rFonts w:ascii="Palatino Linotype" w:eastAsia="Palatino Linotype" w:hAnsi="Palatino Linotype" w:cs="Palatino Linotype"/>
        </w:rPr>
      </w:pPr>
    </w:p>
    <w:p w14:paraId="40B3F11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233D1AC" w14:textId="77777777" w:rsidR="00E458B2" w:rsidRPr="007C38BF" w:rsidRDefault="00E458B2">
      <w:pPr>
        <w:spacing w:after="0" w:line="240" w:lineRule="auto"/>
        <w:ind w:left="851" w:right="902"/>
        <w:jc w:val="both"/>
        <w:rPr>
          <w:rFonts w:ascii="Palatino Linotype" w:eastAsia="Palatino Linotype" w:hAnsi="Palatino Linotype" w:cs="Palatino Linotype"/>
          <w:i/>
          <w:iCs/>
        </w:rPr>
      </w:pPr>
    </w:p>
    <w:p w14:paraId="28FF8BAD"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 xml:space="preserve">Artículo 3. </w:t>
      </w:r>
      <w:r w:rsidRPr="007C38BF">
        <w:rPr>
          <w:rFonts w:ascii="Palatino Linotype" w:eastAsia="Palatino Linotype" w:hAnsi="Palatino Linotype" w:cs="Palatino Linotype"/>
          <w:i/>
          <w:iCs/>
        </w:rPr>
        <w:t>Para los efectos de la presente Ley se entenderá por:</w:t>
      </w:r>
    </w:p>
    <w:p w14:paraId="6E9E3DA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47B0B072"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XI. Documento:</w:t>
      </w:r>
      <w:r w:rsidRPr="007C38BF">
        <w:rPr>
          <w:rFonts w:ascii="Palatino Linotype" w:eastAsia="Palatino Linotype" w:hAnsi="Palatino Linotype" w:cs="Palatino Linotype"/>
          <w:i/>
          <w:iCs/>
        </w:rPr>
        <w:t xml:space="preserve"> Los expedientes, reportes, estudios, actas</w:t>
      </w:r>
      <w:r w:rsidRPr="007C38BF">
        <w:rPr>
          <w:rFonts w:ascii="Palatino Linotype" w:eastAsia="Palatino Linotype" w:hAnsi="Palatino Linotype" w:cs="Palatino Linotype"/>
          <w:b/>
          <w:bCs/>
          <w:i/>
          <w:iCs/>
        </w:rPr>
        <w:t>,</w:t>
      </w:r>
      <w:r w:rsidRPr="007C38BF">
        <w:rPr>
          <w:rFonts w:ascii="Palatino Linotype" w:eastAsia="Palatino Linotype" w:hAnsi="Palatino Linotype" w:cs="Palatino Linotype"/>
          <w:i/>
          <w:iCs/>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606DF1D5" w14:textId="77777777" w:rsidR="00E458B2" w:rsidRPr="007C38BF" w:rsidRDefault="00E458B2">
      <w:pPr>
        <w:spacing w:after="0" w:line="360" w:lineRule="auto"/>
        <w:jc w:val="both"/>
        <w:rPr>
          <w:rFonts w:ascii="Palatino Linotype" w:eastAsia="Palatino Linotype" w:hAnsi="Palatino Linotype" w:cs="Palatino Linotype"/>
        </w:rPr>
      </w:pPr>
    </w:p>
    <w:p w14:paraId="74E37236"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54A168CB" w14:textId="77777777" w:rsidR="00E458B2" w:rsidRPr="007C38BF" w:rsidRDefault="00E458B2">
      <w:pPr>
        <w:spacing w:after="0" w:line="240" w:lineRule="auto"/>
        <w:ind w:left="851" w:right="902"/>
        <w:jc w:val="both"/>
        <w:rPr>
          <w:rFonts w:ascii="Palatino Linotype" w:eastAsia="Palatino Linotype" w:hAnsi="Palatino Linotype" w:cs="Palatino Linotype"/>
          <w:b/>
          <w:bCs/>
        </w:rPr>
      </w:pPr>
    </w:p>
    <w:p w14:paraId="4F3E123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rPr>
        <w:t>“</w:t>
      </w:r>
      <w:r w:rsidRPr="007C38BF">
        <w:rPr>
          <w:rFonts w:ascii="Palatino Linotype" w:eastAsia="Palatino Linotype" w:hAnsi="Palatino Linotype" w:cs="Palatino Linotype"/>
          <w:b/>
          <w:bCs/>
          <w:i/>
          <w:iCs/>
        </w:rPr>
        <w:t>INFORMACIÓN PÚBLICA, CONCEPTO DE, EN MATERIA DE TRANSPARENCIA. INTERPRETACIÓN SISTEMÁTICA DE LOS ARTÍCULOS 2°, FRACCIÓN V, XV, Y XVI, 3°, 4°, 11 Y 41.</w:t>
      </w:r>
      <w:r w:rsidRPr="007C38BF">
        <w:rPr>
          <w:rFonts w:ascii="Palatino Linotype" w:eastAsia="Palatino Linotype" w:hAnsi="Palatino Linotype" w:cs="Palatino Linotype"/>
          <w:i/>
          <w:iCs/>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1B4E3D26"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En consecuencia el acceso a la información se refiere a que se cumplan cualquiera de los siguientes tres supuestos:</w:t>
      </w:r>
    </w:p>
    <w:p w14:paraId="238C9ADF"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1) Que se trate de información registrada en cualquier soporte documental, que en ejercicio de las atribuciones conferidas, sea generada por los Sujetos Obligados;</w:t>
      </w:r>
    </w:p>
    <w:p w14:paraId="641E1C19"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2) Que se trate de información registrada en cualquier soporte documental, que en ejercicio de las atribuciones conferidas, sea administrada por los Sujetos Obligados, y</w:t>
      </w:r>
    </w:p>
    <w:p w14:paraId="7228E909"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3) Que se trate de información registrada en cualquier soporte documental, que en ejercicio de las atribuciones conferidas, se encuentre en posesión de los Sujetos Obligados.” </w:t>
      </w:r>
    </w:p>
    <w:p w14:paraId="2680E513" w14:textId="77777777" w:rsidR="00E458B2" w:rsidRPr="007C38BF" w:rsidRDefault="00E458B2">
      <w:pPr>
        <w:spacing w:after="0" w:line="360" w:lineRule="auto"/>
        <w:ind w:right="51"/>
        <w:jc w:val="both"/>
        <w:rPr>
          <w:rFonts w:ascii="Palatino Linotype" w:eastAsia="Palatino Linotype" w:hAnsi="Palatino Linotype" w:cs="Palatino Linotype"/>
        </w:rPr>
      </w:pPr>
    </w:p>
    <w:p w14:paraId="39E0C579"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7F0475F0" w14:textId="77777777" w:rsidR="00E458B2" w:rsidRPr="007C38BF" w:rsidRDefault="00E458B2">
      <w:pPr>
        <w:spacing w:after="0" w:line="360" w:lineRule="auto"/>
        <w:ind w:right="51"/>
        <w:jc w:val="both"/>
        <w:rPr>
          <w:rFonts w:ascii="Palatino Linotype" w:eastAsia="Palatino Linotype" w:hAnsi="Palatino Linotype" w:cs="Palatino Linotype"/>
        </w:rPr>
      </w:pPr>
    </w:p>
    <w:p w14:paraId="692D873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12A98C79" w14:textId="77777777" w:rsidR="00E458B2" w:rsidRPr="007C38BF" w:rsidRDefault="00E458B2">
      <w:pPr>
        <w:spacing w:after="0" w:line="360" w:lineRule="auto"/>
        <w:jc w:val="both"/>
        <w:rPr>
          <w:rFonts w:ascii="Palatino Linotype" w:eastAsia="Palatino Linotype" w:hAnsi="Palatino Linotype" w:cs="Palatino Linotype"/>
        </w:rPr>
      </w:pPr>
    </w:p>
    <w:p w14:paraId="0D7EAD9D"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Ahora bien, del análisis de las solicitudes de información, motivo de los recursos de revisión que ahora se resuelven, se advierte que la parte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xml:space="preserve"> requirió al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le proporcione lo siguiente:</w:t>
      </w:r>
    </w:p>
    <w:p w14:paraId="4FD72797" w14:textId="77777777" w:rsidR="00E458B2" w:rsidRPr="007C38BF" w:rsidRDefault="00E458B2">
      <w:pPr>
        <w:spacing w:after="0" w:line="360" w:lineRule="auto"/>
        <w:ind w:left="426"/>
        <w:jc w:val="both"/>
        <w:rPr>
          <w:rFonts w:ascii="Palatino Linotype" w:eastAsia="Palatino Linotype" w:hAnsi="Palatino Linotype" w:cs="Palatino Linotype"/>
        </w:rPr>
      </w:pPr>
    </w:p>
    <w:p w14:paraId="0C16B79B" w14:textId="77777777" w:rsidR="00E458B2" w:rsidRPr="007C38BF" w:rsidRDefault="008A7751">
      <w:pPr>
        <w:numPr>
          <w:ilvl w:val="0"/>
          <w:numId w:val="1"/>
        </w:numPr>
        <w:pBdr>
          <w:top w:val="nil"/>
          <w:left w:val="nil"/>
          <w:bottom w:val="nil"/>
          <w:right w:val="nil"/>
          <w:between w:val="nil"/>
        </w:pBdr>
        <w:spacing w:after="0" w:line="360" w:lineRule="auto"/>
        <w:ind w:right="616"/>
        <w:jc w:val="both"/>
      </w:pPr>
      <w:r w:rsidRPr="007C38BF">
        <w:rPr>
          <w:rFonts w:ascii="Palatino Linotype" w:eastAsia="Palatino Linotype" w:hAnsi="Palatino Linotype" w:cs="Palatino Linotype"/>
          <w:b/>
          <w:bCs/>
        </w:rPr>
        <w:t>Del personal que labora en las áreas de Ingresos, Cuentas por Pagar y Adquisiciones:</w:t>
      </w:r>
    </w:p>
    <w:p w14:paraId="5E8E706D" w14:textId="77777777" w:rsidR="00E458B2" w:rsidRPr="007C38BF" w:rsidRDefault="008A7751">
      <w:pPr>
        <w:numPr>
          <w:ilvl w:val="0"/>
          <w:numId w:val="2"/>
        </w:numPr>
        <w:pBdr>
          <w:top w:val="nil"/>
          <w:left w:val="nil"/>
          <w:bottom w:val="nil"/>
          <w:right w:val="nil"/>
          <w:between w:val="nil"/>
        </w:pBdr>
        <w:spacing w:after="0" w:line="360" w:lineRule="auto"/>
        <w:ind w:left="1134" w:right="616"/>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Expedientes laborales, </w:t>
      </w:r>
    </w:p>
    <w:p w14:paraId="197BEB81" w14:textId="77777777" w:rsidR="00E458B2" w:rsidRPr="007C38BF" w:rsidRDefault="008A7751">
      <w:pPr>
        <w:numPr>
          <w:ilvl w:val="0"/>
          <w:numId w:val="2"/>
        </w:numPr>
        <w:pBdr>
          <w:top w:val="nil"/>
          <w:left w:val="nil"/>
          <w:bottom w:val="nil"/>
          <w:right w:val="nil"/>
          <w:between w:val="nil"/>
        </w:pBdr>
        <w:spacing w:after="0" w:line="360" w:lineRule="auto"/>
        <w:ind w:left="1134" w:right="616"/>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Recibos de nómina correspondientes al segundo trimestre del 2026. </w:t>
      </w:r>
    </w:p>
    <w:p w14:paraId="4206688A" w14:textId="77777777" w:rsidR="00E458B2" w:rsidRPr="007C38BF" w:rsidRDefault="00E458B2">
      <w:pPr>
        <w:pBdr>
          <w:top w:val="nil"/>
          <w:left w:val="nil"/>
          <w:bottom w:val="nil"/>
          <w:right w:val="nil"/>
          <w:between w:val="nil"/>
        </w:pBdr>
        <w:spacing w:after="0" w:line="360" w:lineRule="auto"/>
        <w:ind w:left="720" w:right="616"/>
        <w:jc w:val="both"/>
        <w:rPr>
          <w:rFonts w:ascii="Palatino Linotype" w:eastAsia="Palatino Linotype" w:hAnsi="Palatino Linotype" w:cs="Palatino Linotype"/>
        </w:rPr>
      </w:pPr>
    </w:p>
    <w:p w14:paraId="0AE54436"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respuesta, 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por conducto de la Tesorera del Sistema Municipal, informó que la obligación de proporcionar información de los sujetos obligados no comprende el procesamiento de la misma, ni el presentarla conforme al interés del solicitante y que se deberán cubrir los gastos de reproducción o por la modalidad de entrega solicitada, de conformidad con los derechos, productos y aprovechamientos establecidos en la legislación aplicable, ello conforme lo establecido en los artículo 12 párrafo segundo y 17 de la Ley de Transparencia y Acceso a la Información Pública del Estado de México y Municipios.</w:t>
      </w:r>
    </w:p>
    <w:p w14:paraId="18768970"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6833B8C"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Al no estar conforme con los términos de la respuesta emitida, la parte </w:t>
      </w:r>
      <w:r w:rsidRPr="007C38BF">
        <w:rPr>
          <w:rFonts w:ascii="Palatino Linotype" w:eastAsia="Palatino Linotype" w:hAnsi="Palatino Linotype" w:cs="Palatino Linotype"/>
          <w:b/>
          <w:bCs/>
        </w:rPr>
        <w:t xml:space="preserve">Recurrente </w:t>
      </w:r>
      <w:r w:rsidRPr="007C38BF">
        <w:rPr>
          <w:rFonts w:ascii="Palatino Linotype" w:eastAsia="Palatino Linotype" w:hAnsi="Palatino Linotype" w:cs="Palatino Linotype"/>
        </w:rPr>
        <w:t xml:space="preserve">interpuso el recurso de revisión que ahora se resuelve, donde señaló como motivos de inconformidad, en lo medular por la negativa a la información solicitada. </w:t>
      </w:r>
    </w:p>
    <w:p w14:paraId="439023A1" w14:textId="77777777" w:rsidR="00E458B2" w:rsidRPr="007C38BF" w:rsidRDefault="00E458B2">
      <w:pPr>
        <w:spacing w:after="0" w:line="360" w:lineRule="auto"/>
        <w:jc w:val="both"/>
        <w:rPr>
          <w:rFonts w:ascii="Palatino Linotype" w:eastAsia="Palatino Linotype" w:hAnsi="Palatino Linotype" w:cs="Palatino Linotype"/>
        </w:rPr>
      </w:pPr>
    </w:p>
    <w:p w14:paraId="0BB3B30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Admitido el presente recurso de revisión, en términos del artículo 185 fracción II de la Ley de Transparencia y Acceso a la Información Pública del Estado de México y Municipios, se integró el expediente y se puso a disposición de las partes para que, en un plazo máximo de siete días hábiles, manifestaran lo que a su derecho resultara conveniente, teniendo así que las partes fueron omisas en rendir manifestación alguna. </w:t>
      </w:r>
    </w:p>
    <w:p w14:paraId="07E8D237"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9D54F51"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Una vez establecidas las posturas de las partes, se procede al análisis del requerimiento de información, así como la información proporcionada por 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 xml:space="preserve">en contraposición con el motivo de inconformidad alegado por la parte </w:t>
      </w:r>
      <w:r w:rsidRPr="007C38BF">
        <w:rPr>
          <w:rFonts w:ascii="Palatino Linotype" w:eastAsia="Palatino Linotype" w:hAnsi="Palatino Linotype" w:cs="Palatino Linotype"/>
          <w:b/>
          <w:bCs/>
        </w:rPr>
        <w:t xml:space="preserve">Recurrente, </w:t>
      </w:r>
      <w:r w:rsidRPr="007C38BF">
        <w:rPr>
          <w:rFonts w:ascii="Palatino Linotype" w:eastAsia="Palatino Linotype" w:hAnsi="Palatino Linotype" w:cs="Palatino Linotype"/>
        </w:rPr>
        <w:t>con la finalidad de determinar si el Derecho de acceso de esta se satisfizo, o, en su defecto, ordenar el soporte documental correspondiente, en caso de ser procedente.</w:t>
      </w:r>
    </w:p>
    <w:p w14:paraId="575086E7"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75439C3"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ese tenor, en principio es de recordar que, quien dio atención a la solicitud de información fue la Tesorería del Sistema Municipal, situación por la que, de acuerdo con el artículo 162 de la Ley de Transparencia y Acceso a la Información Pública del Estado de México y Municipios, se establece que las Unidades de Transparencia garantizarán que las solicitudes de acceso a la información se turnen a todas las áreas competentes que cuenten con la información o deban tenerla -de acuerdo a las facultades, competencias y funciones-, con el objeto de que dichas áreas realicen una búsqueda exhaustiva y razonable de la información requerida. </w:t>
      </w:r>
    </w:p>
    <w:p w14:paraId="0538D29F" w14:textId="77777777" w:rsidR="00E458B2" w:rsidRPr="007C38BF" w:rsidRDefault="00E458B2">
      <w:pPr>
        <w:spacing w:after="0" w:line="360" w:lineRule="auto"/>
        <w:ind w:right="49"/>
        <w:jc w:val="both"/>
        <w:rPr>
          <w:rFonts w:ascii="Palatino Linotype" w:eastAsia="Palatino Linotype" w:hAnsi="Palatino Linotype" w:cs="Palatino Linotype"/>
        </w:rPr>
      </w:pPr>
    </w:p>
    <w:p w14:paraId="6FF4DD00"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rPr>
        <w:t xml:space="preserve">En ese sentido, según Jarquín, Soledad (2019), en el “Diccionario de Transparencia y Acceso a la Información Pública” (p. 68), </w:t>
      </w:r>
      <w:r w:rsidRPr="007C38BF">
        <w:rPr>
          <w:rFonts w:ascii="Palatino Linotype" w:eastAsia="Palatino Linotype" w:hAnsi="Palatino Linotype" w:cs="Palatino Linotype"/>
          <w:b/>
          <w:bCs/>
        </w:rPr>
        <w:t>la búsqueda exhaustiva</w:t>
      </w:r>
      <w:r w:rsidRPr="007C38BF">
        <w:rPr>
          <w:rFonts w:ascii="Palatino Linotype" w:eastAsia="Palatino Linotype" w:hAnsi="Palatino Linotype" w:cs="Palatino Linotype"/>
        </w:rPr>
        <w:t xml:space="preserve"> es la obligación del área administrativa del Sujeto Obligado que cuenta o puede contar con la información requerida, la cual consiste en localizar toda aquella que atienda la solicitud, hasta agotar por completo las posibilidades de indagación.</w:t>
      </w:r>
    </w:p>
    <w:p w14:paraId="1FCF2E88" w14:textId="77777777" w:rsidR="00E458B2" w:rsidRPr="007C38BF" w:rsidRDefault="00E458B2">
      <w:pPr>
        <w:spacing w:after="0" w:line="360" w:lineRule="auto"/>
        <w:ind w:right="49"/>
        <w:jc w:val="both"/>
        <w:rPr>
          <w:rFonts w:ascii="Palatino Linotype" w:eastAsia="Palatino Linotype" w:hAnsi="Palatino Linotype" w:cs="Palatino Linotype"/>
        </w:rPr>
      </w:pPr>
    </w:p>
    <w:p w14:paraId="6A38CFAD"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Por ello, es de referir que el Ente Recurrido turnó la solicitud de información a la unidad administrativa competente, la cual de conformidad con la Ley que crea los Organismos Públicos Descentralizados de Asistencia Social, de Carácter Municipal, denominados "Sistemas Municipales para el Desarrollo Integral de la Familia" señala en su artículo 15 que el Tesorero será el responsable del manejo del presupuesto del Sistema Municipal, y de la administración de los recursos que conforman el patrimonio del organismo, debiendo informar los estados financieros mensualmente a la Junta de Gobierno o cuando ésta y la presidencia lo soliciten, además tendrá las siguientes atribuciones:</w:t>
      </w:r>
    </w:p>
    <w:p w14:paraId="20840980" w14:textId="77777777" w:rsidR="00E458B2" w:rsidRPr="007C38BF" w:rsidRDefault="00E458B2">
      <w:pPr>
        <w:spacing w:after="0" w:line="360" w:lineRule="auto"/>
        <w:jc w:val="both"/>
        <w:rPr>
          <w:rFonts w:ascii="Palatino Linotype" w:eastAsia="Palatino Linotype" w:hAnsi="Palatino Linotype" w:cs="Palatino Linotype"/>
        </w:rPr>
      </w:pPr>
    </w:p>
    <w:p w14:paraId="046D2B53"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“Artículo 15.- El Tesorero será el responsable del manejo del presupuesto del Sistema Municipal, y de la administración de los recursos que conforman el patrimonio del organismo, lo cual hará en coordinación con el Director, debiendo informar los estados financieros mensualmente a la Junta de Gobierno o cuando ésta y la presidencia lo soliciten, además tendrá las siguientes atribuciones: </w:t>
      </w:r>
    </w:p>
    <w:p w14:paraId="6B23CEFD" w14:textId="77777777" w:rsidR="00E458B2" w:rsidRPr="007C38BF" w:rsidRDefault="00E458B2">
      <w:pPr>
        <w:tabs>
          <w:tab w:val="left" w:pos="8505"/>
        </w:tabs>
        <w:spacing w:after="0" w:line="276" w:lineRule="auto"/>
        <w:ind w:left="851" w:right="616"/>
        <w:jc w:val="both"/>
        <w:rPr>
          <w:rFonts w:ascii="Palatino Linotype" w:eastAsia="Palatino Linotype" w:hAnsi="Palatino Linotype" w:cs="Palatino Linotype"/>
          <w:i/>
          <w:iCs/>
        </w:rPr>
      </w:pPr>
    </w:p>
    <w:p w14:paraId="57C8B6D2"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w:t>
      </w:r>
      <w:r w:rsidRPr="007C38BF">
        <w:rPr>
          <w:rFonts w:ascii="Palatino Linotype" w:eastAsia="Palatino Linotype" w:hAnsi="Palatino Linotype" w:cs="Palatino Linotype"/>
          <w:b/>
          <w:bCs/>
          <w:i/>
          <w:iCs/>
        </w:rPr>
        <w:t>. Administrar los recursos que conforman el patrimonio del organismo</w:t>
      </w:r>
      <w:r w:rsidRPr="007C38BF">
        <w:rPr>
          <w:rFonts w:ascii="Palatino Linotype" w:eastAsia="Palatino Linotype" w:hAnsi="Palatino Linotype" w:cs="Palatino Linotype"/>
          <w:i/>
          <w:iCs/>
        </w:rPr>
        <w:t xml:space="preserve"> de conformidad con lo establecido en las disposiciones legales aplicables; </w:t>
      </w:r>
    </w:p>
    <w:p w14:paraId="4A1A7A51"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II. Llevar los libros y registros contables, </w:t>
      </w:r>
      <w:r w:rsidRPr="007C38BF">
        <w:rPr>
          <w:rFonts w:ascii="Palatino Linotype" w:eastAsia="Palatino Linotype" w:hAnsi="Palatino Linotype" w:cs="Palatino Linotype"/>
          <w:i/>
          <w:iCs/>
        </w:rPr>
        <w:t xml:space="preserve">financieros y administrativos </w:t>
      </w:r>
      <w:r w:rsidRPr="007C38BF">
        <w:rPr>
          <w:rFonts w:ascii="Palatino Linotype" w:eastAsia="Palatino Linotype" w:hAnsi="Palatino Linotype" w:cs="Palatino Linotype"/>
          <w:b/>
          <w:bCs/>
          <w:i/>
          <w:iCs/>
        </w:rPr>
        <w:t>de los ingresos, egresos e inventarios;</w:t>
      </w:r>
    </w:p>
    <w:p w14:paraId="74D36212"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III. Proporcionar oportunamente a la Junta de Gobierno todos los datos e informes que sean necesarios para la formulación del Presupuesto de Egresos del organismo, vigilando que se ajuste a las disposiciones legales aplicables; </w:t>
      </w:r>
    </w:p>
    <w:p w14:paraId="6C6634E9"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IV. Presentar anualmente a la Junta de Gobierno un informe de la situación contable financiera de la Tesorería del Organismo; </w:t>
      </w:r>
    </w:p>
    <w:p w14:paraId="2808CFE6"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V. Contestar oportunamente los pliegos de observaciones y responsabilidades que haga el Órgano Superior de Fiscalización del Estado de México, así como atender en tiempo y forma las solicitudes de información que éste requiera, informando al Consejo Directivo. </w:t>
      </w:r>
    </w:p>
    <w:p w14:paraId="751C6AC4"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VI. Certificar los documentos a su cuidado, por acuerdo expreso de la Junta de Gobierno y cuando se trate de documentación presentada ante el Órgano Superior de Fiscalización del Estado de México; </w:t>
      </w:r>
    </w:p>
    <w:p w14:paraId="5E38D497"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VII. Integrar y autorizar con su firma, la documentación que deba presentarse al Órgano Superior de Fiscalización del Estado de México; y </w:t>
      </w:r>
    </w:p>
    <w:p w14:paraId="45409A91"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VIII. Las demás que le confieran los ordenamientos legales y la Junta de Gobierno.”</w:t>
      </w:r>
    </w:p>
    <w:p w14:paraId="5A76943A" w14:textId="77777777" w:rsidR="00E458B2" w:rsidRPr="007C38BF" w:rsidRDefault="008A7751">
      <w:pPr>
        <w:tabs>
          <w:tab w:val="left" w:pos="850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(Énfasis Añadido)</w:t>
      </w:r>
    </w:p>
    <w:p w14:paraId="12214FF6" w14:textId="77777777" w:rsidR="00E458B2" w:rsidRPr="007C38BF" w:rsidRDefault="00E458B2">
      <w:pPr>
        <w:spacing w:after="0" w:line="360" w:lineRule="auto"/>
        <w:jc w:val="both"/>
        <w:rPr>
          <w:rFonts w:ascii="Palatino Linotype" w:eastAsia="Palatino Linotype" w:hAnsi="Palatino Linotype" w:cs="Palatino Linotype"/>
        </w:rPr>
      </w:pPr>
    </w:p>
    <w:p w14:paraId="23055082"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 lo anterior, se colige que, el Sistema Municipal Para el Desarrollo Integral de la Familia de Huehuetoca a través de la Tesorería se encarga de realizar las erogaciones que haga el organismo; así como de llevar los registros contables, financieros y administrativos de los egresos e inventarios, de ahí que,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cuenta con las competencias, facultades y atribuciones para conocer, administrar y generar la información solicitada. Es así que, se colige que quien dio atención a la solicitud de información, fue la unidad administrativa competente. </w:t>
      </w:r>
    </w:p>
    <w:p w14:paraId="1DEE5149" w14:textId="77777777" w:rsidR="00E458B2" w:rsidRPr="007C38BF" w:rsidRDefault="00E458B2">
      <w:pPr>
        <w:spacing w:after="0" w:line="360" w:lineRule="auto"/>
        <w:ind w:right="49"/>
        <w:jc w:val="both"/>
        <w:rPr>
          <w:rFonts w:ascii="Palatino Linotype" w:eastAsia="Palatino Linotype" w:hAnsi="Palatino Linotype" w:cs="Palatino Linotype"/>
        </w:rPr>
      </w:pPr>
    </w:p>
    <w:p w14:paraId="5AB130FD"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Dicho lo anterior, se procede al análisis de la naturaleza de la información solicitada, al tenor de lo siguiente:</w:t>
      </w:r>
    </w:p>
    <w:p w14:paraId="5AB14116" w14:textId="77777777" w:rsidR="00E458B2" w:rsidRPr="007C38BF" w:rsidRDefault="00E458B2">
      <w:pPr>
        <w:spacing w:after="0" w:line="360" w:lineRule="auto"/>
        <w:ind w:right="49"/>
        <w:jc w:val="both"/>
        <w:rPr>
          <w:rFonts w:ascii="Palatino Linotype" w:eastAsia="Palatino Linotype" w:hAnsi="Palatino Linotype" w:cs="Palatino Linotype"/>
        </w:rPr>
      </w:pPr>
    </w:p>
    <w:p w14:paraId="5D1AC766" w14:textId="77777777" w:rsidR="00E458B2" w:rsidRPr="007C38BF" w:rsidRDefault="008A7751">
      <w:pPr>
        <w:numPr>
          <w:ilvl w:val="0"/>
          <w:numId w:val="5"/>
        </w:numPr>
        <w:pBdr>
          <w:top w:val="nil"/>
          <w:left w:val="nil"/>
          <w:bottom w:val="nil"/>
          <w:right w:val="nil"/>
          <w:between w:val="nil"/>
        </w:pBdr>
        <w:spacing w:after="0" w:line="240" w:lineRule="auto"/>
        <w:ind w:right="616"/>
        <w:rPr>
          <w:b/>
          <w:bCs/>
        </w:rPr>
      </w:pPr>
      <w:r w:rsidRPr="007C38BF">
        <w:rPr>
          <w:rFonts w:ascii="Palatino Linotype" w:eastAsia="Palatino Linotype" w:hAnsi="Palatino Linotype" w:cs="Palatino Linotype"/>
          <w:b/>
          <w:bCs/>
        </w:rPr>
        <w:t xml:space="preserve">De los expedientes laborales </w:t>
      </w:r>
    </w:p>
    <w:p w14:paraId="67608F29" w14:textId="77777777" w:rsidR="00E458B2" w:rsidRPr="007C38BF" w:rsidRDefault="00E458B2">
      <w:pPr>
        <w:pBdr>
          <w:top w:val="nil"/>
          <w:left w:val="nil"/>
          <w:bottom w:val="nil"/>
          <w:right w:val="nil"/>
          <w:between w:val="nil"/>
        </w:pBdr>
        <w:spacing w:after="0"/>
        <w:ind w:left="720" w:right="616" w:hanging="360"/>
        <w:rPr>
          <w:rFonts w:ascii="Palatino Linotype" w:eastAsia="Palatino Linotype" w:hAnsi="Palatino Linotype" w:cs="Palatino Linotype"/>
          <w:b/>
          <w:bCs/>
        </w:rPr>
      </w:pPr>
    </w:p>
    <w:p w14:paraId="7E61027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Respecto a este punto de la solicitud, resulta conveniente traer a colación el artículo 47, de la Ley del Trabajo de los Servidores Públicos del Estado de México y Municipios, el cual establece, que para ingresar al servicio público se requiere, entre otros, presentar una solicitud utilizando la forma oficial que se autorice por la dependencia correspondiente tal como se observa a continuación: </w:t>
      </w:r>
    </w:p>
    <w:p w14:paraId="6AA78E20" w14:textId="77777777" w:rsidR="00E458B2" w:rsidRPr="007C38BF" w:rsidRDefault="00E458B2">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p>
    <w:p w14:paraId="3904632D"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“ARTÍCULO 47. Para ingresar al servicio público se requiere: </w:t>
      </w:r>
    </w:p>
    <w:p w14:paraId="785D915B"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I. Presentar una solicitud utilizando la forma oficial que se autorice por la institución pública o dependencia correspondiente; </w:t>
      </w:r>
    </w:p>
    <w:p w14:paraId="389E525C"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II. Ser de nacionalidad mexicana, con la excepción prevista en el artículo 17 de la presente ley; </w:t>
      </w:r>
    </w:p>
    <w:p w14:paraId="2CCA687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III. Estar en pleno ejercicio de sus derechos civiles y políticos, en su caso; </w:t>
      </w:r>
    </w:p>
    <w:p w14:paraId="6C167D49"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IV. Acreditar, cuando proceda, el cumplimiento de la Ley del Servicio Militar Nacional; </w:t>
      </w:r>
    </w:p>
    <w:p w14:paraId="35D1547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V. Derogada. </w:t>
      </w:r>
    </w:p>
    <w:p w14:paraId="3AA2A902"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VI. No haber sido separado anteriormente del servicio por las causas previstas en el artículo 93 de la presente ley; </w:t>
      </w:r>
    </w:p>
    <w:p w14:paraId="0D3A7FA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VII. Tener buena salud, lo que se comprobará con los certificados médicos correspondientes, en la forma en que se establezca en cada institución pública; </w:t>
      </w:r>
    </w:p>
    <w:p w14:paraId="183FFFE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VIII. Cumplir con los requisitos que se establezcan para los diferentes puestos; </w:t>
      </w:r>
    </w:p>
    <w:p w14:paraId="6A496A1B"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IX. Acreditar por medio de los exámenes correspondientes los conocimientos y aptitudes necesarios para el desempeño del puesto; y </w:t>
      </w:r>
    </w:p>
    <w:p w14:paraId="1D786D32"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X. No estar inhabilitado para el ejercicio del servicio público. </w:t>
      </w:r>
    </w:p>
    <w:p w14:paraId="3001D36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XI. Presentar certificado expedido por la Unidad del Registro de Deudores Alimentarios Morosos en el que conste, si se encuentra inscrito o no en el mismo. </w:t>
      </w:r>
    </w:p>
    <w:p w14:paraId="5118181E" w14:textId="77777777" w:rsidR="00E458B2" w:rsidRPr="007C38BF" w:rsidRDefault="00E458B2">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p>
    <w:p w14:paraId="246220D9"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La institución o dependencia que reciba un certificado en que conste que la persona que se incorpora al servicio público se encuentra inscrito el Registro de Deudores Alimentarios Morosos deberá dar aviso al juez de conocimiento de dicha circunstancia, para los efectos legales a que haya lugar.”</w:t>
      </w:r>
    </w:p>
    <w:p w14:paraId="6392F886"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85528C4"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i/>
          <w:iCs/>
        </w:rPr>
      </w:pPr>
      <w:r w:rsidRPr="007C38BF">
        <w:rPr>
          <w:rFonts w:ascii="Palatino Linotype" w:eastAsia="Palatino Linotype" w:hAnsi="Palatino Linotype" w:cs="Palatino Linotype"/>
        </w:rPr>
        <w:t xml:space="preserve">Es así que, sobre el expediente del personal de los Sujetos Obligados, resulta oportuno traer a contexto el contenido del artículo 98 fracción XVII, de la Ley anteriormente mencionada que refiere que son obligaciones de las instituciones públicas, el </w:t>
      </w:r>
      <w:r w:rsidRPr="007C38BF">
        <w:rPr>
          <w:rFonts w:ascii="Palatino Linotype" w:eastAsia="Palatino Linotype" w:hAnsi="Palatino Linotype" w:cs="Palatino Linotype"/>
          <w:b/>
          <w:bCs/>
          <w:u w:val="single"/>
        </w:rPr>
        <w:t>integrar los expedientes de los servidores públicos</w:t>
      </w:r>
      <w:r w:rsidRPr="007C38BF">
        <w:rPr>
          <w:rFonts w:ascii="Palatino Linotype" w:eastAsia="Palatino Linotype" w:hAnsi="Palatino Linotype" w:cs="Palatino Linotype"/>
        </w:rPr>
        <w:t xml:space="preserve"> y proporcionar las constancias que éstos soliciten para el trámite de los asuntos de su interés en los términos que señalen los ordenamientos respectivos, se inserta su contenido íntegro:</w:t>
      </w:r>
    </w:p>
    <w:p w14:paraId="160992E4" w14:textId="77777777" w:rsidR="00E458B2" w:rsidRPr="007C38BF" w:rsidRDefault="008A7751">
      <w:pPr>
        <w:pBdr>
          <w:top w:val="nil"/>
          <w:left w:val="nil"/>
          <w:bottom w:val="nil"/>
          <w:right w:val="nil"/>
          <w:between w:val="nil"/>
        </w:pBdr>
        <w:spacing w:after="0" w:line="276" w:lineRule="auto"/>
        <w:ind w:left="851" w:right="616"/>
        <w:jc w:val="center"/>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“TITULO CUARTO</w:t>
      </w:r>
    </w:p>
    <w:p w14:paraId="0854E456" w14:textId="77777777" w:rsidR="00E458B2" w:rsidRPr="007C38BF" w:rsidRDefault="008A7751">
      <w:pPr>
        <w:pBdr>
          <w:top w:val="nil"/>
          <w:left w:val="nil"/>
          <w:bottom w:val="nil"/>
          <w:right w:val="nil"/>
          <w:between w:val="nil"/>
        </w:pBdr>
        <w:spacing w:after="0" w:line="276" w:lineRule="auto"/>
        <w:ind w:left="851" w:right="616"/>
        <w:jc w:val="center"/>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De las Obligaciones de las Instituciones Públicas</w:t>
      </w:r>
    </w:p>
    <w:p w14:paraId="3BC870DD" w14:textId="77777777" w:rsidR="00E458B2" w:rsidRPr="007C38BF" w:rsidRDefault="008A7751">
      <w:pPr>
        <w:pBdr>
          <w:top w:val="nil"/>
          <w:left w:val="nil"/>
          <w:bottom w:val="nil"/>
          <w:right w:val="nil"/>
          <w:between w:val="nil"/>
        </w:pBdr>
        <w:spacing w:after="0" w:line="276" w:lineRule="auto"/>
        <w:ind w:left="851" w:right="616"/>
        <w:jc w:val="center"/>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CAPITULO I</w:t>
      </w:r>
    </w:p>
    <w:p w14:paraId="139E9BEA" w14:textId="77777777" w:rsidR="00E458B2" w:rsidRPr="007C38BF" w:rsidRDefault="008A7751">
      <w:pPr>
        <w:pBdr>
          <w:top w:val="nil"/>
          <w:left w:val="nil"/>
          <w:bottom w:val="nil"/>
          <w:right w:val="nil"/>
          <w:between w:val="nil"/>
        </w:pBdr>
        <w:spacing w:after="0" w:line="276" w:lineRule="auto"/>
        <w:ind w:left="851" w:right="616"/>
        <w:jc w:val="center"/>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De las Obligaciones en General</w:t>
      </w:r>
    </w:p>
    <w:p w14:paraId="46D01A60"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ARTÍCULO 98. Son obligaciones de las instituciones públicas:</w:t>
      </w:r>
    </w:p>
    <w:p w14:paraId="3890C1D2"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w:t>
      </w:r>
    </w:p>
    <w:p w14:paraId="2468732D"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XVII. Integrar los expedientes de los servidores públicos </w:t>
      </w:r>
      <w:r w:rsidRPr="007C38BF">
        <w:rPr>
          <w:rFonts w:ascii="Palatino Linotype" w:eastAsia="Palatino Linotype" w:hAnsi="Palatino Linotype" w:cs="Palatino Linotype"/>
          <w:i/>
          <w:iCs/>
        </w:rPr>
        <w:t>y proporcionar las constancias que éstos soliciten para el trámite de los asuntos de su interés en los términos que señalen los ordenamientos respectivos.</w:t>
      </w:r>
    </w:p>
    <w:p w14:paraId="56174FAD"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575880E1" w14:textId="77777777" w:rsidR="00E458B2" w:rsidRPr="007C38BF" w:rsidRDefault="00E458B2">
      <w:pPr>
        <w:pBdr>
          <w:top w:val="nil"/>
          <w:left w:val="nil"/>
          <w:bottom w:val="nil"/>
          <w:right w:val="nil"/>
          <w:between w:val="nil"/>
        </w:pBdr>
        <w:tabs>
          <w:tab w:val="left" w:pos="567"/>
        </w:tabs>
        <w:spacing w:after="0" w:line="360" w:lineRule="auto"/>
        <w:jc w:val="both"/>
        <w:rPr>
          <w:rFonts w:ascii="Palatino Linotype" w:eastAsia="Palatino Linotype" w:hAnsi="Palatino Linotype" w:cs="Palatino Linotype"/>
          <w:i/>
          <w:iCs/>
        </w:rPr>
      </w:pPr>
    </w:p>
    <w:p w14:paraId="79551A31" w14:textId="77777777" w:rsidR="00E458B2" w:rsidRPr="007C38BF" w:rsidRDefault="008A7751">
      <w:pPr>
        <w:pBdr>
          <w:top w:val="nil"/>
          <w:left w:val="nil"/>
          <w:bottom w:val="nil"/>
          <w:right w:val="nil"/>
          <w:between w:val="nil"/>
        </w:pBdr>
        <w:tabs>
          <w:tab w:val="left" w:pos="567"/>
        </w:tabs>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Con lo expuesto hasta este punto, se tiene la obligación de integrar el expediente de personal, donde obran todos aquellos documentos que se relacionan con cada uno de los servidores públicos, así como los documentos que amparen que se cumplieron los requisitos establecidos en el artículo 47 de la Ley en Materia.</w:t>
      </w:r>
    </w:p>
    <w:p w14:paraId="50DABD90" w14:textId="77777777" w:rsidR="00E458B2" w:rsidRPr="007C38BF" w:rsidRDefault="00E458B2">
      <w:pPr>
        <w:pBdr>
          <w:top w:val="nil"/>
          <w:left w:val="nil"/>
          <w:bottom w:val="nil"/>
          <w:right w:val="nil"/>
          <w:between w:val="nil"/>
        </w:pBdr>
        <w:tabs>
          <w:tab w:val="left" w:pos="567"/>
        </w:tabs>
        <w:spacing w:after="0" w:line="360" w:lineRule="auto"/>
        <w:jc w:val="both"/>
        <w:rPr>
          <w:rFonts w:ascii="Palatino Linotype" w:eastAsia="Palatino Linotype" w:hAnsi="Palatino Linotype" w:cs="Palatino Linotype"/>
        </w:rPr>
      </w:pPr>
    </w:p>
    <w:p w14:paraId="72A72F93" w14:textId="77777777" w:rsidR="00E458B2" w:rsidRPr="007C38BF" w:rsidRDefault="008A7751">
      <w:pPr>
        <w:tabs>
          <w:tab w:val="left" w:pos="709"/>
        </w:tabs>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Ahora bien, tocante a los </w:t>
      </w:r>
      <w:r w:rsidRPr="007C38BF">
        <w:rPr>
          <w:rFonts w:ascii="Palatino Linotype" w:eastAsia="Palatino Linotype" w:hAnsi="Palatino Linotype" w:cs="Palatino Linotype"/>
          <w:i/>
          <w:iCs/>
        </w:rPr>
        <w:t>documentos que integran los expedientes</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solicitados por la parte</w:t>
      </w:r>
      <w:r w:rsidRPr="007C38BF">
        <w:rPr>
          <w:rFonts w:ascii="Palatino Linotype" w:eastAsia="Palatino Linotype" w:hAnsi="Palatino Linotype" w:cs="Palatino Linotype"/>
          <w:b/>
          <w:bCs/>
        </w:rPr>
        <w:t xml:space="preserve"> Recurrente</w:t>
      </w:r>
      <w:r w:rsidRPr="007C38BF">
        <w:rPr>
          <w:rFonts w:ascii="Palatino Linotype" w:eastAsia="Palatino Linotype" w:hAnsi="Palatino Linotype" w:cs="Palatino Linotype"/>
        </w:rPr>
        <w:t>, se procede a señalar los requisitos generales contenidos en los articulados 47, 48 y 49, de la Ley del Trabajo de los Servidores Públicos del Estado de México y Municipios, así como el documento idóneo con el que se pudiera acreditar, siendo estos los siguientes:</w:t>
      </w:r>
    </w:p>
    <w:p w14:paraId="12D91AAF" w14:textId="77777777" w:rsidR="00E458B2" w:rsidRPr="007C38BF" w:rsidRDefault="00E458B2">
      <w:pPr>
        <w:spacing w:after="0"/>
        <w:rPr>
          <w:rFonts w:ascii="Palatino Linotype" w:eastAsia="Palatino Linotype" w:hAnsi="Palatino Linotype" w:cs="Palatino Linotype"/>
        </w:rPr>
      </w:pPr>
    </w:p>
    <w:tbl>
      <w:tblPr>
        <w:tblStyle w:val="afff5"/>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7"/>
        <w:gridCol w:w="2607"/>
        <w:gridCol w:w="2410"/>
      </w:tblGrid>
      <w:tr w:rsidR="00E604E1" w:rsidRPr="007C38BF" w14:paraId="0CC83B9D" w14:textId="77777777">
        <w:trPr>
          <w:tblHeader/>
        </w:trPr>
        <w:tc>
          <w:tcPr>
            <w:tcW w:w="3767" w:type="dxa"/>
            <w:shd w:val="clear" w:color="auto" w:fill="D9E2F3"/>
            <w:vAlign w:val="center"/>
          </w:tcPr>
          <w:p w14:paraId="2DE15DDA" w14:textId="77777777" w:rsidR="00E458B2" w:rsidRPr="007C38BF" w:rsidRDefault="008A7751">
            <w:pPr>
              <w:tabs>
                <w:tab w:val="left" w:pos="284"/>
                <w:tab w:val="left" w:pos="426"/>
              </w:tabs>
              <w:ind w:right="49"/>
              <w:jc w:val="center"/>
              <w:rPr>
                <w:rFonts w:ascii="Palatino Linotype" w:eastAsia="Palatino Linotype" w:hAnsi="Palatino Linotype" w:cs="Palatino Linotype"/>
                <w:b/>
                <w:bCs/>
                <w:sz w:val="20"/>
                <w:szCs w:val="20"/>
              </w:rPr>
            </w:pPr>
            <w:r w:rsidRPr="007C38BF">
              <w:rPr>
                <w:rFonts w:ascii="Palatino Linotype" w:eastAsia="Palatino Linotype" w:hAnsi="Palatino Linotype" w:cs="Palatino Linotype"/>
                <w:b/>
                <w:bCs/>
                <w:sz w:val="20"/>
                <w:szCs w:val="20"/>
              </w:rPr>
              <w:t>Requisito establecido en la Ley del Trabajo de los Servidores Públicos del Estado y Municipios</w:t>
            </w:r>
          </w:p>
        </w:tc>
        <w:tc>
          <w:tcPr>
            <w:tcW w:w="2607" w:type="dxa"/>
            <w:shd w:val="clear" w:color="auto" w:fill="D9E2F3"/>
            <w:vAlign w:val="center"/>
          </w:tcPr>
          <w:p w14:paraId="39DA4977" w14:textId="77777777" w:rsidR="00E458B2" w:rsidRPr="007C38BF" w:rsidRDefault="008A7751">
            <w:pPr>
              <w:tabs>
                <w:tab w:val="left" w:pos="284"/>
                <w:tab w:val="left" w:pos="426"/>
              </w:tabs>
              <w:ind w:right="49"/>
              <w:jc w:val="center"/>
              <w:rPr>
                <w:rFonts w:ascii="Palatino Linotype" w:eastAsia="Palatino Linotype" w:hAnsi="Palatino Linotype" w:cs="Palatino Linotype"/>
                <w:b/>
                <w:bCs/>
                <w:sz w:val="20"/>
                <w:szCs w:val="20"/>
              </w:rPr>
            </w:pPr>
            <w:r w:rsidRPr="007C38BF">
              <w:rPr>
                <w:rFonts w:ascii="Palatino Linotype" w:eastAsia="Palatino Linotype" w:hAnsi="Palatino Linotype" w:cs="Palatino Linotype"/>
                <w:b/>
                <w:bCs/>
                <w:sz w:val="20"/>
                <w:szCs w:val="20"/>
              </w:rPr>
              <w:t>Documento que lo acredita</w:t>
            </w:r>
          </w:p>
        </w:tc>
        <w:tc>
          <w:tcPr>
            <w:tcW w:w="2410" w:type="dxa"/>
            <w:shd w:val="clear" w:color="auto" w:fill="D9E2F3"/>
            <w:vAlign w:val="center"/>
          </w:tcPr>
          <w:p w14:paraId="064128D6" w14:textId="77777777" w:rsidR="00E458B2" w:rsidRPr="007C38BF" w:rsidRDefault="008A7751">
            <w:pPr>
              <w:tabs>
                <w:tab w:val="left" w:pos="284"/>
                <w:tab w:val="left" w:pos="426"/>
              </w:tabs>
              <w:ind w:right="49"/>
              <w:jc w:val="center"/>
              <w:rPr>
                <w:rFonts w:ascii="Palatino Linotype" w:eastAsia="Palatino Linotype" w:hAnsi="Palatino Linotype" w:cs="Palatino Linotype"/>
                <w:b/>
                <w:bCs/>
                <w:sz w:val="20"/>
                <w:szCs w:val="20"/>
              </w:rPr>
            </w:pPr>
            <w:r w:rsidRPr="007C38BF">
              <w:rPr>
                <w:rFonts w:ascii="Palatino Linotype" w:eastAsia="Palatino Linotype" w:hAnsi="Palatino Linotype" w:cs="Palatino Linotype"/>
                <w:b/>
                <w:bCs/>
                <w:sz w:val="20"/>
                <w:szCs w:val="20"/>
              </w:rPr>
              <w:t>Clasificación de la Información</w:t>
            </w:r>
          </w:p>
        </w:tc>
      </w:tr>
      <w:tr w:rsidR="00E604E1" w:rsidRPr="007C38BF" w14:paraId="144CED72" w14:textId="77777777">
        <w:tc>
          <w:tcPr>
            <w:tcW w:w="3767" w:type="dxa"/>
            <w:vAlign w:val="center"/>
          </w:tcPr>
          <w:p w14:paraId="78A3AD67"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Presentar una solicitud utilizando la forma oficial que se autorice por la institución pública o dependencia correspondiente.</w:t>
            </w:r>
          </w:p>
        </w:tc>
        <w:tc>
          <w:tcPr>
            <w:tcW w:w="2607" w:type="dxa"/>
            <w:vAlign w:val="center"/>
          </w:tcPr>
          <w:p w14:paraId="3A40518A"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Solicitud de empleo, ficha curricular, currículum vitae o documento análogo</w:t>
            </w:r>
          </w:p>
        </w:tc>
        <w:tc>
          <w:tcPr>
            <w:tcW w:w="2410" w:type="dxa"/>
            <w:vAlign w:val="center"/>
          </w:tcPr>
          <w:p w14:paraId="5084DE31"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En versión Pública.</w:t>
            </w:r>
          </w:p>
        </w:tc>
      </w:tr>
      <w:tr w:rsidR="00E604E1" w:rsidRPr="007C38BF" w14:paraId="4D28280A" w14:textId="77777777">
        <w:trPr>
          <w:trHeight w:val="517"/>
        </w:trPr>
        <w:tc>
          <w:tcPr>
            <w:tcW w:w="3767" w:type="dxa"/>
            <w:vAlign w:val="center"/>
          </w:tcPr>
          <w:p w14:paraId="663DFA9D"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Ser de nacionalidad mexicana.</w:t>
            </w:r>
          </w:p>
        </w:tc>
        <w:tc>
          <w:tcPr>
            <w:tcW w:w="2607" w:type="dxa"/>
            <w:vAlign w:val="center"/>
          </w:tcPr>
          <w:p w14:paraId="72C44ED2"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Acta de nacimiento</w:t>
            </w:r>
          </w:p>
        </w:tc>
        <w:tc>
          <w:tcPr>
            <w:tcW w:w="2410" w:type="dxa"/>
            <w:vAlign w:val="center"/>
          </w:tcPr>
          <w:p w14:paraId="7010BCCE"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Confidencial</w:t>
            </w:r>
          </w:p>
        </w:tc>
      </w:tr>
      <w:tr w:rsidR="00E604E1" w:rsidRPr="007C38BF" w14:paraId="17DB214F" w14:textId="77777777">
        <w:tc>
          <w:tcPr>
            <w:tcW w:w="3767" w:type="dxa"/>
            <w:vAlign w:val="center"/>
          </w:tcPr>
          <w:p w14:paraId="1894F58E"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Estar en pleno ejercicio de sus derechos civiles y políticos.</w:t>
            </w:r>
          </w:p>
        </w:tc>
        <w:tc>
          <w:tcPr>
            <w:tcW w:w="2607" w:type="dxa"/>
            <w:vAlign w:val="center"/>
          </w:tcPr>
          <w:p w14:paraId="259D0DF9"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Derogado</w:t>
            </w:r>
          </w:p>
        </w:tc>
        <w:tc>
          <w:tcPr>
            <w:tcW w:w="2410" w:type="dxa"/>
            <w:vAlign w:val="center"/>
          </w:tcPr>
          <w:p w14:paraId="152DC494"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N/A</w:t>
            </w:r>
          </w:p>
        </w:tc>
      </w:tr>
      <w:tr w:rsidR="00E604E1" w:rsidRPr="007C38BF" w14:paraId="01A40ABA" w14:textId="77777777">
        <w:tc>
          <w:tcPr>
            <w:tcW w:w="3767" w:type="dxa"/>
            <w:vAlign w:val="center"/>
          </w:tcPr>
          <w:p w14:paraId="4C998860"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Acreditar, cuando proceda, el cumplimiento de la Ley del Servicio Militar Nacional.</w:t>
            </w:r>
          </w:p>
        </w:tc>
        <w:tc>
          <w:tcPr>
            <w:tcW w:w="2607" w:type="dxa"/>
            <w:vAlign w:val="center"/>
          </w:tcPr>
          <w:p w14:paraId="391198F3"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Cartilla de Servicio Militar</w:t>
            </w:r>
          </w:p>
        </w:tc>
        <w:tc>
          <w:tcPr>
            <w:tcW w:w="2410" w:type="dxa"/>
            <w:vAlign w:val="center"/>
          </w:tcPr>
          <w:p w14:paraId="73258674"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Confidencial</w:t>
            </w:r>
          </w:p>
        </w:tc>
      </w:tr>
      <w:tr w:rsidR="00E604E1" w:rsidRPr="007C38BF" w14:paraId="0173320F" w14:textId="77777777">
        <w:tc>
          <w:tcPr>
            <w:tcW w:w="3767" w:type="dxa"/>
            <w:vAlign w:val="center"/>
          </w:tcPr>
          <w:p w14:paraId="0D3C3B58"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No haber sido separado anteriormente del servicio por las causas previstas en el artículo 93 de la presente ley.</w:t>
            </w:r>
          </w:p>
        </w:tc>
        <w:tc>
          <w:tcPr>
            <w:tcW w:w="2607" w:type="dxa"/>
            <w:vAlign w:val="center"/>
          </w:tcPr>
          <w:p w14:paraId="5ABD542B"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Manifestación bajo protesta de decir verdad.</w:t>
            </w:r>
          </w:p>
        </w:tc>
        <w:tc>
          <w:tcPr>
            <w:tcW w:w="2410" w:type="dxa"/>
            <w:vAlign w:val="center"/>
          </w:tcPr>
          <w:p w14:paraId="2C52D99D"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Documento íntegro</w:t>
            </w:r>
          </w:p>
        </w:tc>
      </w:tr>
      <w:tr w:rsidR="00E604E1" w:rsidRPr="007C38BF" w14:paraId="05BD4EF9" w14:textId="77777777">
        <w:tc>
          <w:tcPr>
            <w:tcW w:w="3767" w:type="dxa"/>
            <w:vAlign w:val="center"/>
          </w:tcPr>
          <w:p w14:paraId="3B540AA5"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Tener buena salud, lo que se comprobará con los certificados médicos.</w:t>
            </w:r>
          </w:p>
        </w:tc>
        <w:tc>
          <w:tcPr>
            <w:tcW w:w="2607" w:type="dxa"/>
            <w:vAlign w:val="center"/>
          </w:tcPr>
          <w:p w14:paraId="22292154"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Certificado Médico</w:t>
            </w:r>
          </w:p>
        </w:tc>
        <w:tc>
          <w:tcPr>
            <w:tcW w:w="2410" w:type="dxa"/>
            <w:vAlign w:val="center"/>
          </w:tcPr>
          <w:p w14:paraId="1EF05A1A"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Confidencial</w:t>
            </w:r>
          </w:p>
        </w:tc>
      </w:tr>
      <w:tr w:rsidR="00E604E1" w:rsidRPr="007C38BF" w14:paraId="5270DB4B" w14:textId="77777777">
        <w:tc>
          <w:tcPr>
            <w:tcW w:w="3767" w:type="dxa"/>
            <w:vAlign w:val="center"/>
          </w:tcPr>
          <w:p w14:paraId="4A8B4A6C"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Cumplir con los requisitos que se establezcan para los diferentes puestos.</w:t>
            </w:r>
          </w:p>
        </w:tc>
        <w:tc>
          <w:tcPr>
            <w:tcW w:w="2607" w:type="dxa"/>
            <w:vAlign w:val="center"/>
          </w:tcPr>
          <w:p w14:paraId="5CB2F244"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En este caso, son aplicables los documentos previstos por la Ley Orgánica Municipal del Estado de México y Municipios, en virtud de que se trata de ayuntamientos.</w:t>
            </w:r>
          </w:p>
        </w:tc>
        <w:tc>
          <w:tcPr>
            <w:tcW w:w="2410" w:type="dxa"/>
            <w:vAlign w:val="center"/>
          </w:tcPr>
          <w:p w14:paraId="5804FD28"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Documento íntegro</w:t>
            </w:r>
          </w:p>
        </w:tc>
      </w:tr>
      <w:tr w:rsidR="00E604E1" w:rsidRPr="007C38BF" w14:paraId="04F27C15" w14:textId="77777777">
        <w:tc>
          <w:tcPr>
            <w:tcW w:w="3767" w:type="dxa"/>
            <w:vAlign w:val="center"/>
          </w:tcPr>
          <w:p w14:paraId="4E99BE70"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Acreditar por medio de los exámenes correspondientes los conocimientos y aptitudes necesarios para el desempeño del puesto.</w:t>
            </w:r>
          </w:p>
        </w:tc>
        <w:tc>
          <w:tcPr>
            <w:tcW w:w="2607" w:type="dxa"/>
            <w:vAlign w:val="center"/>
          </w:tcPr>
          <w:p w14:paraId="7B2BA1A1"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El documento obtenido por haber acreditado los exámenes de oposición o de conocimientos o aptitudes necesarios para ejercer el cargo.</w:t>
            </w:r>
          </w:p>
        </w:tc>
        <w:tc>
          <w:tcPr>
            <w:tcW w:w="2410" w:type="dxa"/>
            <w:vAlign w:val="center"/>
          </w:tcPr>
          <w:p w14:paraId="53E4A09D"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En versión Pública.</w:t>
            </w:r>
          </w:p>
        </w:tc>
      </w:tr>
      <w:tr w:rsidR="00E604E1" w:rsidRPr="007C38BF" w14:paraId="1FF3CDF6" w14:textId="77777777">
        <w:tc>
          <w:tcPr>
            <w:tcW w:w="3767" w:type="dxa"/>
            <w:vAlign w:val="center"/>
          </w:tcPr>
          <w:p w14:paraId="658EEB52"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No estar inhabilitado para el ejercicio del servicio público.</w:t>
            </w:r>
          </w:p>
        </w:tc>
        <w:tc>
          <w:tcPr>
            <w:tcW w:w="2607" w:type="dxa"/>
            <w:vAlign w:val="center"/>
          </w:tcPr>
          <w:p w14:paraId="36E6A3BF"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Constancia de no inhabilitación.</w:t>
            </w:r>
          </w:p>
        </w:tc>
        <w:tc>
          <w:tcPr>
            <w:tcW w:w="2410" w:type="dxa"/>
            <w:vAlign w:val="center"/>
          </w:tcPr>
          <w:p w14:paraId="4924B2FF"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Documento íntegro</w:t>
            </w:r>
          </w:p>
        </w:tc>
      </w:tr>
      <w:tr w:rsidR="00E604E1" w:rsidRPr="007C38BF" w14:paraId="7DF15E3C" w14:textId="77777777">
        <w:tc>
          <w:tcPr>
            <w:tcW w:w="3767" w:type="dxa"/>
            <w:vAlign w:val="center"/>
          </w:tcPr>
          <w:p w14:paraId="67310A5E"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Presentar certificado expedido por la Unidad del Registro de Deudores Alimentarios Morosos en el que conste, si se encuentra inscrito o no en el mismo.</w:t>
            </w:r>
          </w:p>
        </w:tc>
        <w:tc>
          <w:tcPr>
            <w:tcW w:w="2607" w:type="dxa"/>
            <w:vAlign w:val="center"/>
          </w:tcPr>
          <w:p w14:paraId="5F67943C"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Certificado de No Deudor Alimentario Moroso.</w:t>
            </w:r>
          </w:p>
        </w:tc>
        <w:tc>
          <w:tcPr>
            <w:tcW w:w="2410" w:type="dxa"/>
            <w:vAlign w:val="center"/>
          </w:tcPr>
          <w:p w14:paraId="23AEA4B4"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En versión Pública.</w:t>
            </w:r>
          </w:p>
        </w:tc>
      </w:tr>
      <w:tr w:rsidR="00E604E1" w:rsidRPr="007C38BF" w14:paraId="60FA3284" w14:textId="77777777">
        <w:tc>
          <w:tcPr>
            <w:tcW w:w="3767" w:type="dxa"/>
            <w:vAlign w:val="center"/>
          </w:tcPr>
          <w:p w14:paraId="2FB923A0"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Para iniciar la prestación de los servicios</w:t>
            </w:r>
          </w:p>
        </w:tc>
        <w:tc>
          <w:tcPr>
            <w:tcW w:w="2607" w:type="dxa"/>
            <w:vAlign w:val="center"/>
          </w:tcPr>
          <w:p w14:paraId="6C988677" w14:textId="77777777" w:rsidR="00E458B2" w:rsidRPr="007C38BF" w:rsidRDefault="008A7751">
            <w:pPr>
              <w:tabs>
                <w:tab w:val="left" w:pos="284"/>
                <w:tab w:val="left" w:pos="426"/>
              </w:tabs>
              <w:ind w:right="49"/>
              <w:jc w:val="both"/>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Nombramiento, contrato o formato único de Movimientos de Personal.</w:t>
            </w:r>
          </w:p>
        </w:tc>
        <w:tc>
          <w:tcPr>
            <w:tcW w:w="2410" w:type="dxa"/>
            <w:vAlign w:val="center"/>
          </w:tcPr>
          <w:p w14:paraId="326B7F2A" w14:textId="77777777" w:rsidR="00E458B2" w:rsidRPr="007C38BF" w:rsidRDefault="008A7751">
            <w:pPr>
              <w:tabs>
                <w:tab w:val="left" w:pos="284"/>
                <w:tab w:val="left" w:pos="426"/>
              </w:tabs>
              <w:ind w:right="49"/>
              <w:jc w:val="center"/>
              <w:rPr>
                <w:rFonts w:ascii="Palatino Linotype" w:eastAsia="Palatino Linotype" w:hAnsi="Palatino Linotype" w:cs="Palatino Linotype"/>
                <w:sz w:val="20"/>
                <w:szCs w:val="20"/>
              </w:rPr>
            </w:pPr>
            <w:r w:rsidRPr="007C38BF">
              <w:rPr>
                <w:rFonts w:ascii="Palatino Linotype" w:eastAsia="Palatino Linotype" w:hAnsi="Palatino Linotype" w:cs="Palatino Linotype"/>
                <w:sz w:val="20"/>
                <w:szCs w:val="20"/>
              </w:rPr>
              <w:t>En versión Pública.</w:t>
            </w:r>
          </w:p>
        </w:tc>
      </w:tr>
    </w:tbl>
    <w:p w14:paraId="7970DDFF" w14:textId="77777777" w:rsidR="00E458B2" w:rsidRPr="007C38BF" w:rsidRDefault="00E458B2">
      <w:pPr>
        <w:tabs>
          <w:tab w:val="left" w:pos="8222"/>
        </w:tabs>
        <w:spacing w:after="0" w:line="360" w:lineRule="auto"/>
        <w:ind w:right="49"/>
        <w:jc w:val="both"/>
        <w:rPr>
          <w:rFonts w:ascii="Palatino Linotype" w:eastAsia="Palatino Linotype" w:hAnsi="Palatino Linotype" w:cs="Palatino Linotype"/>
        </w:rPr>
      </w:pPr>
    </w:p>
    <w:p w14:paraId="7A017CFD" w14:textId="77777777" w:rsidR="00E458B2" w:rsidRPr="007C38BF" w:rsidRDefault="008A7751">
      <w:pPr>
        <w:tabs>
          <w:tab w:val="left" w:pos="8222"/>
        </w:tabs>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De este modo, es de referir que es de interés público de la ciudadanía, conocer que los trabajadores gubernamentales cumplen con todos los requisitos establecidos en la normatividad respectiva, pues solo así, se puede saber, si los empleados, son aptos para ocupar determinados puestos; por otra parte, la publicidad de la información ayuda a rendir cuentas a la población, respecto a que las dependencias gubernamentales cumplen con lo establecido en los ordenamientos jurídicos, ya que permite a las personas verificar que una Dependencia o Ayuntamiento, contrata a servidores públicos capaces e idóneos para cumplir con sus funciones y cumplen con los requisitos respectivos.</w:t>
      </w:r>
    </w:p>
    <w:p w14:paraId="2624F1C5" w14:textId="77777777" w:rsidR="00E458B2" w:rsidRPr="007C38BF" w:rsidRDefault="00E458B2">
      <w:pPr>
        <w:tabs>
          <w:tab w:val="left" w:pos="8222"/>
        </w:tabs>
        <w:spacing w:after="0" w:line="360" w:lineRule="auto"/>
        <w:ind w:right="49"/>
        <w:jc w:val="both"/>
        <w:rPr>
          <w:rFonts w:ascii="Palatino Linotype" w:eastAsia="Palatino Linotype" w:hAnsi="Palatino Linotype" w:cs="Palatino Linotype"/>
        </w:rPr>
      </w:pPr>
    </w:p>
    <w:p w14:paraId="725BCFC8" w14:textId="77777777" w:rsidR="00E458B2" w:rsidRPr="007C38BF" w:rsidRDefault="008A7751">
      <w:pPr>
        <w:tabs>
          <w:tab w:val="left" w:pos="8222"/>
        </w:tabs>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En atención a lo anterior, se procede al análisis pormenorizado de las documentales que conforman los expedientes laborales del personal para efecto de determinar la procedencia de su entrega:</w:t>
      </w:r>
    </w:p>
    <w:p w14:paraId="473F14DB" w14:textId="77777777" w:rsidR="00E458B2" w:rsidRPr="007C38BF" w:rsidRDefault="00E458B2">
      <w:pPr>
        <w:tabs>
          <w:tab w:val="left" w:pos="8222"/>
        </w:tabs>
        <w:spacing w:after="0" w:line="360" w:lineRule="auto"/>
        <w:ind w:right="49"/>
        <w:jc w:val="both"/>
        <w:rPr>
          <w:rFonts w:ascii="Palatino Linotype" w:eastAsia="Palatino Linotype" w:hAnsi="Palatino Linotype" w:cs="Palatino Linotype"/>
        </w:rPr>
      </w:pPr>
    </w:p>
    <w:p w14:paraId="5A0FF04C" w14:textId="77777777" w:rsidR="00E458B2" w:rsidRPr="007C38BF" w:rsidRDefault="008A7751">
      <w:pPr>
        <w:numPr>
          <w:ilvl w:val="0"/>
          <w:numId w:val="4"/>
        </w:numPr>
        <w:pBdr>
          <w:top w:val="nil"/>
          <w:left w:val="nil"/>
          <w:bottom w:val="nil"/>
          <w:right w:val="nil"/>
          <w:between w:val="nil"/>
        </w:pBdr>
        <w:tabs>
          <w:tab w:val="left" w:pos="284"/>
        </w:tabs>
        <w:spacing w:after="0" w:line="360" w:lineRule="auto"/>
        <w:ind w:left="426" w:right="49"/>
        <w:jc w:val="both"/>
        <w:rPr>
          <w:b/>
          <w:bCs/>
        </w:rPr>
      </w:pPr>
      <w:r w:rsidRPr="007C38BF">
        <w:rPr>
          <w:rFonts w:ascii="Palatino Linotype" w:eastAsia="Palatino Linotype" w:hAnsi="Palatino Linotype" w:cs="Palatino Linotype"/>
          <w:b/>
          <w:bCs/>
        </w:rPr>
        <w:t>Solicitud de empleo o documento análogo</w:t>
      </w:r>
    </w:p>
    <w:p w14:paraId="30826C2D" w14:textId="77777777" w:rsidR="00E458B2" w:rsidRPr="007C38BF" w:rsidRDefault="008A7751">
      <w:pPr>
        <w:widowControl w:val="0"/>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La solicitud de empleo es un documento físico o digital, que se estructura a modo de formulario y tiene como finalidad recoger información que el empleador requiere conocer del aspirante. En ese sentido, es importante mencionar que este documento se constituye por diversos datos personales como: nombre, domicilio particular, correo electrónico y número de teléfono particular e incluso, en ciertos formatos, información de estado de salud, hábitos personales o de consanguíneos, sin embargo, también da cuenta de información que en el presente caso resulta ser de interés público, como experiencia laboral y grados de estudio. </w:t>
      </w:r>
    </w:p>
    <w:p w14:paraId="167CC8A7" w14:textId="77777777" w:rsidR="00E458B2" w:rsidRPr="007C38BF" w:rsidRDefault="00E458B2">
      <w:pPr>
        <w:widowControl w:val="0"/>
        <w:spacing w:after="0" w:line="360" w:lineRule="auto"/>
        <w:jc w:val="both"/>
        <w:rPr>
          <w:rFonts w:ascii="Palatino Linotype" w:eastAsia="Palatino Linotype" w:hAnsi="Palatino Linotype" w:cs="Palatino Linotype"/>
        </w:rPr>
      </w:pPr>
    </w:p>
    <w:p w14:paraId="4C2A5B06" w14:textId="77777777" w:rsidR="00E458B2" w:rsidRPr="007C38BF" w:rsidRDefault="008A7751">
      <w:pPr>
        <w:widowControl w:val="0"/>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otro lado, es necesario referir que de acuerdo con el artículo 47 de la Ley de Trabajo de los Servidores Públicos del Estado de México, para ingresar al servicio público se requiere presentar una solicitud por escrito, es decir, la entrega de este documento resulta ser un requisito indispensable para poder prestar servicios dentro de la Administración Pública. </w:t>
      </w:r>
    </w:p>
    <w:p w14:paraId="0FF2E367" w14:textId="77777777" w:rsidR="00E458B2" w:rsidRPr="007C38BF" w:rsidRDefault="00E458B2">
      <w:pPr>
        <w:widowControl w:val="0"/>
        <w:spacing w:after="0" w:line="360" w:lineRule="auto"/>
        <w:jc w:val="both"/>
        <w:rPr>
          <w:rFonts w:ascii="Palatino Linotype" w:eastAsia="Palatino Linotype" w:hAnsi="Palatino Linotype" w:cs="Palatino Linotype"/>
        </w:rPr>
      </w:pPr>
    </w:p>
    <w:p w14:paraId="740AA14F"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Bajo este orden de ideas, este documento si bien, cuenta con datos personales que en nada abonan a la transparencia y rendición de cuentas, ya que atañen únicamente a la esfera privada del servidor público, también lo es que además de contener información que acredita el nivel académico o preparación de los servidores públicos, es un requisito indispensable de ingreso al servicio público, por lo que, su acceso toma relevancia al guardar relación directa con la contratación del servidor público y con el ejercicio de sus atribuciones. </w:t>
      </w:r>
    </w:p>
    <w:p w14:paraId="56DB4B0F"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5DB65ED"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 esta manera, al tratarse de un documento de interés público, que contiene datos que actualizan la causal de clasificación establecida en el artículo 143, fracción I, de la Ley de Transparencia y Acceso a la Información Pública del Estado de México y Municipios, se debe proporcionar en versión pública; sin embargo,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fue omiso en pronunciarse sobre las solicitudes de empleo de todos los servidores públicos que integran las áreas solicitadas, por lo que al ser un documento obligatorio para ingresar al servicio público se presume que debe obrar en los archivos de dicho ente público; por lo tanto procede ordenar su entrega en versión pública.</w:t>
      </w:r>
    </w:p>
    <w:p w14:paraId="3CE20905" w14:textId="77777777" w:rsidR="00E458B2" w:rsidRPr="007C38BF" w:rsidRDefault="00E458B2">
      <w:pPr>
        <w:pBdr>
          <w:top w:val="nil"/>
          <w:left w:val="nil"/>
          <w:bottom w:val="nil"/>
          <w:right w:val="nil"/>
          <w:between w:val="nil"/>
        </w:pBdr>
        <w:spacing w:after="0"/>
        <w:ind w:left="720" w:hanging="360"/>
        <w:rPr>
          <w:rFonts w:ascii="Palatino Linotype" w:eastAsia="Palatino Linotype" w:hAnsi="Palatino Linotype" w:cs="Palatino Linotype"/>
          <w:b/>
          <w:bCs/>
        </w:rPr>
      </w:pPr>
    </w:p>
    <w:p w14:paraId="4680C913" w14:textId="77777777" w:rsidR="00E458B2" w:rsidRPr="007C38BF" w:rsidRDefault="008A7751">
      <w:pPr>
        <w:numPr>
          <w:ilvl w:val="0"/>
          <w:numId w:val="3"/>
        </w:numPr>
        <w:pBdr>
          <w:top w:val="nil"/>
          <w:left w:val="nil"/>
          <w:bottom w:val="nil"/>
          <w:right w:val="nil"/>
          <w:between w:val="nil"/>
        </w:pBdr>
        <w:spacing w:after="0" w:line="360" w:lineRule="auto"/>
        <w:ind w:left="720"/>
        <w:rPr>
          <w:b/>
          <w:bCs/>
        </w:rPr>
      </w:pPr>
      <w:r w:rsidRPr="007C38BF">
        <w:rPr>
          <w:rFonts w:ascii="Palatino Linotype" w:eastAsia="Palatino Linotype" w:hAnsi="Palatino Linotype" w:cs="Palatino Linotype"/>
          <w:b/>
          <w:bCs/>
        </w:rPr>
        <w:t xml:space="preserve">Currículum vitae </w:t>
      </w:r>
    </w:p>
    <w:p w14:paraId="55AEC9F3"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Respecto a este punto de análisis, es el documento que contiene la información relacionada con la trayectoria académica, profesional y laboral de un Servidor Público por medio del cual se acredita la capacidad, habilidades, experiencia o pericia de una persona para ocupar un cargo, puesto o comisión, que permitan realizar una comparación de las actividades que ha realizado con las que habrá de desarrollar, y determinar si cumple con el perfil del cargo a ocupar, del cual se desprende el último cargo que ocupó.</w:t>
      </w:r>
    </w:p>
    <w:p w14:paraId="2D864645"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3429A7D" w14:textId="77777777" w:rsidR="00E458B2" w:rsidRPr="007C38BF" w:rsidRDefault="008A7751">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ese orden de ideas, si bien, el documento referido es elaborado por cada persona sin ninguna validez oficial, el cual tiene como objetivo que las personas conozcan la trayectoria de quien lo presenta, situación que toma mayor relevancia al tratarse de aquel que ostenta un cargo en la administración; por lo que, existe un interés público para dar a conocer su contenido, pues transparenta que el personal que labora para el </w:t>
      </w:r>
      <w:r w:rsidRPr="007C38BF">
        <w:rPr>
          <w:rFonts w:ascii="Palatino Linotype" w:eastAsia="Palatino Linotype" w:hAnsi="Palatino Linotype" w:cs="Palatino Linotype"/>
          <w:b/>
          <w:bCs/>
        </w:rPr>
        <w:t> Sujeto Obligado</w:t>
      </w:r>
      <w:r w:rsidRPr="007C38BF">
        <w:rPr>
          <w:rFonts w:ascii="Palatino Linotype" w:eastAsia="Palatino Linotype" w:hAnsi="Palatino Linotype" w:cs="Palatino Linotype"/>
        </w:rPr>
        <w:t xml:space="preserve"> cuenta con las capacidades, conocimientos y experiencia necesaria para el cabal cumplimiento de sus funciones.</w:t>
      </w:r>
    </w:p>
    <w:p w14:paraId="7D2D6394" w14:textId="77777777" w:rsidR="00E458B2" w:rsidRPr="007C38BF" w:rsidRDefault="00E458B2">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5152317B" w14:textId="77777777" w:rsidR="00E458B2" w:rsidRPr="007C38BF" w:rsidRDefault="008A7751">
      <w:pPr>
        <w:pBdr>
          <w:top w:val="nil"/>
          <w:left w:val="nil"/>
          <w:bottom w:val="nil"/>
          <w:right w:val="nil"/>
          <w:between w:val="nil"/>
        </w:pBd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Lo que se sustenta, con lo señalado por el entonces Instituto Nacional de Transparencia Acceso a la Información y Protección de Datos Personales, en su criterio orientador 03/2009 que indica que una de las formas en la que los ciudadanos puede evaluar las aptitudes de los servidores públicos para desempeñar el cargo público que les ha sido encomendado, es mediante la publicidad de ciertos datos contenidos en los currículums vitae, o bien en las solicitudes de empleo, el cual para mayor ilustración se transcribe a continuación:</w:t>
      </w:r>
    </w:p>
    <w:p w14:paraId="59411A51" w14:textId="77777777" w:rsidR="00E458B2" w:rsidRPr="007C38BF" w:rsidRDefault="00E458B2">
      <w:pPr>
        <w:pBdr>
          <w:top w:val="nil"/>
          <w:left w:val="nil"/>
          <w:bottom w:val="nil"/>
          <w:right w:val="nil"/>
          <w:between w:val="nil"/>
        </w:pBdr>
        <w:spacing w:after="0" w:line="276" w:lineRule="auto"/>
        <w:ind w:left="851" w:right="618"/>
        <w:jc w:val="both"/>
        <w:rPr>
          <w:rFonts w:ascii="Palatino Linotype" w:eastAsia="Palatino Linotype" w:hAnsi="Palatino Linotype" w:cs="Palatino Linotype"/>
          <w:i/>
          <w:iCs/>
        </w:rPr>
      </w:pPr>
    </w:p>
    <w:p w14:paraId="319B7F13" w14:textId="77777777" w:rsidR="00E458B2" w:rsidRPr="007C38BF" w:rsidRDefault="008A7751">
      <w:pPr>
        <w:pBdr>
          <w:top w:val="nil"/>
          <w:left w:val="nil"/>
          <w:bottom w:val="nil"/>
          <w:right w:val="nil"/>
          <w:between w:val="nil"/>
        </w:pBdr>
        <w:spacing w:after="0" w:line="276" w:lineRule="auto"/>
        <w:ind w:left="851" w:right="618"/>
        <w:jc w:val="both"/>
        <w:rPr>
          <w:rFonts w:ascii="Palatino Linotype" w:eastAsia="Palatino Linotype" w:hAnsi="Palatino Linotype" w:cs="Palatino Linotype"/>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 xml:space="preserve">Curriculum Vitae de servidores públicos. Es obligación de los sujetos obligados otorgar acceso a versiones públicas de los mismos ante una solicitud de acceso. </w:t>
      </w:r>
      <w:r w:rsidRPr="007C38BF">
        <w:rPr>
          <w:rFonts w:ascii="Palatino Linotype" w:eastAsia="Palatino Linotype" w:hAnsi="Palatino Linotype" w:cs="Palatino Linotype"/>
          <w:i/>
          <w:iCs/>
        </w:rPr>
        <w:t>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currículo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w:t>
      </w:r>
    </w:p>
    <w:p w14:paraId="3566DA17"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5C96432"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esa tesitura, debe apuntarse que esta constituye una obligación de transparencia, pues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se encuentra constreñido a poner a disposición del público en su portal de Información Pública de Oficio Mexiquense (IPOMEX), la información curricular de sus servidores públicos, ello con la finalidad de enaltecer los principios de máxima publicidad, transparencia y certeza, como lo estipula el artículo 92, fracción XXI de la ley aplicable a la materia, que es del tenor literal siguiente:</w:t>
      </w:r>
    </w:p>
    <w:p w14:paraId="5A15A2B6"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B100413"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92</w:t>
      </w:r>
      <w:r w:rsidRPr="007C38BF">
        <w:rPr>
          <w:rFonts w:ascii="Palatino Linotype" w:eastAsia="Palatino Linotype" w:hAnsi="Palatino Linotype" w:cs="Palatino Linotype"/>
          <w:i/>
          <w:iCs/>
        </w:rPr>
        <w:t>.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00790C39"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rPr>
      </w:pPr>
      <w:r w:rsidRPr="007C38BF">
        <w:rPr>
          <w:rFonts w:ascii="Palatino Linotype" w:eastAsia="Palatino Linotype" w:hAnsi="Palatino Linotype" w:cs="Palatino Linotype"/>
          <w:i/>
          <w:iCs/>
        </w:rPr>
        <w:t>...</w:t>
      </w:r>
    </w:p>
    <w:p w14:paraId="3ED6867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XXI. La información curricular, desde el nivel de jefe de departamento o equivalente, hasta el titular del sujeto obligado</w:t>
      </w:r>
      <w:r w:rsidRPr="007C38BF">
        <w:rPr>
          <w:rFonts w:ascii="Palatino Linotype" w:eastAsia="Palatino Linotype" w:hAnsi="Palatino Linotype" w:cs="Palatino Linotype"/>
          <w:i/>
          <w:iCs/>
        </w:rPr>
        <w:t xml:space="preserve">, así como, en su caso, las sanciones administrativas de que haya sido objeto” </w:t>
      </w:r>
    </w:p>
    <w:p w14:paraId="46F1D0C3"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rPr>
      </w:pPr>
      <w:r w:rsidRPr="007C38BF">
        <w:rPr>
          <w:rFonts w:ascii="Palatino Linotype" w:eastAsia="Palatino Linotype" w:hAnsi="Palatino Linotype" w:cs="Palatino Linotype"/>
          <w:i/>
          <w:iCs/>
        </w:rPr>
        <w:t>(Énfasis añadido)</w:t>
      </w:r>
    </w:p>
    <w:p w14:paraId="45E290FF" w14:textId="77777777" w:rsidR="00E458B2" w:rsidRPr="007C38BF" w:rsidRDefault="00E458B2">
      <w:pPr>
        <w:pBdr>
          <w:top w:val="nil"/>
          <w:left w:val="nil"/>
          <w:bottom w:val="nil"/>
          <w:right w:val="nil"/>
          <w:between w:val="nil"/>
        </w:pBdr>
        <w:spacing w:after="0" w:line="360" w:lineRule="auto"/>
        <w:ind w:right="51"/>
        <w:jc w:val="both"/>
        <w:rPr>
          <w:rFonts w:ascii="Palatino Linotype" w:eastAsia="Palatino Linotype" w:hAnsi="Palatino Linotype" w:cs="Palatino Linotype"/>
        </w:rPr>
      </w:pPr>
    </w:p>
    <w:p w14:paraId="1FE15D68" w14:textId="77777777" w:rsidR="00E458B2" w:rsidRPr="007C38BF" w:rsidRDefault="008A7751">
      <w:pPr>
        <w:pBdr>
          <w:top w:val="nil"/>
          <w:left w:val="nil"/>
          <w:bottom w:val="nil"/>
          <w:right w:val="nil"/>
          <w:between w:val="nil"/>
        </w:pBd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Como se aprecia en el dispositivo legal citado, lo sujetos obligados deben publicar la información curricular de los(as) servidores(as) públicos(as) y/o personas que desempeñen actualmente un empleo, cargo o comisión y/o ejerzan actos de autoridad en el </w:t>
      </w:r>
      <w:r w:rsidRPr="007C38BF">
        <w:rPr>
          <w:rFonts w:ascii="Palatino Linotype" w:eastAsia="Palatino Linotype" w:hAnsi="Palatino Linotype" w:cs="Palatino Linotype"/>
          <w:b/>
          <w:bCs/>
        </w:rPr>
        <w:t xml:space="preserve">Sujeto Obligado, </w:t>
      </w:r>
      <w:r w:rsidRPr="007C38BF">
        <w:rPr>
          <w:rFonts w:ascii="Palatino Linotype" w:eastAsia="Palatino Linotype" w:hAnsi="Palatino Linotype" w:cs="Palatino Linotype"/>
        </w:rPr>
        <w:t>como se apreció en la cita, debe precisarse que dicha circunstancia no es</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óbice para que se encuentre impedido a contar con dicha información respecto de todos los servidores públicos con los que tenga una relación laboral.</w:t>
      </w:r>
    </w:p>
    <w:p w14:paraId="23C91F4C" w14:textId="77777777" w:rsidR="00E458B2" w:rsidRPr="007C38BF" w:rsidRDefault="00E458B2">
      <w:pPr>
        <w:pBdr>
          <w:top w:val="nil"/>
          <w:left w:val="nil"/>
          <w:bottom w:val="nil"/>
          <w:right w:val="nil"/>
          <w:between w:val="nil"/>
        </w:pBdr>
        <w:spacing w:after="0" w:line="360" w:lineRule="auto"/>
        <w:ind w:right="51"/>
        <w:jc w:val="both"/>
        <w:rPr>
          <w:rFonts w:ascii="Palatino Linotype" w:eastAsia="Palatino Linotype" w:hAnsi="Palatino Linotype" w:cs="Palatino Linotype"/>
        </w:rPr>
      </w:pPr>
    </w:p>
    <w:p w14:paraId="75C26925" w14:textId="77777777" w:rsidR="00E458B2" w:rsidRPr="007C38BF" w:rsidRDefault="008A7751">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De lo anterior, se desprende que una de las formas en que los ciudadanos pueden evaluar las aptitudes para desempeñar un cargo público determinado, es mediante la publicidad de ciertos datos contenidos en la ficha curricular, tales como: la trayectoria académica, profesional, laboral, así como todos aquellos que acrediten su capacidad, habilidades y pericia para ocupar el puesto público. Lo anterior, para favorecer la rendición de cuentas, pues la publicidad de lo anterior tiene como fin verificar el correcto desempeño de los sujetos obligados, no obstante, al no hacer entrega de este, resulta procedente ordenar previa búsqueda exhaustiva y razonable el Currículum Vitae, Ficha Curricular, Solicitud de empleo o documento análogo de los servidores públicos adscritos a alas unidades administrativas solicitadas.</w:t>
      </w:r>
    </w:p>
    <w:p w14:paraId="3E4895AC" w14:textId="77777777" w:rsidR="00E458B2" w:rsidRPr="007C38BF" w:rsidRDefault="00E458B2">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01A2AA40"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rPr>
        <w:t>●</w:t>
      </w:r>
      <w:r w:rsidRPr="007C38BF">
        <w:rPr>
          <w:rFonts w:ascii="Palatino Linotype" w:eastAsia="Palatino Linotype" w:hAnsi="Palatino Linotype" w:cs="Palatino Linotype"/>
        </w:rPr>
        <w:tab/>
      </w:r>
      <w:r w:rsidRPr="007C38BF">
        <w:rPr>
          <w:rFonts w:ascii="Palatino Linotype" w:eastAsia="Palatino Linotype" w:hAnsi="Palatino Linotype" w:cs="Palatino Linotype"/>
          <w:b/>
          <w:bCs/>
        </w:rPr>
        <w:t>Documento que acredite la nacionalidad (acta de nacimiento)</w:t>
      </w:r>
    </w:p>
    <w:p w14:paraId="586A06A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Dentro de la fracción II del artículo 47 de la Ley del Trabajo de los Servidores Públicos del Estado de México, el requisito consiste en ser de nacionalidad mexicana, por lo que el documento que colmaría este punto de la solicitud de manera enunciativa más no limitativa sería el acta de nacimiento, es por ello que conviene precisar que las actas emitidas por el Registro Civil dan cuenta de un atributo de la personalidad, tal como lo establece el artículo 2.3 del Código Civil del Estado México. En ese orden de ideas, el artículo 3.5 del citado Código Civil establece que el estado civil de las personas sólo se comprueba con las constancias relativas del Registro Civil, tal como lo es el Acta de Nacimiento. </w:t>
      </w:r>
    </w:p>
    <w:p w14:paraId="768E37B7" w14:textId="77777777" w:rsidR="00E458B2" w:rsidRPr="007C38BF" w:rsidRDefault="00E458B2">
      <w:pPr>
        <w:spacing w:after="0" w:line="360" w:lineRule="auto"/>
        <w:jc w:val="both"/>
        <w:rPr>
          <w:rFonts w:ascii="Palatino Linotype" w:eastAsia="Palatino Linotype" w:hAnsi="Palatino Linotype" w:cs="Palatino Linotype"/>
        </w:rPr>
      </w:pPr>
    </w:p>
    <w:p w14:paraId="48FC673C"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Ahora bien, de acuerdo con el Formato Único del Acta de Nacimiento publicado por la Secretaría de Gobernación en el enlace </w:t>
      </w:r>
      <w:hyperlink r:id="rId9">
        <w:r w:rsidRPr="007C38BF">
          <w:rPr>
            <w:rFonts w:ascii="Palatino Linotype" w:eastAsia="Palatino Linotype" w:hAnsi="Palatino Linotype" w:cs="Palatino Linotype"/>
            <w:u w:val="single"/>
          </w:rPr>
          <w:t>http://www.diputados.gob.mx/documentos/N_Acta_Nacimiento.pdf</w:t>
        </w:r>
      </w:hyperlink>
      <w:r w:rsidRPr="007C38BF">
        <w:rPr>
          <w:rFonts w:ascii="Palatino Linotype" w:eastAsia="Palatino Linotype" w:hAnsi="Palatino Linotype" w:cs="Palatino Linotype"/>
        </w:rPr>
        <w:t xml:space="preserve"> , se advierte que el Acta de Nacimiento se componte de quince elementos siendo los siguientes: </w:t>
      </w:r>
    </w:p>
    <w:p w14:paraId="1611371A" w14:textId="77777777" w:rsidR="00E458B2" w:rsidRPr="007C38BF" w:rsidRDefault="00E458B2">
      <w:pPr>
        <w:spacing w:after="0" w:line="360" w:lineRule="auto"/>
        <w:jc w:val="both"/>
        <w:rPr>
          <w:rFonts w:ascii="Palatino Linotype" w:eastAsia="Palatino Linotype" w:hAnsi="Palatino Linotype" w:cs="Palatino Linotype"/>
        </w:rPr>
      </w:pPr>
    </w:p>
    <w:p w14:paraId="2D7B8CC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 Folio de Impresión.</w:t>
      </w:r>
    </w:p>
    <w:p w14:paraId="77D582B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b) Denominación del Documento.</w:t>
      </w:r>
    </w:p>
    <w:p w14:paraId="5503A18F"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c) Identificador Electrónico. </w:t>
      </w:r>
    </w:p>
    <w:p w14:paraId="0759BC1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 Elementos del Registro. </w:t>
      </w:r>
    </w:p>
    <w:p w14:paraId="1891DA0F"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 Datos de la Persona Registrada. </w:t>
      </w:r>
    </w:p>
    <w:p w14:paraId="2E67362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f) Datos de Filiación de la Persona Registrada. </w:t>
      </w:r>
    </w:p>
    <w:p w14:paraId="48958C06"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g) Anotaciones Marginales. </w:t>
      </w:r>
    </w:p>
    <w:p w14:paraId="2C29A6CF"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h) Certificación. </w:t>
      </w:r>
    </w:p>
    <w:p w14:paraId="54F12ADD"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i) Código Bidimensional QR que contiene información encriptada del acta. </w:t>
      </w:r>
    </w:p>
    <w:p w14:paraId="43064E0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j) Leyenda “Soy México” </w:t>
      </w:r>
    </w:p>
    <w:p w14:paraId="63ED4CE5"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k) Firma Electrónica Avanzada. </w:t>
      </w:r>
    </w:p>
    <w:p w14:paraId="21ABD6EB"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l) Firma y datos de la autoridad emisora. </w:t>
      </w:r>
    </w:p>
    <w:p w14:paraId="5860B42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m) Código QR. </w:t>
      </w:r>
    </w:p>
    <w:p w14:paraId="10EC6AFB"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n) Código de Verificación.</w:t>
      </w:r>
    </w:p>
    <w:p w14:paraId="58D0C9B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o) Leyenda de instrucciones para la verificación del documento. </w:t>
      </w:r>
    </w:p>
    <w:p w14:paraId="5CD85E74"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3AC7F93"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Como se advierte del análisis de los apartados d) elementos de registro, e) datos de la persona registrada y f) datos de filiación de la persona registrada, el Acta de Nacimiento, contiene la Clave Única de Registro de Población (CURP) de la persona registrada y de las personas que detenten la filiación, número de certificado que expide la Secretaría de Salud para acreditar el nacimiento de una persona, sexo, fecha de nacimiento, lugar de nacimiento, entre otros. </w:t>
      </w:r>
    </w:p>
    <w:p w14:paraId="3BA718C6"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46E2CD7"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Dada esta relevancia, al ser el acta de nacimiento un documento mediante el cual se le otorga identidad a una persona, además de tratarse de información que no se encuentra relacionada con el ejercicio de un cargo público, sino con el ejercicio de los derechos personales de su titular, se estima que dicho documento debe ser clasificado como información confidencial en su totalidad, al considerar que actualiza la causal de clasificación establecida en el artículo 143, fracción I, de la Ley de Transparencia y Acceso a la Información Pública del Estado de México y Municipios.</w:t>
      </w:r>
    </w:p>
    <w:p w14:paraId="61BADD77" w14:textId="77777777" w:rsidR="00E458B2" w:rsidRPr="007C38BF" w:rsidRDefault="00E458B2">
      <w:pPr>
        <w:spacing w:after="0" w:line="360" w:lineRule="auto"/>
        <w:jc w:val="both"/>
        <w:rPr>
          <w:rFonts w:ascii="Palatino Linotype" w:eastAsia="Palatino Linotype" w:hAnsi="Palatino Linotype" w:cs="Palatino Linotype"/>
        </w:rPr>
      </w:pPr>
    </w:p>
    <w:p w14:paraId="58CF0242" w14:textId="77777777" w:rsidR="00E458B2" w:rsidRPr="007C38BF" w:rsidRDefault="008A7751">
      <w:pPr>
        <w:numPr>
          <w:ilvl w:val="0"/>
          <w:numId w:val="4"/>
        </w:numPr>
        <w:pBdr>
          <w:top w:val="nil"/>
          <w:left w:val="nil"/>
          <w:bottom w:val="nil"/>
          <w:right w:val="nil"/>
          <w:between w:val="nil"/>
        </w:pBdr>
        <w:spacing w:after="0" w:line="360" w:lineRule="auto"/>
        <w:ind w:right="51"/>
        <w:jc w:val="both"/>
        <w:rPr>
          <w:b/>
          <w:bCs/>
        </w:rPr>
      </w:pPr>
      <w:r w:rsidRPr="007C38BF">
        <w:rPr>
          <w:rFonts w:ascii="Palatino Linotype" w:eastAsia="Palatino Linotype" w:hAnsi="Palatino Linotype" w:cs="Palatino Linotype"/>
          <w:b/>
          <w:bCs/>
        </w:rPr>
        <w:t xml:space="preserve">Constancia o certificado médico </w:t>
      </w:r>
    </w:p>
    <w:p w14:paraId="18968AA0"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En principio, es de señalar que cualquier información que dé cuenta del estado de salud de una persona, concierne a su vida íntima y privada; lo anterior, pues el artículo 4°, fracción XII, de la Ley de Protección de Datos Personales en Posesión de Sujetos Obligados del Estado de México y Municipios, establece que los datos personales sensibles, son aquellos cuya utilización indebida, puedan dar origen a discriminación o conlleven a un riesgo grave para éste, entre los cuales se encuentran los que den cuenta del estado de salud, ya sea físico o mental.</w:t>
      </w:r>
    </w:p>
    <w:p w14:paraId="6250DE23" w14:textId="77777777" w:rsidR="00E458B2" w:rsidRPr="007C38BF" w:rsidRDefault="00E458B2">
      <w:pPr>
        <w:spacing w:after="0" w:line="360" w:lineRule="auto"/>
        <w:ind w:right="51"/>
        <w:jc w:val="both"/>
        <w:rPr>
          <w:rFonts w:ascii="Palatino Linotype" w:eastAsia="Palatino Linotype" w:hAnsi="Palatino Linotype" w:cs="Palatino Linotype"/>
        </w:rPr>
      </w:pPr>
    </w:p>
    <w:p w14:paraId="5366BF87"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De tales circunstancias, se considera que la información contenida en el certificado médico únicamente identifica el estado de salud físico y mental de los servidores públicos, lo cual guarda el carácter confidencial, en términos del artículo 143, fracción I, de la Ley de Transparencia y Acceso a la Información Pública del Estado de México y Municipios.</w:t>
      </w:r>
    </w:p>
    <w:p w14:paraId="27CE7D94" w14:textId="77777777" w:rsidR="00E458B2" w:rsidRPr="007C38BF" w:rsidRDefault="00E458B2">
      <w:pPr>
        <w:spacing w:after="0" w:line="360" w:lineRule="auto"/>
        <w:ind w:right="51"/>
        <w:jc w:val="both"/>
        <w:rPr>
          <w:rFonts w:ascii="Palatino Linotype" w:eastAsia="Palatino Linotype" w:hAnsi="Palatino Linotype" w:cs="Palatino Linotype"/>
        </w:rPr>
      </w:pPr>
    </w:p>
    <w:p w14:paraId="37B460F2" w14:textId="77777777" w:rsidR="00E458B2" w:rsidRPr="007C38BF" w:rsidRDefault="008A7751">
      <w:pPr>
        <w:numPr>
          <w:ilvl w:val="0"/>
          <w:numId w:val="4"/>
        </w:numPr>
        <w:pBdr>
          <w:top w:val="nil"/>
          <w:left w:val="nil"/>
          <w:bottom w:val="nil"/>
          <w:right w:val="nil"/>
          <w:between w:val="nil"/>
        </w:pBdr>
        <w:spacing w:after="0" w:line="360" w:lineRule="auto"/>
        <w:jc w:val="both"/>
        <w:rPr>
          <w:b/>
          <w:bCs/>
        </w:rPr>
      </w:pPr>
      <w:r w:rsidRPr="007C38BF">
        <w:rPr>
          <w:rFonts w:ascii="Palatino Linotype" w:eastAsia="Palatino Linotype" w:hAnsi="Palatino Linotype" w:cs="Palatino Linotype"/>
          <w:b/>
          <w:bCs/>
        </w:rPr>
        <w:t>Cartilla militar.</w:t>
      </w:r>
    </w:p>
    <w:p w14:paraId="1DF7F703"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Respecto del cumplimiento a la Ley del Servicios Militar Nacional se tiene que el artículo 1º de esta Ley establece que el servicio de las armas para todos los mexicanos por nacimiento o naturalización es obligatorio y de orden público. Asimismo, el artículo 151 del Reglamento de la Ley establece que la cartilla de identificación que acredita la identidad y el cumplimiento de los deberes militares contendrán lo siguiente:</w:t>
      </w:r>
    </w:p>
    <w:p w14:paraId="4CCBF26D" w14:textId="77777777" w:rsidR="00E458B2" w:rsidRPr="007C38BF" w:rsidRDefault="00E458B2">
      <w:pPr>
        <w:pBdr>
          <w:top w:val="nil"/>
          <w:left w:val="nil"/>
          <w:bottom w:val="nil"/>
          <w:right w:val="nil"/>
          <w:between w:val="nil"/>
        </w:pBdr>
        <w:spacing w:after="0" w:line="276" w:lineRule="auto"/>
        <w:ind w:left="567" w:right="559"/>
        <w:jc w:val="both"/>
        <w:rPr>
          <w:rFonts w:ascii="Palatino Linotype" w:eastAsia="Palatino Linotype" w:hAnsi="Palatino Linotype" w:cs="Palatino Linotype"/>
          <w:b/>
          <w:bCs/>
          <w:i/>
          <w:iCs/>
        </w:rPr>
      </w:pPr>
    </w:p>
    <w:p w14:paraId="47200C40"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151.-</w:t>
      </w:r>
      <w:r w:rsidRPr="007C38BF">
        <w:rPr>
          <w:rFonts w:ascii="Palatino Linotype" w:eastAsia="Palatino Linotype" w:hAnsi="Palatino Linotype" w:cs="Palatino Linotype"/>
          <w:i/>
          <w:iCs/>
        </w:rPr>
        <w:t xml:space="preserve"> Una vez inscritos los mexicanos, se les expedirá gratuitamente la cartilla de identificación que acreditará su identidad y el cumplimiento de sus deberes militares, y contendrá:</w:t>
      </w:r>
    </w:p>
    <w:p w14:paraId="3382C61F"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 Un retrato de frente;</w:t>
      </w:r>
    </w:p>
    <w:p w14:paraId="3AF7690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II.- Sus generales (nombre y apellidos paterno y materno, edad, ocupación, estado civil y domicilio);</w:t>
      </w:r>
    </w:p>
    <w:p w14:paraId="4086171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III.- Matrícula;</w:t>
      </w:r>
    </w:p>
    <w:p w14:paraId="73311230"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IV.- Clase a que pertenece;</w:t>
      </w:r>
    </w:p>
    <w:p w14:paraId="3C93C229"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V.- Corporación a que se le destine;</w:t>
      </w:r>
    </w:p>
    <w:p w14:paraId="0B8C6927"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VI.- Unidad a la que deba incorporarse en caso de movilización;</w:t>
      </w:r>
    </w:p>
    <w:p w14:paraId="24AAB0DF"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VII.- Firma de la autoridad que la expida;</w:t>
      </w:r>
    </w:p>
    <w:p w14:paraId="43501B3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VIII.- Firma del interesado, si sabe hacerlo;</w:t>
      </w:r>
    </w:p>
    <w:p w14:paraId="73314D1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IX.- Sello de la Junta Municipal de Reclutamiento o Consulado;</w:t>
      </w:r>
    </w:p>
    <w:p w14:paraId="4567876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X.- Huella digital.”</w:t>
      </w:r>
    </w:p>
    <w:p w14:paraId="2FC36E97" w14:textId="77777777" w:rsidR="00E458B2" w:rsidRPr="007C38BF" w:rsidRDefault="00E458B2">
      <w:pPr>
        <w:spacing w:after="0" w:line="360" w:lineRule="auto"/>
        <w:jc w:val="both"/>
        <w:rPr>
          <w:rFonts w:ascii="Palatino Linotype" w:eastAsia="Palatino Linotype" w:hAnsi="Palatino Linotype" w:cs="Palatino Linotype"/>
        </w:rPr>
      </w:pPr>
    </w:p>
    <w:p w14:paraId="7776525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Mientras que el artículo 17 y 18 del Reglamento de la Ley del Servicio Militar, rezan así:</w:t>
      </w:r>
    </w:p>
    <w:p w14:paraId="114202B7" w14:textId="77777777" w:rsidR="00E458B2" w:rsidRPr="007C38BF" w:rsidRDefault="00E458B2">
      <w:pPr>
        <w:spacing w:after="0" w:line="276" w:lineRule="auto"/>
        <w:ind w:left="567" w:right="902"/>
        <w:jc w:val="both"/>
        <w:rPr>
          <w:rFonts w:ascii="Palatino Linotype" w:eastAsia="Palatino Linotype" w:hAnsi="Palatino Linotype" w:cs="Palatino Linotype"/>
          <w:b/>
          <w:bCs/>
          <w:i/>
          <w:iCs/>
        </w:rPr>
      </w:pPr>
    </w:p>
    <w:p w14:paraId="2C6EECFD"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17.</w:t>
      </w:r>
      <w:r w:rsidRPr="007C38BF">
        <w:rPr>
          <w:rFonts w:ascii="Palatino Linotype" w:eastAsia="Palatino Linotype" w:hAnsi="Palatino Linotype" w:cs="Palatino Linotype"/>
          <w:i/>
          <w:iCs/>
        </w:rPr>
        <w:t>- La inscripción de cada mexicano se hará una sola vez, entregándole gratuitamente una cartilla de identificación según modelo número uno.</w:t>
      </w:r>
    </w:p>
    <w:p w14:paraId="36867CD4"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606F9F7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w:t>
      </w:r>
      <w:r w:rsidRPr="007C38BF">
        <w:rPr>
          <w:rFonts w:ascii="Palatino Linotype" w:eastAsia="Palatino Linotype" w:hAnsi="Palatino Linotype" w:cs="Palatino Linotype"/>
          <w:b/>
          <w:bCs/>
          <w:i/>
          <w:iCs/>
        </w:rPr>
        <w:t>ARTÍCULO 18.-</w:t>
      </w:r>
      <w:r w:rsidRPr="007C38BF">
        <w:rPr>
          <w:rFonts w:ascii="Palatino Linotype" w:eastAsia="Palatino Linotype" w:hAnsi="Palatino Linotype" w:cs="Palatino Linotype"/>
          <w:i/>
          <w:iCs/>
        </w:rPr>
        <w:t> Una vez hecha la inscripción ante las juntas municipales de reclutamiento o consulados y como consecuencia inmediata, se formarán en dichas oficinas los siguientes documentos:</w:t>
      </w:r>
    </w:p>
    <w:p w14:paraId="354578E4"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Cartilla de identificación que se entregará al interesado...” </w:t>
      </w:r>
    </w:p>
    <w:p w14:paraId="453B8271" w14:textId="77777777" w:rsidR="00E458B2" w:rsidRPr="007C38BF" w:rsidRDefault="00E458B2">
      <w:pPr>
        <w:spacing w:after="0" w:line="360" w:lineRule="auto"/>
        <w:ind w:right="49"/>
        <w:jc w:val="both"/>
        <w:rPr>
          <w:rFonts w:ascii="Palatino Linotype" w:eastAsia="Palatino Linotype" w:hAnsi="Palatino Linotype" w:cs="Palatino Linotype"/>
        </w:rPr>
      </w:pPr>
    </w:p>
    <w:p w14:paraId="17080B0F"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De los preceptos legales trascritos, se obtiene que el documento que permite acreditar la inscripción de cada mexicano, en cumplimiento a la Ley del Servicio Militar, lo es la cartilla de identificación que se entrega al interesado. La cual contiene entre otra información, el retrato de frente; sus generales (nombre y apellidos paterno y materno, edad, ocupación, estado civil y domicilio); matrícula; clase a que pertenece; corporación a que se le destine; unidad a la que deba incorporarse en caso de movilización; firma de la autoridad que la expida; firma del interesado, si sabe hacerlo; sello de la Junta Municipal de Reclutamiento o Consulado; y huella digital, por lo que se puede observar, el dato que puede considerarse de interés público es el nombre del servidor público, puesto que el resto consiste en información que no abona a la transparencia ni a la correcta rendición de cuentas de los sujetos obligados, pues es relativa a la relación que se tiene en cuanto a la obligación de realizar el servicios militar, y no así de las funciones que ejerza como servidor público, por lo que dicho documento debe tener el mismo tratamiento que el acta de nacimiento, es decir su clasificación total, motivo por el cual, de contar con este documento, se deberá clasificar mediante el acuerdo del Comité de Transparencia en su totalidad.</w:t>
      </w:r>
    </w:p>
    <w:p w14:paraId="2A9D0868" w14:textId="77777777" w:rsidR="00E458B2" w:rsidRPr="007C38BF" w:rsidRDefault="00E458B2">
      <w:pPr>
        <w:spacing w:after="0" w:line="360" w:lineRule="auto"/>
        <w:ind w:right="49"/>
        <w:jc w:val="both"/>
        <w:rPr>
          <w:rFonts w:ascii="Palatino Linotype" w:eastAsia="Palatino Linotype" w:hAnsi="Palatino Linotype" w:cs="Palatino Linotype"/>
        </w:rPr>
      </w:pPr>
    </w:p>
    <w:p w14:paraId="65583BF8" w14:textId="77777777" w:rsidR="00E458B2" w:rsidRPr="007C38BF" w:rsidRDefault="008A7751">
      <w:pPr>
        <w:numPr>
          <w:ilvl w:val="0"/>
          <w:numId w:val="4"/>
        </w:numPr>
        <w:pBdr>
          <w:top w:val="nil"/>
          <w:left w:val="nil"/>
          <w:bottom w:val="nil"/>
          <w:right w:val="nil"/>
          <w:between w:val="nil"/>
        </w:pBdr>
        <w:spacing w:after="0" w:line="360" w:lineRule="auto"/>
        <w:jc w:val="both"/>
        <w:rPr>
          <w:b/>
          <w:bCs/>
        </w:rPr>
      </w:pPr>
      <w:r w:rsidRPr="007C38BF">
        <w:rPr>
          <w:rFonts w:ascii="Palatino Linotype" w:eastAsia="Palatino Linotype" w:hAnsi="Palatino Linotype" w:cs="Palatino Linotype"/>
          <w:b/>
          <w:bCs/>
        </w:rPr>
        <w:t>Constancia de no inhabilitación.</w:t>
      </w:r>
    </w:p>
    <w:p w14:paraId="0501902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Al respecto dicho documento se encuentra regulado en el artículo 27 y 28 de la Ley General de Responsabilidades Administrativas, 28 de la Ley de Responsabilidades Administrativas, 28 quinto párrafo de la Ley de Responsabilidades Administrativas del Estado de México, con relación al 47, fracción X de la Ley del Trabajo de los Servidores públicos del Estado de México y Municipios. </w:t>
      </w:r>
    </w:p>
    <w:p w14:paraId="28041A10" w14:textId="77777777" w:rsidR="00E458B2" w:rsidRPr="007C38BF" w:rsidRDefault="00E458B2">
      <w:pPr>
        <w:spacing w:after="0" w:line="360" w:lineRule="auto"/>
        <w:jc w:val="both"/>
        <w:rPr>
          <w:rFonts w:ascii="Palatino Linotype" w:eastAsia="Palatino Linotype" w:hAnsi="Palatino Linotype" w:cs="Palatino Linotype"/>
        </w:rPr>
      </w:pPr>
    </w:p>
    <w:p w14:paraId="40688EE3"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Es el documento que expide la Secretaría de la Contraloría del Estado de México por medio del sistema electrónico extranet </w:t>
      </w:r>
      <w:hyperlink r:id="rId10">
        <w:r w:rsidRPr="007C38BF">
          <w:rPr>
            <w:rFonts w:ascii="Palatino Linotype" w:eastAsia="Palatino Linotype" w:hAnsi="Palatino Linotype" w:cs="Palatino Linotype"/>
            <w:u w:val="single"/>
          </w:rPr>
          <w:t>www.secogem.gob.mx/constancias/</w:t>
        </w:r>
      </w:hyperlink>
      <w:r w:rsidRPr="007C38BF">
        <w:rPr>
          <w:rFonts w:ascii="Palatino Linotype" w:eastAsia="Palatino Linotype" w:hAnsi="Palatino Linotype" w:cs="Palatino Linotype"/>
        </w:rPr>
        <w:t xml:space="preserve"> en el cual se informa si las personas físicas cuentan con alguna sanción o inhabilitación para ocupar un empleo, cargo o comisión de carácter público. </w:t>
      </w:r>
    </w:p>
    <w:p w14:paraId="063E615A" w14:textId="77777777" w:rsidR="00E458B2" w:rsidRPr="007C38BF" w:rsidRDefault="00E458B2">
      <w:pPr>
        <w:spacing w:after="0" w:line="360" w:lineRule="auto"/>
        <w:jc w:val="both"/>
        <w:rPr>
          <w:rFonts w:ascii="Palatino Linotype" w:eastAsia="Palatino Linotype" w:hAnsi="Palatino Linotype" w:cs="Palatino Linotype"/>
        </w:rPr>
      </w:pPr>
    </w:p>
    <w:p w14:paraId="222966BB"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lo anterior, toda vez que este documento es generado en ejercicio de funciones del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es de naturaleza pública, sin embargo, no pasa desapercibido mencionar que puede contener datos que actualizan la causal prevista en la fracción I del artículo 143 de la Ley de Transparencia del Estado de México y Municipios, por lo tanto, deberá ser proporcionado en versión pública.</w:t>
      </w:r>
    </w:p>
    <w:p w14:paraId="2956CDC8" w14:textId="77777777" w:rsidR="00E458B2" w:rsidRPr="007C38BF" w:rsidRDefault="00E458B2">
      <w:pPr>
        <w:spacing w:after="0" w:line="360" w:lineRule="auto"/>
        <w:jc w:val="both"/>
        <w:rPr>
          <w:rFonts w:ascii="Palatino Linotype" w:eastAsia="Palatino Linotype" w:hAnsi="Palatino Linotype" w:cs="Palatino Linotype"/>
        </w:rPr>
      </w:pPr>
    </w:p>
    <w:p w14:paraId="02212DD4" w14:textId="77777777" w:rsidR="00E458B2" w:rsidRPr="007C38BF" w:rsidRDefault="008A7751">
      <w:pPr>
        <w:numPr>
          <w:ilvl w:val="0"/>
          <w:numId w:val="4"/>
        </w:numPr>
        <w:pBdr>
          <w:top w:val="nil"/>
          <w:left w:val="nil"/>
          <w:bottom w:val="nil"/>
          <w:right w:val="nil"/>
          <w:between w:val="nil"/>
        </w:pBdr>
        <w:spacing w:after="0" w:line="360" w:lineRule="auto"/>
        <w:jc w:val="both"/>
        <w:rPr>
          <w:b/>
          <w:bCs/>
        </w:rPr>
      </w:pPr>
      <w:r w:rsidRPr="007C38BF">
        <w:rPr>
          <w:rFonts w:ascii="Palatino Linotype" w:eastAsia="Palatino Linotype" w:hAnsi="Palatino Linotype" w:cs="Palatino Linotype"/>
          <w:b/>
          <w:bCs/>
        </w:rPr>
        <w:t xml:space="preserve">Certificado de no deudor alimentario moroso </w:t>
      </w:r>
    </w:p>
    <w:p w14:paraId="4DE7CC05" w14:textId="77777777" w:rsidR="00E458B2" w:rsidRPr="007C38BF" w:rsidRDefault="008A7751">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lo que hace los certificados de no deudor alimentario moroso, es de indicar que la Ley General de los Derechos de las Niñas, Niños y Adolescentes </w:t>
      </w:r>
      <w:hyperlink r:id="rId11">
        <w:r w:rsidRPr="007C38BF">
          <w:rPr>
            <w:rFonts w:ascii="Palatino Linotype" w:eastAsia="Palatino Linotype" w:hAnsi="Palatino Linotype" w:cs="Palatino Linotype"/>
            <w:u w:val="single"/>
          </w:rPr>
          <w:t>https://www.diputados.gob.mx/LeyesBiblio/pdf/LGDNNA.pdf</w:t>
        </w:r>
      </w:hyperlink>
      <w:r w:rsidRPr="007C38BF">
        <w:rPr>
          <w:rFonts w:ascii="Palatino Linotype" w:eastAsia="Palatino Linotype" w:hAnsi="Palatino Linotype" w:cs="Palatino Linotype"/>
        </w:rPr>
        <w:t xml:space="preserve"> en sus artículos 1, 13, 18 y 46, regula de manera enunciativa y no limitativa, entre otros derechos, garantizar el pleno ejercicio, respeto, protección y promoción de los derechos humanos, derecho a la vida, a la paz, a la supervivencia y al desarrollo, el recibir alimentos para lograr el sano desarrollo del menor en su ámbito, bio-psico-social, y establece como obligación de los progenitores para con sus hijos, el proporcionarles, apoyo, cuidados, educación y protección a su salud.</w:t>
      </w:r>
    </w:p>
    <w:p w14:paraId="508AC9E3" w14:textId="77777777" w:rsidR="00E458B2" w:rsidRPr="007C38BF" w:rsidRDefault="00E458B2">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p>
    <w:p w14:paraId="776FF3C9" w14:textId="77777777" w:rsidR="00E458B2" w:rsidRPr="007C38BF" w:rsidRDefault="008A7751">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r w:rsidRPr="007C38BF">
        <w:rPr>
          <w:rFonts w:ascii="Palatino Linotype" w:eastAsia="Palatino Linotype" w:hAnsi="Palatino Linotype" w:cs="Palatino Linotype"/>
        </w:rPr>
        <w:t>De ahí que, se crea el Registro Nacional de Obligaciones Alimentarias cuyo objeto es concentrar la información de deudores y acreedores de obligaciones alimentarias, a fin de dar efectiva protección y restitución de los derechos de niñas, niños y adolescentes. Los Tribunales Superiores de las entidades federativas y de la Ciudad de México suministrarán, intercambiarán, sistematizarán, consultarán, analizarán y actualizarán, la información que se genere sobre el incumplimiento de las obligaciones alimentarias en el ámbito de sus competencias utilizando los sistemas e instrumentos tecnológicos del Sistema Nacional DIF para que con ella integre al Registro Nacional de Obligaciones.</w:t>
      </w:r>
    </w:p>
    <w:p w14:paraId="1CE85C8F" w14:textId="77777777" w:rsidR="00E458B2" w:rsidRPr="007C38BF" w:rsidRDefault="00E458B2">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p>
    <w:p w14:paraId="19339B37" w14:textId="77777777" w:rsidR="00E458B2" w:rsidRPr="007C38BF" w:rsidRDefault="008A7751">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r w:rsidRPr="007C38BF">
        <w:rPr>
          <w:rFonts w:ascii="Palatino Linotype" w:eastAsia="Palatino Linotype" w:hAnsi="Palatino Linotype" w:cs="Palatino Linotype"/>
        </w:rPr>
        <w:t>La calidad de deudor moroso se difundirá en el Registro Nacional de Obligaciones Alimentarias, el cual, será público con base en lo dispuesto en la Ley General de Protección de Datos Personales en Posesión de Sujetos Obligados. Es de recalcar que las Autoridades de los tres órdenes de gobierno (Federal, Estatal y Municipal) en el ámbito de sus competencias, dispondrán lo necesario a fin de establecer como requisito la presentación del certificado de no inscripción en el Registro Nacional de Obligaciones Alimentarias; es decir, la denominación que se le dio fue el de Registro de Deudores Alimentarios Morosos, ya que, la palabra moroso deriva de mora; la mora es el retraso en el cumplimiento de las obligaciones y se incurre en ella desde el momento en que feneció el plazo que se señaló para el cumplimiento de una obligación.</w:t>
      </w:r>
    </w:p>
    <w:p w14:paraId="6BD64879" w14:textId="77777777" w:rsidR="00E458B2" w:rsidRPr="007C38BF" w:rsidRDefault="00E458B2">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p>
    <w:p w14:paraId="16A72C57" w14:textId="77777777" w:rsidR="00E458B2" w:rsidRPr="007C38BF" w:rsidRDefault="008A7751">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Al respecto, en el Proyecto de Decreto por el que se Reforman y Adicionan Diversas Disposiciones para crear el Registro de Deudores Alimentarios del Estado de México, disponible en la dirección electrónica </w:t>
      </w:r>
      <w:hyperlink r:id="rId12">
        <w:r w:rsidRPr="007C38BF">
          <w:rPr>
            <w:rFonts w:ascii="Palatino Linotype" w:eastAsia="Palatino Linotype" w:hAnsi="Palatino Linotype" w:cs="Palatino Linotype"/>
            <w:u w:val="single"/>
          </w:rPr>
          <w:t>https://legislacion.edomex.gob.mx/sites/legislacion.edomex.gob.mx/files/files/pdf/gct/2014/nov144.PDF</w:t>
        </w:r>
      </w:hyperlink>
      <w:r w:rsidRPr="007C38BF">
        <w:rPr>
          <w:rFonts w:ascii="Palatino Linotype" w:eastAsia="Palatino Linotype" w:hAnsi="Palatino Linotype" w:cs="Palatino Linotype"/>
        </w:rPr>
        <w:t xml:space="preserve">, advierte lo siguiente: </w:t>
      </w:r>
    </w:p>
    <w:p w14:paraId="265CCC1D" w14:textId="77777777" w:rsidR="00E458B2" w:rsidRPr="007C38BF" w:rsidRDefault="00E458B2">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p>
    <w:p w14:paraId="510F4B74"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“4.146 Bis.- El área del Registro de Deudores Alimentarios Morosos, es una unidad administrativa del Registro Civil. Actos inscribibles en el Registro de Deudores Alimentarios Morosos. </w:t>
      </w:r>
    </w:p>
    <w:p w14:paraId="52CE6F97"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4.146 Ter.- En el Registro de Deudores Alimentarios Morosos se inscriben a las personas que el Juez de lo Familiar determina en términos del artículo 4.136 del presente Código. </w:t>
      </w:r>
    </w:p>
    <w:p w14:paraId="549BD483"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Serán objeto de registro los empleadores que incumplan una orden de descuento para alimentos ordenada por el órgano jurisdiccional.</w:t>
      </w:r>
    </w:p>
    <w:p w14:paraId="79348B90" w14:textId="77777777" w:rsidR="00E458B2" w:rsidRPr="007C38BF" w:rsidRDefault="00E458B2">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p>
    <w:p w14:paraId="6FDB1BA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De los datos que contendrá el Registro de Deudores Alimentarios Morosos </w:t>
      </w:r>
    </w:p>
    <w:p w14:paraId="43C1D287"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Artículo. 4.146 Quáter.- El Registro de Deudores Alimentarios Morosos contendrá: </w:t>
      </w:r>
    </w:p>
    <w:p w14:paraId="7DB669AB"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 Nombre y Clave Única del Registro de Población del deudor alimentario; </w:t>
      </w:r>
    </w:p>
    <w:p w14:paraId="5A00C326"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II. Nombre del acreedor o acreedores alimentarios; </w:t>
      </w:r>
    </w:p>
    <w:p w14:paraId="6A4B76B9"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III. Datos del acta que acredite el vínculo entre deudor y acreedor alimentario, en su caso; </w:t>
      </w:r>
    </w:p>
    <w:p w14:paraId="6C1682F4"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IV. Monto de la pensión decretada o convenida, en su caso, número de pagos incumplidos y monto del adeudo alimentario; </w:t>
      </w:r>
    </w:p>
    <w:p w14:paraId="36AAAC20"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V. Órgano jurisdiccional que ordenó el registro; </w:t>
      </w:r>
    </w:p>
    <w:p w14:paraId="4C9A073D"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VI. Datos del expediente jurisdiccional de la que deriva su inscripción. </w:t>
      </w:r>
    </w:p>
    <w:p w14:paraId="4C14912A" w14:textId="77777777" w:rsidR="00E458B2" w:rsidRPr="007C38BF" w:rsidRDefault="00E458B2">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p>
    <w:p w14:paraId="4C11E893"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Una vez hecha la inscripción a que se refiere el párrafo anterior se girará oficio al Instituto de la Función Registral del Estado de México, a efecto de que se anote el certificado de deudor alimentario en los folios reales de que sea propietario el deudor alimentario. El Instituto de la Función Registral informará al Registro Civil si fue procedente la anotación, en cuyo caso dará aviso al Juez del conocimiento para que el acreedor alimentario haga cobrable las cantidades adeudadas en la vía judicial respectiva.</w:t>
      </w:r>
    </w:p>
    <w:p w14:paraId="661433F4" w14:textId="77777777" w:rsidR="00E458B2" w:rsidRPr="007C38BF" w:rsidRDefault="00E458B2">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p>
    <w:p w14:paraId="301A0EB4"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Datos del Certificado expedido por la Unidad del Registro de Deudores Alimentarios Morosos </w:t>
      </w:r>
    </w:p>
    <w:p w14:paraId="72B2DAE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Artículo 4.146 Quinquies.- El Certificado expedido por la Unidad del Registro de Deudores Alimentarios Morosos contendrá lo siguiente: </w:t>
      </w:r>
    </w:p>
    <w:p w14:paraId="528546C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I. Nombre y Clave Única de Registro de Población del solicitante; </w:t>
      </w:r>
    </w:p>
    <w:p w14:paraId="5DFA3A2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II. La información sobre su inscripción o no en el registro de deudores alimentarios morosos.</w:t>
      </w:r>
    </w:p>
    <w:p w14:paraId="6395EAE5" w14:textId="77777777" w:rsidR="00E458B2" w:rsidRPr="007C38BF" w:rsidRDefault="00E458B2">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p>
    <w:p w14:paraId="09612F4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De ser el caso que el solicitante se encuentre inscrito en el registro, la constancia incluirá además lo siguiente:</w:t>
      </w:r>
    </w:p>
    <w:p w14:paraId="705F99B2"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 Número de acreedores alimentarios;</w:t>
      </w:r>
    </w:p>
    <w:p w14:paraId="1E9838E1"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II. Monto de la pensión alimenticia decretada o convenida;</w:t>
      </w:r>
    </w:p>
    <w:p w14:paraId="50CAC2E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III. Órgano jurisdiccional que ordenó el registro;</w:t>
      </w:r>
    </w:p>
    <w:p w14:paraId="0DA4672C"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IV. Datos del expediente jurisdiccional de la que deriva su inscripción.</w:t>
      </w:r>
    </w:p>
    <w:p w14:paraId="7716C67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El Certificado a que se refiere el presente artículo será expedido el mismo día hábil de su solicitud…”</w:t>
      </w:r>
    </w:p>
    <w:p w14:paraId="3FC9C2DD" w14:textId="77777777" w:rsidR="00E458B2" w:rsidRPr="007C38BF" w:rsidRDefault="00E458B2">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p>
    <w:p w14:paraId="3A457220" w14:textId="77777777" w:rsidR="00E458B2" w:rsidRPr="007C38BF" w:rsidRDefault="008A7751">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Ahora bien, respecto a aquellos servidores públicos que se encuentren o no inscritos en dicho registro, procede su entrega en versión pública, ya que al ser un requisito sine qua non para ingresar al servicio público, se convierte en información que da certeza a la ciudadanía de que el Servidor Público que ostenta un cargo cumplió con los requisitos señalados en la Ley del Trabajo de los Servidores Públicos del Estado y Municipios. Ahora, no pasa desapercibido, que el Certificado de No Deudor Alimentario pudiera contener información confidencial, como lo es de manera enunciativa más no limitativa el CURP y el RFC; por lo tanto, no procede su clasificación total sino su entrega en versión pública. </w:t>
      </w:r>
    </w:p>
    <w:p w14:paraId="1538074D" w14:textId="77777777" w:rsidR="00E458B2" w:rsidRPr="007C38BF" w:rsidRDefault="00E458B2">
      <w:pPr>
        <w:pBdr>
          <w:top w:val="nil"/>
          <w:left w:val="nil"/>
          <w:bottom w:val="nil"/>
          <w:right w:val="nil"/>
          <w:between w:val="nil"/>
        </w:pBdr>
        <w:spacing w:after="0" w:line="360" w:lineRule="auto"/>
        <w:ind w:right="-150"/>
        <w:jc w:val="both"/>
        <w:rPr>
          <w:rFonts w:ascii="Palatino Linotype" w:eastAsia="Palatino Linotype" w:hAnsi="Palatino Linotype" w:cs="Palatino Linotype"/>
        </w:rPr>
      </w:pPr>
    </w:p>
    <w:p w14:paraId="217CC800" w14:textId="77777777" w:rsidR="00E458B2" w:rsidRPr="007C38BF" w:rsidRDefault="008A7751">
      <w:pPr>
        <w:pBdr>
          <w:top w:val="nil"/>
          <w:left w:val="nil"/>
          <w:bottom w:val="nil"/>
          <w:right w:val="nil"/>
          <w:between w:val="nil"/>
        </w:pBdr>
        <w:tabs>
          <w:tab w:val="left" w:pos="567"/>
        </w:tabs>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Es por lo anteriormente expuesto, que los expedientes laborales de los servidores públicos que integran las áreas de Ingresos, Cuentas por Pagar y Adquisiciones, es información que tiene obligación de integrar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pues en este obran todos aquellos documentos que ampara que se cumplieron con los requisitos establecidos en el artículo 47 de la Ley en Materia.  </w:t>
      </w:r>
    </w:p>
    <w:p w14:paraId="4B11763A"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7F15AD2" w14:textId="77777777" w:rsidR="00E458B2" w:rsidRPr="007C38BF" w:rsidRDefault="008A7751">
      <w:pPr>
        <w:numPr>
          <w:ilvl w:val="0"/>
          <w:numId w:val="4"/>
        </w:numPr>
        <w:pBdr>
          <w:top w:val="nil"/>
          <w:left w:val="nil"/>
          <w:bottom w:val="nil"/>
          <w:right w:val="nil"/>
          <w:between w:val="nil"/>
        </w:pBdr>
        <w:tabs>
          <w:tab w:val="left" w:pos="567"/>
        </w:tabs>
        <w:spacing w:after="0" w:line="360" w:lineRule="auto"/>
        <w:jc w:val="both"/>
        <w:rPr>
          <w:b/>
          <w:bCs/>
        </w:rPr>
      </w:pPr>
      <w:r w:rsidRPr="007C38BF">
        <w:rPr>
          <w:rFonts w:ascii="Palatino Linotype" w:eastAsia="Palatino Linotype" w:hAnsi="Palatino Linotype" w:cs="Palatino Linotype"/>
          <w:b/>
          <w:bCs/>
        </w:rPr>
        <w:t xml:space="preserve">Recibos de nómina de la primera quincena de abril a la segunda quincena de junio de dos mil veintiséis. </w:t>
      </w:r>
    </w:p>
    <w:p w14:paraId="01361CA2"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Por lo que se refiere a la materia del punto de análisis, conviene referir que la Ley del Trabajo de los Servidores Públicos del Estado y Municipios hace referencia a los comprobantes que las instituciones públicas realizan para documentar el pago de salarios, prima vacacional, aguinaldo y demás prestaciones otorgadas a un servidor público, denominándose "</w:t>
      </w:r>
      <w:r w:rsidRPr="007C38BF">
        <w:rPr>
          <w:rFonts w:ascii="Palatino Linotype" w:eastAsia="Palatino Linotype" w:hAnsi="Palatino Linotype" w:cs="Palatino Linotype"/>
          <w:i/>
          <w:iCs/>
        </w:rPr>
        <w:t>recibos o comprobantes de pago</w:t>
      </w:r>
      <w:r w:rsidRPr="007C38BF">
        <w:rPr>
          <w:rFonts w:ascii="Palatino Linotype" w:eastAsia="Palatino Linotype" w:hAnsi="Palatino Linotype" w:cs="Palatino Linotype"/>
        </w:rPr>
        <w:t>", los cuales constituyen un instrumento mediante el cual el sujeto obligado acredita las remuneraciones al personal y, que de acuerdo al uso implantado en la colectividad se denominan "recibos de nómina".</w:t>
      </w:r>
    </w:p>
    <w:p w14:paraId="13F52D86" w14:textId="77777777" w:rsidR="00E458B2" w:rsidRPr="007C38BF" w:rsidRDefault="00E458B2">
      <w:pPr>
        <w:spacing w:after="0" w:line="360" w:lineRule="auto"/>
        <w:ind w:right="49"/>
        <w:jc w:val="both"/>
        <w:rPr>
          <w:rFonts w:ascii="Palatino Linotype" w:eastAsia="Palatino Linotype" w:hAnsi="Palatino Linotype" w:cs="Palatino Linotype"/>
        </w:rPr>
      </w:pPr>
    </w:p>
    <w:p w14:paraId="3FE029C6"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 efecto de robustecer lo anterior, es preciso hacer alusión, en primera instancia, a lo establecido en las normas de carácter general del Manual Único de Contabilidad Gubernamental para las Dependencias y Entidades Públicas del Gobierno y Municipios del Estado de México</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rPr>
        <w:t xml:space="preserve">en donde se señala que el Régimen Fiscal para las entidades públicas es el correspondiente a </w:t>
      </w:r>
      <w:r w:rsidRPr="007C38BF">
        <w:rPr>
          <w:rFonts w:ascii="Palatino Linotype" w:eastAsia="Palatino Linotype" w:hAnsi="Palatino Linotype" w:cs="Palatino Linotype"/>
          <w:i/>
          <w:iCs/>
        </w:rPr>
        <w:t xml:space="preserve">personas morales con fines no lucrativos, </w:t>
      </w:r>
      <w:r w:rsidRPr="007C38BF">
        <w:rPr>
          <w:rFonts w:ascii="Palatino Linotype" w:eastAsia="Palatino Linotype" w:hAnsi="Palatino Linotype" w:cs="Palatino Linotype"/>
        </w:rPr>
        <w:t>y en segundo lugar remitirnos al párrafo séptimo del artículo 86 del Título III del Régimen de las Personas Morales con fines no lucrativos, de la Ley del Impuesto Sobre la Renta</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rPr>
        <w:t>que a la letra señala lo siguiente:</w:t>
      </w:r>
    </w:p>
    <w:p w14:paraId="15AF69D6" w14:textId="77777777" w:rsidR="00E458B2" w:rsidRPr="007C38BF" w:rsidRDefault="00E458B2">
      <w:pPr>
        <w:spacing w:after="0"/>
        <w:ind w:left="851" w:right="902"/>
        <w:jc w:val="both"/>
        <w:rPr>
          <w:rFonts w:ascii="Palatino Linotype" w:eastAsia="Palatino Linotype" w:hAnsi="Palatino Linotype" w:cs="Palatino Linotype"/>
          <w:b/>
          <w:bCs/>
          <w:i/>
          <w:iCs/>
        </w:rPr>
      </w:pPr>
    </w:p>
    <w:p w14:paraId="057BEAE5" w14:textId="77777777" w:rsidR="00E458B2" w:rsidRPr="007C38BF" w:rsidRDefault="008A7751">
      <w:pP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 xml:space="preserve">Artículo.- 86 </w:t>
      </w:r>
    </w:p>
    <w:p w14:paraId="7DEF16D9"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584C83DB" w14:textId="77777777" w:rsidR="00E458B2" w:rsidRPr="007C38BF" w:rsidRDefault="008A7751">
      <w:pPr>
        <w:spacing w:after="0" w:line="276" w:lineRule="auto"/>
        <w:ind w:left="851" w:right="616"/>
        <w:jc w:val="both"/>
        <w:rPr>
          <w:rFonts w:ascii="Palatino Linotype" w:eastAsia="Palatino Linotype" w:hAnsi="Palatino Linotype" w:cs="Palatino Linotype"/>
        </w:rPr>
      </w:pPr>
      <w:r w:rsidRPr="007C38BF">
        <w:rPr>
          <w:rFonts w:ascii="Palatino Linotype" w:eastAsia="Palatino Linotype" w:hAnsi="Palatino Linotype" w:cs="Palatino Linotype"/>
          <w:i/>
          <w:iCs/>
        </w:rPr>
        <w:t xml:space="preserve">Los partidos y asociaciones políticas, legalmente reconocidos, la Federación, las entidades federativas, </w:t>
      </w:r>
      <w:r w:rsidRPr="007C38BF">
        <w:rPr>
          <w:rFonts w:ascii="Palatino Linotype" w:eastAsia="Palatino Linotype" w:hAnsi="Palatino Linotype" w:cs="Palatino Linotype"/>
          <w:b/>
          <w:bCs/>
          <w:i/>
          <w:iCs/>
        </w:rPr>
        <w:t>los municipios</w:t>
      </w:r>
      <w:r w:rsidRPr="007C38BF">
        <w:rPr>
          <w:rFonts w:ascii="Palatino Linotype" w:eastAsia="Palatino Linotype" w:hAnsi="Palatino Linotype" w:cs="Palatino Linotype"/>
          <w:i/>
          <w:iCs/>
        </w:rPr>
        <w:t xml:space="preserve"> y las instituciones que por Ley estén obligadas a entregar al Gobierno Federal el importe íntegro de su remanente de operación </w:t>
      </w:r>
      <w:r w:rsidRPr="007C38BF">
        <w:rPr>
          <w:rFonts w:ascii="Palatino Linotype" w:eastAsia="Palatino Linotype" w:hAnsi="Palatino Linotype" w:cs="Palatino Linotype"/>
          <w:b/>
          <w:bCs/>
          <w:i/>
          <w:iCs/>
        </w:rPr>
        <w:t>y los organismos descentralizados</w:t>
      </w:r>
      <w:r w:rsidRPr="007C38BF">
        <w:rPr>
          <w:rFonts w:ascii="Palatino Linotype" w:eastAsia="Palatino Linotype" w:hAnsi="Palatino Linotype" w:cs="Palatino Linotype"/>
          <w:i/>
          <w:iCs/>
        </w:rPr>
        <w:t xml:space="preserve"> que no tributen conforme al Título II de esta Ley </w:t>
      </w:r>
      <w:r w:rsidRPr="007C38BF">
        <w:rPr>
          <w:rFonts w:ascii="Palatino Linotype" w:eastAsia="Palatino Linotype" w:hAnsi="Palatino Linotype" w:cs="Palatino Linotype"/>
          <w:b/>
          <w:bCs/>
          <w:i/>
          <w:iCs/>
        </w:rPr>
        <w:t>están obligados a expedir y entregar comprobantes fiscales a las personas que reciban pagos por concepto de salarios y, en general, por la prestación de un servicio personal subordinado, en la fecha en que se realice la erogación correspondiente, los cuales podrán utilizarse como constancia o recibo de pago</w:t>
      </w:r>
      <w:r w:rsidRPr="007C38BF">
        <w:rPr>
          <w:rFonts w:ascii="Palatino Linotype" w:eastAsia="Palatino Linotype" w:hAnsi="Palatino Linotype" w:cs="Palatino Linotype"/>
          <w:i/>
          <w:iCs/>
        </w:rPr>
        <w:t xml:space="preserve"> para efectos de la legislación laboral a que se refieren los artículos 132 fracciones VII y VIII, y 804 primer párrafo fracciones II y IV de la Ley Federal del Trabajo…</w:t>
      </w:r>
      <w:r w:rsidRPr="007C38BF">
        <w:rPr>
          <w:rFonts w:ascii="Palatino Linotype" w:eastAsia="Palatino Linotype" w:hAnsi="Palatino Linotype" w:cs="Palatino Linotype"/>
        </w:rPr>
        <w:t xml:space="preserve">” </w:t>
      </w:r>
    </w:p>
    <w:p w14:paraId="0A6B60AC" w14:textId="77777777" w:rsidR="00E458B2" w:rsidRPr="007C38BF" w:rsidRDefault="00E458B2">
      <w:pPr>
        <w:spacing w:after="0" w:line="360" w:lineRule="auto"/>
        <w:jc w:val="both"/>
        <w:rPr>
          <w:rFonts w:ascii="Palatino Linotype" w:eastAsia="Palatino Linotype" w:hAnsi="Palatino Linotype" w:cs="Palatino Linotype"/>
        </w:rPr>
      </w:pPr>
    </w:p>
    <w:p w14:paraId="5468607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Del precepto citado, se advierte que los organismos descentralizados al ser entes públicos se encuentran constreñidos a expedir y entregar los </w:t>
      </w:r>
      <w:r w:rsidRPr="007C38BF">
        <w:rPr>
          <w:rFonts w:ascii="Palatino Linotype" w:eastAsia="Palatino Linotype" w:hAnsi="Palatino Linotype" w:cs="Palatino Linotype"/>
          <w:b/>
          <w:bCs/>
        </w:rPr>
        <w:t xml:space="preserve">comprobantes fiscales correspondientes a las personas que reciban pagos por conceptos de salarios, </w:t>
      </w:r>
      <w:r w:rsidRPr="007C38BF">
        <w:rPr>
          <w:rFonts w:ascii="Palatino Linotype" w:eastAsia="Palatino Linotype" w:hAnsi="Palatino Linotype" w:cs="Palatino Linotype"/>
        </w:rPr>
        <w:t xml:space="preserve">mismos que pueden ser utilizados como </w:t>
      </w:r>
      <w:r w:rsidRPr="007C38BF">
        <w:rPr>
          <w:rFonts w:ascii="Palatino Linotype" w:eastAsia="Palatino Linotype" w:hAnsi="Palatino Linotype" w:cs="Palatino Linotype"/>
          <w:b/>
          <w:bCs/>
        </w:rPr>
        <w:t>constancia o</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recibo de pago</w:t>
      </w:r>
      <w:r w:rsidRPr="007C38BF">
        <w:rPr>
          <w:rFonts w:ascii="Palatino Linotype" w:eastAsia="Palatino Linotype" w:hAnsi="Palatino Linotype" w:cs="Palatino Linotype"/>
        </w:rPr>
        <w:t>.</w:t>
      </w:r>
    </w:p>
    <w:p w14:paraId="434A18CA" w14:textId="77777777" w:rsidR="00E458B2" w:rsidRPr="007C38BF" w:rsidRDefault="00E458B2">
      <w:pPr>
        <w:spacing w:after="0" w:line="360" w:lineRule="auto"/>
        <w:jc w:val="both"/>
        <w:rPr>
          <w:rFonts w:ascii="Palatino Linotype" w:eastAsia="Palatino Linotype" w:hAnsi="Palatino Linotype" w:cs="Palatino Linotype"/>
        </w:rPr>
      </w:pPr>
    </w:p>
    <w:p w14:paraId="0CA5C983"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Por su parte la Ley del Trabajo de los Servidores Públicos del Estado y Municipios, en su artículo 220-K fracciones II y IV y último párrafo, establecen lo siguiente:</w:t>
      </w:r>
    </w:p>
    <w:p w14:paraId="4F306F0B" w14:textId="77777777" w:rsidR="00E458B2" w:rsidRPr="007C38BF" w:rsidRDefault="00E458B2">
      <w:pPr>
        <w:tabs>
          <w:tab w:val="left" w:pos="9072"/>
        </w:tabs>
        <w:spacing w:after="0"/>
        <w:ind w:left="851" w:right="902"/>
        <w:jc w:val="both"/>
        <w:rPr>
          <w:rFonts w:ascii="Palatino Linotype" w:eastAsia="Palatino Linotype" w:hAnsi="Palatino Linotype" w:cs="Palatino Linotype"/>
          <w:b/>
          <w:bCs/>
          <w:i/>
          <w:iCs/>
        </w:rPr>
      </w:pPr>
    </w:p>
    <w:p w14:paraId="1020EBA4"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220 K.-</w:t>
      </w:r>
      <w:r w:rsidRPr="007C38BF">
        <w:rPr>
          <w:rFonts w:ascii="Palatino Linotype" w:eastAsia="Palatino Linotype" w:hAnsi="Palatino Linotype" w:cs="Palatino Linotype"/>
          <w:i/>
          <w:iCs/>
        </w:rPr>
        <w:t xml:space="preserve"> La institución o dependencia pública tiene la obligación de conservar y exhibir en el proceso los documentos que a continuación se precisan:</w:t>
      </w:r>
    </w:p>
    <w:p w14:paraId="59FCA29B"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4BF6FEB5"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II. Recibos de pagos de salarios o las constancias documentales del pago de salario cuando sea por depósito o mediante información electrónica;</w:t>
      </w:r>
    </w:p>
    <w:p w14:paraId="5D963CE5"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67AB008B"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IV</w:t>
      </w:r>
      <w:r w:rsidRPr="007C38BF">
        <w:rPr>
          <w:rFonts w:ascii="Palatino Linotype" w:eastAsia="Palatino Linotype" w:hAnsi="Palatino Linotype" w:cs="Palatino Linotype"/>
          <w:i/>
          <w:iCs/>
        </w:rPr>
        <w:t>. Recibos o las constancias de depósito o del medio de información magnética o electrónica que sean utilizadas para el pago de salarios, prima vacacional, aguinaldo y demás prestaciones establecidas en la presente ley; y…</w:t>
      </w:r>
    </w:p>
    <w:p w14:paraId="2640CF28"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Los documentos señalados en la fracción I de este artículo, deberán conservarse mientras dure la relación laboral y hasta un año después; los señalados por las fracciones II, III, IV durante el último año y un año después de que se extinga la relación laboral, y los mencionados en la fracción V, conforme lo señalen las leyes que los rijan.</w:t>
      </w:r>
    </w:p>
    <w:p w14:paraId="1F57F246" w14:textId="77777777" w:rsidR="00E458B2" w:rsidRPr="007C38BF" w:rsidRDefault="008A7751">
      <w:pPr>
        <w:tabs>
          <w:tab w:val="left" w:pos="9072"/>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Los documentos y constancias aquí señalados, la institución o dependencia podrá conservarlos por medio de los sistemas de digitalización o de información magnética o electrónica o cualquier medio descubierto por la ciencia y las constancias expedidas por el encargado del área de personal de éstas, harán prueba plena.</w:t>
      </w:r>
    </w:p>
    <w:p w14:paraId="0BF61883"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El incumplimiento por lo dispuesto por este artículo, establecerá la presunción de ser ciertos los hechos que el actor exprese en su demanda, en relación con tales documentos, salvo prueba en contrario.”</w:t>
      </w:r>
    </w:p>
    <w:p w14:paraId="7B170C17" w14:textId="77777777" w:rsidR="00E458B2" w:rsidRPr="007C38BF" w:rsidRDefault="00E458B2">
      <w:pPr>
        <w:spacing w:after="0" w:line="360" w:lineRule="auto"/>
        <w:jc w:val="both"/>
        <w:rPr>
          <w:rFonts w:ascii="Palatino Linotype" w:eastAsia="Palatino Linotype" w:hAnsi="Palatino Linotype" w:cs="Palatino Linotype"/>
        </w:rPr>
      </w:pPr>
    </w:p>
    <w:p w14:paraId="3E37B88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Sobre la base del precepto legal citado, se advierte que </w:t>
      </w:r>
      <w:r w:rsidRPr="007C38BF">
        <w:rPr>
          <w:rFonts w:ascii="Palatino Linotype" w:eastAsia="Palatino Linotype" w:hAnsi="Palatino Linotype" w:cs="Palatino Linotype"/>
          <w:i/>
          <w:iCs/>
        </w:rPr>
        <w:t>toda institución pública o dependencia pública del Estado de México debe conservar las constancias de pago de salarios, prima vacacional, aguinaldo y demás prestaciones legales de acuerdo con la forma en que se haya realizado el pago; es decir, en efectivo, cheque, depósito, transferencia u otra, debiendo conservar dicha documentación durante el último año y un año después de que se extingue la relación laboral a través de los sistemas de digitalización o de información magnética o electrónica</w:t>
      </w:r>
      <w:r w:rsidRPr="007C38BF">
        <w:rPr>
          <w:rFonts w:ascii="Palatino Linotype" w:eastAsia="Palatino Linotype" w:hAnsi="Palatino Linotype" w:cs="Palatino Linotype"/>
        </w:rPr>
        <w:t>.</w:t>
      </w:r>
    </w:p>
    <w:p w14:paraId="7AAEFBB7" w14:textId="77777777" w:rsidR="00E458B2" w:rsidRPr="007C38BF" w:rsidRDefault="00E458B2">
      <w:pPr>
        <w:spacing w:after="0" w:line="360" w:lineRule="auto"/>
        <w:jc w:val="both"/>
        <w:rPr>
          <w:rFonts w:ascii="Palatino Linotype" w:eastAsia="Palatino Linotype" w:hAnsi="Palatino Linotype" w:cs="Palatino Linotype"/>
        </w:rPr>
      </w:pPr>
    </w:p>
    <w:p w14:paraId="25FB922B"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Por tanto, los recibos de nómina o comprobantes digitales por concepto de nómina tienen como objetivo presentar la información del pago de las remuneraciones de cada uno de los servidores públicos de la entidad fiscalizable de que se trate correspondiente a un periodo determinado.</w:t>
      </w:r>
    </w:p>
    <w:p w14:paraId="3F234AAC" w14:textId="77777777" w:rsidR="00E458B2" w:rsidRPr="007C38BF" w:rsidRDefault="00E458B2">
      <w:pPr>
        <w:spacing w:after="0" w:line="360" w:lineRule="auto"/>
        <w:jc w:val="both"/>
        <w:rPr>
          <w:rFonts w:ascii="Palatino Linotype" w:eastAsia="Palatino Linotype" w:hAnsi="Palatino Linotype" w:cs="Palatino Linotype"/>
        </w:rPr>
      </w:pPr>
    </w:p>
    <w:p w14:paraId="47F4742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Expuesto lo anterior, conviene recordar que en respuesta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a través de la Tesorería del Sistema Municipal informó que la obligación de proporcionar información de los sujetos obligados no comprende el procesamiento de la misma, ni el presentarla conforme al interés del solicitante, aunado a que se deben cubrir los gastos de reproducción o por la modalidad de entrega solicitada, de conformidad con lo establecido en los artículos 12 párrafo segundo y 17 de la Ley de Transparencia y Acceso a la Información Pública del Estado de México y Municipios.</w:t>
      </w:r>
    </w:p>
    <w:p w14:paraId="08193445" w14:textId="77777777" w:rsidR="00E458B2" w:rsidRPr="007C38BF" w:rsidRDefault="00E458B2">
      <w:pPr>
        <w:spacing w:after="0" w:line="360" w:lineRule="auto"/>
        <w:ind w:right="51"/>
        <w:jc w:val="both"/>
        <w:rPr>
          <w:rFonts w:ascii="Palatino Linotype" w:eastAsia="Palatino Linotype" w:hAnsi="Palatino Linotype" w:cs="Palatino Linotype"/>
        </w:rPr>
      </w:pPr>
    </w:p>
    <w:p w14:paraId="49F6F9B5"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 esta manera, se advierte que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en ningún momento alego o manifestó alguna imposibilidad para entregar la información requerida a través de la modalidad solicitada derivado de la capacidad técnica, administrativa y/o humana del área competente, o bien la capacidad técnica del sistema SAIMEX, sino que justificó la negativa a la entrega de lo requerido, ya que a su consideración se debe realizar el pago de derechos, citando el contenido del artículo 17 de la Ley de Transparencia Local, que se refiere al cobro de los gastos por reproducción. </w:t>
      </w:r>
    </w:p>
    <w:p w14:paraId="22D668E7" w14:textId="77777777" w:rsidR="00E458B2" w:rsidRPr="007C38BF" w:rsidRDefault="00E458B2">
      <w:pPr>
        <w:spacing w:after="0" w:line="360" w:lineRule="auto"/>
        <w:jc w:val="both"/>
        <w:rPr>
          <w:rFonts w:ascii="Palatino Linotype" w:eastAsia="Palatino Linotype" w:hAnsi="Palatino Linotype" w:cs="Palatino Linotype"/>
        </w:rPr>
      </w:pPr>
    </w:p>
    <w:p w14:paraId="168318B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Precisado lo anterior, resulta indispensable consultar el formato de solicitud de acceso a la información pública para determinar la modalidad a través de la cual se eligió la entrega de la información por parte de la persona solicitante, por lo que en el expediente electrónico se halló lo siguiente:</w:t>
      </w:r>
    </w:p>
    <w:p w14:paraId="3E582A87" w14:textId="77777777" w:rsidR="00E458B2" w:rsidRPr="007C38BF" w:rsidRDefault="008A7751">
      <w:pPr>
        <w:spacing w:after="0" w:line="360" w:lineRule="auto"/>
        <w:jc w:val="center"/>
        <w:rPr>
          <w:rFonts w:ascii="Palatino Linotype" w:eastAsia="Palatino Linotype" w:hAnsi="Palatino Linotype" w:cs="Palatino Linotype"/>
        </w:rPr>
      </w:pPr>
      <w:r w:rsidRPr="007C38BF">
        <w:rPr>
          <w:rFonts w:ascii="Palatino Linotype" w:eastAsia="Palatino Linotype" w:hAnsi="Palatino Linotype" w:cs="Palatino Linotype"/>
          <w:noProof/>
        </w:rPr>
        <w:drawing>
          <wp:inline distT="0" distB="0" distL="0" distR="0" wp14:anchorId="46BB68AB" wp14:editId="1EAB4EC6">
            <wp:extent cx="5415502" cy="1623695"/>
            <wp:effectExtent l="0" t="0" r="0" b="0"/>
            <wp:docPr id="19356683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415502" cy="1623695"/>
                    </a:xfrm>
                    <a:prstGeom prst="rect">
                      <a:avLst/>
                    </a:prstGeom>
                    <a:ln/>
                  </pic:spPr>
                </pic:pic>
              </a:graphicData>
            </a:graphic>
          </wp:inline>
        </w:drawing>
      </w:r>
    </w:p>
    <w:p w14:paraId="57645528"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F23D0C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Como se puede observar de la imagen, la persona solicitante requirió la entrega de la información a través del sistema SAIMEX, por lo tanto, es evidente que las razones o motivos de inconformidad alegados devienen fundados en razón de que no le fue proporcionada la información que requirió, a pesar de haber reconocido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de manera expresa, que cuenta con ella, por tal motivo el Derecho de acceso no pude tenerse por colmado, toda vez que se condicionó la entrega de dicha información a la realización de un pago.</w:t>
      </w:r>
    </w:p>
    <w:p w14:paraId="5C0C1AD5" w14:textId="77777777" w:rsidR="00E458B2" w:rsidRPr="007C38BF" w:rsidRDefault="00E458B2">
      <w:pPr>
        <w:spacing w:after="0" w:line="360" w:lineRule="auto"/>
        <w:jc w:val="both"/>
        <w:rPr>
          <w:rFonts w:ascii="Palatino Linotype" w:eastAsia="Palatino Linotype" w:hAnsi="Palatino Linotype" w:cs="Palatino Linotype"/>
        </w:rPr>
      </w:pPr>
    </w:p>
    <w:p w14:paraId="576E495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Atento a lo anterior, es oportuno referir que la Ley de Transparencia y Acceso a la Información Pública del Estado de México y Municipios, en el artículo 155 fracción V, dispone que para presentar solicitud de acceso a la información se deberá atender lo dispuesto en el mismo, resaltando que deberá indicarse la modalidad en la que prefiere se otorgue la información, la cual podrá ser verbal, siempre y cuando sea para fines de orientación, mediante consulta directa, mediante la expedición de copias simples o certificadas o la reproducción en cualquier otro medio, incluidos los electrónicos, que en el caso, en la entidad, el Órgano Garante determinó en el formato de solicitud, que podría ser SAIMEX, CD-Rom (con costo), copias simples (con costo), copias certificadas (con costo), consulta directa (sin costo), o bien, cualquier otro que determine el particular.</w:t>
      </w:r>
    </w:p>
    <w:p w14:paraId="3D00D1B8" w14:textId="77777777" w:rsidR="00E458B2" w:rsidRPr="007C38BF" w:rsidRDefault="00E458B2">
      <w:pPr>
        <w:tabs>
          <w:tab w:val="left" w:pos="2625"/>
        </w:tabs>
        <w:spacing w:after="0" w:line="360" w:lineRule="auto"/>
        <w:jc w:val="both"/>
        <w:rPr>
          <w:rFonts w:ascii="Palatino Linotype" w:eastAsia="Palatino Linotype" w:hAnsi="Palatino Linotype" w:cs="Palatino Linotype"/>
        </w:rPr>
      </w:pPr>
    </w:p>
    <w:p w14:paraId="637A5962"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Por su parte, el artículo 164 de la Ley de Transparencia y Acceso a la Información Pública del Estado de México y Municipios, establece lo que es de la literalidad siguiente:</w:t>
      </w:r>
    </w:p>
    <w:p w14:paraId="67C3E0C3" w14:textId="77777777" w:rsidR="00E458B2" w:rsidRPr="007C38BF" w:rsidRDefault="00E458B2">
      <w:pPr>
        <w:spacing w:after="0"/>
        <w:ind w:left="851" w:right="902"/>
        <w:jc w:val="both"/>
        <w:rPr>
          <w:rFonts w:ascii="Palatino Linotype" w:eastAsia="Palatino Linotype" w:hAnsi="Palatino Linotype" w:cs="Palatino Linotype"/>
          <w:i/>
          <w:iCs/>
        </w:rPr>
      </w:pPr>
    </w:p>
    <w:p w14:paraId="609282B6"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164</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El acceso se dará en la modalidad de entrega y, en su caso, de envío elegidos por el solicitante</w:t>
      </w:r>
      <w:r w:rsidRPr="007C38BF">
        <w:rPr>
          <w:rFonts w:ascii="Palatino Linotype" w:eastAsia="Palatino Linotype" w:hAnsi="Palatino Linotype" w:cs="Palatino Linotype"/>
          <w:i/>
          <w:iCs/>
        </w:rPr>
        <w:t>. Cuando la información no pueda entregarse o enviarse en la modalidad solicitada, el sujeto obligado deberá ofrecer otra u otras modalidades de entrega.</w:t>
      </w:r>
    </w:p>
    <w:p w14:paraId="6FAD7334"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En cualquier caso, se deberá fundar y motivar la necesidad de ofrecer otras modalidades.”</w:t>
      </w:r>
    </w:p>
    <w:p w14:paraId="6C299217" w14:textId="77777777" w:rsidR="00E458B2" w:rsidRPr="007C38BF" w:rsidRDefault="00E458B2">
      <w:pPr>
        <w:spacing w:after="0"/>
        <w:ind w:left="851" w:right="902"/>
        <w:jc w:val="both"/>
        <w:rPr>
          <w:rFonts w:ascii="Palatino Linotype" w:eastAsia="Palatino Linotype" w:hAnsi="Palatino Linotype" w:cs="Palatino Linotype"/>
          <w:i/>
          <w:iCs/>
        </w:rPr>
      </w:pPr>
    </w:p>
    <w:p w14:paraId="11D6747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De modo, que el acceso a la información debe darse en la modalidad de entrega elegida por la persona solicitante, y sólo para los casos en que se encuentren impedidos los Sujetos Obligados podrán ofrecer otra u otras modalidades debiendo fundar y motivar adecuadamente el cambio de modalidad en la entrega de la información.</w:t>
      </w:r>
    </w:p>
    <w:p w14:paraId="6B3ED9A9" w14:textId="77777777" w:rsidR="00E458B2" w:rsidRPr="007C38BF" w:rsidRDefault="00E458B2">
      <w:pPr>
        <w:spacing w:after="0" w:line="360" w:lineRule="auto"/>
        <w:jc w:val="both"/>
        <w:rPr>
          <w:rFonts w:ascii="Palatino Linotype" w:eastAsia="Palatino Linotype" w:hAnsi="Palatino Linotype" w:cs="Palatino Linotype"/>
        </w:rPr>
      </w:pPr>
    </w:p>
    <w:p w14:paraId="65311FD4"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los mismos términos, el artículo 16 de la Constitución Política de los Estados Unidos Mexicanos, exige que todo acto de autoridad debe de estar debidamente fundado y motivado, en el que se exprese el precepto legal aplicable al caso, además de señalarse las circunstancias, razones particulares o causas inmediatas que se hayan tenido en cuenta para la emisión del acto. </w:t>
      </w:r>
    </w:p>
    <w:p w14:paraId="289EF689" w14:textId="77777777" w:rsidR="00E458B2" w:rsidRPr="007C38BF" w:rsidRDefault="00E458B2">
      <w:pPr>
        <w:spacing w:after="0" w:line="360" w:lineRule="auto"/>
        <w:jc w:val="both"/>
        <w:rPr>
          <w:rFonts w:ascii="Palatino Linotype" w:eastAsia="Palatino Linotype" w:hAnsi="Palatino Linotype" w:cs="Palatino Linotype"/>
        </w:rPr>
      </w:pPr>
    </w:p>
    <w:p w14:paraId="7564BC8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Asimismo, debemos partir de la premisa de que el ejercicio del derecho de acceso a la información, conlleva la observancia de principios rectores que consisten en las bases, fundamentos o los parámetros fundamentales que permitan el ejercicio de la garantía que posee toda persona para atraerse de información, informar y ser informada, estableciéndose de manera genérica, los principios de acceso universal, de máxima publicidad, de</w:t>
      </w:r>
      <w:r w:rsidRPr="007C38BF">
        <w:rPr>
          <w:rFonts w:ascii="Palatino Linotype" w:eastAsia="Palatino Linotype" w:hAnsi="Palatino Linotype" w:cs="Palatino Linotype"/>
          <w:b/>
          <w:bCs/>
          <w:i/>
          <w:iCs/>
        </w:rPr>
        <w:t xml:space="preserve"> gratuidad</w:t>
      </w:r>
      <w:r w:rsidRPr="007C38BF">
        <w:rPr>
          <w:rFonts w:ascii="Palatino Linotype" w:eastAsia="Palatino Linotype" w:hAnsi="Palatino Linotype" w:cs="Palatino Linotype"/>
        </w:rPr>
        <w:t>, de certeza, de celeridad, de objetividad,  entre otros.</w:t>
      </w:r>
    </w:p>
    <w:p w14:paraId="34A1BAA6" w14:textId="77777777" w:rsidR="00E458B2" w:rsidRPr="007C38BF" w:rsidRDefault="00E458B2">
      <w:pPr>
        <w:spacing w:after="0" w:line="360" w:lineRule="auto"/>
        <w:jc w:val="both"/>
        <w:rPr>
          <w:rFonts w:ascii="Palatino Linotype" w:eastAsia="Palatino Linotype" w:hAnsi="Palatino Linotype" w:cs="Palatino Linotype"/>
        </w:rPr>
      </w:pPr>
    </w:p>
    <w:p w14:paraId="3B8234EB"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Así, a través del </w:t>
      </w:r>
      <w:r w:rsidRPr="007C38BF">
        <w:rPr>
          <w:rFonts w:ascii="Palatino Linotype" w:eastAsia="Palatino Linotype" w:hAnsi="Palatino Linotype" w:cs="Palatino Linotype"/>
          <w:b/>
          <w:bCs/>
          <w:u w:val="single"/>
        </w:rPr>
        <w:t>principio de gratuidad</w:t>
      </w:r>
      <w:r w:rsidRPr="007C38BF">
        <w:rPr>
          <w:rFonts w:ascii="Palatino Linotype" w:eastAsia="Palatino Linotype" w:hAnsi="Palatino Linotype" w:cs="Palatino Linotype"/>
        </w:rPr>
        <w:t xml:space="preserve"> del acceso a la información pública, se busca que el mayor número posible de personas pueda ejercer el derecho fundamental de acceso a la información, con la finalidad de que la condición económica de las personas, no constituya un obstáculo para el ejercicio de acceso a la información, o bien y en virtud de la modalidad de acceso a la información solicitada, su costo represente una barrera fácilmente franqueable.</w:t>
      </w:r>
    </w:p>
    <w:p w14:paraId="0D34E135" w14:textId="77777777" w:rsidR="00E458B2" w:rsidRPr="007C38BF" w:rsidRDefault="00E458B2">
      <w:pPr>
        <w:spacing w:after="0" w:line="360" w:lineRule="auto"/>
        <w:jc w:val="both"/>
        <w:rPr>
          <w:rFonts w:ascii="Palatino Linotype" w:eastAsia="Palatino Linotype" w:hAnsi="Palatino Linotype" w:cs="Palatino Linotype"/>
        </w:rPr>
      </w:pPr>
    </w:p>
    <w:p w14:paraId="40B06CD2"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razón de este principio, se instituye que la consulta de documentos o información en el sitio donde se encontrare no tendrá costo alguno; asimismo, los costos por obtener información no podrán ser superiores a la suma del costo de los materiales utilizados para la </w:t>
      </w:r>
      <w:r w:rsidRPr="007C38BF">
        <w:rPr>
          <w:rFonts w:ascii="Palatino Linotype" w:eastAsia="Palatino Linotype" w:hAnsi="Palatino Linotype" w:cs="Palatino Linotype"/>
          <w:b/>
          <w:bCs/>
          <w:i/>
          <w:iCs/>
        </w:rPr>
        <w:t xml:space="preserve">reproducción </w:t>
      </w:r>
      <w:r w:rsidRPr="007C38BF">
        <w:rPr>
          <w:rFonts w:ascii="Palatino Linotype" w:eastAsia="Palatino Linotype" w:hAnsi="Palatino Linotype" w:cs="Palatino Linotype"/>
        </w:rPr>
        <w:t xml:space="preserve">de la información, y en su caso del costo de </w:t>
      </w:r>
      <w:r w:rsidRPr="007C38BF">
        <w:rPr>
          <w:rFonts w:ascii="Palatino Linotype" w:eastAsia="Palatino Linotype" w:hAnsi="Palatino Linotype" w:cs="Palatino Linotype"/>
          <w:b/>
          <w:bCs/>
          <w:i/>
          <w:iCs/>
        </w:rPr>
        <w:t>envío</w:t>
      </w:r>
      <w:r w:rsidRPr="007C38BF">
        <w:rPr>
          <w:rFonts w:ascii="Palatino Linotype" w:eastAsia="Palatino Linotype" w:hAnsi="Palatino Linotype" w:cs="Palatino Linotype"/>
        </w:rPr>
        <w:t>, finalmente, conlleva implícitamente un esfuerzo por parte de los Sujetos Obligados para reducir los costos de entrega de la información.</w:t>
      </w:r>
    </w:p>
    <w:p w14:paraId="4B4B8177" w14:textId="77777777" w:rsidR="00E458B2" w:rsidRPr="007C38BF" w:rsidRDefault="00E458B2">
      <w:pPr>
        <w:spacing w:after="0" w:line="360" w:lineRule="auto"/>
        <w:jc w:val="both"/>
        <w:rPr>
          <w:rFonts w:ascii="Palatino Linotype" w:eastAsia="Palatino Linotype" w:hAnsi="Palatino Linotype" w:cs="Palatino Linotype"/>
        </w:rPr>
      </w:pPr>
    </w:p>
    <w:p w14:paraId="2AB28F85"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Atento a lo anterior, nuestra Carta Magna, así como la Constitución Política de nuestro Estado, contemplan el ejercicio del derecho de acceso a la información bajo el principio de gratuidad, garantizando la protección a un derecho fundamental que tienen dimensión social, al ser un condicionante necesario para el funcionamiento de una sociedad democrática, por lo que cualquier afectación a éste exige una justificación y jamás puede tener efectos recaudatorios, al menos que la reproducción de la información sea en fotocopias, respaldos informativos, entre otros.</w:t>
      </w:r>
    </w:p>
    <w:p w14:paraId="1F389A44" w14:textId="77777777" w:rsidR="00E458B2" w:rsidRPr="007C38BF" w:rsidRDefault="00E458B2">
      <w:pPr>
        <w:spacing w:after="0" w:line="360" w:lineRule="auto"/>
        <w:jc w:val="both"/>
        <w:rPr>
          <w:rFonts w:ascii="Palatino Linotype" w:eastAsia="Palatino Linotype" w:hAnsi="Palatino Linotype" w:cs="Palatino Linotype"/>
        </w:rPr>
      </w:pPr>
    </w:p>
    <w:p w14:paraId="5982D7F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otra parte, la Ley de Transparencia y Acceso a la Información Pública del Estado de México y Municipios, que tiene entre sus objetivos el de proveer lo necesario para garantizar a toda persona el derecho de acceso a la información pública, a través de procedimientos sencillos, expeditos, oportunos y </w:t>
      </w:r>
      <w:r w:rsidRPr="007C38BF">
        <w:rPr>
          <w:rFonts w:ascii="Palatino Linotype" w:eastAsia="Palatino Linotype" w:hAnsi="Palatino Linotype" w:cs="Palatino Linotype"/>
          <w:b/>
          <w:bCs/>
          <w:i/>
          <w:iCs/>
        </w:rPr>
        <w:t>gratuitos</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 xml:space="preserve">refiere en los artículos 17 y 150, que la búsqueda y acceso a la información es gratuita y </w:t>
      </w:r>
      <w:r w:rsidRPr="007C38BF">
        <w:rPr>
          <w:rFonts w:ascii="Palatino Linotype" w:eastAsia="Palatino Linotype" w:hAnsi="Palatino Linotype" w:cs="Palatino Linotype"/>
          <w:b/>
          <w:bCs/>
          <w:i/>
          <w:iCs/>
        </w:rPr>
        <w:t>sólo se cubrirá en su caso, los gastos de reproducción</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i/>
          <w:iCs/>
          <w:u w:val="single"/>
        </w:rPr>
        <w:t>por la modalidad de entrega solicitada</w:t>
      </w:r>
      <w:r w:rsidRPr="007C38BF">
        <w:rPr>
          <w:rFonts w:ascii="Palatino Linotype" w:eastAsia="Palatino Linotype" w:hAnsi="Palatino Linotype" w:cs="Palatino Linotype"/>
          <w:u w:val="single"/>
        </w:rPr>
        <w:t xml:space="preserve">, </w:t>
      </w:r>
      <w:r w:rsidRPr="007C38BF">
        <w:rPr>
          <w:rFonts w:ascii="Palatino Linotype" w:eastAsia="Palatino Linotype" w:hAnsi="Palatino Linotype" w:cs="Palatino Linotype"/>
          <w:b/>
          <w:bCs/>
          <w:i/>
          <w:iCs/>
          <w:u w:val="single"/>
        </w:rPr>
        <w:t>o por el envió</w:t>
      </w:r>
      <w:r w:rsidRPr="007C38BF">
        <w:rPr>
          <w:rFonts w:ascii="Palatino Linotype" w:eastAsia="Palatino Linotype" w:hAnsi="Palatino Linotype" w:cs="Palatino Linotype"/>
          <w:u w:val="single"/>
        </w:rPr>
        <w:t xml:space="preserve"> </w:t>
      </w:r>
      <w:r w:rsidRPr="007C38BF">
        <w:rPr>
          <w:rFonts w:ascii="Palatino Linotype" w:eastAsia="Palatino Linotype" w:hAnsi="Palatino Linotype" w:cs="Palatino Linotype"/>
        </w:rPr>
        <w:t xml:space="preserve">de conformidad con los derechos, productos y aprovechamientos establecidos en la legislación aplicable, en razón de que el procedimiento de acceso a la información es la garantía primaria del derecho en cuestión y </w:t>
      </w:r>
      <w:r w:rsidRPr="007C38BF">
        <w:rPr>
          <w:rFonts w:ascii="Palatino Linotype" w:eastAsia="Palatino Linotype" w:hAnsi="Palatino Linotype" w:cs="Palatino Linotype"/>
          <w:i/>
          <w:iCs/>
        </w:rPr>
        <w:t>se rige por los principios de simplicidad, rapidez, gratuidad,</w:t>
      </w:r>
      <w:r w:rsidRPr="007C38BF">
        <w:rPr>
          <w:rFonts w:ascii="Palatino Linotype" w:eastAsia="Palatino Linotype" w:hAnsi="Palatino Linotype" w:cs="Palatino Linotype"/>
        </w:rPr>
        <w:t xml:space="preserve"> auxilio y orientación a los particulares, en virtud de que constituye el primer paso para integrar activamente a la ciudadanía en la acción gubernamental, toda vez que con la información proporcionada por medio de las políticas de transparencia, los ciudadanos son participes de las acciones realizadas por los entes públicos, lo que favorece la rendición de cuentas.</w:t>
      </w:r>
    </w:p>
    <w:p w14:paraId="0BA47148" w14:textId="77777777" w:rsidR="00E458B2" w:rsidRPr="007C38BF" w:rsidRDefault="00E458B2">
      <w:pPr>
        <w:spacing w:after="0" w:line="360" w:lineRule="auto"/>
        <w:jc w:val="both"/>
        <w:rPr>
          <w:rFonts w:ascii="Palatino Linotype" w:eastAsia="Palatino Linotype" w:hAnsi="Palatino Linotype" w:cs="Palatino Linotype"/>
        </w:rPr>
      </w:pPr>
    </w:p>
    <w:p w14:paraId="3E9A9A5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este tenor, por regla general la entrega de la información que se solicite en ejercicio del derecho de acceso a la información pública, deberá ser en congruencia con el principio de gratuidad y solamente en casos excepcionales se procederá al cobro para la entrega de la información, lo cual ocurrirá </w:t>
      </w:r>
      <w:r w:rsidRPr="007C38BF">
        <w:rPr>
          <w:rFonts w:ascii="Palatino Linotype" w:eastAsia="Palatino Linotype" w:hAnsi="Palatino Linotype" w:cs="Palatino Linotype"/>
          <w:b/>
          <w:bCs/>
          <w:i/>
          <w:iCs/>
        </w:rPr>
        <w:t>en caso de que se tenga que generar un gasto por la reproducción, por el envío, o por la modalidad de entrega solicitada,</w:t>
      </w:r>
      <w:r w:rsidRPr="007C38BF">
        <w:rPr>
          <w:rFonts w:ascii="Palatino Linotype" w:eastAsia="Palatino Linotype" w:hAnsi="Palatino Linotype" w:cs="Palatino Linotype"/>
        </w:rPr>
        <w:t xml:space="preserve"> supuestos que encuadran con lo establecido en los artículos 9 fracción III, 17, 165, 174, 175 de la Ley de Acceso a la Información Pública del Estado de México y Municipios, así como el artículo 4.22 de su Reglamento.</w:t>
      </w:r>
    </w:p>
    <w:p w14:paraId="4C20DF5D" w14:textId="77777777" w:rsidR="00E458B2" w:rsidRPr="007C38BF" w:rsidRDefault="00E458B2">
      <w:pPr>
        <w:spacing w:after="0" w:line="360" w:lineRule="auto"/>
        <w:jc w:val="both"/>
        <w:rPr>
          <w:rFonts w:ascii="Palatino Linotype" w:eastAsia="Palatino Linotype" w:hAnsi="Palatino Linotype" w:cs="Palatino Linotype"/>
        </w:rPr>
      </w:pPr>
    </w:p>
    <w:p w14:paraId="2425DD1C"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No obstante, en el caso concreto, dichos preceptos son interpretados en perjuicio de la parte solicitante, como se explica enseguida, para lo cual es necesario hacer referencia a los mismos en su parte conducente: </w:t>
      </w:r>
    </w:p>
    <w:p w14:paraId="5BA04B58"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2F775672"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 xml:space="preserve">Artículo 9. </w:t>
      </w:r>
      <w:r w:rsidRPr="007C38BF">
        <w:rPr>
          <w:rFonts w:ascii="Palatino Linotype" w:eastAsia="Palatino Linotype" w:hAnsi="Palatino Linotype" w:cs="Palatino Linotype"/>
          <w:i/>
          <w:iCs/>
        </w:rPr>
        <w:t>El Instituto deberá regir su funcionamiento de acuerdo a los siguientes principios:</w:t>
      </w:r>
    </w:p>
    <w:p w14:paraId="103C2756" w14:textId="77777777" w:rsidR="00E458B2" w:rsidRPr="007C38BF" w:rsidRDefault="008A7751">
      <w:pP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w:t>
      </w:r>
    </w:p>
    <w:p w14:paraId="6EBDD280"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III. Gratuidad: </w:t>
      </w:r>
      <w:r w:rsidRPr="007C38BF">
        <w:rPr>
          <w:rFonts w:ascii="Palatino Linotype" w:eastAsia="Palatino Linotype" w:hAnsi="Palatino Linotype" w:cs="Palatino Linotype"/>
          <w:i/>
          <w:iCs/>
        </w:rPr>
        <w:t xml:space="preserve">Consiste en que el acceso a la información pública no genera costo alguno para los solicitantes, </w:t>
      </w:r>
      <w:r w:rsidRPr="007C38BF">
        <w:rPr>
          <w:rFonts w:ascii="Palatino Linotype" w:eastAsia="Palatino Linotype" w:hAnsi="Palatino Linotype" w:cs="Palatino Linotype"/>
          <w:b/>
          <w:bCs/>
          <w:i/>
          <w:iCs/>
        </w:rPr>
        <w:t xml:space="preserve">sólo podrá requerirse el cobro correspondiente a la modalidad de reproducción y entrega solicitada </w:t>
      </w:r>
      <w:r w:rsidRPr="007C38BF">
        <w:rPr>
          <w:rFonts w:ascii="Palatino Linotype" w:eastAsia="Palatino Linotype" w:hAnsi="Palatino Linotype" w:cs="Palatino Linotype"/>
          <w:i/>
          <w:iCs/>
        </w:rPr>
        <w:t>conforme a lo establecido en la presente Ley y demás disposiciones jurídicas aplicables;</w:t>
      </w:r>
    </w:p>
    <w:p w14:paraId="0341648D"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7EBB25FF"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Artículo 17. </w:t>
      </w:r>
      <w:r w:rsidRPr="007C38BF">
        <w:rPr>
          <w:rFonts w:ascii="Palatino Linotype" w:eastAsia="Palatino Linotype" w:hAnsi="Palatino Linotype" w:cs="Palatino Linotype"/>
          <w:i/>
          <w:iCs/>
        </w:rPr>
        <w:t xml:space="preserve">La búsqueda y acceso a la información es gratuita y </w:t>
      </w:r>
      <w:r w:rsidRPr="007C38BF">
        <w:rPr>
          <w:rFonts w:ascii="Palatino Linotype" w:eastAsia="Palatino Linotype" w:hAnsi="Palatino Linotype" w:cs="Palatino Linotype"/>
          <w:b/>
          <w:bCs/>
          <w:i/>
          <w:iCs/>
        </w:rPr>
        <w:t>solo se cubrirán los gastos de reproducción, o por la modalidad de entrega solicitada</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así como por el envío</w:t>
      </w:r>
      <w:r w:rsidRPr="007C38BF">
        <w:rPr>
          <w:rFonts w:ascii="Palatino Linotype" w:eastAsia="Palatino Linotype" w:hAnsi="Palatino Linotype" w:cs="Palatino Linotype"/>
          <w:i/>
          <w:iCs/>
        </w:rPr>
        <w:t>, que en su caso se genere, de conformidad con los derechos, productos y aprovechamientos establecidos en la legislación aplicable, sin que exceda de los límites establecidos en la presente Ley.</w:t>
      </w:r>
    </w:p>
    <w:p w14:paraId="6CADB15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5E79DB6E"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Artículo 165. …</w:t>
      </w:r>
    </w:p>
    <w:p w14:paraId="03E3F00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La información que se entregue en versión pública, </w:t>
      </w:r>
      <w:r w:rsidRPr="007C38BF">
        <w:rPr>
          <w:rFonts w:ascii="Palatino Linotype" w:eastAsia="Palatino Linotype" w:hAnsi="Palatino Linotype" w:cs="Palatino Linotype"/>
          <w:b/>
          <w:bCs/>
          <w:i/>
          <w:iCs/>
        </w:rPr>
        <w:t xml:space="preserve">cuya modalidad de reproducción o envío tenga un costo, </w:t>
      </w:r>
      <w:r w:rsidRPr="007C38BF">
        <w:rPr>
          <w:rFonts w:ascii="Palatino Linotype" w:eastAsia="Palatino Linotype" w:hAnsi="Palatino Linotype" w:cs="Palatino Linotype"/>
          <w:i/>
          <w:iCs/>
        </w:rPr>
        <w:t>procederá una vez que se acredite el pago respectivo. No puede entenderse como reproducción la elaboración de la misma.</w:t>
      </w:r>
    </w:p>
    <w:p w14:paraId="5A7C8ABF"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76E3966D"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 Artículo 174. En caso de existir costos para obtener la información</w:t>
      </w:r>
      <w:r w:rsidRPr="007C38BF">
        <w:rPr>
          <w:rFonts w:ascii="Palatino Linotype" w:eastAsia="Palatino Linotype" w:hAnsi="Palatino Linotype" w:cs="Palatino Linotype"/>
          <w:i/>
          <w:iCs/>
        </w:rPr>
        <w:t xml:space="preserve"> deberán cubrirse de manera previa a la entrega y </w:t>
      </w:r>
      <w:r w:rsidRPr="007C38BF">
        <w:rPr>
          <w:rFonts w:ascii="Palatino Linotype" w:eastAsia="Palatino Linotype" w:hAnsi="Palatino Linotype" w:cs="Palatino Linotype"/>
          <w:b/>
          <w:bCs/>
          <w:i/>
          <w:iCs/>
        </w:rPr>
        <w:t>no podrán ser superiores a la suma de</w:t>
      </w:r>
      <w:r w:rsidRPr="007C38BF">
        <w:rPr>
          <w:rFonts w:ascii="Palatino Linotype" w:eastAsia="Palatino Linotype" w:hAnsi="Palatino Linotype" w:cs="Palatino Linotype"/>
          <w:i/>
          <w:iCs/>
        </w:rPr>
        <w:t>:</w:t>
      </w:r>
    </w:p>
    <w:p w14:paraId="140EDA06" w14:textId="77777777" w:rsidR="00E458B2" w:rsidRPr="007C38BF" w:rsidRDefault="00E458B2">
      <w:pPr>
        <w:spacing w:after="0" w:line="276" w:lineRule="auto"/>
        <w:ind w:left="851" w:right="616"/>
        <w:jc w:val="both"/>
        <w:rPr>
          <w:rFonts w:ascii="Palatino Linotype" w:eastAsia="Palatino Linotype" w:hAnsi="Palatino Linotype" w:cs="Palatino Linotype"/>
          <w:i/>
          <w:iCs/>
        </w:rPr>
      </w:pPr>
    </w:p>
    <w:p w14:paraId="18CEC690"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El costo de los materiales utilizados en la reproducción</w:t>
      </w:r>
      <w:r w:rsidRPr="007C38BF">
        <w:rPr>
          <w:rFonts w:ascii="Palatino Linotype" w:eastAsia="Palatino Linotype" w:hAnsi="Palatino Linotype" w:cs="Palatino Linotype"/>
          <w:i/>
          <w:iCs/>
        </w:rPr>
        <w:t xml:space="preserve"> de la información;</w:t>
      </w:r>
    </w:p>
    <w:p w14:paraId="4FA4467F"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El costo de envío</w:t>
      </w:r>
      <w:r w:rsidRPr="007C38BF">
        <w:rPr>
          <w:rFonts w:ascii="Palatino Linotype" w:eastAsia="Palatino Linotype" w:hAnsi="Palatino Linotype" w:cs="Palatino Linotype"/>
          <w:i/>
          <w:iCs/>
        </w:rPr>
        <w:t>, en su caso; y</w:t>
      </w:r>
    </w:p>
    <w:p w14:paraId="6C315B36"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El pago de la certificación de los documentos</w:t>
      </w:r>
      <w:r w:rsidRPr="007C38BF">
        <w:rPr>
          <w:rFonts w:ascii="Palatino Linotype" w:eastAsia="Palatino Linotype" w:hAnsi="Palatino Linotype" w:cs="Palatino Linotype"/>
          <w:i/>
          <w:iCs/>
        </w:rPr>
        <w:t>, cuando proceda.</w:t>
      </w:r>
    </w:p>
    <w:p w14:paraId="3C852818"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Las cuotas de los derechos aplicables deberán establecerse, en su caso, en el </w:t>
      </w:r>
      <w:r w:rsidRPr="007C38BF">
        <w:rPr>
          <w:rFonts w:ascii="Palatino Linotype" w:eastAsia="Palatino Linotype" w:hAnsi="Palatino Linotype" w:cs="Palatino Linotype"/>
          <w:b/>
          <w:bCs/>
          <w:i/>
          <w:iCs/>
        </w:rPr>
        <w:t>Código Financiero del Estado de México y Municipios</w:t>
      </w:r>
      <w:r w:rsidRPr="007C38BF">
        <w:rPr>
          <w:rFonts w:ascii="Palatino Linotype" w:eastAsia="Palatino Linotype" w:hAnsi="Palatino Linotype" w:cs="Palatino Linotype"/>
          <w:i/>
          <w:iCs/>
        </w:rPr>
        <w:t xml:space="preserve"> y demás disposiciones jurídicas aplicables, las cuales se publicarán en los sitios de internet de los sujetos obligados…” </w:t>
      </w:r>
    </w:p>
    <w:p w14:paraId="5B5FF5C3"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0B6419E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Artículo 175. </w:t>
      </w:r>
      <w:r w:rsidRPr="007C38BF">
        <w:rPr>
          <w:rFonts w:ascii="Palatino Linotype" w:eastAsia="Palatino Linotype" w:hAnsi="Palatino Linotype" w:cs="Palatino Linotype"/>
          <w:i/>
          <w:iCs/>
        </w:rPr>
        <w:t>…</w:t>
      </w:r>
    </w:p>
    <w:p w14:paraId="1A42612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En ningún caso, el pago de derechos deberá exceder el</w:t>
      </w:r>
      <w:r w:rsidRPr="007C38BF">
        <w:rPr>
          <w:rFonts w:ascii="Palatino Linotype" w:eastAsia="Palatino Linotype" w:hAnsi="Palatino Linotype" w:cs="Palatino Linotype"/>
          <w:b/>
          <w:bCs/>
          <w:i/>
          <w:iCs/>
        </w:rPr>
        <w:t xml:space="preserve"> costo de reproducción de la información en el material solicitado</w:t>
      </w:r>
      <w:r w:rsidRPr="007C38BF">
        <w:rPr>
          <w:rFonts w:ascii="Palatino Linotype" w:eastAsia="Palatino Linotype" w:hAnsi="Palatino Linotype" w:cs="Palatino Linotype"/>
          <w:i/>
          <w:iCs/>
        </w:rPr>
        <w:t>.”</w:t>
      </w:r>
    </w:p>
    <w:p w14:paraId="7F95CB6A"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4.22</w:t>
      </w:r>
      <w:r w:rsidRPr="007C38BF">
        <w:rPr>
          <w:rFonts w:ascii="Palatino Linotype" w:eastAsia="Palatino Linotype" w:hAnsi="Palatino Linotype" w:cs="Palatino Linotype"/>
          <w:i/>
          <w:iCs/>
        </w:rPr>
        <w:t>.- Cuando los solicitantes requieran de los sujetos obligados la expedición de copias simples, certificadas o en cualquier otro medio físico que contenga la información solicitada, y que pueda ser reproducida por tener los elementos necesarios para ello, o bien, que por disposiciones legales aplicables puedan ser materia de su reproducción, deberán acreditar previamente el pago por concepto de derechos, productos o aprovechamientos establecidos en el Código Financiero del Estado de México y Municipios, y demás normatividad aplicable. Los términos y plazos para que los sujetos obligados cumplan con las obligaciones correspondientes, se contarán a partir del día en que se acredite debidamente el pago, ante las unidades de información.”</w:t>
      </w:r>
    </w:p>
    <w:p w14:paraId="30A98ED4" w14:textId="77777777" w:rsidR="00E458B2" w:rsidRPr="007C38BF" w:rsidRDefault="00E458B2">
      <w:pPr>
        <w:spacing w:after="0" w:line="360" w:lineRule="auto"/>
        <w:jc w:val="both"/>
        <w:rPr>
          <w:rFonts w:ascii="Palatino Linotype" w:eastAsia="Palatino Linotype" w:hAnsi="Palatino Linotype" w:cs="Palatino Linotype"/>
        </w:rPr>
      </w:pPr>
    </w:p>
    <w:p w14:paraId="73D93574"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En efecto, de los preceptos citados se desprende que la Ley de la materia estableció el cobró de derechos para la entrega de la información, con el objeto de que se cubran los costos de los materiales utilizados en la reproducción de la información, el costo por él envió de la misma o el pago por la certificación.</w:t>
      </w:r>
    </w:p>
    <w:p w14:paraId="6EE48631" w14:textId="77777777" w:rsidR="00E458B2" w:rsidRPr="007C38BF" w:rsidRDefault="00E458B2">
      <w:pPr>
        <w:spacing w:after="0" w:line="360" w:lineRule="auto"/>
        <w:jc w:val="both"/>
        <w:rPr>
          <w:rFonts w:ascii="Palatino Linotype" w:eastAsia="Palatino Linotype" w:hAnsi="Palatino Linotype" w:cs="Palatino Linotype"/>
        </w:rPr>
      </w:pPr>
    </w:p>
    <w:p w14:paraId="4FFD0B1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tal sentido, en el presente caso, la entrega de los documentos que conforman los expedientes laborales y los recibos de nómina de los servidores públicos adscritos al área de Ingresos, Cuentas por Pagar y Adquisiciones, debe realizarse mediante el sistema SAIMEX, sin costo para la persona solicitante, en versión pública de ser procedente, acompañando el acuerdo el Comité de Transparencia en el que funde y motive las razones sobre los datos que se supriman o eliminen de los soportes documentales objeto de las versiones públicas que se formulen. </w:t>
      </w:r>
    </w:p>
    <w:p w14:paraId="399F9D51" w14:textId="77777777" w:rsidR="00E458B2" w:rsidRPr="007C38BF" w:rsidRDefault="00E458B2">
      <w:pPr>
        <w:spacing w:after="0" w:line="360" w:lineRule="auto"/>
        <w:jc w:val="both"/>
        <w:rPr>
          <w:rFonts w:ascii="Palatino Linotype" w:eastAsia="Palatino Linotype" w:hAnsi="Palatino Linotype" w:cs="Palatino Linotype"/>
        </w:rPr>
      </w:pPr>
    </w:p>
    <w:p w14:paraId="3B63011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otra parte, respecto de las manifestaciones realizadas por el </w:t>
      </w:r>
      <w:r w:rsidRPr="007C38BF">
        <w:rPr>
          <w:rFonts w:ascii="Palatino Linotype" w:eastAsia="Palatino Linotype" w:hAnsi="Palatino Linotype" w:cs="Palatino Linotype"/>
          <w:b/>
          <w:bCs/>
        </w:rPr>
        <w:t>Recurrente</w:t>
      </w:r>
      <w:r w:rsidRPr="007C38BF">
        <w:rPr>
          <w:rFonts w:ascii="Palatino Linotype" w:eastAsia="Palatino Linotype" w:hAnsi="Palatino Linotype" w:cs="Palatino Linotype"/>
        </w:rPr>
        <w:t xml:space="preserve"> como razones o motivos de inconformidad, consistentes en “…</w:t>
      </w:r>
      <w:r w:rsidRPr="007C38BF">
        <w:rPr>
          <w:rFonts w:ascii="Palatino Linotype" w:eastAsia="Palatino Linotype" w:hAnsi="Palatino Linotype" w:cs="Palatino Linotype"/>
          <w:i/>
          <w:iCs/>
        </w:rPr>
        <w:t>SOLICITO AL PLENO DEL INFOEM, que se investiguen todas las respuestas emitidas por este departamento de transparencia y las dependencias involucradas en emitir contestacionse, ya que no puede ser posible que se laven las manos haciendo alusion a varios articulos</w:t>
      </w:r>
      <w:r w:rsidRPr="007C38BF">
        <w:rPr>
          <w:rFonts w:ascii="Palatino Linotype" w:eastAsia="Palatino Linotype" w:hAnsi="Palatino Linotype" w:cs="Palatino Linotype"/>
        </w:rPr>
        <w:t>…”; se trata de planteamientos que no son atendibles mediante el derecho de acceso a la información pública, toda vez que el derecho al acceso a la información pública constituye una prerrogativa para acceder a documentos o registros de información pública generada o en posesión de los sujetos obligados,  motivo por el cual, este Organismo Garante reitera que dichas manifestaciones no son susceptibles de ser tomadas en consideración,  asimismo derivado que el Recurso de Revisión no es el medio para sancionar, este Organismo Garante sugiere a la persona solicitante, interponer su queja o denuncia ante la autoridad competente.</w:t>
      </w:r>
    </w:p>
    <w:p w14:paraId="602DD94C" w14:textId="77777777" w:rsidR="00E458B2" w:rsidRPr="007C38BF" w:rsidRDefault="00E458B2">
      <w:pPr>
        <w:spacing w:after="0" w:line="360" w:lineRule="auto"/>
        <w:jc w:val="both"/>
        <w:rPr>
          <w:rFonts w:ascii="Palatino Linotype" w:eastAsia="Palatino Linotype" w:hAnsi="Palatino Linotype" w:cs="Palatino Linotype"/>
        </w:rPr>
      </w:pPr>
    </w:p>
    <w:p w14:paraId="59F621CF"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b/>
          <w:bCs/>
        </w:rPr>
        <w:t xml:space="preserve">Quinto. Versión Pública. </w:t>
      </w:r>
      <w:r w:rsidRPr="007C38BF">
        <w:rPr>
          <w:rFonts w:ascii="Palatino Linotype" w:eastAsia="Palatino Linotype" w:hAnsi="Palatino Linotype" w:cs="Palatino Linotype"/>
        </w:rPr>
        <w:t>Como fue debidamente apuntado,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527BDCF0" w14:textId="77777777" w:rsidR="00E458B2" w:rsidRPr="007C38BF" w:rsidRDefault="00E458B2">
      <w:pPr>
        <w:spacing w:after="0" w:line="360" w:lineRule="auto"/>
        <w:ind w:right="51"/>
        <w:jc w:val="both"/>
        <w:rPr>
          <w:rFonts w:ascii="Palatino Linotype" w:eastAsia="Palatino Linotype" w:hAnsi="Palatino Linotype" w:cs="Palatino Linotype"/>
        </w:rPr>
      </w:pPr>
    </w:p>
    <w:p w14:paraId="74D7BBC0"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134AA96B" w14:textId="77777777" w:rsidR="00E458B2" w:rsidRPr="007C38BF" w:rsidRDefault="00E458B2">
      <w:pPr>
        <w:spacing w:after="0" w:line="360" w:lineRule="auto"/>
        <w:ind w:right="49"/>
        <w:jc w:val="both"/>
        <w:rPr>
          <w:rFonts w:ascii="Palatino Linotype" w:eastAsia="Palatino Linotype" w:hAnsi="Palatino Linotype" w:cs="Palatino Linotype"/>
        </w:rPr>
      </w:pPr>
    </w:p>
    <w:p w14:paraId="32521A4E"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12C7F12A" w14:textId="77777777" w:rsidR="00E458B2" w:rsidRPr="007C38BF" w:rsidRDefault="00E458B2">
      <w:pPr>
        <w:spacing w:after="0" w:line="360" w:lineRule="auto"/>
        <w:ind w:right="49"/>
        <w:jc w:val="both"/>
        <w:rPr>
          <w:rFonts w:ascii="Palatino Linotype" w:eastAsia="Palatino Linotype" w:hAnsi="Palatino Linotype" w:cs="Palatino Linotype"/>
        </w:rPr>
      </w:pPr>
    </w:p>
    <w:p w14:paraId="1B7B8F08" w14:textId="77777777" w:rsidR="00E458B2" w:rsidRPr="007C38BF" w:rsidRDefault="008A7751">
      <w:pPr>
        <w:spacing w:after="0" w:line="360" w:lineRule="auto"/>
        <w:ind w:right="49"/>
        <w:jc w:val="both"/>
        <w:rPr>
          <w:rFonts w:ascii="Palatino Linotype" w:eastAsia="Palatino Linotype" w:hAnsi="Palatino Linotype" w:cs="Palatino Linotype"/>
        </w:rPr>
      </w:pPr>
      <w:r w:rsidRPr="007C38BF">
        <w:rPr>
          <w:rFonts w:ascii="Palatino Linotype" w:eastAsia="Palatino Linotype" w:hAnsi="Palatino Linotype" w:cs="Palatino Linotype"/>
        </w:rPr>
        <w:t>Al respecto, los artículos 3, fracciones IX, XX, XXI, XXXII, XLV; 6, 91, 132, 137, 143, fracción I, de la Ley de Transparencia y Acceso a la Información Pública del Estado de México y Municipios vigente establecen:</w:t>
      </w:r>
    </w:p>
    <w:p w14:paraId="6E2AF747" w14:textId="77777777" w:rsidR="00E458B2" w:rsidRPr="007C38BF" w:rsidRDefault="00E458B2">
      <w:pPr>
        <w:spacing w:after="0" w:line="360" w:lineRule="auto"/>
        <w:ind w:right="49"/>
        <w:jc w:val="both"/>
        <w:rPr>
          <w:rFonts w:ascii="Palatino Linotype" w:eastAsia="Palatino Linotype" w:hAnsi="Palatino Linotype" w:cs="Palatino Linotype"/>
        </w:rPr>
      </w:pPr>
    </w:p>
    <w:p w14:paraId="015D42AD"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rPr>
        <w:t> </w:t>
      </w: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3.</w:t>
      </w:r>
      <w:r w:rsidRPr="007C38BF">
        <w:rPr>
          <w:rFonts w:ascii="Palatino Linotype" w:eastAsia="Palatino Linotype" w:hAnsi="Palatino Linotype" w:cs="Palatino Linotype"/>
          <w:i/>
          <w:iCs/>
        </w:rPr>
        <w:t xml:space="preserve"> Para los efectos de la presente Ley se entenderá por:</w:t>
      </w:r>
    </w:p>
    <w:p w14:paraId="71D39F44"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5E91EB4A"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IX. Datos personales</w:t>
      </w:r>
      <w:r w:rsidRPr="007C38BF">
        <w:rPr>
          <w:rFonts w:ascii="Palatino Linotype" w:eastAsia="Palatino Linotype" w:hAnsi="Palatino Linotype" w:cs="Palatino Linotype"/>
          <w:i/>
          <w:iCs/>
        </w:rPr>
        <w:t>: La información concerniente a una persona, identificada o identificable según lo dispuesto por la Ley de Protección de Datos Personales del Estado de México;</w:t>
      </w:r>
    </w:p>
    <w:p w14:paraId="1EFC575E"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51B070B0"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XX. Información clasificada</w:t>
      </w:r>
      <w:r w:rsidRPr="007C38BF">
        <w:rPr>
          <w:rFonts w:ascii="Palatino Linotype" w:eastAsia="Palatino Linotype" w:hAnsi="Palatino Linotype" w:cs="Palatino Linotype"/>
          <w:i/>
          <w:iCs/>
        </w:rPr>
        <w:t>: Aquella considerada por la presente Ley como reservada o confidencial;</w:t>
      </w:r>
    </w:p>
    <w:p w14:paraId="78DFEAF9"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XXI. Información confidencial</w:t>
      </w:r>
      <w:r w:rsidRPr="007C38BF">
        <w:rPr>
          <w:rFonts w:ascii="Palatino Linotype" w:eastAsia="Palatino Linotype" w:hAnsi="Palatino Linotype" w:cs="Palatino Linotype"/>
          <w:i/>
          <w:iCs/>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414646E5"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401AA385"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XXXII. Protección de Datos Personales</w:t>
      </w:r>
      <w:r w:rsidRPr="007C38BF">
        <w:rPr>
          <w:rFonts w:ascii="Palatino Linotype" w:eastAsia="Palatino Linotype" w:hAnsi="Palatino Linotype" w:cs="Palatino Linotype"/>
          <w:i/>
          <w:iCs/>
        </w:rPr>
        <w:t>: Derecho humano que tutela la privacidad de datos personales en poder de los sujetos obligados y sujetos particulares;</w:t>
      </w:r>
    </w:p>
    <w:p w14:paraId="59000779"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712B84D8" w14:textId="77777777" w:rsidR="00E458B2" w:rsidRPr="007C38BF" w:rsidRDefault="008A7751">
      <w:pPr>
        <w:tabs>
          <w:tab w:val="left" w:pos="1276"/>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XLV. Versión pública</w:t>
      </w:r>
      <w:r w:rsidRPr="007C38BF">
        <w:rPr>
          <w:rFonts w:ascii="Palatino Linotype" w:eastAsia="Palatino Linotype" w:hAnsi="Palatino Linotype" w:cs="Palatino Linotype"/>
          <w:i/>
          <w:iCs/>
        </w:rPr>
        <w:t>: Documento en el que se elimine, suprime o borra la información clasificada como reservada o confidencial para permitir su acceso.</w:t>
      </w:r>
    </w:p>
    <w:p w14:paraId="2D945525"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Artículo 6</w:t>
      </w:r>
      <w:r w:rsidRPr="007C38BF">
        <w:rPr>
          <w:rFonts w:ascii="Palatino Linotype" w:eastAsia="Palatino Linotype" w:hAnsi="Palatino Linotype" w:cs="Palatino Linotype"/>
          <w:i/>
          <w:iCs/>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2E933DE4"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61BA1850"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Artículo 91.</w:t>
      </w:r>
      <w:r w:rsidRPr="007C38BF">
        <w:rPr>
          <w:rFonts w:ascii="Palatino Linotype" w:eastAsia="Palatino Linotype" w:hAnsi="Palatino Linotype" w:cs="Palatino Linotype"/>
          <w:i/>
          <w:iCs/>
        </w:rPr>
        <w:t xml:space="preserve"> El acceso a la información pública será restringido excepcionalmente, cuando ésta sea clasificada como reservada o confidencial.</w:t>
      </w:r>
      <w:r w:rsidRPr="007C38BF">
        <w:rPr>
          <w:rFonts w:ascii="Palatino Linotype" w:eastAsia="Palatino Linotype" w:hAnsi="Palatino Linotype" w:cs="Palatino Linotype"/>
          <w:i/>
          <w:iCs/>
        </w:rPr>
        <w:br/>
        <w:t>…</w:t>
      </w:r>
    </w:p>
    <w:p w14:paraId="3B438FA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Artículo 132.</w:t>
      </w:r>
      <w:r w:rsidRPr="007C38BF">
        <w:rPr>
          <w:rFonts w:ascii="Palatino Linotype" w:eastAsia="Palatino Linotype" w:hAnsi="Palatino Linotype" w:cs="Palatino Linotype"/>
          <w:i/>
          <w:iCs/>
        </w:rPr>
        <w:t xml:space="preserve"> La clasificación de la información se llevará a cabo en el momento en que:</w:t>
      </w:r>
    </w:p>
    <w:p w14:paraId="29EAC44C"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Se reciba una solicitud de acceso a la información;</w:t>
      </w:r>
    </w:p>
    <w:p w14:paraId="2E796E2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xml:space="preserve"> Se determine mediante resolución de autoridad competente; o</w:t>
      </w:r>
    </w:p>
    <w:p w14:paraId="0383A025"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Se generen versiones públicas para dar cumplimiento a las obligaciones de transparencia previstas en esta Ley.</w:t>
      </w:r>
    </w:p>
    <w:p w14:paraId="6BA353FA"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w:t>
      </w:r>
    </w:p>
    <w:p w14:paraId="73D981EC"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Artículo 137.</w:t>
      </w:r>
      <w:r w:rsidRPr="007C38BF">
        <w:rPr>
          <w:rFonts w:ascii="Palatino Linotype" w:eastAsia="Palatino Linotype" w:hAnsi="Palatino Linotype" w:cs="Palatino Linotype"/>
          <w:i/>
          <w:iCs/>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7A5A2E58"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Artículo 143.</w:t>
      </w:r>
      <w:r w:rsidRPr="007C38BF">
        <w:rPr>
          <w:rFonts w:ascii="Palatino Linotype" w:eastAsia="Palatino Linotype" w:hAnsi="Palatino Linotype" w:cs="Palatino Linotype"/>
          <w:i/>
          <w:iCs/>
        </w:rPr>
        <w:t xml:space="preserve"> Para los efectos de esta Ley se considera información confidencial, la clasificada como tal, de manera permanente, por su naturaleza, cuando:</w:t>
      </w:r>
    </w:p>
    <w:p w14:paraId="70B0F0A9"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Se refiera a la información privada y los datos personales concernientes a una persona física o jurídico colectiva identificada o identificable...”</w:t>
      </w:r>
    </w:p>
    <w:p w14:paraId="4F0D65A0" w14:textId="77777777" w:rsidR="00E458B2" w:rsidRPr="007C38BF" w:rsidRDefault="00E458B2">
      <w:pPr>
        <w:spacing w:after="0" w:line="360" w:lineRule="auto"/>
        <w:ind w:right="50"/>
        <w:jc w:val="both"/>
        <w:rPr>
          <w:rFonts w:ascii="Palatino Linotype" w:eastAsia="Palatino Linotype" w:hAnsi="Palatino Linotype" w:cs="Palatino Linotype"/>
        </w:rPr>
      </w:pPr>
    </w:p>
    <w:p w14:paraId="50008A0F" w14:textId="77777777" w:rsidR="00E458B2" w:rsidRPr="007C38BF" w:rsidRDefault="008A7751">
      <w:pPr>
        <w:spacing w:after="0" w:line="360" w:lineRule="auto"/>
        <w:ind w:right="50"/>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3FBD409C" w14:textId="77777777" w:rsidR="00E458B2" w:rsidRPr="007C38BF" w:rsidRDefault="00E458B2">
      <w:pPr>
        <w:spacing w:after="0" w:line="360" w:lineRule="auto"/>
        <w:ind w:right="50"/>
        <w:jc w:val="both"/>
        <w:rPr>
          <w:rFonts w:ascii="Palatino Linotype" w:eastAsia="Palatino Linotype" w:hAnsi="Palatino Linotype" w:cs="Palatino Linotype"/>
        </w:rPr>
      </w:pPr>
    </w:p>
    <w:p w14:paraId="5A646E5F" w14:textId="77777777" w:rsidR="00E458B2" w:rsidRPr="007C38BF" w:rsidRDefault="008A7751">
      <w:pPr>
        <w:spacing w:after="0" w:line="360" w:lineRule="auto"/>
        <w:ind w:right="50"/>
        <w:jc w:val="both"/>
        <w:rPr>
          <w:rFonts w:ascii="Palatino Linotype" w:eastAsia="Palatino Linotype" w:hAnsi="Palatino Linotype" w:cs="Palatino Linotype"/>
        </w:rPr>
      </w:pPr>
      <w:r w:rsidRPr="007C38BF">
        <w:rPr>
          <w:rFonts w:ascii="Palatino Linotype" w:eastAsia="Palatino Linotype" w:hAnsi="Palatino Linotype" w:cs="Palatino Linotype"/>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59EB1A36"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el caso específico, la información que se ordena si bien tiene el carácter información pública en razón de que se trata de documentos que se encuentran en posesión del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RPr="007C38BF">
        <w:rPr>
          <w:rFonts w:ascii="Palatino Linotype" w:eastAsia="Palatino Linotype" w:hAnsi="Palatino Linotype" w:cs="Palatino Linotype"/>
          <w:b/>
          <w:bCs/>
        </w:rPr>
        <w:t>Registro Federal de Contribuyentes</w:t>
      </w:r>
      <w:r w:rsidRPr="007C38BF">
        <w:rPr>
          <w:rFonts w:ascii="Palatino Linotype" w:eastAsia="Palatino Linotype" w:hAnsi="Palatino Linotype" w:cs="Palatino Linotype"/>
        </w:rPr>
        <w:t xml:space="preserve"> (RFC), la </w:t>
      </w:r>
      <w:r w:rsidRPr="007C38BF">
        <w:rPr>
          <w:rFonts w:ascii="Palatino Linotype" w:eastAsia="Palatino Linotype" w:hAnsi="Palatino Linotype" w:cs="Palatino Linotype"/>
          <w:b/>
          <w:bCs/>
        </w:rPr>
        <w:t>Clave Única de Registro de Población</w:t>
      </w:r>
      <w:r w:rsidRPr="007C38BF">
        <w:rPr>
          <w:rFonts w:ascii="Palatino Linotype" w:eastAsia="Palatino Linotype" w:hAnsi="Palatino Linotype" w:cs="Palatino Linotype"/>
        </w:rPr>
        <w:t xml:space="preserve"> (CURP), la </w:t>
      </w:r>
      <w:r w:rsidRPr="007C38BF">
        <w:rPr>
          <w:rFonts w:ascii="Palatino Linotype" w:eastAsia="Palatino Linotype" w:hAnsi="Palatino Linotype" w:cs="Palatino Linotype"/>
          <w:b/>
          <w:bCs/>
        </w:rPr>
        <w:t>Clave de cualquier tipo de seguridad social</w:t>
      </w:r>
      <w:r w:rsidRPr="007C38BF">
        <w:rPr>
          <w:rFonts w:ascii="Palatino Linotype" w:eastAsia="Palatino Linotype" w:hAnsi="Palatino Linotype" w:cs="Palatino Linotype"/>
        </w:rPr>
        <w:t xml:space="preserve"> (ISSEMYM, u otros), los </w:t>
      </w:r>
      <w:r w:rsidRPr="007C38BF">
        <w:rPr>
          <w:rFonts w:ascii="Palatino Linotype" w:eastAsia="Palatino Linotype" w:hAnsi="Palatino Linotype" w:cs="Palatino Linotype"/>
          <w:b/>
          <w:bCs/>
        </w:rPr>
        <w:t>números de cuentas bancarias</w:t>
      </w:r>
      <w:r w:rsidRPr="007C38BF">
        <w:rPr>
          <w:rFonts w:ascii="Palatino Linotype" w:eastAsia="Palatino Linotype" w:hAnsi="Palatino Linotype" w:cs="Palatino Linotype"/>
        </w:rPr>
        <w:t xml:space="preserve">, claves estandarizadas – interbancarias - (CLABES) y de tarjetas, los </w:t>
      </w:r>
      <w:r w:rsidRPr="007C38BF">
        <w:rPr>
          <w:rFonts w:ascii="Palatino Linotype" w:eastAsia="Palatino Linotype" w:hAnsi="Palatino Linotype" w:cs="Palatino Linotype"/>
          <w:b/>
          <w:bCs/>
        </w:rPr>
        <w:t>préstamos o descuentos</w:t>
      </w:r>
      <w:r w:rsidRPr="007C38BF">
        <w:rPr>
          <w:rFonts w:ascii="Palatino Linotype" w:eastAsia="Palatino Linotype" w:hAnsi="Palatino Linotype" w:cs="Palatino Linotype"/>
        </w:rPr>
        <w:t xml:space="preserve"> que se le hagan a la persona y que no tengan relación con los impuestos o la cuota por seguridad social, el</w:t>
      </w:r>
      <w:r w:rsidRPr="007C38BF">
        <w:rPr>
          <w:rFonts w:ascii="Palatino Linotype" w:eastAsia="Palatino Linotype" w:hAnsi="Palatino Linotype" w:cs="Palatino Linotype"/>
          <w:b/>
          <w:bCs/>
        </w:rPr>
        <w:t xml:space="preserve"> número de empleado, </w:t>
      </w:r>
      <w:r w:rsidRPr="007C38BF">
        <w:rPr>
          <w:rFonts w:ascii="Palatino Linotype" w:eastAsia="Palatino Linotype" w:hAnsi="Palatino Linotype" w:cs="Palatino Linotype"/>
        </w:rPr>
        <w:t xml:space="preserve">y, de ser el caso, el </w:t>
      </w:r>
      <w:r w:rsidRPr="007C38BF">
        <w:rPr>
          <w:rFonts w:ascii="Palatino Linotype" w:eastAsia="Palatino Linotype" w:hAnsi="Palatino Linotype" w:cs="Palatino Linotype"/>
          <w:b/>
          <w:bCs/>
        </w:rPr>
        <w:t>folio fiscal</w:t>
      </w:r>
      <w:r w:rsidRPr="007C38BF">
        <w:rPr>
          <w:rFonts w:ascii="Palatino Linotype" w:eastAsia="Palatino Linotype" w:hAnsi="Palatino Linotype" w:cs="Palatino Linotype"/>
        </w:rPr>
        <w:t xml:space="preserve">, la </w:t>
      </w:r>
      <w:r w:rsidRPr="007C38BF">
        <w:rPr>
          <w:rFonts w:ascii="Palatino Linotype" w:eastAsia="Palatino Linotype" w:hAnsi="Palatino Linotype" w:cs="Palatino Linotype"/>
          <w:b/>
          <w:bCs/>
        </w:rPr>
        <w:t xml:space="preserve">cadena original, </w:t>
      </w:r>
      <w:r w:rsidRPr="007C38BF">
        <w:rPr>
          <w:rFonts w:ascii="Palatino Linotype" w:eastAsia="Palatino Linotype" w:hAnsi="Palatino Linotype" w:cs="Palatino Linotype"/>
        </w:rPr>
        <w:t>los</w:t>
      </w:r>
      <w:r w:rsidRPr="007C38BF">
        <w:rPr>
          <w:rFonts w:ascii="Palatino Linotype" w:eastAsia="Palatino Linotype" w:hAnsi="Palatino Linotype" w:cs="Palatino Linotype"/>
          <w:b/>
          <w:bCs/>
        </w:rPr>
        <w:t xml:space="preserve"> códigos bidimensionales o códigos QR,</w:t>
      </w:r>
      <w:r w:rsidRPr="007C38BF">
        <w:rPr>
          <w:rFonts w:ascii="Palatino Linotype" w:eastAsia="Palatino Linotype" w:hAnsi="Palatino Linotype" w:cs="Palatino Linotype"/>
        </w:rPr>
        <w:t xml:space="preserve"> y cualquier información de carácter fiscal.</w:t>
      </w:r>
    </w:p>
    <w:p w14:paraId="2B597272" w14:textId="77777777" w:rsidR="00E458B2" w:rsidRPr="007C38BF" w:rsidRDefault="00E458B2">
      <w:pPr>
        <w:spacing w:after="0" w:line="360" w:lineRule="auto"/>
        <w:jc w:val="both"/>
        <w:rPr>
          <w:rFonts w:ascii="Palatino Linotype" w:eastAsia="Palatino Linotype" w:hAnsi="Palatino Linotype" w:cs="Palatino Linotype"/>
        </w:rPr>
      </w:pPr>
    </w:p>
    <w:p w14:paraId="21883750" w14:textId="77777777" w:rsidR="00E458B2" w:rsidRPr="007C38BF" w:rsidRDefault="008A7751">
      <w:pPr>
        <w:spacing w:after="0" w:line="360" w:lineRule="auto"/>
        <w:ind w:right="50"/>
        <w:jc w:val="both"/>
        <w:rPr>
          <w:rFonts w:ascii="Palatino Linotype" w:eastAsia="Palatino Linotype" w:hAnsi="Palatino Linotype" w:cs="Palatino Linotype"/>
        </w:rPr>
      </w:pPr>
      <w:r w:rsidRPr="007C38BF">
        <w:rPr>
          <w:rFonts w:ascii="Palatino Linotype" w:eastAsia="Palatino Linotype" w:hAnsi="Palatino Linotype" w:cs="Palatino Linotype"/>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01BEBEE0" w14:textId="77777777" w:rsidR="00E458B2" w:rsidRPr="007C38BF" w:rsidRDefault="00E458B2">
      <w:pPr>
        <w:spacing w:after="0" w:line="360" w:lineRule="auto"/>
        <w:ind w:right="50"/>
        <w:jc w:val="both"/>
        <w:rPr>
          <w:rFonts w:ascii="Palatino Linotype" w:eastAsia="Palatino Linotype" w:hAnsi="Palatino Linotype" w:cs="Palatino Linotype"/>
        </w:rPr>
      </w:pPr>
    </w:p>
    <w:p w14:paraId="0DAD3D71"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cuanto hace al </w:t>
      </w:r>
      <w:r w:rsidRPr="007C38BF">
        <w:rPr>
          <w:rFonts w:ascii="Palatino Linotype" w:eastAsia="Palatino Linotype" w:hAnsi="Palatino Linotype" w:cs="Palatino Linotype"/>
          <w:b/>
          <w:bCs/>
        </w:rPr>
        <w:t>Registro Federal de Contribuyentes, RFC,</w:t>
      </w:r>
      <w:r w:rsidRPr="007C38BF">
        <w:rPr>
          <w:rFonts w:ascii="Palatino Linotype" w:eastAsia="Palatino Linotype" w:hAnsi="Palatino Linotype" w:cs="Palatino Linotype"/>
        </w:rPr>
        <w:t xml:space="preserve"> de las personas físicas, constituye un dato personal, pues se genera con caracteres alfanuméricos a partir del nombre y la fecha de nacimiento de cada persona, y finalmente la homoclave, por lo que para su obtención es necesario acreditar ante la autoridad fiscal previamente la identidad de la persona, su fecha de nacimiento, entre otros aspectos.</w:t>
      </w:r>
    </w:p>
    <w:p w14:paraId="4A1AD605" w14:textId="77777777" w:rsidR="00E458B2" w:rsidRPr="007C38BF" w:rsidRDefault="00E458B2">
      <w:pPr>
        <w:spacing w:after="0" w:line="360" w:lineRule="auto"/>
        <w:jc w:val="both"/>
        <w:rPr>
          <w:rFonts w:ascii="Palatino Linotype" w:eastAsia="Palatino Linotype" w:hAnsi="Palatino Linotype" w:cs="Palatino Linotype"/>
        </w:rPr>
      </w:pPr>
    </w:p>
    <w:p w14:paraId="0291509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14:paraId="1BCE65DD" w14:textId="77777777" w:rsidR="00E458B2" w:rsidRPr="007C38BF" w:rsidRDefault="00E458B2">
      <w:pPr>
        <w:spacing w:after="0" w:line="360" w:lineRule="auto"/>
        <w:jc w:val="both"/>
        <w:rPr>
          <w:rFonts w:ascii="Palatino Linotype" w:eastAsia="Palatino Linotype" w:hAnsi="Palatino Linotype" w:cs="Palatino Linotype"/>
        </w:rPr>
      </w:pPr>
    </w:p>
    <w:p w14:paraId="5826860F"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Lo anterior es compartido por el Instituto Nacional de Transparencia, Acceso a la Información y Protección de Datos Personales, INAI, a través del Criterio de interpretación con clave de control SO/019/2017, el cual es del tenor literal siguiente:</w:t>
      </w:r>
    </w:p>
    <w:p w14:paraId="58F1D5D3" w14:textId="77777777" w:rsidR="00E458B2" w:rsidRPr="007C38BF" w:rsidRDefault="00E458B2">
      <w:pPr>
        <w:spacing w:after="0"/>
        <w:ind w:left="851" w:right="900"/>
        <w:jc w:val="both"/>
        <w:rPr>
          <w:rFonts w:ascii="Palatino Linotype" w:eastAsia="Palatino Linotype" w:hAnsi="Palatino Linotype" w:cs="Palatino Linotype"/>
          <w:b/>
          <w:bCs/>
          <w:i/>
          <w:iCs/>
        </w:rPr>
      </w:pPr>
    </w:p>
    <w:p w14:paraId="50A4DA7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 “Registro Federal de Contribuyentes (RFC) de personas físicas</w:t>
      </w:r>
      <w:r w:rsidRPr="007C38BF">
        <w:rPr>
          <w:rFonts w:ascii="Palatino Linotype" w:eastAsia="Palatino Linotype" w:hAnsi="Palatino Linotype" w:cs="Palatino Linotype"/>
          <w:i/>
          <w:iCs/>
        </w:rPr>
        <w:t>. El RFC es una clave de carácter fiscal, única e irrepetible, que permite identificar al titular, su edad y fecha de nacimiento, por lo que es un dato personal de carácter confidencial.”</w:t>
      </w:r>
    </w:p>
    <w:p w14:paraId="5F5DE6C3"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06AB762"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Así, el Registro Federal de Contribuyentes,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fracciones XI y XII de la Ley de Protección de Datos Personales en Posesión de los Sujetos Obligados del Estado de México y Municipios.</w:t>
      </w:r>
    </w:p>
    <w:p w14:paraId="0909FDB3"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5F56805C"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 igual manera la </w:t>
      </w:r>
      <w:r w:rsidRPr="007C38BF">
        <w:rPr>
          <w:rFonts w:ascii="Palatino Linotype" w:eastAsia="Palatino Linotype" w:hAnsi="Palatino Linotype" w:cs="Palatino Linotype"/>
          <w:b/>
          <w:bCs/>
        </w:rPr>
        <w:t>Clave Única de Registro de Población</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CURP,</w:t>
      </w:r>
      <w:r w:rsidRPr="007C38BF">
        <w:rPr>
          <w:rFonts w:ascii="Palatino Linotype" w:eastAsia="Palatino Linotype" w:hAnsi="Palatino Linotype" w:cs="Palatino Linotype"/>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14:paraId="14873C71"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2326678F"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Argumento que es compartido por el entonces Instituto Nacional de Transparencia, Acceso a la Información y Protección de Datos Personales, conforme al Criterio de interpretación con Clave de control SO/018/2017, el cual refiere:</w:t>
      </w:r>
    </w:p>
    <w:p w14:paraId="135FAEBF"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58BF8809"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 xml:space="preserve">Clave Única de Registro de Población (CURP). </w:t>
      </w:r>
      <w:r w:rsidRPr="007C38BF">
        <w:rPr>
          <w:rFonts w:ascii="Palatino Linotype" w:eastAsia="Palatino Linotype" w:hAnsi="Palatino Linotype" w:cs="Palatino Linotype"/>
          <w:i/>
          <w:iCs/>
        </w:rPr>
        <w:t>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14:paraId="46D2B961" w14:textId="77777777" w:rsidR="00E458B2" w:rsidRPr="007C38BF" w:rsidRDefault="00E458B2">
      <w:pPr>
        <w:spacing w:after="0" w:line="360" w:lineRule="auto"/>
        <w:jc w:val="both"/>
        <w:rPr>
          <w:rFonts w:ascii="Palatino Linotype" w:eastAsia="Palatino Linotype" w:hAnsi="Palatino Linotype" w:cs="Palatino Linotype"/>
        </w:rPr>
      </w:pPr>
    </w:p>
    <w:p w14:paraId="1D1E9E9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Por lo que respecta a la </w:t>
      </w:r>
      <w:r w:rsidRPr="007C38BF">
        <w:rPr>
          <w:rFonts w:ascii="Palatino Linotype" w:eastAsia="Palatino Linotype" w:hAnsi="Palatino Linotype" w:cs="Palatino Linotype"/>
          <w:b/>
          <w:bCs/>
        </w:rPr>
        <w:t>clave de seguridad social</w:t>
      </w:r>
      <w:r w:rsidRPr="007C38BF">
        <w:rPr>
          <w:rFonts w:ascii="Palatino Linotype" w:eastAsia="Palatino Linotype" w:hAnsi="Palatino Linotype" w:cs="Palatino Linotype"/>
        </w:rPr>
        <w:t>, en virtud de que su divulgación no aporta a la transparencia o a la rendición de cuentas y sí provoca una transgresión a la vida privada e intimidad de la persona, esta información también resulta ser de carácter confidencial.</w:t>
      </w:r>
    </w:p>
    <w:p w14:paraId="3AB71DB0" w14:textId="77777777" w:rsidR="00E458B2" w:rsidRPr="007C38BF" w:rsidRDefault="00E458B2">
      <w:pPr>
        <w:spacing w:after="0" w:line="360" w:lineRule="auto"/>
        <w:jc w:val="both"/>
        <w:rPr>
          <w:rFonts w:ascii="Palatino Linotype" w:eastAsia="Palatino Linotype" w:hAnsi="Palatino Linotype" w:cs="Palatino Linotype"/>
        </w:rPr>
      </w:pPr>
    </w:p>
    <w:p w14:paraId="1DFAB511"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Respecto de los </w:t>
      </w:r>
      <w:r w:rsidRPr="007C38BF">
        <w:rPr>
          <w:rFonts w:ascii="Palatino Linotype" w:eastAsia="Palatino Linotype" w:hAnsi="Palatino Linotype" w:cs="Palatino Linotype"/>
          <w:b/>
          <w:bCs/>
        </w:rPr>
        <w:t>números de cuentas bancari</w:t>
      </w:r>
      <w:r w:rsidRPr="007C38BF">
        <w:rPr>
          <w:rFonts w:ascii="Palatino Linotype" w:eastAsia="Palatino Linotype" w:hAnsi="Palatino Linotype" w:cs="Palatino Linotype"/>
        </w:rPr>
        <w:t xml:space="preserve">as, </w:t>
      </w:r>
      <w:r w:rsidRPr="007C38BF">
        <w:rPr>
          <w:rFonts w:ascii="Palatino Linotype" w:eastAsia="Palatino Linotype" w:hAnsi="Palatino Linotype" w:cs="Palatino Linotype"/>
          <w:b/>
          <w:bCs/>
        </w:rPr>
        <w:t>claves estandarizadas –interbancarias- (CLABES) y de tarjetas</w:t>
      </w:r>
      <w:r w:rsidRPr="007C38BF">
        <w:rPr>
          <w:rFonts w:ascii="Palatino Linotype" w:eastAsia="Palatino Linotype" w:hAnsi="Palatino Linotype" w:cs="Palatino Linotype"/>
        </w:rPr>
        <w:t>, el Pleno de este Instituto ha determinado que esa información debe clasificarse como confidencial, y elaborarse una versión pública en la que se teste la misma.</w:t>
      </w:r>
    </w:p>
    <w:p w14:paraId="360115A2" w14:textId="77777777" w:rsidR="00E458B2" w:rsidRPr="007C38BF" w:rsidRDefault="00E458B2">
      <w:pPr>
        <w:spacing w:after="0" w:line="360" w:lineRule="auto"/>
        <w:jc w:val="both"/>
        <w:rPr>
          <w:rFonts w:ascii="Palatino Linotype" w:eastAsia="Palatino Linotype" w:hAnsi="Palatino Linotype" w:cs="Palatino Linotype"/>
        </w:rPr>
      </w:pPr>
    </w:p>
    <w:p w14:paraId="62A7B42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Igualmente, resulta importante destacar que el número de cuenta bancaria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56B62C61" w14:textId="77777777" w:rsidR="00E458B2" w:rsidRPr="007C38BF" w:rsidRDefault="00E458B2">
      <w:pPr>
        <w:spacing w:after="0" w:line="360" w:lineRule="auto"/>
        <w:jc w:val="both"/>
        <w:rPr>
          <w:rFonts w:ascii="Palatino Linotype" w:eastAsia="Palatino Linotype" w:hAnsi="Palatino Linotype" w:cs="Palatino Linotype"/>
        </w:rPr>
      </w:pPr>
    </w:p>
    <w:p w14:paraId="25D16FA3"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Por lo anterior, el número de cuenta bancaria debe ser clasificado como confidencial con fundamento en las fracciones I y II del artículo 143 de la Ley de la Materia vigente en la Entidad; en razón de que con su difusión se estaría poniendo en riesgo la seguridad de su titular.</w:t>
      </w:r>
    </w:p>
    <w:p w14:paraId="6EB4975B" w14:textId="77777777" w:rsidR="00E458B2" w:rsidRPr="007C38BF" w:rsidRDefault="00E458B2">
      <w:pPr>
        <w:spacing w:after="0" w:line="360" w:lineRule="auto"/>
        <w:jc w:val="both"/>
        <w:rPr>
          <w:rFonts w:ascii="Palatino Linotype" w:eastAsia="Palatino Linotype" w:hAnsi="Palatino Linotype" w:cs="Palatino Linotype"/>
        </w:rPr>
      </w:pPr>
    </w:p>
    <w:p w14:paraId="211F616A"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esa virtud, este Pleno determina que dicha información no puede ser del dominio público, toda vez que se podría dar un uso inadecuado a la misma o cometer algún ilícito o fraude como ya ha sido expuesto. </w:t>
      </w:r>
    </w:p>
    <w:p w14:paraId="4BE8F3F4"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2E3A651"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Lo anterior no es así tratándose de las cuentas bancarias o claves interbancarias de los Sujetos Obligados ya que su publicidad cede a la rendición de cuentas al transparentar la forma en que son administrados los recursos públicos.</w:t>
      </w:r>
    </w:p>
    <w:p w14:paraId="327040A0" w14:textId="77777777" w:rsidR="00E458B2" w:rsidRPr="007C38BF" w:rsidRDefault="00E458B2">
      <w:pPr>
        <w:spacing w:after="0" w:line="360" w:lineRule="auto"/>
        <w:jc w:val="both"/>
        <w:rPr>
          <w:rFonts w:ascii="Palatino Linotype" w:eastAsia="Palatino Linotype" w:hAnsi="Palatino Linotype" w:cs="Palatino Linotype"/>
        </w:rPr>
      </w:pPr>
    </w:p>
    <w:p w14:paraId="176C13BE"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Lo argumentado encuentra sustento en los Criterios de interpretación con  Clave de control SO/010/2017 y SO/011/2017, emitidos por el Instituto Nacional de Transparencia, Acceso a la Información y Protección de Datos Personales, INAI, que llevan por rubro y texto los siguientes:</w:t>
      </w:r>
    </w:p>
    <w:p w14:paraId="283E1CCB" w14:textId="77777777" w:rsidR="00E458B2" w:rsidRPr="007C38BF" w:rsidRDefault="00E458B2">
      <w:pPr>
        <w:spacing w:after="0"/>
        <w:ind w:left="851" w:right="900"/>
        <w:jc w:val="both"/>
        <w:rPr>
          <w:rFonts w:ascii="Palatino Linotype" w:eastAsia="Palatino Linotype" w:hAnsi="Palatino Linotype" w:cs="Palatino Linotype"/>
          <w:i/>
          <w:iCs/>
        </w:rPr>
      </w:pPr>
    </w:p>
    <w:p w14:paraId="71E35722"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Cuentas bancarias y/o CLABE interbancaria de personas físicas y morales privadas.</w:t>
      </w:r>
      <w:r w:rsidRPr="007C38BF">
        <w:rPr>
          <w:rFonts w:ascii="Palatino Linotype" w:eastAsia="Palatino Linotype" w:hAnsi="Palatino Linotype" w:cs="Palatino Linotype"/>
          <w:i/>
          <w:iCs/>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3992A6D1"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“Cuentas bancarias y/o CLABE interbancaria de sujetos obligados que reciben y/o transfieren recursos públicos, son información pública.</w:t>
      </w:r>
      <w:r w:rsidRPr="007C38BF">
        <w:rPr>
          <w:rFonts w:ascii="Palatino Linotype" w:eastAsia="Palatino Linotype" w:hAnsi="Palatino Linotype" w:cs="Palatino Linotype"/>
          <w:i/>
          <w:iCs/>
        </w:rPr>
        <w:t xml:space="preserve">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4A167651" w14:textId="77777777" w:rsidR="00E458B2" w:rsidRPr="007C38BF" w:rsidRDefault="00E458B2">
      <w:pPr>
        <w:spacing w:after="0"/>
        <w:ind w:left="851" w:right="900"/>
        <w:jc w:val="both"/>
        <w:rPr>
          <w:rFonts w:ascii="Palatino Linotype" w:eastAsia="Palatino Linotype" w:hAnsi="Palatino Linotype" w:cs="Palatino Linotype"/>
          <w:i/>
          <w:iCs/>
        </w:rPr>
      </w:pPr>
    </w:p>
    <w:p w14:paraId="5AC5EBD3" w14:textId="77777777" w:rsidR="00E458B2" w:rsidRPr="007C38BF" w:rsidRDefault="008A7751">
      <w:pPr>
        <w:spacing w:after="0" w:line="360" w:lineRule="auto"/>
        <w:jc w:val="both"/>
        <w:rPr>
          <w:rFonts w:ascii="Palatino Linotype" w:eastAsia="Palatino Linotype" w:hAnsi="Palatino Linotype" w:cs="Palatino Linotype"/>
        </w:rPr>
      </w:pPr>
      <w:bookmarkStart w:id="3" w:name="_heading=h.35nkun2" w:colFirst="0" w:colLast="0"/>
      <w:bookmarkEnd w:id="3"/>
      <w:r w:rsidRPr="007C38BF">
        <w:rPr>
          <w:rFonts w:ascii="Palatino Linotype" w:eastAsia="Palatino Linotype" w:hAnsi="Palatino Linotype" w:cs="Palatino Linotype"/>
        </w:rPr>
        <w:t xml:space="preserve">Por cuanto hace a los </w:t>
      </w:r>
      <w:r w:rsidRPr="007C38BF">
        <w:rPr>
          <w:rFonts w:ascii="Palatino Linotype" w:eastAsia="Palatino Linotype" w:hAnsi="Palatino Linotype" w:cs="Palatino Linotype"/>
          <w:b/>
          <w:bCs/>
        </w:rPr>
        <w:t>préstamos o descuentos de carácter personal</w:t>
      </w:r>
      <w:r w:rsidRPr="007C38BF">
        <w:rPr>
          <w:rFonts w:ascii="Palatino Linotype" w:eastAsia="Palatino Linotype" w:hAnsi="Palatino Linotype" w:cs="Palatino Linotype"/>
        </w:rPr>
        <w:t>, en virtud de no tener relación con la prestación del servicio y al no involucrar instituciones públicas, se consideran datos confidenciales.</w:t>
      </w:r>
    </w:p>
    <w:p w14:paraId="75F4D4CA" w14:textId="77777777" w:rsidR="00E458B2" w:rsidRPr="007C38BF" w:rsidRDefault="00E458B2">
      <w:pPr>
        <w:spacing w:after="0" w:line="360" w:lineRule="auto"/>
        <w:jc w:val="both"/>
        <w:rPr>
          <w:rFonts w:ascii="Palatino Linotype" w:eastAsia="Palatino Linotype" w:hAnsi="Palatino Linotype" w:cs="Palatino Linotype"/>
        </w:rPr>
      </w:pPr>
    </w:p>
    <w:p w14:paraId="4C94531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Para entender los límites y alcances de esta restricción, es oportuno recurrir al artículo 84 de la Ley del Trabajo de los Servidores Públicos del Estado y Municipios:</w:t>
      </w:r>
    </w:p>
    <w:p w14:paraId="7144E0E3" w14:textId="77777777" w:rsidR="00E458B2" w:rsidRPr="007C38BF" w:rsidRDefault="00E458B2">
      <w:pPr>
        <w:spacing w:after="0" w:line="360" w:lineRule="auto"/>
        <w:jc w:val="both"/>
        <w:rPr>
          <w:rFonts w:ascii="Palatino Linotype" w:eastAsia="Palatino Linotype" w:hAnsi="Palatino Linotype" w:cs="Palatino Linotype"/>
        </w:rPr>
      </w:pPr>
    </w:p>
    <w:p w14:paraId="7A745980"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b/>
          <w:bCs/>
          <w:i/>
          <w:iCs/>
        </w:rPr>
      </w:pPr>
      <w:bookmarkStart w:id="4" w:name="_heading=h.1ksv4uv" w:colFirst="0" w:colLast="0"/>
      <w:bookmarkEnd w:id="4"/>
      <w:r w:rsidRPr="007C38BF">
        <w:rPr>
          <w:rFonts w:ascii="Palatino Linotype" w:eastAsia="Palatino Linotype" w:hAnsi="Palatino Linotype" w:cs="Palatino Linotype"/>
          <w:b/>
          <w:bCs/>
          <w:i/>
          <w:iCs/>
        </w:rPr>
        <w:t xml:space="preserve">“ARTÍCULO 84. </w:t>
      </w:r>
      <w:r w:rsidRPr="007C38BF">
        <w:rPr>
          <w:rFonts w:ascii="Palatino Linotype" w:eastAsia="Palatino Linotype" w:hAnsi="Palatino Linotype" w:cs="Palatino Linotype"/>
          <w:i/>
          <w:iCs/>
        </w:rPr>
        <w:t>Sólo podrán hacerse retenciones, descuentos o deducciones al sueldo de los servidores públicos por concepto de:</w:t>
      </w:r>
    </w:p>
    <w:p w14:paraId="5C9A7936"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Gravámenes fiscales relacionados con el sueldo;</w:t>
      </w:r>
    </w:p>
    <w:p w14:paraId="2D28F43F"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xml:space="preserve"> Deudas contraídas con las instituciones públicas o dependencias por concepto de anticipos de sueldo, pagos hechos con exceso, errores o pérdidas debidamente comprobados;</w:t>
      </w:r>
    </w:p>
    <w:p w14:paraId="172ED062"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Cuotas sindicales</w:t>
      </w:r>
      <w:r w:rsidRPr="007C38BF">
        <w:rPr>
          <w:rFonts w:ascii="Palatino Linotype" w:eastAsia="Palatino Linotype" w:hAnsi="Palatino Linotype" w:cs="Palatino Linotype"/>
          <w:i/>
          <w:iCs/>
        </w:rPr>
        <w:t>;</w:t>
      </w:r>
    </w:p>
    <w:p w14:paraId="79FCFB9E"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IV.</w:t>
      </w:r>
      <w:r w:rsidRPr="007C38BF">
        <w:rPr>
          <w:rFonts w:ascii="Palatino Linotype" w:eastAsia="Palatino Linotype" w:hAnsi="Palatino Linotype" w:cs="Palatino Linotype"/>
          <w:i/>
          <w:iCs/>
        </w:rPr>
        <w:t xml:space="preserve"> Cuotas de aportación a fondos para la constitución de cooperativas y de cajas de ahorro, siempre que el servidor público hubiese manifestado previamente, de manera expresa, su conformidad;</w:t>
      </w:r>
    </w:p>
    <w:p w14:paraId="794DC931"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w:t>
      </w:r>
      <w:r w:rsidRPr="007C38BF">
        <w:rPr>
          <w:rFonts w:ascii="Palatino Linotype" w:eastAsia="Palatino Linotype" w:hAnsi="Palatino Linotype" w:cs="Palatino Linotype"/>
          <w:i/>
          <w:iCs/>
        </w:rPr>
        <w:t xml:space="preserve"> Descuentos ordenados por el Instituto de Seguridad Social del Estado de México y Municipios, con motivo de cuotas y obligaciones contraídas con éste por los servidores públicos;</w:t>
      </w:r>
    </w:p>
    <w:p w14:paraId="382C531D"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VI.</w:t>
      </w:r>
      <w:r w:rsidRPr="007C38BF">
        <w:rPr>
          <w:rFonts w:ascii="Palatino Linotype" w:eastAsia="Palatino Linotype" w:hAnsi="Palatino Linotype" w:cs="Palatino Linotype"/>
          <w:i/>
          <w:iCs/>
        </w:rPr>
        <w:t xml:space="preserve"> Obligaciones a cargo del servidor público con las que haya consentido, derivadas de la adquisición o del uso de habitaciones consideradas como de interés social;</w:t>
      </w:r>
    </w:p>
    <w:p w14:paraId="177D522F"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VII.</w:t>
      </w:r>
      <w:r w:rsidRPr="007C38BF">
        <w:rPr>
          <w:rFonts w:ascii="Palatino Linotype" w:eastAsia="Palatino Linotype" w:hAnsi="Palatino Linotype" w:cs="Palatino Linotype"/>
          <w:i/>
          <w:iCs/>
        </w:rPr>
        <w:t xml:space="preserve"> Faltas de puntualidad o de asistencia injustificadas;</w:t>
      </w:r>
    </w:p>
    <w:p w14:paraId="3DC695F6"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VIII. Pensiones alimenticias ordenadas por la autoridad judicial;</w:t>
      </w:r>
      <w:r w:rsidRPr="007C38BF">
        <w:rPr>
          <w:rFonts w:ascii="Palatino Linotype" w:eastAsia="Palatino Linotype" w:hAnsi="Palatino Linotype" w:cs="Palatino Linotype"/>
          <w:i/>
          <w:iCs/>
        </w:rPr>
        <w:t xml:space="preserve"> o</w:t>
      </w:r>
    </w:p>
    <w:p w14:paraId="0673E3C0"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IX. Cualquier otro convenido con instituciones de servicios y aceptado por el servidor público.</w:t>
      </w:r>
    </w:p>
    <w:p w14:paraId="26F4E703" w14:textId="77777777" w:rsidR="00E458B2" w:rsidRPr="007C38BF" w:rsidRDefault="008A7751">
      <w:pPr>
        <w:tabs>
          <w:tab w:val="left" w:pos="7513"/>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14:paraId="1C4F22A7" w14:textId="77777777" w:rsidR="00E458B2" w:rsidRPr="007C38BF" w:rsidRDefault="00E458B2">
      <w:pPr>
        <w:spacing w:after="0" w:line="276" w:lineRule="auto"/>
        <w:ind w:left="851" w:right="900"/>
        <w:jc w:val="both"/>
        <w:rPr>
          <w:rFonts w:ascii="Palatino Linotype" w:eastAsia="Palatino Linotype" w:hAnsi="Palatino Linotype" w:cs="Palatino Linotype"/>
          <w:i/>
          <w:iCs/>
        </w:rPr>
      </w:pPr>
    </w:p>
    <w:p w14:paraId="22F11BDD"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14:paraId="16C6B3CC" w14:textId="77777777" w:rsidR="00E458B2" w:rsidRPr="007C38BF" w:rsidRDefault="00E458B2">
      <w:pPr>
        <w:spacing w:after="0" w:line="276" w:lineRule="auto"/>
        <w:jc w:val="both"/>
        <w:rPr>
          <w:rFonts w:ascii="Palatino Linotype" w:eastAsia="Palatino Linotype" w:hAnsi="Palatino Linotype" w:cs="Palatino Linotype"/>
        </w:rPr>
      </w:pPr>
    </w:p>
    <w:p w14:paraId="5FEC49A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 este modo, los </w:t>
      </w:r>
      <w:r w:rsidRPr="007C38BF">
        <w:rPr>
          <w:rFonts w:ascii="Palatino Linotype" w:eastAsia="Palatino Linotype" w:hAnsi="Palatino Linotype" w:cs="Palatino Linotype"/>
          <w:b/>
          <w:bCs/>
        </w:rPr>
        <w:t>descuentos o deducciones por cuotas sindicales</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pensiones alimenticias</w:t>
      </w:r>
      <w:r w:rsidRPr="007C38BF">
        <w:rPr>
          <w:rFonts w:ascii="Palatino Linotype" w:eastAsia="Palatino Linotype" w:hAnsi="Palatino Linotype" w:cs="Palatino Linotype"/>
        </w:rPr>
        <w:t xml:space="preserve"> o </w:t>
      </w:r>
      <w:r w:rsidRPr="007C38BF">
        <w:rPr>
          <w:rFonts w:ascii="Palatino Linotype" w:eastAsia="Palatino Linotype" w:hAnsi="Palatino Linotype" w:cs="Palatino Linotype"/>
          <w:b/>
          <w:bCs/>
        </w:rPr>
        <w:t>créditos adquiridos con instituciones privadas</w:t>
      </w:r>
      <w:r w:rsidRPr="007C38BF">
        <w:rPr>
          <w:rFonts w:ascii="Palatino Linotype" w:eastAsia="Palatino Linotype" w:hAnsi="Palatino Linotype" w:cs="Palatino Linotype"/>
        </w:rPr>
        <w:t xml:space="preserve">, entre otros que no se relacionen con el gasto público, al revelar parte de las decisiones que adopta una persona respecto del uso y destino de su remuneración salarial, lo cual incide en la manera en que se integra su patrimonio, </w:t>
      </w:r>
      <w:r w:rsidRPr="007C38BF">
        <w:rPr>
          <w:rFonts w:ascii="Palatino Linotype" w:eastAsia="Palatino Linotype" w:hAnsi="Palatino Linotype" w:cs="Palatino Linotype"/>
          <w:b/>
          <w:bCs/>
        </w:rPr>
        <w:t>es información que no es de carácter público, sino que constituye información confidencial</w:t>
      </w:r>
      <w:r w:rsidRPr="007C38BF">
        <w:rPr>
          <w:rFonts w:ascii="Palatino Linotype" w:eastAsia="Palatino Linotype" w:hAnsi="Palatino Linotype" w:cs="Palatino Linotype"/>
        </w:rPr>
        <w:t xml:space="preserve"> en virtud de que corresponde con decisiones personales, y por tanto, se debe clasificar.</w:t>
      </w:r>
    </w:p>
    <w:p w14:paraId="06D2CD36" w14:textId="77777777" w:rsidR="00E458B2" w:rsidRPr="007C38BF" w:rsidRDefault="00E458B2">
      <w:pPr>
        <w:spacing w:after="0" w:line="360" w:lineRule="auto"/>
        <w:jc w:val="both"/>
        <w:rPr>
          <w:rFonts w:ascii="Palatino Linotype" w:eastAsia="Palatino Linotype" w:hAnsi="Palatino Linotype" w:cs="Palatino Linotype"/>
        </w:rPr>
      </w:pPr>
    </w:p>
    <w:p w14:paraId="60174AE9"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14:paraId="78A1B29E"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6E4E5FC4" w14:textId="77777777" w:rsidR="00E458B2" w:rsidRPr="007C38BF" w:rsidRDefault="008A7751">
      <w:pPr>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En conclusión, la información relacionada con los préstamos o descuentos de carácter personal, en virtud de no tener relación con la prestación del servicio y al no involucrar instituciones públicas, se consideran datos confidenciales.</w:t>
      </w:r>
    </w:p>
    <w:p w14:paraId="4FBCD285" w14:textId="77777777" w:rsidR="00E458B2" w:rsidRPr="007C38BF" w:rsidRDefault="00E458B2">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9E51CF3"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Con relación al </w:t>
      </w:r>
      <w:r w:rsidRPr="007C38BF">
        <w:rPr>
          <w:rFonts w:ascii="Palatino Linotype" w:eastAsia="Palatino Linotype" w:hAnsi="Palatino Linotype" w:cs="Palatino Linotype"/>
          <w:b/>
          <w:bCs/>
        </w:rPr>
        <w:t>número de empleado</w:t>
      </w:r>
      <w:r w:rsidRPr="007C38BF">
        <w:rPr>
          <w:rFonts w:ascii="Palatino Linotype" w:eastAsia="Palatino Linotype" w:hAnsi="Palatino Linotype" w:cs="Palatino Linotype"/>
        </w:rPr>
        <w:t xml:space="preserve"> debe precisarse que este constituye un código, en virtud del cual, los trabajadores pueden acceder a un sistema de datos o información de la dependencia o entidad a la que pertenecen, a fin de presentar consultas relacionadas con su situación laboral particular, siendo un número único, permanente e intransferible que se asigna para llevar un registro de los trabajadores</w:t>
      </w:r>
      <w:r w:rsidRPr="007C38BF">
        <w:rPr>
          <w:rFonts w:ascii="Palatino Linotype" w:eastAsia="Palatino Linotype" w:hAnsi="Palatino Linotype" w:cs="Palatino Linotype"/>
          <w:vertAlign w:val="superscript"/>
        </w:rPr>
        <w:footnoteReference w:id="1"/>
      </w:r>
      <w:r w:rsidRPr="007C38BF">
        <w:rPr>
          <w:rFonts w:ascii="Palatino Linotype" w:eastAsia="Palatino Linotype" w:hAnsi="Palatino Linotype" w:cs="Palatino Linotype"/>
        </w:rPr>
        <w:t>.</w:t>
      </w:r>
    </w:p>
    <w:p w14:paraId="05944796" w14:textId="77777777" w:rsidR="00E458B2" w:rsidRPr="007C38BF" w:rsidRDefault="00E458B2">
      <w:pPr>
        <w:spacing w:after="0" w:line="360" w:lineRule="auto"/>
        <w:jc w:val="both"/>
        <w:rPr>
          <w:rFonts w:ascii="Palatino Linotype" w:eastAsia="Palatino Linotype" w:hAnsi="Palatino Linotype" w:cs="Palatino Linotype"/>
        </w:rPr>
      </w:pPr>
    </w:p>
    <w:p w14:paraId="248AE68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Bajo esos argumentos, se entendería que la información relativa al número de empleado constituye información confidencial al tratarse de un número de identificación personal a través del cual se puede consultar la situación laboral personal, empero el Pleno del entonces Instituto Nacional de Transparencia, Acceso a la Información, y Protección de Datos Personales, se ha pronunciado sobre su publicidad, a través del Criterio de interpretación con Clave de control SO/006/2019, que indica lo siguiente:</w:t>
      </w:r>
    </w:p>
    <w:p w14:paraId="7FBAF394" w14:textId="77777777" w:rsidR="00E458B2" w:rsidRPr="007C38BF" w:rsidRDefault="00E458B2">
      <w:pPr>
        <w:tabs>
          <w:tab w:val="left" w:pos="7655"/>
        </w:tabs>
        <w:spacing w:after="0" w:line="276" w:lineRule="auto"/>
        <w:ind w:left="851" w:right="616"/>
        <w:jc w:val="both"/>
        <w:rPr>
          <w:rFonts w:ascii="Palatino Linotype" w:eastAsia="Palatino Linotype" w:hAnsi="Palatino Linotype" w:cs="Palatino Linotype"/>
          <w:i/>
          <w:iCs/>
        </w:rPr>
      </w:pPr>
    </w:p>
    <w:p w14:paraId="421F5E7D" w14:textId="77777777" w:rsidR="00E458B2" w:rsidRPr="007C38BF" w:rsidRDefault="008A7751">
      <w:pPr>
        <w:tabs>
          <w:tab w:val="left" w:pos="7655"/>
        </w:tabs>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 xml:space="preserve">Número de empleado. </w:t>
      </w:r>
      <w:r w:rsidRPr="007C38BF">
        <w:rPr>
          <w:rFonts w:ascii="Palatino Linotype" w:eastAsia="Palatino Linotype" w:hAnsi="Palatino Linotype" w:cs="Palatino Linotype"/>
          <w:i/>
          <w:iCs/>
        </w:rPr>
        <w:t>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w:t>
      </w:r>
    </w:p>
    <w:p w14:paraId="4878C6A3" w14:textId="77777777" w:rsidR="00E458B2" w:rsidRPr="007C38BF" w:rsidRDefault="00E458B2">
      <w:pPr>
        <w:spacing w:after="0" w:line="360" w:lineRule="auto"/>
        <w:jc w:val="both"/>
        <w:rPr>
          <w:rFonts w:ascii="Palatino Linotype" w:eastAsia="Palatino Linotype" w:hAnsi="Palatino Linotype" w:cs="Palatino Linotype"/>
        </w:rPr>
      </w:pPr>
    </w:p>
    <w:p w14:paraId="5C694443"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atención al criterio de interpretación, se advierten dos supuestos para catalogar la información concerniente al número de empleado o equivalente, el primero es considerar la información como confidencial, siempre y cuando se integre con datos personales o que permita acceder a ellos sin necesidad de alguna contraseña, y el segundo supuesto es considerar que la información es susceptible de entregarse siempre que requiera una contraseña para acceder a los datos personales o cuando su conformación no revele los mismos, por consiguiente, en el caso concreto,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deberá acatar lo establecido y de ser procedente, entregará el número de empleado o equivalente de los servidores públicos materia de la solicitud, o en su caso, los clasificará como información confidencial, a través del Acuerdo emitido por su Comité de Transparencia conforme a la Ley de la Materia.</w:t>
      </w:r>
    </w:p>
    <w:p w14:paraId="4D6CB181" w14:textId="77777777" w:rsidR="00E458B2" w:rsidRPr="007C38BF" w:rsidRDefault="00E458B2">
      <w:pPr>
        <w:spacing w:after="0" w:line="360" w:lineRule="auto"/>
        <w:jc w:val="both"/>
        <w:rPr>
          <w:rFonts w:ascii="Palatino Linotype" w:eastAsia="Palatino Linotype" w:hAnsi="Palatino Linotype" w:cs="Palatino Linotype"/>
        </w:rPr>
      </w:pPr>
    </w:p>
    <w:p w14:paraId="5DE282AB"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b/>
          <w:bCs/>
        </w:rPr>
        <w:t>De la información fiscal</w:t>
      </w:r>
      <w:r w:rsidRPr="007C38BF">
        <w:rPr>
          <w:rFonts w:ascii="Palatino Linotype" w:eastAsia="Palatino Linotype" w:hAnsi="Palatino Linotype" w:cs="Palatino Linotype"/>
        </w:rPr>
        <w:t xml:space="preserve">: </w:t>
      </w:r>
    </w:p>
    <w:p w14:paraId="55BBCE0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La </w:t>
      </w:r>
      <w:r w:rsidRPr="007C38BF">
        <w:rPr>
          <w:rFonts w:ascii="Palatino Linotype" w:eastAsia="Palatino Linotype" w:hAnsi="Palatino Linotype" w:cs="Palatino Linotype"/>
          <w:b/>
          <w:bCs/>
        </w:rPr>
        <w:t>Cadena Original</w:t>
      </w:r>
      <w:r w:rsidRPr="007C38BF">
        <w:rPr>
          <w:rFonts w:ascii="Palatino Linotype" w:eastAsia="Palatino Linotype" w:hAnsi="Palatino Linotype" w:cs="Palatino Linotype"/>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analizar dicha circunstancia con la finalidad de proteger, de ser el caso, la información a través de su clasificación por actualizarse el supuesto de confidencialidad.</w:t>
      </w:r>
    </w:p>
    <w:p w14:paraId="20DC0909" w14:textId="77777777" w:rsidR="00E458B2" w:rsidRPr="007C38BF" w:rsidRDefault="00E458B2">
      <w:pPr>
        <w:spacing w:after="0" w:line="360" w:lineRule="auto"/>
        <w:jc w:val="both"/>
        <w:rPr>
          <w:rFonts w:ascii="Palatino Linotype" w:eastAsia="Palatino Linotype" w:hAnsi="Palatino Linotype" w:cs="Palatino Linotype"/>
        </w:rPr>
      </w:pPr>
    </w:p>
    <w:p w14:paraId="345368F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Los </w:t>
      </w:r>
      <w:r w:rsidRPr="007C38BF">
        <w:rPr>
          <w:rFonts w:ascii="Palatino Linotype" w:eastAsia="Palatino Linotype" w:hAnsi="Palatino Linotype" w:cs="Palatino Linotype"/>
          <w:b/>
          <w:bCs/>
        </w:rPr>
        <w:t>códigos bidimensionales</w:t>
      </w:r>
      <w:r w:rsidRPr="007C38BF">
        <w:rPr>
          <w:rFonts w:ascii="Palatino Linotype" w:eastAsia="Palatino Linotype" w:hAnsi="Palatino Linotype" w:cs="Palatino Linotype"/>
        </w:rPr>
        <w:t xml:space="preserve"> o </w:t>
      </w:r>
      <w:r w:rsidRPr="007C38BF">
        <w:rPr>
          <w:rFonts w:ascii="Palatino Linotype" w:eastAsia="Palatino Linotype" w:hAnsi="Palatino Linotype" w:cs="Palatino Linotype"/>
          <w:b/>
          <w:bCs/>
        </w:rPr>
        <w:t xml:space="preserve">códigos QR, </w:t>
      </w:r>
      <w:r w:rsidRPr="007C38BF">
        <w:rPr>
          <w:rFonts w:ascii="Palatino Linotype" w:eastAsia="Palatino Linotype" w:hAnsi="Palatino Linotype" w:cs="Palatino Linotype"/>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analizar dicha circunstancia con la finalidad de determinar si se actualiza algún supuesto de confidencialidad.</w:t>
      </w:r>
    </w:p>
    <w:p w14:paraId="7EEEF5F7" w14:textId="77777777" w:rsidR="00E458B2" w:rsidRPr="007C38BF" w:rsidRDefault="00E458B2">
      <w:pPr>
        <w:spacing w:after="0" w:line="360" w:lineRule="auto"/>
        <w:jc w:val="both"/>
        <w:rPr>
          <w:rFonts w:ascii="Palatino Linotype" w:eastAsia="Palatino Linotype" w:hAnsi="Palatino Linotype" w:cs="Palatino Linotype"/>
        </w:rPr>
      </w:pPr>
    </w:p>
    <w:p w14:paraId="305EF8F2"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En tal sentido, si derivado del análisis efectuado por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vulnerar la esfera más íntima de privacidad de su titular, deberá clasificarla como confidencial, de manera fundada y motivada en términos del artículo 143, fracción I de la Ley de Transparencia y Acceso a la Información Pública del Estado de México y Municipios.</w:t>
      </w:r>
    </w:p>
    <w:p w14:paraId="46812B43" w14:textId="77777777" w:rsidR="00E458B2" w:rsidRPr="007C38BF" w:rsidRDefault="00E458B2">
      <w:pPr>
        <w:spacing w:after="0" w:line="360" w:lineRule="auto"/>
        <w:jc w:val="both"/>
        <w:rPr>
          <w:rFonts w:ascii="Palatino Linotype" w:eastAsia="Palatino Linotype" w:hAnsi="Palatino Linotype" w:cs="Palatino Linotype"/>
        </w:rPr>
      </w:pPr>
    </w:p>
    <w:p w14:paraId="646590E4"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Con relación a las</w:t>
      </w:r>
      <w:r w:rsidRPr="007C38BF">
        <w:rPr>
          <w:rFonts w:ascii="Palatino Linotype" w:eastAsia="Palatino Linotype" w:hAnsi="Palatino Linotype" w:cs="Palatino Linotype"/>
          <w:b/>
          <w:bCs/>
        </w:rPr>
        <w:t xml:space="preserve"> fotografías de los servidores públicos. </w:t>
      </w:r>
      <w:r w:rsidRPr="007C38BF">
        <w:rPr>
          <w:rFonts w:ascii="Palatino Linotype" w:eastAsia="Palatino Linotype" w:hAnsi="Palatino Linotype" w:cs="Palatino Linotype"/>
        </w:rPr>
        <w:t>Por lo que hace a las fotografías,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277455B8"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350933FC"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3D1C109B"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78B5DDC7"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740A0277"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3F0D9414"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06F69F0E"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3E40A31E"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50BE973B"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3ABC8A66"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6E164E55"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68C80691"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5CB0D3E6"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06BDF5A0" w14:textId="77777777" w:rsidR="00E458B2" w:rsidRPr="007C38BF" w:rsidRDefault="008A7751">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Cabe hacer la aclaración que aquellos documentos que sean clasificados en su totalidad por no revestir de interés público, como lo es la credencial de elector, la fotografía correrá la misma suerte que el documento en cuestión, únicamente para dicha expresión documental. </w:t>
      </w:r>
    </w:p>
    <w:p w14:paraId="4084B126" w14:textId="77777777" w:rsidR="00E458B2" w:rsidRPr="007C38BF" w:rsidRDefault="00E458B2">
      <w:pPr>
        <w:widowControl w:val="0"/>
        <w:pBdr>
          <w:top w:val="nil"/>
          <w:left w:val="nil"/>
          <w:bottom w:val="nil"/>
          <w:right w:val="nil"/>
          <w:between w:val="nil"/>
        </w:pBdr>
        <w:spacing w:after="0" w:line="360" w:lineRule="auto"/>
        <w:jc w:val="both"/>
        <w:rPr>
          <w:rFonts w:ascii="Palatino Linotype" w:eastAsia="Palatino Linotype" w:hAnsi="Palatino Linotype" w:cs="Palatino Linotype"/>
        </w:rPr>
      </w:pPr>
    </w:p>
    <w:p w14:paraId="3D8CD738"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Finalmente, </w:t>
      </w:r>
      <w:r w:rsidRPr="007C38BF">
        <w:rPr>
          <w:rFonts w:ascii="Palatino Linotype" w:eastAsia="Palatino Linotype" w:hAnsi="Palatino Linotype" w:cs="Palatino Linotype"/>
          <w:b/>
          <w:bCs/>
        </w:rPr>
        <w:t xml:space="preserve">con relación a la firma de servidores públicos </w:t>
      </w:r>
      <w:r w:rsidRPr="007C38BF">
        <w:rPr>
          <w:rFonts w:ascii="Palatino Linotype" w:eastAsia="Palatino Linotype" w:hAnsi="Palatino Linotype" w:cs="Palatino Linotype"/>
        </w:rPr>
        <w:t>en documentos que comprueban su formación profesional, entre los que pueden estar aquellos que dan cuenta de su grado académico o de estudios, como el título y cédula profesional,</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se debe precisar que, se trata de servidores públicos en su calidad de particular, por lo que, es de señalar que la firma es un dato personal confidencial y únicamente será público dicho dato cuando sirva para la emisión de un acto de autoridad, en ejercicio de sus funciones.</w:t>
      </w:r>
    </w:p>
    <w:p w14:paraId="5F296612" w14:textId="77777777" w:rsidR="00E458B2" w:rsidRPr="007C38BF" w:rsidRDefault="00E458B2">
      <w:pPr>
        <w:spacing w:after="0" w:line="360" w:lineRule="auto"/>
        <w:jc w:val="both"/>
        <w:rPr>
          <w:rFonts w:ascii="Palatino Linotype" w:eastAsia="Palatino Linotype" w:hAnsi="Palatino Linotype" w:cs="Palatino Linotype"/>
        </w:rPr>
      </w:pPr>
    </w:p>
    <w:p w14:paraId="523D9B80"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Lo anterior, es así, toda vez que la firma de servidores públicos, vinculada al ejercicio de la función pública es información de naturaleza pública, pues documenta y rinde cuentas sobre el debido ejercicio de sus atribuciones, lo cual no acontece en el caso de los documentos que acreditan la formación académica.</w:t>
      </w:r>
    </w:p>
    <w:p w14:paraId="20836AF9" w14:textId="77777777" w:rsidR="00E458B2" w:rsidRPr="007C38BF" w:rsidRDefault="00E458B2">
      <w:pPr>
        <w:spacing w:after="0" w:line="360" w:lineRule="auto"/>
        <w:jc w:val="both"/>
        <w:rPr>
          <w:rFonts w:ascii="Palatino Linotype" w:eastAsia="Palatino Linotype" w:hAnsi="Palatino Linotype" w:cs="Palatino Linotype"/>
        </w:rPr>
      </w:pPr>
    </w:p>
    <w:p w14:paraId="6CAB9464"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La publicidad de dicho dato, se robustece con el criterio orientador 02/19, emitido por el entonces Instituto Nacional de Transparencia, Acceso a la Información y Protección de Datos Personales, que establece lo siguiente:</w:t>
      </w:r>
    </w:p>
    <w:p w14:paraId="0D68BA8A" w14:textId="77777777" w:rsidR="00E458B2" w:rsidRPr="007C38BF" w:rsidRDefault="00E458B2">
      <w:pPr>
        <w:spacing w:after="0"/>
        <w:ind w:left="851" w:right="902"/>
        <w:jc w:val="both"/>
        <w:rPr>
          <w:rFonts w:ascii="Palatino Linotype" w:eastAsia="Palatino Linotype" w:hAnsi="Palatino Linotype" w:cs="Palatino Linotype"/>
          <w:b/>
          <w:bCs/>
          <w:i/>
          <w:iCs/>
        </w:rPr>
      </w:pPr>
    </w:p>
    <w:p w14:paraId="05C8FD81" w14:textId="77777777" w:rsidR="00E458B2" w:rsidRPr="007C38BF" w:rsidRDefault="008A7751">
      <w:pPr>
        <w:spacing w:after="0"/>
        <w:ind w:left="851" w:right="902"/>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“Firma</w:t>
      </w:r>
    </w:p>
    <w:p w14:paraId="0AB1E847" w14:textId="77777777" w:rsidR="00E458B2" w:rsidRPr="007C38BF" w:rsidRDefault="008A7751">
      <w:pPr>
        <w:spacing w:after="0"/>
        <w:ind w:left="851" w:right="902"/>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 y rúbrica de servidores públicos.</w:t>
      </w:r>
      <w:r w:rsidRPr="007C38BF">
        <w:rPr>
          <w:rFonts w:ascii="Palatino Linotype" w:eastAsia="Palatino Linotype" w:hAnsi="Palatino Linotype" w:cs="Palatino Linotype"/>
          <w:i/>
          <w:iCs/>
        </w:rPr>
        <w:t xml:space="preserve"> Si bien la firma y la rúbrica son datos personales confidenciales, cuando un servidor público emite un acto como autoridad, en ejercicio de las funciones que tiene conferidas, la firma o rúbrica mediante la cual se valida dicho acto es pública.”</w:t>
      </w:r>
    </w:p>
    <w:p w14:paraId="662897EC" w14:textId="77777777" w:rsidR="00E458B2" w:rsidRPr="007C38BF" w:rsidRDefault="00E458B2">
      <w:pPr>
        <w:spacing w:after="0"/>
        <w:ind w:left="851" w:right="902"/>
        <w:jc w:val="both"/>
        <w:rPr>
          <w:rFonts w:ascii="Palatino Linotype" w:eastAsia="Palatino Linotype" w:hAnsi="Palatino Linotype" w:cs="Palatino Linotype"/>
          <w:i/>
          <w:iCs/>
        </w:rPr>
      </w:pPr>
    </w:p>
    <w:p w14:paraId="3E59386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Conforme a lo expuesto, de obrar la firma del servidor público en documentos que acrediten su grado académico o de estudios, procede la clasificación, en términos del artículo 143, fracción I de la Ley de Transparencia y Acceso a la Información Pública del Estado de México y Municipios, pues da cuenta de la aceptación de un grado ante la Secretaría de Educación Pública.</w:t>
      </w:r>
    </w:p>
    <w:p w14:paraId="7FD601C3" w14:textId="77777777" w:rsidR="00E458B2" w:rsidRPr="007C38BF" w:rsidRDefault="00E458B2">
      <w:pPr>
        <w:widowControl w:val="0"/>
        <w:pBdr>
          <w:top w:val="nil"/>
          <w:left w:val="nil"/>
          <w:bottom w:val="nil"/>
          <w:right w:val="nil"/>
          <w:between w:val="nil"/>
        </w:pBdr>
        <w:spacing w:after="0" w:line="360" w:lineRule="auto"/>
        <w:ind w:left="567"/>
        <w:jc w:val="both"/>
        <w:rPr>
          <w:rFonts w:ascii="Palatino Linotype" w:eastAsia="Palatino Linotype" w:hAnsi="Palatino Linotype" w:cs="Palatino Linotype"/>
        </w:rPr>
      </w:pPr>
    </w:p>
    <w:p w14:paraId="500E8C13" w14:textId="77777777" w:rsidR="00E458B2" w:rsidRPr="007C38BF" w:rsidRDefault="008A7751">
      <w:pPr>
        <w:spacing w:after="0" w:line="360" w:lineRule="auto"/>
        <w:ind w:right="50"/>
        <w:jc w:val="both"/>
        <w:rPr>
          <w:rFonts w:ascii="Palatino Linotype" w:eastAsia="Palatino Linotype" w:hAnsi="Palatino Linotype" w:cs="Palatino Linotype"/>
        </w:rPr>
      </w:pPr>
      <w:r w:rsidRPr="007C38BF">
        <w:rPr>
          <w:rFonts w:ascii="Palatino Linotype" w:eastAsia="Palatino Linotype" w:hAnsi="Palatino Linotype" w:cs="Palatino Linotype"/>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5920A704" w14:textId="77777777" w:rsidR="00E458B2" w:rsidRPr="007C38BF" w:rsidRDefault="00E458B2">
      <w:pPr>
        <w:spacing w:after="0" w:line="360" w:lineRule="auto"/>
        <w:ind w:right="50"/>
        <w:jc w:val="both"/>
        <w:rPr>
          <w:rFonts w:ascii="Palatino Linotype" w:eastAsia="Palatino Linotype" w:hAnsi="Palatino Linotype" w:cs="Palatino Linotype"/>
        </w:rPr>
      </w:pPr>
    </w:p>
    <w:p w14:paraId="54B436C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“Artículo 49.</w:t>
      </w:r>
      <w:r w:rsidRPr="007C38BF">
        <w:rPr>
          <w:rFonts w:ascii="Palatino Linotype" w:eastAsia="Palatino Linotype" w:hAnsi="Palatino Linotype" w:cs="Palatino Linotype"/>
          <w:i/>
          <w:iCs/>
        </w:rPr>
        <w:t xml:space="preserve"> </w:t>
      </w:r>
      <w:r w:rsidRPr="007C38BF">
        <w:rPr>
          <w:rFonts w:ascii="Palatino Linotype" w:eastAsia="Palatino Linotype" w:hAnsi="Palatino Linotype" w:cs="Palatino Linotype"/>
          <w:b/>
          <w:bCs/>
          <w:i/>
          <w:iCs/>
        </w:rPr>
        <w:t>Los Comités de Transparencia</w:t>
      </w:r>
      <w:r w:rsidRPr="007C38BF">
        <w:rPr>
          <w:rFonts w:ascii="Palatino Linotype" w:eastAsia="Palatino Linotype" w:hAnsi="Palatino Linotype" w:cs="Palatino Linotype"/>
          <w:i/>
          <w:iCs/>
        </w:rPr>
        <w:t xml:space="preserve"> tendrán las siguientes atribuciones:</w:t>
      </w:r>
    </w:p>
    <w:p w14:paraId="20A6EAA1"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VIII. Aprobar, modificar o revocar la clasificación de la información</w:t>
      </w:r>
      <w:r w:rsidRPr="007C38BF">
        <w:rPr>
          <w:rFonts w:ascii="Palatino Linotype" w:eastAsia="Palatino Linotype" w:hAnsi="Palatino Linotype" w:cs="Palatino Linotype"/>
          <w:i/>
          <w:iCs/>
        </w:rPr>
        <w:t>…”</w:t>
      </w:r>
    </w:p>
    <w:p w14:paraId="3E83F702"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53.</w:t>
      </w:r>
      <w:r w:rsidRPr="007C38BF">
        <w:rPr>
          <w:rFonts w:ascii="Palatino Linotype" w:eastAsia="Palatino Linotype" w:hAnsi="Palatino Linotype" w:cs="Palatino Linotype"/>
          <w:i/>
          <w:iCs/>
        </w:rPr>
        <w:t xml:space="preserve"> Las </w:t>
      </w:r>
      <w:r w:rsidRPr="007C38BF">
        <w:rPr>
          <w:rFonts w:ascii="Palatino Linotype" w:eastAsia="Palatino Linotype" w:hAnsi="Palatino Linotype" w:cs="Palatino Linotype"/>
          <w:b/>
          <w:bCs/>
          <w:i/>
          <w:iCs/>
        </w:rPr>
        <w:t>Unidades de Transparencia</w:t>
      </w:r>
      <w:r w:rsidRPr="007C38BF">
        <w:rPr>
          <w:rFonts w:ascii="Palatino Linotype" w:eastAsia="Palatino Linotype" w:hAnsi="Palatino Linotype" w:cs="Palatino Linotype"/>
          <w:i/>
          <w:iCs/>
        </w:rPr>
        <w:t xml:space="preserve"> tendrán las siguientes </w:t>
      </w:r>
      <w:r w:rsidRPr="007C38BF">
        <w:rPr>
          <w:rFonts w:ascii="Palatino Linotype" w:eastAsia="Palatino Linotype" w:hAnsi="Palatino Linotype" w:cs="Palatino Linotype"/>
          <w:b/>
          <w:bCs/>
          <w:i/>
          <w:iCs/>
        </w:rPr>
        <w:t>funciones</w:t>
      </w:r>
      <w:r w:rsidRPr="007C38BF">
        <w:rPr>
          <w:rFonts w:ascii="Palatino Linotype" w:eastAsia="Palatino Linotype" w:hAnsi="Palatino Linotype" w:cs="Palatino Linotype"/>
          <w:i/>
          <w:iCs/>
        </w:rPr>
        <w:t>:</w:t>
      </w:r>
    </w:p>
    <w:p w14:paraId="67A7DD5E"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X. Presentar ante el Comité, el proyecto de clasificación de información</w:t>
      </w:r>
      <w:r w:rsidRPr="007C38BF">
        <w:rPr>
          <w:rFonts w:ascii="Palatino Linotype" w:eastAsia="Palatino Linotype" w:hAnsi="Palatino Linotype" w:cs="Palatino Linotype"/>
          <w:i/>
          <w:iCs/>
        </w:rPr>
        <w:t xml:space="preserve">…” </w:t>
      </w:r>
    </w:p>
    <w:p w14:paraId="2DE4509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“Artículo 59.</w:t>
      </w:r>
      <w:r w:rsidRPr="007C38BF">
        <w:rPr>
          <w:rFonts w:ascii="Palatino Linotype" w:eastAsia="Palatino Linotype" w:hAnsi="Palatino Linotype" w:cs="Palatino Linotype"/>
          <w:i/>
          <w:iCs/>
        </w:rPr>
        <w:t xml:space="preserve"> Los </w:t>
      </w:r>
      <w:r w:rsidRPr="007C38BF">
        <w:rPr>
          <w:rFonts w:ascii="Palatino Linotype" w:eastAsia="Palatino Linotype" w:hAnsi="Palatino Linotype" w:cs="Palatino Linotype"/>
          <w:b/>
          <w:bCs/>
          <w:i/>
          <w:iCs/>
        </w:rPr>
        <w:t>servidores públicos habilitados</w:t>
      </w:r>
      <w:r w:rsidRPr="007C38BF">
        <w:rPr>
          <w:rFonts w:ascii="Palatino Linotype" w:eastAsia="Palatino Linotype" w:hAnsi="Palatino Linotype" w:cs="Palatino Linotype"/>
          <w:i/>
          <w:iCs/>
        </w:rPr>
        <w:t xml:space="preserve"> tendrán las </w:t>
      </w:r>
      <w:r w:rsidRPr="007C38BF">
        <w:rPr>
          <w:rFonts w:ascii="Palatino Linotype" w:eastAsia="Palatino Linotype" w:hAnsi="Palatino Linotype" w:cs="Palatino Linotype"/>
          <w:b/>
          <w:bCs/>
          <w:i/>
          <w:iCs/>
        </w:rPr>
        <w:t>funciones</w:t>
      </w:r>
      <w:r w:rsidRPr="007C38BF">
        <w:rPr>
          <w:rFonts w:ascii="Palatino Linotype" w:eastAsia="Palatino Linotype" w:hAnsi="Palatino Linotype" w:cs="Palatino Linotype"/>
          <w:i/>
          <w:iCs/>
        </w:rPr>
        <w:t xml:space="preserve"> siguientes:</w:t>
      </w:r>
    </w:p>
    <w:p w14:paraId="2AF48AD9"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 Integrar y presentar al responsable de la Unidad de Transparencia la propuesta de clasificación de información</w:t>
      </w:r>
      <w:r w:rsidRPr="007C38BF">
        <w:rPr>
          <w:rFonts w:ascii="Palatino Linotype" w:eastAsia="Palatino Linotype" w:hAnsi="Palatino Linotype" w:cs="Palatino Linotype"/>
          <w:i/>
          <w:iCs/>
        </w:rPr>
        <w:t>, la cual tendrá los fundamentos y argumentos en que se basa dicha propuesta…”</w:t>
      </w:r>
    </w:p>
    <w:p w14:paraId="027F6015" w14:textId="77777777" w:rsidR="00E458B2" w:rsidRPr="007C38BF" w:rsidRDefault="00E458B2">
      <w:pPr>
        <w:spacing w:after="0" w:line="360" w:lineRule="auto"/>
        <w:jc w:val="both"/>
        <w:rPr>
          <w:rFonts w:ascii="Palatino Linotype" w:eastAsia="Palatino Linotype" w:hAnsi="Palatino Linotype" w:cs="Palatino Linotype"/>
        </w:rPr>
      </w:pPr>
    </w:p>
    <w:p w14:paraId="6B95B06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689DA17C" w14:textId="77777777" w:rsidR="00E458B2" w:rsidRPr="007C38BF" w:rsidRDefault="00E458B2">
      <w:pPr>
        <w:spacing w:after="0" w:line="360" w:lineRule="auto"/>
        <w:jc w:val="both"/>
        <w:rPr>
          <w:rFonts w:ascii="Palatino Linotype" w:eastAsia="Palatino Linotype" w:hAnsi="Palatino Linotype" w:cs="Palatino Linotype"/>
        </w:rPr>
      </w:pPr>
    </w:p>
    <w:p w14:paraId="0248EDD7"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Para lo cual, a su vez en el caso de información de carácter confidencial, se debe atender a lo que señala el artículo 149 de la Ley de Transparencia Local vigente, que se lee como sigue:</w:t>
      </w:r>
    </w:p>
    <w:p w14:paraId="42D8F1C6" w14:textId="77777777" w:rsidR="00E458B2" w:rsidRPr="007C38BF" w:rsidRDefault="00E458B2">
      <w:pPr>
        <w:spacing w:after="0" w:line="360" w:lineRule="auto"/>
        <w:jc w:val="both"/>
        <w:rPr>
          <w:rFonts w:ascii="Palatino Linotype" w:eastAsia="Palatino Linotype" w:hAnsi="Palatino Linotype" w:cs="Palatino Linotype"/>
        </w:rPr>
      </w:pPr>
    </w:p>
    <w:p w14:paraId="17C01A44"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Artículo 149.</w:t>
      </w:r>
      <w:r w:rsidRPr="007C38BF">
        <w:rPr>
          <w:rFonts w:ascii="Palatino Linotype" w:eastAsia="Palatino Linotype" w:hAnsi="Palatino Linotype" w:cs="Palatino Linotype"/>
          <w:i/>
          <w:iCs/>
        </w:rPr>
        <w:t xml:space="preserve"> El </w:t>
      </w:r>
      <w:r w:rsidRPr="007C38BF">
        <w:rPr>
          <w:rFonts w:ascii="Palatino Linotype" w:eastAsia="Palatino Linotype" w:hAnsi="Palatino Linotype" w:cs="Palatino Linotype"/>
          <w:b/>
          <w:bCs/>
          <w:i/>
          <w:iCs/>
        </w:rPr>
        <w:t>acuerdo que clasifique la información como confidencial</w:t>
      </w:r>
      <w:r w:rsidRPr="007C38BF">
        <w:rPr>
          <w:rFonts w:ascii="Palatino Linotype" w:eastAsia="Palatino Linotype" w:hAnsi="Palatino Linotype" w:cs="Palatino Linotype"/>
          <w:i/>
          <w:iCs/>
        </w:rPr>
        <w:t xml:space="preserve"> deberá contener un razonamiento lógico en el que demuestre que la información se encuentra en alguna o algunas de las hipótesis previstas en la presente Ley.” </w:t>
      </w:r>
    </w:p>
    <w:p w14:paraId="3FBC6B4F" w14:textId="77777777" w:rsidR="00E458B2" w:rsidRPr="007C38BF" w:rsidRDefault="00E458B2">
      <w:pPr>
        <w:spacing w:after="0" w:line="360" w:lineRule="auto"/>
        <w:ind w:right="51"/>
        <w:jc w:val="both"/>
        <w:rPr>
          <w:rFonts w:ascii="Palatino Linotype" w:eastAsia="Palatino Linotype" w:hAnsi="Palatino Linotype" w:cs="Palatino Linotype"/>
        </w:rPr>
      </w:pPr>
    </w:p>
    <w:p w14:paraId="3A6D8FEA"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Es decir,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1836D229" w14:textId="77777777" w:rsidR="00E458B2" w:rsidRPr="007C38BF" w:rsidRDefault="00E458B2">
      <w:pPr>
        <w:spacing w:after="0" w:line="360" w:lineRule="auto"/>
        <w:ind w:right="51"/>
        <w:jc w:val="both"/>
        <w:rPr>
          <w:rFonts w:ascii="Palatino Linotype" w:eastAsia="Palatino Linotype" w:hAnsi="Palatino Linotype" w:cs="Palatino Linotype"/>
        </w:rPr>
      </w:pPr>
    </w:p>
    <w:p w14:paraId="0A2933AF" w14:textId="77777777" w:rsidR="00E458B2" w:rsidRPr="007C38BF" w:rsidRDefault="008A7751">
      <w:pPr>
        <w:pBdr>
          <w:top w:val="nil"/>
          <w:left w:val="nil"/>
          <w:bottom w:val="nil"/>
          <w:right w:val="nil"/>
          <w:between w:val="nil"/>
        </w:pBd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rPr>
        <w:t xml:space="preserve">Asimismo, respecto a las formalidades que deberá llevar el acuerdo de clasificación que deberá emitir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69B06A4F" w14:textId="77777777" w:rsidR="00E458B2" w:rsidRPr="007C38BF" w:rsidRDefault="00E458B2">
      <w:pPr>
        <w:pBdr>
          <w:top w:val="nil"/>
          <w:left w:val="nil"/>
          <w:bottom w:val="nil"/>
          <w:right w:val="nil"/>
          <w:between w:val="nil"/>
        </w:pBdr>
        <w:spacing w:after="0" w:line="360" w:lineRule="auto"/>
        <w:ind w:right="51"/>
        <w:jc w:val="both"/>
        <w:rPr>
          <w:rFonts w:ascii="Palatino Linotype" w:eastAsia="Palatino Linotype" w:hAnsi="Palatino Linotype" w:cs="Palatino Linotype"/>
        </w:rPr>
      </w:pPr>
    </w:p>
    <w:p w14:paraId="2FEB3935"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 “Quincuagésimo. </w:t>
      </w:r>
      <w:r w:rsidRPr="007C38BF">
        <w:rPr>
          <w:rFonts w:ascii="Palatino Linotype" w:eastAsia="Palatino Linotype" w:hAnsi="Palatino Linotype" w:cs="Palatino Linotype"/>
          <w:i/>
          <w:iCs/>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6DFE7E4B"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Quincuagésimo primero. </w:t>
      </w:r>
      <w:r w:rsidRPr="007C38BF">
        <w:rPr>
          <w:rFonts w:ascii="Palatino Linotype" w:eastAsia="Palatino Linotype" w:hAnsi="Palatino Linotype" w:cs="Palatino Linotype"/>
          <w:i/>
          <w:iCs/>
        </w:rPr>
        <w:t xml:space="preserve">Toda acta del Comité de Transparencia deberá contener: </w:t>
      </w:r>
    </w:p>
    <w:p w14:paraId="573FED7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El número de sesión y fecha; </w:t>
      </w:r>
    </w:p>
    <w:p w14:paraId="4A86EA7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xml:space="preserve">. El nombre del área que solicitó la clasificación de información; </w:t>
      </w:r>
    </w:p>
    <w:p w14:paraId="34DEB6F2"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La fundamentación legal y motivación correspondiente; </w:t>
      </w:r>
    </w:p>
    <w:p w14:paraId="5F1D2D37"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IV</w:t>
      </w:r>
      <w:r w:rsidRPr="007C38BF">
        <w:rPr>
          <w:rFonts w:ascii="Palatino Linotype" w:eastAsia="Palatino Linotype" w:hAnsi="Palatino Linotype" w:cs="Palatino Linotype"/>
          <w:i/>
          <w:iCs/>
        </w:rPr>
        <w:t xml:space="preserve">. La resolución o resoluciones aprobadas; y </w:t>
      </w:r>
    </w:p>
    <w:p w14:paraId="7D5C85DF"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V</w:t>
      </w:r>
      <w:r w:rsidRPr="007C38BF">
        <w:rPr>
          <w:rFonts w:ascii="Palatino Linotype" w:eastAsia="Palatino Linotype" w:hAnsi="Palatino Linotype" w:cs="Palatino Linotype"/>
          <w:i/>
          <w:iCs/>
        </w:rPr>
        <w:t xml:space="preserve">. La rúbrica o firma digital de cada integrante del Comité de Transparencia. </w:t>
      </w:r>
    </w:p>
    <w:p w14:paraId="6188B59E"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Las resoluciones del Comité en las que se haya determinado confirmar o modificar la clasificación de información pública como reservada, deberán incluir, cuando menos: </w:t>
      </w:r>
    </w:p>
    <w:p w14:paraId="54AC671B"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Los motivos y razonamientos que sustenten la confirmación o modificación de la prueba de daño;</w:t>
      </w:r>
    </w:p>
    <w:p w14:paraId="74FC688C"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Descripción de las partes o secciones reservadas, en caso de clasificación parcial</w:t>
      </w:r>
      <w:r w:rsidRPr="007C38BF">
        <w:rPr>
          <w:rFonts w:ascii="Palatino Linotype" w:eastAsia="Palatino Linotype" w:hAnsi="Palatino Linotype" w:cs="Palatino Linotype"/>
          <w:b/>
          <w:bCs/>
          <w:i/>
          <w:iCs/>
        </w:rPr>
        <w:t xml:space="preserve">; </w:t>
      </w:r>
    </w:p>
    <w:p w14:paraId="1243B8BA"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El periodo por el que mantendrá su clasificación y fecha de expiración; y </w:t>
      </w:r>
    </w:p>
    <w:p w14:paraId="4B12606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IV.</w:t>
      </w:r>
      <w:r w:rsidRPr="007C38BF">
        <w:rPr>
          <w:rFonts w:ascii="Palatino Linotype" w:eastAsia="Palatino Linotype" w:hAnsi="Palatino Linotype" w:cs="Palatino Linotype"/>
          <w:i/>
          <w:iCs/>
        </w:rPr>
        <w:t xml:space="preserve"> El nombre del titular y área encargada de realizar la versión pública del documento, en su caso. </w:t>
      </w:r>
    </w:p>
    <w:p w14:paraId="1B094F66"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En los casos en que se clasifique la información como reservada siempre se entregará o anexará la prueba de daño con la respuesta al solicitante. </w:t>
      </w:r>
    </w:p>
    <w:p w14:paraId="4F37B8D2"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En los casos de resoluciones del Comité de Transparencia en las que se confirme la clasificación de información confidencial solo se deberán de identificar los tipos de datos protegidos, de conformidad con el lineamiento trigésimo octavo.</w:t>
      </w:r>
    </w:p>
    <w:p w14:paraId="27BA360B" w14:textId="77777777" w:rsidR="00E458B2" w:rsidRPr="007C38BF" w:rsidRDefault="00E458B2">
      <w:pPr>
        <w:spacing w:after="0" w:line="360" w:lineRule="auto"/>
        <w:jc w:val="both"/>
        <w:rPr>
          <w:rFonts w:ascii="Palatino Linotype" w:eastAsia="Palatino Linotype" w:hAnsi="Palatino Linotype" w:cs="Palatino Linotype"/>
        </w:rPr>
      </w:pPr>
    </w:p>
    <w:p w14:paraId="2DB81119"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0974C267" w14:textId="77777777" w:rsidR="00E458B2" w:rsidRPr="007C38BF" w:rsidRDefault="00E458B2">
      <w:pPr>
        <w:spacing w:after="0" w:line="360" w:lineRule="auto"/>
        <w:jc w:val="both"/>
        <w:rPr>
          <w:rFonts w:ascii="Palatino Linotype" w:eastAsia="Palatino Linotype" w:hAnsi="Palatino Linotype" w:cs="Palatino Linotype"/>
        </w:rPr>
      </w:pPr>
    </w:p>
    <w:p w14:paraId="5F52A67C"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r w:rsidRPr="007C38BF">
        <w:rPr>
          <w:rFonts w:ascii="Palatino Linotype" w:eastAsia="Palatino Linotype" w:hAnsi="Palatino Linotype" w:cs="Palatino Linotype"/>
          <w:b/>
          <w:bCs/>
          <w:i/>
          <w:iCs/>
        </w:rPr>
        <w:t>Quincuagésimo segundo</w:t>
      </w:r>
      <w:r w:rsidRPr="007C38BF">
        <w:rPr>
          <w:rFonts w:ascii="Palatino Linotype" w:eastAsia="Palatino Linotype" w:hAnsi="Palatino Linotype" w:cs="Palatino Linotype"/>
          <w:i/>
          <w:iCs/>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00C9BE50"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En el caso específico de la clasificación y elaboración de versiones públicas de documentos que contengan información confidencial, las áreas de los sujetos obligados deberán: </w:t>
      </w:r>
    </w:p>
    <w:p w14:paraId="5696BFAE"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Fijar la fecha en que se elaboró la versión pública y la fecha en la cual el Comité de Transparencia confirmó dicha versión;</w:t>
      </w:r>
    </w:p>
    <w:p w14:paraId="70444E0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xml:space="preserve"> Señalar dentro del documento el tipo de información confidencial que fue testada en cada caso específico, de conformidad con el lineamiento trigésimo octavo; y</w:t>
      </w:r>
    </w:p>
    <w:p w14:paraId="0772435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Señalar las personas o instancias autorizadas a acceder a la información clasificada.</w:t>
      </w:r>
    </w:p>
    <w:p w14:paraId="458EA13F"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En los documentos de difusión electrónica, señalar en la primera hoja y en el nombre del archivo, que la versión pública corresponde a un documento que contiene información confidencial.”</w:t>
      </w:r>
    </w:p>
    <w:p w14:paraId="0BCCC7A8"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w:t>
      </w:r>
    </w:p>
    <w:p w14:paraId="4A141C5F" w14:textId="77777777" w:rsidR="00E458B2" w:rsidRPr="007C38BF" w:rsidRDefault="008A7751">
      <w:pPr>
        <w:pBdr>
          <w:top w:val="nil"/>
          <w:left w:val="nil"/>
          <w:bottom w:val="nil"/>
          <w:right w:val="nil"/>
          <w:between w:val="nil"/>
        </w:pBd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 xml:space="preserve">Quincuagésimo cuarto. </w:t>
      </w:r>
      <w:r w:rsidRPr="007C38BF">
        <w:rPr>
          <w:rFonts w:ascii="Palatino Linotype" w:eastAsia="Palatino Linotype" w:hAnsi="Palatino Linotype" w:cs="Palatino Linotype"/>
          <w:i/>
          <w:iCs/>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7C38BF">
        <w:rPr>
          <w:rFonts w:ascii="Palatino Linotype" w:eastAsia="Palatino Linotype" w:hAnsi="Palatino Linotype" w:cs="Palatino Linotype"/>
          <w:b/>
          <w:bCs/>
          <w:i/>
          <w:iCs/>
        </w:rPr>
        <w:t xml:space="preserve"> </w:t>
      </w:r>
    </w:p>
    <w:p w14:paraId="00914607"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 xml:space="preserve">Quincuagésimo quinto. </w:t>
      </w:r>
      <w:r w:rsidRPr="007C38BF">
        <w:rPr>
          <w:rFonts w:ascii="Palatino Linotype" w:eastAsia="Palatino Linotype" w:hAnsi="Palatino Linotype" w:cs="Palatino Linotype"/>
          <w:i/>
          <w:iCs/>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60382207" w14:textId="77777777" w:rsidR="00E458B2" w:rsidRPr="007C38BF" w:rsidRDefault="008A7751">
      <w:pPr>
        <w:spacing w:after="0" w:line="276" w:lineRule="auto"/>
        <w:ind w:left="851" w:right="616"/>
        <w:jc w:val="both"/>
        <w:rPr>
          <w:rFonts w:ascii="Palatino Linotype" w:eastAsia="Palatino Linotype" w:hAnsi="Palatino Linotype" w:cs="Palatino Linotype"/>
          <w:b/>
          <w:bCs/>
          <w:i/>
          <w:iCs/>
        </w:rPr>
      </w:pPr>
      <w:r w:rsidRPr="007C38BF">
        <w:rPr>
          <w:rFonts w:ascii="Palatino Linotype" w:eastAsia="Palatino Linotype" w:hAnsi="Palatino Linotype" w:cs="Palatino Linotype"/>
          <w:b/>
          <w:bCs/>
          <w:i/>
          <w:iCs/>
        </w:rPr>
        <w:t>...</w:t>
      </w:r>
    </w:p>
    <w:p w14:paraId="647E5C2E"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Quincuagésimo séptimo</w:t>
      </w:r>
      <w:r w:rsidRPr="007C38BF">
        <w:rPr>
          <w:rFonts w:ascii="Palatino Linotype" w:eastAsia="Palatino Linotype" w:hAnsi="Palatino Linotype" w:cs="Palatino Linotype"/>
          <w:i/>
          <w:iCs/>
        </w:rPr>
        <w:t xml:space="preserve">. Se considera, en principio, como información pública y no podrá omitirse de las versiones públicas la siguiente: </w:t>
      </w:r>
    </w:p>
    <w:p w14:paraId="5EA33CC2"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w:t>
      </w:r>
      <w:r w:rsidRPr="007C38BF">
        <w:rPr>
          <w:rFonts w:ascii="Palatino Linotype" w:eastAsia="Palatino Linotype" w:hAnsi="Palatino Linotype" w:cs="Palatino Linotype"/>
          <w:i/>
          <w:iCs/>
        </w:rPr>
        <w:t xml:space="preserve">. La relativa a las Obligaciones de Transparencia que contempla el Título V de la Ley General y las demás disposiciones legales aplicables; </w:t>
      </w:r>
    </w:p>
    <w:p w14:paraId="375EB578"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w:t>
      </w:r>
      <w:r w:rsidRPr="007C38BF">
        <w:rPr>
          <w:rFonts w:ascii="Palatino Linotype" w:eastAsia="Palatino Linotype" w:hAnsi="Palatino Linotype" w:cs="Palatino Linotype"/>
          <w:i/>
          <w:iCs/>
        </w:rPr>
        <w:t xml:space="preserve"> El nombre de los integrantes de los sujetos obligados en los documentos, y sus firmas autógrafas o digitales, cuando sean utilizados en el ejercicio de las facultades conferidas para el desempeño del servicio público, y</w:t>
      </w:r>
    </w:p>
    <w:p w14:paraId="47649203"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III</w:t>
      </w:r>
      <w:r w:rsidRPr="007C38BF">
        <w:rPr>
          <w:rFonts w:ascii="Palatino Linotype" w:eastAsia="Palatino Linotype" w:hAnsi="Palatino Linotype" w:cs="Palatino Linotype"/>
          <w:i/>
          <w:iCs/>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784259A0"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Lo anterior, siempre y cuando no se acredite alguna causal de clasificación, prevista en las leyes o en los tratados internacionales suscritas por el Estado mexicano.  </w:t>
      </w:r>
    </w:p>
    <w:p w14:paraId="2475357B" w14:textId="77777777" w:rsidR="00E458B2" w:rsidRPr="007C38BF" w:rsidRDefault="008A7751">
      <w:pPr>
        <w:spacing w:after="0" w:line="276" w:lineRule="auto"/>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b/>
          <w:bCs/>
          <w:i/>
          <w:iCs/>
        </w:rPr>
        <w:t>Quincuagésimo octavo</w:t>
      </w:r>
      <w:r w:rsidRPr="007C38BF">
        <w:rPr>
          <w:rFonts w:ascii="Palatino Linotype" w:eastAsia="Palatino Linotype" w:hAnsi="Palatino Linotype" w:cs="Palatino Linotype"/>
          <w:i/>
          <w:iCs/>
        </w:rPr>
        <w:t>. Los sujetos obligados garantizarán que los sistemas o medios empleados para eliminar la información en las versiones públicas sean irreversibles, de tal forma que no permitan su recuperación o la visualización de la misma.”</w:t>
      </w:r>
    </w:p>
    <w:p w14:paraId="3F9167F5" w14:textId="77777777" w:rsidR="00E458B2" w:rsidRPr="007C38BF" w:rsidRDefault="00E458B2">
      <w:pPr>
        <w:spacing w:after="0" w:line="360" w:lineRule="auto"/>
        <w:jc w:val="both"/>
        <w:rPr>
          <w:rFonts w:ascii="Palatino Linotype" w:eastAsia="Palatino Linotype" w:hAnsi="Palatino Linotype" w:cs="Palatino Linotype"/>
        </w:rPr>
      </w:pPr>
    </w:p>
    <w:p w14:paraId="484DE54A"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En mérito de lo expuesto en líneas anteriores resultan fundadas las razones o motivos de inconformidad que arguye la parte</w:t>
      </w:r>
      <w:r w:rsidRPr="007C38BF">
        <w:rPr>
          <w:rFonts w:ascii="Palatino Linotype" w:eastAsia="Palatino Linotype" w:hAnsi="Palatino Linotype" w:cs="Palatino Linotype"/>
          <w:b/>
          <w:bCs/>
        </w:rPr>
        <w:t xml:space="preserve"> Recurrente</w:t>
      </w:r>
      <w:r w:rsidRPr="007C38BF">
        <w:rPr>
          <w:rFonts w:ascii="Palatino Linotype" w:eastAsia="Palatino Linotype" w:hAnsi="Palatino Linotype" w:cs="Palatino Linotype"/>
        </w:rPr>
        <w:t xml:space="preserve">, por ello con fundamento en el artículo 124 fracción III de la Ley de Transparencia y Acceso a la Información Pública del Estado de México y Municipios, este Instituto </w:t>
      </w:r>
      <w:r w:rsidRPr="007C38BF">
        <w:rPr>
          <w:rFonts w:ascii="Palatino Linotype" w:eastAsia="Palatino Linotype" w:hAnsi="Palatino Linotype" w:cs="Palatino Linotype"/>
          <w:b/>
          <w:bCs/>
        </w:rPr>
        <w:t>Revoca</w:t>
      </w:r>
      <w:r w:rsidRPr="007C38BF">
        <w:rPr>
          <w:rFonts w:ascii="Palatino Linotype" w:eastAsia="Palatino Linotype" w:hAnsi="Palatino Linotype" w:cs="Palatino Linotype"/>
        </w:rPr>
        <w:t xml:space="preserve"> la respuesta a la solicitud de información pública </w:t>
      </w:r>
      <w:r w:rsidRPr="007C38BF">
        <w:rPr>
          <w:rFonts w:ascii="Palatino Linotype" w:eastAsia="Palatino Linotype" w:hAnsi="Palatino Linotype" w:cs="Palatino Linotype"/>
          <w:b/>
          <w:bCs/>
        </w:rPr>
        <w:t>00033/DIFHUEHUET/IP/2026</w:t>
      </w:r>
      <w:r w:rsidRPr="007C38BF">
        <w:rPr>
          <w:rFonts w:ascii="Palatino Linotype" w:eastAsia="Palatino Linotype" w:hAnsi="Palatino Linotype" w:cs="Palatino Linotype"/>
        </w:rPr>
        <w:t>,</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que ha sido materia del presente fallo.</w:t>
      </w:r>
    </w:p>
    <w:p w14:paraId="6F622611" w14:textId="77777777" w:rsidR="00E458B2" w:rsidRPr="007C38BF" w:rsidRDefault="00E458B2">
      <w:pPr>
        <w:spacing w:after="0" w:line="360" w:lineRule="auto"/>
        <w:jc w:val="both"/>
        <w:rPr>
          <w:rFonts w:ascii="Palatino Linotype" w:eastAsia="Palatino Linotype" w:hAnsi="Palatino Linotype" w:cs="Palatino Linotype"/>
        </w:rPr>
      </w:pPr>
    </w:p>
    <w:p w14:paraId="235B4061" w14:textId="77777777" w:rsidR="00E458B2" w:rsidRPr="007C38BF" w:rsidRDefault="008A7751">
      <w:pPr>
        <w:spacing w:after="0" w:line="360" w:lineRule="auto"/>
        <w:jc w:val="both"/>
        <w:rPr>
          <w:rFonts w:ascii="Palatino Linotype" w:eastAsia="Palatino Linotype" w:hAnsi="Palatino Linotype" w:cs="Palatino Linotype"/>
        </w:rPr>
      </w:pPr>
      <w:r w:rsidRPr="007C38BF">
        <w:rPr>
          <w:rFonts w:ascii="Palatino Linotype" w:eastAsia="Palatino Linotype" w:hAnsi="Palatino Linotype" w:cs="Palatino Linotype"/>
        </w:rPr>
        <w:t>Así, con fundamento en lo prescrito en los artículos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de Transparencia y Acceso a la Información Pública del Estado de México y Municipios, este Pleno:</w:t>
      </w:r>
    </w:p>
    <w:p w14:paraId="7EC199C8" w14:textId="77777777" w:rsidR="00E458B2" w:rsidRPr="007C38BF" w:rsidRDefault="00E458B2">
      <w:pPr>
        <w:spacing w:after="0" w:line="360" w:lineRule="auto"/>
        <w:jc w:val="both"/>
        <w:rPr>
          <w:rFonts w:ascii="Palatino Linotype" w:eastAsia="Palatino Linotype" w:hAnsi="Palatino Linotype" w:cs="Palatino Linotype"/>
        </w:rPr>
      </w:pPr>
    </w:p>
    <w:p w14:paraId="643597F9" w14:textId="77777777" w:rsidR="00E458B2" w:rsidRPr="007C38BF" w:rsidRDefault="008A7751">
      <w:pPr>
        <w:pBdr>
          <w:top w:val="nil"/>
          <w:left w:val="nil"/>
          <w:bottom w:val="nil"/>
          <w:right w:val="nil"/>
          <w:between w:val="nil"/>
        </w:pBdr>
        <w:spacing w:after="0" w:line="360" w:lineRule="auto"/>
        <w:jc w:val="center"/>
        <w:rPr>
          <w:rFonts w:ascii="Palatino Linotype" w:eastAsia="Palatino Linotype" w:hAnsi="Palatino Linotype" w:cs="Palatino Linotype"/>
          <w:b/>
          <w:bCs/>
        </w:rPr>
      </w:pPr>
      <w:r w:rsidRPr="007C38BF">
        <w:rPr>
          <w:rFonts w:ascii="Palatino Linotype" w:eastAsia="Palatino Linotype" w:hAnsi="Palatino Linotype" w:cs="Palatino Linotype"/>
          <w:b/>
          <w:bCs/>
        </w:rPr>
        <w:t>III. R E S U E L V E:</w:t>
      </w:r>
    </w:p>
    <w:p w14:paraId="77141148" w14:textId="77777777" w:rsidR="00E458B2" w:rsidRPr="007C38BF" w:rsidRDefault="00E458B2">
      <w:pPr>
        <w:spacing w:after="0" w:line="360" w:lineRule="auto"/>
        <w:jc w:val="both"/>
        <w:rPr>
          <w:rFonts w:ascii="Palatino Linotype" w:eastAsia="Palatino Linotype" w:hAnsi="Palatino Linotype" w:cs="Palatino Linotype"/>
          <w:b/>
          <w:bCs/>
        </w:rPr>
      </w:pPr>
      <w:bookmarkStart w:id="5" w:name="_heading=h.3rdcrjn" w:colFirst="0" w:colLast="0"/>
      <w:bookmarkEnd w:id="5"/>
    </w:p>
    <w:p w14:paraId="57E7F197" w14:textId="77777777" w:rsidR="00E458B2" w:rsidRPr="007C38BF" w:rsidRDefault="008A7751">
      <w:pPr>
        <w:spacing w:after="0" w:line="360" w:lineRule="auto"/>
        <w:jc w:val="both"/>
        <w:rPr>
          <w:rFonts w:ascii="Palatino Linotype" w:eastAsia="Palatino Linotype" w:hAnsi="Palatino Linotype" w:cs="Palatino Linotype"/>
          <w:b/>
          <w:bCs/>
        </w:rPr>
      </w:pPr>
      <w:r w:rsidRPr="007C38BF">
        <w:rPr>
          <w:rFonts w:ascii="Palatino Linotype" w:eastAsia="Palatino Linotype" w:hAnsi="Palatino Linotype" w:cs="Palatino Linotype"/>
          <w:b/>
          <w:bCs/>
        </w:rPr>
        <w:t xml:space="preserve">Primero. </w:t>
      </w:r>
      <w:r w:rsidRPr="007C38BF">
        <w:rPr>
          <w:rFonts w:ascii="Palatino Linotype" w:eastAsia="Palatino Linotype" w:hAnsi="Palatino Linotype" w:cs="Palatino Linotype"/>
        </w:rPr>
        <w:t>Resultan</w:t>
      </w:r>
      <w:r w:rsidRPr="007C38BF">
        <w:rPr>
          <w:rFonts w:ascii="Palatino Linotype" w:eastAsia="Palatino Linotype" w:hAnsi="Palatino Linotype" w:cs="Palatino Linotype"/>
          <w:b/>
          <w:bCs/>
        </w:rPr>
        <w:t xml:space="preserve"> fundados</w:t>
      </w:r>
      <w:r w:rsidRPr="007C38BF">
        <w:rPr>
          <w:rFonts w:ascii="Palatino Linotype" w:eastAsia="Palatino Linotype" w:hAnsi="Palatino Linotype" w:cs="Palatino Linotype"/>
        </w:rPr>
        <w:t xml:space="preserve"> los motivos de inconformidad hechos valer por la parte </w:t>
      </w:r>
      <w:r w:rsidRPr="007C38BF">
        <w:rPr>
          <w:rFonts w:ascii="Palatino Linotype" w:eastAsia="Palatino Linotype" w:hAnsi="Palatino Linotype" w:cs="Palatino Linotype"/>
          <w:b/>
          <w:bCs/>
        </w:rPr>
        <w:t xml:space="preserve">Recurrente </w:t>
      </w:r>
      <w:r w:rsidRPr="007C38BF">
        <w:rPr>
          <w:rFonts w:ascii="Palatino Linotype" w:eastAsia="Palatino Linotype" w:hAnsi="Palatino Linotype" w:cs="Palatino Linotype"/>
        </w:rPr>
        <w:t xml:space="preserve">en el recurso de revisión </w:t>
      </w:r>
      <w:r w:rsidRPr="007C38BF">
        <w:rPr>
          <w:rFonts w:ascii="Palatino Linotype" w:eastAsia="Palatino Linotype" w:hAnsi="Palatino Linotype" w:cs="Palatino Linotype"/>
          <w:b/>
          <w:bCs/>
        </w:rPr>
        <w:t xml:space="preserve">07882/INFOEM/IP/RR/2026, </w:t>
      </w:r>
      <w:r w:rsidRPr="007C38BF">
        <w:rPr>
          <w:rFonts w:ascii="Palatino Linotype" w:eastAsia="Palatino Linotype" w:hAnsi="Palatino Linotype" w:cs="Palatino Linotype"/>
        </w:rPr>
        <w:t xml:space="preserve">por lo que, en términos del Considerando </w:t>
      </w:r>
      <w:r w:rsidRPr="007C38BF">
        <w:rPr>
          <w:rFonts w:ascii="Palatino Linotype" w:eastAsia="Palatino Linotype" w:hAnsi="Palatino Linotype" w:cs="Palatino Linotype"/>
          <w:b/>
          <w:bCs/>
        </w:rPr>
        <w:t>Cuarto</w:t>
      </w:r>
      <w:r w:rsidRPr="007C38BF">
        <w:rPr>
          <w:rFonts w:ascii="Palatino Linotype" w:eastAsia="Palatino Linotype" w:hAnsi="Palatino Linotype" w:cs="Palatino Linotype"/>
        </w:rPr>
        <w:t xml:space="preserve"> de la presente resolución, se</w:t>
      </w:r>
      <w:r w:rsidRPr="007C38BF">
        <w:rPr>
          <w:rFonts w:ascii="Palatino Linotype" w:eastAsia="Palatino Linotype" w:hAnsi="Palatino Linotype" w:cs="Palatino Linotype"/>
          <w:b/>
          <w:bCs/>
        </w:rPr>
        <w:t xml:space="preserve"> Revoca </w:t>
      </w:r>
      <w:r w:rsidRPr="007C38BF">
        <w:rPr>
          <w:rFonts w:ascii="Palatino Linotype" w:eastAsia="Palatino Linotype" w:hAnsi="Palatino Linotype" w:cs="Palatino Linotype"/>
        </w:rPr>
        <w:t>la respuesta</w:t>
      </w:r>
      <w:r w:rsidRPr="007C38BF">
        <w:rPr>
          <w:rFonts w:ascii="Palatino Linotype" w:eastAsia="Palatino Linotype" w:hAnsi="Palatino Linotype" w:cs="Palatino Linotype"/>
          <w:b/>
          <w:bCs/>
        </w:rPr>
        <w:t xml:space="preserve"> </w:t>
      </w:r>
      <w:r w:rsidRPr="007C38BF">
        <w:rPr>
          <w:rFonts w:ascii="Palatino Linotype" w:eastAsia="Palatino Linotype" w:hAnsi="Palatino Linotype" w:cs="Palatino Linotype"/>
        </w:rPr>
        <w:t xml:space="preserve">del </w:t>
      </w:r>
      <w:r w:rsidRPr="007C38BF">
        <w:rPr>
          <w:rFonts w:ascii="Palatino Linotype" w:eastAsia="Palatino Linotype" w:hAnsi="Palatino Linotype" w:cs="Palatino Linotype"/>
          <w:b/>
          <w:bCs/>
        </w:rPr>
        <w:t>Sujeto Obligado.</w:t>
      </w:r>
    </w:p>
    <w:p w14:paraId="782C0033" w14:textId="77777777" w:rsidR="00E458B2" w:rsidRPr="007C38BF" w:rsidRDefault="00E458B2">
      <w:pPr>
        <w:spacing w:after="0" w:line="360" w:lineRule="auto"/>
        <w:jc w:val="both"/>
        <w:rPr>
          <w:rFonts w:ascii="Palatino Linotype" w:eastAsia="Palatino Linotype" w:hAnsi="Palatino Linotype" w:cs="Palatino Linotype"/>
          <w:b/>
          <w:bCs/>
        </w:rPr>
      </w:pPr>
    </w:p>
    <w:p w14:paraId="4B109645" w14:textId="77777777" w:rsidR="00E458B2" w:rsidRPr="007C38BF" w:rsidRDefault="008A7751">
      <w:pPr>
        <w:spacing w:after="0" w:line="360" w:lineRule="auto"/>
        <w:jc w:val="both"/>
        <w:rPr>
          <w:rFonts w:ascii="Palatino Linotype" w:eastAsia="Palatino Linotype" w:hAnsi="Palatino Linotype" w:cs="Palatino Linotype"/>
        </w:rPr>
      </w:pPr>
      <w:bookmarkStart w:id="6" w:name="_heading=h.17dp8vu" w:colFirst="0" w:colLast="0"/>
      <w:bookmarkEnd w:id="6"/>
      <w:r w:rsidRPr="007C38BF">
        <w:rPr>
          <w:rFonts w:ascii="Palatino Linotype" w:eastAsia="Palatino Linotype" w:hAnsi="Palatino Linotype" w:cs="Palatino Linotype"/>
          <w:b/>
          <w:bCs/>
        </w:rPr>
        <w:t xml:space="preserve">Segundo. </w:t>
      </w:r>
      <w:r w:rsidRPr="007C38BF">
        <w:rPr>
          <w:rFonts w:ascii="Palatino Linotype" w:eastAsia="Palatino Linotype" w:hAnsi="Palatino Linotype" w:cs="Palatino Linotype"/>
        </w:rPr>
        <w:t xml:space="preserve">Se </w:t>
      </w:r>
      <w:r w:rsidRPr="007C38BF">
        <w:rPr>
          <w:rFonts w:ascii="Palatino Linotype" w:eastAsia="Palatino Linotype" w:hAnsi="Palatino Linotype" w:cs="Palatino Linotype"/>
          <w:b/>
          <w:bCs/>
        </w:rPr>
        <w:t>Ordena</w:t>
      </w:r>
      <w:r w:rsidRPr="007C38BF">
        <w:rPr>
          <w:rFonts w:ascii="Palatino Linotype" w:eastAsia="Palatino Linotype" w:hAnsi="Palatino Linotype" w:cs="Palatino Linotype"/>
        </w:rPr>
        <w:t xml:space="preserve"> al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en términos de los Considerandos </w:t>
      </w:r>
      <w:r w:rsidRPr="007C38BF">
        <w:rPr>
          <w:rFonts w:ascii="Palatino Linotype" w:eastAsia="Palatino Linotype" w:hAnsi="Palatino Linotype" w:cs="Palatino Linotype"/>
          <w:b/>
          <w:bCs/>
        </w:rPr>
        <w:t xml:space="preserve">Cuarto y Quinto </w:t>
      </w:r>
      <w:r w:rsidRPr="007C38BF">
        <w:rPr>
          <w:rFonts w:ascii="Palatino Linotype" w:eastAsia="Palatino Linotype" w:hAnsi="Palatino Linotype" w:cs="Palatino Linotype"/>
        </w:rPr>
        <w:t xml:space="preserve">de esta resolución, haga entrega vía SAIMEX, de ser procedente en versión pública, </w:t>
      </w:r>
      <w:r w:rsidRPr="007C38BF">
        <w:rPr>
          <w:rFonts w:ascii="Palatino Linotype" w:eastAsia="Palatino Linotype" w:hAnsi="Palatino Linotype" w:cs="Palatino Linotype"/>
          <w:b/>
          <w:bCs/>
        </w:rPr>
        <w:t>de los servidores públicos adscritos al área de Ingresos, Cuentas por Pagar y Adquisiciones</w:t>
      </w:r>
      <w:r w:rsidRPr="007C38BF">
        <w:rPr>
          <w:rFonts w:ascii="Palatino Linotype" w:eastAsia="Palatino Linotype" w:hAnsi="Palatino Linotype" w:cs="Palatino Linotype"/>
        </w:rPr>
        <w:t>, lo siguiente:</w:t>
      </w:r>
    </w:p>
    <w:p w14:paraId="5661A4B7" w14:textId="77777777" w:rsidR="00E458B2" w:rsidRPr="007C38BF" w:rsidRDefault="00E458B2">
      <w:pPr>
        <w:spacing w:after="0" w:line="360" w:lineRule="auto"/>
        <w:jc w:val="both"/>
        <w:rPr>
          <w:rFonts w:ascii="Palatino Linotype" w:eastAsia="Palatino Linotype" w:hAnsi="Palatino Linotype" w:cs="Palatino Linotype"/>
        </w:rPr>
      </w:pPr>
    </w:p>
    <w:p w14:paraId="7AF8DD8A" w14:textId="77777777" w:rsidR="00E458B2" w:rsidRPr="007C38BF" w:rsidRDefault="008A7751">
      <w:pPr>
        <w:numPr>
          <w:ilvl w:val="0"/>
          <w:numId w:val="1"/>
        </w:numPr>
        <w:pBdr>
          <w:top w:val="nil"/>
          <w:left w:val="nil"/>
          <w:bottom w:val="nil"/>
          <w:right w:val="nil"/>
          <w:between w:val="nil"/>
        </w:pBdr>
        <w:spacing w:after="0" w:line="360" w:lineRule="auto"/>
        <w:ind w:left="851" w:right="616" w:firstLine="0"/>
        <w:jc w:val="both"/>
        <w:rPr>
          <w:b/>
          <w:bCs/>
        </w:rPr>
      </w:pPr>
      <w:r w:rsidRPr="007C38BF">
        <w:rPr>
          <w:rFonts w:ascii="Palatino Linotype" w:eastAsia="Palatino Linotype" w:hAnsi="Palatino Linotype" w:cs="Palatino Linotype"/>
          <w:b/>
          <w:bCs/>
        </w:rPr>
        <w:t xml:space="preserve">Los expedientes laborales de los servidores públicos, que se encuentren en funciones al ocho de julio de dos mil veintiséis. </w:t>
      </w:r>
    </w:p>
    <w:p w14:paraId="3857E7E7" w14:textId="77777777" w:rsidR="00E458B2" w:rsidRPr="007C38BF" w:rsidRDefault="008A7751">
      <w:pPr>
        <w:numPr>
          <w:ilvl w:val="0"/>
          <w:numId w:val="1"/>
        </w:numPr>
        <w:pBdr>
          <w:top w:val="nil"/>
          <w:left w:val="nil"/>
          <w:bottom w:val="nil"/>
          <w:right w:val="nil"/>
          <w:between w:val="nil"/>
        </w:pBdr>
        <w:spacing w:after="0" w:line="360" w:lineRule="auto"/>
        <w:ind w:left="851" w:right="616" w:firstLine="0"/>
        <w:jc w:val="both"/>
      </w:pPr>
      <w:r w:rsidRPr="007C38BF">
        <w:rPr>
          <w:rFonts w:ascii="Palatino Linotype" w:eastAsia="Palatino Linotype" w:hAnsi="Palatino Linotype" w:cs="Palatino Linotype"/>
          <w:b/>
          <w:bCs/>
        </w:rPr>
        <w:t>Los recibos de nómina de la primera quincena de abril a la segunda quincena de junio de dos mil veintiséis.</w:t>
      </w:r>
    </w:p>
    <w:p w14:paraId="1F684AA2" w14:textId="77777777" w:rsidR="00E458B2" w:rsidRPr="007C38BF" w:rsidRDefault="00E458B2">
      <w:pPr>
        <w:pBdr>
          <w:top w:val="nil"/>
          <w:left w:val="nil"/>
          <w:bottom w:val="nil"/>
          <w:right w:val="nil"/>
          <w:between w:val="nil"/>
        </w:pBdr>
        <w:spacing w:after="0" w:line="360" w:lineRule="auto"/>
        <w:ind w:left="851" w:right="616"/>
        <w:jc w:val="both"/>
        <w:rPr>
          <w:rFonts w:ascii="Palatino Linotype" w:eastAsia="Palatino Linotype" w:hAnsi="Palatino Linotype" w:cs="Palatino Linotype"/>
        </w:rPr>
      </w:pPr>
    </w:p>
    <w:p w14:paraId="7F03E7CA" w14:textId="77777777" w:rsidR="00E458B2" w:rsidRPr="007C38BF" w:rsidRDefault="008A7751">
      <w:pPr>
        <w:spacing w:after="0"/>
        <w:ind w:left="851" w:right="616"/>
        <w:jc w:val="both"/>
        <w:rPr>
          <w:rFonts w:ascii="Palatino Linotype" w:eastAsia="Palatino Linotype" w:hAnsi="Palatino Linotype" w:cs="Palatino Linotype"/>
          <w:i/>
          <w:iCs/>
        </w:rPr>
      </w:pPr>
      <w:r w:rsidRPr="007C38BF">
        <w:rPr>
          <w:rFonts w:ascii="Palatino Linotype" w:eastAsia="Palatino Linotype" w:hAnsi="Palatino Linotype" w:cs="Palatino Linotype"/>
          <w:i/>
          <w:iCs/>
        </w:rPr>
        <w:t xml:space="preserve">Debiendo acompañar con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del </w:t>
      </w:r>
      <w:r w:rsidRPr="007C38BF">
        <w:rPr>
          <w:rFonts w:ascii="Palatino Linotype" w:eastAsia="Palatino Linotype" w:hAnsi="Palatino Linotype" w:cs="Palatino Linotype"/>
          <w:b/>
          <w:bCs/>
          <w:i/>
          <w:iCs/>
        </w:rPr>
        <w:t>Recurrente</w:t>
      </w:r>
      <w:r w:rsidRPr="007C38BF">
        <w:rPr>
          <w:rFonts w:ascii="Palatino Linotype" w:eastAsia="Palatino Linotype" w:hAnsi="Palatino Linotype" w:cs="Palatino Linotype"/>
          <w:i/>
          <w:iCs/>
        </w:rPr>
        <w:t xml:space="preserve">, mismo que igualmente hará de su conocimiento, en </w:t>
      </w:r>
      <w:r w:rsidRPr="007C38BF">
        <w:rPr>
          <w:rFonts w:ascii="Palatino Linotype" w:eastAsia="Palatino Linotype" w:hAnsi="Palatino Linotype" w:cs="Palatino Linotype"/>
          <w:i/>
          <w:iCs/>
          <w:u w:val="single"/>
        </w:rPr>
        <w:t>el que se incluyan los fundamentos y motivos de la clasificación en su totalidad como información confidencial las documentales correspondientes</w:t>
      </w:r>
      <w:r w:rsidRPr="007C38BF">
        <w:rPr>
          <w:rFonts w:ascii="Palatino Linotype" w:eastAsia="Palatino Linotype" w:hAnsi="Palatino Linotype" w:cs="Palatino Linotype"/>
          <w:i/>
          <w:iCs/>
        </w:rPr>
        <w:t>.</w:t>
      </w:r>
    </w:p>
    <w:p w14:paraId="53E02066" w14:textId="77777777" w:rsidR="00E458B2" w:rsidRPr="007C38BF" w:rsidRDefault="00E458B2">
      <w:pPr>
        <w:spacing w:after="0" w:line="240" w:lineRule="auto"/>
        <w:ind w:left="425"/>
        <w:jc w:val="both"/>
        <w:rPr>
          <w:rFonts w:ascii="Palatino Linotype" w:eastAsia="Palatino Linotype" w:hAnsi="Palatino Linotype" w:cs="Palatino Linotype"/>
          <w:i/>
          <w:iCs/>
        </w:rPr>
      </w:pPr>
    </w:p>
    <w:p w14:paraId="5847D82C"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b/>
          <w:bCs/>
        </w:rPr>
        <w:t>Tercero.</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 xml:space="preserve">Notifíquese vía SAIMEX </w:t>
      </w:r>
      <w:r w:rsidRPr="007C38BF">
        <w:rPr>
          <w:rFonts w:ascii="Palatino Linotype" w:eastAsia="Palatino Linotype" w:hAnsi="Palatino Linotype" w:cs="Palatino Linotype"/>
        </w:rPr>
        <w:t>la presente resolución al T</w:t>
      </w:r>
      <w:r w:rsidRPr="007C38BF">
        <w:rPr>
          <w:rFonts w:ascii="Palatino Linotype" w:eastAsia="Palatino Linotype" w:hAnsi="Palatino Linotype" w:cs="Palatino Linotype"/>
          <w:b/>
          <w:bCs/>
        </w:rPr>
        <w:t xml:space="preserve">itular de la Unidad de Transparencia </w:t>
      </w:r>
      <w:r w:rsidRPr="007C38BF">
        <w:rPr>
          <w:rFonts w:ascii="Palatino Linotype" w:eastAsia="Palatino Linotype" w:hAnsi="Palatino Linotype" w:cs="Palatino Linotype"/>
        </w:rPr>
        <w:t xml:space="preserve">del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573CF822" w14:textId="77777777" w:rsidR="00E458B2" w:rsidRPr="007C38BF" w:rsidRDefault="00E458B2">
      <w:pPr>
        <w:spacing w:after="0" w:line="360" w:lineRule="auto"/>
        <w:ind w:right="51"/>
        <w:jc w:val="both"/>
        <w:rPr>
          <w:rFonts w:ascii="Palatino Linotype" w:eastAsia="Palatino Linotype" w:hAnsi="Palatino Linotype" w:cs="Palatino Linotype"/>
        </w:rPr>
      </w:pPr>
    </w:p>
    <w:p w14:paraId="59081C9F"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b/>
          <w:bCs/>
        </w:rPr>
        <w:t>Cuarto.</w:t>
      </w:r>
      <w:r w:rsidRPr="007C38BF">
        <w:rPr>
          <w:rFonts w:ascii="Palatino Linotype" w:eastAsia="Palatino Linotype" w:hAnsi="Palatino Linotype" w:cs="Palatino Linotype"/>
        </w:rPr>
        <w:t xml:space="preserve"> De conformidad con el artículo 198 de la Ley de Transparencia y Acceso a la Información Pública del Estado de México y Municipios, de considerarlo procedente, el </w:t>
      </w:r>
      <w:r w:rsidRPr="007C38BF">
        <w:rPr>
          <w:rFonts w:ascii="Palatino Linotype" w:eastAsia="Palatino Linotype" w:hAnsi="Palatino Linotype" w:cs="Palatino Linotype"/>
          <w:b/>
          <w:bCs/>
        </w:rPr>
        <w:t>Sujeto Obligado</w:t>
      </w:r>
      <w:r w:rsidRPr="007C38BF">
        <w:rPr>
          <w:rFonts w:ascii="Palatino Linotype" w:eastAsia="Palatino Linotype" w:hAnsi="Palatino Linotype" w:cs="Palatino Linotype"/>
        </w:rPr>
        <w:t xml:space="preserve"> de manera fundada y motivada, podrá solicitar una ampliación de plazo para el cumplimiento de la presente resolución.</w:t>
      </w:r>
    </w:p>
    <w:p w14:paraId="273EEBA9" w14:textId="77777777" w:rsidR="00E458B2" w:rsidRPr="007C38BF" w:rsidRDefault="00E458B2">
      <w:pPr>
        <w:spacing w:after="0" w:line="360" w:lineRule="auto"/>
        <w:ind w:right="51"/>
        <w:jc w:val="both"/>
        <w:rPr>
          <w:rFonts w:ascii="Palatino Linotype" w:eastAsia="Palatino Linotype" w:hAnsi="Palatino Linotype" w:cs="Palatino Linotype"/>
        </w:rPr>
      </w:pPr>
    </w:p>
    <w:p w14:paraId="33E37B73" w14:textId="77777777" w:rsidR="00E458B2" w:rsidRPr="007C38BF" w:rsidRDefault="008A7751">
      <w:pPr>
        <w:spacing w:after="0" w:line="360" w:lineRule="auto"/>
        <w:ind w:right="51"/>
        <w:jc w:val="both"/>
        <w:rPr>
          <w:rFonts w:ascii="Palatino Linotype" w:eastAsia="Palatino Linotype" w:hAnsi="Palatino Linotype" w:cs="Palatino Linotype"/>
        </w:rPr>
      </w:pPr>
      <w:r w:rsidRPr="007C38BF">
        <w:rPr>
          <w:rFonts w:ascii="Palatino Linotype" w:eastAsia="Palatino Linotype" w:hAnsi="Palatino Linotype" w:cs="Palatino Linotype"/>
          <w:b/>
          <w:bCs/>
        </w:rPr>
        <w:t>Quinto.</w:t>
      </w:r>
      <w:r w:rsidRPr="007C38BF">
        <w:rPr>
          <w:rFonts w:ascii="Palatino Linotype" w:eastAsia="Palatino Linotype" w:hAnsi="Palatino Linotype" w:cs="Palatino Linotype"/>
        </w:rPr>
        <w:t xml:space="preserve"> </w:t>
      </w:r>
      <w:r w:rsidRPr="007C38BF">
        <w:rPr>
          <w:rFonts w:ascii="Palatino Linotype" w:eastAsia="Palatino Linotype" w:hAnsi="Palatino Linotype" w:cs="Palatino Linotype"/>
          <w:b/>
          <w:bCs/>
        </w:rPr>
        <w:t>Notifíquese vía SAIMEX</w:t>
      </w:r>
      <w:r w:rsidRPr="007C38BF">
        <w:rPr>
          <w:rFonts w:ascii="Palatino Linotype" w:eastAsia="Palatino Linotype" w:hAnsi="Palatino Linotype" w:cs="Palatino Linotype"/>
        </w:rPr>
        <w:t xml:space="preserve"> a la parte </w:t>
      </w:r>
      <w:r w:rsidRPr="007C38BF">
        <w:rPr>
          <w:rFonts w:ascii="Palatino Linotype" w:eastAsia="Palatino Linotype" w:hAnsi="Palatino Linotype" w:cs="Palatino Linotype"/>
          <w:b/>
          <w:bCs/>
        </w:rPr>
        <w:t xml:space="preserve">Recurrente </w:t>
      </w:r>
      <w:r w:rsidRPr="007C38BF">
        <w:rPr>
          <w:rFonts w:ascii="Palatino Linotype" w:eastAsia="Palatino Linotype" w:hAnsi="Palatino Linotype" w:cs="Palatino Linotype"/>
        </w:rPr>
        <w:t xml:space="preserve">la presente resolución, así como, que de conformidad con lo establecido en el artículo 196 de la Ley de Transparencia y Acceso a la Información Pública del Estado de México y Municipios, podrá impugnar la presente resolución vía Juicio de Amparo en los términos de las leyes aplicables. </w:t>
      </w:r>
    </w:p>
    <w:p w14:paraId="3903C870" w14:textId="77777777" w:rsidR="00E458B2" w:rsidRPr="007C38BF" w:rsidRDefault="00E458B2">
      <w:pPr>
        <w:spacing w:after="0" w:line="360" w:lineRule="auto"/>
        <w:ind w:right="51"/>
        <w:jc w:val="both"/>
        <w:rPr>
          <w:rFonts w:ascii="Palatino Linotype" w:eastAsia="Palatino Linotype" w:hAnsi="Palatino Linotype" w:cs="Palatino Linotype"/>
        </w:rPr>
      </w:pPr>
    </w:p>
    <w:p w14:paraId="612D4C79" w14:textId="0A4F51B0" w:rsidR="00E458B2" w:rsidRPr="00E604E1" w:rsidRDefault="008A7751">
      <w:pPr>
        <w:tabs>
          <w:tab w:val="left" w:pos="142"/>
        </w:tabs>
        <w:spacing w:after="0" w:line="360" w:lineRule="auto"/>
        <w:jc w:val="both"/>
        <w:rPr>
          <w:rFonts w:ascii="Palatino Linotype" w:eastAsia="Palatino Linotype" w:hAnsi="Palatino Linotype" w:cs="Palatino Linotype"/>
        </w:rPr>
      </w:pPr>
      <w:bookmarkStart w:id="7" w:name="_heading=h.gjdgxs" w:colFirst="0" w:colLast="0"/>
      <w:bookmarkEnd w:id="7"/>
      <w:r w:rsidRPr="007C38BF">
        <w:rPr>
          <w:rFonts w:ascii="Palatino Linotype" w:eastAsia="Palatino Linotype" w:hAnsi="Palatino Linotype" w:cs="Palatino Linotype"/>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E604E1" w:rsidRPr="007C38BF">
        <w:rPr>
          <w:rFonts w:ascii="Palatino Linotype" w:eastAsia="Palatino Linotype" w:hAnsi="Palatino Linotype" w:cs="Palatino Linotype"/>
        </w:rPr>
        <w:t>, EMITIENDO VOTO PARTICULAR</w:t>
      </w:r>
      <w:r w:rsidRPr="007C38BF">
        <w:rPr>
          <w:rFonts w:ascii="Palatino Linotype" w:eastAsia="Palatino Linotype" w:hAnsi="Palatino Linotype" w:cs="Palatino Linotype"/>
        </w:rPr>
        <w:t xml:space="preserve"> Y GUADALUPE RAMÍREZ PEÑA</w:t>
      </w:r>
      <w:r w:rsidR="00E604E1" w:rsidRPr="007C38BF">
        <w:rPr>
          <w:rFonts w:ascii="Palatino Linotype" w:eastAsia="Palatino Linotype" w:hAnsi="Palatino Linotype" w:cs="Palatino Linotype"/>
        </w:rPr>
        <w:t>, EMITIENDO VOTO PARTICULAR</w:t>
      </w:r>
      <w:r w:rsidRPr="007C38BF">
        <w:rPr>
          <w:rFonts w:ascii="Palatino Linotype" w:eastAsia="Palatino Linotype" w:hAnsi="Palatino Linotype" w:cs="Palatino Linotype"/>
        </w:rPr>
        <w:t xml:space="preserve">; EN LA TRIGÉSIMA CUARTA SESIÓN ORDINARIA CELEBRADA EL </w:t>
      </w:r>
      <w:r w:rsidR="007C38BF" w:rsidRPr="007C38BF">
        <w:rPr>
          <w:rFonts w:ascii="Palatino Linotype" w:eastAsia="Palatino Linotype" w:hAnsi="Palatino Linotype" w:cs="Palatino Linotype"/>
        </w:rPr>
        <w:t xml:space="preserve">VEINTICUATRO </w:t>
      </w:r>
      <w:r w:rsidRPr="007C38BF">
        <w:rPr>
          <w:rFonts w:ascii="Palatino Linotype" w:eastAsia="Palatino Linotype" w:hAnsi="Palatino Linotype" w:cs="Palatino Linotype"/>
        </w:rPr>
        <w:t>DE SEPTIEMBRE DE DOS MIL VEINTISÉIS, ANTE EL SECRETARIO TÉCNICO DEL PLENO ALEXIS TAPIA RAMÍREZ.</w:t>
      </w:r>
    </w:p>
    <w:p w14:paraId="21DBAB5B"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03497D08"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354E4D82"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18005783"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6029FA8E"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457DFBBE"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0D2F7FEB"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724B1051"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44BDEB3C"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44F647B8"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372A3F67"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6ACF18EC"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25FC1304"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52724EE7" w14:textId="77777777" w:rsidR="00E458B2" w:rsidRPr="00E604E1" w:rsidRDefault="00E458B2">
      <w:pPr>
        <w:tabs>
          <w:tab w:val="left" w:pos="142"/>
        </w:tabs>
        <w:spacing w:after="0" w:line="360" w:lineRule="auto"/>
        <w:jc w:val="both"/>
        <w:rPr>
          <w:rFonts w:ascii="Palatino Linotype" w:eastAsia="Palatino Linotype" w:hAnsi="Palatino Linotype" w:cs="Palatino Linotype"/>
        </w:rPr>
      </w:pPr>
    </w:p>
    <w:p w14:paraId="0649D494" w14:textId="77777777" w:rsidR="00E458B2" w:rsidRPr="00E604E1" w:rsidRDefault="00E458B2">
      <w:pPr>
        <w:spacing w:after="0" w:line="360" w:lineRule="auto"/>
        <w:jc w:val="both"/>
        <w:rPr>
          <w:rFonts w:ascii="Palatino Linotype" w:eastAsia="Palatino Linotype" w:hAnsi="Palatino Linotype" w:cs="Palatino Linotype"/>
        </w:rPr>
      </w:pPr>
    </w:p>
    <w:p w14:paraId="596CF161" w14:textId="77777777" w:rsidR="00E458B2" w:rsidRPr="00E604E1" w:rsidRDefault="00E458B2">
      <w:pPr>
        <w:spacing w:after="0" w:line="360" w:lineRule="auto"/>
        <w:jc w:val="both"/>
        <w:rPr>
          <w:rFonts w:ascii="Palatino Linotype" w:eastAsia="Palatino Linotype" w:hAnsi="Palatino Linotype" w:cs="Palatino Linotype"/>
        </w:rPr>
      </w:pPr>
    </w:p>
    <w:p w14:paraId="4374F83F" w14:textId="77777777" w:rsidR="00E458B2" w:rsidRPr="00E604E1" w:rsidRDefault="00E458B2">
      <w:pPr>
        <w:spacing w:after="0" w:line="360" w:lineRule="auto"/>
        <w:jc w:val="both"/>
        <w:rPr>
          <w:rFonts w:ascii="Palatino Linotype" w:eastAsia="Palatino Linotype" w:hAnsi="Palatino Linotype" w:cs="Palatino Linotype"/>
        </w:rPr>
      </w:pPr>
    </w:p>
    <w:p w14:paraId="796452D6" w14:textId="77777777" w:rsidR="00E458B2" w:rsidRPr="00E604E1" w:rsidRDefault="00E458B2">
      <w:pPr>
        <w:spacing w:after="0" w:line="360" w:lineRule="auto"/>
        <w:jc w:val="both"/>
        <w:rPr>
          <w:rFonts w:ascii="Palatino Linotype" w:eastAsia="Palatino Linotype" w:hAnsi="Palatino Linotype" w:cs="Palatino Linotype"/>
        </w:rPr>
      </w:pPr>
    </w:p>
    <w:p w14:paraId="18CAE6A9" w14:textId="77777777" w:rsidR="00E458B2" w:rsidRPr="00E604E1" w:rsidRDefault="00E458B2">
      <w:pPr>
        <w:spacing w:after="0" w:line="360" w:lineRule="auto"/>
        <w:jc w:val="both"/>
        <w:rPr>
          <w:rFonts w:ascii="Palatino Linotype" w:eastAsia="Palatino Linotype" w:hAnsi="Palatino Linotype" w:cs="Palatino Linotype"/>
        </w:rPr>
      </w:pPr>
    </w:p>
    <w:p w14:paraId="3AFFB23E" w14:textId="77777777" w:rsidR="00E458B2" w:rsidRPr="00E604E1" w:rsidRDefault="00E458B2">
      <w:pPr>
        <w:spacing w:after="0" w:line="360" w:lineRule="auto"/>
        <w:jc w:val="both"/>
        <w:rPr>
          <w:rFonts w:ascii="Palatino Linotype" w:eastAsia="Palatino Linotype" w:hAnsi="Palatino Linotype" w:cs="Palatino Linotype"/>
        </w:rPr>
      </w:pPr>
    </w:p>
    <w:p w14:paraId="7E65CDFC" w14:textId="77777777" w:rsidR="00E458B2" w:rsidRPr="00E604E1" w:rsidRDefault="00E458B2">
      <w:pPr>
        <w:spacing w:after="0" w:line="360" w:lineRule="auto"/>
        <w:jc w:val="both"/>
        <w:rPr>
          <w:rFonts w:ascii="Palatino Linotype" w:eastAsia="Palatino Linotype" w:hAnsi="Palatino Linotype" w:cs="Palatino Linotype"/>
        </w:rPr>
      </w:pPr>
    </w:p>
    <w:p w14:paraId="229C381B" w14:textId="77777777" w:rsidR="00E458B2" w:rsidRPr="00E604E1" w:rsidRDefault="00E458B2">
      <w:pPr>
        <w:spacing w:after="0" w:line="360" w:lineRule="auto"/>
        <w:jc w:val="both"/>
        <w:rPr>
          <w:rFonts w:ascii="Palatino Linotype" w:eastAsia="Palatino Linotype" w:hAnsi="Palatino Linotype" w:cs="Palatino Linotype"/>
        </w:rPr>
      </w:pPr>
    </w:p>
    <w:sectPr w:rsidR="00E458B2" w:rsidRPr="00E604E1">
      <w:headerReference w:type="default" r:id="rId14"/>
      <w:footerReference w:type="default" r:id="rId15"/>
      <w:headerReference w:type="first" r:id="rId16"/>
      <w:pgSz w:w="12240" w:h="15840"/>
      <w:pgMar w:top="1417" w:right="1701" w:bottom="1417"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3F09C" w14:textId="77777777" w:rsidR="00C503AE" w:rsidRDefault="00C503AE">
      <w:pPr>
        <w:spacing w:after="0" w:line="240" w:lineRule="auto"/>
      </w:pPr>
      <w:r>
        <w:separator/>
      </w:r>
    </w:p>
  </w:endnote>
  <w:endnote w:type="continuationSeparator" w:id="0">
    <w:p w14:paraId="1B7F633C" w14:textId="77777777" w:rsidR="00C503AE" w:rsidRDefault="00C50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2B5C25C4-7AC2-46D3-9CDF-BBC0E24CD9AE}"/>
  </w:font>
  <w:font w:name="Calibri">
    <w:panose1 w:val="020F0502020204030204"/>
    <w:charset w:val="00"/>
    <w:family w:val="swiss"/>
    <w:pitch w:val="variable"/>
    <w:sig w:usb0="E0002AFF" w:usb1="4000ACFF" w:usb2="00000001" w:usb3="00000000" w:csb0="000001FF" w:csb1="00000000"/>
    <w:embedRegular r:id="rId2" w:fontKey="{CCBF18A6-1067-45DB-8EB2-6DAA4C38C980}"/>
    <w:embedBold r:id="rId3" w:fontKey="{46805150-FFDB-4E9A-85D5-355CB14CBB91}"/>
    <w:embedItalic r:id="rId4" w:fontKey="{661056B6-DAA2-4B7C-AE61-FDAFC1BDA05A}"/>
  </w:font>
  <w:font w:name="Calibri Light">
    <w:panose1 w:val="020F0302020204030204"/>
    <w:charset w:val="00"/>
    <w:family w:val="swiss"/>
    <w:pitch w:val="variable"/>
    <w:sig w:usb0="A0002AEF" w:usb1="4000207B" w:usb2="00000000" w:usb3="00000000" w:csb0="000001FF" w:csb1="00000000"/>
    <w:embedRegular r:id="rId5" w:fontKey="{A51EB2B4-8C9E-4B49-B94B-5E2C05698A95}"/>
    <w:embedBold r:id="rId6" w:fontKey="{6DA8C437-31E6-4BFA-89B7-968DF09BEFE8}"/>
    <w:embedItalic r:id="rId7" w:fontKey="{30FDA8F0-D081-4360-A974-74DC2CECB6FD}"/>
    <w:embedBoldItalic r:id="rId8" w:fontKey="{BD0DA262-65D9-4649-A7BF-EA91DB6AD167}"/>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9" w:fontKey="{87226EA2-BF2B-4658-9D5D-6A0AAD195461}"/>
  </w:font>
  <w:font w:name="Tahoma">
    <w:panose1 w:val="020B0604030504040204"/>
    <w:charset w:val="00"/>
    <w:family w:val="swiss"/>
    <w:pitch w:val="variable"/>
    <w:sig w:usb0="E1002EFF" w:usb1="C000605B" w:usb2="00000029" w:usb3="00000000" w:csb0="000101FF" w:csb1="00000000"/>
    <w:embedRegular r:id="rId10" w:fontKey="{83652CAD-702A-4565-AA2C-2524C2393399}"/>
  </w:font>
  <w:font w:name="Palatino Linotype">
    <w:panose1 w:val="02040502050505030304"/>
    <w:charset w:val="00"/>
    <w:family w:val="roman"/>
    <w:pitch w:val="variable"/>
    <w:sig w:usb0="E0000287" w:usb1="40000013" w:usb2="00000000" w:usb3="00000000" w:csb0="0000019F" w:csb1="00000000"/>
    <w:embedRegular r:id="rId11" w:fontKey="{EA746623-9B25-44D1-B1AB-94BBB25EE68A}"/>
    <w:embedBold r:id="rId12" w:fontKey="{AFBE2F8C-BC0E-42DD-B3D5-CC194FF5DF94}"/>
    <w:embedItalic r:id="rId13" w:fontKey="{37E0F9AF-FA5D-4B21-849A-28649B9BF1C6}"/>
    <w:embedBoldItalic r:id="rId14" w:fontKey="{28538015-E697-4DA7-B51F-68F4A1FF4E32}"/>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5482B" w14:textId="59BBFCAF" w:rsidR="00E458B2" w:rsidRDefault="008A7751">
    <w:pPr>
      <w:tabs>
        <w:tab w:val="center" w:pos="4252"/>
        <w:tab w:val="right" w:pos="8504"/>
      </w:tabs>
      <w:jc w:val="right"/>
      <w:rPr>
        <w:rFonts w:ascii="Arial" w:eastAsia="Arial" w:hAnsi="Arial" w:cs="Arial"/>
        <w:color w:val="000000"/>
        <w:sz w:val="20"/>
        <w:szCs w:val="20"/>
      </w:rPr>
    </w:pPr>
    <w:r>
      <w:rPr>
        <w:rFonts w:ascii="Arial" w:eastAsia="Arial" w:hAnsi="Arial" w:cs="Arial"/>
        <w:b/>
        <w:bCs/>
        <w:color w:val="000000"/>
        <w:sz w:val="20"/>
        <w:szCs w:val="20"/>
      </w:rPr>
      <w:t xml:space="preserve">Página </w:t>
    </w:r>
    <w:r>
      <w:rPr>
        <w:rFonts w:ascii="Arial" w:eastAsia="Arial" w:hAnsi="Arial" w:cs="Arial"/>
        <w:b/>
        <w:bCs/>
        <w:color w:val="000000"/>
        <w:sz w:val="20"/>
        <w:szCs w:val="20"/>
      </w:rPr>
      <w:fldChar w:fldCharType="begin"/>
    </w:r>
    <w:r>
      <w:rPr>
        <w:rFonts w:ascii="Arial" w:eastAsia="Arial" w:hAnsi="Arial" w:cs="Arial"/>
        <w:b/>
        <w:bCs/>
        <w:color w:val="000000"/>
        <w:sz w:val="20"/>
        <w:szCs w:val="20"/>
      </w:rPr>
      <w:instrText>PAGE</w:instrText>
    </w:r>
    <w:r>
      <w:rPr>
        <w:rFonts w:ascii="Arial" w:eastAsia="Arial" w:hAnsi="Arial" w:cs="Arial"/>
        <w:b/>
        <w:bCs/>
        <w:color w:val="000000"/>
        <w:sz w:val="20"/>
        <w:szCs w:val="20"/>
      </w:rPr>
      <w:fldChar w:fldCharType="separate"/>
    </w:r>
    <w:r w:rsidR="00796477">
      <w:rPr>
        <w:rFonts w:ascii="Arial" w:eastAsia="Arial" w:hAnsi="Arial" w:cs="Arial"/>
        <w:b/>
        <w:bCs/>
        <w:noProof/>
        <w:color w:val="000000"/>
        <w:sz w:val="20"/>
        <w:szCs w:val="20"/>
      </w:rPr>
      <w:t>3</w:t>
    </w:r>
    <w:r>
      <w:rPr>
        <w:rFonts w:ascii="Arial" w:eastAsia="Arial" w:hAnsi="Arial" w:cs="Arial"/>
        <w:b/>
        <w:bCs/>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bCs/>
        <w:color w:val="000000"/>
        <w:sz w:val="20"/>
        <w:szCs w:val="20"/>
      </w:rPr>
      <w:fldChar w:fldCharType="begin"/>
    </w:r>
    <w:r>
      <w:rPr>
        <w:rFonts w:ascii="Arial" w:eastAsia="Arial" w:hAnsi="Arial" w:cs="Arial"/>
        <w:b/>
        <w:bCs/>
        <w:color w:val="000000"/>
        <w:sz w:val="20"/>
        <w:szCs w:val="20"/>
      </w:rPr>
      <w:instrText>NUMPAGES</w:instrText>
    </w:r>
    <w:r>
      <w:rPr>
        <w:rFonts w:ascii="Arial" w:eastAsia="Arial" w:hAnsi="Arial" w:cs="Arial"/>
        <w:b/>
        <w:bCs/>
        <w:color w:val="000000"/>
        <w:sz w:val="20"/>
        <w:szCs w:val="20"/>
      </w:rPr>
      <w:fldChar w:fldCharType="separate"/>
    </w:r>
    <w:r w:rsidR="00796477">
      <w:rPr>
        <w:rFonts w:ascii="Arial" w:eastAsia="Arial" w:hAnsi="Arial" w:cs="Arial"/>
        <w:b/>
        <w:bCs/>
        <w:noProof/>
        <w:color w:val="000000"/>
        <w:sz w:val="20"/>
        <w:szCs w:val="20"/>
      </w:rPr>
      <w:t>64</w:t>
    </w:r>
    <w:r>
      <w:rPr>
        <w:rFonts w:ascii="Arial" w:eastAsia="Arial" w:hAnsi="Arial" w:cs="Arial"/>
        <w:b/>
        <w:bCs/>
        <w:color w:val="000000"/>
        <w:sz w:val="20"/>
        <w:szCs w:val="20"/>
      </w:rPr>
      <w:fldChar w:fldCharType="end"/>
    </w:r>
  </w:p>
  <w:p w14:paraId="5A2EA523" w14:textId="77777777" w:rsidR="00E458B2" w:rsidRDefault="00E458B2">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71330" w14:textId="77777777" w:rsidR="00C503AE" w:rsidRDefault="00C503AE">
      <w:pPr>
        <w:spacing w:after="0" w:line="240" w:lineRule="auto"/>
      </w:pPr>
      <w:r>
        <w:separator/>
      </w:r>
    </w:p>
  </w:footnote>
  <w:footnote w:type="continuationSeparator" w:id="0">
    <w:p w14:paraId="003D5E6F" w14:textId="77777777" w:rsidR="00C503AE" w:rsidRDefault="00C503AE">
      <w:pPr>
        <w:spacing w:after="0" w:line="240" w:lineRule="auto"/>
      </w:pPr>
      <w:r>
        <w:continuationSeparator/>
      </w:r>
    </w:p>
  </w:footnote>
  <w:footnote w:id="1">
    <w:p w14:paraId="4CDF44E8" w14:textId="77777777" w:rsidR="00E458B2" w:rsidRDefault="008A7751">
      <w:pPr>
        <w:pBdr>
          <w:top w:val="nil"/>
          <w:left w:val="nil"/>
          <w:bottom w:val="nil"/>
          <w:right w:val="nil"/>
          <w:between w:val="nil"/>
        </w:pBdr>
        <w:tabs>
          <w:tab w:val="right" w:pos="0"/>
        </w:tabs>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Resolución RRA2431/17 del Instituto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2F16" w14:textId="77777777" w:rsidR="00E458B2" w:rsidRDefault="00E458B2">
    <w:pPr>
      <w:widowControl w:val="0"/>
      <w:pBdr>
        <w:top w:val="nil"/>
        <w:left w:val="nil"/>
        <w:bottom w:val="nil"/>
        <w:right w:val="nil"/>
        <w:between w:val="nil"/>
      </w:pBdr>
      <w:spacing w:after="0" w:line="276" w:lineRule="auto"/>
      <w:rPr>
        <w:rFonts w:ascii="Palatino Linotype" w:eastAsia="Palatino Linotype" w:hAnsi="Palatino Linotype" w:cs="Palatino Linotype"/>
        <w:color w:val="000000"/>
        <w:sz w:val="16"/>
        <w:szCs w:val="16"/>
      </w:rPr>
    </w:pPr>
  </w:p>
  <w:tbl>
    <w:tblPr>
      <w:tblStyle w:val="afff6"/>
      <w:tblW w:w="5953" w:type="dxa"/>
      <w:tblInd w:w="3119" w:type="dxa"/>
      <w:tblLayout w:type="fixed"/>
      <w:tblLook w:val="0400" w:firstRow="0" w:lastRow="0" w:firstColumn="0" w:lastColumn="0" w:noHBand="0" w:noVBand="1"/>
    </w:tblPr>
    <w:tblGrid>
      <w:gridCol w:w="2551"/>
      <w:gridCol w:w="3402"/>
    </w:tblGrid>
    <w:tr w:rsidR="00E458B2" w14:paraId="6EA29F13" w14:textId="77777777">
      <w:tc>
        <w:tcPr>
          <w:tcW w:w="2551" w:type="dxa"/>
          <w:vAlign w:val="center"/>
        </w:tcPr>
        <w:p w14:paraId="33DA4EC9" w14:textId="77777777" w:rsidR="00E458B2" w:rsidRDefault="008A7751">
          <w:pPr>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Recurso de Revisión:</w:t>
          </w:r>
        </w:p>
      </w:tc>
      <w:tc>
        <w:tcPr>
          <w:tcW w:w="3402" w:type="dxa"/>
          <w:vAlign w:val="center"/>
        </w:tcPr>
        <w:p w14:paraId="590D4F28" w14:textId="77777777" w:rsidR="00E458B2" w:rsidRDefault="008A7751">
          <w:pPr>
            <w:spacing w:after="0" w:line="240" w:lineRule="auto"/>
            <w:jc w:val="both"/>
            <w:rPr>
              <w:rFonts w:ascii="Palatino Linotype" w:eastAsia="Palatino Linotype" w:hAnsi="Palatino Linotype" w:cs="Palatino Linotype"/>
              <w:b/>
              <w:bCs/>
            </w:rPr>
          </w:pPr>
          <w:r>
            <w:rPr>
              <w:rFonts w:ascii="Palatino Linotype" w:eastAsia="Palatino Linotype" w:hAnsi="Palatino Linotype" w:cs="Palatino Linotype"/>
              <w:b/>
              <w:bCs/>
            </w:rPr>
            <w:t>07882/INFOEM/IP/RR/2026</w:t>
          </w:r>
        </w:p>
      </w:tc>
    </w:tr>
    <w:tr w:rsidR="00E458B2" w14:paraId="32F271BB" w14:textId="77777777">
      <w:trPr>
        <w:trHeight w:val="228"/>
      </w:trPr>
      <w:tc>
        <w:tcPr>
          <w:tcW w:w="2551" w:type="dxa"/>
          <w:vAlign w:val="center"/>
        </w:tcPr>
        <w:p w14:paraId="6FBD8B2B" w14:textId="77777777" w:rsidR="00E458B2" w:rsidRDefault="008A7751">
          <w:pPr>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Sujeto Obligado:</w:t>
          </w:r>
        </w:p>
      </w:tc>
      <w:tc>
        <w:tcPr>
          <w:tcW w:w="3402" w:type="dxa"/>
          <w:vAlign w:val="center"/>
        </w:tcPr>
        <w:p w14:paraId="5590E6C8" w14:textId="77777777" w:rsidR="00E458B2" w:rsidRDefault="008A7751">
          <w:pPr>
            <w:spacing w:after="0" w:line="240" w:lineRule="auto"/>
            <w:jc w:val="both"/>
            <w:rPr>
              <w:rFonts w:ascii="Palatino Linotype" w:eastAsia="Palatino Linotype" w:hAnsi="Palatino Linotype" w:cs="Palatino Linotype"/>
              <w:b/>
              <w:bCs/>
            </w:rPr>
          </w:pPr>
          <w:r>
            <w:rPr>
              <w:rFonts w:ascii="Palatino Linotype" w:eastAsia="Palatino Linotype" w:hAnsi="Palatino Linotype" w:cs="Palatino Linotype"/>
              <w:b/>
              <w:bCs/>
            </w:rPr>
            <w:t>Sistema Municipal Para el Desarrollo Integral de la Familia de Huehuetoca</w:t>
          </w:r>
        </w:p>
      </w:tc>
    </w:tr>
    <w:tr w:rsidR="00E458B2" w14:paraId="238964B8" w14:textId="77777777">
      <w:tc>
        <w:tcPr>
          <w:tcW w:w="2551" w:type="dxa"/>
          <w:vAlign w:val="center"/>
        </w:tcPr>
        <w:p w14:paraId="1A01DC11" w14:textId="77777777" w:rsidR="00E458B2" w:rsidRDefault="008A7751">
          <w:pPr>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Comisionada ponente:</w:t>
          </w:r>
        </w:p>
      </w:tc>
      <w:tc>
        <w:tcPr>
          <w:tcW w:w="3402" w:type="dxa"/>
          <w:vAlign w:val="center"/>
        </w:tcPr>
        <w:p w14:paraId="54643671" w14:textId="77777777" w:rsidR="00E458B2" w:rsidRDefault="008A7751">
          <w:pPr>
            <w:spacing w:after="0" w:line="240" w:lineRule="auto"/>
            <w:ind w:right="-533"/>
            <w:jc w:val="both"/>
            <w:rPr>
              <w:rFonts w:ascii="Palatino Linotype" w:eastAsia="Palatino Linotype" w:hAnsi="Palatino Linotype" w:cs="Palatino Linotype"/>
              <w:b/>
              <w:bCs/>
            </w:rPr>
          </w:pPr>
          <w:r>
            <w:rPr>
              <w:rFonts w:ascii="Palatino Linotype" w:eastAsia="Palatino Linotype" w:hAnsi="Palatino Linotype" w:cs="Palatino Linotype"/>
              <w:b/>
              <w:bCs/>
            </w:rPr>
            <w:t>Guadalupe Ramírez Peña</w:t>
          </w:r>
        </w:p>
      </w:tc>
    </w:tr>
  </w:tbl>
  <w:p w14:paraId="68E9AE40" w14:textId="77777777" w:rsidR="00E458B2" w:rsidRDefault="008A7751">
    <w:pPr>
      <w:widowControl w:val="0"/>
      <w:pBdr>
        <w:top w:val="nil"/>
        <w:left w:val="nil"/>
        <w:bottom w:val="nil"/>
        <w:right w:val="nil"/>
        <w:between w:val="nil"/>
      </w:pBdr>
      <w:spacing w:line="276" w:lineRule="auto"/>
      <w:rPr>
        <w:color w:val="000000"/>
      </w:rPr>
    </w:pPr>
    <w:r>
      <w:rPr>
        <w:noProof/>
      </w:rPr>
      <w:drawing>
        <wp:anchor distT="0" distB="0" distL="0" distR="0" simplePos="0" relativeHeight="251658240" behindDoc="1" locked="0" layoutInCell="1" hidden="0" allowOverlap="1" wp14:anchorId="32DCF82D" wp14:editId="6229AD56">
          <wp:simplePos x="0" y="0"/>
          <wp:positionH relativeFrom="column">
            <wp:posOffset>-1080134</wp:posOffset>
          </wp:positionH>
          <wp:positionV relativeFrom="paragraph">
            <wp:posOffset>-1341119</wp:posOffset>
          </wp:positionV>
          <wp:extent cx="7635240" cy="9942830"/>
          <wp:effectExtent l="0" t="0" r="0" b="0"/>
          <wp:wrapNone/>
          <wp:docPr id="193566839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240" cy="99428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74FC5" w14:textId="77777777" w:rsidR="00E458B2" w:rsidRDefault="008A775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73EBB805" wp14:editId="34FF9AB8">
          <wp:simplePos x="0" y="0"/>
          <wp:positionH relativeFrom="column">
            <wp:posOffset>-1080128</wp:posOffset>
          </wp:positionH>
          <wp:positionV relativeFrom="paragraph">
            <wp:posOffset>-246371</wp:posOffset>
          </wp:positionV>
          <wp:extent cx="7635240" cy="9942830"/>
          <wp:effectExtent l="0" t="0" r="0" b="0"/>
          <wp:wrapNone/>
          <wp:docPr id="193566839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240" cy="9942830"/>
                  </a:xfrm>
                  <a:prstGeom prst="rect">
                    <a:avLst/>
                  </a:prstGeom>
                  <a:ln/>
                </pic:spPr>
              </pic:pic>
            </a:graphicData>
          </a:graphic>
        </wp:anchor>
      </w:drawing>
    </w:r>
  </w:p>
  <w:tbl>
    <w:tblPr>
      <w:tblStyle w:val="afff7"/>
      <w:tblW w:w="5953" w:type="dxa"/>
      <w:tblInd w:w="3119" w:type="dxa"/>
      <w:tblLayout w:type="fixed"/>
      <w:tblLook w:val="0400" w:firstRow="0" w:lastRow="0" w:firstColumn="0" w:lastColumn="0" w:noHBand="0" w:noVBand="1"/>
    </w:tblPr>
    <w:tblGrid>
      <w:gridCol w:w="2551"/>
      <w:gridCol w:w="3402"/>
    </w:tblGrid>
    <w:tr w:rsidR="00E458B2" w14:paraId="757756E6" w14:textId="77777777">
      <w:tc>
        <w:tcPr>
          <w:tcW w:w="2551" w:type="dxa"/>
          <w:vAlign w:val="center"/>
        </w:tcPr>
        <w:p w14:paraId="7CBC371E" w14:textId="77777777" w:rsidR="00E458B2" w:rsidRDefault="008A7751">
          <w:pPr>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Recurso de Revisión:</w:t>
          </w:r>
        </w:p>
      </w:tc>
      <w:tc>
        <w:tcPr>
          <w:tcW w:w="3402" w:type="dxa"/>
          <w:vAlign w:val="center"/>
        </w:tcPr>
        <w:p w14:paraId="5B9B7228" w14:textId="77777777" w:rsidR="00E458B2" w:rsidRDefault="008A7751">
          <w:pPr>
            <w:spacing w:after="0" w:line="240" w:lineRule="auto"/>
            <w:jc w:val="both"/>
            <w:rPr>
              <w:rFonts w:ascii="Palatino Linotype" w:eastAsia="Palatino Linotype" w:hAnsi="Palatino Linotype" w:cs="Palatino Linotype"/>
              <w:b/>
              <w:bCs/>
            </w:rPr>
          </w:pPr>
          <w:r>
            <w:rPr>
              <w:rFonts w:ascii="Palatino Linotype" w:eastAsia="Palatino Linotype" w:hAnsi="Palatino Linotype" w:cs="Palatino Linotype"/>
              <w:b/>
              <w:bCs/>
            </w:rPr>
            <w:t>07882/INFOEM/IP/RR/2026</w:t>
          </w:r>
        </w:p>
      </w:tc>
    </w:tr>
    <w:tr w:rsidR="00E458B2" w14:paraId="7D569716" w14:textId="77777777">
      <w:tc>
        <w:tcPr>
          <w:tcW w:w="2551" w:type="dxa"/>
          <w:vAlign w:val="center"/>
        </w:tcPr>
        <w:p w14:paraId="7E4DA4BF" w14:textId="77777777" w:rsidR="00E458B2" w:rsidRDefault="008A7751">
          <w:pPr>
            <w:spacing w:after="0" w:line="240" w:lineRule="auto"/>
            <w:ind w:left="35" w:hanging="35"/>
            <w:rPr>
              <w:rFonts w:ascii="Palatino Linotype" w:eastAsia="Palatino Linotype" w:hAnsi="Palatino Linotype" w:cs="Palatino Linotype"/>
              <w:b/>
              <w:bCs/>
            </w:rPr>
          </w:pPr>
          <w:r>
            <w:rPr>
              <w:rFonts w:ascii="Palatino Linotype" w:eastAsia="Palatino Linotype" w:hAnsi="Palatino Linotype" w:cs="Palatino Linotype"/>
              <w:b/>
              <w:bCs/>
            </w:rPr>
            <w:t>Recurrente:</w:t>
          </w:r>
        </w:p>
      </w:tc>
      <w:tc>
        <w:tcPr>
          <w:tcW w:w="3402" w:type="dxa"/>
          <w:vAlign w:val="center"/>
        </w:tcPr>
        <w:p w14:paraId="03B62282" w14:textId="77777777" w:rsidR="00E458B2" w:rsidRDefault="00E458B2">
          <w:pPr>
            <w:spacing w:after="0" w:line="240" w:lineRule="auto"/>
            <w:ind w:left="-45"/>
            <w:jc w:val="both"/>
            <w:rPr>
              <w:rFonts w:ascii="Palatino Linotype" w:eastAsia="Palatino Linotype" w:hAnsi="Palatino Linotype" w:cs="Palatino Linotype"/>
              <w:b/>
              <w:bCs/>
            </w:rPr>
          </w:pPr>
        </w:p>
      </w:tc>
    </w:tr>
    <w:tr w:rsidR="00E458B2" w14:paraId="79486DDC" w14:textId="77777777">
      <w:trPr>
        <w:trHeight w:val="228"/>
      </w:trPr>
      <w:tc>
        <w:tcPr>
          <w:tcW w:w="2551" w:type="dxa"/>
          <w:vAlign w:val="center"/>
        </w:tcPr>
        <w:p w14:paraId="7DEF1A3A" w14:textId="77777777" w:rsidR="00E458B2" w:rsidRDefault="008A7751">
          <w:pPr>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Sujeto Obligado:</w:t>
          </w:r>
        </w:p>
      </w:tc>
      <w:tc>
        <w:tcPr>
          <w:tcW w:w="3402" w:type="dxa"/>
          <w:vAlign w:val="center"/>
        </w:tcPr>
        <w:p w14:paraId="58CE315C" w14:textId="77777777" w:rsidR="00E458B2" w:rsidRDefault="008A7751">
          <w:pPr>
            <w:spacing w:after="0" w:line="240" w:lineRule="auto"/>
            <w:jc w:val="both"/>
            <w:rPr>
              <w:rFonts w:ascii="Palatino Linotype" w:eastAsia="Palatino Linotype" w:hAnsi="Palatino Linotype" w:cs="Palatino Linotype"/>
              <w:b/>
              <w:bCs/>
            </w:rPr>
          </w:pPr>
          <w:r>
            <w:rPr>
              <w:rFonts w:ascii="Palatino Linotype" w:eastAsia="Palatino Linotype" w:hAnsi="Palatino Linotype" w:cs="Palatino Linotype"/>
              <w:b/>
              <w:bCs/>
            </w:rPr>
            <w:t>Sistema Municipal Para el Desarrollo Integral de la Familia de Huehuetoca</w:t>
          </w:r>
        </w:p>
      </w:tc>
    </w:tr>
    <w:tr w:rsidR="00E458B2" w14:paraId="0E007E2A" w14:textId="77777777">
      <w:tc>
        <w:tcPr>
          <w:tcW w:w="2551" w:type="dxa"/>
          <w:vAlign w:val="center"/>
        </w:tcPr>
        <w:p w14:paraId="6AAB9026" w14:textId="77777777" w:rsidR="00E458B2" w:rsidRDefault="008A7751">
          <w:pPr>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Comisionada ponente:</w:t>
          </w:r>
        </w:p>
      </w:tc>
      <w:tc>
        <w:tcPr>
          <w:tcW w:w="3402" w:type="dxa"/>
          <w:vAlign w:val="center"/>
        </w:tcPr>
        <w:p w14:paraId="52C5EC21" w14:textId="77777777" w:rsidR="00E458B2" w:rsidRDefault="008A7751">
          <w:pPr>
            <w:spacing w:after="0" w:line="240" w:lineRule="auto"/>
            <w:ind w:right="-533"/>
            <w:jc w:val="both"/>
            <w:rPr>
              <w:rFonts w:ascii="Palatino Linotype" w:eastAsia="Palatino Linotype" w:hAnsi="Palatino Linotype" w:cs="Palatino Linotype"/>
              <w:b/>
              <w:bCs/>
            </w:rPr>
          </w:pPr>
          <w:r>
            <w:rPr>
              <w:rFonts w:ascii="Palatino Linotype" w:eastAsia="Palatino Linotype" w:hAnsi="Palatino Linotype" w:cs="Palatino Linotype"/>
              <w:b/>
              <w:bCs/>
            </w:rPr>
            <w:t>Guadalupe Ramírez Peña</w:t>
          </w:r>
        </w:p>
      </w:tc>
    </w:tr>
  </w:tbl>
  <w:p w14:paraId="43F4D25F" w14:textId="77777777" w:rsidR="00E458B2" w:rsidRDefault="00E458B2">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0695"/>
    <w:multiLevelType w:val="multilevel"/>
    <w:tmpl w:val="5622CECA"/>
    <w:lvl w:ilvl="0">
      <w:start w:val="1"/>
      <w:numFmt w:val="decimal"/>
      <w:pStyle w:val="Listaconvieta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4B145F6"/>
    <w:multiLevelType w:val="multilevel"/>
    <w:tmpl w:val="800E4040"/>
    <w:lvl w:ilvl="0">
      <w:start w:val="1"/>
      <w:numFmt w:val="decimal"/>
      <w:pStyle w:val="Listaconvietas"/>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51273B2"/>
    <w:multiLevelType w:val="multilevel"/>
    <w:tmpl w:val="A7D2C864"/>
    <w:lvl w:ilvl="0">
      <w:start w:val="1"/>
      <w:numFmt w:val="bullet"/>
      <w:lvlText w:val="●"/>
      <w:lvlJc w:val="left"/>
      <w:pPr>
        <w:ind w:left="926"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4D8E10BA"/>
    <w:multiLevelType w:val="multilevel"/>
    <w:tmpl w:val="AD621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08009A"/>
    <w:multiLevelType w:val="multilevel"/>
    <w:tmpl w:val="7FC88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9544C25"/>
    <w:multiLevelType w:val="multilevel"/>
    <w:tmpl w:val="B2E228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8B2"/>
    <w:rsid w:val="00796477"/>
    <w:rsid w:val="007C38BF"/>
    <w:rsid w:val="008A7751"/>
    <w:rsid w:val="00C503AE"/>
    <w:rsid w:val="00E458B2"/>
    <w:rsid w:val="00E604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0745"/>
  <w15:docId w15:val="{6439A249-D5ED-404F-BFA2-67503A47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40" w:line="240" w:lineRule="auto"/>
      <w:outlineLvl w:val="0"/>
    </w:pPr>
    <w:rPr>
      <w:smallCaps/>
      <w:sz w:val="36"/>
      <w:szCs w:val="36"/>
    </w:rPr>
  </w:style>
  <w:style w:type="paragraph" w:styleId="Ttulo2">
    <w:name w:val="heading 2"/>
    <w:basedOn w:val="Normal"/>
    <w:next w:val="Normal"/>
    <w:uiPriority w:val="9"/>
    <w:semiHidden/>
    <w:unhideWhenUsed/>
    <w:qFormat/>
    <w:pPr>
      <w:keepNext/>
      <w:keepLines/>
      <w:spacing w:before="120" w:after="0" w:line="240" w:lineRule="auto"/>
      <w:outlineLvl w:val="1"/>
    </w:pPr>
    <w:rPr>
      <w:smallCaps/>
      <w:sz w:val="28"/>
      <w:szCs w:val="28"/>
    </w:rPr>
  </w:style>
  <w:style w:type="paragraph" w:styleId="Ttulo3">
    <w:name w:val="heading 3"/>
    <w:basedOn w:val="Normal"/>
    <w:next w:val="Normal"/>
    <w:uiPriority w:val="9"/>
    <w:semiHidden/>
    <w:unhideWhenUsed/>
    <w:qFormat/>
    <w:pPr>
      <w:keepNext/>
      <w:keepLines/>
      <w:spacing w:before="120" w:after="0" w:line="240" w:lineRule="auto"/>
      <w:outlineLvl w:val="2"/>
    </w:pPr>
    <w:rPr>
      <w:smallCaps/>
      <w:sz w:val="28"/>
      <w:szCs w:val="28"/>
    </w:rPr>
  </w:style>
  <w:style w:type="paragraph" w:styleId="Ttulo4">
    <w:name w:val="heading 4"/>
    <w:basedOn w:val="Normal"/>
    <w:next w:val="Normal"/>
    <w:uiPriority w:val="9"/>
    <w:semiHidden/>
    <w:unhideWhenUsed/>
    <w:qFormat/>
    <w:pPr>
      <w:keepNext/>
      <w:keepLines/>
      <w:spacing w:before="120" w:after="0"/>
      <w:outlineLvl w:val="3"/>
    </w:pPr>
    <w:rPr>
      <w:smallCaps/>
    </w:rPr>
  </w:style>
  <w:style w:type="paragraph" w:styleId="Ttulo5">
    <w:name w:val="heading 5"/>
    <w:basedOn w:val="Normal"/>
    <w:next w:val="Normal"/>
    <w:uiPriority w:val="9"/>
    <w:semiHidden/>
    <w:unhideWhenUsed/>
    <w:qFormat/>
    <w:pPr>
      <w:keepNext/>
      <w:keepLines/>
      <w:spacing w:before="120" w:after="0"/>
      <w:outlineLvl w:val="4"/>
    </w:pPr>
    <w:rPr>
      <w:i/>
      <w:iCs/>
      <w:smallCaps/>
    </w:rPr>
  </w:style>
  <w:style w:type="paragraph" w:styleId="Ttulo6">
    <w:name w:val="heading 6"/>
    <w:basedOn w:val="Normal"/>
    <w:next w:val="Normal"/>
    <w:uiPriority w:val="9"/>
    <w:semiHidden/>
    <w:unhideWhenUsed/>
    <w:qFormat/>
    <w:pPr>
      <w:keepNext/>
      <w:keepLines/>
      <w:spacing w:before="120" w:after="0"/>
      <w:outlineLvl w:val="5"/>
    </w:pPr>
    <w:rPr>
      <w:b/>
      <w:bCs/>
      <w:smallCaps/>
      <w:color w:val="262626"/>
      <w:sz w:val="20"/>
      <w:szCs w:val="20"/>
    </w:rPr>
  </w:style>
  <w:style w:type="paragraph" w:styleId="Ttulo7">
    <w:name w:val="heading 7"/>
    <w:basedOn w:val="Normal"/>
    <w:next w:val="Normal"/>
    <w:link w:val="Ttulo7Car"/>
    <w:uiPriority w:val="9"/>
    <w:semiHidden/>
    <w:unhideWhenUsed/>
    <w:qFormat/>
    <w:rsid w:val="000009E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Ttulo8">
    <w:name w:val="heading 8"/>
    <w:basedOn w:val="Normal"/>
    <w:next w:val="Normal"/>
    <w:link w:val="Ttulo8Car"/>
    <w:uiPriority w:val="9"/>
    <w:semiHidden/>
    <w:unhideWhenUsed/>
    <w:qFormat/>
    <w:rsid w:val="000009E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Ttulo9">
    <w:name w:val="heading 9"/>
    <w:basedOn w:val="Normal"/>
    <w:next w:val="Normal"/>
    <w:link w:val="Ttulo9Car"/>
    <w:uiPriority w:val="9"/>
    <w:semiHidden/>
    <w:unhideWhenUsed/>
    <w:qFormat/>
    <w:rsid w:val="000009E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40" w:lineRule="auto"/>
    </w:pPr>
    <w:rPr>
      <w:smallCaps/>
      <w:color w:val="40404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21CDF"/>
    <w:pPr>
      <w:tabs>
        <w:tab w:val="center" w:pos="4419"/>
        <w:tab w:val="right" w:pos="8838"/>
      </w:tabs>
    </w:pPr>
    <w:rPr>
      <w:rFonts w:eastAsiaTheme="minorHAnsi"/>
      <w:lang w:eastAsia="en-US"/>
    </w:rPr>
  </w:style>
  <w:style w:type="character" w:customStyle="1" w:styleId="EncabezadoCar">
    <w:name w:val="Encabezado Car"/>
    <w:basedOn w:val="Fuentedeprrafopredeter"/>
    <w:link w:val="Encabezado"/>
    <w:uiPriority w:val="99"/>
    <w:rsid w:val="00521CDF"/>
  </w:style>
  <w:style w:type="paragraph" w:styleId="Piedepgina">
    <w:name w:val="footer"/>
    <w:basedOn w:val="Normal"/>
    <w:link w:val="PiedepginaCar"/>
    <w:uiPriority w:val="99"/>
    <w:unhideWhenUsed/>
    <w:rsid w:val="00521CDF"/>
    <w:pPr>
      <w:tabs>
        <w:tab w:val="center" w:pos="4419"/>
        <w:tab w:val="right" w:pos="8838"/>
      </w:tabs>
    </w:pPr>
    <w:rPr>
      <w:rFonts w:eastAsiaTheme="minorHAnsi"/>
      <w:lang w:eastAsia="en-US"/>
    </w:rPr>
  </w:style>
  <w:style w:type="character" w:customStyle="1" w:styleId="PiedepginaCar">
    <w:name w:val="Pie de página Car"/>
    <w:basedOn w:val="Fuentedeprrafopredeter"/>
    <w:link w:val="Piedepgina"/>
    <w:uiPriority w:val="99"/>
    <w:rsid w:val="00521CDF"/>
  </w:style>
  <w:style w:type="character" w:styleId="Hipervnculo">
    <w:name w:val="Hyperlink"/>
    <w:aliases w:val="Hipervínculo1,Hipervínculo11,Hipervínculo12,Hipervínculo13,Hipervínculo14,Hipervínculo15"/>
    <w:basedOn w:val="Fuentedeprrafopredeter"/>
    <w:uiPriority w:val="99"/>
    <w:unhideWhenUsed/>
    <w:rsid w:val="003C6D6D"/>
    <w:rPr>
      <w:color w:val="0563C1" w:themeColor="hyperlink"/>
      <w:u w:val="single"/>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1E1566"/>
    <w:pPr>
      <w:ind w:left="720"/>
      <w:contextualSpacing/>
    </w:pPr>
  </w:style>
  <w:style w:type="paragraph" w:styleId="Listaconvietas">
    <w:name w:val="List Bullet"/>
    <w:basedOn w:val="Normal"/>
    <w:uiPriority w:val="99"/>
    <w:unhideWhenUsed/>
    <w:rsid w:val="00400151"/>
    <w:pPr>
      <w:numPr>
        <w:numId w:val="2"/>
      </w:numPr>
      <w:contextualSpacing/>
    </w:pPr>
    <w:rPr>
      <w:lang w:eastAsia="es-ES"/>
    </w:rPr>
  </w:style>
  <w:style w:type="paragraph" w:styleId="Textodeglobo">
    <w:name w:val="Balloon Text"/>
    <w:basedOn w:val="Normal"/>
    <w:link w:val="TextodegloboCar"/>
    <w:uiPriority w:val="99"/>
    <w:semiHidden/>
    <w:unhideWhenUsed/>
    <w:rsid w:val="00617A0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7A03"/>
    <w:rPr>
      <w:rFonts w:ascii="Segoe UI" w:eastAsia="Calibri" w:hAnsi="Segoe UI" w:cs="Segoe UI"/>
      <w:sz w:val="18"/>
      <w:szCs w:val="18"/>
      <w:lang w:eastAsia="es-MX"/>
    </w:rPr>
  </w:style>
  <w:style w:type="table" w:styleId="Tablaconcuadrcula">
    <w:name w:val="Table Grid"/>
    <w:basedOn w:val="Tablanormal"/>
    <w:uiPriority w:val="39"/>
    <w:rsid w:val="00A47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7"/>
    <w:tblPr>
      <w:tblStyleRowBandSize w:val="1"/>
      <w:tblStyleColBandSize w:val="1"/>
      <w:tblCellMar>
        <w:left w:w="115" w:type="dxa"/>
        <w:right w:w="115" w:type="dxa"/>
      </w:tblCellMar>
    </w:tblPr>
  </w:style>
  <w:style w:type="table" w:customStyle="1" w:styleId="a0">
    <w:basedOn w:val="TableNormal7"/>
    <w:tblPr>
      <w:tblStyleRowBandSize w:val="1"/>
      <w:tblStyleColBandSize w:val="1"/>
      <w:tblCellMar>
        <w:left w:w="115" w:type="dxa"/>
        <w:right w:w="115" w:type="dxa"/>
      </w:tblCellMar>
    </w:tblPr>
  </w:style>
  <w:style w:type="table" w:customStyle="1" w:styleId="a1">
    <w:basedOn w:val="TableNormal7"/>
    <w:tblPr>
      <w:tblStyleRowBandSize w:val="1"/>
      <w:tblStyleColBandSize w:val="1"/>
      <w:tblCellMar>
        <w:left w:w="115" w:type="dxa"/>
        <w:right w:w="115" w:type="dxa"/>
      </w:tblCellMar>
    </w:tblPr>
  </w:style>
  <w:style w:type="table" w:customStyle="1" w:styleId="a2">
    <w:basedOn w:val="TableNormal7"/>
    <w:tblPr>
      <w:tblStyleRowBandSize w:val="1"/>
      <w:tblStyleColBandSize w:val="1"/>
      <w:tblCellMar>
        <w:left w:w="115" w:type="dxa"/>
        <w:right w:w="115" w:type="dxa"/>
      </w:tblCellMar>
    </w:tblPr>
  </w:style>
  <w:style w:type="table" w:customStyle="1" w:styleId="a3">
    <w:basedOn w:val="TableNormal7"/>
    <w:tblPr>
      <w:tblStyleRowBandSize w:val="1"/>
      <w:tblStyleColBandSize w:val="1"/>
      <w:tblCellMar>
        <w:left w:w="115" w:type="dxa"/>
        <w:right w:w="115" w:type="dxa"/>
      </w:tblCellMar>
    </w:tblPr>
  </w:style>
  <w:style w:type="table" w:customStyle="1" w:styleId="a4">
    <w:basedOn w:val="TableNormal7"/>
    <w:tblPr>
      <w:tblStyleRowBandSize w:val="1"/>
      <w:tblStyleColBandSize w:val="1"/>
      <w:tblCellMar>
        <w:left w:w="115" w:type="dxa"/>
        <w:right w:w="115" w:type="dxa"/>
      </w:tblCellMar>
    </w:tblPr>
  </w:style>
  <w:style w:type="table" w:customStyle="1" w:styleId="a5">
    <w:basedOn w:val="TableNormal7"/>
    <w:tblPr>
      <w:tblStyleRowBandSize w:val="1"/>
      <w:tblStyleColBandSize w:val="1"/>
      <w:tblCellMar>
        <w:left w:w="115" w:type="dxa"/>
        <w:right w:w="115" w:type="dxa"/>
      </w:tblCellMar>
    </w:tblPr>
  </w:style>
  <w:style w:type="table" w:customStyle="1" w:styleId="a6">
    <w:basedOn w:val="TableNormal7"/>
    <w:tblPr>
      <w:tblStyleRowBandSize w:val="1"/>
      <w:tblStyleColBandSize w:val="1"/>
      <w:tblCellMar>
        <w:left w:w="115" w:type="dxa"/>
        <w:right w:w="115" w:type="dxa"/>
      </w:tblCellMar>
    </w:tblPr>
  </w:style>
  <w:style w:type="table" w:customStyle="1" w:styleId="a7">
    <w:basedOn w:val="TableNormal7"/>
    <w:tblPr>
      <w:tblStyleRowBandSize w:val="1"/>
      <w:tblStyleColBandSize w:val="1"/>
      <w:tblCellMar>
        <w:left w:w="115" w:type="dxa"/>
        <w:right w:w="115" w:type="dxa"/>
      </w:tblCellMar>
    </w:tblPr>
  </w:style>
  <w:style w:type="table" w:customStyle="1" w:styleId="a8">
    <w:basedOn w:val="TableNormal7"/>
    <w:tblPr>
      <w:tblStyleRowBandSize w:val="1"/>
      <w:tblStyleColBandSize w:val="1"/>
      <w:tblCellMar>
        <w:left w:w="108" w:type="dxa"/>
        <w:right w:w="108" w:type="dxa"/>
      </w:tblCellMar>
    </w:tblPr>
  </w:style>
  <w:style w:type="table" w:customStyle="1" w:styleId="a9">
    <w:basedOn w:val="TableNormal7"/>
    <w:tblPr>
      <w:tblStyleRowBandSize w:val="1"/>
      <w:tblStyleColBandSize w:val="1"/>
      <w:tblCellMar>
        <w:left w:w="115" w:type="dxa"/>
        <w:right w:w="115" w:type="dxa"/>
      </w:tblCellMar>
    </w:tblPr>
  </w:style>
  <w:style w:type="table" w:customStyle="1" w:styleId="aa">
    <w:basedOn w:val="TableNormal7"/>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7"/>
    <w:tblPr>
      <w:tblStyleRowBandSize w:val="1"/>
      <w:tblStyleColBandSize w:val="1"/>
      <w:tblCellMar>
        <w:left w:w="115" w:type="dxa"/>
        <w:right w:w="115" w:type="dxa"/>
      </w:tblCellMar>
    </w:tblPr>
  </w:style>
  <w:style w:type="table" w:customStyle="1" w:styleId="af0">
    <w:basedOn w:val="TableNormal7"/>
    <w:tblPr>
      <w:tblStyleRowBandSize w:val="1"/>
      <w:tblStyleColBandSize w:val="1"/>
      <w:tblCellMar>
        <w:left w:w="115" w:type="dxa"/>
        <w:right w:w="115" w:type="dxa"/>
      </w:tblCellMar>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rsid w:val="00E42517"/>
    <w:rPr>
      <w:rFonts w:eastAsiaTheme="minorHAns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E42517"/>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rsid w:val="00E42517"/>
    <w:rPr>
      <w:vertAlign w:val="superscript"/>
    </w:rPr>
  </w:style>
  <w:style w:type="paragraph" w:styleId="Sinespaciado">
    <w:name w:val="No Spacing"/>
    <w:aliases w:val="Francesa"/>
    <w:link w:val="SinespaciadoCar"/>
    <w:uiPriority w:val="1"/>
    <w:qFormat/>
    <w:rsid w:val="000009E2"/>
    <w:pPr>
      <w:spacing w:after="0" w:line="240" w:lineRule="auto"/>
    </w:pPr>
  </w:style>
  <w:style w:type="character" w:customStyle="1" w:styleId="SinespaciadoCar">
    <w:name w:val="Sin espaciado Car"/>
    <w:aliases w:val="Francesa Car"/>
    <w:link w:val="Sinespaciado"/>
    <w:uiPriority w:val="1"/>
    <w:locked/>
    <w:rsid w:val="00B33C26"/>
  </w:style>
  <w:style w:type="paragraph" w:styleId="Lista">
    <w:name w:val="List"/>
    <w:basedOn w:val="Normal"/>
    <w:uiPriority w:val="99"/>
    <w:unhideWhenUsed/>
    <w:rsid w:val="004127D1"/>
    <w:pPr>
      <w:ind w:left="283" w:hanging="283"/>
      <w:contextualSpacing/>
    </w:pPr>
  </w:style>
  <w:style w:type="paragraph" w:styleId="Lista2">
    <w:name w:val="List 2"/>
    <w:basedOn w:val="Normal"/>
    <w:uiPriority w:val="99"/>
    <w:unhideWhenUsed/>
    <w:rsid w:val="004127D1"/>
    <w:pPr>
      <w:ind w:left="566" w:hanging="283"/>
      <w:contextualSpacing/>
    </w:pPr>
  </w:style>
  <w:style w:type="paragraph" w:styleId="Lista3">
    <w:name w:val="List 3"/>
    <w:basedOn w:val="Normal"/>
    <w:uiPriority w:val="99"/>
    <w:unhideWhenUsed/>
    <w:rsid w:val="004127D1"/>
    <w:pPr>
      <w:ind w:left="849" w:hanging="283"/>
      <w:contextualSpacing/>
    </w:pPr>
  </w:style>
  <w:style w:type="paragraph" w:styleId="Listaconvietas2">
    <w:name w:val="List Bullet 2"/>
    <w:basedOn w:val="Normal"/>
    <w:uiPriority w:val="99"/>
    <w:unhideWhenUsed/>
    <w:rsid w:val="004127D1"/>
    <w:pPr>
      <w:tabs>
        <w:tab w:val="num" w:pos="720"/>
      </w:tabs>
      <w:ind w:left="720" w:hanging="720"/>
      <w:contextualSpacing/>
    </w:pPr>
  </w:style>
  <w:style w:type="paragraph" w:styleId="Continuarlista">
    <w:name w:val="List Continue"/>
    <w:basedOn w:val="Normal"/>
    <w:uiPriority w:val="99"/>
    <w:unhideWhenUsed/>
    <w:rsid w:val="004127D1"/>
    <w:pPr>
      <w:spacing w:after="120"/>
      <w:ind w:left="283"/>
      <w:contextualSpacing/>
    </w:pPr>
  </w:style>
  <w:style w:type="paragraph" w:styleId="Continuarlista2">
    <w:name w:val="List Continue 2"/>
    <w:basedOn w:val="Normal"/>
    <w:uiPriority w:val="99"/>
    <w:unhideWhenUsed/>
    <w:rsid w:val="004127D1"/>
    <w:pPr>
      <w:spacing w:after="120"/>
      <w:ind w:left="566"/>
      <w:contextualSpacing/>
    </w:pPr>
  </w:style>
  <w:style w:type="paragraph" w:styleId="Textoindependiente">
    <w:name w:val="Body Text"/>
    <w:basedOn w:val="Normal"/>
    <w:link w:val="TextoindependienteCar"/>
    <w:uiPriority w:val="99"/>
    <w:unhideWhenUsed/>
    <w:rsid w:val="004127D1"/>
    <w:pPr>
      <w:spacing w:after="120"/>
    </w:pPr>
  </w:style>
  <w:style w:type="character" w:customStyle="1" w:styleId="TextoindependienteCar">
    <w:name w:val="Texto independiente Car"/>
    <w:basedOn w:val="Fuentedeprrafopredeter"/>
    <w:link w:val="Textoindependiente"/>
    <w:uiPriority w:val="99"/>
    <w:rsid w:val="004127D1"/>
  </w:style>
  <w:style w:type="paragraph" w:styleId="Sangradetextonormal">
    <w:name w:val="Body Text Indent"/>
    <w:basedOn w:val="Normal"/>
    <w:link w:val="SangradetextonormalCar"/>
    <w:uiPriority w:val="99"/>
    <w:unhideWhenUsed/>
    <w:rsid w:val="004127D1"/>
    <w:pPr>
      <w:spacing w:after="120"/>
      <w:ind w:left="283"/>
    </w:pPr>
  </w:style>
  <w:style w:type="character" w:customStyle="1" w:styleId="SangradetextonormalCar">
    <w:name w:val="Sangría de texto normal Car"/>
    <w:basedOn w:val="Fuentedeprrafopredeter"/>
    <w:link w:val="Sangradetextonormal"/>
    <w:uiPriority w:val="99"/>
    <w:rsid w:val="004127D1"/>
  </w:style>
  <w:style w:type="paragraph" w:styleId="Textoindependienteprimerasangra2">
    <w:name w:val="Body Text First Indent 2"/>
    <w:basedOn w:val="Sangradetextonormal"/>
    <w:link w:val="Textoindependienteprimerasangra2Car"/>
    <w:uiPriority w:val="99"/>
    <w:unhideWhenUsed/>
    <w:rsid w:val="004127D1"/>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127D1"/>
  </w:style>
  <w:style w:type="table" w:customStyle="1" w:styleId="af1">
    <w:basedOn w:val="TableNormal7"/>
    <w:tblPr>
      <w:tblStyleRowBandSize w:val="1"/>
      <w:tblStyleColBandSize w:val="1"/>
      <w:tblCellMar>
        <w:left w:w="115" w:type="dxa"/>
        <w:right w:w="115" w:type="dxa"/>
      </w:tblCellMar>
    </w:tblPr>
  </w:style>
  <w:style w:type="table" w:customStyle="1" w:styleId="af2">
    <w:basedOn w:val="TableNormal7"/>
    <w:tblPr>
      <w:tblStyleRowBandSize w:val="1"/>
      <w:tblStyleColBandSize w:val="1"/>
      <w:tblCellMar>
        <w:left w:w="115" w:type="dxa"/>
        <w:right w:w="115" w:type="dxa"/>
      </w:tblCellMar>
    </w:tblPr>
  </w:style>
  <w:style w:type="table" w:customStyle="1" w:styleId="af3">
    <w:basedOn w:val="TableNormal7"/>
    <w:tblPr>
      <w:tblStyleRowBandSize w:val="1"/>
      <w:tblStyleColBandSize w:val="1"/>
      <w:tblCellMar>
        <w:left w:w="115" w:type="dxa"/>
        <w:right w:w="115" w:type="dxa"/>
      </w:tblCellMar>
    </w:tblPr>
  </w:style>
  <w:style w:type="table" w:customStyle="1" w:styleId="af4">
    <w:basedOn w:val="TableNormal7"/>
    <w:tblPr>
      <w:tblStyleRowBandSize w:val="1"/>
      <w:tblStyleColBandSize w:val="1"/>
      <w:tblCellMar>
        <w:left w:w="115" w:type="dxa"/>
        <w:right w:w="115" w:type="dxa"/>
      </w:tblCellMar>
    </w:tblPr>
  </w:style>
  <w:style w:type="table" w:customStyle="1" w:styleId="af5">
    <w:basedOn w:val="TableNormal7"/>
    <w:tblPr>
      <w:tblStyleRowBandSize w:val="1"/>
      <w:tblStyleColBandSize w:val="1"/>
      <w:tblCellMar>
        <w:left w:w="115" w:type="dxa"/>
        <w:right w:w="115" w:type="dxa"/>
      </w:tblCellMar>
    </w:tblPr>
  </w:style>
  <w:style w:type="paragraph" w:styleId="NormalWeb">
    <w:name w:val="Normal (Web)"/>
    <w:basedOn w:val="Normal"/>
    <w:uiPriority w:val="99"/>
    <w:unhideWhenUsed/>
    <w:rsid w:val="00B477FB"/>
    <w:pPr>
      <w:spacing w:before="100" w:beforeAutospacing="1" w:after="100" w:afterAutospacing="1"/>
    </w:pPr>
  </w:style>
  <w:style w:type="table" w:customStyle="1" w:styleId="af6">
    <w:basedOn w:val="TableNormal6"/>
    <w:tblPr>
      <w:tblStyleRowBandSize w:val="1"/>
      <w:tblStyleColBandSize w:val="1"/>
      <w:tblCellMar>
        <w:left w:w="115" w:type="dxa"/>
        <w:right w:w="115" w:type="dxa"/>
      </w:tblCellMar>
    </w:tblPr>
  </w:style>
  <w:style w:type="table" w:customStyle="1" w:styleId="af7">
    <w:basedOn w:val="TableNormal6"/>
    <w:tblPr>
      <w:tblStyleRowBandSize w:val="1"/>
      <w:tblStyleColBandSize w:val="1"/>
      <w:tblCellMar>
        <w:left w:w="115" w:type="dxa"/>
        <w:right w:w="115" w:type="dxa"/>
      </w:tblCellMar>
    </w:tblPr>
  </w:style>
  <w:style w:type="table" w:customStyle="1" w:styleId="af8">
    <w:basedOn w:val="TableNormal6"/>
    <w:tblPr>
      <w:tblStyleRowBandSize w:val="1"/>
      <w:tblStyleColBandSize w:val="1"/>
      <w:tblCellMar>
        <w:left w:w="108" w:type="dxa"/>
        <w:right w:w="108" w:type="dxa"/>
      </w:tblCellMar>
    </w:tblPr>
  </w:style>
  <w:style w:type="table" w:customStyle="1" w:styleId="af9">
    <w:basedOn w:val="TableNormal6"/>
    <w:tblPr>
      <w:tblStyleRowBandSize w:val="1"/>
      <w:tblStyleColBandSize w:val="1"/>
      <w:tblCellMar>
        <w:left w:w="115" w:type="dxa"/>
        <w:right w:w="115" w:type="dxa"/>
      </w:tblCellMar>
    </w:tblPr>
  </w:style>
  <w:style w:type="table" w:customStyle="1" w:styleId="afa">
    <w:basedOn w:val="TableNormal6"/>
    <w:tblPr>
      <w:tblStyleRowBandSize w:val="1"/>
      <w:tblStyleColBandSize w:val="1"/>
      <w:tblCellMar>
        <w:left w:w="115" w:type="dxa"/>
        <w:right w:w="115" w:type="dxa"/>
      </w:tblCellMar>
    </w:tbl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D7226C"/>
  </w:style>
  <w:style w:type="table" w:customStyle="1" w:styleId="afb">
    <w:basedOn w:val="TableNormal5"/>
    <w:tblPr>
      <w:tblStyleRowBandSize w:val="1"/>
      <w:tblStyleColBandSize w:val="1"/>
      <w:tblCellMar>
        <w:left w:w="115" w:type="dxa"/>
        <w:right w:w="115" w:type="dxa"/>
      </w:tblCellMar>
    </w:tblPr>
  </w:style>
  <w:style w:type="table" w:customStyle="1" w:styleId="afc">
    <w:basedOn w:val="TableNormal5"/>
    <w:tblPr>
      <w:tblStyleRowBandSize w:val="1"/>
      <w:tblStyleColBandSize w:val="1"/>
      <w:tblCellMar>
        <w:left w:w="115" w:type="dxa"/>
        <w:right w:w="115" w:type="dxa"/>
      </w:tblCellMar>
    </w:tblPr>
  </w:style>
  <w:style w:type="table" w:customStyle="1" w:styleId="afd">
    <w:basedOn w:val="TableNormal5"/>
    <w:tblPr>
      <w:tblStyleRowBandSize w:val="1"/>
      <w:tblStyleColBandSize w:val="1"/>
      <w:tblCellMar>
        <w:left w:w="115" w:type="dxa"/>
        <w:right w:w="115" w:type="dxa"/>
      </w:tblCellMar>
    </w:tblPr>
  </w:style>
  <w:style w:type="table" w:customStyle="1" w:styleId="afe">
    <w:basedOn w:val="TableNormal5"/>
    <w:tblPr>
      <w:tblStyleRowBandSize w:val="1"/>
      <w:tblStyleColBandSize w:val="1"/>
      <w:tblCellMar>
        <w:left w:w="115" w:type="dxa"/>
        <w:right w:w="115" w:type="dxa"/>
      </w:tblCellMar>
    </w:tbl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tblPr>
      <w:tblStyleRowBandSize w:val="1"/>
      <w:tblStyleColBandSize w:val="1"/>
      <w:tblCellMar>
        <w:left w:w="115" w:type="dxa"/>
        <w:right w:w="115" w:type="dxa"/>
      </w:tblCellMar>
    </w:tblPr>
  </w:style>
  <w:style w:type="table" w:customStyle="1" w:styleId="aff1">
    <w:basedOn w:val="TableNormal4"/>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character" w:customStyle="1" w:styleId="Ttulo1Car">
    <w:name w:val="Título 1 Car"/>
    <w:basedOn w:val="Fuentedeprrafopredeter"/>
    <w:uiPriority w:val="9"/>
    <w:rsid w:val="000009E2"/>
    <w:rPr>
      <w:rFonts w:asciiTheme="majorHAnsi" w:eastAsiaTheme="majorEastAsia" w:hAnsiTheme="majorHAnsi" w:cstheme="majorBidi"/>
      <w:caps/>
      <w:sz w:val="36"/>
      <w:szCs w:val="36"/>
    </w:rPr>
  </w:style>
  <w:style w:type="character" w:customStyle="1" w:styleId="Ttulo2Car">
    <w:name w:val="Título 2 Car"/>
    <w:basedOn w:val="Fuentedeprrafopredeter"/>
    <w:uiPriority w:val="9"/>
    <w:semiHidden/>
    <w:rsid w:val="000009E2"/>
    <w:rPr>
      <w:rFonts w:asciiTheme="majorHAnsi" w:eastAsiaTheme="majorEastAsia" w:hAnsiTheme="majorHAnsi" w:cstheme="majorBidi"/>
      <w:caps/>
      <w:sz w:val="28"/>
      <w:szCs w:val="28"/>
    </w:rPr>
  </w:style>
  <w:style w:type="character" w:customStyle="1" w:styleId="Ttulo3Car">
    <w:name w:val="Título 3 Car"/>
    <w:basedOn w:val="Fuentedeprrafopredeter"/>
    <w:uiPriority w:val="9"/>
    <w:semiHidden/>
    <w:rsid w:val="000009E2"/>
    <w:rPr>
      <w:rFonts w:asciiTheme="majorHAnsi" w:eastAsiaTheme="majorEastAsia" w:hAnsiTheme="majorHAnsi" w:cstheme="majorBidi"/>
      <w:smallCaps/>
      <w:sz w:val="28"/>
      <w:szCs w:val="28"/>
    </w:rPr>
  </w:style>
  <w:style w:type="character" w:customStyle="1" w:styleId="Ttulo4Car">
    <w:name w:val="Título 4 Car"/>
    <w:basedOn w:val="Fuentedeprrafopredeter"/>
    <w:uiPriority w:val="9"/>
    <w:semiHidden/>
    <w:rsid w:val="000009E2"/>
    <w:rPr>
      <w:rFonts w:asciiTheme="majorHAnsi" w:eastAsiaTheme="majorEastAsia" w:hAnsiTheme="majorHAnsi" w:cstheme="majorBidi"/>
      <w:caps/>
    </w:rPr>
  </w:style>
  <w:style w:type="character" w:customStyle="1" w:styleId="Ttulo5Car">
    <w:name w:val="Título 5 Car"/>
    <w:basedOn w:val="Fuentedeprrafopredeter"/>
    <w:uiPriority w:val="9"/>
    <w:semiHidden/>
    <w:rsid w:val="000009E2"/>
    <w:rPr>
      <w:rFonts w:asciiTheme="majorHAnsi" w:eastAsiaTheme="majorEastAsia" w:hAnsiTheme="majorHAnsi" w:cstheme="majorBidi"/>
      <w:i/>
      <w:iCs/>
      <w:caps/>
    </w:rPr>
  </w:style>
  <w:style w:type="character" w:customStyle="1" w:styleId="Ttulo6Car">
    <w:name w:val="Título 6 Car"/>
    <w:basedOn w:val="Fuentedeprrafopredeter"/>
    <w:uiPriority w:val="9"/>
    <w:semiHidden/>
    <w:rsid w:val="000009E2"/>
    <w:rPr>
      <w:rFonts w:asciiTheme="majorHAnsi" w:eastAsiaTheme="majorEastAsia" w:hAnsiTheme="majorHAnsi" w:cstheme="majorBidi"/>
      <w:b/>
      <w:bCs/>
      <w:caps/>
      <w:color w:val="262626" w:themeColor="text1" w:themeTint="D9"/>
      <w:sz w:val="20"/>
      <w:szCs w:val="20"/>
    </w:rPr>
  </w:style>
  <w:style w:type="character" w:customStyle="1" w:styleId="Ttulo7Car">
    <w:name w:val="Título 7 Car"/>
    <w:basedOn w:val="Fuentedeprrafopredeter"/>
    <w:link w:val="Ttulo7"/>
    <w:uiPriority w:val="9"/>
    <w:semiHidden/>
    <w:rsid w:val="000009E2"/>
    <w:rPr>
      <w:rFonts w:asciiTheme="majorHAnsi" w:eastAsiaTheme="majorEastAsia" w:hAnsiTheme="majorHAnsi" w:cstheme="majorBidi"/>
      <w:b/>
      <w:bCs/>
      <w:i/>
      <w:iCs/>
      <w:caps/>
      <w:color w:val="262626" w:themeColor="text1" w:themeTint="D9"/>
      <w:sz w:val="20"/>
      <w:szCs w:val="20"/>
    </w:rPr>
  </w:style>
  <w:style w:type="character" w:customStyle="1" w:styleId="Ttulo8Car">
    <w:name w:val="Título 8 Car"/>
    <w:basedOn w:val="Fuentedeprrafopredeter"/>
    <w:link w:val="Ttulo8"/>
    <w:uiPriority w:val="9"/>
    <w:semiHidden/>
    <w:rsid w:val="000009E2"/>
    <w:rPr>
      <w:rFonts w:asciiTheme="majorHAnsi" w:eastAsiaTheme="majorEastAsia" w:hAnsiTheme="majorHAnsi" w:cstheme="majorBidi"/>
      <w:b/>
      <w:bCs/>
      <w:caps/>
      <w:color w:val="7F7F7F" w:themeColor="text1" w:themeTint="80"/>
      <w:sz w:val="20"/>
      <w:szCs w:val="20"/>
    </w:rPr>
  </w:style>
  <w:style w:type="character" w:customStyle="1" w:styleId="Ttulo9Car">
    <w:name w:val="Título 9 Car"/>
    <w:basedOn w:val="Fuentedeprrafopredeter"/>
    <w:link w:val="Ttulo9"/>
    <w:uiPriority w:val="9"/>
    <w:semiHidden/>
    <w:rsid w:val="000009E2"/>
    <w:rPr>
      <w:rFonts w:asciiTheme="majorHAnsi" w:eastAsiaTheme="majorEastAsia" w:hAnsiTheme="majorHAnsi" w:cstheme="majorBidi"/>
      <w:b/>
      <w:bCs/>
      <w:i/>
      <w:iCs/>
      <w:caps/>
      <w:color w:val="7F7F7F" w:themeColor="text1" w:themeTint="80"/>
      <w:sz w:val="20"/>
      <w:szCs w:val="20"/>
    </w:rPr>
  </w:style>
  <w:style w:type="paragraph" w:styleId="Descripcin">
    <w:name w:val="caption"/>
    <w:basedOn w:val="Normal"/>
    <w:next w:val="Normal"/>
    <w:uiPriority w:val="35"/>
    <w:semiHidden/>
    <w:unhideWhenUsed/>
    <w:qFormat/>
    <w:rsid w:val="000009E2"/>
    <w:pPr>
      <w:spacing w:line="240" w:lineRule="auto"/>
    </w:pPr>
    <w:rPr>
      <w:b/>
      <w:bCs/>
      <w:smallCaps/>
      <w:color w:val="595959" w:themeColor="text1" w:themeTint="A6"/>
    </w:rPr>
  </w:style>
  <w:style w:type="character" w:customStyle="1" w:styleId="TtuloCar">
    <w:name w:val="Título Car"/>
    <w:basedOn w:val="Fuentedeprrafopredeter"/>
    <w:uiPriority w:val="10"/>
    <w:rsid w:val="000009E2"/>
    <w:rPr>
      <w:rFonts w:asciiTheme="majorHAnsi" w:eastAsiaTheme="majorEastAsia" w:hAnsiTheme="majorHAnsi" w:cstheme="majorBidi"/>
      <w:caps/>
      <w:color w:val="404040" w:themeColor="text1" w:themeTint="BF"/>
      <w:spacing w:val="-10"/>
      <w:sz w:val="72"/>
      <w:szCs w:val="72"/>
    </w:rPr>
  </w:style>
  <w:style w:type="character" w:customStyle="1" w:styleId="SubttuloCar">
    <w:name w:val="Subtítulo Car"/>
    <w:basedOn w:val="Fuentedeprrafopredeter"/>
    <w:uiPriority w:val="11"/>
    <w:rsid w:val="000009E2"/>
    <w:rPr>
      <w:rFonts w:asciiTheme="majorHAnsi" w:eastAsiaTheme="majorEastAsia" w:hAnsiTheme="majorHAnsi" w:cstheme="majorBidi"/>
      <w:smallCaps/>
      <w:color w:val="595959" w:themeColor="text1" w:themeTint="A6"/>
      <w:sz w:val="28"/>
      <w:szCs w:val="28"/>
    </w:rPr>
  </w:style>
  <w:style w:type="character" w:styleId="Textoennegrita">
    <w:name w:val="Strong"/>
    <w:basedOn w:val="Fuentedeprrafopredeter"/>
    <w:uiPriority w:val="22"/>
    <w:qFormat/>
    <w:rsid w:val="000009E2"/>
    <w:rPr>
      <w:b/>
      <w:bCs/>
    </w:rPr>
  </w:style>
  <w:style w:type="character" w:styleId="nfasis">
    <w:name w:val="Emphasis"/>
    <w:basedOn w:val="Fuentedeprrafopredeter"/>
    <w:uiPriority w:val="20"/>
    <w:qFormat/>
    <w:rsid w:val="000009E2"/>
    <w:rPr>
      <w:i/>
      <w:iCs/>
    </w:rPr>
  </w:style>
  <w:style w:type="paragraph" w:styleId="Cita">
    <w:name w:val="Quote"/>
    <w:basedOn w:val="Normal"/>
    <w:next w:val="Normal"/>
    <w:link w:val="CitaCar"/>
    <w:uiPriority w:val="29"/>
    <w:qFormat/>
    <w:rsid w:val="000009E2"/>
    <w:pPr>
      <w:spacing w:before="160" w:line="240" w:lineRule="auto"/>
      <w:ind w:left="720" w:right="720"/>
    </w:pPr>
    <w:rPr>
      <w:rFonts w:asciiTheme="majorHAnsi" w:eastAsiaTheme="majorEastAsia" w:hAnsiTheme="majorHAnsi" w:cstheme="majorBidi"/>
      <w:sz w:val="25"/>
      <w:szCs w:val="25"/>
    </w:rPr>
  </w:style>
  <w:style w:type="character" w:customStyle="1" w:styleId="CitaCar">
    <w:name w:val="Cita Car"/>
    <w:basedOn w:val="Fuentedeprrafopredeter"/>
    <w:link w:val="Cita"/>
    <w:uiPriority w:val="29"/>
    <w:rsid w:val="000009E2"/>
    <w:rPr>
      <w:rFonts w:asciiTheme="majorHAnsi" w:eastAsiaTheme="majorEastAsia" w:hAnsiTheme="majorHAnsi" w:cstheme="majorBidi"/>
      <w:sz w:val="25"/>
      <w:szCs w:val="25"/>
    </w:rPr>
  </w:style>
  <w:style w:type="paragraph" w:styleId="Citadestacada">
    <w:name w:val="Intense Quote"/>
    <w:basedOn w:val="Normal"/>
    <w:next w:val="Normal"/>
    <w:link w:val="CitadestacadaCar"/>
    <w:uiPriority w:val="30"/>
    <w:qFormat/>
    <w:rsid w:val="000009E2"/>
    <w:pPr>
      <w:spacing w:before="280" w:after="280" w:line="240" w:lineRule="auto"/>
      <w:ind w:left="1080" w:right="1080"/>
      <w:jc w:val="center"/>
    </w:pPr>
    <w:rPr>
      <w:color w:val="404040" w:themeColor="text1" w:themeTint="BF"/>
      <w:sz w:val="32"/>
      <w:szCs w:val="32"/>
    </w:rPr>
  </w:style>
  <w:style w:type="character" w:customStyle="1" w:styleId="CitadestacadaCar">
    <w:name w:val="Cita destacada Car"/>
    <w:basedOn w:val="Fuentedeprrafopredeter"/>
    <w:link w:val="Citadestacada"/>
    <w:uiPriority w:val="30"/>
    <w:rsid w:val="000009E2"/>
    <w:rPr>
      <w:color w:val="404040" w:themeColor="text1" w:themeTint="BF"/>
      <w:sz w:val="32"/>
      <w:szCs w:val="32"/>
    </w:rPr>
  </w:style>
  <w:style w:type="character" w:styleId="nfasissutil">
    <w:name w:val="Subtle Emphasis"/>
    <w:basedOn w:val="Fuentedeprrafopredeter"/>
    <w:uiPriority w:val="19"/>
    <w:qFormat/>
    <w:rsid w:val="000009E2"/>
    <w:rPr>
      <w:i/>
      <w:iCs/>
      <w:color w:val="595959" w:themeColor="text1" w:themeTint="A6"/>
    </w:rPr>
  </w:style>
  <w:style w:type="character" w:styleId="nfasisintenso">
    <w:name w:val="Intense Emphasis"/>
    <w:basedOn w:val="Fuentedeprrafopredeter"/>
    <w:uiPriority w:val="21"/>
    <w:qFormat/>
    <w:rsid w:val="000009E2"/>
    <w:rPr>
      <w:b/>
      <w:bCs/>
      <w:i/>
      <w:iCs/>
    </w:rPr>
  </w:style>
  <w:style w:type="character" w:styleId="Referenciasutil">
    <w:name w:val="Subtle Reference"/>
    <w:basedOn w:val="Fuentedeprrafopredeter"/>
    <w:uiPriority w:val="31"/>
    <w:qFormat/>
    <w:rsid w:val="000009E2"/>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0009E2"/>
    <w:rPr>
      <w:b/>
      <w:bCs/>
      <w:caps w:val="0"/>
      <w:smallCaps/>
      <w:color w:val="auto"/>
      <w:spacing w:val="3"/>
      <w:u w:val="single"/>
    </w:rPr>
  </w:style>
  <w:style w:type="character" w:styleId="Ttulodellibro">
    <w:name w:val="Book Title"/>
    <w:basedOn w:val="Fuentedeprrafopredeter"/>
    <w:uiPriority w:val="33"/>
    <w:qFormat/>
    <w:rsid w:val="000009E2"/>
    <w:rPr>
      <w:b/>
      <w:bCs/>
      <w:smallCaps/>
      <w:spacing w:val="7"/>
    </w:rPr>
  </w:style>
  <w:style w:type="paragraph" w:styleId="TtuloTDC">
    <w:name w:val="TOC Heading"/>
    <w:next w:val="Normal"/>
    <w:uiPriority w:val="39"/>
    <w:semiHidden/>
    <w:unhideWhenUsed/>
    <w:qFormat/>
    <w:rsid w:val="000009E2"/>
  </w:style>
  <w:style w:type="table" w:customStyle="1" w:styleId="aff3">
    <w:basedOn w:val="TableNormal3"/>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08" w:type="dxa"/>
        <w:right w:w="108"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2"/>
    <w:tblPr>
      <w:tblStyleRowBandSize w:val="1"/>
      <w:tblStyleColBandSize w:val="1"/>
      <w:tblCellMar>
        <w:left w:w="115" w:type="dxa"/>
        <w:right w:w="115" w:type="dxa"/>
      </w:tblCellMar>
    </w:tblPr>
  </w:style>
  <w:style w:type="table" w:customStyle="1" w:styleId="affa">
    <w:basedOn w:val="TableNormal2"/>
    <w:tblPr>
      <w:tblStyleRowBandSize w:val="1"/>
      <w:tblStyleColBandSize w:val="1"/>
      <w:tblCellMar>
        <w:left w:w="115" w:type="dxa"/>
        <w:right w:w="115" w:type="dxa"/>
      </w:tblCellMar>
    </w:tblPr>
  </w:style>
  <w:style w:type="table" w:customStyle="1" w:styleId="affb">
    <w:basedOn w:val="TableNormal2"/>
    <w:tblPr>
      <w:tblStyleRowBandSize w:val="1"/>
      <w:tblStyleColBandSize w:val="1"/>
      <w:tblCellMar>
        <w:left w:w="115" w:type="dxa"/>
        <w:right w:w="115" w:type="dxa"/>
      </w:tblCellMar>
    </w:tblPr>
  </w:style>
  <w:style w:type="table" w:customStyle="1" w:styleId="affc">
    <w:basedOn w:val="TableNormal2"/>
    <w:tblPr>
      <w:tblStyleRowBandSize w:val="1"/>
      <w:tblStyleColBandSize w:val="1"/>
      <w:tblCellMar>
        <w:left w:w="115" w:type="dxa"/>
        <w:right w:w="115" w:type="dxa"/>
      </w:tblCellMar>
    </w:tblPr>
  </w:style>
  <w:style w:type="table" w:customStyle="1" w:styleId="affd">
    <w:basedOn w:val="TableNormal2"/>
    <w:tblPr>
      <w:tblStyleRowBandSize w:val="1"/>
      <w:tblStyleColBandSize w:val="1"/>
      <w:tblCellMar>
        <w:left w:w="115" w:type="dxa"/>
        <w:right w:w="115" w:type="dxa"/>
      </w:tblCellMar>
    </w:tblPr>
  </w:style>
  <w:style w:type="table" w:customStyle="1" w:styleId="affe">
    <w:basedOn w:val="TableNormal2"/>
    <w:tblPr>
      <w:tblStyleRowBandSize w:val="1"/>
      <w:tblStyleColBandSize w:val="1"/>
      <w:tblCellMar>
        <w:left w:w="115" w:type="dxa"/>
        <w:right w:w="115" w:type="dxa"/>
      </w:tblCellMar>
    </w:tblPr>
  </w:style>
  <w:style w:type="paragraph" w:customStyle="1" w:styleId="Default">
    <w:name w:val="Default"/>
    <w:rsid w:val="00557977"/>
    <w:pPr>
      <w:autoSpaceDE w:val="0"/>
      <w:autoSpaceDN w:val="0"/>
      <w:adjustRightInd w:val="0"/>
      <w:spacing w:after="0" w:line="240" w:lineRule="auto"/>
    </w:pPr>
    <w:rPr>
      <w:rFonts w:ascii="Tahoma" w:hAnsi="Tahoma" w:cs="Tahoma"/>
      <w:color w:val="000000"/>
      <w:sz w:val="24"/>
      <w:szCs w:val="24"/>
    </w:r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paragraph" w:styleId="Listaconvietas3">
    <w:name w:val="List Bullet 3"/>
    <w:basedOn w:val="Normal"/>
    <w:uiPriority w:val="99"/>
    <w:semiHidden/>
    <w:unhideWhenUsed/>
    <w:rsid w:val="00B81A59"/>
    <w:pPr>
      <w:numPr>
        <w:numId w:val="6"/>
      </w:numPr>
      <w:contextualSpacing/>
    </w:pPr>
  </w:style>
  <w:style w:type="table" w:customStyle="1" w:styleId="Tablaconcuadrcula2">
    <w:name w:val="Tabla con cuadrícula2"/>
    <w:basedOn w:val="Tablanormal"/>
    <w:next w:val="Tablaconcuadrcula"/>
    <w:uiPriority w:val="39"/>
    <w:rsid w:val="00B81A59"/>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rPr>
      <w:smallCaps/>
      <w:color w:val="595959"/>
      <w:sz w:val="28"/>
      <w:szCs w:val="28"/>
    </w:rPr>
  </w:style>
  <w:style w:type="table" w:customStyle="1" w:styleId="afff5">
    <w:basedOn w:val="TableNormal0"/>
    <w:pPr>
      <w:spacing w:after="0" w:line="240" w:lineRule="auto"/>
    </w:pPr>
    <w:tblPr>
      <w:tblStyleRowBandSize w:val="1"/>
      <w:tblStyleColBandSize w:val="1"/>
      <w:tblCellMar>
        <w:left w:w="108" w:type="dxa"/>
        <w:right w:w="108"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cion.edomex.gob.mx/sites/legislacion.edomex.gob.mx/files/files/pdf/gct/2014/nov144.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putados.gob.mx/LeyesBiblio/pdf/LGDNNA.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ecogem.gob.mx/constancias/" TargetMode="External"/><Relationship Id="rId4" Type="http://schemas.openxmlformats.org/officeDocument/2006/relationships/settings" Target="settings.xml"/><Relationship Id="rId9" Type="http://schemas.openxmlformats.org/officeDocument/2006/relationships/hyperlink" Target="http://www.diputados.gob.mx/documentos/N_Acta_Nacimiento.pdf"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elb8bQ5wyyX2mHDmAlHFWHIHw==">CgMxLjAyCWguMWZvYjl0ZTIJaC4zMGowemxsMgloLjM1bmt1bjIyCWguMWtzdjR1djIJaC4zcmRjcmpuMgloLjE3ZHA4dnUyCGguZ2pkZ3hzOAByITEwTXBFN3pWMWpzYW5XR3lMU3NONGpWOENMcmQ0U1M4RQ==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17012</Words>
  <Characters>93569</Characters>
  <Application>Microsoft Office Word</Application>
  <DocSecurity>0</DocSecurity>
  <Lines>779</Lines>
  <Paragraphs>220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Maricela Villagómez Martínez</cp:lastModifiedBy>
  <cp:revision>2</cp:revision>
  <cp:lastPrinted>2026-09-25T18:39:00Z</cp:lastPrinted>
  <dcterms:created xsi:type="dcterms:W3CDTF">2026-09-28T16:42:00Z</dcterms:created>
  <dcterms:modified xsi:type="dcterms:W3CDTF">2026-09-28T16:42:00Z</dcterms:modified>
</cp:coreProperties>
</file>