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757" w:rsidRDefault="00A37907">
      <w:pPr>
        <w:tabs>
          <w:tab w:val="left" w:pos="0"/>
        </w:tabs>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Resolución del Pleno del Instituto de Transparencia, Acceso</w:t>
      </w:r>
      <w:bookmarkStart w:id="0" w:name="_GoBack"/>
      <w:bookmarkEnd w:id="0"/>
      <w:r>
        <w:rPr>
          <w:rFonts w:ascii="Palatino Linotype" w:eastAsia="Palatino Linotype" w:hAnsi="Palatino Linotype" w:cs="Palatino Linotype"/>
        </w:rPr>
        <w:t xml:space="preserve">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tres (03) de junio de dos mil veintiséis.</w:t>
      </w:r>
      <w:r>
        <w:rPr>
          <w:rFonts w:ascii="Palatino Linotype" w:eastAsia="Palatino Linotype" w:hAnsi="Palatino Linotype" w:cs="Palatino Linotype"/>
        </w:rPr>
        <w:t xml:space="preserve"> </w:t>
      </w:r>
    </w:p>
    <w:p w:rsidR="00353757" w:rsidRDefault="00353757" w:rsidP="00D43631">
      <w:pPr>
        <w:tabs>
          <w:tab w:val="left" w:pos="0"/>
        </w:tabs>
        <w:spacing w:line="360" w:lineRule="auto"/>
        <w:ind w:left="720" w:right="-734" w:hanging="720"/>
        <w:jc w:val="both"/>
        <w:rPr>
          <w:rFonts w:ascii="Palatino Linotype" w:eastAsia="Palatino Linotype" w:hAnsi="Palatino Linotype" w:cs="Palatino Linotype"/>
        </w:rPr>
      </w:pPr>
    </w:p>
    <w:p w:rsidR="00353757" w:rsidRDefault="00A3790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color w:val="000000"/>
        </w:rPr>
        <w:t xml:space="preserve">12998/INFOEM/IP/RR/2025, </w:t>
      </w:r>
      <w:r>
        <w:rPr>
          <w:rFonts w:ascii="Palatino Linotype" w:eastAsia="Palatino Linotype" w:hAnsi="Palatino Linotype" w:cs="Palatino Linotype"/>
          <w:color w:val="000000"/>
        </w:rPr>
        <w:t xml:space="preserve">promovido por </w:t>
      </w:r>
      <w:r>
        <w:rPr>
          <w:rFonts w:ascii="Palatino Linotype" w:eastAsia="Palatino Linotype" w:hAnsi="Palatino Linotype" w:cs="Palatino Linotype"/>
          <w:b/>
          <w:bCs/>
          <w:color w:val="000000"/>
        </w:rPr>
        <w:t xml:space="preserve">un usuario que no </w:t>
      </w:r>
      <w:r>
        <w:rPr>
          <w:rFonts w:ascii="Palatino Linotype" w:eastAsia="Palatino Linotype" w:hAnsi="Palatino Linotype" w:cs="Palatino Linotype"/>
          <w:b/>
          <w:bCs/>
        </w:rPr>
        <w:t>proporcionó</w:t>
      </w:r>
      <w:r>
        <w:rPr>
          <w:rFonts w:ascii="Palatino Linotype" w:eastAsia="Palatino Linotype" w:hAnsi="Palatino Linotype" w:cs="Palatino Linotype"/>
          <w:b/>
          <w:bCs/>
          <w:color w:val="000000"/>
        </w:rPr>
        <w:t xml:space="preserve"> datos de identificación</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Ayuntamiento de Toluca</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keepNext/>
        <w:keepLines/>
        <w:tabs>
          <w:tab w:val="left" w:pos="0"/>
        </w:tabs>
        <w:spacing w:line="360" w:lineRule="auto"/>
        <w:ind w:right="-734"/>
        <w:jc w:val="center"/>
        <w:rPr>
          <w:rFonts w:ascii="Palatino Linotype" w:eastAsia="Palatino Linotype" w:hAnsi="Palatino Linotype" w:cs="Palatino Linotype"/>
          <w:b/>
          <w:bCs/>
        </w:rPr>
      </w:pPr>
      <w:bookmarkStart w:id="1" w:name="_heading=h.1rxfmt2qer3l" w:colFirst="0" w:colLast="0"/>
      <w:bookmarkEnd w:id="1"/>
      <w:r>
        <w:rPr>
          <w:rFonts w:ascii="Palatino Linotype" w:eastAsia="Palatino Linotype" w:hAnsi="Palatino Linotype" w:cs="Palatino Linotype"/>
          <w:b/>
          <w:bCs/>
        </w:rPr>
        <w:t>A N T E C E D E N T E S</w:t>
      </w:r>
    </w:p>
    <w:p w:rsidR="00353757" w:rsidRDefault="00353757">
      <w:pPr>
        <w:keepNext/>
        <w:keepLines/>
        <w:tabs>
          <w:tab w:val="left" w:pos="0"/>
        </w:tabs>
        <w:spacing w:line="360" w:lineRule="auto"/>
        <w:ind w:right="-734"/>
        <w:jc w:val="center"/>
        <w:rPr>
          <w:rFonts w:ascii="Palatino Linotype" w:eastAsia="Palatino Linotype" w:hAnsi="Palatino Linotype" w:cs="Palatino Linotype"/>
          <w:b/>
          <w:bCs/>
        </w:rPr>
      </w:pPr>
    </w:p>
    <w:p w:rsidR="00353757" w:rsidRDefault="00A37907">
      <w:pPr>
        <w:numPr>
          <w:ilvl w:val="0"/>
          <w:numId w:val="6"/>
        </w:numPr>
        <w:tabs>
          <w:tab w:val="left" w:pos="0"/>
        </w:tabs>
        <w:spacing w:line="360" w:lineRule="auto"/>
        <w:ind w:left="0" w:right="-734"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veinticuatro de septiembre de dos mil veinticinco</w:t>
      </w:r>
      <w:r>
        <w:rPr>
          <w:rFonts w:ascii="Palatino Linotype" w:eastAsia="Palatino Linotype" w:hAnsi="Palatino Linotype" w:cs="Palatino Linotype"/>
        </w:rPr>
        <w:t>, el</w:t>
      </w:r>
      <w:r>
        <w:rPr>
          <w:rFonts w:ascii="Palatino Linotype" w:eastAsia="Palatino Linotype" w:hAnsi="Palatino Linotype" w:cs="Palatino Linotype"/>
          <w:b/>
          <w:bCs/>
        </w:rPr>
        <w:t xml:space="preserve"> </w:t>
      </w:r>
      <w:r>
        <w:rPr>
          <w:rFonts w:ascii="Palatino Linotype" w:eastAsia="Palatino Linotype" w:hAnsi="Palatino Linotype" w:cs="Palatino Linotype"/>
        </w:rPr>
        <w:t>solicitante</w:t>
      </w:r>
      <w:r>
        <w:rPr>
          <w:rFonts w:ascii="Palatino Linotype" w:eastAsia="Palatino Linotype" w:hAnsi="Palatino Linotype" w:cs="Palatino Linotype"/>
          <w:b/>
          <w:bCs/>
        </w:rPr>
        <w:t xml:space="preserv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Sistema de Acceso a la Información Mexiquense (SAIMEX), la solicitud de información pública registrada con el número </w:t>
      </w:r>
      <w:r>
        <w:rPr>
          <w:rFonts w:ascii="Palatino Linotype" w:eastAsia="Palatino Linotype" w:hAnsi="Palatino Linotype" w:cs="Palatino Linotype"/>
          <w:b/>
          <w:bCs/>
        </w:rPr>
        <w:t>04715/TOLUCA/IP/2025</w:t>
      </w:r>
      <w:r>
        <w:rPr>
          <w:rFonts w:ascii="Palatino Linotype" w:eastAsia="Palatino Linotype" w:hAnsi="Palatino Linotype" w:cs="Palatino Linotype"/>
        </w:rPr>
        <w:t>, en la que se solicitó:</w:t>
      </w:r>
    </w:p>
    <w:p w:rsidR="00353757" w:rsidRDefault="00353757">
      <w:pPr>
        <w:pBdr>
          <w:top w:val="nil"/>
          <w:left w:val="nil"/>
          <w:bottom w:val="nil"/>
          <w:right w:val="nil"/>
          <w:between w:val="nil"/>
        </w:pBdr>
        <w:ind w:left="567" w:right="-734"/>
        <w:jc w:val="both"/>
        <w:rPr>
          <w:rFonts w:ascii="Palatino Linotype" w:eastAsia="Palatino Linotype" w:hAnsi="Palatino Linotype" w:cs="Palatino Linotype"/>
          <w:b/>
          <w:bCs/>
          <w:i/>
          <w:iCs/>
        </w:rPr>
      </w:pP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me otorguen copias simples o certificadas de los acuerdos y actuaciones emitidos en el expediente hasta la fecha de la presente solicitud”. (Sic.)</w:t>
      </w:r>
    </w:p>
    <w:p w:rsidR="00353757" w:rsidRDefault="00353757">
      <w:pPr>
        <w:tabs>
          <w:tab w:val="left" w:pos="0"/>
        </w:tabs>
        <w:spacing w:line="360" w:lineRule="auto"/>
        <w:ind w:right="-734"/>
        <w:jc w:val="both"/>
        <w:rPr>
          <w:rFonts w:ascii="Palatino Linotype" w:eastAsia="Palatino Linotype" w:hAnsi="Palatino Linotype" w:cs="Palatino Linotype"/>
        </w:rPr>
      </w:pPr>
    </w:p>
    <w:p w:rsidR="00353757" w:rsidRDefault="00353757">
      <w:pPr>
        <w:tabs>
          <w:tab w:val="left" w:pos="0"/>
        </w:tabs>
        <w:spacing w:line="360" w:lineRule="auto"/>
        <w:ind w:right="-734"/>
        <w:jc w:val="both"/>
        <w:rPr>
          <w:rFonts w:ascii="Palatino Linotype" w:eastAsia="Palatino Linotype" w:hAnsi="Palatino Linotype" w:cs="Palatino Linotype"/>
        </w:rPr>
      </w:pPr>
    </w:p>
    <w:p w:rsidR="00353757" w:rsidRDefault="00A37907">
      <w:pPr>
        <w:numPr>
          <w:ilvl w:val="0"/>
          <w:numId w:val="6"/>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Se hace constar que se señaló como modalidad de entrega de la información a través de SAIMEX.</w:t>
      </w:r>
    </w:p>
    <w:p w:rsidR="00353757" w:rsidRDefault="00353757">
      <w:pPr>
        <w:ind w:right="-734"/>
        <w:rPr>
          <w:rFonts w:ascii="Palatino Linotype" w:eastAsia="Palatino Linotype" w:hAnsi="Palatino Linotype" w:cs="Palatino Linotype"/>
        </w:rPr>
      </w:pPr>
    </w:p>
    <w:p w:rsidR="00353757" w:rsidRDefault="00A37907">
      <w:pPr>
        <w:numPr>
          <w:ilvl w:val="0"/>
          <w:numId w:val="6"/>
        </w:numPr>
        <w:pBdr>
          <w:top w:val="nil"/>
          <w:left w:val="nil"/>
          <w:bottom w:val="nil"/>
          <w:right w:val="nil"/>
          <w:between w:val="nil"/>
        </w:pBdr>
        <w:tabs>
          <w:tab w:val="left" w:pos="0"/>
        </w:tabs>
        <w:spacing w:line="360" w:lineRule="auto"/>
        <w:ind w:left="0" w:right="-734" w:firstLine="0"/>
        <w:jc w:val="both"/>
        <w:rPr>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 xml:space="preserve">veinticuatro de septiembre de dos mil veinticinco,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requirió a la persona solicitante aclarar su solicitud de información pública planteada, en los siguientes términos:</w:t>
      </w:r>
    </w:p>
    <w:p w:rsidR="00353757" w:rsidRDefault="00A37907">
      <w:pPr>
        <w:pBdr>
          <w:top w:val="nil"/>
          <w:left w:val="nil"/>
          <w:bottom w:val="nil"/>
          <w:right w:val="nil"/>
          <w:between w:val="nil"/>
        </w:pBdr>
        <w:tabs>
          <w:tab w:val="left" w:pos="8505"/>
        </w:tabs>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Con fundamento en el artículo 159 de la Ley de Transparencia y Acceso a la Información Pública del Estado de México y Municipios, se le requiere para que dentro del plazo de diez días hábiles realice lo siguiente:</w:t>
      </w:r>
    </w:p>
    <w:p w:rsidR="00353757" w:rsidRDefault="00353757">
      <w:pPr>
        <w:pBdr>
          <w:top w:val="nil"/>
          <w:left w:val="nil"/>
          <w:bottom w:val="nil"/>
          <w:right w:val="nil"/>
          <w:between w:val="nil"/>
        </w:pBdr>
        <w:tabs>
          <w:tab w:val="left" w:pos="8505"/>
        </w:tabs>
        <w:ind w:left="567" w:right="-734"/>
        <w:jc w:val="both"/>
        <w:rPr>
          <w:rFonts w:ascii="Palatino Linotype" w:eastAsia="Palatino Linotype" w:hAnsi="Palatino Linotype" w:cs="Palatino Linotype"/>
          <w:i/>
          <w:iCs/>
          <w:color w:val="000000"/>
        </w:rPr>
      </w:pPr>
    </w:p>
    <w:p w:rsidR="00353757" w:rsidRDefault="00A37907">
      <w:pPr>
        <w:pBdr>
          <w:top w:val="nil"/>
          <w:left w:val="nil"/>
          <w:bottom w:val="nil"/>
          <w:right w:val="nil"/>
          <w:between w:val="nil"/>
        </w:pBdr>
        <w:tabs>
          <w:tab w:val="left" w:pos="8505"/>
        </w:tabs>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atención a su solicitud de información con número de folio 04715/TOLUCA/IP/2025, me permito adjuntar respuesta. Sin más por el momento reciba un cordial saludo.</w:t>
      </w:r>
    </w:p>
    <w:p w:rsidR="00353757" w:rsidRDefault="00353757">
      <w:pPr>
        <w:pBdr>
          <w:top w:val="nil"/>
          <w:left w:val="nil"/>
          <w:bottom w:val="nil"/>
          <w:right w:val="nil"/>
          <w:between w:val="nil"/>
        </w:pBdr>
        <w:tabs>
          <w:tab w:val="left" w:pos="8505"/>
        </w:tabs>
        <w:ind w:left="567" w:right="-734"/>
        <w:jc w:val="both"/>
        <w:rPr>
          <w:rFonts w:ascii="Palatino Linotype" w:eastAsia="Palatino Linotype" w:hAnsi="Palatino Linotype" w:cs="Palatino Linotype"/>
          <w:i/>
          <w:iCs/>
          <w:color w:val="000000"/>
        </w:rPr>
      </w:pPr>
    </w:p>
    <w:p w:rsidR="00353757" w:rsidRDefault="00A37907">
      <w:pPr>
        <w:pBdr>
          <w:top w:val="nil"/>
          <w:left w:val="nil"/>
          <w:bottom w:val="nil"/>
          <w:right w:val="nil"/>
          <w:between w:val="nil"/>
        </w:pBdr>
        <w:tabs>
          <w:tab w:val="left" w:pos="8505"/>
        </w:tabs>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 caso de que no se desahogue el requerimiento señalado dentro del plazo citado se tendrá por no presentada la solicitud de información, quedando a salvo sus derechos para volver a presentar la solicitud, lo anterior con fundamento en el artículo 159 de la Ley invocada.(Sic.)</w:t>
      </w:r>
    </w:p>
    <w:p w:rsidR="00353757" w:rsidRDefault="00353757">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353757" w:rsidRDefault="00A37907">
      <w:pPr>
        <w:numPr>
          <w:ilvl w:val="0"/>
          <w:numId w:val="6"/>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adjuntó el archivo electrónico denominado “</w:t>
      </w:r>
      <w:r>
        <w:rPr>
          <w:rFonts w:ascii="Palatino Linotype" w:eastAsia="Palatino Linotype" w:hAnsi="Palatino Linotype" w:cs="Palatino Linotype"/>
          <w:b/>
          <w:bCs/>
          <w:i/>
          <w:iCs/>
          <w:color w:val="000000"/>
        </w:rPr>
        <w:t>ACLARACION_04715-25.pdf”</w:t>
      </w:r>
      <w:r>
        <w:rPr>
          <w:rFonts w:ascii="Palatino Linotype" w:eastAsia="Palatino Linotype" w:hAnsi="Palatino Linotype" w:cs="Palatino Linotype"/>
          <w:color w:val="000000"/>
        </w:rPr>
        <w:t>, signado por el Titular de la Unidad de Transparencia, en el que refiere lo siguiente:</w:t>
      </w:r>
    </w:p>
    <w:p w:rsidR="00353757" w:rsidRDefault="00A37907">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informo a usted que, cuando los detalles proporcionados para localizar los documentos resulten insuficientes, incompletos o sean erróneos, la Unidad de Transparencia podrá requerir al solicitante por una sola vez, dentro de un plazo que no podrá exceder de cinco días hábiles contados a partir de la presentación de la solicitud, para que en un término de hasta </w:t>
      </w:r>
      <w:r>
        <w:rPr>
          <w:rFonts w:ascii="Palatino Linotype" w:eastAsia="Palatino Linotype" w:hAnsi="Palatino Linotype" w:cs="Palatino Linotype"/>
          <w:b/>
          <w:bCs/>
          <w:i/>
          <w:iCs/>
        </w:rPr>
        <w:t xml:space="preserve">diez días hábiles </w:t>
      </w:r>
      <w:r>
        <w:rPr>
          <w:rFonts w:ascii="Palatino Linotype" w:eastAsia="Palatino Linotype" w:hAnsi="Palatino Linotype" w:cs="Palatino Linotype"/>
          <w:i/>
          <w:iCs/>
        </w:rPr>
        <w:t>indique otro elementos que complementen, corrijan o amplíen los datos proporcionados o precise uno o varios requerimientos de información…</w:t>
      </w:r>
    </w:p>
    <w:p w:rsidR="00353757" w:rsidRDefault="00353757">
      <w:pPr>
        <w:ind w:left="567" w:right="-734"/>
        <w:jc w:val="both"/>
        <w:rPr>
          <w:rFonts w:ascii="Palatino Linotype" w:eastAsia="Palatino Linotype" w:hAnsi="Palatino Linotype" w:cs="Palatino Linotype"/>
          <w:i/>
          <w:iCs/>
        </w:rPr>
      </w:pPr>
    </w:p>
    <w:p w:rsidR="00353757" w:rsidRDefault="00A37907">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le solicito de la forma más atenta, tenga a bien especificar el área en que se ubica el expediente, así como el número de folio, nombre, asunto y/o dato que permita identificarlo, toda vez que esta Unidad de Transparencia no tiene a su alcance elementos para poder remitir la solicitud al servidor público habilitado competente…”(Sic.)</w:t>
      </w:r>
    </w:p>
    <w:p w:rsidR="00353757" w:rsidRDefault="00353757">
      <w:pPr>
        <w:tabs>
          <w:tab w:val="left" w:pos="0"/>
        </w:tabs>
        <w:spacing w:line="360" w:lineRule="auto"/>
        <w:ind w:right="-734"/>
        <w:jc w:val="both"/>
        <w:rPr>
          <w:rFonts w:ascii="Palatino Linotype" w:eastAsia="Palatino Linotype" w:hAnsi="Palatino Linotype" w:cs="Palatino Linotype"/>
        </w:rPr>
      </w:pPr>
    </w:p>
    <w:p w:rsidR="00353757" w:rsidRDefault="00A37907">
      <w:pPr>
        <w:numPr>
          <w:ilvl w:val="0"/>
          <w:numId w:val="6"/>
        </w:numPr>
        <w:tabs>
          <w:tab w:val="left" w:pos="0"/>
        </w:tabs>
        <w:spacing w:line="360" w:lineRule="auto"/>
        <w:ind w:left="0" w:right="-734"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diez de octubre de dos mil veinticinco, </w:t>
      </w:r>
      <w:r>
        <w:rPr>
          <w:rFonts w:ascii="Palatino Linotype" w:eastAsia="Palatino Linotype" w:hAnsi="Palatino Linotype" w:cs="Palatino Linotype"/>
        </w:rPr>
        <w:t>el particular desahogó la aclaración, al tenor de lo siguiente:</w:t>
      </w:r>
    </w:p>
    <w:p w:rsidR="00353757" w:rsidRDefault="00A37907">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“El expediente CMT/DIRA/OF/285/2025. Q/05542/2025.” (Sic.)</w:t>
      </w:r>
    </w:p>
    <w:p w:rsidR="00353757" w:rsidRDefault="00A37907">
      <w:pPr>
        <w:numPr>
          <w:ilvl w:val="0"/>
          <w:numId w:val="6"/>
        </w:numPr>
        <w:tabs>
          <w:tab w:val="left" w:pos="0"/>
        </w:tabs>
        <w:spacing w:line="360" w:lineRule="auto"/>
        <w:ind w:left="0" w:right="-734" w:firstLine="0"/>
        <w:jc w:val="both"/>
      </w:pPr>
      <w:r>
        <w:rPr>
          <w:rFonts w:ascii="Palatino Linotype" w:eastAsia="Palatino Linotype" w:hAnsi="Palatino Linotype" w:cs="Palatino Linotype"/>
        </w:rPr>
        <w:lastRenderedPageBreak/>
        <w:t xml:space="preserve">El </w:t>
      </w:r>
      <w:r>
        <w:rPr>
          <w:rFonts w:ascii="Palatino Linotype" w:eastAsia="Palatino Linotype" w:hAnsi="Palatino Linotype" w:cs="Palatino Linotype"/>
          <w:b/>
          <w:bCs/>
        </w:rPr>
        <w:t>cinco de noviembre de dos mil veinticinco</w:t>
      </w:r>
      <w:r>
        <w:rPr>
          <w:rFonts w:ascii="Palatino Linotype" w:eastAsia="Palatino Linotype" w:hAnsi="Palatino Linotype" w:cs="Palatino Linotype"/>
        </w:rPr>
        <w:t>, el Sujeto Obligado dio respuesta a la solicitud de información en el siguiente sentido:</w:t>
      </w:r>
    </w:p>
    <w:p w:rsidR="00353757" w:rsidRDefault="00A37907">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353757" w:rsidRDefault="00353757">
      <w:pPr>
        <w:ind w:left="567" w:right="-734"/>
        <w:jc w:val="both"/>
        <w:rPr>
          <w:rFonts w:ascii="Palatino Linotype" w:eastAsia="Palatino Linotype" w:hAnsi="Palatino Linotype" w:cs="Palatino Linotype"/>
          <w:i/>
          <w:iCs/>
        </w:rPr>
      </w:pPr>
    </w:p>
    <w:p w:rsidR="00353757" w:rsidRDefault="00A37907">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En atención a la solicitud con folio 04715/TOLUCA/IP/2025, me permito adjuntar al presente la respuesta correspondiente, Sin más por el momento, reciba un salud” (Sic)</w:t>
      </w:r>
    </w:p>
    <w:p w:rsidR="00353757" w:rsidRDefault="00353757">
      <w:pPr>
        <w:tabs>
          <w:tab w:val="left" w:pos="0"/>
        </w:tabs>
        <w:spacing w:line="360" w:lineRule="auto"/>
        <w:ind w:right="-734"/>
        <w:jc w:val="both"/>
        <w:rPr>
          <w:rFonts w:ascii="Palatino Linotype" w:eastAsia="Palatino Linotype" w:hAnsi="Palatino Linotype" w:cs="Palatino Linotype"/>
        </w:rPr>
      </w:pPr>
      <w:bookmarkStart w:id="2" w:name="_heading=h.fd9nrwokjrg5" w:colFirst="0" w:colLast="0"/>
      <w:bookmarkEnd w:id="2"/>
    </w:p>
    <w:p w:rsidR="00353757" w:rsidRDefault="00A37907">
      <w:pPr>
        <w:numPr>
          <w:ilvl w:val="0"/>
          <w:numId w:val="7"/>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adjuntan</w:t>
      </w:r>
      <w:r>
        <w:rPr>
          <w:rFonts w:ascii="Palatino Linotype" w:eastAsia="Palatino Linotype" w:hAnsi="Palatino Linotype" w:cs="Palatino Linotype"/>
          <w:color w:val="000000"/>
        </w:rPr>
        <w:t xml:space="preserve"> los siguientes archivos electrónicos:</w:t>
      </w:r>
    </w:p>
    <w:p w:rsidR="00353757" w:rsidRDefault="00A37907">
      <w:pPr>
        <w:numPr>
          <w:ilvl w:val="0"/>
          <w:numId w:val="8"/>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2025-OFI-3852-SMX-4715.pdf: </w:t>
      </w:r>
      <w:r>
        <w:rPr>
          <w:rFonts w:ascii="Palatino Linotype" w:eastAsia="Palatino Linotype" w:hAnsi="Palatino Linotype" w:cs="Palatino Linotype"/>
          <w:color w:val="000000"/>
        </w:rPr>
        <w:t>Oficio 203010000/3852/2025 de fecha tres de octubre de dos mil veinticinco, suscrito por el Titular del Órgano Interno de Control y Servidor Público Habilitado, a través del cual informa que con fundamento en la Milésima Ducentésima Septuagésima Octava Sesión Extraordinaria del Comité de Transparencia de fecha 28 de octubre de 2025, mediante el Acuerdo CT/SE/1278/01/2025, se aprobó la clasificación de la información como reservada por un periodo de 5 años, correspondiente al expediente referido en la solicitud de información.</w:t>
      </w:r>
    </w:p>
    <w:p w:rsidR="00353757" w:rsidRDefault="00A37907">
      <w:pPr>
        <w:numPr>
          <w:ilvl w:val="0"/>
          <w:numId w:val="8"/>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ACTA 1278-2025.pdf: </w:t>
      </w:r>
      <w:r>
        <w:rPr>
          <w:rFonts w:ascii="Palatino Linotype" w:eastAsia="Palatino Linotype" w:hAnsi="Palatino Linotype" w:cs="Palatino Linotype"/>
          <w:color w:val="000000"/>
        </w:rPr>
        <w:t>Acta de la Milésima Ducentésima Septuagésima Octava Sesión Extraordinaria 2025 del Comité de Transparencia del Municipio de Toluca, Administración 2025-2027, del que recayó el Acuerdo CT/SE/1278/2025, mediante el cual se analizó y aprobó la clasificación como información reservada en su totalidad, por un periodo de 5 años de la información referente al expediente CMT/DIRA/OF/285/2025, Q/05542/2025.</w:t>
      </w:r>
    </w:p>
    <w:p w:rsidR="00353757" w:rsidRDefault="00353757">
      <w:pPr>
        <w:tabs>
          <w:tab w:val="left" w:pos="0"/>
        </w:tabs>
        <w:spacing w:line="360" w:lineRule="auto"/>
        <w:ind w:right="-734"/>
        <w:jc w:val="both"/>
        <w:rPr>
          <w:rFonts w:ascii="Palatino Linotype" w:eastAsia="Palatino Linotype" w:hAnsi="Palatino Linotype" w:cs="Palatino Linotype"/>
        </w:rPr>
      </w:pPr>
    </w:p>
    <w:p w:rsidR="00353757" w:rsidRDefault="00A37907">
      <w:pPr>
        <w:numPr>
          <w:ilvl w:val="0"/>
          <w:numId w:val="6"/>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once de noviembre de dos mil veinticinco</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00000"/>
        </w:rPr>
        <w:t xml:space="preserve">04715/TOLUCA/IP/2025,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353757" w:rsidRDefault="00353757">
      <w:pPr>
        <w:pBdr>
          <w:top w:val="nil"/>
          <w:left w:val="nil"/>
          <w:bottom w:val="nil"/>
          <w:right w:val="nil"/>
          <w:between w:val="nil"/>
        </w:pBdr>
        <w:spacing w:line="360" w:lineRule="auto"/>
        <w:ind w:left="360" w:right="-734"/>
        <w:jc w:val="both"/>
        <w:rPr>
          <w:rFonts w:ascii="Palatino Linotype" w:eastAsia="Palatino Linotype" w:hAnsi="Palatino Linotype" w:cs="Palatino Linotype"/>
          <w:color w:val="000000"/>
        </w:rPr>
      </w:pPr>
    </w:p>
    <w:p w:rsidR="00353757" w:rsidRDefault="00A37907">
      <w:pPr>
        <w:numPr>
          <w:ilvl w:val="0"/>
          <w:numId w:val="2"/>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p>
    <w:p w:rsidR="00353757" w:rsidRDefault="00A37907">
      <w:pPr>
        <w:pBdr>
          <w:top w:val="nil"/>
          <w:left w:val="nil"/>
          <w:bottom w:val="nil"/>
          <w:right w:val="nil"/>
          <w:between w:val="nil"/>
        </w:pBd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“Solicitud: 04715/TOLUCA/IP/2025” (Sic.)</w:t>
      </w:r>
    </w:p>
    <w:p w:rsidR="0000610D" w:rsidRDefault="0000610D">
      <w:pPr>
        <w:pBdr>
          <w:top w:val="nil"/>
          <w:left w:val="nil"/>
          <w:bottom w:val="nil"/>
          <w:right w:val="nil"/>
          <w:between w:val="nil"/>
        </w:pBdr>
        <w:spacing w:line="360" w:lineRule="auto"/>
        <w:ind w:left="567" w:right="-734"/>
        <w:jc w:val="both"/>
        <w:rPr>
          <w:rFonts w:ascii="Palatino Linotype" w:eastAsia="Palatino Linotype" w:hAnsi="Palatino Linotype" w:cs="Palatino Linotype"/>
          <w:i/>
          <w:iCs/>
          <w:color w:val="000000"/>
        </w:rPr>
      </w:pPr>
    </w:p>
    <w:p w:rsidR="00353757" w:rsidRDefault="00A37907">
      <w:pPr>
        <w:numPr>
          <w:ilvl w:val="0"/>
          <w:numId w:val="1"/>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Verdana" w:eastAsia="Verdana" w:hAnsi="Verdana" w:cs="Verdana"/>
          <w:color w:val="000000"/>
        </w:rPr>
        <w:t>“</w:t>
      </w:r>
      <w:r>
        <w:rPr>
          <w:rFonts w:ascii="Palatino Linotype" w:eastAsia="Palatino Linotype" w:hAnsi="Palatino Linotype" w:cs="Palatino Linotype"/>
          <w:i/>
          <w:iCs/>
          <w:color w:val="000000"/>
        </w:rPr>
        <w:t xml:space="preserve">Presento este recurso de revisión en contra del Acuerdo CT/SE/1203/01/2025, mediante el cual el Comité de ransparencia del Municipio de Toluca clasificó como reservada en su totalidad por cinco años la información relativa al expediente CMT/DIRA/OF/285/2025 (Q/05542/2025) y los folios 04717–04723/TOLUCA/IP/2025. Dicha clasificación es ilegal y desproporcionada, ya que no cumple con los requisitos previstos en la Ley de Transparencia y Acceso a la Información Pública del Estado de México y Municipios (LTEMyM) ni con los criterios de interpretación emitidos por el propio INFOEM. 1. Núcleo jurídico omitido o mal aplicado El Comité fundamenta su decisión en el artículo 140 fracción VIII de la LTEMyM y el artículo 113 fracción XI de la Ley General, señalando que la difusión de la información vulneraría la conducción de un procedimiento “seguido en forma de juicio”. Sin embargo, esta interpretación es errónea por las siguientes razones: La investigación que realiza el Órgano Interno de Control no constituye aún un procedimiento materialmente jurisdiccional “seguido en forma de juicio”, sino una fase indagatoria. El Lineamiento Trigésimo de los Lineamientos Generales en Materia de Clasificación y Desclasificación exige acreditar tres elementos: La existencia de un procedimiento materialmente jurisdiccional en trámite; Que la información corresponda a actuaciones propias de dicho procedimiento; y Que su difusión afecte la libertad de decisión de la autoridad. Ninguno de estos tres elementos fue acreditado. Por tanto, la causal invocada no se actualiza, y el Comité aplicó indebidamente disposiciones pensadas para juicios o procedimientos formales, no para etapas de investigación preliminar. 2. Fundamentos legales que el Comité ignoró El artículo 142 de la LTEMyM establece expresamente: “Bajo ninguna circunstancia podrá invocarse el carácter de reservado cuando: I. Se trate de violaciones graves de derechos humanos; II. Se trate de la investigación de posibles violaciones graves de derechos humanos; III. Se trate de delitos de lesa humanidad; y IV. Se trate de información relacionada con actos de corrupción, de conformidad con las disposiciones jurídicas aplicables.” El expediente CMT/DIRA/OF/285/2025 se refiere </w:t>
      </w:r>
      <w:r>
        <w:rPr>
          <w:rFonts w:ascii="Palatino Linotype" w:eastAsia="Palatino Linotype" w:hAnsi="Palatino Linotype" w:cs="Palatino Linotype"/>
          <w:i/>
          <w:iCs/>
          <w:color w:val="000000"/>
        </w:rPr>
        <w:lastRenderedPageBreak/>
        <w:t xml:space="preserve">precisamente a una denuncia por presuntas responsabilidades administrativas, lo cual, por su naturaleza, está vinculado con actos de corrupción. En estos casos, la reserva total es jurídicamente improcedente. De acuerdo con la Ley y con los criterios del propio INFOEM, no resulta procedente una reserva absoluta, sino que corresponde analizar la posibilidad de difundir la información mediante versión pública parcial, testando únicamente los datos personales o sensibles. 3. Fallas graves en la prueba de daño Fundamentación confusa y contradictoria. Se citan diversos artículos (104, 113 fr. VI, 140 fr. VI y VIII) de forma inconsistente, sin vincularlos con documentos específicos. Falta de daño cierto, actual y específico. El texto se limita a suposiciones (“podría”, “posiblemente”, “podría generar nulidad”) sin evidencias ni vinculación con piezas documentales. Uso indebido de jurisprudencia penal. Se invocan casos como Florence Cassez o Duda Razonable, que no aplican a procedimientos administrativos. Violación al principio de divisibilidad. Se reservó el expediente en bloque, sin analizar cada documento. Plazo incoherente y no motivado. Se mencionan tres años, cinco años y una fecha fija (31 de agosto de 2030) sin justificación técnica. Ponderación sesgada. Se afirma que el interés del solicitante es “individual”, cuando el derecho de acceso no requiere interés jurídico y la materia de corrupción es de interés público. 4. Aplicación del artículo 140 LTEMyM El propio artículo 140 indica que la reserva solo procede cuando sea estrictamente necesaria por razones de interés público, y que se debe seleccionar la medida menos restrictiva. El Comité omitió este análisis y optó por la reserva total sin justificar por qué no era viable una versión pública parcial, incumpliendo los principios de proporcionalidad y máxima publicidad. 5. Cuadro comparativo (bloques descriptivos) a) Lo que dijo el Comité: Que la información vulnera la conducción de procedimientos administrativos. Que su entrega afectaría la presunción de inocencia y el debido proceso. Que por ello debe reservarse todo el expediente por cinco años. b) Lo que exige la Ley: Que la causal solo aplica a procedimientos seguido en forma de juicio (no investigaciones). Que el daño sea cierto, actual y específico. Que se elija la medida menos restrictiva. Que no se pueda reservar información sobre actos de corrupción (art. 142). c) Observación: El Comité confundió etapas procesales, usó argumentos genéricos y jurisprudencia inaplicable, y evadió los principios de máxima publicidad y divisibilidad. En la práctica, simuló una prueba de daño para negar información de interés público. 6. Criterios del INFOEM que refuerzan la improcedencia de la reserva El INFOEM, mediante su “Acuerdo mediante el cual se emiten diversos criterios de interpretación”, ha fijado lineamientos obligatorios que confirman que la reserva total aplicada es contraria a la Ley: Máxima publicidad y divisibilidad. El INFOEM establece que toda autoridad debe entregar información en la mayor medida posible y, si existen datos reservados, elaborar versiones públicas parciales, nunca reservas absolutas. Prueba de daño específica. La prueba de daño debe ser concreta, verificable y documento por documento, no genérica. Prohibición de reserva en casos de corrupción. Los expedientes de presuntas responsabilidades administrativas son información relacionada con actos de corrupción, y por tanto no pueden </w:t>
      </w:r>
      <w:r>
        <w:rPr>
          <w:rFonts w:ascii="Palatino Linotype" w:eastAsia="Palatino Linotype" w:hAnsi="Palatino Linotype" w:cs="Palatino Linotype"/>
          <w:i/>
          <w:iCs/>
          <w:color w:val="000000"/>
        </w:rPr>
        <w:lastRenderedPageBreak/>
        <w:t>reservarse en su totalidad (art. 142, fr. IV). Autonomía de los Comités. Los Comités no deben aprobar mecánicamente lo que propone el área investigadora; si lo hacen, incurren en negligencia o simulación administrativa. Plazos de reserva justificados. Los plazos deben fundarse en la vida útil del daño, no en cifras genéricas (3 o 5 años). Estos criterios evidencian que el Comité de Toluca actuó en sentido contrario a las directrices del propio órgano garante, reproduciendo prácticas opacas y discrecionales. 7. Solicitud de análisis por simulación y negligencia Ante la evidente negligencia y comportamiento simulado de las autoridades del Comité de Transparencia del Municipio de Toluca, solicito que el INFOEM valore la posible responsabilidad administrativa de los servidores públicos que intervinieron en la emisión del Acuerdo CT/SE/1203/01/2025, con base en los artículos 8 y 52 fracción IV, V de la Ley de Responsabilidades Administrativas del Estado de México y Municipios, por negar dolosamente información pública y simular el cumplimiento de la Ley de Transparencia. La actuación del Comité demuestra un patrón de simulación institucional: se elaboran supuestas “pruebas de daño” para negar información, sin análisis real ni fundamento jurídico, lo que constituye una obstrucción deliberada al derecho ciudadano de acceso a la información. 8. Petición final Por las razones expuestas, solicito al INFOEM: Que se revoque la reserva total establecida en el acuerdo CT/SE/1203/01/2025, por carecer de fundamentación y motivación legal. Que se ordene al sujeto obligado realizar un nuevo análisis de clasificación, con prueba de daño debidamente motivada documento por documento, respetando los principios de máxima publicidad, divisibilidad y proporcionalidad. Que se dé vista a la autoridad competente para iniciar procedimiento de responsabilidad administrativa contra quienes resulten responsables por la simulación y negligencia en el cumplimiento de la Ley de Transparencia. La transparencia no puede ser utilizada como mecanismo de ocultamiento. La ciudadanía tiene derecho a conocer cómo actúan sus autoridades y a exigir rendición de cuentas. Reservar expedientes vinculados con posibles actos de corrupción no protege el interés público: lo traiciona.”(Sic.)</w:t>
      </w:r>
    </w:p>
    <w:p w:rsidR="00353757" w:rsidRDefault="00353757">
      <w:pPr>
        <w:pBdr>
          <w:top w:val="nil"/>
          <w:left w:val="nil"/>
          <w:bottom w:val="nil"/>
          <w:right w:val="nil"/>
          <w:between w:val="nil"/>
        </w:pBdr>
        <w:tabs>
          <w:tab w:val="left" w:pos="851"/>
        </w:tabs>
        <w:spacing w:line="360" w:lineRule="auto"/>
        <w:ind w:left="720" w:right="-734"/>
        <w:jc w:val="both"/>
        <w:rPr>
          <w:rFonts w:ascii="Palatino Linotype" w:eastAsia="Palatino Linotype" w:hAnsi="Palatino Linotype" w:cs="Palatino Linotype"/>
          <w:color w:val="000000"/>
        </w:rPr>
      </w:pPr>
    </w:p>
    <w:p w:rsidR="00353757" w:rsidRDefault="00A37907">
      <w:pPr>
        <w:numPr>
          <w:ilvl w:val="0"/>
          <w:numId w:val="6"/>
        </w:numPr>
        <w:spacing w:line="360" w:lineRule="auto"/>
        <w:ind w:left="0" w:right="-734" w:firstLine="0"/>
        <w:jc w:val="both"/>
        <w:rPr>
          <w:color w:val="000000"/>
        </w:rPr>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turna a la </w:t>
      </w:r>
      <w:r>
        <w:rPr>
          <w:rFonts w:ascii="Palatino Linotype" w:eastAsia="Palatino Linotype" w:hAnsi="Palatino Linotype" w:cs="Palatino Linotype"/>
          <w:b/>
          <w:bCs/>
        </w:rPr>
        <w:t>Comisionada María del Rosario Mejía Ayala,</w:t>
      </w:r>
      <w:r>
        <w:rPr>
          <w:rFonts w:ascii="Palatino Linotype" w:eastAsia="Palatino Linotype" w:hAnsi="Palatino Linotype" w:cs="Palatino Linotype"/>
        </w:rPr>
        <w:t xml:space="preserve"> para su análisis.</w:t>
      </w:r>
    </w:p>
    <w:p w:rsidR="00353757" w:rsidRDefault="00353757">
      <w:pPr>
        <w:spacing w:line="360" w:lineRule="auto"/>
        <w:ind w:right="-734"/>
        <w:jc w:val="both"/>
        <w:rPr>
          <w:rFonts w:ascii="Palatino Linotype" w:eastAsia="Palatino Linotype" w:hAnsi="Palatino Linotype" w:cs="Palatino Linotype"/>
          <w:i/>
          <w:iCs/>
          <w:color w:val="000000"/>
        </w:rPr>
      </w:pPr>
    </w:p>
    <w:p w:rsidR="00353757" w:rsidRDefault="00A37907">
      <w:pPr>
        <w:numPr>
          <w:ilvl w:val="0"/>
          <w:numId w:val="6"/>
        </w:numPr>
        <w:spacing w:line="360" w:lineRule="auto"/>
        <w:ind w:left="0" w:right="-734"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w:t>
      </w:r>
      <w:r>
        <w:rPr>
          <w:rFonts w:ascii="Palatino Linotype" w:eastAsia="Palatino Linotype" w:hAnsi="Palatino Linotype" w:cs="Palatino Linotype"/>
        </w:rPr>
        <w:t>fracción</w:t>
      </w:r>
      <w:r>
        <w:rPr>
          <w:rFonts w:ascii="Palatino Linotype" w:eastAsia="Palatino Linotype" w:hAnsi="Palatino Linotype" w:cs="Palatino Linotype"/>
          <w:color w:val="000000"/>
        </w:rPr>
        <w:t xml:space="preserve">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dieciocho de noviembre </w:t>
      </w:r>
      <w:r>
        <w:rPr>
          <w:rFonts w:ascii="Palatino Linotype" w:eastAsia="Palatino Linotype" w:hAnsi="Palatino Linotype" w:cs="Palatino Linotype"/>
          <w:b/>
          <w:bCs/>
          <w:color w:val="000000"/>
        </w:rPr>
        <w:lastRenderedPageBreak/>
        <w:t>de dos mil veinticinco</w:t>
      </w:r>
      <w:r>
        <w:rPr>
          <w:rFonts w:ascii="Palatino Linotype" w:eastAsia="Palatino Linotype" w:hAnsi="Palatino Linotype" w:cs="Palatino Linotype"/>
          <w:color w:val="000000"/>
        </w:rPr>
        <w:t xml:space="preserve">, 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353757" w:rsidRDefault="00353757">
      <w:pPr>
        <w:pBdr>
          <w:top w:val="nil"/>
          <w:left w:val="nil"/>
          <w:bottom w:val="nil"/>
          <w:right w:val="nil"/>
          <w:between w:val="nil"/>
        </w:pBdr>
        <w:ind w:left="720" w:right="-734"/>
        <w:rPr>
          <w:rFonts w:ascii="Palatino Linotype" w:eastAsia="Palatino Linotype" w:hAnsi="Palatino Linotype" w:cs="Palatino Linotype"/>
          <w:color w:val="000000"/>
        </w:rPr>
      </w:pPr>
    </w:p>
    <w:p w:rsidR="00353757" w:rsidRDefault="00A37907">
      <w:pPr>
        <w:numPr>
          <w:ilvl w:val="0"/>
          <w:numId w:val="6"/>
        </w:numPr>
        <w:spacing w:line="360" w:lineRule="auto"/>
        <w:ind w:left="0" w:right="-734" w:firstLine="0"/>
        <w:jc w:val="both"/>
        <w:rPr>
          <w:color w:val="000000"/>
        </w:rPr>
      </w:pPr>
      <w:r>
        <w:rPr>
          <w:rFonts w:ascii="Palatino Linotype" w:eastAsia="Palatino Linotype" w:hAnsi="Palatino Linotype" w:cs="Palatino Linotype"/>
        </w:rPr>
        <w:t xml:space="preserve">De lo anterior el once de agosto de dos mil veinticinco,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en informe justificado remitió los siguientes documentos:</w:t>
      </w:r>
    </w:p>
    <w:p w:rsidR="00353757" w:rsidRDefault="00A37907">
      <w:pPr>
        <w:numPr>
          <w:ilvl w:val="0"/>
          <w:numId w:val="8"/>
        </w:num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Ratificación 12998.pdf:</w:t>
      </w:r>
      <w:r>
        <w:rPr>
          <w:rFonts w:ascii="Palatino Linotype" w:eastAsia="Palatino Linotype" w:hAnsi="Palatino Linotype" w:cs="Palatino Linotype"/>
          <w:color w:val="000000"/>
        </w:rPr>
        <w:t xml:space="preserve"> Oficio de fecha veintisiete de noviembre de dos mil veinticinco, suscrito por el Titular de la Unidad de Transparencia, a través del cual ratifica la respuesta.</w:t>
      </w:r>
    </w:p>
    <w:p w:rsidR="00353757" w:rsidRDefault="00A37907">
      <w:pPr>
        <w:numPr>
          <w:ilvl w:val="0"/>
          <w:numId w:val="8"/>
        </w:num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12998-2025-ANEXOS.pdf: </w:t>
      </w:r>
      <w:r>
        <w:rPr>
          <w:rFonts w:ascii="Palatino Linotype" w:eastAsia="Palatino Linotype" w:hAnsi="Palatino Linotype" w:cs="Palatino Linotype"/>
          <w:color w:val="000000"/>
        </w:rPr>
        <w:t xml:space="preserve">Oficio 203010000/4091/2025, de fecha veintiuno de noviembre de dos mil veinticinco, signado por el Titular del Órgano Interno de Control, a través del cual informa que el expediente del cual se requiere información, se encuentra en trámite en etapa de investigación, por tanto debe </w:t>
      </w:r>
      <w:r>
        <w:rPr>
          <w:rFonts w:ascii="Palatino Linotype" w:eastAsia="Palatino Linotype" w:hAnsi="Palatino Linotype" w:cs="Palatino Linotype"/>
        </w:rPr>
        <w:t>preponderar el</w:t>
      </w:r>
      <w:r>
        <w:rPr>
          <w:rFonts w:ascii="Palatino Linotype" w:eastAsia="Palatino Linotype" w:hAnsi="Palatino Linotype" w:cs="Palatino Linotype"/>
          <w:color w:val="000000"/>
        </w:rPr>
        <w:t xml:space="preserve"> interés público sobre el interés particular del solicitante, por tanto en preponderante mantener la secrecía de las actuaciones del expediente, el cual se encuentra en etapa de investigación, </w:t>
      </w:r>
      <w:r>
        <w:rPr>
          <w:rFonts w:ascii="Palatino Linotype" w:eastAsia="Palatino Linotype" w:hAnsi="Palatino Linotype" w:cs="Palatino Linotype"/>
        </w:rPr>
        <w:t>precisando</w:t>
      </w:r>
      <w:r>
        <w:rPr>
          <w:rFonts w:ascii="Palatino Linotype" w:eastAsia="Palatino Linotype" w:hAnsi="Palatino Linotype" w:cs="Palatino Linotype"/>
          <w:color w:val="000000"/>
        </w:rPr>
        <w:t xml:space="preserve"> que el propósito de la reserva es lograr el eficaz mantenimiento del procedimiento administrativo de responsabilidad en todas sus etapas, desde su apertura hasta que cause estado, en ese contexto, precisa que durante dicho lapso, las constancias que integran el expediente </w:t>
      </w:r>
      <w:r>
        <w:rPr>
          <w:rFonts w:ascii="Palatino Linotype" w:eastAsia="Palatino Linotype" w:hAnsi="Palatino Linotype" w:cs="Palatino Linotype"/>
        </w:rPr>
        <w:t>sólo</w:t>
      </w:r>
      <w:r>
        <w:rPr>
          <w:rFonts w:ascii="Palatino Linotype" w:eastAsia="Palatino Linotype" w:hAnsi="Palatino Linotype" w:cs="Palatino Linotype"/>
          <w:color w:val="000000"/>
        </w:rPr>
        <w:t xml:space="preserve"> atañen a las partes involucradas, ya que la divulgación de la información , </w:t>
      </w:r>
      <w:r>
        <w:rPr>
          <w:rFonts w:ascii="Palatino Linotype" w:eastAsia="Palatino Linotype" w:hAnsi="Palatino Linotype" w:cs="Palatino Linotype"/>
        </w:rPr>
        <w:t>conlleva</w:t>
      </w:r>
      <w:r>
        <w:rPr>
          <w:rFonts w:ascii="Palatino Linotype" w:eastAsia="Palatino Linotype" w:hAnsi="Palatino Linotype" w:cs="Palatino Linotype"/>
          <w:color w:val="000000"/>
        </w:rPr>
        <w:t xml:space="preserve"> un riesgo real, demostrable e identificable para el ejercicio de los derechos de las partes y para la conducción del procedimiento, por lo que la divulgación de la información solicitada, </w:t>
      </w:r>
      <w:r>
        <w:rPr>
          <w:rFonts w:ascii="Palatino Linotype" w:eastAsia="Palatino Linotype" w:hAnsi="Palatino Linotype" w:cs="Palatino Linotype"/>
        </w:rPr>
        <w:t>conlleva</w:t>
      </w:r>
      <w:r>
        <w:rPr>
          <w:rFonts w:ascii="Palatino Linotype" w:eastAsia="Palatino Linotype" w:hAnsi="Palatino Linotype" w:cs="Palatino Linotype"/>
          <w:color w:val="000000"/>
        </w:rPr>
        <w:t xml:space="preserve"> a un riesgo real, demostrable e identificable para el ejercicio de los derechos de las partes y para el adecuado </w:t>
      </w:r>
      <w:r>
        <w:rPr>
          <w:rFonts w:ascii="Palatino Linotype" w:eastAsia="Palatino Linotype" w:hAnsi="Palatino Linotype" w:cs="Palatino Linotype"/>
        </w:rPr>
        <w:t>trámite</w:t>
      </w:r>
      <w:r>
        <w:rPr>
          <w:rFonts w:ascii="Palatino Linotype" w:eastAsia="Palatino Linotype" w:hAnsi="Palatino Linotype" w:cs="Palatino Linotype"/>
          <w:color w:val="000000"/>
        </w:rPr>
        <w:t xml:space="preserve"> del procedimiento.</w:t>
      </w:r>
    </w:p>
    <w:p w:rsidR="00353757" w:rsidRDefault="00A37907">
      <w:pPr>
        <w:numPr>
          <w:ilvl w:val="0"/>
          <w:numId w:val="6"/>
        </w:numPr>
        <w:spacing w:line="360" w:lineRule="auto"/>
        <w:ind w:left="0" w:right="-734" w:firstLine="0"/>
        <w:jc w:val="both"/>
        <w:rPr>
          <w:color w:val="000000"/>
        </w:rPr>
      </w:pPr>
      <w:r>
        <w:rPr>
          <w:rFonts w:ascii="Palatino Linotype" w:eastAsia="Palatino Linotype" w:hAnsi="Palatino Linotype" w:cs="Palatino Linotype"/>
        </w:rPr>
        <w:lastRenderedPageBreak/>
        <w:t xml:space="preserve">Por su parte,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dejó de realizar manifestaciones que a su derecho conviniera y asistiera, en el recurso de revisión. </w:t>
      </w:r>
    </w:p>
    <w:p w:rsidR="00353757" w:rsidRDefault="00353757">
      <w:pPr>
        <w:spacing w:line="360" w:lineRule="auto"/>
        <w:ind w:right="-734"/>
        <w:jc w:val="both"/>
        <w:rPr>
          <w:rFonts w:ascii="Palatino Linotype" w:eastAsia="Palatino Linotype" w:hAnsi="Palatino Linotype" w:cs="Palatino Linotype"/>
          <w:i/>
          <w:iCs/>
          <w:color w:val="000000"/>
        </w:rPr>
      </w:pPr>
    </w:p>
    <w:p w:rsidR="00353757" w:rsidRDefault="00A37907">
      <w:pPr>
        <w:numPr>
          <w:ilvl w:val="0"/>
          <w:numId w:val="6"/>
        </w:numPr>
        <w:pBdr>
          <w:top w:val="nil"/>
          <w:left w:val="nil"/>
          <w:bottom w:val="nil"/>
          <w:right w:val="nil"/>
          <w:between w:val="nil"/>
        </w:pBdr>
        <w:tabs>
          <w:tab w:val="left" w:pos="426"/>
          <w:tab w:val="left" w:pos="567"/>
        </w:tabs>
        <w:spacing w:line="360" w:lineRule="auto"/>
        <w:ind w:left="0" w:right="-734" w:firstLine="0"/>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veintisiete de mayo de dos mil veintiséis</w:t>
      </w:r>
      <w:r>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353757" w:rsidRDefault="00353757">
      <w:pPr>
        <w:spacing w:line="360" w:lineRule="auto"/>
        <w:ind w:right="-734"/>
        <w:jc w:val="both"/>
        <w:rPr>
          <w:rFonts w:ascii="Palatino Linotype" w:eastAsia="Palatino Linotype" w:hAnsi="Palatino Linotype" w:cs="Palatino Linotype"/>
          <w:i/>
          <w:iCs/>
          <w:color w:val="000000"/>
        </w:rPr>
      </w:pPr>
    </w:p>
    <w:p w:rsidR="00353757" w:rsidRDefault="00A37907">
      <w:pPr>
        <w:numPr>
          <w:ilvl w:val="0"/>
          <w:numId w:val="6"/>
        </w:numPr>
        <w:spacing w:line="360" w:lineRule="auto"/>
        <w:ind w:left="0" w:right="-734" w:firstLine="0"/>
        <w:jc w:val="both"/>
        <w:rPr>
          <w:color w:val="000000"/>
        </w:rPr>
      </w:pPr>
      <w:r>
        <w:rPr>
          <w:rFonts w:ascii="Palatino Linotype" w:eastAsia="Palatino Linotype" w:hAnsi="Palatino Linotype" w:cs="Palatino Linotype"/>
        </w:rPr>
        <w:t xml:space="preserve">Finalmente, la Comisionada Ponente mediante acuerdo del </w:t>
      </w:r>
      <w:r>
        <w:rPr>
          <w:rFonts w:ascii="Palatino Linotype" w:eastAsia="Palatino Linotype" w:hAnsi="Palatino Linotype" w:cs="Palatino Linotype"/>
          <w:b/>
          <w:bCs/>
        </w:rPr>
        <w:t>dos de marzo de dos mil veintiséis</w:t>
      </w:r>
      <w:r>
        <w:rPr>
          <w:rFonts w:ascii="Palatino Linotype" w:eastAsia="Palatino Linotype" w:hAnsi="Palatino Linotype" w:cs="Palatino Linotype"/>
        </w:rPr>
        <w:t>, decretó el cierre de instrucción del expediente, por lo que no habiendo más que hacer constar, y</w:t>
      </w:r>
      <w:r>
        <w:rPr>
          <w:rFonts w:ascii="Palatino Linotype" w:eastAsia="Palatino Linotype" w:hAnsi="Palatino Linotype" w:cs="Palatino Linotype"/>
          <w:color w:val="000000"/>
        </w:rPr>
        <w:t xml:space="preserve">. </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keepNext/>
        <w:keepLines/>
        <w:spacing w:line="360" w:lineRule="auto"/>
        <w:ind w:right="-734"/>
        <w:jc w:val="center"/>
        <w:rPr>
          <w:rFonts w:ascii="Palatino Linotype" w:eastAsia="Palatino Linotype" w:hAnsi="Palatino Linotype" w:cs="Palatino Linotype"/>
        </w:rPr>
      </w:pPr>
      <w:bookmarkStart w:id="3" w:name="_heading=h.1fob9te" w:colFirst="0" w:colLast="0"/>
      <w:bookmarkEnd w:id="3"/>
      <w:r>
        <w:rPr>
          <w:rFonts w:ascii="Palatino Linotype" w:eastAsia="Palatino Linotype" w:hAnsi="Palatino Linotype" w:cs="Palatino Linotype"/>
          <w:b/>
          <w:bCs/>
        </w:rPr>
        <w:t xml:space="preserve">C O N S I D E R A N D O </w:t>
      </w:r>
    </w:p>
    <w:p w:rsidR="00353757" w:rsidRDefault="00353757">
      <w:pPr>
        <w:spacing w:line="360" w:lineRule="auto"/>
        <w:ind w:right="-734"/>
        <w:rPr>
          <w:rFonts w:ascii="Palatino Linotype" w:eastAsia="Palatino Linotype" w:hAnsi="Palatino Linotype" w:cs="Palatino Linotype"/>
        </w:rPr>
      </w:pPr>
    </w:p>
    <w:p w:rsidR="00353757" w:rsidRDefault="00A37907">
      <w:pPr>
        <w:keepNext/>
        <w:keepLines/>
        <w:spacing w:line="360" w:lineRule="auto"/>
        <w:ind w:right="-734"/>
        <w:rPr>
          <w:rFonts w:ascii="Palatino Linotype" w:eastAsia="Palatino Linotype" w:hAnsi="Palatino Linotype" w:cs="Palatino Linotype"/>
          <w:b/>
          <w:bCs/>
        </w:rPr>
      </w:pPr>
      <w:bookmarkStart w:id="4" w:name="_heading=h.3znysh7" w:colFirst="0" w:colLast="0"/>
      <w:bookmarkEnd w:id="4"/>
      <w:r>
        <w:rPr>
          <w:rFonts w:ascii="Palatino Linotype" w:eastAsia="Palatino Linotype" w:hAnsi="Palatino Linotype" w:cs="Palatino Linotype"/>
          <w:b/>
          <w:bCs/>
        </w:rPr>
        <w:t>PRIMERO. De la competencia</w:t>
      </w:r>
    </w:p>
    <w:p w:rsidR="00353757" w:rsidRDefault="00A37907">
      <w:pPr>
        <w:numPr>
          <w:ilvl w:val="0"/>
          <w:numId w:val="6"/>
        </w:numPr>
        <w:pBdr>
          <w:top w:val="nil"/>
          <w:left w:val="nil"/>
          <w:bottom w:val="nil"/>
          <w:right w:val="nil"/>
          <w:between w:val="nil"/>
        </w:pBdr>
        <w:spacing w:before="240" w:after="240" w:line="360" w:lineRule="auto"/>
        <w:ind w:left="0" w:right="-734" w:firstLine="0"/>
        <w:jc w:val="both"/>
        <w:rPr>
          <w:color w:val="000000"/>
        </w:rPr>
      </w:pPr>
      <w:r>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highlight w:val="white"/>
        </w:rPr>
        <w:t>Constitución Política de los Estados Unidos Mexicanos</w:t>
      </w:r>
      <w:r>
        <w:rPr>
          <w:rFonts w:ascii="Palatino Linotype" w:eastAsia="Palatino Linotype" w:hAnsi="Palatino Linotype" w:cs="Palatino Linotype"/>
          <w:color w:val="000000"/>
          <w:highlight w:val="white"/>
        </w:rPr>
        <w:t>; 5, párrafos trigésimo segundo, trigésimo tercero y trigésimo cuarto fracciones IV y V de la </w:t>
      </w:r>
      <w:r>
        <w:rPr>
          <w:rFonts w:ascii="Palatino Linotype" w:eastAsia="Palatino Linotype" w:hAnsi="Palatino Linotype" w:cs="Palatino Linotype"/>
          <w:b/>
          <w:bCs/>
          <w:color w:val="000000"/>
          <w:highlight w:val="white"/>
        </w:rPr>
        <w:t>Constitución Política del Estado Libre y Soberano de México</w:t>
      </w:r>
      <w:r>
        <w:rPr>
          <w:rFonts w:ascii="Palatino Linotype" w:eastAsia="Palatino Linotype" w:hAnsi="Palatino Linotype" w:cs="Palatino Linotype"/>
          <w:color w:val="000000"/>
          <w:highlight w:val="white"/>
        </w:rPr>
        <w:t>; artículos 1, 2 fracción II, 13, 29, 36 fracciones I y II, 176, 178, 179, 181 párrafo tercero y 185 de la </w:t>
      </w:r>
      <w:r>
        <w:rPr>
          <w:rFonts w:ascii="Palatino Linotype" w:eastAsia="Palatino Linotype" w:hAnsi="Palatino Linotype" w:cs="Palatino Linotype"/>
          <w:b/>
          <w:bCs/>
          <w:color w:val="000000"/>
          <w:highlight w:val="white"/>
        </w:rPr>
        <w:t>Ley de Transparencia y Acceso a la Información Pública del Estado de México y Municipios</w:t>
      </w:r>
      <w:r>
        <w:rPr>
          <w:rFonts w:ascii="Palatino Linotype" w:eastAsia="Palatino Linotype" w:hAnsi="Palatino Linotype" w:cs="Palatino Linotype"/>
          <w:color w:val="000000"/>
          <w:highlight w:val="white"/>
        </w:rPr>
        <w:t>; y 7, 9 fracciones I y XXIII, y 11 del </w:t>
      </w:r>
      <w:r>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highlight w:val="white"/>
        </w:rPr>
        <w:t>.</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keepNext/>
        <w:keepLines/>
        <w:spacing w:line="360" w:lineRule="auto"/>
        <w:ind w:right="-734"/>
        <w:rPr>
          <w:rFonts w:ascii="Palatino Linotype" w:eastAsia="Palatino Linotype" w:hAnsi="Palatino Linotype" w:cs="Palatino Linotype"/>
          <w:b/>
          <w:bCs/>
        </w:rPr>
      </w:pPr>
      <w:bookmarkStart w:id="5" w:name="_heading=h.2et92p0" w:colFirst="0" w:colLast="0"/>
      <w:bookmarkEnd w:id="5"/>
      <w:r>
        <w:rPr>
          <w:rFonts w:ascii="Palatino Linotype" w:eastAsia="Palatino Linotype" w:hAnsi="Palatino Linotype" w:cs="Palatino Linotype"/>
          <w:b/>
          <w:bCs/>
        </w:rPr>
        <w:lastRenderedPageBreak/>
        <w:t>SEGUNDO. De la oportunidad y procedencia.</w:t>
      </w:r>
    </w:p>
    <w:p w:rsidR="00353757" w:rsidRDefault="00A37907">
      <w:pPr>
        <w:numPr>
          <w:ilvl w:val="0"/>
          <w:numId w:val="6"/>
        </w:numPr>
        <w:spacing w:line="360" w:lineRule="auto"/>
        <w:ind w:left="0" w:right="-734"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a la solicitud el día </w:t>
      </w:r>
      <w:r>
        <w:rPr>
          <w:rFonts w:ascii="Palatino Linotype" w:eastAsia="Palatino Linotype" w:hAnsi="Palatino Linotype" w:cs="Palatino Linotype"/>
          <w:b/>
          <w:bCs/>
        </w:rPr>
        <w:t>cinco de noviembre de dos mil veinticinco</w:t>
      </w:r>
      <w:r>
        <w:rPr>
          <w:rFonts w:ascii="Palatino Linotype" w:eastAsia="Palatino Linotype" w:hAnsi="Palatino Linotype" w:cs="Palatino Linotype"/>
        </w:rPr>
        <w:t xml:space="preserve">, de tal forma que el plazo para interponer el recurso de revisión transcurrió del </w:t>
      </w:r>
      <w:r>
        <w:rPr>
          <w:rFonts w:ascii="Palatino Linotype" w:eastAsia="Palatino Linotype" w:hAnsi="Palatino Linotype" w:cs="Palatino Linotype"/>
          <w:b/>
          <w:bCs/>
        </w:rPr>
        <w:t>seis al veintisiete de noviembre de dos mil veinticinco</w:t>
      </w:r>
      <w:r>
        <w:rPr>
          <w:rFonts w:ascii="Palatino Linotype" w:eastAsia="Palatino Linotype" w:hAnsi="Palatino Linotype" w:cs="Palatino Linotype"/>
        </w:rPr>
        <w:t xml:space="preserve">; en consecuencia, presentó su inconformidad el día </w:t>
      </w:r>
      <w:r>
        <w:rPr>
          <w:rFonts w:ascii="Palatino Linotype" w:eastAsia="Palatino Linotype" w:hAnsi="Palatino Linotype" w:cs="Palatino Linotype"/>
          <w:b/>
          <w:bCs/>
        </w:rPr>
        <w:t>once de noviembre de dos mil veinticinco</w:t>
      </w:r>
      <w:r>
        <w:rPr>
          <w:rFonts w:ascii="Palatino Linotype" w:eastAsia="Palatino Linotype" w:hAnsi="Palatino Linotype" w:cs="Palatino Linotype"/>
        </w:rPr>
        <w:t xml:space="preserve">, por lo que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numPr>
          <w:ilvl w:val="0"/>
          <w:numId w:val="6"/>
        </w:numPr>
        <w:spacing w:line="360" w:lineRule="auto"/>
        <w:ind w:left="142" w:right="-734" w:hanging="142"/>
        <w:jc w:val="both"/>
      </w:pPr>
      <w:r>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353757" w:rsidRDefault="00A37907">
      <w:pPr>
        <w:pBdr>
          <w:top w:val="nil"/>
          <w:left w:val="nil"/>
          <w:bottom w:val="nil"/>
          <w:right w:val="nil"/>
          <w:between w:val="nil"/>
        </w:pBdr>
        <w:tabs>
          <w:tab w:val="left" w:pos="7655"/>
        </w:tabs>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353757" w:rsidRDefault="00353757">
      <w:pPr>
        <w:pBdr>
          <w:top w:val="nil"/>
          <w:left w:val="nil"/>
          <w:bottom w:val="nil"/>
          <w:right w:val="nil"/>
          <w:between w:val="nil"/>
        </w:pBdr>
        <w:ind w:left="720" w:right="-734"/>
        <w:rPr>
          <w:rFonts w:ascii="Palatino Linotype" w:eastAsia="Palatino Linotype" w:hAnsi="Palatino Linotype" w:cs="Palatino Linotype"/>
        </w:rPr>
      </w:pPr>
    </w:p>
    <w:p w:rsidR="00353757" w:rsidRDefault="00353757">
      <w:pPr>
        <w:pBdr>
          <w:top w:val="nil"/>
          <w:left w:val="nil"/>
          <w:bottom w:val="nil"/>
          <w:right w:val="nil"/>
          <w:between w:val="nil"/>
        </w:pBdr>
        <w:ind w:left="720" w:right="-734"/>
        <w:rPr>
          <w:rFonts w:ascii="Palatino Linotype" w:eastAsia="Palatino Linotype" w:hAnsi="Palatino Linotype" w:cs="Palatino Linotype"/>
        </w:rPr>
      </w:pPr>
    </w:p>
    <w:p w:rsidR="00353757" w:rsidRDefault="00A37907">
      <w:pPr>
        <w:numPr>
          <w:ilvl w:val="0"/>
          <w:numId w:val="6"/>
        </w:numPr>
        <w:pBdr>
          <w:top w:val="nil"/>
          <w:left w:val="nil"/>
          <w:bottom w:val="nil"/>
          <w:right w:val="nil"/>
          <w:between w:val="nil"/>
        </w:pBdr>
        <w:spacing w:line="360" w:lineRule="auto"/>
        <w:ind w:left="142" w:right="-734" w:hanging="142"/>
        <w:jc w:val="both"/>
        <w:rPr>
          <w:color w:val="000000"/>
        </w:rPr>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6.-</w:t>
      </w:r>
      <w:r>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Para efectos de lo dispuesto en el presente artículo se observará lo siguiente:</w:t>
      </w:r>
    </w:p>
    <w:p w:rsidR="00353757" w:rsidRDefault="00353757">
      <w:pPr>
        <w:pBdr>
          <w:top w:val="nil"/>
          <w:left w:val="nil"/>
          <w:bottom w:val="nil"/>
          <w:right w:val="nil"/>
          <w:between w:val="nil"/>
        </w:pBdr>
        <w:ind w:left="567" w:right="-734"/>
        <w:jc w:val="both"/>
        <w:rPr>
          <w:rFonts w:ascii="Palatino Linotype" w:eastAsia="Palatino Linotype" w:hAnsi="Palatino Linotype" w:cs="Palatino Linotype"/>
          <w:i/>
          <w:iCs/>
          <w:color w:val="000000"/>
        </w:rPr>
      </w:pP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353757" w:rsidRDefault="00353757">
      <w:pPr>
        <w:pBdr>
          <w:top w:val="nil"/>
          <w:left w:val="nil"/>
          <w:bottom w:val="nil"/>
          <w:right w:val="nil"/>
          <w:between w:val="nil"/>
        </w:pBdr>
        <w:ind w:left="567" w:right="-734"/>
        <w:jc w:val="both"/>
        <w:rPr>
          <w:rFonts w:ascii="Palatino Linotype" w:eastAsia="Palatino Linotype" w:hAnsi="Palatino Linotype" w:cs="Palatino Linotype"/>
          <w:i/>
          <w:iCs/>
          <w:color w:val="000000"/>
        </w:rPr>
      </w:pP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color w:val="000000"/>
        </w:rPr>
        <w:t>(Sic)</w:t>
      </w:r>
    </w:p>
    <w:p w:rsidR="00353757" w:rsidRDefault="0035375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353757" w:rsidRDefault="00A37907">
      <w:pPr>
        <w:numPr>
          <w:ilvl w:val="0"/>
          <w:numId w:val="6"/>
        </w:numPr>
        <w:pBdr>
          <w:top w:val="nil"/>
          <w:left w:val="nil"/>
          <w:bottom w:val="nil"/>
          <w:right w:val="nil"/>
          <w:between w:val="nil"/>
        </w:pBdr>
        <w:spacing w:line="360" w:lineRule="auto"/>
        <w:ind w:left="142" w:right="-734" w:hanging="142"/>
        <w:jc w:val="both"/>
        <w:rPr>
          <w:color w:val="000000"/>
        </w:rPr>
      </w:pPr>
      <w:r>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w:t>
      </w:r>
      <w:r>
        <w:rPr>
          <w:rFonts w:ascii="Palatino Linotype" w:eastAsia="Palatino Linotype" w:hAnsi="Palatino Linotype" w:cs="Palatino Linotype"/>
          <w:i/>
          <w:iCs/>
          <w:color w:val="000000"/>
        </w:rPr>
        <w:lastRenderedPageBreak/>
        <w:t xml:space="preserve">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color w:val="000000"/>
        </w:rPr>
        <w:t>(Sic)</w:t>
      </w:r>
    </w:p>
    <w:p w:rsidR="00353757" w:rsidRDefault="00353757">
      <w:pPr>
        <w:tabs>
          <w:tab w:val="left" w:pos="7655"/>
        </w:tabs>
        <w:ind w:left="567" w:right="-734"/>
        <w:jc w:val="both"/>
        <w:rPr>
          <w:rFonts w:ascii="Palatino Linotype" w:eastAsia="Palatino Linotype" w:hAnsi="Palatino Linotype" w:cs="Palatino Linotype"/>
          <w:i/>
          <w:iCs/>
        </w:rPr>
      </w:pPr>
    </w:p>
    <w:p w:rsidR="00353757" w:rsidRDefault="00353757">
      <w:pPr>
        <w:tabs>
          <w:tab w:val="left" w:pos="7655"/>
        </w:tabs>
        <w:ind w:left="567" w:right="-734"/>
        <w:jc w:val="both"/>
        <w:rPr>
          <w:rFonts w:ascii="Palatino Linotype" w:eastAsia="Palatino Linotype" w:hAnsi="Palatino Linotype" w:cs="Palatino Linotype"/>
          <w:i/>
          <w:iCs/>
        </w:rPr>
      </w:pPr>
    </w:p>
    <w:p w:rsidR="00353757" w:rsidRDefault="00A37907">
      <w:pPr>
        <w:numPr>
          <w:ilvl w:val="0"/>
          <w:numId w:val="6"/>
        </w:numPr>
        <w:pBdr>
          <w:top w:val="nil"/>
          <w:left w:val="nil"/>
          <w:bottom w:val="nil"/>
          <w:right w:val="nil"/>
          <w:between w:val="nil"/>
        </w:pBdr>
        <w:spacing w:line="360" w:lineRule="auto"/>
        <w:ind w:left="142" w:right="-734" w:hanging="142"/>
        <w:jc w:val="both"/>
        <w:rPr>
          <w:color w:val="000000"/>
        </w:rPr>
      </w:pPr>
      <w:r>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1</w:t>
      </w:r>
      <w:r>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353757" w:rsidRDefault="00A37907">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numPr>
          <w:ilvl w:val="0"/>
          <w:numId w:val="6"/>
        </w:numPr>
        <w:spacing w:line="360" w:lineRule="auto"/>
        <w:ind w:left="142" w:right="-734" w:hanging="142"/>
        <w:jc w:val="both"/>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353757" w:rsidRDefault="00353757">
      <w:pPr>
        <w:spacing w:line="360" w:lineRule="auto"/>
        <w:ind w:right="-734"/>
        <w:jc w:val="both"/>
        <w:rPr>
          <w:rFonts w:ascii="Palatino Linotype" w:eastAsia="Palatino Linotype" w:hAnsi="Palatino Linotype" w:cs="Palatino Linotype"/>
          <w:b/>
          <w:bCs/>
        </w:rPr>
      </w:pPr>
    </w:p>
    <w:p w:rsidR="00353757" w:rsidRDefault="00A37907">
      <w:pPr>
        <w:numPr>
          <w:ilvl w:val="0"/>
          <w:numId w:val="6"/>
        </w:numPr>
        <w:spacing w:line="360" w:lineRule="auto"/>
        <w:ind w:left="142" w:right="-734" w:hanging="142"/>
        <w:jc w:val="both"/>
      </w:pP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w:t>
      </w:r>
      <w:r>
        <w:rPr>
          <w:rFonts w:ascii="Palatino Linotype" w:eastAsia="Palatino Linotype" w:hAnsi="Palatino Linotype" w:cs="Palatino Linotype"/>
        </w:rPr>
        <w:lastRenderedPageBreak/>
        <w:t>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353757" w:rsidRDefault="00353757">
      <w:pPr>
        <w:spacing w:line="360" w:lineRule="auto"/>
        <w:ind w:left="7731" w:right="-734"/>
        <w:jc w:val="both"/>
        <w:rPr>
          <w:rFonts w:ascii="Palatino Linotype" w:eastAsia="Palatino Linotype" w:hAnsi="Palatino Linotype" w:cs="Palatino Linotype"/>
          <w:b/>
          <w:bCs/>
        </w:rPr>
      </w:pPr>
    </w:p>
    <w:p w:rsidR="00353757" w:rsidRDefault="00A37907">
      <w:pPr>
        <w:numPr>
          <w:ilvl w:val="0"/>
          <w:numId w:val="6"/>
        </w:numPr>
        <w:spacing w:line="360" w:lineRule="auto"/>
        <w:ind w:left="0" w:right="-734" w:firstLine="0"/>
        <w:jc w:val="both"/>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spacing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TERCERO. Planteamiento de la Litis.</w:t>
      </w:r>
    </w:p>
    <w:p w:rsidR="00353757" w:rsidRDefault="00A37907">
      <w:pPr>
        <w:numPr>
          <w:ilvl w:val="0"/>
          <w:numId w:val="6"/>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El particular solicitó se le otorgaran:</w:t>
      </w:r>
    </w:p>
    <w:p w:rsidR="00353757" w:rsidRDefault="00A37907">
      <w:pPr>
        <w:numPr>
          <w:ilvl w:val="0"/>
          <w:numId w:val="9"/>
        </w:num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Copias simples o certificadas y actuaciones emitidas en el expediente CMT/DIRA/OF/285/2025  Q/05542/2025 a la fecha de la solicitud. </w:t>
      </w:r>
    </w:p>
    <w:p w:rsidR="00353757" w:rsidRDefault="00353757">
      <w:pPr>
        <w:pBdr>
          <w:top w:val="nil"/>
          <w:left w:val="nil"/>
          <w:bottom w:val="nil"/>
          <w:right w:val="nil"/>
          <w:between w:val="nil"/>
        </w:pBdr>
        <w:spacing w:line="360" w:lineRule="auto"/>
        <w:ind w:left="720" w:right="-734"/>
        <w:jc w:val="both"/>
        <w:rPr>
          <w:rFonts w:ascii="Palatino Linotype" w:eastAsia="Palatino Linotype" w:hAnsi="Palatino Linotype" w:cs="Palatino Linotype"/>
          <w:color w:val="000000"/>
        </w:rPr>
      </w:pPr>
    </w:p>
    <w:p w:rsidR="00353757" w:rsidRDefault="00A37907">
      <w:pPr>
        <w:numPr>
          <w:ilvl w:val="0"/>
          <w:numId w:val="6"/>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En consecuencia,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brinda respuesta en términos del párrafo tercero de la presente Resolución</w:t>
      </w:r>
      <w:r>
        <w:rPr>
          <w:rFonts w:ascii="Palatino Linotype" w:eastAsia="Palatino Linotype" w:hAnsi="Palatino Linotype" w:cs="Palatino Linotype"/>
          <w:b/>
          <w:bCs/>
          <w:color w:val="000000"/>
        </w:rPr>
        <w:t>.</w:t>
      </w:r>
    </w:p>
    <w:p w:rsidR="00353757" w:rsidRDefault="0035375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353757" w:rsidRPr="0000610D" w:rsidRDefault="00A37907">
      <w:pPr>
        <w:numPr>
          <w:ilvl w:val="0"/>
          <w:numId w:val="6"/>
        </w:numPr>
        <w:spacing w:line="360" w:lineRule="auto"/>
        <w:ind w:left="0" w:right="-734" w:firstLine="0"/>
        <w:jc w:val="both"/>
      </w:pPr>
      <w:r>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w:t>
      </w:r>
      <w:r>
        <w:rPr>
          <w:rFonts w:ascii="Palatino Linotype" w:eastAsia="Palatino Linotype" w:hAnsi="Palatino Linotype" w:cs="Palatino Linotype"/>
        </w:rPr>
        <w:lastRenderedPageBreak/>
        <w:t>artículo 179, fracción I  de la Ley de Transparencia y Acceso a la Información Pública del Estado de México y Municipios; que establece la negativa de la información.</w:t>
      </w:r>
    </w:p>
    <w:p w:rsidR="0000610D" w:rsidRDefault="0000610D" w:rsidP="0000610D">
      <w:pPr>
        <w:spacing w:line="360" w:lineRule="auto"/>
        <w:ind w:right="-734"/>
        <w:jc w:val="both"/>
      </w:pPr>
    </w:p>
    <w:p w:rsidR="00353757" w:rsidRDefault="00A37907">
      <w:pPr>
        <w:keepNext/>
        <w:keepLines/>
        <w:spacing w:line="360" w:lineRule="auto"/>
        <w:ind w:right="-734"/>
        <w:rPr>
          <w:rFonts w:ascii="Palatino Linotype" w:eastAsia="Palatino Linotype" w:hAnsi="Palatino Linotype" w:cs="Palatino Linotype"/>
          <w:b/>
          <w:bCs/>
        </w:rPr>
      </w:pPr>
      <w:bookmarkStart w:id="6" w:name="_heading=h.3dy6vkm" w:colFirst="0" w:colLast="0"/>
      <w:bookmarkEnd w:id="6"/>
      <w:r>
        <w:rPr>
          <w:rFonts w:ascii="Palatino Linotype" w:eastAsia="Palatino Linotype" w:hAnsi="Palatino Linotype" w:cs="Palatino Linotype"/>
          <w:b/>
          <w:bCs/>
        </w:rPr>
        <w:t>CUARTO. Del estudio y resolución del recurso de revisión.</w:t>
      </w:r>
    </w:p>
    <w:p w:rsidR="00353757" w:rsidRDefault="00A37907">
      <w:pPr>
        <w:numPr>
          <w:ilvl w:val="0"/>
          <w:numId w:val="6"/>
        </w:numPr>
        <w:spacing w:line="360" w:lineRule="auto"/>
        <w:ind w:left="0" w:right="-734" w:firstLine="0"/>
        <w:jc w:val="both"/>
      </w:pPr>
      <w:r>
        <w:rPr>
          <w:rFonts w:ascii="Palatino Linotype" w:eastAsia="Palatino Linotype" w:hAnsi="Palatino Linotype" w:cs="Palatino Linotype"/>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numPr>
          <w:ilvl w:val="0"/>
          <w:numId w:val="9"/>
        </w:numPr>
        <w:pBdr>
          <w:top w:val="nil"/>
          <w:left w:val="nil"/>
          <w:bottom w:val="nil"/>
          <w:right w:val="nil"/>
          <w:between w:val="nil"/>
        </w:pBd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En un principio debemos recordar que el particular solicitó </w:t>
      </w:r>
      <w:r>
        <w:rPr>
          <w:rFonts w:ascii="Palatino Linotype" w:eastAsia="Palatino Linotype" w:hAnsi="Palatino Linotype" w:cs="Palatino Linotype"/>
          <w:color w:val="000000"/>
        </w:rPr>
        <w:t xml:space="preserve">se le </w:t>
      </w:r>
      <w:r>
        <w:rPr>
          <w:rFonts w:ascii="Palatino Linotype" w:eastAsia="Palatino Linotype" w:hAnsi="Palatino Linotype" w:cs="Palatino Linotype"/>
        </w:rPr>
        <w:t>entregarán copias</w:t>
      </w:r>
      <w:r>
        <w:rPr>
          <w:rFonts w:ascii="Palatino Linotype" w:eastAsia="Palatino Linotype" w:hAnsi="Palatino Linotype" w:cs="Palatino Linotype"/>
          <w:b/>
          <w:bCs/>
          <w:color w:val="000000"/>
        </w:rPr>
        <w:t xml:space="preserve"> simples o certificadas y actuaciones emitidas en el expediente CMT/DIRA/OF/285/2025  Q/05542/2025 a la fecha de la solicitud. </w:t>
      </w:r>
    </w:p>
    <w:p w:rsidR="00353757" w:rsidRDefault="00A37907">
      <w:pPr>
        <w:numPr>
          <w:ilvl w:val="0"/>
          <w:numId w:val="6"/>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De lo anterior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por medio del </w:t>
      </w:r>
      <w:r>
        <w:rPr>
          <w:rFonts w:ascii="Palatino Linotype" w:eastAsia="Palatino Linotype" w:hAnsi="Palatino Linotype" w:cs="Palatino Linotype"/>
          <w:b/>
          <w:bCs/>
          <w:color w:val="000000"/>
        </w:rPr>
        <w:t xml:space="preserve">Titular del Órgano Interno de Control, </w:t>
      </w:r>
      <w:r>
        <w:rPr>
          <w:rFonts w:ascii="Palatino Linotype" w:eastAsia="Palatino Linotype" w:hAnsi="Palatino Linotype" w:cs="Palatino Linotype"/>
          <w:color w:val="000000"/>
        </w:rPr>
        <w:t xml:space="preserve">y servidor público habilitado, informó que a través de la Milésima Ducentésima Septuagésima Octava Sesión Extraordinaria del Comité de Transparencia de fecha 28 de octubre de 2025, a través del Acuerdo CT/SE/1278/01/2025 se aprobó la propuesta para la clasificación de información como reservada por un periodo de 5 años, ello derivado que a la fecha de la </w:t>
      </w:r>
      <w:r>
        <w:rPr>
          <w:rFonts w:ascii="Palatino Linotype" w:eastAsia="Palatino Linotype" w:hAnsi="Palatino Linotype" w:cs="Palatino Linotype"/>
        </w:rPr>
        <w:t>solicitud</w:t>
      </w:r>
      <w:r>
        <w:rPr>
          <w:rFonts w:ascii="Palatino Linotype" w:eastAsia="Palatino Linotype" w:hAnsi="Palatino Linotype" w:cs="Palatino Linotype"/>
          <w:color w:val="000000"/>
        </w:rPr>
        <w:t>, se encuentra en proceso de investigación.</w:t>
      </w:r>
    </w:p>
    <w:p w:rsidR="00353757" w:rsidRDefault="0035375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353757" w:rsidRDefault="00A37907">
      <w:pPr>
        <w:numPr>
          <w:ilvl w:val="0"/>
          <w:numId w:val="6"/>
        </w:numPr>
        <w:spacing w:line="360" w:lineRule="auto"/>
        <w:ind w:left="0" w:right="-734" w:firstLine="0"/>
        <w:jc w:val="both"/>
        <w:rPr>
          <w:color w:val="000000"/>
        </w:rPr>
      </w:pPr>
      <w:r>
        <w:rPr>
          <w:rFonts w:ascii="Palatino Linotype" w:eastAsia="Palatino Linotype" w:hAnsi="Palatino Linotype" w:cs="Palatino Linotype"/>
          <w:color w:val="000000"/>
        </w:rPr>
        <w:t xml:space="preserve">De los motivos de descontento referidos por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se observa que se </w:t>
      </w:r>
      <w:r>
        <w:rPr>
          <w:rFonts w:ascii="Palatino Linotype" w:eastAsia="Palatino Linotype" w:hAnsi="Palatino Linotype" w:cs="Palatino Linotype"/>
        </w:rPr>
        <w:t>inconformó</w:t>
      </w:r>
      <w:r>
        <w:rPr>
          <w:rFonts w:ascii="Palatino Linotype" w:eastAsia="Palatino Linotype" w:hAnsi="Palatino Linotype" w:cs="Palatino Linotype"/>
          <w:color w:val="000000"/>
        </w:rPr>
        <w:t xml:space="preserve"> por </w:t>
      </w:r>
      <w:r>
        <w:rPr>
          <w:rFonts w:ascii="Palatino Linotype" w:eastAsia="Palatino Linotype" w:hAnsi="Palatino Linotype" w:cs="Palatino Linotype"/>
          <w:b/>
          <w:bCs/>
          <w:color w:val="000000"/>
        </w:rPr>
        <w:t>la negativa a la información solicitada.</w:t>
      </w:r>
    </w:p>
    <w:p w:rsidR="00353757" w:rsidRDefault="0035375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353757" w:rsidRDefault="00A37907">
      <w:pPr>
        <w:numPr>
          <w:ilvl w:val="0"/>
          <w:numId w:val="6"/>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Así mismo se puede advertir que el ejercicio del derecho de acceso a la información pública se centra en la potestad de los particulares para conocer el contenido de los </w:t>
      </w:r>
      <w:r>
        <w:rPr>
          <w:rFonts w:ascii="Palatino Linotype" w:eastAsia="Palatino Linotype" w:hAnsi="Palatino Linotype" w:cs="Palatino Linotype"/>
          <w:color w:val="000000"/>
        </w:rPr>
        <w:lastRenderedPageBreak/>
        <w:t>documentos que obren en los archivos de los Sujetos Obligados, ya sea porque los generen, administren o simplemente los posean en el ejercicio de sus atribuciones.</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numPr>
          <w:ilvl w:val="0"/>
          <w:numId w:val="6"/>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Para ello, la Ley de la materia otorga la calidad de documento a 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color w:val="000000"/>
        </w:rPr>
        <w:t>cualquier otro registro que documente el ejercicio de las facultades, funciones y competencias de los Sujetos Obligados</w:t>
      </w:r>
      <w:r>
        <w:rPr>
          <w:rFonts w:ascii="Palatino Linotype" w:eastAsia="Palatino Linotype" w:hAnsi="Palatino Linotype" w:cs="Palatino Linotype"/>
          <w:color w:val="000000"/>
        </w:rPr>
        <w:t>, sus servidores públicos e integrantes, sin importar su fuente o fecha de elaboración. Los documentos podrán estar en cualquier medio, sea escrito, impreso, sonoro, visual, electrónico, informático u holográfico.</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numPr>
          <w:ilvl w:val="0"/>
          <w:numId w:val="3"/>
        </w:numPr>
        <w:pBdr>
          <w:top w:val="nil"/>
          <w:left w:val="nil"/>
          <w:bottom w:val="nil"/>
          <w:right w:val="nil"/>
          <w:between w:val="nil"/>
        </w:pBdr>
        <w:tabs>
          <w:tab w:val="left" w:pos="0"/>
        </w:tabs>
        <w:spacing w:line="360" w:lineRule="auto"/>
        <w:ind w:left="0" w:right="-734" w:firstLine="0"/>
        <w:jc w:val="both"/>
        <w:rPr>
          <w:color w:val="000000"/>
        </w:rPr>
      </w:pPr>
      <w:r>
        <w:rPr>
          <w:rFonts w:ascii="Palatino Linotype" w:eastAsia="Palatino Linotype" w:hAnsi="Palatino Linotype" w:cs="Palatino Linotype"/>
          <w:color w:val="000000"/>
        </w:rPr>
        <w:t xml:space="preserve">Ahora bien, en respuesta, refirió por medio del Titular del Órgano Interno de Control, la reserva de la información requerida por un término de cinco años, así mismo adjunta el Acta de la Milésima Ducentésima Septuagésima Octava Sesión Extraordinaria del Comité de Transparencia que contiene el acuerdo CT/SE/1278/01/2025, que sustenta la </w:t>
      </w:r>
      <w:r>
        <w:rPr>
          <w:rFonts w:ascii="Palatino Linotype" w:eastAsia="Palatino Linotype" w:hAnsi="Palatino Linotype" w:cs="Palatino Linotype"/>
          <w:b/>
          <w:bCs/>
          <w:color w:val="000000"/>
        </w:rPr>
        <w:t>reserva</w:t>
      </w:r>
      <w:r>
        <w:rPr>
          <w:rFonts w:ascii="Palatino Linotype" w:eastAsia="Palatino Linotype" w:hAnsi="Palatino Linotype" w:cs="Palatino Linotype"/>
          <w:color w:val="000000"/>
        </w:rPr>
        <w:t>.</w:t>
      </w:r>
    </w:p>
    <w:p w:rsidR="00353757" w:rsidRDefault="00353757">
      <w:pPr>
        <w:spacing w:line="360" w:lineRule="auto"/>
        <w:ind w:right="-734"/>
        <w:rPr>
          <w:rFonts w:ascii="Palatino Linotype" w:eastAsia="Palatino Linotype" w:hAnsi="Palatino Linotype" w:cs="Palatino Linotype"/>
        </w:rPr>
      </w:pPr>
    </w:p>
    <w:p w:rsidR="00353757" w:rsidRDefault="00A3790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32.  </w:t>
      </w:r>
      <w:r>
        <w:rPr>
          <w:rFonts w:ascii="Palatino Linotype" w:eastAsia="Palatino Linotype" w:hAnsi="Palatino Linotype" w:cs="Palatino Linotype"/>
          <w:color w:val="000000"/>
        </w:rPr>
        <w:t>Por lo anterior, se considera de suma importancia mencionar que la nueva Ley General de Transparencia y Acceso a la Información Pública, en su artículo 114, establece lo siguiente:</w:t>
      </w:r>
    </w:p>
    <w:p w:rsidR="00353757" w:rsidRDefault="00A37907">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114.</w:t>
      </w:r>
      <w:r>
        <w:rPr>
          <w:rFonts w:ascii="Palatino Linotype" w:eastAsia="Palatino Linotype" w:hAnsi="Palatino Linotype" w:cs="Palatino Linotype"/>
          <w:i/>
          <w:iCs/>
        </w:rPr>
        <w:t xml:space="preserve"> No podrá invocarse el carácter de reservado cuando:</w:t>
      </w:r>
    </w:p>
    <w:p w:rsidR="00353757" w:rsidRDefault="00353757">
      <w:pPr>
        <w:spacing w:line="360" w:lineRule="auto"/>
        <w:ind w:left="567" w:right="-734"/>
        <w:jc w:val="both"/>
        <w:rPr>
          <w:rFonts w:ascii="Palatino Linotype" w:eastAsia="Palatino Linotype" w:hAnsi="Palatino Linotype" w:cs="Palatino Linotype"/>
          <w:i/>
          <w:iCs/>
        </w:rPr>
      </w:pPr>
    </w:p>
    <w:p w:rsidR="00353757" w:rsidRDefault="00A37907">
      <w:pPr>
        <w:numPr>
          <w:ilvl w:val="0"/>
          <w:numId w:val="5"/>
        </w:numPr>
        <w:pBdr>
          <w:top w:val="nil"/>
          <w:left w:val="nil"/>
          <w:bottom w:val="nil"/>
          <w:right w:val="nil"/>
          <w:between w:val="nil"/>
        </w:pBdr>
        <w:spacing w:line="360" w:lineRule="auto"/>
        <w:ind w:left="567" w:right="-734"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 trate de violaciones graves de derechos humanos o delitos de lesa humanidad, o </w:t>
      </w:r>
    </w:p>
    <w:p w:rsidR="00353757" w:rsidRDefault="00A37907">
      <w:pPr>
        <w:numPr>
          <w:ilvl w:val="0"/>
          <w:numId w:val="5"/>
        </w:numPr>
        <w:pBdr>
          <w:top w:val="nil"/>
          <w:left w:val="nil"/>
          <w:bottom w:val="nil"/>
          <w:right w:val="nil"/>
          <w:between w:val="nil"/>
        </w:pBdr>
        <w:tabs>
          <w:tab w:val="left" w:pos="851"/>
        </w:tabs>
        <w:spacing w:line="360" w:lineRule="auto"/>
        <w:ind w:left="567" w:right="-734"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 trate de información relacionada con actos de corrupción </w:t>
      </w:r>
      <w:r>
        <w:rPr>
          <w:rFonts w:ascii="Palatino Linotype" w:eastAsia="Palatino Linotype" w:hAnsi="Palatino Linotype" w:cs="Palatino Linotype"/>
          <w:b/>
          <w:bCs/>
          <w:i/>
          <w:iCs/>
          <w:color w:val="000000"/>
          <w:u w:val="single"/>
        </w:rPr>
        <w:t>acreditados de acuerdo con las leyes aplicables.</w:t>
      </w:r>
    </w:p>
    <w:p w:rsidR="00353757" w:rsidRDefault="00353757">
      <w:pPr>
        <w:spacing w:line="360" w:lineRule="auto"/>
        <w:ind w:left="851" w:right="-734"/>
        <w:jc w:val="both"/>
        <w:rPr>
          <w:rFonts w:ascii="Palatino Linotype" w:eastAsia="Palatino Linotype" w:hAnsi="Palatino Linotype" w:cs="Palatino Linotype"/>
          <w:i/>
          <w:iCs/>
        </w:rPr>
      </w:pPr>
    </w:p>
    <w:p w:rsidR="00353757" w:rsidRDefault="00A3790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33.</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Por su parte, el artículo 142 de la Ley de Transparencia Local establece que bajo ninguna circunstancia podrá invocarse el carácter de información reservada cuando se trate de información relacionada con actos de corrupción, situación que no acontece en el caso que nos ocupa.</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De lo anterior, si bien nuestra legislación local en materia de transparencia dispone que no se podrá invocar la reserva de información tratándose, entre otros, de actos de corrupción; atendiendo el principio de supremacía constitucional previsto en el artículo 133 de la Constitución Política de los Estados Unidos Mexicanos, es la Ley General de Transparencia, bajo la cual se debe regir este Organismo Garante.</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numPr>
          <w:ilvl w:val="0"/>
          <w:numId w:val="4"/>
        </w:numPr>
        <w:pBdr>
          <w:top w:val="nil"/>
          <w:left w:val="nil"/>
          <w:bottom w:val="nil"/>
          <w:right w:val="nil"/>
          <w:between w:val="nil"/>
        </w:pBdr>
        <w:spacing w:line="360" w:lineRule="auto"/>
        <w:ind w:left="142" w:right="-734" w:hanging="142"/>
        <w:jc w:val="both"/>
        <w:rPr>
          <w:color w:val="000000"/>
        </w:rPr>
      </w:pPr>
      <w:r>
        <w:rPr>
          <w:rFonts w:ascii="Palatino Linotype" w:eastAsia="Palatino Linotype" w:hAnsi="Palatino Linotype" w:cs="Palatino Linotype"/>
          <w:color w:val="000000"/>
        </w:rPr>
        <w:t xml:space="preserve">De esta manera, en aplicación de lo establecido en la Ley General de Transparencia, se tiene que no podrá invocarse el carácter de información reservada cuando se trate de información relacionada con actos de </w:t>
      </w:r>
      <w:r>
        <w:rPr>
          <w:rFonts w:ascii="Palatino Linotype" w:eastAsia="Palatino Linotype" w:hAnsi="Palatino Linotype" w:cs="Palatino Linotype"/>
          <w:b/>
          <w:bCs/>
          <w:color w:val="000000"/>
          <w:u w:val="single"/>
        </w:rPr>
        <w:t>corrupción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u w:val="single"/>
        </w:rPr>
        <w:t>acreditados,</w:t>
      </w:r>
      <w:r>
        <w:rPr>
          <w:rFonts w:ascii="Palatino Linotype" w:eastAsia="Palatino Linotype" w:hAnsi="Palatino Linotype" w:cs="Palatino Linotype"/>
          <w:color w:val="000000"/>
          <w:u w:val="single"/>
        </w:rPr>
        <w:t xml:space="preserve"> </w:t>
      </w:r>
      <w:r>
        <w:rPr>
          <w:rFonts w:ascii="Palatino Linotype" w:eastAsia="Palatino Linotype" w:hAnsi="Palatino Linotype" w:cs="Palatino Linotype"/>
          <w:color w:val="000000"/>
        </w:rPr>
        <w:t>esto es, que las acciones ilícitas cometidas hayan sido demostradas y formalizadas mediante sentencias judiciales firmes, siendo una atribución exclusiva del Tribunal de Justicia Administrativa del Estado de México, de acuerdo a la Ley de Responsabilidades Administrativas del Estado de México y Municipios.</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Ahora bien, resulta necesario, analizar el Acuerdo de Reserva de la información entregado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en su respuesta, a fin de establecer si el Comité de Transparencia cumplió o no cabalmente con las formalidades exigidas por los artículos 91, 128, 140, fracción I, VI, VIII, X y 141 de la Ley de Transparencia y Acceso a la Información Pública del Estado de México y Municipios, relacionadas con los numerales Vigésimo Noveno y Trigésimo de los lineamientos.</w:t>
      </w:r>
    </w:p>
    <w:p w:rsidR="00353757" w:rsidRDefault="00353757">
      <w:pPr>
        <w:pBdr>
          <w:top w:val="nil"/>
          <w:left w:val="nil"/>
          <w:bottom w:val="nil"/>
          <w:right w:val="nil"/>
          <w:between w:val="nil"/>
        </w:pBdr>
        <w:ind w:left="720" w:right="-734"/>
        <w:rPr>
          <w:rFonts w:ascii="Palatino Linotype" w:eastAsia="Palatino Linotype" w:hAnsi="Palatino Linotype" w:cs="Palatino Linotype"/>
          <w:color w:val="000000"/>
        </w:rPr>
      </w:pPr>
    </w:p>
    <w:tbl>
      <w:tblPr>
        <w:tblStyle w:val="a"/>
        <w:tblW w:w="99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6195"/>
        <w:gridCol w:w="1350"/>
      </w:tblGrid>
      <w:tr w:rsidR="00353757">
        <w:tc>
          <w:tcPr>
            <w:tcW w:w="2355" w:type="dxa"/>
            <w:tcBorders>
              <w:top w:val="single" w:sz="4" w:space="0" w:color="000000"/>
              <w:left w:val="single" w:sz="4" w:space="0" w:color="000000"/>
              <w:bottom w:val="single" w:sz="4" w:space="0" w:color="000000"/>
              <w:right w:val="single" w:sz="4" w:space="0" w:color="000000"/>
            </w:tcBorders>
            <w:shd w:val="clear" w:color="auto" w:fill="7B7B7B"/>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Elementos del acuerdo de clasificación</w:t>
            </w:r>
          </w:p>
        </w:tc>
        <w:tc>
          <w:tcPr>
            <w:tcW w:w="6195" w:type="dxa"/>
            <w:tcBorders>
              <w:top w:val="single" w:sz="4" w:space="0" w:color="000000"/>
              <w:left w:val="single" w:sz="4" w:space="0" w:color="000000"/>
              <w:bottom w:val="single" w:sz="4" w:space="0" w:color="000000"/>
              <w:right w:val="single" w:sz="4" w:space="0" w:color="000000"/>
            </w:tcBorders>
            <w:shd w:val="clear" w:color="auto" w:fill="7B7B7B"/>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Contenido</w:t>
            </w:r>
          </w:p>
        </w:tc>
        <w:tc>
          <w:tcPr>
            <w:tcW w:w="1350" w:type="dxa"/>
            <w:tcBorders>
              <w:top w:val="single" w:sz="4" w:space="0" w:color="000000"/>
              <w:left w:val="single" w:sz="4" w:space="0" w:color="000000"/>
              <w:bottom w:val="single" w:sz="4" w:space="0" w:color="000000"/>
              <w:right w:val="single" w:sz="4" w:space="0" w:color="000000"/>
            </w:tcBorders>
            <w:shd w:val="clear" w:color="auto" w:fill="7B7B7B"/>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Cumple</w:t>
            </w:r>
          </w:p>
        </w:tc>
      </w:tr>
      <w:tr w:rsidR="00353757">
        <w:tc>
          <w:tcPr>
            <w:tcW w:w="235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rPr>
            </w:pPr>
            <w:r>
              <w:rPr>
                <w:rFonts w:ascii="Palatino Linotype" w:eastAsia="Palatino Linotype" w:hAnsi="Palatino Linotype" w:cs="Palatino Linotype"/>
                <w:b/>
                <w:bCs/>
              </w:rPr>
              <w:t>Número de folio de la solicitud</w:t>
            </w:r>
          </w:p>
        </w:tc>
        <w:tc>
          <w:tcPr>
            <w:tcW w:w="619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rPr>
                <w:rFonts w:ascii="Palatino Linotype" w:eastAsia="Palatino Linotype" w:hAnsi="Palatino Linotype" w:cs="Palatino Linotype"/>
              </w:rPr>
            </w:pPr>
            <w:r>
              <w:t xml:space="preserve"> </w:t>
            </w:r>
            <w:r>
              <w:rPr>
                <w:noProof/>
              </w:rPr>
              <w:drawing>
                <wp:inline distT="0" distB="0" distL="0" distR="0">
                  <wp:extent cx="3553460" cy="126873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553460" cy="126873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simplePos x="0" y="0"/>
                      <wp:positionH relativeFrom="column">
                        <wp:posOffset>32069</wp:posOffset>
                      </wp:positionH>
                      <wp:positionV relativeFrom="paragraph">
                        <wp:posOffset>655638</wp:posOffset>
                      </wp:positionV>
                      <wp:extent cx="1162050" cy="255270"/>
                      <wp:effectExtent l="0" t="0" r="0" b="0"/>
                      <wp:wrapNone/>
                      <wp:docPr id="1" name="Rectángulo 1"/>
                      <wp:cNvGraphicFramePr/>
                      <a:graphic xmlns:a="http://schemas.openxmlformats.org/drawingml/2006/main">
                        <a:graphicData uri="http://schemas.microsoft.com/office/word/2010/wordprocessingShape">
                          <wps:wsp>
                            <wps:cNvSpPr/>
                            <wps:spPr>
                              <a:xfrm>
                                <a:off x="4779263" y="3666653"/>
                                <a:ext cx="1133475" cy="226695"/>
                              </a:xfrm>
                              <a:prstGeom prst="rect">
                                <a:avLst/>
                              </a:prstGeom>
                              <a:noFill/>
                              <a:ln w="28575" cap="flat" cmpd="sng">
                                <a:solidFill>
                                  <a:srgbClr val="FF0000"/>
                                </a:solidFill>
                                <a:prstDash val="solid"/>
                                <a:miter lim="8000"/>
                                <a:headEnd type="none" w="sm" len="sm"/>
                                <a:tailEnd type="none" w="sm" len="sm"/>
                              </a:ln>
                            </wps:spPr>
                            <wps:txbx>
                              <w:txbxContent>
                                <w:p w:rsidR="00353757" w:rsidRDefault="00353757">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32069</wp:posOffset>
                      </wp:positionH>
                      <wp:positionV relativeFrom="paragraph">
                        <wp:posOffset>655638</wp:posOffset>
                      </wp:positionV>
                      <wp:extent cx="1162050" cy="255270"/>
                      <wp:effectExtent b="0" l="0" r="0" t="0"/>
                      <wp:wrapNone/>
                      <wp:docPr id="1"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1162050" cy="255270"/>
                              </a:xfrm>
                              <a:prstGeom prst="rect"/>
                              <a:ln/>
                            </pic:spPr>
                          </pic:pic>
                        </a:graphicData>
                      </a:graphic>
                    </wp:anchor>
                  </w:drawing>
                </mc:Fallback>
              </mc:AlternateContent>
            </w:r>
          </w:p>
        </w:tc>
        <w:tc>
          <w:tcPr>
            <w:tcW w:w="1350"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Sí</w:t>
            </w:r>
          </w:p>
        </w:tc>
      </w:tr>
      <w:tr w:rsidR="00353757">
        <w:tc>
          <w:tcPr>
            <w:tcW w:w="235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rPr>
            </w:pPr>
            <w:r>
              <w:rPr>
                <w:rFonts w:ascii="Palatino Linotype" w:eastAsia="Palatino Linotype" w:hAnsi="Palatino Linotype" w:cs="Palatino Linotype"/>
                <w:b/>
                <w:bCs/>
              </w:rPr>
              <w:t>Referencia de la información solicitada</w:t>
            </w:r>
          </w:p>
        </w:tc>
        <w:tc>
          <w:tcPr>
            <w:tcW w:w="619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3553460" cy="89535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553460" cy="895350"/>
                          </a:xfrm>
                          <a:prstGeom prst="rect">
                            <a:avLst/>
                          </a:prstGeom>
                          <a:ln/>
                        </pic:spPr>
                      </pic:pic>
                    </a:graphicData>
                  </a:graphic>
                </wp:inline>
              </w:drawing>
            </w:r>
            <w:r>
              <w:rPr>
                <w:rFonts w:ascii="Palatino Linotype" w:eastAsia="Palatino Linotype" w:hAnsi="Palatino Linotype" w:cs="Palatino Linotype"/>
              </w:rPr>
              <w:t xml:space="preserve"> </w:t>
            </w:r>
            <w:r>
              <w:rPr>
                <w:noProof/>
              </w:rPr>
              <mc:AlternateContent>
                <mc:Choice Requires="wpg">
                  <w:drawing>
                    <wp:anchor distT="0" distB="0" distL="114300" distR="114300" simplePos="0" relativeHeight="251659264" behindDoc="0" locked="0" layoutInCell="1" hidden="0" allowOverlap="1">
                      <wp:simplePos x="0" y="0"/>
                      <wp:positionH relativeFrom="column">
                        <wp:posOffset>94300</wp:posOffset>
                      </wp:positionH>
                      <wp:positionV relativeFrom="paragraph">
                        <wp:posOffset>123508</wp:posOffset>
                      </wp:positionV>
                      <wp:extent cx="3517900" cy="933450"/>
                      <wp:effectExtent l="0" t="0" r="0" b="0"/>
                      <wp:wrapNone/>
                      <wp:docPr id="4" name="Rectángulo 4"/>
                      <wp:cNvGraphicFramePr/>
                      <a:graphic xmlns:a="http://schemas.openxmlformats.org/drawingml/2006/main">
                        <a:graphicData uri="http://schemas.microsoft.com/office/word/2010/wordprocessingShape">
                          <wps:wsp>
                            <wps:cNvSpPr/>
                            <wps:spPr>
                              <a:xfrm>
                                <a:off x="3601338" y="3327563"/>
                                <a:ext cx="3489325" cy="904875"/>
                              </a:xfrm>
                              <a:prstGeom prst="rect">
                                <a:avLst/>
                              </a:prstGeom>
                              <a:noFill/>
                              <a:ln w="28575" cap="flat" cmpd="sng">
                                <a:solidFill>
                                  <a:srgbClr val="FF0000"/>
                                </a:solidFill>
                                <a:prstDash val="solid"/>
                                <a:miter lim="8000"/>
                                <a:headEnd type="none" w="sm" len="sm"/>
                                <a:tailEnd type="none" w="sm" len="sm"/>
                              </a:ln>
                            </wps:spPr>
                            <wps:txbx>
                              <w:txbxContent>
                                <w:p w:rsidR="00353757" w:rsidRDefault="00353757">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94300</wp:posOffset>
                      </wp:positionH>
                      <wp:positionV relativeFrom="paragraph">
                        <wp:posOffset>123508</wp:posOffset>
                      </wp:positionV>
                      <wp:extent cx="3517900" cy="933450"/>
                      <wp:effectExtent b="0" l="0" r="0" t="0"/>
                      <wp:wrapNone/>
                      <wp:docPr id="4"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3517900" cy="933450"/>
                              </a:xfrm>
                              <a:prstGeom prst="rect"/>
                              <a:ln/>
                            </pic:spPr>
                          </pic:pic>
                        </a:graphicData>
                      </a:graphic>
                    </wp:anchor>
                  </w:drawing>
                </mc:Fallback>
              </mc:AlternateContent>
            </w:r>
          </w:p>
          <w:p w:rsidR="00353757" w:rsidRDefault="00353757">
            <w:pPr>
              <w:spacing w:before="100" w:after="200" w:line="276" w:lineRule="auto"/>
              <w:ind w:right="-124"/>
              <w:jc w:val="center"/>
              <w:rPr>
                <w:rFonts w:ascii="Palatino Linotype" w:eastAsia="Palatino Linotype" w:hAnsi="Palatino Linotype" w:cs="Palatino Linotype"/>
              </w:rPr>
            </w:pPr>
          </w:p>
        </w:tc>
        <w:tc>
          <w:tcPr>
            <w:tcW w:w="1350"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rPr>
            </w:pPr>
            <w:r>
              <w:rPr>
                <w:rFonts w:ascii="Palatino Linotype" w:eastAsia="Palatino Linotype" w:hAnsi="Palatino Linotype" w:cs="Palatino Linotype"/>
                <w:b/>
                <w:bCs/>
              </w:rPr>
              <w:t>Sí</w:t>
            </w:r>
          </w:p>
        </w:tc>
      </w:tr>
      <w:tr w:rsidR="00353757">
        <w:tc>
          <w:tcPr>
            <w:tcW w:w="235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rPr>
            </w:pPr>
            <w:r>
              <w:rPr>
                <w:rFonts w:ascii="Palatino Linotype" w:eastAsia="Palatino Linotype" w:hAnsi="Palatino Linotype" w:cs="Palatino Linotype"/>
                <w:b/>
                <w:bCs/>
              </w:rPr>
              <w:t xml:space="preserve">Causal aplicable del artículo 112 de la Ley General, vinculándola con el Lineamiento específico del presente ordenamiento y, cuando corresponda, el supuesto normativo que expresamente le otorga el carácter de </w:t>
            </w:r>
            <w:r>
              <w:rPr>
                <w:rFonts w:ascii="Palatino Linotype" w:eastAsia="Palatino Linotype" w:hAnsi="Palatino Linotype" w:cs="Palatino Linotype"/>
                <w:b/>
                <w:bCs/>
              </w:rPr>
              <w:lastRenderedPageBreak/>
              <w:t>información reservada</w:t>
            </w:r>
          </w:p>
        </w:tc>
        <w:tc>
          <w:tcPr>
            <w:tcW w:w="619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rPr>
                <w:rFonts w:ascii="Palatino Linotype" w:eastAsia="Palatino Linotype" w:hAnsi="Palatino Linotype" w:cs="Palatino Linotype"/>
              </w:rPr>
            </w:pPr>
            <w:r>
              <w:rPr>
                <w:rFonts w:ascii="Palatino Linotype" w:eastAsia="Palatino Linotype" w:hAnsi="Palatino Linotype" w:cs="Palatino Linotype"/>
              </w:rPr>
              <w:lastRenderedPageBreak/>
              <w:t xml:space="preserve"> </w:t>
            </w:r>
            <w:r>
              <w:rPr>
                <w:rFonts w:ascii="Palatino Linotype" w:eastAsia="Palatino Linotype" w:hAnsi="Palatino Linotype" w:cs="Palatino Linotype"/>
                <w:noProof/>
              </w:rPr>
              <w:drawing>
                <wp:inline distT="0" distB="0" distL="0" distR="0">
                  <wp:extent cx="3552825" cy="1419225"/>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3552825" cy="1419225"/>
                          </a:xfrm>
                          <a:prstGeom prst="rect">
                            <a:avLst/>
                          </a:prstGeom>
                          <a:ln/>
                        </pic:spPr>
                      </pic:pic>
                    </a:graphicData>
                  </a:graphic>
                </wp:inline>
              </w:drawing>
            </w:r>
            <w:r>
              <w:rPr>
                <w:noProof/>
              </w:rPr>
              <mc:AlternateContent>
                <mc:Choice Requires="wpg">
                  <w:drawing>
                    <wp:anchor distT="0" distB="0" distL="114300" distR="114300" simplePos="0" relativeHeight="251660288" behindDoc="0" locked="0" layoutInCell="1" hidden="0" allowOverlap="1">
                      <wp:simplePos x="0" y="0"/>
                      <wp:positionH relativeFrom="column">
                        <wp:posOffset>-103821</wp:posOffset>
                      </wp:positionH>
                      <wp:positionV relativeFrom="paragraph">
                        <wp:posOffset>652463</wp:posOffset>
                      </wp:positionV>
                      <wp:extent cx="3679825" cy="1066800"/>
                      <wp:effectExtent l="0" t="0" r="0" b="0"/>
                      <wp:wrapNone/>
                      <wp:docPr id="2" name="Rectángulo 2"/>
                      <wp:cNvGraphicFramePr/>
                      <a:graphic xmlns:a="http://schemas.openxmlformats.org/drawingml/2006/main">
                        <a:graphicData uri="http://schemas.microsoft.com/office/word/2010/wordprocessingShape">
                          <wps:wsp>
                            <wps:cNvSpPr/>
                            <wps:spPr>
                              <a:xfrm>
                                <a:off x="3520375" y="3260888"/>
                                <a:ext cx="3651250" cy="1038225"/>
                              </a:xfrm>
                              <a:prstGeom prst="rect">
                                <a:avLst/>
                              </a:prstGeom>
                              <a:noFill/>
                              <a:ln w="28575" cap="flat" cmpd="sng">
                                <a:solidFill>
                                  <a:srgbClr val="FF0000"/>
                                </a:solidFill>
                                <a:prstDash val="solid"/>
                                <a:miter lim="8000"/>
                                <a:headEnd type="none" w="sm" len="sm"/>
                                <a:tailEnd type="none" w="sm" len="sm"/>
                              </a:ln>
                            </wps:spPr>
                            <wps:txbx>
                              <w:txbxContent>
                                <w:p w:rsidR="00353757" w:rsidRDefault="00353757">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-103821</wp:posOffset>
                      </wp:positionH>
                      <wp:positionV relativeFrom="paragraph">
                        <wp:posOffset>652463</wp:posOffset>
                      </wp:positionV>
                      <wp:extent cx="3679825" cy="1066800"/>
                      <wp:effectExtent b="0" l="0" r="0" t="0"/>
                      <wp:wrapNone/>
                      <wp:docPr id="2"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3679825" cy="1066800"/>
                              </a:xfrm>
                              <a:prstGeom prst="rect"/>
                              <a:ln/>
                            </pic:spPr>
                          </pic:pic>
                        </a:graphicData>
                      </a:graphic>
                    </wp:anchor>
                  </w:drawing>
                </mc:Fallback>
              </mc:AlternateContent>
            </w:r>
          </w:p>
          <w:p w:rsidR="00353757" w:rsidRDefault="00353757">
            <w:pPr>
              <w:spacing w:before="100" w:after="200" w:line="276" w:lineRule="auto"/>
              <w:ind w:right="-124"/>
              <w:rPr>
                <w:rFonts w:ascii="Palatino Linotype" w:eastAsia="Palatino Linotype" w:hAnsi="Palatino Linotype" w:cs="Palatino Linotype"/>
              </w:rPr>
            </w:pPr>
          </w:p>
        </w:tc>
        <w:tc>
          <w:tcPr>
            <w:tcW w:w="1350"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Sí</w:t>
            </w:r>
          </w:p>
        </w:tc>
      </w:tr>
      <w:tr w:rsidR="00353757">
        <w:tc>
          <w:tcPr>
            <w:tcW w:w="235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rPr>
            </w:pPr>
            <w:r>
              <w:rPr>
                <w:rFonts w:ascii="Palatino Linotype" w:eastAsia="Palatino Linotype" w:hAnsi="Palatino Linotype" w:cs="Palatino Linotype"/>
                <w:b/>
                <w:bCs/>
              </w:rPr>
              <w:t>Fundamento y Motivación Legal</w:t>
            </w:r>
          </w:p>
        </w:tc>
        <w:tc>
          <w:tcPr>
            <w:tcW w:w="619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3553460" cy="3472815"/>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3553460" cy="3472815"/>
                          </a:xfrm>
                          <a:prstGeom prst="rect">
                            <a:avLst/>
                          </a:prstGeom>
                          <a:ln/>
                        </pic:spPr>
                      </pic:pic>
                    </a:graphicData>
                  </a:graphic>
                </wp:inline>
              </w:drawing>
            </w:r>
          </w:p>
        </w:tc>
        <w:tc>
          <w:tcPr>
            <w:tcW w:w="1350"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Sí </w:t>
            </w:r>
          </w:p>
        </w:tc>
      </w:tr>
      <w:tr w:rsidR="00353757">
        <w:tc>
          <w:tcPr>
            <w:tcW w:w="235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rPr>
                <w:rFonts w:ascii="Palatino Linotype" w:eastAsia="Palatino Linotype" w:hAnsi="Palatino Linotype" w:cs="Palatino Linotype"/>
                <w:b/>
                <w:bCs/>
              </w:rPr>
            </w:pPr>
            <w:r>
              <w:rPr>
                <w:rFonts w:ascii="Palatino Linotype" w:eastAsia="Palatino Linotype" w:hAnsi="Palatino Linotype" w:cs="Palatino Linotype"/>
                <w:b/>
                <w:bCs/>
              </w:rPr>
              <w:lastRenderedPageBreak/>
              <w:t>Conexión entre los fundamentos y motivos que dieron origen a la Reserva de la información</w:t>
            </w:r>
          </w:p>
        </w:tc>
        <w:tc>
          <w:tcPr>
            <w:tcW w:w="619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3553460" cy="3249295"/>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3553460" cy="3249295"/>
                          </a:xfrm>
                          <a:prstGeom prst="rect">
                            <a:avLst/>
                          </a:prstGeom>
                          <a:ln/>
                        </pic:spPr>
                      </pic:pic>
                    </a:graphicData>
                  </a:graphic>
                </wp:inline>
              </w:drawing>
            </w:r>
            <w:r>
              <w:t xml:space="preserve"> </w:t>
            </w:r>
            <w:r>
              <w:rPr>
                <w:rFonts w:ascii="Palatino Linotype" w:eastAsia="Palatino Linotype" w:hAnsi="Palatino Linotype" w:cs="Palatino Linotype"/>
                <w:noProof/>
              </w:rPr>
              <w:drawing>
                <wp:inline distT="0" distB="0" distL="0" distR="0">
                  <wp:extent cx="3553460" cy="126873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3553460" cy="1268730"/>
                          </a:xfrm>
                          <a:prstGeom prst="rect">
                            <a:avLst/>
                          </a:prstGeom>
                          <a:ln/>
                        </pic:spPr>
                      </pic:pic>
                    </a:graphicData>
                  </a:graphic>
                </wp:inline>
              </w:drawing>
            </w:r>
          </w:p>
        </w:tc>
        <w:tc>
          <w:tcPr>
            <w:tcW w:w="1350"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Sí</w:t>
            </w:r>
          </w:p>
          <w:p w:rsidR="00353757" w:rsidRDefault="00353757">
            <w:pPr>
              <w:spacing w:before="100" w:after="200" w:line="276" w:lineRule="auto"/>
              <w:ind w:right="-124"/>
              <w:jc w:val="both"/>
              <w:rPr>
                <w:rFonts w:ascii="Palatino Linotype" w:eastAsia="Palatino Linotype" w:hAnsi="Palatino Linotype" w:cs="Palatino Linotype"/>
                <w:b/>
                <w:bCs/>
              </w:rPr>
            </w:pPr>
          </w:p>
        </w:tc>
      </w:tr>
      <w:tr w:rsidR="00353757">
        <w:tc>
          <w:tcPr>
            <w:tcW w:w="9900" w:type="dxa"/>
            <w:gridSpan w:val="3"/>
            <w:tcBorders>
              <w:top w:val="single" w:sz="4" w:space="0" w:color="000000"/>
              <w:left w:val="single" w:sz="4" w:space="0" w:color="000000"/>
              <w:bottom w:val="single" w:sz="4" w:space="0" w:color="000000"/>
              <w:right w:val="single" w:sz="4" w:space="0" w:color="000000"/>
            </w:tcBorders>
            <w:shd w:val="clear" w:color="auto" w:fill="7B7B7B"/>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Elementos de la prueba de daño</w:t>
            </w:r>
          </w:p>
        </w:tc>
      </w:tr>
      <w:tr w:rsidR="00353757">
        <w:tc>
          <w:tcPr>
            <w:tcW w:w="2355" w:type="dxa"/>
            <w:tcBorders>
              <w:top w:val="single" w:sz="4" w:space="0" w:color="000000"/>
              <w:left w:val="single" w:sz="4" w:space="0" w:color="000000"/>
              <w:bottom w:val="single" w:sz="4" w:space="0" w:color="000000"/>
              <w:right w:val="single" w:sz="4" w:space="0" w:color="000000"/>
            </w:tcBorders>
          </w:tcPr>
          <w:p w:rsidR="00353757" w:rsidRDefault="00A37907">
            <w:pPr>
              <w:spacing w:after="120" w:line="25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Riesgo Real, Demostrable e Identificable</w:t>
            </w:r>
          </w:p>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(Modo, Tiempo y Lugar)</w:t>
            </w:r>
          </w:p>
        </w:tc>
        <w:tc>
          <w:tcPr>
            <w:tcW w:w="619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rPr>
                <w:rFonts w:ascii="Palatino Linotype" w:eastAsia="Palatino Linotype" w:hAnsi="Palatino Linotype" w:cs="Palatino Linotype"/>
                <w:b/>
                <w:bCs/>
              </w:rPr>
            </w:pPr>
            <w:r>
              <w:rPr>
                <w:rFonts w:ascii="Palatino Linotype" w:eastAsia="Palatino Linotype" w:hAnsi="Palatino Linotype" w:cs="Palatino Linotype"/>
                <w:b/>
                <w:bCs/>
                <w:noProof/>
              </w:rPr>
              <w:drawing>
                <wp:inline distT="0" distB="0" distL="0" distR="0">
                  <wp:extent cx="3553460" cy="59817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3553460" cy="598170"/>
                          </a:xfrm>
                          <a:prstGeom prst="rect">
                            <a:avLst/>
                          </a:prstGeom>
                          <a:ln/>
                        </pic:spPr>
                      </pic:pic>
                    </a:graphicData>
                  </a:graphic>
                </wp:inline>
              </w:drawing>
            </w:r>
          </w:p>
          <w:p w:rsidR="00353757" w:rsidRDefault="00A37907">
            <w:pPr>
              <w:spacing w:before="100" w:after="200" w:line="276" w:lineRule="auto"/>
              <w:ind w:right="-124"/>
              <w:rPr>
                <w:rFonts w:ascii="Palatino Linotype" w:eastAsia="Palatino Linotype" w:hAnsi="Palatino Linotype" w:cs="Palatino Linotype"/>
                <w:b/>
                <w:bCs/>
              </w:rPr>
            </w:pPr>
            <w:r>
              <w:rPr>
                <w:rFonts w:ascii="Palatino Linotype" w:eastAsia="Palatino Linotype" w:hAnsi="Palatino Linotype" w:cs="Palatino Linotype"/>
                <w:b/>
                <w:bCs/>
                <w:noProof/>
              </w:rPr>
              <w:lastRenderedPageBreak/>
              <w:drawing>
                <wp:inline distT="0" distB="0" distL="0" distR="0">
                  <wp:extent cx="3553460" cy="271526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3553460" cy="2715260"/>
                          </a:xfrm>
                          <a:prstGeom prst="rect">
                            <a:avLst/>
                          </a:prstGeom>
                          <a:ln/>
                        </pic:spPr>
                      </pic:pic>
                    </a:graphicData>
                  </a:graphic>
                </wp:inline>
              </w:drawing>
            </w:r>
          </w:p>
          <w:p w:rsidR="00353757" w:rsidRDefault="00A37907">
            <w:pPr>
              <w:spacing w:before="100" w:after="200" w:line="276" w:lineRule="auto"/>
              <w:ind w:right="-124"/>
              <w:rPr>
                <w:rFonts w:ascii="Palatino Linotype" w:eastAsia="Palatino Linotype" w:hAnsi="Palatino Linotype" w:cs="Palatino Linotype"/>
                <w:b/>
                <w:bCs/>
              </w:rPr>
            </w:pPr>
            <w:r>
              <w:rPr>
                <w:rFonts w:ascii="Palatino Linotype" w:eastAsia="Palatino Linotype" w:hAnsi="Palatino Linotype" w:cs="Palatino Linotype"/>
                <w:b/>
                <w:bCs/>
                <w:noProof/>
              </w:rPr>
              <w:drawing>
                <wp:inline distT="0" distB="0" distL="0" distR="0">
                  <wp:extent cx="3553460" cy="271526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3553460" cy="2715260"/>
                          </a:xfrm>
                          <a:prstGeom prst="rect">
                            <a:avLst/>
                          </a:prstGeom>
                          <a:ln/>
                        </pic:spPr>
                      </pic:pic>
                    </a:graphicData>
                  </a:graphic>
                </wp:inline>
              </w:drawing>
            </w:r>
          </w:p>
          <w:p w:rsidR="00353757" w:rsidRDefault="00A37907">
            <w:pPr>
              <w:spacing w:before="100" w:after="200" w:line="276" w:lineRule="auto"/>
              <w:ind w:right="-124"/>
              <w:rPr>
                <w:rFonts w:ascii="Palatino Linotype" w:eastAsia="Palatino Linotype" w:hAnsi="Palatino Linotype" w:cs="Palatino Linotype"/>
                <w:b/>
                <w:bCs/>
              </w:rPr>
            </w:pPr>
            <w:r>
              <w:rPr>
                <w:rFonts w:ascii="Palatino Linotype" w:eastAsia="Palatino Linotype" w:hAnsi="Palatino Linotype" w:cs="Palatino Linotype"/>
                <w:b/>
                <w:bCs/>
                <w:noProof/>
              </w:rPr>
              <w:lastRenderedPageBreak/>
              <w:drawing>
                <wp:inline distT="0" distB="0" distL="0" distR="0">
                  <wp:extent cx="3553460" cy="193929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3553460" cy="1939290"/>
                          </a:xfrm>
                          <a:prstGeom prst="rect">
                            <a:avLst/>
                          </a:prstGeom>
                          <a:ln/>
                        </pic:spPr>
                      </pic:pic>
                    </a:graphicData>
                  </a:graphic>
                </wp:inline>
              </w:drawing>
            </w:r>
            <w:r>
              <w:t xml:space="preserve"> </w:t>
            </w:r>
            <w:r>
              <w:rPr>
                <w:rFonts w:ascii="Palatino Linotype" w:eastAsia="Palatino Linotype" w:hAnsi="Palatino Linotype" w:cs="Palatino Linotype"/>
                <w:b/>
                <w:bCs/>
                <w:noProof/>
              </w:rPr>
              <w:drawing>
                <wp:inline distT="0" distB="0" distL="0" distR="0">
                  <wp:extent cx="3553460" cy="7620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553460" cy="762000"/>
                          </a:xfrm>
                          <a:prstGeom prst="rect">
                            <a:avLst/>
                          </a:prstGeom>
                          <a:ln/>
                        </pic:spPr>
                      </pic:pic>
                    </a:graphicData>
                  </a:graphic>
                </wp:inline>
              </w:drawing>
            </w:r>
          </w:p>
          <w:p w:rsidR="00353757" w:rsidRDefault="00A37907">
            <w:pPr>
              <w:spacing w:before="100" w:after="200" w:line="276" w:lineRule="auto"/>
              <w:ind w:right="-124"/>
              <w:rPr>
                <w:rFonts w:ascii="Palatino Linotype" w:eastAsia="Palatino Linotype" w:hAnsi="Palatino Linotype" w:cs="Palatino Linotype"/>
                <w:b/>
                <w:bCs/>
              </w:rPr>
            </w:pPr>
            <w:r>
              <w:rPr>
                <w:rFonts w:ascii="Palatino Linotype" w:eastAsia="Palatino Linotype" w:hAnsi="Palatino Linotype" w:cs="Palatino Linotype"/>
                <w:b/>
                <w:bCs/>
                <w:noProof/>
              </w:rPr>
              <w:drawing>
                <wp:inline distT="0" distB="0" distL="0" distR="0">
                  <wp:extent cx="3553460" cy="1189355"/>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3553460" cy="1189355"/>
                          </a:xfrm>
                          <a:prstGeom prst="rect">
                            <a:avLst/>
                          </a:prstGeom>
                          <a:ln/>
                        </pic:spPr>
                      </pic:pic>
                    </a:graphicData>
                  </a:graphic>
                </wp:inline>
              </w:drawing>
            </w:r>
          </w:p>
          <w:p w:rsidR="00353757" w:rsidRDefault="00A37907">
            <w:pPr>
              <w:spacing w:before="100" w:after="200" w:line="276" w:lineRule="auto"/>
              <w:ind w:right="-124"/>
              <w:rPr>
                <w:rFonts w:ascii="Palatino Linotype" w:eastAsia="Palatino Linotype" w:hAnsi="Palatino Linotype" w:cs="Palatino Linotype"/>
                <w:b/>
                <w:bCs/>
              </w:rPr>
            </w:pPr>
            <w:r>
              <w:rPr>
                <w:rFonts w:ascii="Palatino Linotype" w:eastAsia="Palatino Linotype" w:hAnsi="Palatino Linotype" w:cs="Palatino Linotype"/>
                <w:b/>
                <w:bCs/>
                <w:noProof/>
              </w:rPr>
              <w:drawing>
                <wp:inline distT="0" distB="0" distL="0" distR="0">
                  <wp:extent cx="3686175" cy="164592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t="25773" r="-3734"/>
                          <a:stretch>
                            <a:fillRect/>
                          </a:stretch>
                        </pic:blipFill>
                        <pic:spPr>
                          <a:xfrm>
                            <a:off x="0" y="0"/>
                            <a:ext cx="3686175" cy="1645920"/>
                          </a:xfrm>
                          <a:prstGeom prst="rect">
                            <a:avLst/>
                          </a:prstGeom>
                          <a:ln/>
                        </pic:spPr>
                      </pic:pic>
                    </a:graphicData>
                  </a:graphic>
                </wp:inline>
              </w:drawing>
            </w:r>
          </w:p>
        </w:tc>
        <w:tc>
          <w:tcPr>
            <w:tcW w:w="1350"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Si</w:t>
            </w:r>
          </w:p>
          <w:p w:rsidR="00353757" w:rsidRDefault="00353757">
            <w:pPr>
              <w:spacing w:before="100" w:after="200" w:line="276" w:lineRule="auto"/>
              <w:ind w:right="-124"/>
              <w:jc w:val="center"/>
              <w:rPr>
                <w:rFonts w:ascii="Palatino Linotype" w:eastAsia="Palatino Linotype" w:hAnsi="Palatino Linotype" w:cs="Palatino Linotype"/>
                <w:b/>
                <w:bCs/>
              </w:rPr>
            </w:pPr>
          </w:p>
        </w:tc>
      </w:tr>
      <w:tr w:rsidR="00353757">
        <w:tc>
          <w:tcPr>
            <w:tcW w:w="235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Temporalidad de la Reserva de la información</w:t>
            </w:r>
          </w:p>
        </w:tc>
        <w:tc>
          <w:tcPr>
            <w:tcW w:w="6195" w:type="dxa"/>
            <w:tcBorders>
              <w:top w:val="single" w:sz="4" w:space="0" w:color="000000"/>
              <w:left w:val="single" w:sz="4" w:space="0" w:color="000000"/>
              <w:bottom w:val="single" w:sz="4" w:space="0" w:color="000000"/>
              <w:right w:val="single" w:sz="4" w:space="0" w:color="000000"/>
            </w:tcBorders>
          </w:tcPr>
          <w:p w:rsidR="00353757" w:rsidRDefault="00353757">
            <w:pPr>
              <w:spacing w:before="100" w:after="200" w:line="276" w:lineRule="auto"/>
              <w:ind w:right="-124"/>
              <w:rPr>
                <w:rFonts w:ascii="Palatino Linotype" w:eastAsia="Palatino Linotype" w:hAnsi="Palatino Linotype" w:cs="Palatino Linotype"/>
                <w:b/>
                <w:bCs/>
              </w:rPr>
            </w:pPr>
          </w:p>
          <w:p w:rsidR="00353757" w:rsidRDefault="00A37907">
            <w:pPr>
              <w:spacing w:before="100" w:after="200" w:line="276" w:lineRule="auto"/>
              <w:ind w:right="-124"/>
              <w:rPr>
                <w:rFonts w:ascii="Palatino Linotype" w:eastAsia="Palatino Linotype" w:hAnsi="Palatino Linotype" w:cs="Palatino Linotype"/>
                <w:b/>
                <w:bCs/>
              </w:rPr>
            </w:pPr>
            <w:r>
              <w:rPr>
                <w:rFonts w:ascii="Palatino Linotype" w:eastAsia="Palatino Linotype" w:hAnsi="Palatino Linotype" w:cs="Palatino Linotype"/>
                <w:b/>
                <w:bCs/>
                <w:noProof/>
              </w:rPr>
              <w:lastRenderedPageBreak/>
              <w:drawing>
                <wp:inline distT="0" distB="0" distL="0" distR="0">
                  <wp:extent cx="3553460" cy="1367790"/>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3553460" cy="1367790"/>
                          </a:xfrm>
                          <a:prstGeom prst="rect">
                            <a:avLst/>
                          </a:prstGeom>
                          <a:ln/>
                        </pic:spPr>
                      </pic:pic>
                    </a:graphicData>
                  </a:graphic>
                </wp:inline>
              </w:drawing>
            </w:r>
            <w:r>
              <w:rPr>
                <w:noProof/>
              </w:rPr>
              <mc:AlternateContent>
                <mc:Choice Requires="wpg">
                  <w:drawing>
                    <wp:anchor distT="0" distB="0" distL="114300" distR="114300" simplePos="0" relativeHeight="251661312" behindDoc="0" locked="0" layoutInCell="1" hidden="0" allowOverlap="1">
                      <wp:simplePos x="0" y="0"/>
                      <wp:positionH relativeFrom="column">
                        <wp:posOffset>170498</wp:posOffset>
                      </wp:positionH>
                      <wp:positionV relativeFrom="paragraph">
                        <wp:posOffset>121603</wp:posOffset>
                      </wp:positionV>
                      <wp:extent cx="3305175" cy="495300"/>
                      <wp:effectExtent l="0" t="0" r="0" b="0"/>
                      <wp:wrapNone/>
                      <wp:docPr id="3" name="Rectángulo 3"/>
                      <wp:cNvGraphicFramePr/>
                      <a:graphic xmlns:a="http://schemas.openxmlformats.org/drawingml/2006/main">
                        <a:graphicData uri="http://schemas.microsoft.com/office/word/2010/wordprocessingShape">
                          <wps:wsp>
                            <wps:cNvSpPr/>
                            <wps:spPr>
                              <a:xfrm>
                                <a:off x="3707700" y="3546638"/>
                                <a:ext cx="3276600" cy="466725"/>
                              </a:xfrm>
                              <a:prstGeom prst="rect">
                                <a:avLst/>
                              </a:prstGeom>
                              <a:noFill/>
                              <a:ln w="28575" cap="flat" cmpd="sng">
                                <a:solidFill>
                                  <a:srgbClr val="FF0000"/>
                                </a:solidFill>
                                <a:prstDash val="solid"/>
                                <a:miter lim="8000"/>
                                <a:headEnd type="none" w="sm" len="sm"/>
                                <a:tailEnd type="none" w="sm" len="sm"/>
                              </a:ln>
                            </wps:spPr>
                            <wps:txbx>
                              <w:txbxContent>
                                <w:p w:rsidR="00353757" w:rsidRDefault="00353757">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170498</wp:posOffset>
                      </wp:positionH>
                      <wp:positionV relativeFrom="paragraph">
                        <wp:posOffset>121603</wp:posOffset>
                      </wp:positionV>
                      <wp:extent cx="3305175" cy="495300"/>
                      <wp:effectExtent b="0" l="0" r="0" t="0"/>
                      <wp:wrapNone/>
                      <wp:docPr id="3"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3305175" cy="495300"/>
                              </a:xfrm>
                              <a:prstGeom prst="rect"/>
                              <a:ln/>
                            </pic:spPr>
                          </pic:pic>
                        </a:graphicData>
                      </a:graphic>
                    </wp:anchor>
                  </w:drawing>
                </mc:Fallback>
              </mc:AlternateContent>
            </w:r>
          </w:p>
          <w:p w:rsidR="00353757" w:rsidRDefault="00353757">
            <w:pPr>
              <w:spacing w:before="100" w:after="200" w:line="276" w:lineRule="auto"/>
              <w:ind w:right="-124"/>
              <w:rPr>
                <w:rFonts w:ascii="Palatino Linotype" w:eastAsia="Palatino Linotype" w:hAnsi="Palatino Linotype" w:cs="Palatino Linotype"/>
                <w:b/>
                <w:bCs/>
              </w:rPr>
            </w:pPr>
          </w:p>
          <w:p w:rsidR="00353757" w:rsidRDefault="00353757">
            <w:pPr>
              <w:spacing w:before="100" w:after="200" w:line="276" w:lineRule="auto"/>
              <w:ind w:right="-124"/>
              <w:rPr>
                <w:rFonts w:ascii="Palatino Linotype" w:eastAsia="Palatino Linotype" w:hAnsi="Palatino Linotype" w:cs="Palatino Linotype"/>
                <w:b/>
                <w:bCs/>
              </w:rPr>
            </w:pPr>
          </w:p>
        </w:tc>
        <w:tc>
          <w:tcPr>
            <w:tcW w:w="1350"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Sí</w:t>
            </w:r>
          </w:p>
          <w:p w:rsidR="00353757" w:rsidRDefault="00353757">
            <w:pPr>
              <w:spacing w:before="100" w:after="200" w:line="276" w:lineRule="auto"/>
              <w:ind w:right="-124"/>
              <w:jc w:val="both"/>
              <w:rPr>
                <w:rFonts w:ascii="Palatino Linotype" w:eastAsia="Palatino Linotype" w:hAnsi="Palatino Linotype" w:cs="Palatino Linotype"/>
                <w:b/>
                <w:bCs/>
              </w:rPr>
            </w:pPr>
          </w:p>
        </w:tc>
      </w:tr>
      <w:tr w:rsidR="00353757">
        <w:tc>
          <w:tcPr>
            <w:tcW w:w="235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Autoridades competentes.</w:t>
            </w:r>
          </w:p>
        </w:tc>
        <w:tc>
          <w:tcPr>
            <w:tcW w:w="6195"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3552825" cy="4314825"/>
                  <wp:effectExtent l="0" t="0" r="0" b="0"/>
                  <wp:docPr id="2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3552825" cy="4314825"/>
                          </a:xfrm>
                          <a:prstGeom prst="rect">
                            <a:avLst/>
                          </a:prstGeom>
                          <a:ln/>
                        </pic:spPr>
                      </pic:pic>
                    </a:graphicData>
                  </a:graphic>
                </wp:inline>
              </w:drawing>
            </w:r>
          </w:p>
        </w:tc>
        <w:tc>
          <w:tcPr>
            <w:tcW w:w="1350" w:type="dxa"/>
            <w:tcBorders>
              <w:top w:val="single" w:sz="4" w:space="0" w:color="000000"/>
              <w:left w:val="single" w:sz="4" w:space="0" w:color="000000"/>
              <w:bottom w:val="single" w:sz="4" w:space="0" w:color="000000"/>
              <w:right w:val="single" w:sz="4" w:space="0" w:color="000000"/>
            </w:tcBorders>
          </w:tcPr>
          <w:p w:rsidR="00353757" w:rsidRDefault="00A37907">
            <w:pPr>
              <w:spacing w:before="100" w:after="200" w:line="276" w:lineRule="auto"/>
              <w:ind w:right="-124"/>
              <w:jc w:val="center"/>
              <w:rPr>
                <w:rFonts w:ascii="Palatino Linotype" w:eastAsia="Palatino Linotype" w:hAnsi="Palatino Linotype" w:cs="Palatino Linotype"/>
                <w:b/>
                <w:bCs/>
              </w:rPr>
            </w:pPr>
            <w:r>
              <w:rPr>
                <w:rFonts w:ascii="Palatino Linotype" w:eastAsia="Palatino Linotype" w:hAnsi="Palatino Linotype" w:cs="Palatino Linotype"/>
                <w:b/>
                <w:bCs/>
              </w:rPr>
              <w:t>Sí</w:t>
            </w:r>
          </w:p>
        </w:tc>
      </w:tr>
    </w:tbl>
    <w:p w:rsidR="0000610D" w:rsidRPr="0000610D" w:rsidRDefault="0000610D" w:rsidP="0000610D">
      <w:pPr>
        <w:pBdr>
          <w:top w:val="nil"/>
          <w:left w:val="nil"/>
          <w:bottom w:val="nil"/>
          <w:right w:val="nil"/>
          <w:between w:val="nil"/>
        </w:pBdr>
        <w:spacing w:line="360" w:lineRule="auto"/>
        <w:ind w:right="-734"/>
        <w:jc w:val="both"/>
        <w:rPr>
          <w:color w:val="000000"/>
        </w:rPr>
      </w:pPr>
    </w:p>
    <w:p w:rsidR="00353757" w:rsidRDefault="00A37907">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Como se </w:t>
      </w:r>
      <w:r>
        <w:rPr>
          <w:rFonts w:ascii="Palatino Linotype" w:eastAsia="Palatino Linotype" w:hAnsi="Palatino Linotype" w:cs="Palatino Linotype"/>
        </w:rPr>
        <w:t>vislumbra</w:t>
      </w:r>
      <w:r>
        <w:rPr>
          <w:rFonts w:ascii="Palatino Linotype" w:eastAsia="Palatino Linotype" w:hAnsi="Palatino Linotype" w:cs="Palatino Linotype"/>
          <w:color w:val="000000"/>
        </w:rPr>
        <w:t xml:space="preserve"> en páginas previas,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realizó la prueba de daño y precisó las razones por las cuales la apertura de la información generaría una </w:t>
      </w:r>
      <w:r>
        <w:rPr>
          <w:rFonts w:ascii="Palatino Linotype" w:eastAsia="Palatino Linotype" w:hAnsi="Palatino Linotype" w:cs="Palatino Linotype"/>
          <w:color w:val="000000"/>
        </w:rPr>
        <w:lastRenderedPageBreak/>
        <w:t xml:space="preserve">afectación, fundado y motivado aplicable al caso en concreto, esto es, </w:t>
      </w:r>
      <w:r>
        <w:rPr>
          <w:rFonts w:ascii="Palatino Linotype" w:eastAsia="Palatino Linotype" w:hAnsi="Palatino Linotype" w:cs="Palatino Linotype"/>
        </w:rPr>
        <w:t>encuadrar</w:t>
      </w:r>
      <w:r>
        <w:rPr>
          <w:rFonts w:ascii="Palatino Linotype" w:eastAsia="Palatino Linotype" w:hAnsi="Palatino Linotype" w:cs="Palatino Linotype"/>
          <w:color w:val="000000"/>
        </w:rPr>
        <w:t xml:space="preserve"> correctamente la fracción de los artículos de la Ley de Transparencia Local,; así como de la Ley General de Transparencia.</w:t>
      </w:r>
    </w:p>
    <w:p w:rsidR="00353757" w:rsidRDefault="00353757">
      <w:pPr>
        <w:pBdr>
          <w:top w:val="nil"/>
          <w:left w:val="nil"/>
          <w:bottom w:val="nil"/>
          <w:right w:val="nil"/>
          <w:between w:val="nil"/>
        </w:pBdr>
        <w:spacing w:line="360" w:lineRule="auto"/>
        <w:ind w:left="502" w:right="-734"/>
        <w:jc w:val="both"/>
        <w:rPr>
          <w:rFonts w:ascii="Palatino Linotype" w:eastAsia="Palatino Linotype" w:hAnsi="Palatino Linotype" w:cs="Palatino Linotype"/>
        </w:rPr>
      </w:pPr>
    </w:p>
    <w:p w:rsidR="00353757" w:rsidRDefault="00A37907">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Del análisis del acuerdo de reserva, se advierte que el sujeto obligado funda y motiva adecuadamente la clasificación de la información como reservada, toda vez que de conformidad con lo establecido en el artículo 141 de la Ley de Transparencia del Estado, las causales de reserva se deberán fundar y motivar, a través de la aplicación de la prueba de daño.</w:t>
      </w:r>
    </w:p>
    <w:p w:rsidR="00353757" w:rsidRDefault="00353757">
      <w:pPr>
        <w:pBdr>
          <w:top w:val="nil"/>
          <w:left w:val="nil"/>
          <w:bottom w:val="nil"/>
          <w:right w:val="nil"/>
          <w:between w:val="nil"/>
        </w:pBdr>
        <w:ind w:left="720" w:right="-734"/>
        <w:rPr>
          <w:rFonts w:ascii="Palatino Linotype" w:eastAsia="Palatino Linotype" w:hAnsi="Palatino Linotype" w:cs="Palatino Linotype"/>
          <w:color w:val="000000"/>
        </w:rPr>
      </w:pPr>
    </w:p>
    <w:p w:rsidR="00353757" w:rsidRDefault="00A37907">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Para entender los alcances de la fundamentación y motivación, sirve de sustento la tesis visible en la página 450, Tomo XIV, Noviembre de 1994, del Apéndice del Semanario Judicial de la Federación 1917-2000, que literalmente dice: </w:t>
      </w:r>
    </w:p>
    <w:p w:rsidR="00353757" w:rsidRDefault="00A37907">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FUNDAMENTACIÓN Y MOTIVACIÓN, CONCEPTO DE.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Así, para considerar que se cumple con la formalidad destacada, la autoridad emisora de un acto de autoridad que </w:t>
      </w:r>
      <w:r>
        <w:rPr>
          <w:rFonts w:ascii="Palatino Linotype" w:eastAsia="Palatino Linotype" w:hAnsi="Palatino Linotype" w:cs="Palatino Linotype"/>
        </w:rPr>
        <w:t>incide</w:t>
      </w:r>
      <w:r>
        <w:rPr>
          <w:rFonts w:ascii="Palatino Linotype" w:eastAsia="Palatino Linotype" w:hAnsi="Palatino Linotype" w:cs="Palatino Linotype"/>
          <w:color w:val="000000"/>
        </w:rPr>
        <w:t xml:space="preserve"> en la esfera de derechos de un particular, </w:t>
      </w:r>
      <w:r>
        <w:rPr>
          <w:rFonts w:ascii="Palatino Linotype" w:eastAsia="Palatino Linotype" w:hAnsi="Palatino Linotype" w:cs="Palatino Linotype"/>
          <w:b/>
          <w:bCs/>
          <w:color w:val="000000"/>
        </w:rPr>
        <w:t>debe darle a conocer a este, en detalle y de manera completa</w:t>
      </w:r>
      <w:r>
        <w:rPr>
          <w:rFonts w:ascii="Palatino Linotype" w:eastAsia="Palatino Linotype" w:hAnsi="Palatino Linotype" w:cs="Palatino Linotype"/>
          <w:color w:val="000000"/>
        </w:rPr>
        <w:t xml:space="preserve">, en la actuación de que se trate, la esencia de todas las circunstancias y condiciones que determinaron el acto de la autoridad, de manera que sea evidente y muy claro para el afectado poder cuestionar y controvertir el mérito de la decisión, permitiéndole una real y auténtica defensa. Por tanto, no basta que el acto de autoridad apenas observe una motivación de manera insuficiente o imprecisa, que impida la </w:t>
      </w:r>
      <w:r>
        <w:rPr>
          <w:rFonts w:ascii="Palatino Linotype" w:eastAsia="Palatino Linotype" w:hAnsi="Palatino Linotype" w:cs="Palatino Linotype"/>
          <w:color w:val="000000"/>
        </w:rPr>
        <w:lastRenderedPageBreak/>
        <w:t>finalidad del conocimiento, comprobación y defensa pertinente, por lo que, la decisión a efecto de que se considere debidamente fundado y motivado, debe de exponer los hechos relevantes para decidir, citando la norma y un argumento mínimo pero suficiente para acreditar el razonamiento del que se deduzca la relación de pertenencia lógica de los hechos al derecho invocado, que es la subsunción.</w:t>
      </w:r>
    </w:p>
    <w:p w:rsidR="00353757" w:rsidRDefault="0035375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353757" w:rsidRDefault="00A37907">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Tal criterio se advierte de la tesis jurisprudencial I.4o.A. J/43, sustentada por el Cuarto Tribunal en Materia Administrativa del Primer Circuito, publicada en la página 1531 del Tomo XXIII, Mayo de 2006, del Semanario Judicial de la Federación y su Gaceta correspondiente a la Novena Época, que dice: </w:t>
      </w:r>
    </w:p>
    <w:p w:rsidR="00353757" w:rsidRDefault="00A37907">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FUNDAMENTACIÓN Y MOTIVACIÓN. EL ASPECTO FORMAL DE LA GARANTÍA Y SU FINALIDAD SE TRADUCEN EN EXPLICAR, JUSTIFICAR, POSIBILITAR LA DEFENSA Y COMUNICAR LA DECISIÓN.</w:t>
      </w:r>
      <w:r>
        <w:rPr>
          <w:rFonts w:ascii="Palatino Linotype" w:eastAsia="Palatino Linotype" w:hAnsi="Palatino Linotype" w:cs="Palatino Linotype"/>
          <w:i/>
          <w:iCs/>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353757" w:rsidRDefault="00353757">
      <w:pPr>
        <w:pBdr>
          <w:top w:val="nil"/>
          <w:left w:val="nil"/>
          <w:bottom w:val="nil"/>
          <w:right w:val="nil"/>
          <w:between w:val="nil"/>
        </w:pBdr>
        <w:ind w:left="720" w:right="-734"/>
        <w:rPr>
          <w:rFonts w:ascii="Palatino Linotype" w:eastAsia="Palatino Linotype" w:hAnsi="Palatino Linotype" w:cs="Palatino Linotype"/>
          <w:color w:val="000000"/>
        </w:rPr>
      </w:pPr>
    </w:p>
    <w:p w:rsidR="00353757" w:rsidRDefault="00A37907">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De lo anterior, en el acta de la Milésima Ducentésima Septuagésima Octava Sesión Extraordinaria 2025, el Comité de Transparencia del Ayuntamiento de Toluca, señala que proporcionar la información solicitada, podría vulnerar u obstruir la conducción del proceso </w:t>
      </w:r>
      <w:r>
        <w:rPr>
          <w:rFonts w:ascii="Palatino Linotype" w:eastAsia="Palatino Linotype" w:hAnsi="Palatino Linotype" w:cs="Palatino Linotype"/>
          <w:color w:val="000000"/>
        </w:rPr>
        <w:lastRenderedPageBreak/>
        <w:t>de investigación que se encuentra radicado en el Órgano Interno de Control del mismo Ayuntamiento, por faltas administrativas cometidas presuntamente por Servidores Públicos.</w:t>
      </w:r>
    </w:p>
    <w:p w:rsidR="00353757" w:rsidRDefault="00353757">
      <w:p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p>
    <w:p w:rsidR="00B20386" w:rsidRPr="00B20386" w:rsidRDefault="00A37907" w:rsidP="00B20386">
      <w:pPr>
        <w:pStyle w:val="Prrafodelista"/>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sidRPr="00B20386">
        <w:rPr>
          <w:rFonts w:ascii="Palatino Linotype" w:eastAsia="Palatino Linotype" w:hAnsi="Palatino Linotype" w:cs="Palatino Linotype"/>
          <w:color w:val="000000"/>
        </w:rPr>
        <w:t xml:space="preserve">En ese contexto,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sidRPr="00B20386">
        <w:rPr>
          <w:rFonts w:ascii="Palatino Linotype" w:eastAsia="Palatino Linotype" w:hAnsi="Palatino Linotype" w:cs="Palatino Linotype"/>
          <w:i/>
          <w:iCs/>
          <w:color w:val="000000"/>
        </w:rPr>
        <w:t xml:space="preserve">en el ámbito de sus atribuciones, de promover, respetar, proteger y </w:t>
      </w:r>
      <w:r w:rsidRPr="00B20386">
        <w:rPr>
          <w:rFonts w:ascii="Palatino Linotype" w:eastAsia="Palatino Linotype" w:hAnsi="Palatino Linotype" w:cs="Palatino Linotype"/>
          <w:b/>
          <w:bCs/>
          <w:i/>
          <w:iCs/>
          <w:color w:val="000000"/>
        </w:rPr>
        <w:t>garantizar</w:t>
      </w:r>
      <w:r w:rsidRPr="00B20386">
        <w:rPr>
          <w:rFonts w:ascii="Palatino Linotype" w:eastAsia="Palatino Linotype" w:hAnsi="Palatino Linotype" w:cs="Palatino Linotype"/>
          <w:i/>
          <w:iCs/>
          <w:color w:val="000000"/>
        </w:rPr>
        <w:t xml:space="preserve"> los derechos humanos. </w:t>
      </w:r>
      <w:r w:rsidRPr="00B20386">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sidRPr="00B20386">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Pr>
          <w:rFonts w:eastAsia="Palatino Linotype"/>
          <w:i/>
          <w:iCs/>
          <w:vertAlign w:val="superscript"/>
        </w:rPr>
        <w:footnoteReference w:id="1"/>
      </w:r>
      <w:r w:rsidRPr="00B20386">
        <w:rPr>
          <w:rFonts w:ascii="Palatino Linotype" w:eastAsia="Palatino Linotype" w:hAnsi="Palatino Linotype" w:cs="Palatino Linotype"/>
          <w:i/>
          <w:iCs/>
          <w:color w:val="000000"/>
        </w:rPr>
        <w:t xml:space="preserve">, </w:t>
      </w:r>
      <w:r w:rsidRPr="00B20386">
        <w:rPr>
          <w:rFonts w:ascii="Palatino Linotype" w:eastAsia="Palatino Linotype" w:hAnsi="Palatino Linotype" w:cs="Palatino Linotype"/>
          <w:color w:val="000000"/>
        </w:rPr>
        <w:t>asimismo establece</w:t>
      </w:r>
      <w:r w:rsidRPr="00B20386">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B20386" w:rsidRPr="00B20386" w:rsidRDefault="00B20386" w:rsidP="00B20386">
      <w:pPr>
        <w:pStyle w:val="Prrafodelista"/>
        <w:rPr>
          <w:rFonts w:ascii="Palatino Linotype" w:eastAsia="Palatino Linotype" w:hAnsi="Palatino Linotype" w:cs="Palatino Linotype"/>
          <w:b/>
          <w:bCs/>
        </w:rPr>
      </w:pPr>
    </w:p>
    <w:p w:rsidR="00B20386" w:rsidRDefault="00A37907" w:rsidP="00B20386">
      <w:pPr>
        <w:pStyle w:val="Prrafodelista"/>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sidRPr="00B20386">
        <w:rPr>
          <w:rFonts w:ascii="Palatino Linotype" w:eastAsia="Palatino Linotype" w:hAnsi="Palatino Linotype" w:cs="Palatino Linotype"/>
          <w:b/>
          <w:bCs/>
        </w:rPr>
        <w:t xml:space="preserve"> </w:t>
      </w:r>
      <w:r w:rsidRPr="00B20386">
        <w:rPr>
          <w:rFonts w:ascii="Palatino Linotype" w:eastAsia="Palatino Linotype" w:hAnsi="Palatino Linotype" w:cs="Palatino Linotype"/>
          <w:color w:val="000000"/>
        </w:rPr>
        <w:t xml:space="preserve">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w:t>
      </w:r>
      <w:r w:rsidRPr="00B20386">
        <w:rPr>
          <w:rFonts w:ascii="Palatino Linotype" w:eastAsia="Palatino Linotype" w:hAnsi="Palatino Linotype" w:cs="Palatino Linotype"/>
        </w:rPr>
        <w:t>administran</w:t>
      </w:r>
      <w:r w:rsidRPr="00B20386">
        <w:rPr>
          <w:rFonts w:ascii="Palatino Linotype" w:eastAsia="Palatino Linotype" w:hAnsi="Palatino Linotype" w:cs="Palatino Linotype"/>
          <w:color w:val="000000"/>
        </w:rPr>
        <w:t xml:space="preserve"> o poseen la información, mientras que los segundos tienen la responsabilidad de realizar una correcta gestión documental que permita localizar de manera </w:t>
      </w:r>
      <w:r w:rsidRPr="00B20386">
        <w:rPr>
          <w:rFonts w:ascii="Palatino Linotype" w:eastAsia="Palatino Linotype" w:hAnsi="Palatino Linotype" w:cs="Palatino Linotype"/>
          <w:color w:val="000000"/>
        </w:rPr>
        <w:lastRenderedPageBreak/>
        <w:t>rápida los documentos que se soliciten o bien, simplemente para el desarrollo de sus facultades, competencias y atribuciones que a diario desempeñan.</w:t>
      </w:r>
    </w:p>
    <w:p w:rsidR="00B20386" w:rsidRPr="00B20386" w:rsidRDefault="00B20386" w:rsidP="00B20386">
      <w:pPr>
        <w:pStyle w:val="Prrafodelista"/>
        <w:rPr>
          <w:rFonts w:ascii="Palatino Linotype" w:eastAsia="Palatino Linotype" w:hAnsi="Palatino Linotype" w:cs="Palatino Linotype"/>
        </w:rPr>
      </w:pPr>
    </w:p>
    <w:p w:rsidR="00B20386" w:rsidRDefault="00A37907" w:rsidP="00B20386">
      <w:pPr>
        <w:pStyle w:val="Prrafodelista"/>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sidRPr="00B20386">
        <w:rPr>
          <w:rFonts w:ascii="Palatino Linotype" w:eastAsia="Palatino Linotype" w:hAnsi="Palatino Linotype" w:cs="Palatino Linotype"/>
          <w:color w:val="000000"/>
        </w:rPr>
        <w:t xml:space="preserve">Es así que, su obligación es </w:t>
      </w:r>
      <w:r w:rsidRPr="00B20386">
        <w:rPr>
          <w:rFonts w:ascii="Palatino Linotype" w:eastAsia="Palatino Linotype" w:hAnsi="Palatino Linotype" w:cs="Palatino Linotype"/>
          <w:i/>
          <w:iCs/>
          <w:color w:val="000000"/>
        </w:rPr>
        <w:t>realizar, con efectividad, los trámites internos necesarios para la atención de las solicitudes de información</w:t>
      </w:r>
      <w:r>
        <w:rPr>
          <w:rFonts w:eastAsia="Palatino Linotype"/>
          <w:vertAlign w:val="superscript"/>
        </w:rPr>
        <w:footnoteReference w:id="2"/>
      </w:r>
      <w:r w:rsidRPr="00B20386">
        <w:rPr>
          <w:rFonts w:ascii="Palatino Linotype" w:eastAsia="Palatino Linotype" w:hAnsi="Palatino Linotype" w:cs="Palatino Linotype"/>
          <w:color w:val="000000"/>
        </w:rPr>
        <w:t>, es decir, deben otorgar respuestas concisas, contundentes y sobre todo que den la certeza de los actos que realizan.</w:t>
      </w:r>
    </w:p>
    <w:p w:rsidR="00B20386" w:rsidRPr="00B20386" w:rsidRDefault="00B20386" w:rsidP="00B20386">
      <w:pPr>
        <w:pStyle w:val="Prrafodelista"/>
        <w:rPr>
          <w:rFonts w:ascii="Palatino Linotype" w:eastAsia="Palatino Linotype" w:hAnsi="Palatino Linotype" w:cs="Palatino Linotype"/>
          <w:b/>
          <w:bCs/>
        </w:rPr>
      </w:pPr>
    </w:p>
    <w:p w:rsidR="00353757" w:rsidRPr="00B20386" w:rsidRDefault="00A37907" w:rsidP="00B20386">
      <w:pPr>
        <w:pStyle w:val="Prrafodelista"/>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sidRPr="00B20386">
        <w:rPr>
          <w:rFonts w:ascii="Palatino Linotype" w:eastAsia="Palatino Linotype" w:hAnsi="Palatino Linotype" w:cs="Palatino Linotype"/>
          <w:color w:val="000000"/>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50. </w:t>
      </w:r>
      <w:r>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353757" w:rsidRDefault="00353757">
      <w:pPr>
        <w:tabs>
          <w:tab w:val="left" w:pos="8222"/>
        </w:tabs>
        <w:spacing w:line="276" w:lineRule="auto"/>
        <w:ind w:left="851" w:right="-734"/>
        <w:jc w:val="both"/>
        <w:rPr>
          <w:rFonts w:ascii="Palatino Linotype" w:eastAsia="Palatino Linotype" w:hAnsi="Palatino Linotype" w:cs="Palatino Linotype"/>
          <w:i/>
          <w:iCs/>
        </w:rPr>
      </w:pP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53. </w:t>
      </w:r>
      <w:r>
        <w:rPr>
          <w:rFonts w:ascii="Palatino Linotype" w:eastAsia="Palatino Linotype" w:hAnsi="Palatino Linotype" w:cs="Palatino Linotype"/>
          <w:i/>
          <w:iCs/>
        </w:rPr>
        <w:t>Las Unidades de Transparencia tendrán las siguientes funciones:</w:t>
      </w: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Recibir, tramitar y dar respuesta a las solicitudes de acceso a la información;</w:t>
      </w: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Entregar, en su caso, a los particulares la información solicitada;</w:t>
      </w: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53757" w:rsidRDefault="00353757">
      <w:pPr>
        <w:tabs>
          <w:tab w:val="left" w:pos="8222"/>
        </w:tabs>
        <w:spacing w:line="276" w:lineRule="auto"/>
        <w:ind w:left="851" w:right="-734"/>
        <w:jc w:val="both"/>
        <w:rPr>
          <w:rFonts w:ascii="Palatino Linotype" w:eastAsia="Palatino Linotype" w:hAnsi="Palatino Linotype" w:cs="Palatino Linotype"/>
          <w:i/>
          <w:iCs/>
        </w:rPr>
      </w:pP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58. </w:t>
      </w:r>
      <w:r>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353757" w:rsidRDefault="00353757">
      <w:pPr>
        <w:tabs>
          <w:tab w:val="left" w:pos="8222"/>
        </w:tabs>
        <w:spacing w:line="276" w:lineRule="auto"/>
        <w:ind w:left="851" w:right="-734"/>
        <w:jc w:val="both"/>
        <w:rPr>
          <w:rFonts w:ascii="Palatino Linotype" w:eastAsia="Palatino Linotype" w:hAnsi="Palatino Linotype" w:cs="Palatino Linotype"/>
          <w:i/>
          <w:iCs/>
        </w:rPr>
      </w:pP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59. </w:t>
      </w:r>
      <w:r>
        <w:rPr>
          <w:rFonts w:ascii="Palatino Linotype" w:eastAsia="Palatino Linotype" w:hAnsi="Palatino Linotype" w:cs="Palatino Linotype"/>
          <w:i/>
          <w:iCs/>
        </w:rPr>
        <w:t>Los servidores públicos habilitados tendrán las funciones siguientes:</w:t>
      </w:r>
    </w:p>
    <w:p w:rsidR="00353757" w:rsidRDefault="00353757">
      <w:pPr>
        <w:tabs>
          <w:tab w:val="left" w:pos="8222"/>
        </w:tabs>
        <w:spacing w:line="276" w:lineRule="auto"/>
        <w:ind w:left="851" w:right="-734"/>
        <w:jc w:val="both"/>
        <w:rPr>
          <w:rFonts w:ascii="Palatino Linotype" w:eastAsia="Palatino Linotype" w:hAnsi="Palatino Linotype" w:cs="Palatino Linotype"/>
          <w:i/>
          <w:iCs/>
        </w:rPr>
      </w:pP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Localizar la información que le solicite la Unidad de Transparencia;</w:t>
      </w: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II.</w:t>
      </w:r>
      <w:r>
        <w:rPr>
          <w:rFonts w:ascii="Palatino Linotype" w:eastAsia="Palatino Linotype" w:hAnsi="Palatino Linotype" w:cs="Palatino Linotype"/>
          <w:i/>
          <w:iCs/>
        </w:rPr>
        <w:t xml:space="preserve"> Proporcionar la información que obre en los archivos y que le sea solicitada por la Unidad de Transparencia;</w:t>
      </w: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353757" w:rsidRDefault="00353757">
      <w:pPr>
        <w:tabs>
          <w:tab w:val="left" w:pos="8222"/>
        </w:tabs>
        <w:spacing w:line="276" w:lineRule="auto"/>
        <w:ind w:left="851" w:right="-734"/>
        <w:jc w:val="both"/>
        <w:rPr>
          <w:rFonts w:ascii="Palatino Linotype" w:eastAsia="Palatino Linotype" w:hAnsi="Palatino Linotype" w:cs="Palatino Linotype"/>
          <w:i/>
          <w:iCs/>
        </w:rPr>
      </w:pPr>
    </w:p>
    <w:p w:rsidR="00353757" w:rsidRDefault="00A37907">
      <w:pPr>
        <w:tabs>
          <w:tab w:val="left" w:pos="8222"/>
        </w:tabs>
        <w:spacing w:line="276"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162. </w:t>
      </w:r>
      <w:r>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353757" w:rsidRDefault="00353757">
      <w:pPr>
        <w:spacing w:line="360" w:lineRule="auto"/>
        <w:ind w:right="-734"/>
        <w:jc w:val="both"/>
        <w:rPr>
          <w:rFonts w:ascii="Palatino Linotype" w:eastAsia="Palatino Linotype" w:hAnsi="Palatino Linotype" w:cs="Palatino Linotype"/>
          <w:b/>
          <w:bCs/>
        </w:rPr>
      </w:pPr>
    </w:p>
    <w:p w:rsidR="00353757" w:rsidRPr="00B20386" w:rsidRDefault="00A37907" w:rsidP="00B20386">
      <w:pPr>
        <w:pStyle w:val="Prrafodelista"/>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b/>
          <w:bCs/>
        </w:rPr>
      </w:pPr>
      <w:r w:rsidRPr="00B20386">
        <w:rPr>
          <w:rFonts w:ascii="Palatino Linotype" w:eastAsia="Palatino Linotype" w:hAnsi="Palatino Linotype" w:cs="Palatino Linotype"/>
          <w:b/>
          <w:bCs/>
        </w:rPr>
        <w:t xml:space="preserve"> </w:t>
      </w:r>
      <w:r w:rsidRPr="00B20386">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w:t>
      </w:r>
      <w:r w:rsidRPr="00B20386">
        <w:rPr>
          <w:rFonts w:ascii="Palatino Linotype" w:eastAsia="Palatino Linotype" w:hAnsi="Palatino Linotype" w:cs="Palatino Linotype"/>
        </w:rPr>
        <w:t>auxiliarán</w:t>
      </w:r>
      <w:r w:rsidRPr="00B20386">
        <w:rPr>
          <w:rFonts w:ascii="Palatino Linotype" w:eastAsia="Palatino Linotype" w:hAnsi="Palatino Linotype" w:cs="Palatino Linotype"/>
          <w:color w:val="000000"/>
        </w:rPr>
        <w:t xml:space="preserve">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353757" w:rsidRDefault="00353757">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517ACE" w:rsidRDefault="00A37907" w:rsidP="00517ACE">
      <w:pPr>
        <w:pStyle w:val="Prrafodelista"/>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sidRPr="00B20386">
        <w:rPr>
          <w:rFonts w:ascii="Palatino Linotype" w:eastAsia="Palatino Linotype" w:hAnsi="Palatino Linotype" w:cs="Palatino Linotype"/>
          <w:b/>
          <w:bCs/>
        </w:rPr>
        <w:t xml:space="preserve"> </w:t>
      </w:r>
      <w:r w:rsidRPr="00B20386">
        <w:rPr>
          <w:rFonts w:ascii="Palatino Linotype" w:eastAsia="Palatino Linotype" w:hAnsi="Palatino Linotype" w:cs="Palatino Linotype"/>
          <w:color w:val="000000"/>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En el caso particular, la respuesta fue emitida por el </w:t>
      </w:r>
      <w:r w:rsidRPr="00B20386">
        <w:rPr>
          <w:rFonts w:ascii="Palatino Linotype" w:eastAsia="Palatino Linotype" w:hAnsi="Palatino Linotype" w:cs="Palatino Linotype"/>
          <w:b/>
          <w:bCs/>
          <w:color w:val="000000"/>
        </w:rPr>
        <w:t>Órgano Interno de Control</w:t>
      </w:r>
      <w:r w:rsidRPr="00B20386">
        <w:rPr>
          <w:rFonts w:ascii="Palatino Linotype" w:eastAsia="Palatino Linotype" w:hAnsi="Palatino Linotype" w:cs="Palatino Linotype"/>
          <w:color w:val="000000"/>
        </w:rPr>
        <w:t xml:space="preserve">, Unidad Administrativa con las facultades para generar, poseer o administrar la información </w:t>
      </w:r>
      <w:r w:rsidRPr="00B20386">
        <w:rPr>
          <w:rFonts w:ascii="Palatino Linotype" w:eastAsia="Palatino Linotype" w:hAnsi="Palatino Linotype" w:cs="Palatino Linotype"/>
          <w:color w:val="000000"/>
        </w:rPr>
        <w:lastRenderedPageBreak/>
        <w:t>solicitada, en ese sentido, se advierte que se siguió el procedimiento de búsqueda establecido en la ley referida.</w:t>
      </w:r>
    </w:p>
    <w:p w:rsidR="00517ACE" w:rsidRPr="00517ACE" w:rsidRDefault="00517ACE" w:rsidP="00517ACE">
      <w:pPr>
        <w:pStyle w:val="Prrafodelista"/>
        <w:rPr>
          <w:rFonts w:ascii="Palatino Linotype" w:eastAsia="Palatino Linotype" w:hAnsi="Palatino Linotype" w:cs="Palatino Linotype"/>
        </w:rPr>
      </w:pPr>
    </w:p>
    <w:p w:rsidR="00517ACE" w:rsidRPr="00517ACE" w:rsidRDefault="00517ACE" w:rsidP="00517ACE">
      <w:pPr>
        <w:pStyle w:val="Prrafodelista"/>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sidRPr="00517ACE">
        <w:rPr>
          <w:rFonts w:ascii="Palatino Linotype" w:eastAsia="Palatino Linotype" w:hAnsi="Palatino Linotype" w:cs="Palatino Linotype"/>
        </w:rPr>
        <w:t xml:space="preserve">Sobre la vista </w:t>
      </w:r>
      <w:r>
        <w:rPr>
          <w:rFonts w:ascii="Palatino Linotype" w:eastAsia="Palatino Linotype" w:hAnsi="Palatino Linotype" w:cs="Palatino Linotype"/>
        </w:rPr>
        <w:t xml:space="preserve">a la autoridad a fin de </w:t>
      </w:r>
      <w:r w:rsidRPr="00517ACE">
        <w:rPr>
          <w:rFonts w:ascii="Palatino Linotype" w:eastAsia="Palatino Linotype" w:hAnsi="Palatino Linotype" w:cs="Palatino Linotype"/>
        </w:rPr>
        <w:t>la imposición de sanciones</w:t>
      </w:r>
      <w:r w:rsidRPr="00517ACE">
        <w:rPr>
          <w:rFonts w:ascii="Palatino Linotype" w:eastAsia="Palatino Linotype" w:hAnsi="Palatino Linotype" w:cs="Palatino Linotype"/>
          <w:b/>
        </w:rPr>
        <w:t xml:space="preserve">, </w:t>
      </w:r>
      <w:r w:rsidRPr="00517ACE">
        <w:rPr>
          <w:rFonts w:ascii="Palatino Linotype" w:eastAsia="Palatino Linotype" w:hAnsi="Palatino Linotype" w:cs="Palatino Linotype"/>
        </w:rPr>
        <w:t xml:space="preserve">es de señalar el recurso de revisión no </w:t>
      </w:r>
      <w:r>
        <w:rPr>
          <w:rFonts w:ascii="Palatino Linotype" w:eastAsia="Palatino Linotype" w:hAnsi="Palatino Linotype" w:cs="Palatino Linotype"/>
        </w:rPr>
        <w:t xml:space="preserve">es </w:t>
      </w:r>
      <w:r w:rsidRPr="00517ACE">
        <w:rPr>
          <w:rFonts w:ascii="Palatino Linotype" w:eastAsia="Palatino Linotype" w:hAnsi="Palatino Linotype" w:cs="Palatino Linotype"/>
        </w:rPr>
        <w:t>el medio para sancionar, por lo que se sugiere a la persona solicitante interponer su queja o denuncia ante la autoridad competente.</w:t>
      </w:r>
      <w:bookmarkStart w:id="7" w:name="_heading=h.k01w11u9oneb" w:colFirst="0" w:colLast="0"/>
      <w:bookmarkEnd w:id="7"/>
    </w:p>
    <w:p w:rsidR="00517ACE" w:rsidRPr="00517ACE" w:rsidRDefault="00517ACE" w:rsidP="00517ACE">
      <w:pPr>
        <w:pStyle w:val="Prrafodelista"/>
        <w:rPr>
          <w:rFonts w:ascii="Palatino Linotype" w:eastAsia="Palatino Linotype" w:hAnsi="Palatino Linotype" w:cs="Palatino Linotype"/>
          <w:color w:val="000000"/>
        </w:rPr>
      </w:pPr>
    </w:p>
    <w:p w:rsidR="00353757" w:rsidRPr="00517ACE" w:rsidRDefault="00A37907" w:rsidP="00517ACE">
      <w:pPr>
        <w:pStyle w:val="Prrafodelista"/>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sidRPr="00517ACE">
        <w:rPr>
          <w:rFonts w:ascii="Palatino Linotype" w:eastAsia="Palatino Linotype" w:hAnsi="Palatino Linotype" w:cs="Palatino Linotype"/>
          <w:color w:val="000000"/>
        </w:rPr>
        <w:t>Por lo anteriormente expuesto, este Órgano Garante considera infundadas las razones o motivos de inconformidad que plantea el</w:t>
      </w:r>
      <w:r w:rsidRPr="00517ACE">
        <w:rPr>
          <w:rFonts w:ascii="Palatino Linotype" w:eastAsia="Palatino Linotype" w:hAnsi="Palatino Linotype" w:cs="Palatino Linotype"/>
          <w:b/>
          <w:bCs/>
          <w:color w:val="000000"/>
        </w:rPr>
        <w:t xml:space="preserve"> RECURRENTE</w:t>
      </w:r>
      <w:r w:rsidRPr="00517ACE">
        <w:rPr>
          <w:rFonts w:ascii="Palatino Linotype" w:eastAsia="Palatino Linotype" w:hAnsi="Palatino Linotype" w:cs="Palatino Linotype"/>
          <w:color w:val="000000"/>
        </w:rPr>
        <w:t xml:space="preserve">, determinando </w:t>
      </w:r>
      <w:r w:rsidRPr="00517ACE">
        <w:rPr>
          <w:rFonts w:ascii="Palatino Linotype" w:eastAsia="Palatino Linotype" w:hAnsi="Palatino Linotype" w:cs="Palatino Linotype"/>
          <w:b/>
          <w:bCs/>
          <w:color w:val="000000"/>
        </w:rPr>
        <w:t xml:space="preserve">CONFIRMAR </w:t>
      </w:r>
      <w:r w:rsidRPr="00517ACE">
        <w:rPr>
          <w:rFonts w:ascii="Palatino Linotype" w:eastAsia="Palatino Linotype" w:hAnsi="Palatino Linotype" w:cs="Palatino Linotype"/>
          <w:color w:val="000000"/>
        </w:rPr>
        <w:t xml:space="preserve">la respuesta del </w:t>
      </w:r>
      <w:r w:rsidRPr="00517ACE">
        <w:rPr>
          <w:rFonts w:ascii="Palatino Linotype" w:eastAsia="Palatino Linotype" w:hAnsi="Palatino Linotype" w:cs="Palatino Linotype"/>
          <w:b/>
          <w:bCs/>
          <w:color w:val="000000"/>
        </w:rPr>
        <w:t>SUJETO OBLIGADO</w:t>
      </w:r>
      <w:r w:rsidRPr="00517ACE">
        <w:rPr>
          <w:rFonts w:ascii="Palatino Linotype" w:eastAsia="Palatino Linotype" w:hAnsi="Palatino Linotype" w:cs="Palatino Linotype"/>
          <w:color w:val="000000"/>
        </w:rPr>
        <w:t xml:space="preserve">, por lo que hace al recurso de revisión </w:t>
      </w:r>
      <w:r w:rsidRPr="00517ACE">
        <w:rPr>
          <w:rFonts w:ascii="Palatino Linotype" w:eastAsia="Palatino Linotype" w:hAnsi="Palatino Linotype" w:cs="Palatino Linotype"/>
          <w:b/>
          <w:bCs/>
          <w:color w:val="000000"/>
        </w:rPr>
        <w:t xml:space="preserve">12998/INFOEM/IP/RR/2026 </w:t>
      </w:r>
      <w:r w:rsidRPr="00517ACE">
        <w:rPr>
          <w:rFonts w:ascii="Palatino Linotype" w:eastAsia="Palatino Linotype" w:hAnsi="Palatino Linotype" w:cs="Palatino Linotype"/>
          <w:color w:val="000000"/>
        </w:rPr>
        <w:t xml:space="preserve">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517ACE">
        <w:rPr>
          <w:rFonts w:ascii="Palatino Linotype" w:eastAsia="Palatino Linotype" w:hAnsi="Palatino Linotype" w:cs="Palatino Linotype"/>
          <w:b/>
          <w:bCs/>
          <w:color w:val="000000"/>
        </w:rPr>
        <w:t>ÓRGANO GARANTE</w:t>
      </w:r>
      <w:r w:rsidRPr="00517ACE">
        <w:rPr>
          <w:rFonts w:ascii="Palatino Linotype" w:eastAsia="Palatino Linotype" w:hAnsi="Palatino Linotype" w:cs="Palatino Linotype"/>
          <w:color w:val="000000"/>
        </w:rPr>
        <w:t xml:space="preserve"> emite los siguientes.</w:t>
      </w:r>
    </w:p>
    <w:p w:rsidR="00353757" w:rsidRDefault="00353757">
      <w:pPr>
        <w:pBdr>
          <w:top w:val="nil"/>
          <w:left w:val="nil"/>
          <w:bottom w:val="nil"/>
          <w:right w:val="nil"/>
          <w:between w:val="nil"/>
        </w:pBdr>
        <w:spacing w:line="360" w:lineRule="auto"/>
        <w:ind w:right="-734"/>
        <w:jc w:val="both"/>
        <w:rPr>
          <w:rFonts w:ascii="Palatino Linotype" w:eastAsia="Palatino Linotype" w:hAnsi="Palatino Linotype" w:cs="Palatino Linotype"/>
        </w:rPr>
      </w:pPr>
      <w:bookmarkStart w:id="8" w:name="_heading=h.in9gswp1rvff" w:colFirst="0" w:colLast="0"/>
      <w:bookmarkEnd w:id="8"/>
    </w:p>
    <w:p w:rsidR="00353757" w:rsidRDefault="00A37907">
      <w:pPr>
        <w:keepNext/>
        <w:keepLines/>
        <w:spacing w:line="360" w:lineRule="auto"/>
        <w:ind w:right="-73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353757" w:rsidRDefault="00353757">
      <w:pPr>
        <w:keepNext/>
        <w:keepLines/>
        <w:spacing w:line="360" w:lineRule="auto"/>
        <w:ind w:right="-734"/>
        <w:jc w:val="center"/>
        <w:rPr>
          <w:rFonts w:ascii="Palatino Linotype" w:eastAsia="Palatino Linotype" w:hAnsi="Palatino Linotype" w:cs="Palatino Linotype"/>
          <w:b/>
          <w:bCs/>
          <w:color w:val="000000"/>
        </w:rPr>
      </w:pPr>
    </w:p>
    <w:p w:rsidR="00353757" w:rsidRDefault="00A37907">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Resultan infundadas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12998/INFOEM/IP/RR/2025,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353757" w:rsidRDefault="00353757">
      <w:pPr>
        <w:spacing w:line="360" w:lineRule="auto"/>
        <w:ind w:right="-734"/>
        <w:jc w:val="both"/>
        <w:rPr>
          <w:rFonts w:ascii="Palatino Linotype" w:eastAsia="Palatino Linotype" w:hAnsi="Palatino Linotype" w:cs="Palatino Linotype"/>
        </w:rPr>
      </w:pPr>
    </w:p>
    <w:p w:rsidR="00353757" w:rsidRDefault="00A37907">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SEGUNDO.</w:t>
      </w:r>
      <w:r>
        <w:rPr>
          <w:rFonts w:ascii="Palatino Linotype" w:eastAsia="Palatino Linotype" w:hAnsi="Palatino Linotype" w:cs="Palatino Linotype"/>
        </w:rPr>
        <w:t xml:space="preserve"> Se</w:t>
      </w:r>
      <w:r>
        <w:rPr>
          <w:rFonts w:ascii="Palatino Linotype" w:eastAsia="Palatino Linotype" w:hAnsi="Palatino Linotype" w:cs="Palatino Linotype"/>
          <w:b/>
          <w:bCs/>
        </w:rPr>
        <w:t xml:space="preserve"> CONFIRMA </w:t>
      </w:r>
      <w:r>
        <w:rPr>
          <w:rFonts w:ascii="Palatino Linotype" w:eastAsia="Palatino Linotype" w:hAnsi="Palatino Linotype" w:cs="Palatino Linotype"/>
        </w:rPr>
        <w:t xml:space="preserve">la respuesta emitida por el </w:t>
      </w:r>
      <w:r w:rsidR="00790082">
        <w:rPr>
          <w:rFonts w:ascii="Palatino Linotype" w:eastAsia="Palatino Linotype" w:hAnsi="Palatino Linotype" w:cs="Palatino Linotype"/>
          <w:b/>
          <w:bCs/>
        </w:rPr>
        <w:t>Ayuntamiento de Toluca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la solicitud </w:t>
      </w:r>
      <w:hyperlink r:id="rId23">
        <w:r>
          <w:rPr>
            <w:rFonts w:ascii="Palatino Linotype" w:eastAsia="Palatino Linotype" w:hAnsi="Palatino Linotype" w:cs="Palatino Linotype"/>
            <w:b/>
            <w:bCs/>
          </w:rPr>
          <w:t>04715/TOLUCA/IP/202</w:t>
        </w:r>
      </w:hyperlink>
      <w:r>
        <w:rPr>
          <w:rFonts w:ascii="Palatino Linotype" w:eastAsia="Palatino Linotype" w:hAnsi="Palatino Linotype" w:cs="Palatino Linotype"/>
          <w:b/>
          <w:bCs/>
        </w:rPr>
        <w:t>5.</w:t>
      </w:r>
      <w:r>
        <w:rPr>
          <w:rFonts w:ascii="Palatino Linotype" w:eastAsia="Palatino Linotype" w:hAnsi="Palatino Linotype" w:cs="Palatino Linotype"/>
        </w:rPr>
        <w:t xml:space="preserve"> </w:t>
      </w:r>
    </w:p>
    <w:p w:rsidR="00353757" w:rsidRDefault="00790082">
      <w:pPr>
        <w:spacing w:before="240" w:after="240" w:line="360" w:lineRule="auto"/>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TERCERO. Notifíquese</w:t>
      </w:r>
      <w:r w:rsidR="00A37907">
        <w:rPr>
          <w:rFonts w:ascii="Palatino Linotype" w:eastAsia="Palatino Linotype" w:hAnsi="Palatino Linotype" w:cs="Palatino Linotype"/>
          <w:b/>
          <w:bCs/>
        </w:rPr>
        <w:t xml:space="preserve">, </w:t>
      </w:r>
      <w:r w:rsidR="00A37907">
        <w:rPr>
          <w:rFonts w:ascii="Palatino Linotype" w:eastAsia="Palatino Linotype" w:hAnsi="Palatino Linotype" w:cs="Palatino Linotype"/>
        </w:rPr>
        <w:t xml:space="preserve">vía Sistema de Acceso a la Información Mexiquense (SAIMEX), la presente resolución al Titular de la Unidad de Transparencia del </w:t>
      </w:r>
      <w:r w:rsidR="00A37907">
        <w:rPr>
          <w:rFonts w:ascii="Palatino Linotype" w:eastAsia="Palatino Linotype" w:hAnsi="Palatino Linotype" w:cs="Palatino Linotype"/>
          <w:b/>
          <w:bCs/>
        </w:rPr>
        <w:t>SUJETO OBLIGADO.</w:t>
      </w:r>
    </w:p>
    <w:p w:rsidR="00353757" w:rsidRDefault="00A37907">
      <w:pPr>
        <w:spacing w:before="240" w:after="240"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 CUARTO. Notifíquese al RECURRENTE </w:t>
      </w:r>
      <w:r>
        <w:rPr>
          <w:rFonts w:ascii="Palatino Linotype" w:eastAsia="Palatino Linotype" w:hAnsi="Palatino Linotype" w:cs="Palatino Linotype"/>
        </w:rPr>
        <w:t>la presente resolución vía SAIMEX.</w:t>
      </w:r>
    </w:p>
    <w:p w:rsidR="00353757" w:rsidRDefault="00A37907">
      <w:pPr>
        <w:shd w:val="clear" w:color="auto" w:fill="FFFFFF"/>
        <w:spacing w:before="240" w:after="240"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 </w:t>
      </w: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790082" w:rsidRPr="003E2295" w:rsidRDefault="00790082" w:rsidP="00790082">
      <w:pPr>
        <w:spacing w:before="240" w:after="240" w:line="360" w:lineRule="auto"/>
        <w:ind w:right="-737" w:firstLine="1"/>
        <w:jc w:val="both"/>
        <w:rPr>
          <w:rFonts w:ascii="Palatino Linotype" w:hAnsi="Palatino Linotype"/>
        </w:rPr>
      </w:pPr>
      <w:bookmarkStart w:id="9" w:name="_heading=h.5dcfrh2kkmd" w:colFirst="0" w:colLast="0"/>
      <w:bookmarkStart w:id="10" w:name="_Hlk99014733"/>
      <w:bookmarkEnd w:id="9"/>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E5248F">
        <w:rPr>
          <w:rFonts w:ascii="Palatino Linotype" w:hAnsi="Palatino Linotype" w:cs="Palatino Linotype"/>
        </w:rPr>
        <w:t xml:space="preserve">EMITIENDO VOTO PARTICULAR </w:t>
      </w:r>
      <w:r w:rsidRPr="003E2295">
        <w:rPr>
          <w:rFonts w:ascii="Palatino Linotype" w:hAnsi="Palatino Linotype" w:cs="Palatino Linotype"/>
        </w:rPr>
        <w:t xml:space="preserve">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353757" w:rsidRDefault="00353757" w:rsidP="00790082">
      <w:pPr>
        <w:spacing w:line="360" w:lineRule="auto"/>
        <w:ind w:right="-737"/>
        <w:jc w:val="both"/>
        <w:rPr>
          <w:rFonts w:ascii="Palatino Linotype" w:eastAsia="Palatino Linotype" w:hAnsi="Palatino Linotype" w:cs="Palatino Linotype"/>
        </w:rPr>
      </w:pPr>
    </w:p>
    <w:p w:rsidR="00353757" w:rsidRDefault="00353757" w:rsidP="00790082">
      <w:pPr>
        <w:spacing w:line="360" w:lineRule="auto"/>
        <w:ind w:right="-737"/>
        <w:jc w:val="both"/>
        <w:rPr>
          <w:rFonts w:ascii="Palatino Linotype" w:eastAsia="Palatino Linotype" w:hAnsi="Palatino Linotype" w:cs="Palatino Linotype"/>
        </w:rPr>
      </w:pPr>
    </w:p>
    <w:p w:rsidR="00353757" w:rsidRDefault="00353757" w:rsidP="00790082">
      <w:pPr>
        <w:spacing w:line="360" w:lineRule="auto"/>
        <w:ind w:right="-737"/>
        <w:jc w:val="both"/>
        <w:rPr>
          <w:rFonts w:ascii="Palatino Linotype" w:eastAsia="Palatino Linotype" w:hAnsi="Palatino Linotype" w:cs="Palatino Linotype"/>
        </w:rPr>
      </w:pPr>
    </w:p>
    <w:p w:rsidR="00353757" w:rsidRDefault="00353757">
      <w:pPr>
        <w:spacing w:line="360" w:lineRule="auto"/>
        <w:ind w:right="-734"/>
        <w:jc w:val="both"/>
        <w:rPr>
          <w:rFonts w:ascii="Palatino Linotype" w:eastAsia="Palatino Linotype" w:hAnsi="Palatino Linotype" w:cs="Palatino Linotype"/>
        </w:rPr>
      </w:pPr>
    </w:p>
    <w:p w:rsidR="00353757" w:rsidRDefault="00353757">
      <w:pPr>
        <w:spacing w:line="360" w:lineRule="auto"/>
        <w:ind w:right="-734"/>
        <w:jc w:val="both"/>
        <w:rPr>
          <w:rFonts w:ascii="Palatino Linotype" w:eastAsia="Palatino Linotype" w:hAnsi="Palatino Linotype" w:cs="Palatino Linotype"/>
        </w:rPr>
      </w:pPr>
    </w:p>
    <w:p w:rsidR="00353757" w:rsidRDefault="00353757">
      <w:pPr>
        <w:spacing w:line="360" w:lineRule="auto"/>
        <w:ind w:right="-734"/>
        <w:jc w:val="both"/>
        <w:rPr>
          <w:rFonts w:ascii="Palatino Linotype" w:eastAsia="Palatino Linotype" w:hAnsi="Palatino Linotype" w:cs="Palatino Linotype"/>
        </w:rPr>
      </w:pPr>
    </w:p>
    <w:p w:rsidR="00353757" w:rsidRDefault="00353757">
      <w:pPr>
        <w:spacing w:line="360" w:lineRule="auto"/>
        <w:ind w:right="-734"/>
        <w:jc w:val="both"/>
        <w:rPr>
          <w:rFonts w:ascii="Palatino Linotype" w:eastAsia="Palatino Linotype" w:hAnsi="Palatino Linotype" w:cs="Palatino Linotype"/>
        </w:rPr>
      </w:pPr>
    </w:p>
    <w:p w:rsidR="00353757" w:rsidRDefault="00353757">
      <w:pPr>
        <w:spacing w:line="360" w:lineRule="auto"/>
        <w:ind w:right="-734"/>
        <w:jc w:val="both"/>
        <w:rPr>
          <w:rFonts w:ascii="Palatino Linotype" w:eastAsia="Palatino Linotype" w:hAnsi="Palatino Linotype" w:cs="Palatino Linotype"/>
        </w:rPr>
      </w:pPr>
    </w:p>
    <w:p w:rsidR="00353757" w:rsidRDefault="00353757">
      <w:pPr>
        <w:spacing w:line="360" w:lineRule="auto"/>
        <w:ind w:right="-734"/>
        <w:jc w:val="both"/>
        <w:rPr>
          <w:rFonts w:ascii="Palatino Linotype" w:eastAsia="Palatino Linotype" w:hAnsi="Palatino Linotype" w:cs="Palatino Linotype"/>
        </w:rPr>
      </w:pPr>
    </w:p>
    <w:p w:rsidR="00353757" w:rsidRDefault="00353757">
      <w:pPr>
        <w:spacing w:line="360" w:lineRule="auto"/>
        <w:ind w:right="-734"/>
        <w:jc w:val="both"/>
        <w:rPr>
          <w:rFonts w:ascii="Palatino Linotype" w:eastAsia="Palatino Linotype" w:hAnsi="Palatino Linotype" w:cs="Palatino Linotype"/>
        </w:rPr>
      </w:pPr>
    </w:p>
    <w:p w:rsidR="00353757" w:rsidRDefault="00353757">
      <w:pPr>
        <w:spacing w:line="360" w:lineRule="auto"/>
        <w:ind w:right="-734"/>
        <w:jc w:val="both"/>
        <w:rPr>
          <w:rFonts w:ascii="Palatino Linotype" w:eastAsia="Palatino Linotype" w:hAnsi="Palatino Linotype" w:cs="Palatino Linotype"/>
        </w:rPr>
      </w:pPr>
    </w:p>
    <w:p w:rsidR="00353757" w:rsidRDefault="00353757">
      <w:pPr>
        <w:spacing w:line="360" w:lineRule="auto"/>
        <w:ind w:right="-734"/>
        <w:jc w:val="both"/>
        <w:rPr>
          <w:rFonts w:ascii="Palatino Linotype" w:eastAsia="Palatino Linotype" w:hAnsi="Palatino Linotype" w:cs="Palatino Linotype"/>
        </w:rPr>
      </w:pPr>
    </w:p>
    <w:p w:rsidR="00353757" w:rsidRDefault="00353757">
      <w:pPr>
        <w:spacing w:line="360" w:lineRule="auto"/>
        <w:ind w:right="-734"/>
        <w:rPr>
          <w:rFonts w:ascii="Palatino Linotype" w:eastAsia="Palatino Linotype" w:hAnsi="Palatino Linotype" w:cs="Palatino Linotype"/>
        </w:rPr>
      </w:pPr>
    </w:p>
    <w:p w:rsidR="00353757" w:rsidRDefault="00353757">
      <w:pPr>
        <w:spacing w:line="360" w:lineRule="auto"/>
        <w:ind w:right="-734"/>
        <w:rPr>
          <w:rFonts w:ascii="Palatino Linotype" w:eastAsia="Palatino Linotype" w:hAnsi="Palatino Linotype" w:cs="Palatino Linotype"/>
        </w:rPr>
      </w:pPr>
    </w:p>
    <w:p w:rsidR="00353757" w:rsidRDefault="00353757">
      <w:pPr>
        <w:spacing w:line="360" w:lineRule="auto"/>
        <w:ind w:right="-734"/>
        <w:rPr>
          <w:rFonts w:ascii="Palatino Linotype" w:eastAsia="Palatino Linotype" w:hAnsi="Palatino Linotype" w:cs="Palatino Linotype"/>
        </w:rPr>
      </w:pPr>
    </w:p>
    <w:p w:rsidR="00353757" w:rsidRDefault="00353757">
      <w:pPr>
        <w:ind w:right="-734"/>
        <w:rPr>
          <w:rFonts w:ascii="Palatino Linotype" w:eastAsia="Palatino Linotype" w:hAnsi="Palatino Linotype" w:cs="Palatino Linotype"/>
        </w:rPr>
      </w:pPr>
    </w:p>
    <w:sectPr w:rsidR="00353757">
      <w:headerReference w:type="even" r:id="rId24"/>
      <w:headerReference w:type="default" r:id="rId25"/>
      <w:footerReference w:type="default" r:id="rId26"/>
      <w:headerReference w:type="first" r:id="rId27"/>
      <w:footerReference w:type="first" r:id="rId28"/>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33E" w:rsidRDefault="0049233E">
      <w:r>
        <w:separator/>
      </w:r>
    </w:p>
  </w:endnote>
  <w:endnote w:type="continuationSeparator" w:id="0">
    <w:p w:rsidR="0049233E" w:rsidRDefault="0049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C9E6860A-CCC2-4EC4-9AB7-A1966D446F6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3408B682-3689-49B4-870E-E1A0A4E061FC}"/>
    <w:embedBold r:id="rId3" w:fontKey="{8F2326A2-29C1-44A0-829A-E2DFC8E3E550}"/>
    <w:embedItalic r:id="rId4" w:fontKey="{7D01F70D-CDDC-43A7-9448-AD75A044CAD9}"/>
    <w:embedBoldItalic r:id="rId5" w:fontKey="{446AC393-1D51-40CB-B87D-81FA6A0494C2}"/>
  </w:font>
  <w:font w:name="Calibri">
    <w:panose1 w:val="020F0502020204030204"/>
    <w:charset w:val="00"/>
    <w:family w:val="swiss"/>
    <w:pitch w:val="variable"/>
    <w:sig w:usb0="E4002EFF" w:usb1="C200247B" w:usb2="00000009" w:usb3="00000000" w:csb0="000001FF" w:csb1="00000000"/>
    <w:embedRegular r:id="rId6" w:fontKey="{40639163-05F4-4B89-A7D8-545C09865316}"/>
  </w:font>
  <w:font w:name="Georgia">
    <w:panose1 w:val="02040502050405020303"/>
    <w:charset w:val="00"/>
    <w:family w:val="roman"/>
    <w:pitch w:val="variable"/>
    <w:sig w:usb0="00000287" w:usb1="00000000" w:usb2="00000000" w:usb3="00000000" w:csb0="0000009F" w:csb1="00000000"/>
    <w:embedItalic r:id="rId7" w:fontKey="{ADF3489C-E41E-4824-8497-7BAF367E03B9}"/>
  </w:font>
  <w:font w:name="Verdana">
    <w:panose1 w:val="020B0604030504040204"/>
    <w:charset w:val="00"/>
    <w:family w:val="swiss"/>
    <w:pitch w:val="variable"/>
    <w:sig w:usb0="A00006FF" w:usb1="4000205B" w:usb2="00000010" w:usb3="00000000" w:csb0="0000019F" w:csb1="00000000"/>
    <w:embedRegular r:id="rId8" w:fontKey="{69780DF6-D889-4A50-85CA-F78432AC3CEE}"/>
  </w:font>
  <w:font w:name="Garamond">
    <w:panose1 w:val="02020404030301010803"/>
    <w:charset w:val="00"/>
    <w:family w:val="roman"/>
    <w:pitch w:val="variable"/>
    <w:sig w:usb0="00000287" w:usb1="00000000" w:usb2="00000000" w:usb3="00000000" w:csb0="0000009F" w:csb1="00000000"/>
    <w:embedRegular r:id="rId9" w:fontKey="{0537E488-C180-4F9D-A966-EF74411A8AC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094CA416-55D8-4281-9268-0BBFF19840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57" w:rsidRDefault="00A3790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A3229">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A3229">
      <w:rPr>
        <w:rFonts w:ascii="Palatino Linotype" w:eastAsia="Palatino Linotype" w:hAnsi="Palatino Linotype" w:cs="Palatino Linotype"/>
        <w:b/>
        <w:bCs/>
        <w:noProof/>
        <w:color w:val="000000"/>
        <w:sz w:val="22"/>
        <w:szCs w:val="22"/>
      </w:rPr>
      <w:t>29</w:t>
    </w:r>
    <w:r>
      <w:rPr>
        <w:rFonts w:ascii="Palatino Linotype" w:eastAsia="Palatino Linotype" w:hAnsi="Palatino Linotype" w:cs="Palatino Linotype"/>
        <w:b/>
        <w:bCs/>
        <w:color w:val="000000"/>
        <w:sz w:val="22"/>
        <w:szCs w:val="22"/>
      </w:rPr>
      <w:fldChar w:fldCharType="end"/>
    </w:r>
  </w:p>
  <w:p w:rsidR="00353757" w:rsidRDefault="0035375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57" w:rsidRDefault="00A3790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A3229">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A3229">
      <w:rPr>
        <w:rFonts w:ascii="Palatino Linotype" w:eastAsia="Palatino Linotype" w:hAnsi="Palatino Linotype" w:cs="Palatino Linotype"/>
        <w:b/>
        <w:bCs/>
        <w:noProof/>
        <w:color w:val="000000"/>
        <w:sz w:val="22"/>
        <w:szCs w:val="22"/>
      </w:rPr>
      <w:t>29</w:t>
    </w:r>
    <w:r>
      <w:rPr>
        <w:rFonts w:ascii="Palatino Linotype" w:eastAsia="Palatino Linotype" w:hAnsi="Palatino Linotype" w:cs="Palatino Linotype"/>
        <w:b/>
        <w:bCs/>
        <w:color w:val="000000"/>
        <w:sz w:val="22"/>
        <w:szCs w:val="22"/>
      </w:rPr>
      <w:fldChar w:fldCharType="end"/>
    </w:r>
  </w:p>
  <w:p w:rsidR="00353757" w:rsidRDefault="0035375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33E" w:rsidRDefault="0049233E">
      <w:r>
        <w:separator/>
      </w:r>
    </w:p>
  </w:footnote>
  <w:footnote w:type="continuationSeparator" w:id="0">
    <w:p w:rsidR="0049233E" w:rsidRDefault="0049233E">
      <w:r>
        <w:continuationSeparator/>
      </w:r>
    </w:p>
  </w:footnote>
  <w:footnote w:id="1">
    <w:p w:rsidR="00353757" w:rsidRDefault="00A37907">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353757" w:rsidRDefault="00A3790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353757" w:rsidRDefault="00A37907">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757" w:rsidRDefault="0049233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379" w:type="dxa"/>
      <w:tblInd w:w="0" w:type="dxa"/>
      <w:tblLayout w:type="fixed"/>
      <w:tblLook w:val="0400" w:firstRow="0" w:lastRow="0" w:firstColumn="0" w:lastColumn="0" w:noHBand="0" w:noVBand="1"/>
    </w:tblPr>
    <w:tblGrid>
      <w:gridCol w:w="3506"/>
      <w:gridCol w:w="6873"/>
    </w:tblGrid>
    <w:tr w:rsidR="00353757" w:rsidTr="0000610D">
      <w:trPr>
        <w:trHeight w:val="1013"/>
      </w:trPr>
      <w:tc>
        <w:tcPr>
          <w:tcW w:w="3506" w:type="dxa"/>
        </w:tcPr>
        <w:p w:rsidR="00353757" w:rsidRDefault="00353757">
          <w:pPr>
            <w:tabs>
              <w:tab w:val="right" w:pos="4273"/>
            </w:tabs>
            <w:rPr>
              <w:rFonts w:ascii="Garamond" w:eastAsia="Garamond" w:hAnsi="Garamond" w:cs="Garamond"/>
              <w:sz w:val="16"/>
              <w:szCs w:val="16"/>
            </w:rPr>
          </w:pPr>
        </w:p>
      </w:tc>
      <w:tc>
        <w:tcPr>
          <w:tcW w:w="6873" w:type="dxa"/>
        </w:tcPr>
        <w:tbl>
          <w:tblPr>
            <w:tblStyle w:val="a1"/>
            <w:tblW w:w="6411" w:type="dxa"/>
            <w:tblInd w:w="166" w:type="dxa"/>
            <w:tblLayout w:type="fixed"/>
            <w:tblLook w:val="0400" w:firstRow="0" w:lastRow="0" w:firstColumn="0" w:lastColumn="0" w:noHBand="0" w:noVBand="1"/>
          </w:tblPr>
          <w:tblGrid>
            <w:gridCol w:w="2643"/>
            <w:gridCol w:w="3768"/>
          </w:tblGrid>
          <w:tr w:rsidR="00353757" w:rsidTr="0000610D">
            <w:trPr>
              <w:trHeight w:val="52"/>
            </w:trPr>
            <w:tc>
              <w:tcPr>
                <w:tcW w:w="2643" w:type="dxa"/>
                <w:tcBorders>
                  <w:top w:val="nil"/>
                  <w:left w:val="nil"/>
                  <w:bottom w:val="nil"/>
                  <w:right w:val="nil"/>
                </w:tcBorders>
              </w:tcPr>
              <w:p w:rsidR="00353757" w:rsidRDefault="00A37907">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68" w:type="dxa"/>
                <w:tcBorders>
                  <w:top w:val="nil"/>
                  <w:left w:val="nil"/>
                  <w:bottom w:val="nil"/>
                  <w:right w:val="nil"/>
                </w:tcBorders>
              </w:tcPr>
              <w:p w:rsidR="00353757" w:rsidRDefault="00A37907">
                <w:pPr>
                  <w:tabs>
                    <w:tab w:val="right" w:pos="8838"/>
                  </w:tabs>
                  <w:ind w:left="-74" w:right="-1416"/>
                  <w:rPr>
                    <w:rFonts w:ascii="Palatino Linotype" w:eastAsia="Palatino Linotype" w:hAnsi="Palatino Linotype" w:cs="Palatino Linotype"/>
                  </w:rPr>
                </w:pPr>
                <w:r>
                  <w:rPr>
                    <w:rFonts w:ascii="Palatino Linotype" w:eastAsia="Palatino Linotype" w:hAnsi="Palatino Linotype" w:cs="Palatino Linotype"/>
                  </w:rPr>
                  <w:t xml:space="preserve">12998/NFOEM/IP/RR/2025 </w:t>
                </w:r>
              </w:p>
            </w:tc>
          </w:tr>
          <w:tr w:rsidR="00353757" w:rsidTr="0000610D">
            <w:trPr>
              <w:trHeight w:val="103"/>
            </w:trPr>
            <w:tc>
              <w:tcPr>
                <w:tcW w:w="2643" w:type="dxa"/>
                <w:tcBorders>
                  <w:top w:val="nil"/>
                  <w:left w:val="nil"/>
                  <w:bottom w:val="nil"/>
                  <w:right w:val="nil"/>
                </w:tcBorders>
              </w:tcPr>
              <w:p w:rsidR="00353757" w:rsidRDefault="00A37907">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68" w:type="dxa"/>
                <w:tcBorders>
                  <w:top w:val="nil"/>
                  <w:left w:val="nil"/>
                  <w:bottom w:val="nil"/>
                  <w:right w:val="nil"/>
                </w:tcBorders>
              </w:tcPr>
              <w:p w:rsidR="00353757" w:rsidRDefault="00A37907">
                <w:pPr>
                  <w:tabs>
                    <w:tab w:val="left" w:pos="2834"/>
                    <w:tab w:val="right" w:pos="8838"/>
                  </w:tabs>
                  <w:ind w:left="-74" w:right="-1416"/>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353757" w:rsidTr="0000610D">
            <w:trPr>
              <w:trHeight w:val="103"/>
            </w:trPr>
            <w:tc>
              <w:tcPr>
                <w:tcW w:w="2643" w:type="dxa"/>
                <w:tcBorders>
                  <w:top w:val="nil"/>
                  <w:left w:val="nil"/>
                  <w:bottom w:val="nil"/>
                  <w:right w:val="nil"/>
                </w:tcBorders>
              </w:tcPr>
              <w:p w:rsidR="00353757" w:rsidRDefault="00A37907">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68" w:type="dxa"/>
                <w:tcBorders>
                  <w:top w:val="nil"/>
                  <w:left w:val="nil"/>
                  <w:bottom w:val="nil"/>
                  <w:right w:val="nil"/>
                </w:tcBorders>
              </w:tcPr>
              <w:p w:rsidR="00353757" w:rsidRDefault="00A37907">
                <w:pPr>
                  <w:tabs>
                    <w:tab w:val="right" w:pos="8838"/>
                  </w:tabs>
                  <w:ind w:left="-74" w:right="-1416"/>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353757" w:rsidRDefault="00353757">
                <w:pPr>
                  <w:tabs>
                    <w:tab w:val="right" w:pos="8838"/>
                  </w:tabs>
                  <w:ind w:left="-74" w:right="-1416"/>
                  <w:rPr>
                    <w:rFonts w:ascii="Palatino Linotype" w:eastAsia="Palatino Linotype" w:hAnsi="Palatino Linotype" w:cs="Palatino Linotype"/>
                    <w:b/>
                    <w:bCs/>
                  </w:rPr>
                </w:pPr>
              </w:p>
            </w:tc>
          </w:tr>
        </w:tbl>
        <w:p w:rsidR="00353757" w:rsidRDefault="00353757" w:rsidP="0000610D">
          <w:pPr>
            <w:tabs>
              <w:tab w:val="right" w:pos="8838"/>
            </w:tabs>
            <w:jc w:val="both"/>
            <w:rPr>
              <w:rFonts w:ascii="Arial" w:eastAsia="Arial" w:hAnsi="Arial" w:cs="Arial"/>
              <w:b/>
              <w:bCs/>
            </w:rPr>
          </w:pPr>
        </w:p>
      </w:tc>
    </w:tr>
  </w:tbl>
  <w:p w:rsidR="00353757" w:rsidRDefault="0049233E">
    <w:pPr>
      <w:pBdr>
        <w:top w:val="nil"/>
        <w:left w:val="nil"/>
        <w:bottom w:val="nil"/>
        <w:right w:val="nil"/>
        <w:between w:val="nil"/>
      </w:pBdr>
      <w:tabs>
        <w:tab w:val="center" w:pos="4419"/>
        <w:tab w:val="right" w:pos="8838"/>
      </w:tabs>
      <w:rPr>
        <w:color w:val="000000"/>
        <w:sz w:val="14"/>
        <w:szCs w:val="14"/>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57.2pt;margin-top:-121.15pt;width:589.8pt;height:768pt;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348" w:type="dxa"/>
      <w:tblInd w:w="0" w:type="dxa"/>
      <w:tblLayout w:type="fixed"/>
      <w:tblLook w:val="0400" w:firstRow="0" w:lastRow="0" w:firstColumn="0" w:lastColumn="0" w:noHBand="0" w:noVBand="1"/>
    </w:tblPr>
    <w:tblGrid>
      <w:gridCol w:w="2268"/>
      <w:gridCol w:w="8080"/>
    </w:tblGrid>
    <w:tr w:rsidR="00353757" w:rsidTr="0000610D">
      <w:trPr>
        <w:trHeight w:val="1435"/>
      </w:trPr>
      <w:tc>
        <w:tcPr>
          <w:tcW w:w="2268" w:type="dxa"/>
        </w:tcPr>
        <w:p w:rsidR="00353757" w:rsidRDefault="00353757">
          <w:pPr>
            <w:tabs>
              <w:tab w:val="right" w:pos="4273"/>
            </w:tabs>
            <w:rPr>
              <w:rFonts w:ascii="Garamond" w:eastAsia="Garamond" w:hAnsi="Garamond" w:cs="Garamond"/>
            </w:rPr>
          </w:pPr>
        </w:p>
      </w:tc>
      <w:tc>
        <w:tcPr>
          <w:tcW w:w="8080" w:type="dxa"/>
        </w:tcPr>
        <w:tbl>
          <w:tblPr>
            <w:tblStyle w:val="a3"/>
            <w:tblW w:w="6765" w:type="dxa"/>
            <w:tblInd w:w="1728" w:type="dxa"/>
            <w:tblLayout w:type="fixed"/>
            <w:tblLook w:val="0400" w:firstRow="0" w:lastRow="0" w:firstColumn="0" w:lastColumn="0" w:noHBand="0" w:noVBand="1"/>
          </w:tblPr>
          <w:tblGrid>
            <w:gridCol w:w="2546"/>
            <w:gridCol w:w="4219"/>
          </w:tblGrid>
          <w:tr w:rsidR="00353757" w:rsidTr="0000610D">
            <w:trPr>
              <w:trHeight w:val="144"/>
            </w:trPr>
            <w:tc>
              <w:tcPr>
                <w:tcW w:w="2546" w:type="dxa"/>
                <w:tcBorders>
                  <w:top w:val="nil"/>
                  <w:left w:val="nil"/>
                  <w:bottom w:val="nil"/>
                  <w:right w:val="nil"/>
                </w:tcBorders>
              </w:tcPr>
              <w:p w:rsidR="00353757" w:rsidRDefault="00A37907">
                <w:pPr>
                  <w:tabs>
                    <w:tab w:val="right" w:pos="7217"/>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19" w:type="dxa"/>
                <w:tcBorders>
                  <w:top w:val="nil"/>
                  <w:left w:val="nil"/>
                  <w:bottom w:val="nil"/>
                  <w:right w:val="nil"/>
                </w:tcBorders>
              </w:tcPr>
              <w:p w:rsidR="00353757" w:rsidRDefault="00A37907">
                <w:pPr>
                  <w:ind w:left="-74" w:right="-1663"/>
                  <w:rPr>
                    <w:rFonts w:ascii="Palatino Linotype" w:eastAsia="Palatino Linotype" w:hAnsi="Palatino Linotype" w:cs="Palatino Linotype"/>
                  </w:rPr>
                </w:pPr>
                <w:r>
                  <w:rPr>
                    <w:rFonts w:ascii="Palatino Linotype" w:eastAsia="Palatino Linotype" w:hAnsi="Palatino Linotype" w:cs="Palatino Linotype"/>
                  </w:rPr>
                  <w:t xml:space="preserve">12998/INFOEM/IP/RR/2025 </w:t>
                </w:r>
              </w:p>
            </w:tc>
          </w:tr>
          <w:tr w:rsidR="00353757" w:rsidTr="0000610D">
            <w:trPr>
              <w:trHeight w:val="144"/>
            </w:trPr>
            <w:tc>
              <w:tcPr>
                <w:tcW w:w="2546" w:type="dxa"/>
                <w:tcBorders>
                  <w:top w:val="nil"/>
                  <w:left w:val="nil"/>
                  <w:bottom w:val="nil"/>
                  <w:right w:val="nil"/>
                </w:tcBorders>
              </w:tcPr>
              <w:p w:rsidR="00353757" w:rsidRDefault="00A37907">
                <w:pPr>
                  <w:tabs>
                    <w:tab w:val="right" w:pos="7217"/>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19" w:type="dxa"/>
                <w:tcBorders>
                  <w:top w:val="nil"/>
                  <w:left w:val="nil"/>
                  <w:bottom w:val="nil"/>
                  <w:right w:val="nil"/>
                </w:tcBorders>
              </w:tcPr>
              <w:p w:rsidR="00353757" w:rsidRDefault="00353757">
                <w:pPr>
                  <w:tabs>
                    <w:tab w:val="left" w:pos="3122"/>
                  </w:tabs>
                  <w:ind w:left="-74" w:right="-1663"/>
                  <w:rPr>
                    <w:rFonts w:ascii="Palatino Linotype" w:eastAsia="Palatino Linotype" w:hAnsi="Palatino Linotype" w:cs="Palatino Linotype"/>
                  </w:rPr>
                </w:pPr>
              </w:p>
            </w:tc>
          </w:tr>
          <w:tr w:rsidR="00353757" w:rsidTr="0000610D">
            <w:trPr>
              <w:trHeight w:val="283"/>
            </w:trPr>
            <w:tc>
              <w:tcPr>
                <w:tcW w:w="2546" w:type="dxa"/>
                <w:tcBorders>
                  <w:top w:val="nil"/>
                  <w:left w:val="nil"/>
                  <w:bottom w:val="nil"/>
                  <w:right w:val="nil"/>
                </w:tcBorders>
              </w:tcPr>
              <w:p w:rsidR="00353757" w:rsidRDefault="00A37907">
                <w:pPr>
                  <w:tabs>
                    <w:tab w:val="right" w:pos="7217"/>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19" w:type="dxa"/>
                <w:tcBorders>
                  <w:top w:val="nil"/>
                  <w:left w:val="nil"/>
                  <w:bottom w:val="nil"/>
                  <w:right w:val="nil"/>
                </w:tcBorders>
              </w:tcPr>
              <w:p w:rsidR="00353757" w:rsidRDefault="00A37907">
                <w:pPr>
                  <w:tabs>
                    <w:tab w:val="left" w:pos="2834"/>
                  </w:tabs>
                  <w:ind w:right="-1663"/>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353757" w:rsidTr="0000610D">
            <w:trPr>
              <w:trHeight w:val="283"/>
            </w:trPr>
            <w:tc>
              <w:tcPr>
                <w:tcW w:w="2546" w:type="dxa"/>
                <w:tcBorders>
                  <w:top w:val="nil"/>
                  <w:left w:val="nil"/>
                  <w:bottom w:val="nil"/>
                  <w:right w:val="nil"/>
                </w:tcBorders>
              </w:tcPr>
              <w:p w:rsidR="00353757" w:rsidRDefault="00A37907">
                <w:pPr>
                  <w:tabs>
                    <w:tab w:val="right" w:pos="7217"/>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19" w:type="dxa"/>
                <w:tcBorders>
                  <w:top w:val="nil"/>
                  <w:left w:val="nil"/>
                  <w:bottom w:val="nil"/>
                  <w:right w:val="nil"/>
                </w:tcBorders>
              </w:tcPr>
              <w:p w:rsidR="00353757" w:rsidRDefault="00A37907">
                <w:pPr>
                  <w:ind w:left="-74" w:right="-166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353757" w:rsidRDefault="00353757">
                <w:pPr>
                  <w:ind w:left="-74" w:right="-1663"/>
                  <w:rPr>
                    <w:rFonts w:ascii="Palatino Linotype" w:eastAsia="Palatino Linotype" w:hAnsi="Palatino Linotype" w:cs="Palatino Linotype"/>
                    <w:b/>
                    <w:bCs/>
                  </w:rPr>
                </w:pPr>
              </w:p>
            </w:tc>
          </w:tr>
        </w:tbl>
        <w:p w:rsidR="00353757" w:rsidRDefault="00353757">
          <w:pPr>
            <w:tabs>
              <w:tab w:val="right" w:pos="8838"/>
            </w:tabs>
            <w:ind w:left="-28"/>
            <w:jc w:val="both"/>
            <w:rPr>
              <w:rFonts w:ascii="Arial" w:eastAsia="Arial" w:hAnsi="Arial" w:cs="Arial"/>
              <w:b/>
              <w:bCs/>
            </w:rPr>
          </w:pPr>
        </w:p>
      </w:tc>
    </w:tr>
  </w:tbl>
  <w:p w:rsidR="00353757" w:rsidRDefault="0049233E">
    <w:pPr>
      <w:pBdr>
        <w:top w:val="nil"/>
        <w:left w:val="nil"/>
        <w:bottom w:val="nil"/>
        <w:right w:val="nil"/>
        <w:between w:val="nil"/>
      </w:pBdr>
      <w:tabs>
        <w:tab w:val="center" w:pos="4419"/>
        <w:tab w:val="right" w:pos="8838"/>
      </w:tabs>
      <w:rPr>
        <w:color w:val="000000"/>
        <w:sz w:val="2"/>
        <w:szCs w:val="2"/>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3C97"/>
    <w:multiLevelType w:val="multilevel"/>
    <w:tmpl w:val="3BFC8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7C0010"/>
    <w:multiLevelType w:val="multilevel"/>
    <w:tmpl w:val="4D6C7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084076"/>
    <w:multiLevelType w:val="multilevel"/>
    <w:tmpl w:val="69240F6A"/>
    <w:lvl w:ilvl="0">
      <w:start w:val="34"/>
      <w:numFmt w:val="decimal"/>
      <w:lvlText w:val="%1."/>
      <w:lvlJc w:val="left"/>
      <w:pPr>
        <w:ind w:left="502" w:hanging="360"/>
      </w:pPr>
      <w:rPr>
        <w:rFonts w:ascii="Palatino Linotype" w:eastAsia="Palatino Linotype" w:hAnsi="Palatino Linotype" w:cs="Palatino Linotype"/>
        <w:b/>
        <w:bCs/>
        <w:i w:val="0"/>
        <w:iCs w:val="0"/>
        <w:strike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085AD6"/>
    <w:multiLevelType w:val="multilevel"/>
    <w:tmpl w:val="2174C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6F32F5"/>
    <w:multiLevelType w:val="multilevel"/>
    <w:tmpl w:val="584CE97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 w15:restartNumberingAfterBreak="0">
    <w:nsid w:val="5B617091"/>
    <w:multiLevelType w:val="multilevel"/>
    <w:tmpl w:val="9634F6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DB5B81"/>
    <w:multiLevelType w:val="multilevel"/>
    <w:tmpl w:val="5B72B95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68997DC6"/>
    <w:multiLevelType w:val="multilevel"/>
    <w:tmpl w:val="D4F42AF4"/>
    <w:lvl w:ilvl="0">
      <w:start w:val="3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6C7D7D"/>
    <w:multiLevelType w:val="multilevel"/>
    <w:tmpl w:val="D8A85D8A"/>
    <w:lvl w:ilvl="0">
      <w:start w:val="1"/>
      <w:numFmt w:val="decimal"/>
      <w:lvlText w:val="%1."/>
      <w:lvlJc w:val="left"/>
      <w:pPr>
        <w:ind w:left="7731" w:hanging="359"/>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7"/>
  </w:num>
  <w:num w:numId="4">
    <w:abstractNumId w:val="2"/>
  </w:num>
  <w:num w:numId="5">
    <w:abstractNumId w:val="5"/>
  </w:num>
  <w:num w:numId="6">
    <w:abstractNumId w:val="8"/>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57"/>
    <w:rsid w:val="0000610D"/>
    <w:rsid w:val="002A7AF2"/>
    <w:rsid w:val="00324EA5"/>
    <w:rsid w:val="00353757"/>
    <w:rsid w:val="003B310E"/>
    <w:rsid w:val="0049233E"/>
    <w:rsid w:val="004E5287"/>
    <w:rsid w:val="00517ACE"/>
    <w:rsid w:val="007432E0"/>
    <w:rsid w:val="00790082"/>
    <w:rsid w:val="00A37907"/>
    <w:rsid w:val="00B20386"/>
    <w:rsid w:val="00BA3229"/>
    <w:rsid w:val="00BB5928"/>
    <w:rsid w:val="00D43631"/>
    <w:rsid w:val="00E524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3EF5AE5-B005-4AED-809C-F4EA4796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B20386"/>
    <w:pPr>
      <w:ind w:left="720"/>
      <w:contextualSpacing/>
    </w:pPr>
  </w:style>
  <w:style w:type="paragraph" w:styleId="Piedepgina">
    <w:name w:val="footer"/>
    <w:basedOn w:val="Normal"/>
    <w:link w:val="PiedepginaCar"/>
    <w:uiPriority w:val="99"/>
    <w:unhideWhenUsed/>
    <w:rsid w:val="0000610D"/>
    <w:pPr>
      <w:tabs>
        <w:tab w:val="center" w:pos="4419"/>
        <w:tab w:val="right" w:pos="8838"/>
      </w:tabs>
    </w:pPr>
  </w:style>
  <w:style w:type="character" w:customStyle="1" w:styleId="PiedepginaCar">
    <w:name w:val="Pie de página Car"/>
    <w:basedOn w:val="Fuentedeprrafopredeter"/>
    <w:link w:val="Piedepgina"/>
    <w:uiPriority w:val="99"/>
    <w:rsid w:val="00006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about:blank"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8.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E4WWSceLPw4bdqGqna9UtVdG4Q==">CgMxLjAyDmguMXJ4Zm10MnFlcjNsMg5oLmZkOW5yd29ranJnNTIJaC4xZm9iOXRlMgloLjN6bnlzaDcyCWguMmV0OTJwMDIJaC4zZHk2dmttMg5oLmswMXcxMXU5b25lYjIOaC5pbjlnc3dwMXJ2ZmYyDWguNWRjZnJoMmtrbWQ4AHIhMW5ZZkh4X0FpRThkdHlNVkR2UnVwYU95Z09mNkx6cDda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29</Pages>
  <Words>6635</Words>
  <Characters>36493</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9</cp:revision>
  <cp:lastPrinted>2026-06-05T16:51:00Z</cp:lastPrinted>
  <dcterms:created xsi:type="dcterms:W3CDTF">2026-06-01T18:06:00Z</dcterms:created>
  <dcterms:modified xsi:type="dcterms:W3CDTF">2026-06-10T00:32:00Z</dcterms:modified>
</cp:coreProperties>
</file>