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3B" w:rsidRPr="004D4F60" w:rsidRDefault="002905ED">
      <w:pPr>
        <w:tabs>
          <w:tab w:val="left" w:pos="0"/>
        </w:tabs>
        <w:spacing w:line="360" w:lineRule="auto"/>
        <w:ind w:right="-879"/>
        <w:jc w:val="both"/>
        <w:rPr>
          <w:rFonts w:ascii="Palatino Linotype" w:eastAsia="Palatino Linotype" w:hAnsi="Palatino Linotype" w:cs="Palatino Linotype"/>
        </w:rPr>
      </w:pPr>
      <w:bookmarkStart w:id="0" w:name="_GoBack"/>
      <w:bookmarkEnd w:id="0"/>
      <w:r w:rsidRPr="004D4F6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4D4F60">
        <w:rPr>
          <w:rFonts w:ascii="Palatino Linotype" w:eastAsia="Palatino Linotype" w:hAnsi="Palatino Linotype" w:cs="Palatino Linotype"/>
        </w:rPr>
        <w:t>Estado de México; de fecha</w:t>
      </w:r>
      <w:r w:rsidRPr="004D4F60">
        <w:rPr>
          <w:rFonts w:ascii="Palatino Linotype" w:eastAsia="Palatino Linotype" w:hAnsi="Palatino Linotype" w:cs="Palatino Linotype"/>
          <w:b/>
        </w:rPr>
        <w:t xml:space="preserve"> </w:t>
      </w:r>
      <w:r w:rsidR="002002D0" w:rsidRPr="004D4F60">
        <w:rPr>
          <w:rFonts w:ascii="Palatino Linotype" w:eastAsia="Palatino Linotype" w:hAnsi="Palatino Linotype" w:cs="Palatino Linotype"/>
          <w:b/>
        </w:rPr>
        <w:t xml:space="preserve">quince </w:t>
      </w:r>
      <w:r w:rsidR="004D4F60">
        <w:rPr>
          <w:rFonts w:ascii="Palatino Linotype" w:eastAsia="Palatino Linotype" w:hAnsi="Palatino Linotype" w:cs="Palatino Linotype"/>
          <w:b/>
        </w:rPr>
        <w:t xml:space="preserve">(15) </w:t>
      </w:r>
      <w:r w:rsidR="00E375E7" w:rsidRPr="004D4F60">
        <w:rPr>
          <w:rFonts w:ascii="Palatino Linotype" w:eastAsia="Palatino Linotype" w:hAnsi="Palatino Linotype" w:cs="Palatino Linotype"/>
          <w:b/>
        </w:rPr>
        <w:t>de abril de dos mil veintiséis</w:t>
      </w:r>
      <w:r w:rsidRPr="004D4F60">
        <w:rPr>
          <w:rFonts w:ascii="Palatino Linotype" w:eastAsia="Palatino Linotype" w:hAnsi="Palatino Linotype" w:cs="Palatino Linotype"/>
          <w:b/>
        </w:rPr>
        <w:t>.</w:t>
      </w:r>
      <w:r w:rsidRPr="004D4F60">
        <w:rPr>
          <w:rFonts w:ascii="Palatino Linotype" w:eastAsia="Palatino Linotype" w:hAnsi="Palatino Linotype" w:cs="Palatino Linotype"/>
        </w:rPr>
        <w:t xml:space="preserve"> </w:t>
      </w:r>
    </w:p>
    <w:p w:rsidR="00BD7A3B" w:rsidRPr="004D4F60" w:rsidRDefault="00BD7A3B">
      <w:pPr>
        <w:tabs>
          <w:tab w:val="left" w:pos="0"/>
        </w:tabs>
        <w:spacing w:line="360" w:lineRule="auto"/>
        <w:ind w:right="-879"/>
        <w:jc w:val="both"/>
        <w:rPr>
          <w:rFonts w:ascii="Palatino Linotype" w:eastAsia="Palatino Linotype" w:hAnsi="Palatino Linotype" w:cs="Palatino Linotype"/>
        </w:rPr>
      </w:pPr>
    </w:p>
    <w:p w:rsidR="00BD7A3B" w:rsidRPr="004D4F60" w:rsidRDefault="002905ED">
      <w:pPr>
        <w:spacing w:line="360" w:lineRule="auto"/>
        <w:ind w:right="-879"/>
        <w:jc w:val="both"/>
        <w:rPr>
          <w:rFonts w:ascii="Palatino Linotype" w:eastAsia="Palatino Linotype" w:hAnsi="Palatino Linotype" w:cs="Palatino Linotype"/>
        </w:rPr>
      </w:pPr>
      <w:r w:rsidRPr="004D4F60">
        <w:rPr>
          <w:rFonts w:ascii="Palatino Linotype" w:eastAsia="Palatino Linotype" w:hAnsi="Palatino Linotype" w:cs="Palatino Linotype"/>
          <w:b/>
        </w:rPr>
        <w:t>VISTO</w:t>
      </w:r>
      <w:r w:rsidRPr="004D4F60">
        <w:rPr>
          <w:rFonts w:ascii="Palatino Linotype" w:eastAsia="Palatino Linotype" w:hAnsi="Palatino Linotype" w:cs="Palatino Linotype"/>
        </w:rPr>
        <w:t xml:space="preserve"> el expediente electrónico formado con motivo del recurso de revisión </w:t>
      </w:r>
      <w:r w:rsidR="005106BB" w:rsidRPr="004D4F60">
        <w:rPr>
          <w:rFonts w:ascii="Palatino Linotype" w:eastAsia="Palatino Linotype" w:hAnsi="Palatino Linotype" w:cs="Palatino Linotype"/>
          <w:b/>
        </w:rPr>
        <w:t>12053/INFOEM/ICR-160/IP/RR/2025</w:t>
      </w:r>
      <w:r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rPr>
        <w:t xml:space="preserve">promovido </w:t>
      </w:r>
      <w:r w:rsidR="005106BB" w:rsidRPr="004D4F60">
        <w:rPr>
          <w:rFonts w:ascii="Palatino Linotype" w:eastAsia="Palatino Linotype" w:hAnsi="Palatino Linotype" w:cs="Palatino Linotype"/>
        </w:rPr>
        <w:t>por</w:t>
      </w:r>
      <w:r w:rsidR="005106BB" w:rsidRPr="004D4F60">
        <w:rPr>
          <w:rFonts w:ascii="Palatino Linotype" w:eastAsia="Palatino Linotype" w:hAnsi="Palatino Linotype" w:cs="Palatino Linotype"/>
          <w:b/>
        </w:rPr>
        <w:t xml:space="preserve"> </w:t>
      </w:r>
      <w:r w:rsidR="00634D61">
        <w:rPr>
          <w:rFonts w:ascii="Palatino Linotype" w:eastAsia="Palatino Linotype" w:hAnsi="Palatino Linotype" w:cs="Palatino Linotype"/>
          <w:b/>
        </w:rPr>
        <w:t>XXXX</w:t>
      </w:r>
      <w:r w:rsidRPr="004D4F60">
        <w:rPr>
          <w:rFonts w:ascii="Palatino Linotype" w:eastAsia="Palatino Linotype" w:hAnsi="Palatino Linotype" w:cs="Palatino Linotype"/>
        </w:rPr>
        <w:t xml:space="preserve">, a quien en lo sucesivo se le identificara como </w:t>
      </w:r>
      <w:r w:rsidRPr="004D4F60">
        <w:rPr>
          <w:rFonts w:ascii="Palatino Linotype" w:eastAsia="Palatino Linotype" w:hAnsi="Palatino Linotype" w:cs="Palatino Linotype"/>
          <w:b/>
        </w:rPr>
        <w:t>RECURRENTE</w:t>
      </w:r>
      <w:r w:rsidRPr="004D4F60">
        <w:rPr>
          <w:rFonts w:ascii="Palatino Linotype" w:eastAsia="Palatino Linotype" w:hAnsi="Palatino Linotype" w:cs="Palatino Linotype"/>
        </w:rPr>
        <w:t xml:space="preserve">, en contra de la respuesta del </w:t>
      </w:r>
      <w:r w:rsidR="005106BB" w:rsidRPr="004D4F60">
        <w:rPr>
          <w:rFonts w:ascii="Palatino Linotype" w:eastAsia="Palatino Linotype" w:hAnsi="Palatino Linotype" w:cs="Palatino Linotype"/>
          <w:b/>
        </w:rPr>
        <w:t>Ayuntamiento de Tepotzotlán</w:t>
      </w:r>
      <w:r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rPr>
        <w:t>en lo sucesivo el</w:t>
      </w:r>
      <w:r w:rsidRPr="004D4F60">
        <w:rPr>
          <w:rFonts w:ascii="Palatino Linotype" w:eastAsia="Palatino Linotype" w:hAnsi="Palatino Linotype" w:cs="Palatino Linotype"/>
          <w:b/>
        </w:rPr>
        <w:t xml:space="preserve"> SUJETO OBLIGADO, </w:t>
      </w:r>
      <w:r w:rsidRPr="004D4F60">
        <w:rPr>
          <w:rFonts w:ascii="Palatino Linotype" w:eastAsia="Palatino Linotype" w:hAnsi="Palatino Linotype" w:cs="Palatino Linotype"/>
        </w:rPr>
        <w:t xml:space="preserve">se procede a dictar la presente resolución, con base en los siguientes: </w:t>
      </w:r>
    </w:p>
    <w:p w:rsidR="00BD7A3B" w:rsidRPr="004D4F60" w:rsidRDefault="00BD7A3B">
      <w:pPr>
        <w:spacing w:line="360" w:lineRule="auto"/>
        <w:ind w:right="-879"/>
        <w:jc w:val="both"/>
        <w:rPr>
          <w:rFonts w:ascii="Palatino Linotype" w:eastAsia="Palatino Linotype" w:hAnsi="Palatino Linotype" w:cs="Palatino Linotype"/>
        </w:rPr>
      </w:pPr>
    </w:p>
    <w:p w:rsidR="00BD7A3B" w:rsidRPr="004D4F60" w:rsidRDefault="002905ED">
      <w:pPr>
        <w:keepNext/>
        <w:keepLines/>
        <w:tabs>
          <w:tab w:val="left" w:pos="0"/>
        </w:tabs>
        <w:spacing w:line="360" w:lineRule="auto"/>
        <w:ind w:right="-879"/>
        <w:jc w:val="center"/>
        <w:rPr>
          <w:rFonts w:ascii="Palatino Linotype" w:eastAsia="Palatino Linotype" w:hAnsi="Palatino Linotype" w:cs="Palatino Linotype"/>
          <w:b/>
        </w:rPr>
      </w:pPr>
      <w:bookmarkStart w:id="1" w:name="_heading=h.dbwx6li7inh1" w:colFirst="0" w:colLast="0"/>
      <w:bookmarkEnd w:id="1"/>
      <w:r w:rsidRPr="004D4F60">
        <w:rPr>
          <w:rFonts w:ascii="Palatino Linotype" w:eastAsia="Palatino Linotype" w:hAnsi="Palatino Linotype" w:cs="Palatino Linotype"/>
          <w:b/>
        </w:rPr>
        <w:t>A</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N</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T</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E</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C</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E</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D</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E</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N</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T</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E</w:t>
      </w:r>
      <w:r w:rsid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S</w:t>
      </w:r>
    </w:p>
    <w:p w:rsidR="00BD7A3B" w:rsidRPr="004D4F60" w:rsidRDefault="00BD7A3B">
      <w:pPr>
        <w:keepNext/>
        <w:keepLines/>
        <w:tabs>
          <w:tab w:val="left" w:pos="0"/>
        </w:tabs>
        <w:spacing w:line="360" w:lineRule="auto"/>
        <w:ind w:right="-879"/>
        <w:jc w:val="center"/>
        <w:rPr>
          <w:rFonts w:ascii="Palatino Linotype" w:eastAsia="Palatino Linotype" w:hAnsi="Palatino Linotype" w:cs="Palatino Linotype"/>
          <w:b/>
        </w:rPr>
      </w:pPr>
    </w:p>
    <w:p w:rsidR="00E84CF7" w:rsidRPr="004D4F60" w:rsidRDefault="00E84CF7" w:rsidP="00E84CF7">
      <w:pPr>
        <w:numPr>
          <w:ilvl w:val="0"/>
          <w:numId w:val="1"/>
        </w:numPr>
        <w:tabs>
          <w:tab w:val="left" w:pos="0"/>
        </w:tabs>
        <w:spacing w:line="360" w:lineRule="auto"/>
        <w:ind w:left="0" w:right="-879" w:firstLine="0"/>
        <w:jc w:val="both"/>
        <w:rPr>
          <w:rFonts w:ascii="Palatino Linotype" w:eastAsia="Palatino Linotype" w:hAnsi="Palatino Linotype" w:cs="Palatino Linotype"/>
          <w:color w:val="000000" w:themeColor="text1"/>
        </w:rPr>
      </w:pPr>
      <w:r w:rsidRPr="004D4F60">
        <w:rPr>
          <w:rFonts w:ascii="Palatino Linotype" w:eastAsia="Palatino Linotype" w:hAnsi="Palatino Linotype" w:cs="Palatino Linotype"/>
          <w:color w:val="000000" w:themeColor="text1"/>
        </w:rPr>
        <w:t xml:space="preserve">El </w:t>
      </w:r>
      <w:r w:rsidRPr="004D4F60">
        <w:rPr>
          <w:rFonts w:ascii="Palatino Linotype" w:eastAsia="Palatino Linotype" w:hAnsi="Palatino Linotype" w:cs="Palatino Linotype"/>
          <w:b/>
          <w:color w:val="000000" w:themeColor="text1"/>
        </w:rPr>
        <w:t xml:space="preserve">veintiuno de septiembre de dos mil veinticinco, LA RECURRENTE, </w:t>
      </w:r>
      <w:r w:rsidRPr="004D4F60">
        <w:rPr>
          <w:rFonts w:ascii="Palatino Linotype" w:eastAsia="Palatino Linotype" w:hAnsi="Palatino Linotype" w:cs="Palatino Linotype"/>
          <w:color w:val="000000" w:themeColor="text1"/>
        </w:rPr>
        <w:t xml:space="preserve">presentó a través del Sistema de Acceso a la Información Mexiquense (SAIMEX), la solicitud de acceso a la información pública, con número de folio </w:t>
      </w:r>
      <w:r w:rsidRPr="004D4F60">
        <w:rPr>
          <w:rFonts w:ascii="Palatino Linotype" w:eastAsia="Palatino Linotype" w:hAnsi="Palatino Linotype" w:cs="Palatino Linotype"/>
          <w:b/>
          <w:color w:val="000000" w:themeColor="text1"/>
        </w:rPr>
        <w:t xml:space="preserve"> 00559/TEPOTZOT/IP/2025</w:t>
      </w:r>
      <w:r w:rsidRPr="004D4F60">
        <w:rPr>
          <w:rFonts w:ascii="Palatino Linotype" w:eastAsia="Palatino Linotype" w:hAnsi="Palatino Linotype" w:cs="Palatino Linotype"/>
          <w:color w:val="000000" w:themeColor="text1"/>
        </w:rPr>
        <w:t>, misma que se tuvo por presentada el veintidós de septiembre del mismo año, en la que solicitó</w:t>
      </w:r>
      <w:r w:rsidRPr="004D4F60">
        <w:rPr>
          <w:rFonts w:ascii="Palatino Linotype" w:eastAsia="Palatino Linotype" w:hAnsi="Palatino Linotype" w:cs="Palatino Linotype"/>
          <w:b/>
          <w:color w:val="000000" w:themeColor="text1"/>
        </w:rPr>
        <w:t xml:space="preserve"> </w:t>
      </w:r>
      <w:r w:rsidRPr="004D4F60">
        <w:rPr>
          <w:rFonts w:ascii="Palatino Linotype" w:eastAsia="Palatino Linotype" w:hAnsi="Palatino Linotype" w:cs="Palatino Linotype"/>
          <w:color w:val="000000" w:themeColor="text1"/>
        </w:rPr>
        <w:t xml:space="preserve">lo siguiente: </w:t>
      </w:r>
    </w:p>
    <w:p w:rsidR="00E84CF7" w:rsidRPr="004D4F60" w:rsidRDefault="00E84CF7" w:rsidP="00E84CF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84CF7" w:rsidRPr="004D4F60" w:rsidRDefault="00E84CF7" w:rsidP="00E84CF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4D4F60">
        <w:rPr>
          <w:rFonts w:ascii="Palatino Linotype" w:eastAsia="Palatino Linotype" w:hAnsi="Palatino Linotype" w:cs="Palatino Linotype"/>
          <w:b/>
          <w:color w:val="000000" w:themeColor="text1"/>
        </w:rPr>
        <w:t>00559/TEPOTZOT/IP/2025:</w:t>
      </w:r>
    </w:p>
    <w:p w:rsidR="00E84CF7" w:rsidRPr="004D4F60" w:rsidRDefault="00E84CF7" w:rsidP="00C93FDA">
      <w:pPr>
        <w:pBdr>
          <w:top w:val="nil"/>
          <w:left w:val="nil"/>
          <w:bottom w:val="nil"/>
          <w:right w:val="nil"/>
          <w:between w:val="nil"/>
        </w:pBdr>
        <w:jc w:val="both"/>
        <w:rPr>
          <w:rFonts w:ascii="Palatino Linotype" w:eastAsia="Palatino Linotype" w:hAnsi="Palatino Linotype" w:cs="Palatino Linotype"/>
          <w:i/>
          <w:color w:val="000000" w:themeColor="text1"/>
        </w:rPr>
      </w:pPr>
      <w:r w:rsidRPr="004D4F60">
        <w:rPr>
          <w:rFonts w:ascii="Palatino Linotype" w:eastAsia="Palatino Linotype" w:hAnsi="Palatino Linotype" w:cs="Palatino Linotype"/>
          <w:i/>
          <w:color w:val="000000" w:themeColor="text1"/>
        </w:rPr>
        <w:t>“</w:t>
      </w:r>
      <w:r w:rsidRPr="004D4F60">
        <w:rPr>
          <w:rFonts w:ascii="Palatino Linotype" w:hAnsi="Palatino Linotype"/>
          <w:i/>
          <w:color w:val="000000" w:themeColor="text1"/>
        </w:rPr>
        <w:t>Solicito el proyecto de obra así como los avances de obra que ha tenido así como todos los documentos que tengan que ver con el distribuidor vial que se tiene contemplado para librar el tráfico de la autopista México Querétaro, es decir el puente inconcluso que hay dentro del Municipio.”</w:t>
      </w:r>
      <w:r w:rsidRPr="004D4F60">
        <w:rPr>
          <w:rFonts w:ascii="Palatino Linotype" w:eastAsia="Palatino Linotype" w:hAnsi="Palatino Linotype" w:cs="Palatino Linotype"/>
          <w:i/>
          <w:color w:val="000000" w:themeColor="text1"/>
        </w:rPr>
        <w:t xml:space="preserve"> (Sic)</w:t>
      </w:r>
    </w:p>
    <w:p w:rsidR="00E84CF7" w:rsidRPr="004D4F60" w:rsidRDefault="00E84CF7" w:rsidP="00E84CF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84CF7" w:rsidRPr="004D4F60" w:rsidRDefault="00E84CF7" w:rsidP="00E84CF7">
      <w:pPr>
        <w:spacing w:line="360" w:lineRule="auto"/>
        <w:ind w:firstLine="426"/>
        <w:jc w:val="both"/>
        <w:rPr>
          <w:rFonts w:ascii="Palatino Linotype" w:eastAsia="Palatino Linotype" w:hAnsi="Palatino Linotype" w:cs="Palatino Linotype"/>
          <w:b/>
          <w:color w:val="000000" w:themeColor="text1"/>
        </w:rPr>
      </w:pPr>
      <w:r w:rsidRPr="004D4F60">
        <w:rPr>
          <w:rFonts w:ascii="Palatino Linotype" w:eastAsia="Palatino Linotype" w:hAnsi="Palatino Linotype" w:cs="Palatino Linotype"/>
          <w:b/>
          <w:color w:val="000000" w:themeColor="text1"/>
        </w:rPr>
        <w:t>Modalidad de entrega</w:t>
      </w:r>
      <w:r w:rsidRPr="004D4F60">
        <w:rPr>
          <w:rFonts w:ascii="Palatino Linotype" w:eastAsia="Palatino Linotype" w:hAnsi="Palatino Linotype" w:cs="Palatino Linotype"/>
          <w:color w:val="000000" w:themeColor="text1"/>
        </w:rPr>
        <w:t xml:space="preserve">: a través del </w:t>
      </w:r>
      <w:r w:rsidRPr="004D4F60">
        <w:rPr>
          <w:rFonts w:ascii="Palatino Linotype" w:eastAsia="Palatino Linotype" w:hAnsi="Palatino Linotype" w:cs="Palatino Linotype"/>
          <w:b/>
          <w:color w:val="000000" w:themeColor="text1"/>
        </w:rPr>
        <w:t>SAIMEX.</w:t>
      </w:r>
    </w:p>
    <w:p w:rsidR="00BD7A3B" w:rsidRPr="004D4F60" w:rsidRDefault="00BD7A3B">
      <w:pPr>
        <w:pBdr>
          <w:top w:val="nil"/>
          <w:left w:val="nil"/>
          <w:bottom w:val="nil"/>
          <w:right w:val="nil"/>
          <w:between w:val="nil"/>
        </w:pBdr>
        <w:spacing w:line="360" w:lineRule="auto"/>
        <w:ind w:right="-879"/>
        <w:jc w:val="both"/>
        <w:rPr>
          <w:rFonts w:ascii="Palatino Linotype" w:eastAsia="Palatino Linotype" w:hAnsi="Palatino Linotype" w:cs="Palatino Linotype"/>
          <w:color w:val="000000"/>
        </w:rPr>
      </w:pPr>
    </w:p>
    <w:p w:rsidR="00BD7A3B" w:rsidRPr="004D4F60" w:rsidRDefault="002905ED">
      <w:pPr>
        <w:numPr>
          <w:ilvl w:val="0"/>
          <w:numId w:val="1"/>
        </w:numPr>
        <w:tabs>
          <w:tab w:val="left" w:pos="0"/>
        </w:tabs>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lastRenderedPageBreak/>
        <w:t xml:space="preserve">De </w:t>
      </w:r>
      <w:r w:rsidRPr="004D4F60">
        <w:rPr>
          <w:rFonts w:ascii="Palatino Linotype" w:eastAsia="Palatino Linotype" w:hAnsi="Palatino Linotype" w:cs="Palatino Linotype"/>
        </w:rPr>
        <w:t>conformidad</w:t>
      </w:r>
      <w:r w:rsidRPr="004D4F60">
        <w:rPr>
          <w:rFonts w:ascii="Palatino Linotype" w:eastAsia="Palatino Linotype" w:hAnsi="Palatino Linotype" w:cs="Palatino Linotype"/>
          <w:color w:val="000000"/>
        </w:rPr>
        <w:t xml:space="preserve"> con el artículo 136, párrafo primero de la Ley de Transparencia y </w:t>
      </w:r>
      <w:r w:rsidRPr="004D4F60">
        <w:rPr>
          <w:rFonts w:ascii="Palatino Linotype" w:eastAsia="Palatino Linotype" w:hAnsi="Palatino Linotype" w:cs="Palatino Linotype"/>
          <w:color w:val="000000" w:themeColor="text1"/>
        </w:rPr>
        <w:t>Acceso</w:t>
      </w:r>
      <w:r w:rsidRPr="004D4F60">
        <w:rPr>
          <w:rFonts w:ascii="Palatino Linotype" w:eastAsia="Palatino Linotype" w:hAnsi="Palatino Linotype" w:cs="Palatino Linotype"/>
          <w:color w:val="000000"/>
        </w:rPr>
        <w:t xml:space="preserve">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4D4F60">
        <w:rPr>
          <w:rFonts w:ascii="Palatino Linotype" w:eastAsia="Palatino Linotype" w:hAnsi="Palatino Linotype" w:cs="Palatino Linotype"/>
          <w:b/>
        </w:rPr>
        <w:t xml:space="preserve"> </w:t>
      </w:r>
      <w:r w:rsidR="00E84CF7" w:rsidRPr="004D4F60">
        <w:rPr>
          <w:rFonts w:ascii="Palatino Linotype" w:eastAsia="Palatino Linotype" w:hAnsi="Palatino Linotype" w:cs="Palatino Linotype"/>
          <w:b/>
        </w:rPr>
        <w:t>Ayuntamiento de Tepotzotlán</w:t>
      </w:r>
      <w:r w:rsidRPr="004D4F60">
        <w:rPr>
          <w:rFonts w:ascii="Palatino Linotype" w:eastAsia="Palatino Linotype" w:hAnsi="Palatino Linotype" w:cs="Palatino Linotype"/>
          <w:color w:val="000000"/>
        </w:rPr>
        <w:t xml:space="preserve">, </w:t>
      </w:r>
      <w:r w:rsidRPr="004D4F60">
        <w:rPr>
          <w:rFonts w:ascii="Palatino Linotype" w:eastAsia="Palatino Linotype" w:hAnsi="Palatino Linotype" w:cs="Palatino Linotype"/>
          <w:b/>
          <w:color w:val="000000"/>
        </w:rPr>
        <w:t>omitió dar respuesta</w:t>
      </w:r>
      <w:r w:rsidRPr="004D4F60">
        <w:rPr>
          <w:rFonts w:ascii="Palatino Linotype" w:eastAsia="Palatino Linotype" w:hAnsi="Palatino Linotype" w:cs="Palatino Linotype"/>
          <w:color w:val="000000"/>
        </w:rPr>
        <w:t xml:space="preserve"> a la solicitud de información, por lo que se </w:t>
      </w:r>
      <w:r w:rsidRPr="004D4F60">
        <w:rPr>
          <w:rFonts w:ascii="Palatino Linotype" w:eastAsia="Palatino Linotype" w:hAnsi="Palatino Linotype" w:cs="Palatino Linotype"/>
          <w:b/>
          <w:color w:val="000000"/>
        </w:rPr>
        <w:t>configura la negativa ficta</w:t>
      </w:r>
      <w:r w:rsidRPr="004D4F60">
        <w:rPr>
          <w:rFonts w:ascii="Palatino Linotype" w:eastAsia="Palatino Linotype" w:hAnsi="Palatino Linotype" w:cs="Palatino Linotype"/>
          <w:color w:val="000000"/>
        </w:rPr>
        <w:t xml:space="preserve"> a entregar información, prevista, en los artículos 166, párrafo cuarto y 178, párrafo segundo de la Ley de Transparencia y Acceso a la Información Pública del Estado de México y Municipios.</w:t>
      </w:r>
    </w:p>
    <w:p w:rsidR="00BD7A3B" w:rsidRPr="004D4F60" w:rsidRDefault="00BD7A3B">
      <w:pPr>
        <w:tabs>
          <w:tab w:val="left" w:pos="0"/>
        </w:tabs>
        <w:spacing w:line="360" w:lineRule="auto"/>
        <w:ind w:right="-879"/>
        <w:jc w:val="both"/>
        <w:rPr>
          <w:rFonts w:ascii="Palatino Linotype" w:eastAsia="Palatino Linotype" w:hAnsi="Palatino Linotype" w:cs="Palatino Linotype"/>
        </w:rPr>
      </w:pPr>
      <w:bookmarkStart w:id="2" w:name="_heading=h.rt9ec2knm2nh" w:colFirst="0" w:colLast="0"/>
      <w:bookmarkEnd w:id="2"/>
    </w:p>
    <w:p w:rsidR="00E84CF7" w:rsidRPr="004D4F60" w:rsidRDefault="00E84CF7" w:rsidP="00E84CF7">
      <w:pPr>
        <w:numPr>
          <w:ilvl w:val="0"/>
          <w:numId w:val="1"/>
        </w:numPr>
        <w:tabs>
          <w:tab w:val="left" w:pos="0"/>
        </w:tabs>
        <w:spacing w:line="360" w:lineRule="auto"/>
        <w:ind w:left="0" w:right="-879" w:firstLine="0"/>
        <w:jc w:val="both"/>
        <w:rPr>
          <w:rFonts w:ascii="Palatino Linotype" w:eastAsia="Palatino Linotype" w:hAnsi="Palatino Linotype" w:cs="Palatino Linotype"/>
          <w:color w:val="000000" w:themeColor="text1"/>
        </w:rPr>
      </w:pPr>
      <w:r w:rsidRPr="004D4F60">
        <w:rPr>
          <w:rFonts w:ascii="Palatino Linotype" w:eastAsia="Palatino Linotype" w:hAnsi="Palatino Linotype" w:cs="Palatino Linotype"/>
        </w:rPr>
        <w:t>Ante</w:t>
      </w:r>
      <w:r w:rsidRPr="004D4F60">
        <w:rPr>
          <w:rFonts w:ascii="Palatino Linotype" w:eastAsia="Palatino Linotype" w:hAnsi="Palatino Linotype" w:cs="Palatino Linotype"/>
          <w:color w:val="000000" w:themeColor="text1"/>
        </w:rPr>
        <w:t xml:space="preserve"> la falta de respuesta</w:t>
      </w:r>
      <w:r w:rsidRPr="004D4F60">
        <w:rPr>
          <w:rFonts w:ascii="Palatino Linotype" w:eastAsia="Palatino Linotype" w:hAnsi="Palatino Linotype" w:cs="Palatino Linotype"/>
          <w:b/>
          <w:color w:val="000000" w:themeColor="text1"/>
        </w:rPr>
        <w:t xml:space="preserve"> </w:t>
      </w:r>
      <w:r w:rsidRPr="004D4F60">
        <w:rPr>
          <w:rFonts w:ascii="Palatino Linotype" w:eastAsia="Palatino Linotype" w:hAnsi="Palatino Linotype" w:cs="Palatino Linotype"/>
          <w:color w:val="000000" w:themeColor="text1"/>
        </w:rPr>
        <w:t xml:space="preserve">del </w:t>
      </w:r>
      <w:r w:rsidRPr="004D4F60">
        <w:rPr>
          <w:rFonts w:ascii="Palatino Linotype" w:eastAsia="Palatino Linotype" w:hAnsi="Palatino Linotype" w:cs="Palatino Linotype"/>
          <w:b/>
          <w:color w:val="000000" w:themeColor="text1"/>
        </w:rPr>
        <w:t>SUJETO OBLIGADO</w:t>
      </w:r>
      <w:r w:rsidRPr="004D4F60">
        <w:rPr>
          <w:rFonts w:ascii="Palatino Linotype" w:eastAsia="Palatino Linotype" w:hAnsi="Palatino Linotype" w:cs="Palatino Linotype"/>
          <w:color w:val="000000" w:themeColor="text1"/>
        </w:rPr>
        <w:t xml:space="preserve">, </w:t>
      </w:r>
      <w:r w:rsidRPr="004D4F60">
        <w:rPr>
          <w:rFonts w:ascii="Palatino Linotype" w:eastAsia="Palatino Linotype" w:hAnsi="Palatino Linotype" w:cs="Palatino Linotype"/>
          <w:b/>
          <w:color w:val="000000" w:themeColor="text1"/>
        </w:rPr>
        <w:t>LA RECURRENTE</w:t>
      </w:r>
      <w:r w:rsidRPr="004D4F60">
        <w:rPr>
          <w:rFonts w:ascii="Palatino Linotype" w:eastAsia="Palatino Linotype" w:hAnsi="Palatino Linotype" w:cs="Palatino Linotype"/>
          <w:color w:val="000000" w:themeColor="text1"/>
        </w:rPr>
        <w:t xml:space="preserve"> interpuso el Recurso de Revisión el </w:t>
      </w:r>
      <w:r w:rsidRPr="004D4F60">
        <w:rPr>
          <w:rFonts w:ascii="Palatino Linotype" w:eastAsia="Palatino Linotype" w:hAnsi="Palatino Linotype" w:cs="Palatino Linotype"/>
          <w:b/>
          <w:color w:val="000000" w:themeColor="text1"/>
        </w:rPr>
        <w:t xml:space="preserve">dieciocho de octubre de dos mil veinticinco, el cual se tuvo por presentado el veinte de octubre del mismo año, </w:t>
      </w:r>
      <w:r w:rsidRPr="004D4F60">
        <w:rPr>
          <w:rFonts w:ascii="Palatino Linotype" w:eastAsia="Palatino Linotype" w:hAnsi="Palatino Linotype" w:cs="Palatino Linotype"/>
          <w:color w:val="000000" w:themeColor="text1"/>
        </w:rPr>
        <w:t xml:space="preserve">registrado en el </w:t>
      </w:r>
      <w:r w:rsidRPr="004D4F60">
        <w:rPr>
          <w:rFonts w:ascii="Palatino Linotype" w:eastAsia="Palatino Linotype" w:hAnsi="Palatino Linotype" w:cs="Palatino Linotype"/>
          <w:b/>
          <w:color w:val="000000" w:themeColor="text1"/>
        </w:rPr>
        <w:t xml:space="preserve">SAIMEX </w:t>
      </w:r>
      <w:r w:rsidRPr="004D4F60">
        <w:rPr>
          <w:rFonts w:ascii="Palatino Linotype" w:eastAsia="Palatino Linotype" w:hAnsi="Palatino Linotype" w:cs="Palatino Linotype"/>
          <w:color w:val="000000" w:themeColor="text1"/>
        </w:rPr>
        <w:t xml:space="preserve">con el número de expediente </w:t>
      </w:r>
      <w:r w:rsidRPr="004D4F60">
        <w:rPr>
          <w:rFonts w:ascii="Palatino Linotype" w:eastAsia="Palatino Linotype" w:hAnsi="Palatino Linotype" w:cs="Palatino Linotype"/>
          <w:b/>
          <w:color w:val="000000" w:themeColor="text1"/>
        </w:rPr>
        <w:t>12053/INFOEM/IP/RR/2025</w:t>
      </w:r>
      <w:r w:rsidRPr="004D4F60">
        <w:rPr>
          <w:rFonts w:ascii="Palatino Linotype" w:eastAsia="Palatino Linotype" w:hAnsi="Palatino Linotype" w:cs="Palatino Linotype"/>
          <w:color w:val="000000" w:themeColor="text1"/>
        </w:rPr>
        <w:t>,</w:t>
      </w:r>
      <w:r w:rsidRPr="004D4F60">
        <w:rPr>
          <w:rFonts w:ascii="Palatino Linotype" w:eastAsia="Palatino Linotype" w:hAnsi="Palatino Linotype" w:cs="Palatino Linotype"/>
          <w:b/>
          <w:color w:val="000000" w:themeColor="text1"/>
        </w:rPr>
        <w:t xml:space="preserve"> </w:t>
      </w:r>
      <w:r w:rsidRPr="004D4F60">
        <w:rPr>
          <w:rFonts w:ascii="Palatino Linotype" w:eastAsia="Palatino Linotype" w:hAnsi="Palatino Linotype" w:cs="Palatino Linotype"/>
          <w:color w:val="000000" w:themeColor="text1"/>
        </w:rPr>
        <w:t>en el cual aduce, las siguientes manifestaciones:</w:t>
      </w:r>
    </w:p>
    <w:p w:rsidR="00E84CF7" w:rsidRPr="004D4F60" w:rsidRDefault="00E84CF7" w:rsidP="00E84CF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84CF7" w:rsidRPr="004D4F60" w:rsidRDefault="00E84CF7" w:rsidP="00E84CF7">
      <w:pPr>
        <w:spacing w:line="259" w:lineRule="auto"/>
        <w:ind w:left="567"/>
        <w:jc w:val="both"/>
        <w:rPr>
          <w:rFonts w:ascii="Palatino Linotype" w:eastAsia="Palatino Linotype" w:hAnsi="Palatino Linotype" w:cs="Palatino Linotype"/>
          <w:b/>
          <w:color w:val="000000" w:themeColor="text1"/>
        </w:rPr>
      </w:pPr>
      <w:r w:rsidRPr="004D4F60">
        <w:rPr>
          <w:rFonts w:ascii="Palatino Linotype" w:eastAsia="Palatino Linotype" w:hAnsi="Palatino Linotype" w:cs="Palatino Linotype"/>
          <w:b/>
          <w:color w:val="000000" w:themeColor="text1"/>
        </w:rPr>
        <w:t xml:space="preserve">ACTO IMPUGNADO: </w:t>
      </w:r>
    </w:p>
    <w:p w:rsidR="00E84CF7" w:rsidRPr="004D4F60" w:rsidRDefault="00E84CF7" w:rsidP="00E84CF7">
      <w:pPr>
        <w:ind w:left="567"/>
        <w:jc w:val="both"/>
        <w:rPr>
          <w:rFonts w:ascii="Palatino Linotype" w:eastAsia="Palatino Linotype" w:hAnsi="Palatino Linotype" w:cs="Palatino Linotype"/>
          <w:i/>
          <w:color w:val="000000" w:themeColor="text1"/>
        </w:rPr>
      </w:pPr>
      <w:r w:rsidRPr="004D4F60">
        <w:rPr>
          <w:rFonts w:ascii="Palatino Linotype" w:eastAsia="Palatino Linotype" w:hAnsi="Palatino Linotype" w:cs="Palatino Linotype"/>
          <w:i/>
          <w:color w:val="000000" w:themeColor="text1"/>
        </w:rPr>
        <w:t>“</w:t>
      </w:r>
      <w:r w:rsidRPr="004D4F60">
        <w:rPr>
          <w:rFonts w:ascii="Palatino Linotype" w:hAnsi="Palatino Linotype"/>
          <w:i/>
          <w:color w:val="000000" w:themeColor="text1"/>
        </w:rPr>
        <w:t>Solicito el proyecto de obra así como los avances de obra que ha tenido así como todos los documentos que tengan que ver con el distribuidor vial que se tiene contemplado para librar el tráfico de la autopista México Querétaro, es decir el puente inconcluso que hay dentro del Municipio.”</w:t>
      </w:r>
      <w:r w:rsidRPr="004D4F60">
        <w:rPr>
          <w:rFonts w:ascii="Palatino Linotype" w:eastAsia="Palatino Linotype" w:hAnsi="Palatino Linotype" w:cs="Palatino Linotype"/>
          <w:i/>
          <w:color w:val="000000" w:themeColor="text1"/>
        </w:rPr>
        <w:t xml:space="preserve"> (Sic).</w:t>
      </w:r>
    </w:p>
    <w:p w:rsidR="00E84CF7" w:rsidRPr="004D4F60" w:rsidRDefault="00E84CF7" w:rsidP="00E84CF7">
      <w:pPr>
        <w:ind w:left="567"/>
        <w:jc w:val="both"/>
        <w:rPr>
          <w:rFonts w:ascii="Palatino Linotype" w:eastAsia="Palatino Linotype" w:hAnsi="Palatino Linotype" w:cs="Palatino Linotype"/>
          <w:i/>
          <w:color w:val="000000" w:themeColor="text1"/>
        </w:rPr>
      </w:pPr>
    </w:p>
    <w:p w:rsidR="00E84CF7" w:rsidRPr="004D4F60" w:rsidRDefault="00E84CF7" w:rsidP="00E84CF7">
      <w:pPr>
        <w:ind w:left="567"/>
        <w:jc w:val="both"/>
        <w:rPr>
          <w:rFonts w:ascii="Palatino Linotype" w:eastAsia="Palatino Linotype" w:hAnsi="Palatino Linotype" w:cs="Palatino Linotype"/>
          <w:i/>
          <w:color w:val="000000" w:themeColor="text1"/>
        </w:rPr>
      </w:pPr>
    </w:p>
    <w:p w:rsidR="00E84CF7" w:rsidRPr="004D4F60" w:rsidRDefault="00E84CF7" w:rsidP="00E84CF7">
      <w:pPr>
        <w:pBdr>
          <w:top w:val="nil"/>
          <w:left w:val="nil"/>
          <w:bottom w:val="nil"/>
          <w:right w:val="nil"/>
          <w:between w:val="nil"/>
        </w:pBdr>
        <w:ind w:left="567"/>
        <w:jc w:val="both"/>
        <w:rPr>
          <w:rFonts w:ascii="Palatino Linotype" w:eastAsia="Palatino Linotype" w:hAnsi="Palatino Linotype" w:cs="Palatino Linotype"/>
          <w:color w:val="000000" w:themeColor="text1"/>
        </w:rPr>
      </w:pPr>
      <w:r w:rsidRPr="004D4F60">
        <w:rPr>
          <w:rFonts w:ascii="Palatino Linotype" w:eastAsia="Palatino Linotype" w:hAnsi="Palatino Linotype" w:cs="Palatino Linotype"/>
          <w:b/>
          <w:color w:val="000000" w:themeColor="text1"/>
        </w:rPr>
        <w:t>RAZONES O MOTIVOS DE INCONFORMIDAD</w:t>
      </w:r>
      <w:r w:rsidRPr="004D4F60">
        <w:rPr>
          <w:rFonts w:ascii="Palatino Linotype" w:eastAsia="Palatino Linotype" w:hAnsi="Palatino Linotype" w:cs="Palatino Linotype"/>
          <w:color w:val="000000" w:themeColor="text1"/>
        </w:rPr>
        <w:t xml:space="preserve">: </w:t>
      </w:r>
    </w:p>
    <w:p w:rsidR="00E84CF7" w:rsidRPr="004D4F60" w:rsidRDefault="00E84CF7" w:rsidP="00E84CF7">
      <w:pPr>
        <w:ind w:left="567"/>
        <w:jc w:val="both"/>
        <w:rPr>
          <w:rFonts w:ascii="Palatino Linotype" w:eastAsia="Palatino Linotype" w:hAnsi="Palatino Linotype" w:cs="Palatino Linotype"/>
          <w:i/>
          <w:color w:val="000000" w:themeColor="text1"/>
        </w:rPr>
      </w:pPr>
      <w:r w:rsidRPr="004D4F60">
        <w:rPr>
          <w:rFonts w:ascii="Palatino Linotype" w:eastAsia="Palatino Linotype" w:hAnsi="Palatino Linotype" w:cs="Palatino Linotype"/>
          <w:i/>
          <w:color w:val="000000" w:themeColor="text1"/>
        </w:rPr>
        <w:t xml:space="preserve"> “</w:t>
      </w:r>
      <w:r w:rsidRPr="004D4F60">
        <w:rPr>
          <w:rFonts w:ascii="Palatino Linotype" w:hAnsi="Palatino Linotype"/>
          <w:i/>
          <w:color w:val="000000" w:themeColor="text1"/>
        </w:rPr>
        <w:t>En términos del articulo 8 constitucional tengo derecho a realizar mi petición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w:t>
      </w:r>
      <w:r w:rsidRPr="004D4F60">
        <w:rPr>
          <w:rFonts w:ascii="Palatino Linotype" w:eastAsia="Palatino Linotype" w:hAnsi="Palatino Linotype" w:cs="Palatino Linotype"/>
          <w:i/>
          <w:color w:val="000000" w:themeColor="text1"/>
        </w:rPr>
        <w:t xml:space="preserve"> (Sic).</w:t>
      </w:r>
    </w:p>
    <w:p w:rsidR="00BD7A3B" w:rsidRPr="004D4F60" w:rsidRDefault="00BD7A3B" w:rsidP="00E84CF7">
      <w:pPr>
        <w:spacing w:line="360" w:lineRule="auto"/>
        <w:ind w:left="567" w:right="-879"/>
        <w:jc w:val="both"/>
        <w:rPr>
          <w:rFonts w:ascii="Palatino Linotype" w:eastAsia="Palatino Linotype" w:hAnsi="Palatino Linotype" w:cs="Palatino Linotype"/>
          <w:i/>
          <w:color w:val="000000"/>
        </w:rPr>
      </w:pPr>
    </w:p>
    <w:p w:rsidR="00BD7A3B" w:rsidRPr="004D4F60" w:rsidRDefault="002905ED">
      <w:pPr>
        <w:numPr>
          <w:ilvl w:val="0"/>
          <w:numId w:val="1"/>
        </w:numPr>
        <w:spacing w:line="360" w:lineRule="auto"/>
        <w:ind w:left="0" w:right="-879" w:firstLine="0"/>
        <w:jc w:val="both"/>
        <w:rPr>
          <w:rFonts w:ascii="Palatino Linotype" w:eastAsia="Palatino Linotype" w:hAnsi="Palatino Linotype" w:cs="Palatino Linotype"/>
          <w:i/>
          <w:color w:val="000000"/>
        </w:rPr>
      </w:pPr>
      <w:r w:rsidRPr="004D4F60">
        <w:rPr>
          <w:rFonts w:ascii="Palatino Linotype" w:eastAsia="Palatino Linotype" w:hAnsi="Palatino Linotype" w:cs="Palatino Linotype"/>
        </w:rPr>
        <w:lastRenderedPageBreak/>
        <w:t xml:space="preserve">La Comisionada Ponente con fundamento en lo dispuesto por el artículo 185 fracción II de la ley de la materia, a través del </w:t>
      </w:r>
      <w:r w:rsidRPr="004D4F60">
        <w:rPr>
          <w:rFonts w:ascii="Palatino Linotype" w:eastAsia="Palatino Linotype" w:hAnsi="Palatino Linotype" w:cs="Palatino Linotype"/>
          <w:b/>
        </w:rPr>
        <w:t>acuerdo de admisión</w:t>
      </w:r>
      <w:r w:rsidRPr="004D4F60">
        <w:rPr>
          <w:rFonts w:ascii="Palatino Linotype" w:eastAsia="Palatino Linotype" w:hAnsi="Palatino Linotype" w:cs="Palatino Linotype"/>
        </w:rPr>
        <w:t xml:space="preserve"> del </w:t>
      </w:r>
      <w:r w:rsidR="00E84CF7" w:rsidRPr="004D4F60">
        <w:rPr>
          <w:rFonts w:ascii="Palatino Linotype" w:eastAsia="Palatino Linotype" w:hAnsi="Palatino Linotype" w:cs="Palatino Linotype"/>
          <w:b/>
          <w:color w:val="000000" w:themeColor="text1"/>
        </w:rPr>
        <w:t>veintiuno de octubre de dos mil veinticinco</w:t>
      </w:r>
      <w:r w:rsidRPr="004D4F60">
        <w:rPr>
          <w:rFonts w:ascii="Palatino Linotype" w:eastAsia="Palatino Linotype" w:hAnsi="Palatino Linotype" w:cs="Palatino Linotype"/>
        </w:rPr>
        <w:t xml:space="preserve">, puso a disposición de las partes el expediente electrónico vía Sistema de Acceso a la Información Mexiquense </w:t>
      </w:r>
      <w:r w:rsidRPr="004D4F60">
        <w:rPr>
          <w:rFonts w:ascii="Palatino Linotype" w:eastAsia="Palatino Linotype" w:hAnsi="Palatino Linotype" w:cs="Palatino Linotype"/>
          <w:b/>
        </w:rPr>
        <w:t xml:space="preserve">(SAIMEX) </w:t>
      </w:r>
      <w:r w:rsidRPr="004D4F60">
        <w:rPr>
          <w:rFonts w:ascii="Palatino Linotype" w:eastAsia="Palatino Linotype" w:hAnsi="Palatino Linotype" w:cs="Palatino Linotype"/>
        </w:rPr>
        <w:t xml:space="preserve">a efecto de que en un plazo máximo de siete días manifestaran lo que a derecho convinieran, ofrecieran pruebas y alegatos según corresponda al caso concreto, de esta forma para que el </w:t>
      </w:r>
      <w:r w:rsidRPr="004D4F60">
        <w:rPr>
          <w:rFonts w:ascii="Palatino Linotype" w:eastAsia="Palatino Linotype" w:hAnsi="Palatino Linotype" w:cs="Palatino Linotype"/>
          <w:b/>
        </w:rPr>
        <w:t>SUJETO OBLIGADO</w:t>
      </w:r>
      <w:r w:rsidRPr="004D4F60">
        <w:rPr>
          <w:rFonts w:ascii="Palatino Linotype" w:eastAsia="Palatino Linotype" w:hAnsi="Palatino Linotype" w:cs="Palatino Linotype"/>
        </w:rPr>
        <w:t xml:space="preserve"> presentara el Informe Justificado procedente.  </w:t>
      </w:r>
    </w:p>
    <w:p w:rsidR="00BD7A3B" w:rsidRPr="004D4F60" w:rsidRDefault="00BD7A3B">
      <w:pPr>
        <w:pBdr>
          <w:top w:val="nil"/>
          <w:left w:val="nil"/>
          <w:bottom w:val="nil"/>
          <w:right w:val="nil"/>
          <w:between w:val="nil"/>
        </w:pBdr>
        <w:spacing w:line="360" w:lineRule="auto"/>
        <w:ind w:left="720" w:right="-879"/>
        <w:rPr>
          <w:rFonts w:ascii="Palatino Linotype" w:eastAsia="Palatino Linotype" w:hAnsi="Palatino Linotype" w:cs="Palatino Linotype"/>
          <w:color w:val="000000"/>
        </w:rPr>
      </w:pPr>
    </w:p>
    <w:p w:rsidR="00BD7A3B" w:rsidRPr="004D4F60" w:rsidRDefault="002905ED">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 xml:space="preserve">De las constancias que obran en el expediente electrónico SAIMEX, se advierte que las </w:t>
      </w:r>
      <w:r w:rsidRPr="004D4F60">
        <w:rPr>
          <w:rFonts w:ascii="Palatino Linotype" w:eastAsia="Palatino Linotype" w:hAnsi="Palatino Linotype" w:cs="Palatino Linotype"/>
          <w:b/>
        </w:rPr>
        <w:t>partes fueron omisas en emitir manifestaciones o alegatos</w:t>
      </w:r>
      <w:r w:rsidRPr="004D4F60">
        <w:rPr>
          <w:rFonts w:ascii="Palatino Linotype" w:eastAsia="Palatino Linotype" w:hAnsi="Palatino Linotype" w:cs="Palatino Linotype"/>
        </w:rPr>
        <w:t>.</w:t>
      </w:r>
    </w:p>
    <w:p w:rsidR="00BD7A3B" w:rsidRPr="004D4F60" w:rsidRDefault="00BD7A3B">
      <w:pPr>
        <w:spacing w:line="360" w:lineRule="auto"/>
        <w:ind w:right="-879"/>
        <w:jc w:val="both"/>
        <w:rPr>
          <w:rFonts w:ascii="Palatino Linotype" w:eastAsia="Palatino Linotype" w:hAnsi="Palatino Linotype" w:cs="Palatino Linotype"/>
          <w:i/>
          <w:color w:val="000000"/>
        </w:rPr>
      </w:pPr>
    </w:p>
    <w:p w:rsidR="00BD7A3B" w:rsidRPr="004D4F60" w:rsidRDefault="002905ED">
      <w:pPr>
        <w:numPr>
          <w:ilvl w:val="0"/>
          <w:numId w:val="1"/>
        </w:numPr>
        <w:spacing w:line="360" w:lineRule="auto"/>
        <w:ind w:left="0" w:right="-879" w:firstLine="0"/>
        <w:jc w:val="both"/>
        <w:rPr>
          <w:rFonts w:ascii="Palatino Linotype" w:eastAsia="Palatino Linotype" w:hAnsi="Palatino Linotype" w:cs="Palatino Linotype"/>
          <w:i/>
          <w:color w:val="000000"/>
        </w:rPr>
      </w:pPr>
      <w:r w:rsidRPr="004D4F60">
        <w:rPr>
          <w:rFonts w:ascii="Palatino Linotype" w:eastAsia="Palatino Linotype" w:hAnsi="Palatino Linotype" w:cs="Palatino Linotype"/>
          <w:color w:val="000000"/>
        </w:rPr>
        <w:t xml:space="preserve">El </w:t>
      </w:r>
      <w:r w:rsidR="00E84CF7" w:rsidRPr="004D4F60">
        <w:rPr>
          <w:rFonts w:ascii="Palatino Linotype" w:eastAsia="Palatino Linotype" w:hAnsi="Palatino Linotype" w:cs="Palatino Linotype"/>
          <w:b/>
          <w:color w:val="000000" w:themeColor="text1"/>
        </w:rPr>
        <w:t>cinco de noviembre de dos mil veinticinco</w:t>
      </w:r>
      <w:r w:rsidRPr="004D4F60">
        <w:rPr>
          <w:rFonts w:ascii="Palatino Linotype" w:eastAsia="Palatino Linotype" w:hAnsi="Palatino Linotype" w:cs="Palatino Linotype"/>
          <w:b/>
          <w:color w:val="000000"/>
        </w:rPr>
        <w:t>,</w:t>
      </w:r>
      <w:r w:rsidRPr="004D4F60">
        <w:rPr>
          <w:rFonts w:ascii="Palatino Linotype" w:eastAsia="Palatino Linotype" w:hAnsi="Palatino Linotype" w:cs="Palatino Linotype"/>
          <w:color w:val="000000"/>
        </w:rPr>
        <w:t xml:space="preserve"> se notificó acuerdo mediante el cual se decretó el </w:t>
      </w:r>
      <w:r w:rsidRPr="004D4F60">
        <w:rPr>
          <w:rFonts w:ascii="Palatino Linotype" w:eastAsia="Palatino Linotype" w:hAnsi="Palatino Linotype" w:cs="Palatino Linotype"/>
          <w:b/>
          <w:color w:val="000000"/>
        </w:rPr>
        <w:t>cierre de instrucción</w:t>
      </w:r>
      <w:r w:rsidRPr="004D4F60">
        <w:rPr>
          <w:rFonts w:ascii="Palatino Linotype" w:eastAsia="Palatino Linotype" w:hAnsi="Palatino Linotype" w:cs="Palatino Linotype"/>
          <w:color w:val="000000"/>
        </w:rPr>
        <w:t>.</w:t>
      </w:r>
    </w:p>
    <w:p w:rsidR="00BD7A3B" w:rsidRPr="004D4F60" w:rsidRDefault="00BD7A3B">
      <w:pPr>
        <w:spacing w:line="360" w:lineRule="auto"/>
        <w:ind w:right="-879"/>
        <w:jc w:val="both"/>
        <w:rPr>
          <w:rFonts w:ascii="Palatino Linotype" w:eastAsia="Palatino Linotype" w:hAnsi="Palatino Linotype" w:cs="Palatino Linotype"/>
          <w:i/>
          <w:color w:val="000000"/>
        </w:rPr>
      </w:pPr>
    </w:p>
    <w:p w:rsidR="00BD7A3B" w:rsidRPr="004D4F60" w:rsidRDefault="002905ED" w:rsidP="00DA238D">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color w:val="000000"/>
        </w:rPr>
        <w:t>El</w:t>
      </w:r>
      <w:r w:rsidRPr="004D4F60">
        <w:rPr>
          <w:rFonts w:ascii="Palatino Linotype" w:eastAsia="Palatino Linotype" w:hAnsi="Palatino Linotype" w:cs="Palatino Linotype"/>
        </w:rPr>
        <w:t xml:space="preserve"> </w:t>
      </w:r>
      <w:r w:rsidR="00DA238D" w:rsidRPr="004D4F60">
        <w:rPr>
          <w:rFonts w:ascii="Palatino Linotype" w:eastAsia="Palatino Linotype" w:hAnsi="Palatino Linotype" w:cs="Palatino Linotype"/>
          <w:b/>
        </w:rPr>
        <w:t>veinte de noviembre</w:t>
      </w:r>
      <w:r w:rsidRPr="004D4F60">
        <w:rPr>
          <w:rFonts w:ascii="Palatino Linotype" w:eastAsia="Palatino Linotype" w:hAnsi="Palatino Linotype" w:cs="Palatino Linotype"/>
          <w:b/>
        </w:rPr>
        <w:t xml:space="preserve"> de dos mil veinticinco</w:t>
      </w:r>
      <w:r w:rsidRPr="004D4F60">
        <w:rPr>
          <w:rFonts w:ascii="Palatino Linotype" w:eastAsia="Palatino Linotype" w:hAnsi="Palatino Linotype" w:cs="Palatino Linotype"/>
        </w:rPr>
        <w:t xml:space="preserve">, el Pleno del Instituto de Transparencia, Accesos la Información Pública y Protección de Datos Personales del Estado de México y Municipios, durante la </w:t>
      </w:r>
      <w:r w:rsidR="00DA238D" w:rsidRPr="004D4F60">
        <w:rPr>
          <w:rFonts w:ascii="Palatino Linotype" w:eastAsia="Palatino Linotype" w:hAnsi="Palatino Linotype" w:cs="Palatino Linotype"/>
        </w:rPr>
        <w:t xml:space="preserve">Cuadragésima Primera </w:t>
      </w:r>
      <w:r w:rsidRPr="004D4F60">
        <w:rPr>
          <w:rFonts w:ascii="Palatino Linotype" w:eastAsia="Palatino Linotype" w:hAnsi="Palatino Linotype" w:cs="Palatino Linotype"/>
        </w:rPr>
        <w:t xml:space="preserve">Sesión Ordinaria, aprobó la </w:t>
      </w:r>
      <w:r w:rsidRPr="004D4F60">
        <w:rPr>
          <w:rFonts w:ascii="Palatino Linotype" w:eastAsia="Palatino Linotype" w:hAnsi="Palatino Linotype" w:cs="Palatino Linotype"/>
          <w:b/>
        </w:rPr>
        <w:t xml:space="preserve">Resolución del Recurso de Revisión </w:t>
      </w:r>
      <w:r w:rsidR="00DA238D" w:rsidRPr="004D4F60">
        <w:rPr>
          <w:rFonts w:ascii="Palatino Linotype" w:eastAsia="Palatino Linotype" w:hAnsi="Palatino Linotype" w:cs="Palatino Linotype"/>
          <w:b/>
        </w:rPr>
        <w:t>12053/INFOEM/IP/RR/2025</w:t>
      </w:r>
      <w:r w:rsidRPr="004D4F60">
        <w:rPr>
          <w:rFonts w:ascii="Palatino Linotype" w:eastAsia="Palatino Linotype" w:hAnsi="Palatino Linotype" w:cs="Palatino Linotype"/>
        </w:rPr>
        <w:t>, en la cual se determinó lo siguiente:</w:t>
      </w:r>
    </w:p>
    <w:p w:rsidR="00BD7A3B" w:rsidRPr="004D4F60" w:rsidRDefault="00BD7A3B">
      <w:pPr>
        <w:ind w:right="-879"/>
        <w:jc w:val="both"/>
        <w:rPr>
          <w:rFonts w:ascii="Palatino Linotype" w:eastAsia="Palatino Linotype" w:hAnsi="Palatino Linotype" w:cs="Palatino Linotype"/>
        </w:rPr>
      </w:pPr>
    </w:p>
    <w:p w:rsidR="00DA238D" w:rsidRPr="004D4F60" w:rsidRDefault="002905ED" w:rsidP="00DA238D">
      <w:pPr>
        <w:ind w:left="567" w:right="-879"/>
        <w:jc w:val="both"/>
        <w:rPr>
          <w:rFonts w:ascii="Palatino Linotype" w:eastAsia="Palatino Linotype" w:hAnsi="Palatino Linotype" w:cs="Palatino Linotype"/>
          <w:b/>
          <w:i/>
          <w:color w:val="000000"/>
          <w:lang w:val="es-ES"/>
        </w:rPr>
      </w:pPr>
      <w:r w:rsidRPr="004D4F60">
        <w:rPr>
          <w:rFonts w:ascii="Palatino Linotype" w:eastAsia="Palatino Linotype" w:hAnsi="Palatino Linotype" w:cs="Palatino Linotype"/>
          <w:b/>
          <w:i/>
          <w:color w:val="000000"/>
        </w:rPr>
        <w:t>“</w:t>
      </w:r>
      <w:r w:rsidR="00DA238D" w:rsidRPr="004D4F60">
        <w:rPr>
          <w:rFonts w:ascii="Palatino Linotype" w:eastAsia="Palatino Linotype" w:hAnsi="Palatino Linotype" w:cs="Palatino Linotype"/>
          <w:b/>
          <w:i/>
          <w:color w:val="000000"/>
          <w:lang w:val="es-ES"/>
        </w:rPr>
        <w:t xml:space="preserve">PRIMERO. </w:t>
      </w:r>
      <w:r w:rsidR="00DA238D" w:rsidRPr="004D4F60">
        <w:rPr>
          <w:rFonts w:ascii="Palatino Linotype" w:eastAsia="Palatino Linotype" w:hAnsi="Palatino Linotype" w:cs="Palatino Linotype"/>
          <w:i/>
          <w:color w:val="000000"/>
          <w:lang w:val="es-ES"/>
        </w:rPr>
        <w:t xml:space="preserve">Resultan fundadas las razones o motivos de inconformidad hechos valer por </w:t>
      </w:r>
      <w:r w:rsidR="00DA238D" w:rsidRPr="004D4F60">
        <w:rPr>
          <w:rFonts w:ascii="Palatino Linotype" w:eastAsia="Palatino Linotype" w:hAnsi="Palatino Linotype" w:cs="Palatino Linotype"/>
          <w:b/>
          <w:i/>
          <w:color w:val="000000"/>
          <w:lang w:val="es-ES"/>
        </w:rPr>
        <w:t>LA RECURRENTE</w:t>
      </w:r>
      <w:r w:rsidR="00DA238D" w:rsidRPr="004D4F60">
        <w:rPr>
          <w:rFonts w:ascii="Palatino Linotype" w:eastAsia="Palatino Linotype" w:hAnsi="Palatino Linotype" w:cs="Palatino Linotype"/>
          <w:i/>
          <w:color w:val="000000"/>
          <w:lang w:val="es-ES"/>
        </w:rPr>
        <w:t xml:space="preserve">, en términos del considerando </w:t>
      </w:r>
      <w:r w:rsidR="00DA238D" w:rsidRPr="004D4F60">
        <w:rPr>
          <w:rFonts w:ascii="Palatino Linotype" w:eastAsia="Palatino Linotype" w:hAnsi="Palatino Linotype" w:cs="Palatino Linotype"/>
          <w:b/>
          <w:i/>
          <w:color w:val="000000"/>
          <w:lang w:val="es-ES"/>
        </w:rPr>
        <w:t>TERCERO</w:t>
      </w:r>
      <w:r w:rsidR="00DA238D" w:rsidRPr="004D4F60">
        <w:rPr>
          <w:rFonts w:ascii="Palatino Linotype" w:eastAsia="Palatino Linotype" w:hAnsi="Palatino Linotype" w:cs="Palatino Linotype"/>
          <w:i/>
          <w:color w:val="000000"/>
          <w:lang w:val="es-ES"/>
        </w:rPr>
        <w:t>, de la presente resolución.</w:t>
      </w:r>
    </w:p>
    <w:p w:rsidR="00DA238D" w:rsidRPr="004D4F60" w:rsidRDefault="00DA238D" w:rsidP="00DA238D">
      <w:pPr>
        <w:ind w:left="567" w:right="-879"/>
        <w:jc w:val="both"/>
        <w:rPr>
          <w:rFonts w:ascii="Palatino Linotype" w:eastAsia="Palatino Linotype" w:hAnsi="Palatino Linotype" w:cs="Palatino Linotype"/>
          <w:b/>
          <w:i/>
          <w:color w:val="000000"/>
          <w:lang w:val="es-ES"/>
        </w:rPr>
      </w:pPr>
    </w:p>
    <w:p w:rsidR="00DA238D" w:rsidRPr="004D4F60" w:rsidRDefault="00DA238D" w:rsidP="00DA238D">
      <w:pPr>
        <w:ind w:left="567" w:right="-879"/>
        <w:jc w:val="both"/>
        <w:rPr>
          <w:rFonts w:ascii="Palatino Linotype" w:eastAsia="Palatino Linotype" w:hAnsi="Palatino Linotype" w:cs="Palatino Linotype"/>
          <w:b/>
          <w:i/>
          <w:color w:val="000000"/>
          <w:lang w:val="es-ES"/>
        </w:rPr>
      </w:pPr>
      <w:r w:rsidRPr="004D4F60">
        <w:rPr>
          <w:rFonts w:ascii="Palatino Linotype" w:eastAsia="Palatino Linotype" w:hAnsi="Palatino Linotype" w:cs="Palatino Linotype"/>
          <w:b/>
          <w:i/>
          <w:color w:val="000000"/>
          <w:lang w:val="es-ES"/>
        </w:rPr>
        <w:t xml:space="preserve">SEGUNDO. </w:t>
      </w:r>
      <w:r w:rsidRPr="004D4F60">
        <w:rPr>
          <w:rFonts w:ascii="Palatino Linotype" w:eastAsia="Palatino Linotype" w:hAnsi="Palatino Linotype" w:cs="Palatino Linotype"/>
          <w:i/>
          <w:color w:val="000000"/>
          <w:lang w:val="es-ES"/>
        </w:rPr>
        <w:t xml:space="preserve">Se </w:t>
      </w:r>
      <w:r w:rsidRPr="004D4F60">
        <w:rPr>
          <w:rFonts w:ascii="Palatino Linotype" w:eastAsia="Palatino Linotype" w:hAnsi="Palatino Linotype" w:cs="Palatino Linotype"/>
          <w:b/>
          <w:i/>
          <w:color w:val="000000"/>
          <w:lang w:val="es-ES"/>
        </w:rPr>
        <w:t>ORDENA</w:t>
      </w:r>
      <w:r w:rsidRPr="004D4F60">
        <w:rPr>
          <w:rFonts w:ascii="Palatino Linotype" w:eastAsia="Palatino Linotype" w:hAnsi="Palatino Linotype" w:cs="Palatino Linotype"/>
          <w:i/>
          <w:color w:val="000000"/>
          <w:lang w:val="es-ES"/>
        </w:rPr>
        <w:t xml:space="preserve"> al </w:t>
      </w:r>
      <w:r w:rsidRPr="004D4F60">
        <w:rPr>
          <w:rFonts w:ascii="Palatino Linotype" w:eastAsia="Palatino Linotype" w:hAnsi="Palatino Linotype" w:cs="Palatino Linotype"/>
          <w:b/>
          <w:i/>
          <w:color w:val="000000"/>
          <w:lang w:val="es-ES"/>
        </w:rPr>
        <w:t>Sujeto Obligado</w:t>
      </w:r>
      <w:r w:rsidRPr="004D4F60">
        <w:rPr>
          <w:rFonts w:ascii="Palatino Linotype" w:eastAsia="Palatino Linotype" w:hAnsi="Palatino Linotype" w:cs="Palatino Linotype"/>
          <w:i/>
          <w:color w:val="000000"/>
          <w:lang w:val="es-ES"/>
        </w:rPr>
        <w:t xml:space="preserve"> atienda la solicitud de información  folio  </w:t>
      </w:r>
      <w:r w:rsidRPr="004D4F60">
        <w:rPr>
          <w:rFonts w:ascii="Palatino Linotype" w:eastAsia="Palatino Linotype" w:hAnsi="Palatino Linotype" w:cs="Palatino Linotype"/>
          <w:b/>
          <w:i/>
          <w:color w:val="000000"/>
          <w:lang w:val="es-ES"/>
        </w:rPr>
        <w:t>00559/TEPOTZOT/IP/2025</w:t>
      </w:r>
      <w:r w:rsidRPr="004D4F60">
        <w:rPr>
          <w:rFonts w:ascii="Palatino Linotype" w:eastAsia="Palatino Linotype" w:hAnsi="Palatino Linotype" w:cs="Palatino Linotype"/>
          <w:i/>
          <w:color w:val="000000"/>
          <w:lang w:val="es-ES"/>
        </w:rPr>
        <w:t xml:space="preserve">, vía Sistema de Acceso a la Información Mexiquense (SAIMEX), en términos del Considerando </w:t>
      </w:r>
      <w:r w:rsidRPr="004D4F60">
        <w:rPr>
          <w:rFonts w:ascii="Palatino Linotype" w:eastAsia="Palatino Linotype" w:hAnsi="Palatino Linotype" w:cs="Palatino Linotype"/>
          <w:b/>
          <w:i/>
          <w:color w:val="000000"/>
          <w:lang w:val="es-ES"/>
        </w:rPr>
        <w:t>TERCERO</w:t>
      </w:r>
      <w:r w:rsidRPr="004D4F60">
        <w:rPr>
          <w:rFonts w:ascii="Palatino Linotype" w:eastAsia="Palatino Linotype" w:hAnsi="Palatino Linotype" w:cs="Palatino Linotype"/>
          <w:i/>
          <w:color w:val="000000"/>
          <w:lang w:val="es-ES"/>
        </w:rPr>
        <w:t xml:space="preserve"> de esta resolución.</w:t>
      </w:r>
    </w:p>
    <w:p w:rsidR="00BD7A3B" w:rsidRPr="004D4F60" w:rsidRDefault="00DA238D" w:rsidP="00DA238D">
      <w:pPr>
        <w:ind w:left="567" w:right="-879"/>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p>
    <w:p w:rsidR="00DA238D" w:rsidRPr="004D4F60" w:rsidRDefault="00DA238D" w:rsidP="00DA238D">
      <w:pPr>
        <w:ind w:left="567" w:right="-879"/>
        <w:jc w:val="both"/>
        <w:rPr>
          <w:rFonts w:ascii="Palatino Linotype" w:eastAsia="Palatino Linotype" w:hAnsi="Palatino Linotype" w:cs="Palatino Linotype"/>
          <w:i/>
        </w:rPr>
      </w:pPr>
    </w:p>
    <w:p w:rsidR="00BD7A3B" w:rsidRPr="004D4F60" w:rsidRDefault="002905ED">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lastRenderedPageBreak/>
        <w:t xml:space="preserve">El </w:t>
      </w:r>
      <w:r w:rsidR="00B750C7" w:rsidRPr="004D4F60">
        <w:rPr>
          <w:rFonts w:ascii="Palatino Linotype" w:eastAsia="Palatino Linotype" w:hAnsi="Palatino Linotype" w:cs="Palatino Linotype"/>
          <w:b/>
        </w:rPr>
        <w:t>veinticinco de noviembre</w:t>
      </w:r>
      <w:r w:rsidRPr="004D4F60">
        <w:rPr>
          <w:rFonts w:ascii="Palatino Linotype" w:eastAsia="Palatino Linotype" w:hAnsi="Palatino Linotype" w:cs="Palatino Linotype"/>
          <w:b/>
        </w:rPr>
        <w:t xml:space="preserve"> de dos mil veinticinco</w:t>
      </w:r>
      <w:r w:rsidRPr="004D4F60">
        <w:rPr>
          <w:rFonts w:ascii="Palatino Linotype" w:eastAsia="Palatino Linotype" w:hAnsi="Palatino Linotype" w:cs="Palatino Linotype"/>
        </w:rPr>
        <w:t xml:space="preserve">, </w:t>
      </w:r>
      <w:r w:rsidRPr="004D4F60">
        <w:rPr>
          <w:rFonts w:ascii="Palatino Linotype" w:eastAsia="Palatino Linotype" w:hAnsi="Palatino Linotype" w:cs="Palatino Linotype"/>
          <w:b/>
        </w:rPr>
        <w:t>se notificó</w:t>
      </w:r>
      <w:r w:rsidRPr="004D4F60">
        <w:rPr>
          <w:rFonts w:ascii="Palatino Linotype" w:eastAsia="Palatino Linotype" w:hAnsi="Palatino Linotype" w:cs="Palatino Linotype"/>
        </w:rPr>
        <w:t xml:space="preserve"> por medio del Sistema de Acceso a la Información Mexiquense (SAIMEX), a las partes, </w:t>
      </w:r>
      <w:r w:rsidRPr="004D4F60">
        <w:rPr>
          <w:rFonts w:ascii="Palatino Linotype" w:eastAsia="Palatino Linotype" w:hAnsi="Palatino Linotype" w:cs="Palatino Linotype"/>
          <w:b/>
        </w:rPr>
        <w:t>la resolución</w:t>
      </w:r>
      <w:r w:rsidRPr="004D4F60">
        <w:rPr>
          <w:rFonts w:ascii="Palatino Linotype" w:eastAsia="Palatino Linotype" w:hAnsi="Palatino Linotype" w:cs="Palatino Linotype"/>
        </w:rPr>
        <w:t xml:space="preserve"> del Medio de Impugnación previamente referido.</w:t>
      </w:r>
    </w:p>
    <w:p w:rsidR="00BD7A3B" w:rsidRPr="004D4F60" w:rsidRDefault="00BD7A3B">
      <w:pPr>
        <w:spacing w:line="360" w:lineRule="auto"/>
        <w:ind w:right="-879"/>
        <w:jc w:val="both"/>
        <w:rPr>
          <w:rFonts w:ascii="Palatino Linotype" w:eastAsia="Palatino Linotype" w:hAnsi="Palatino Linotype" w:cs="Palatino Linotype"/>
          <w:b/>
          <w:color w:val="FF0000"/>
        </w:rPr>
      </w:pPr>
    </w:p>
    <w:p w:rsidR="00BD7A3B" w:rsidRPr="004D4F60" w:rsidRDefault="002905ED">
      <w:pPr>
        <w:numPr>
          <w:ilvl w:val="0"/>
          <w:numId w:val="1"/>
        </w:numPr>
        <w:spacing w:line="360" w:lineRule="auto"/>
        <w:ind w:left="0" w:right="-879" w:firstLine="0"/>
        <w:jc w:val="both"/>
        <w:rPr>
          <w:rFonts w:ascii="Palatino Linotype" w:eastAsia="Palatino Linotype" w:hAnsi="Palatino Linotype" w:cs="Palatino Linotype"/>
          <w:b/>
          <w:color w:val="FF0000"/>
        </w:rPr>
      </w:pPr>
      <w:bookmarkStart w:id="3" w:name="_heading=h.t2bvwuudp66w" w:colFirst="0" w:colLast="0"/>
      <w:bookmarkEnd w:id="3"/>
      <w:r w:rsidRPr="004D4F60">
        <w:rPr>
          <w:rFonts w:ascii="Palatino Linotype" w:eastAsia="Palatino Linotype" w:hAnsi="Palatino Linotype" w:cs="Palatino Linotype"/>
        </w:rPr>
        <w:t xml:space="preserve">Con fecha </w:t>
      </w:r>
      <w:r w:rsidR="00B750C7" w:rsidRPr="004D4F60">
        <w:rPr>
          <w:rFonts w:ascii="Palatino Linotype" w:eastAsia="Palatino Linotype" w:hAnsi="Palatino Linotype" w:cs="Palatino Linotype"/>
          <w:b/>
        </w:rPr>
        <w:t>ocho de diciembre</w:t>
      </w:r>
      <w:r w:rsidRPr="004D4F60">
        <w:rPr>
          <w:rFonts w:ascii="Palatino Linotype" w:eastAsia="Palatino Linotype" w:hAnsi="Palatino Linotype" w:cs="Palatino Linotype"/>
          <w:b/>
        </w:rPr>
        <w:t xml:space="preserve"> de dos mil veinticinco</w:t>
      </w:r>
      <w:r w:rsidRPr="004D4F60">
        <w:rPr>
          <w:rFonts w:ascii="Palatino Linotype" w:eastAsia="Palatino Linotype" w:hAnsi="Palatino Linotype" w:cs="Palatino Linotype"/>
        </w:rPr>
        <w:t xml:space="preserve">, </w:t>
      </w:r>
      <w:r w:rsidRPr="004D4F60">
        <w:rPr>
          <w:rFonts w:ascii="Palatino Linotype" w:eastAsia="Palatino Linotype" w:hAnsi="Palatino Linotype" w:cs="Palatino Linotype"/>
          <w:b/>
        </w:rPr>
        <w:t>el Sujeto Obligado notificó</w:t>
      </w:r>
      <w:r w:rsidRPr="004D4F60">
        <w:rPr>
          <w:rFonts w:ascii="Palatino Linotype" w:eastAsia="Palatino Linotype" w:hAnsi="Palatino Linotype" w:cs="Palatino Linotype"/>
        </w:rPr>
        <w:t xml:space="preserve"> a través del Sistema de Acceso a la Información Mexiquense (SAIMEX), </w:t>
      </w:r>
      <w:r w:rsidRPr="004D4F60">
        <w:rPr>
          <w:rFonts w:ascii="Palatino Linotype" w:eastAsia="Palatino Linotype" w:hAnsi="Palatino Linotype" w:cs="Palatino Linotype"/>
          <w:b/>
        </w:rPr>
        <w:t>la entrega de información</w:t>
      </w:r>
      <w:r w:rsidRPr="004D4F60">
        <w:rPr>
          <w:rFonts w:ascii="Palatino Linotype" w:eastAsia="Palatino Linotype" w:hAnsi="Palatino Linotype" w:cs="Palatino Linotype"/>
        </w:rPr>
        <w:t>, a través de</w:t>
      </w:r>
      <w:r w:rsidR="00B750C7" w:rsidRPr="004D4F60">
        <w:rPr>
          <w:rFonts w:ascii="Palatino Linotype" w:eastAsia="Palatino Linotype" w:hAnsi="Palatino Linotype" w:cs="Palatino Linotype"/>
        </w:rPr>
        <w:t>l archivo digital siguiente:</w:t>
      </w:r>
    </w:p>
    <w:p w:rsidR="00B750C7" w:rsidRPr="004D4F60" w:rsidRDefault="00B750C7" w:rsidP="00B750C7">
      <w:pPr>
        <w:spacing w:line="360" w:lineRule="auto"/>
        <w:ind w:right="-879"/>
        <w:jc w:val="both"/>
        <w:rPr>
          <w:rFonts w:ascii="Palatino Linotype" w:eastAsia="Palatino Linotype" w:hAnsi="Palatino Linotype" w:cs="Palatino Linotype"/>
        </w:rPr>
      </w:pPr>
    </w:p>
    <w:p w:rsidR="00B750C7" w:rsidRPr="004D4F60" w:rsidRDefault="00B750C7" w:rsidP="00B750C7">
      <w:pPr>
        <w:tabs>
          <w:tab w:val="left" w:pos="4667"/>
        </w:tabs>
        <w:ind w:left="567" w:right="-879"/>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t>DOP-2004-2025.pdf</w:t>
      </w:r>
    </w:p>
    <w:p w:rsidR="00B750C7" w:rsidRPr="004D4F60" w:rsidRDefault="00B750C7" w:rsidP="00B750C7">
      <w:pPr>
        <w:tabs>
          <w:tab w:val="left" w:pos="4667"/>
        </w:tabs>
        <w:ind w:left="567" w:right="-879"/>
        <w:jc w:val="both"/>
        <w:rPr>
          <w:rFonts w:ascii="Palatino Linotype" w:eastAsia="Palatino Linotype" w:hAnsi="Palatino Linotype" w:cs="Palatino Linotype"/>
        </w:rPr>
      </w:pPr>
      <w:r w:rsidRPr="004D4F60">
        <w:rPr>
          <w:rFonts w:ascii="Palatino Linotype" w:eastAsia="Palatino Linotype" w:hAnsi="Palatino Linotype" w:cs="Palatino Linotype"/>
        </w:rPr>
        <w:t>Oficio No. DOP/2004/2025 de fecha 22 de octubre de 2025, firmado por el Director de Obras Públicas, a través del cual refiere que:</w:t>
      </w:r>
    </w:p>
    <w:p w:rsidR="00B750C7" w:rsidRPr="004D4F60" w:rsidRDefault="00B750C7" w:rsidP="00B750C7">
      <w:pPr>
        <w:tabs>
          <w:tab w:val="left" w:pos="4667"/>
        </w:tabs>
        <w:ind w:left="567" w:right="-879"/>
        <w:jc w:val="both"/>
        <w:rPr>
          <w:rFonts w:ascii="Palatino Linotype" w:eastAsia="Palatino Linotype" w:hAnsi="Palatino Linotype" w:cs="Palatino Linotype"/>
        </w:rPr>
      </w:pPr>
    </w:p>
    <w:p w:rsidR="00B750C7" w:rsidRPr="004D4F60" w:rsidRDefault="00B750C7" w:rsidP="00B750C7">
      <w:pPr>
        <w:tabs>
          <w:tab w:val="left" w:pos="4667"/>
        </w:tabs>
        <w:ind w:left="567" w:right="-879"/>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“…Le informo al respecto que después de una búsqueda exhaustiva y minuciosa </w:t>
      </w:r>
      <w:r w:rsidRPr="004D4F60">
        <w:rPr>
          <w:rFonts w:ascii="Palatino Linotype" w:eastAsia="Palatino Linotype" w:hAnsi="Palatino Linotype" w:cs="Palatino Linotype"/>
          <w:b/>
          <w:i/>
        </w:rPr>
        <w:t>no se encontró información con las referencias antes mencionadas</w:t>
      </w:r>
      <w:r w:rsidRPr="004D4F60">
        <w:rPr>
          <w:rFonts w:ascii="Palatino Linotype" w:eastAsia="Palatino Linotype" w:hAnsi="Palatino Linotype" w:cs="Palatino Linotype"/>
          <w:i/>
        </w:rPr>
        <w:t>.” (Sic)</w:t>
      </w:r>
    </w:p>
    <w:p w:rsidR="00BD7A3B" w:rsidRPr="004D4F60" w:rsidRDefault="00BD7A3B">
      <w:pPr>
        <w:spacing w:line="360" w:lineRule="auto"/>
        <w:ind w:right="-879"/>
        <w:jc w:val="both"/>
        <w:rPr>
          <w:rFonts w:ascii="Palatino Linotype" w:eastAsia="Palatino Linotype" w:hAnsi="Palatino Linotype" w:cs="Palatino Linotype"/>
          <w:b/>
          <w:color w:val="FF0000"/>
        </w:rPr>
      </w:pPr>
    </w:p>
    <w:p w:rsidR="00BD7A3B" w:rsidRPr="004D4F60" w:rsidRDefault="002905ED">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El </w:t>
      </w:r>
      <w:r w:rsidR="007A7D1B" w:rsidRPr="004D4F60">
        <w:rPr>
          <w:rFonts w:ascii="Palatino Linotype" w:eastAsia="Palatino Linotype" w:hAnsi="Palatino Linotype" w:cs="Palatino Linotype"/>
          <w:b/>
        </w:rPr>
        <w:t>doce de diciembre de</w:t>
      </w:r>
      <w:r w:rsidRPr="004D4F60">
        <w:rPr>
          <w:rFonts w:ascii="Palatino Linotype" w:eastAsia="Palatino Linotype" w:hAnsi="Palatino Linotype" w:cs="Palatino Linotype"/>
          <w:b/>
        </w:rPr>
        <w:t xml:space="preserve"> dos mil veinticinco</w:t>
      </w:r>
      <w:r w:rsidRPr="004D4F60">
        <w:rPr>
          <w:rFonts w:ascii="Palatino Linotype" w:eastAsia="Palatino Linotype" w:hAnsi="Palatino Linotype" w:cs="Palatino Linotype"/>
        </w:rPr>
        <w:t xml:space="preserve">, se recibió en este Instituto, a través del Sistema de </w:t>
      </w:r>
      <w:r w:rsidRPr="004D4F60">
        <w:rPr>
          <w:rFonts w:ascii="Palatino Linotype" w:eastAsia="Palatino Linotype" w:hAnsi="Palatino Linotype" w:cs="Palatino Linotype"/>
          <w:b/>
        </w:rPr>
        <w:t>Acceso</w:t>
      </w:r>
      <w:r w:rsidRPr="004D4F60">
        <w:rPr>
          <w:rFonts w:ascii="Palatino Linotype" w:eastAsia="Palatino Linotype" w:hAnsi="Palatino Linotype" w:cs="Palatino Linotype"/>
        </w:rPr>
        <w:t xml:space="preserve"> a la Información Mexiquense (SAIMEX), el </w:t>
      </w:r>
      <w:r w:rsidRPr="004D4F60">
        <w:rPr>
          <w:rFonts w:ascii="Palatino Linotype" w:eastAsia="Palatino Linotype" w:hAnsi="Palatino Linotype" w:cs="Palatino Linotype"/>
          <w:b/>
        </w:rPr>
        <w:t>Recurso de Revisión</w:t>
      </w:r>
      <w:r w:rsidRPr="004D4F60">
        <w:rPr>
          <w:rFonts w:ascii="Palatino Linotype" w:eastAsia="Palatino Linotype" w:hAnsi="Palatino Linotype" w:cs="Palatino Linotype"/>
        </w:rPr>
        <w:t xml:space="preserve"> interpuesto por la parte Recurrente, en contra de la entrega de información del Sujeto Obligado, en cumplimiento a la Resolución referida en el párrafo 9, lo anterior; en los siguientes términos:</w:t>
      </w:r>
    </w:p>
    <w:p w:rsidR="00BD7A3B" w:rsidRPr="004D4F60" w:rsidRDefault="00BD7A3B">
      <w:pPr>
        <w:widowControl w:val="0"/>
        <w:ind w:right="-879"/>
        <w:jc w:val="both"/>
        <w:rPr>
          <w:rFonts w:ascii="Palatino Linotype" w:eastAsia="Palatino Linotype" w:hAnsi="Palatino Linotype" w:cs="Palatino Linotype"/>
        </w:rPr>
      </w:pPr>
    </w:p>
    <w:p w:rsidR="00BD7A3B" w:rsidRPr="004D4F60" w:rsidRDefault="002905ED">
      <w:pPr>
        <w:tabs>
          <w:tab w:val="left" w:pos="4667"/>
        </w:tabs>
        <w:ind w:left="567" w:right="-879"/>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t>ACTO IMPUGNADO</w:t>
      </w:r>
    </w:p>
    <w:p w:rsidR="00BD7A3B" w:rsidRPr="004D4F60" w:rsidRDefault="002905ED">
      <w:pPr>
        <w:ind w:left="567" w:right="-879"/>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007A7D1B" w:rsidRPr="004D4F60">
        <w:rPr>
          <w:rFonts w:ascii="Palatino Linotype" w:eastAsia="Palatino Linotype" w:hAnsi="Palatino Linotype" w:cs="Palatino Linotype"/>
          <w:i/>
        </w:rPr>
        <w:t>Solicito el proyecto de obra así como los avances de obra que ha tenido así como todos los documentos que tengan que ver con el distribuidor vial que se tiene contemplado para librar el tráfico de la autopista México Querétaro, es decir el puente inconcluso que hay dentro del Municipio. La respuesta no satisface la solicitud, ya que no se entrega la información requerida, no se declaran inexistencias, no se clasifica información, ni se remiten documentos. No hay evidencia de búsqueda exhaustiva por parte del sujeto obligado, y únicamente se transcribe un artículo sin responder el fondo de la solicitud. Por lo tanto, la respuesta es incompleta y evasiva</w:t>
      </w:r>
      <w:r w:rsidRPr="004D4F60">
        <w:rPr>
          <w:rFonts w:ascii="Palatino Linotype" w:eastAsia="Palatino Linotype" w:hAnsi="Palatino Linotype" w:cs="Palatino Linotype"/>
          <w:i/>
        </w:rPr>
        <w:t>.” (Sic)</w:t>
      </w:r>
    </w:p>
    <w:p w:rsidR="00BD7A3B" w:rsidRPr="004D4F60" w:rsidRDefault="002905ED">
      <w:pPr>
        <w:ind w:left="567" w:right="-879"/>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lastRenderedPageBreak/>
        <w:t>RAZONES O MOTIVOS DE LA INCONFORMIDAD</w:t>
      </w:r>
    </w:p>
    <w:p w:rsidR="00BD7A3B" w:rsidRPr="004D4F60" w:rsidRDefault="002905ED">
      <w:pPr>
        <w:ind w:left="567" w:right="-879"/>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007A7D1B" w:rsidRPr="004D4F60">
        <w:rPr>
          <w:rFonts w:ascii="Palatino Linotype" w:eastAsia="Palatino Linotype" w:hAnsi="Palatino Linotype" w:cs="Palatino Linotype"/>
          <w:i/>
        </w:rPr>
        <w:t>Motivos de la inconformidad respecto de la respuesta otorgada a la solicitud 00559/TEPOTZOT/IP/2025: Por este medio presento INCONFORMIDAD, debido a que la respuesta emitida por la Dirección de Obras Públicas del Ayuntamiento de Tepotzotlán es deficiente, evasiva, incompleta y contraria a la Ley de Transparencia y Acceso a la Información Pública del Estado de México y Municipios, por las siguientes razones: NO se entrega absolutamente ningún documento, pese a que la solicitud es clara y específica: proyecto de obra, avances, reportes, documentos técnicos y administrativos relacionados con el distribuidor vial (puente inconcluso). La autoridad omite entregar la información y se limita a citar un artículo, lo cual NO constituye respuesta válida. La autoridad no emite declaración de inexistencia, reserva, clasificación o incompetencia, lo cual es una violación directa a los artículos 142, 143, 144, 147 y 154 de la Ley de Transparencia. La dependencia afirma haber realizado una búsqueda, pero no demuestra ninguna evidencia de dicha búsqueda, como lo exige el artículo 148, que obliga a detallar: unidades administrativas consultadas, fechas, método de búsqueda, responsables, resultados. La respuesta carece totalmente de esto. La respuesta no atiende el fondo de la solicitud, incumpliendo el principio de máxima publicidad establecido en los artículos 3, 4, 7 y 8 de la Ley. Citar un artículo sin entregar información no constituye respuesta legalmente válida. En asuntos de obra pública, la información es pública por obligación, conforme a los artículos 92 y 93, por lo que la omisión deliberada de entregarla constituye un incumplimiento grave. La autoridad no justifica por qué no entrega el proyecto, planos, dictámenes, contratos, bitácoras o cualquier documento que debe existir si la obra se ejecutó o se encuentra en proceso. Esto podría configurar incluso un indicio de inexistencia irregular o manejo opaco de recursos públicos. Por lo anterior, solicito formalmente al Órgano Garante: Que requiera al sujeto obligado a entregar toda la información solicitada, completa, en versión pública y en formatos accesibles. Que ordene una búsqueda exhaustiva y verificable en todas las unidades administrativas competentes. Que, en caso de inexistencia, se aplique el procedimiento establecido por la Ley. Que se determine el incumplimiento correspondiente por respuesta evasiva</w:t>
      </w:r>
      <w:r w:rsidRPr="004D4F60">
        <w:rPr>
          <w:rFonts w:ascii="Palatino Linotype" w:eastAsia="Palatino Linotype" w:hAnsi="Palatino Linotype" w:cs="Palatino Linotype"/>
          <w:i/>
        </w:rPr>
        <w:t>.” (Sic)</w:t>
      </w:r>
    </w:p>
    <w:p w:rsidR="00BD7A3B" w:rsidRPr="004D4F60" w:rsidRDefault="00BD7A3B">
      <w:pPr>
        <w:spacing w:line="360" w:lineRule="auto"/>
        <w:ind w:right="-879"/>
        <w:jc w:val="both"/>
        <w:rPr>
          <w:rFonts w:ascii="Palatino Linotype" w:eastAsia="Palatino Linotype" w:hAnsi="Palatino Linotype" w:cs="Palatino Linotype"/>
          <w:color w:val="2E75B5"/>
        </w:rPr>
      </w:pPr>
    </w:p>
    <w:p w:rsidR="00BD7A3B" w:rsidRPr="004D4F60" w:rsidRDefault="002905ED" w:rsidP="007102D7">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El </w:t>
      </w:r>
      <w:r w:rsidR="007102D7" w:rsidRPr="004D4F60">
        <w:rPr>
          <w:rFonts w:ascii="Palatino Linotype" w:eastAsia="Palatino Linotype" w:hAnsi="Palatino Linotype" w:cs="Palatino Linotype"/>
          <w:b/>
        </w:rPr>
        <w:t>diecinueve de diciembre</w:t>
      </w:r>
      <w:r w:rsidRPr="004D4F60">
        <w:rPr>
          <w:rFonts w:ascii="Palatino Linotype" w:eastAsia="Palatino Linotype" w:hAnsi="Palatino Linotype" w:cs="Palatino Linotype"/>
          <w:b/>
        </w:rPr>
        <w:t xml:space="preserve"> de dos mil veinticinco</w:t>
      </w:r>
      <w:r w:rsidRPr="004D4F60">
        <w:rPr>
          <w:rFonts w:ascii="Palatino Linotype" w:eastAsia="Palatino Linotype" w:hAnsi="Palatino Linotype" w:cs="Palatino Linotype"/>
        </w:rPr>
        <w:t xml:space="preserve">, se acordó la </w:t>
      </w:r>
      <w:r w:rsidRPr="004D4F60">
        <w:rPr>
          <w:rFonts w:ascii="Palatino Linotype" w:eastAsia="Palatino Linotype" w:hAnsi="Palatino Linotype" w:cs="Palatino Linotype"/>
          <w:b/>
        </w:rPr>
        <w:t>admisión del Recurso de Revisión</w:t>
      </w:r>
      <w:r w:rsidRPr="004D4F60">
        <w:rPr>
          <w:rFonts w:ascii="Palatino Linotype" w:eastAsia="Palatino Linotype" w:hAnsi="Palatino Linotype" w:cs="Palatino Linotype"/>
        </w:rPr>
        <w:t xml:space="preserve"> número </w:t>
      </w:r>
      <w:r w:rsidR="007102D7" w:rsidRPr="004D4F60">
        <w:rPr>
          <w:rFonts w:ascii="Palatino Linotype" w:eastAsia="Palatino Linotype" w:hAnsi="Palatino Linotype" w:cs="Palatino Linotype"/>
          <w:b/>
        </w:rPr>
        <w:t xml:space="preserve">12053/INFOEM/ICR-160/IP/RR/2025 </w:t>
      </w:r>
      <w:r w:rsidRPr="004D4F60">
        <w:rPr>
          <w:rFonts w:ascii="Palatino Linotype" w:eastAsia="Palatino Linotype" w:hAnsi="Palatino Linotype" w:cs="Palatino Linotype"/>
        </w:rPr>
        <w:t xml:space="preserve">interpuesto por el Particular en contra del Sujeto Obligado, en términos del artículo 185, fracciones I, II y IV de la Ley de Transparencia y Acceso a la Información Pública del Estado de México y Municipios, el cual fue notificado a las partes el mismo día, a través del Sistema de Acceso a la Información </w:t>
      </w:r>
      <w:r w:rsidRPr="004D4F60">
        <w:rPr>
          <w:rFonts w:ascii="Palatino Linotype" w:eastAsia="Palatino Linotype" w:hAnsi="Palatino Linotype" w:cs="Palatino Linotype"/>
        </w:rPr>
        <w:lastRenderedPageBreak/>
        <w:t>Mexiquense (SAIMEX), en el que se les otorgó un plazo de siete días hábiles posteriores a la misma, para que manifestaran lo que a su derecho conviniera y formularan alegatos.</w:t>
      </w:r>
      <w:r w:rsidRPr="004D4F60">
        <w:rPr>
          <w:rFonts w:ascii="Palatino Linotype" w:eastAsia="Palatino Linotype" w:hAnsi="Palatino Linotype" w:cs="Palatino Linotype"/>
          <w:b/>
        </w:rPr>
        <w:t xml:space="preserve"> </w:t>
      </w:r>
    </w:p>
    <w:p w:rsidR="00BD7A3B" w:rsidRPr="004D4F60" w:rsidRDefault="00BD7A3B">
      <w:pPr>
        <w:spacing w:line="360" w:lineRule="auto"/>
        <w:ind w:right="-879"/>
        <w:jc w:val="both"/>
        <w:rPr>
          <w:rFonts w:ascii="Palatino Linotype" w:eastAsia="Palatino Linotype" w:hAnsi="Palatino Linotype" w:cs="Palatino Linotype"/>
          <w:color w:val="FF0000"/>
        </w:rPr>
      </w:pPr>
    </w:p>
    <w:p w:rsidR="00BD7A3B" w:rsidRPr="004D4F60" w:rsidRDefault="002905ED">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 xml:space="preserve">De las constancias que obran en el expediente electrónico SAIMEX, se advierte que las </w:t>
      </w:r>
      <w:r w:rsidRPr="004D4F60">
        <w:rPr>
          <w:rFonts w:ascii="Palatino Linotype" w:eastAsia="Palatino Linotype" w:hAnsi="Palatino Linotype" w:cs="Palatino Linotype"/>
          <w:b/>
        </w:rPr>
        <w:t>partes fueron omisas en emitir manifestaciones o alegatos</w:t>
      </w:r>
      <w:r w:rsidRPr="004D4F60">
        <w:rPr>
          <w:rFonts w:ascii="Palatino Linotype" w:eastAsia="Palatino Linotype" w:hAnsi="Palatino Linotype" w:cs="Palatino Linotype"/>
        </w:rPr>
        <w:t>.</w:t>
      </w:r>
    </w:p>
    <w:p w:rsidR="00BD7A3B" w:rsidRPr="004D4F60" w:rsidRDefault="007102D7" w:rsidP="000A6FB9">
      <w:pPr>
        <w:spacing w:line="360" w:lineRule="auto"/>
        <w:ind w:right="-879"/>
        <w:jc w:val="center"/>
        <w:rPr>
          <w:rFonts w:ascii="Palatino Linotype" w:eastAsia="Palatino Linotype" w:hAnsi="Palatino Linotype" w:cs="Palatino Linotype"/>
          <w:i/>
          <w:color w:val="000000"/>
        </w:rPr>
      </w:pPr>
      <w:r w:rsidRPr="004D4F60">
        <w:rPr>
          <w:rFonts w:ascii="Palatino Linotype" w:eastAsia="Palatino Linotype" w:hAnsi="Palatino Linotype" w:cs="Palatino Linotype"/>
          <w:i/>
          <w:noProof/>
          <w:color w:val="000000"/>
        </w:rPr>
        <w:drawing>
          <wp:inline distT="0" distB="0" distL="0" distR="0" wp14:anchorId="3DD2F53E" wp14:editId="409283A2">
            <wp:extent cx="5742940" cy="15220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2940" cy="1522095"/>
                    </a:xfrm>
                    <a:prstGeom prst="rect">
                      <a:avLst/>
                    </a:prstGeom>
                  </pic:spPr>
                </pic:pic>
              </a:graphicData>
            </a:graphic>
          </wp:inline>
        </w:drawing>
      </w:r>
    </w:p>
    <w:p w:rsidR="000A6FB9" w:rsidRPr="004D4F60" w:rsidRDefault="000A6FB9" w:rsidP="000A6FB9">
      <w:pPr>
        <w:spacing w:line="360" w:lineRule="auto"/>
        <w:ind w:right="-879"/>
        <w:jc w:val="center"/>
        <w:rPr>
          <w:rFonts w:ascii="Palatino Linotype" w:eastAsia="Palatino Linotype" w:hAnsi="Palatino Linotype" w:cs="Palatino Linotype"/>
          <w:i/>
          <w:color w:val="000000"/>
        </w:rPr>
      </w:pPr>
    </w:p>
    <w:p w:rsidR="000A6FB9" w:rsidRPr="004D4F60" w:rsidRDefault="00ED2E3E" w:rsidP="000A6FB9">
      <w:pPr>
        <w:numPr>
          <w:ilvl w:val="0"/>
          <w:numId w:val="1"/>
        </w:numPr>
        <w:spacing w:line="360" w:lineRule="auto"/>
        <w:ind w:left="0" w:right="-879" w:firstLine="0"/>
        <w:jc w:val="both"/>
        <w:rPr>
          <w:color w:val="000000"/>
        </w:rPr>
      </w:pPr>
      <w:r w:rsidRPr="004D4F60">
        <w:rPr>
          <w:rFonts w:ascii="Palatino Linotype" w:eastAsia="Palatino Linotype" w:hAnsi="Palatino Linotype" w:cs="Palatino Linotype"/>
          <w:color w:val="000000"/>
        </w:rPr>
        <w:t xml:space="preserve">El </w:t>
      </w:r>
      <w:r w:rsidRPr="004D4F60">
        <w:rPr>
          <w:rFonts w:ascii="Palatino Linotype" w:eastAsia="Palatino Linotype" w:hAnsi="Palatino Linotype" w:cs="Palatino Linotype"/>
          <w:b/>
          <w:color w:val="000000"/>
        </w:rPr>
        <w:t>siete de abril de dos mil veintiséis</w:t>
      </w:r>
      <w:r w:rsidRPr="004D4F60">
        <w:rPr>
          <w:rFonts w:ascii="Palatino Linotype" w:eastAsia="Palatino Linotype" w:hAnsi="Palatino Linotype" w:cs="Palatino Linotype"/>
          <w:color w:val="000000"/>
        </w:rPr>
        <w:t xml:space="preserve">, </w:t>
      </w:r>
      <w:r w:rsidR="000A6FB9" w:rsidRPr="004D4F60">
        <w:rPr>
          <w:rFonts w:ascii="Palatino Linotype" w:eastAsia="Palatino Linotype" w:hAnsi="Palatino Linotype" w:cs="Palatino Linotype"/>
          <w:color w:val="000000"/>
        </w:rPr>
        <w:t xml:space="preserve">se acordó </w:t>
      </w:r>
      <w:r w:rsidR="000A6FB9" w:rsidRPr="004D4F60">
        <w:rPr>
          <w:rFonts w:ascii="Palatino Linotype" w:eastAsia="Palatino Linotype" w:hAnsi="Palatino Linotype" w:cs="Palatino Linotype"/>
          <w:b/>
          <w:color w:val="000000"/>
        </w:rPr>
        <w:t>ampliar el término para resolver</w:t>
      </w:r>
      <w:r w:rsidR="000A6FB9" w:rsidRPr="004D4F60">
        <w:rPr>
          <w:rFonts w:ascii="Palatino Linotype" w:eastAsia="Palatino Linotype" w:hAnsi="Palatino Linotype" w:cs="Palatino Linotype"/>
          <w:color w:val="000000"/>
        </w:rPr>
        <w:t xml:space="preserve"> el presente asunto.</w:t>
      </w:r>
    </w:p>
    <w:p w:rsidR="00BD7A3B" w:rsidRPr="004D4F60" w:rsidRDefault="00BD7A3B">
      <w:pPr>
        <w:spacing w:line="360" w:lineRule="auto"/>
        <w:ind w:right="-879"/>
        <w:jc w:val="both"/>
        <w:rPr>
          <w:rFonts w:ascii="Palatino Linotype" w:eastAsia="Palatino Linotype" w:hAnsi="Palatino Linotype" w:cs="Palatino Linotype"/>
          <w:b/>
        </w:rPr>
      </w:pPr>
    </w:p>
    <w:p w:rsidR="0026182F" w:rsidRPr="004D4F60" w:rsidRDefault="0026182F" w:rsidP="0026182F">
      <w:pPr>
        <w:numPr>
          <w:ilvl w:val="0"/>
          <w:numId w:val="1"/>
        </w:numPr>
        <w:spacing w:line="360" w:lineRule="auto"/>
        <w:ind w:left="0" w:right="-879" w:firstLine="0"/>
        <w:jc w:val="both"/>
        <w:rPr>
          <w:rFonts w:ascii="Palatino Linotype" w:eastAsia="Palatino Linotype" w:hAnsi="Palatino Linotype" w:cs="Palatino Linotype"/>
          <w:b/>
          <w:color w:val="000000"/>
        </w:rPr>
      </w:pPr>
      <w:r w:rsidRPr="004D4F60">
        <w:rPr>
          <w:rFonts w:ascii="Palatino Linotype" w:eastAsia="Palatino Linotype" w:hAnsi="Palatino Linotype" w:cs="Palatino Linotype"/>
          <w:color w:val="000000"/>
        </w:rPr>
        <w:t xml:space="preserve">Seguidamente, en fecha </w:t>
      </w:r>
      <w:r w:rsidRPr="004D4F60">
        <w:rPr>
          <w:rFonts w:ascii="Palatino Linotype" w:eastAsia="Palatino Linotype" w:hAnsi="Palatino Linotype" w:cs="Palatino Linotype"/>
          <w:b/>
          <w:color w:val="000000"/>
        </w:rPr>
        <w:t>siete de abril de dos mil veintiséis</w:t>
      </w:r>
      <w:r w:rsidRPr="004D4F60">
        <w:rPr>
          <w:rFonts w:ascii="Palatino Linotype" w:eastAsia="Palatino Linotype" w:hAnsi="Palatino Linotype" w:cs="Palatino Linotype"/>
          <w:color w:val="000000"/>
        </w:rPr>
        <w:t xml:space="preserve">, la Comisionada Ponente dictó el </w:t>
      </w:r>
      <w:r w:rsidRPr="004D4F60">
        <w:rPr>
          <w:rFonts w:ascii="Palatino Linotype" w:eastAsia="Palatino Linotype" w:hAnsi="Palatino Linotype" w:cs="Palatino Linotype"/>
          <w:b/>
          <w:color w:val="000000"/>
        </w:rPr>
        <w:t>cierre del periodo de instrucción</w:t>
      </w:r>
      <w:r w:rsidRPr="004D4F60">
        <w:rPr>
          <w:rFonts w:ascii="Palatino Linotype" w:eastAsia="Palatino Linotype" w:hAnsi="Palatino Linotype" w:cs="Palatino Linotype"/>
          <w:color w:val="000000"/>
        </w:rPr>
        <w:t xml:space="preserve"> y, ordenó la resolución que conforme a Derecho proceda:</w:t>
      </w:r>
    </w:p>
    <w:p w:rsidR="0026182F" w:rsidRPr="004D4F60" w:rsidRDefault="0026182F" w:rsidP="0026182F">
      <w:pPr>
        <w:pBdr>
          <w:top w:val="nil"/>
          <w:left w:val="nil"/>
          <w:bottom w:val="nil"/>
          <w:right w:val="nil"/>
          <w:between w:val="nil"/>
        </w:pBdr>
        <w:ind w:right="-788"/>
        <w:jc w:val="both"/>
        <w:rPr>
          <w:rFonts w:ascii="Palatino Linotype" w:eastAsia="Palatino Linotype" w:hAnsi="Palatino Linotype" w:cs="Palatino Linotype"/>
          <w:b/>
          <w:color w:val="000000"/>
        </w:rPr>
      </w:pPr>
    </w:p>
    <w:p w:rsidR="0026182F" w:rsidRPr="004D4F60" w:rsidRDefault="0026182F" w:rsidP="0026182F">
      <w:pPr>
        <w:keepNext/>
        <w:keepLines/>
        <w:spacing w:line="360" w:lineRule="auto"/>
        <w:jc w:val="center"/>
        <w:rPr>
          <w:rFonts w:ascii="Palatino Linotype" w:eastAsia="Palatino Linotype" w:hAnsi="Palatino Linotype" w:cs="Palatino Linotype"/>
          <w:b/>
        </w:rPr>
      </w:pPr>
      <w:r w:rsidRPr="004D4F60">
        <w:rPr>
          <w:rFonts w:ascii="Palatino Linotype" w:eastAsia="Palatino Linotype" w:hAnsi="Palatino Linotype" w:cs="Palatino Linotype"/>
          <w:b/>
        </w:rPr>
        <w:t>C</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O</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N</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S</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I</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D</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E</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R</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A</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N</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D</w:t>
      </w:r>
      <w:r w:rsidR="00114726"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b/>
        </w:rPr>
        <w:t xml:space="preserve">O </w:t>
      </w:r>
    </w:p>
    <w:p w:rsidR="0026182F" w:rsidRPr="004D4F60" w:rsidRDefault="0026182F" w:rsidP="0026182F">
      <w:pPr>
        <w:spacing w:line="360" w:lineRule="auto"/>
        <w:rPr>
          <w:rFonts w:ascii="Palatino Linotype" w:eastAsia="Palatino Linotype" w:hAnsi="Palatino Linotype" w:cs="Palatino Linotype"/>
        </w:rPr>
      </w:pPr>
    </w:p>
    <w:p w:rsidR="0026182F" w:rsidRPr="004D4F60" w:rsidRDefault="0026182F" w:rsidP="0026182F">
      <w:pPr>
        <w:keepNext/>
        <w:keepLines/>
        <w:spacing w:line="360" w:lineRule="auto"/>
        <w:rPr>
          <w:rFonts w:ascii="Palatino Linotype" w:eastAsia="Palatino Linotype" w:hAnsi="Palatino Linotype" w:cs="Palatino Linotype"/>
          <w:b/>
        </w:rPr>
      </w:pPr>
      <w:r w:rsidRPr="004D4F60">
        <w:rPr>
          <w:rFonts w:ascii="Palatino Linotype" w:eastAsia="Palatino Linotype" w:hAnsi="Palatino Linotype" w:cs="Palatino Linotype"/>
          <w:b/>
        </w:rPr>
        <w:t>PRIMERO. De la competencia</w:t>
      </w:r>
    </w:p>
    <w:p w:rsidR="0026182F" w:rsidRPr="004D4F60" w:rsidRDefault="0026182F" w:rsidP="00337418">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Pr="004D4F60">
        <w:rPr>
          <w:rFonts w:ascii="Palatino Linotype" w:eastAsia="Palatino Linotype" w:hAnsi="Palatino Linotype" w:cs="Palatino Linotype"/>
          <w:color w:val="000000"/>
        </w:rPr>
        <w:lastRenderedPageBreak/>
        <w:t>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6182F" w:rsidRPr="004D4F60" w:rsidRDefault="0026182F" w:rsidP="0026182F">
      <w:pPr>
        <w:tabs>
          <w:tab w:val="left" w:pos="426"/>
        </w:tabs>
        <w:spacing w:line="360" w:lineRule="auto"/>
        <w:jc w:val="both"/>
        <w:rPr>
          <w:rFonts w:ascii="Palatino Linotype" w:eastAsia="Palatino Linotype" w:hAnsi="Palatino Linotype" w:cs="Palatino Linotype"/>
          <w:color w:val="000000"/>
        </w:rPr>
      </w:pPr>
    </w:p>
    <w:p w:rsidR="0026182F" w:rsidRPr="004D4F60" w:rsidRDefault="0026182F" w:rsidP="0026182F">
      <w:pPr>
        <w:keepNext/>
        <w:keepLines/>
        <w:spacing w:line="360" w:lineRule="auto"/>
        <w:rPr>
          <w:rFonts w:ascii="Palatino Linotype" w:eastAsia="Palatino Linotype" w:hAnsi="Palatino Linotype" w:cs="Palatino Linotype"/>
          <w:b/>
        </w:rPr>
      </w:pPr>
      <w:r w:rsidRPr="004D4F60">
        <w:rPr>
          <w:rFonts w:ascii="Palatino Linotype" w:eastAsia="Palatino Linotype" w:hAnsi="Palatino Linotype" w:cs="Palatino Linotype"/>
          <w:b/>
        </w:rPr>
        <w:t>SEGUNDO. De la oportunidad y procedencia.</w:t>
      </w:r>
    </w:p>
    <w:p w:rsidR="0026182F" w:rsidRPr="004D4F60" w:rsidRDefault="0026182F" w:rsidP="00337418">
      <w:pPr>
        <w:numPr>
          <w:ilvl w:val="0"/>
          <w:numId w:val="1"/>
        </w:numPr>
        <w:spacing w:line="360" w:lineRule="auto"/>
        <w:ind w:left="0" w:right="-879" w:firstLine="0"/>
        <w:jc w:val="both"/>
        <w:rPr>
          <w:rFonts w:ascii="Palatino Linotype" w:eastAsia="Palatino Linotype" w:hAnsi="Palatino Linotype" w:cs="Palatino Linotype"/>
        </w:rPr>
      </w:pPr>
      <w:bookmarkStart w:id="4" w:name="_heading=h.2et92p0" w:colFirst="0" w:colLast="0"/>
      <w:bookmarkEnd w:id="4"/>
      <w:r w:rsidRPr="004D4F60">
        <w:rPr>
          <w:rFonts w:ascii="Palatino Linotype" w:eastAsia="Palatino Linotype" w:hAnsi="Palatino Linotype" w:cs="Palatino Linotype"/>
        </w:rPr>
        <w:t xml:space="preserve">El </w:t>
      </w:r>
      <w:r w:rsidRPr="004D4F60">
        <w:rPr>
          <w:rFonts w:ascii="Palatino Linotype" w:eastAsia="Palatino Linotype" w:hAnsi="Palatino Linotype" w:cs="Palatino Linotype"/>
          <w:color w:val="000000"/>
        </w:rPr>
        <w:t>medio</w:t>
      </w:r>
      <w:r w:rsidRPr="004D4F60">
        <w:rPr>
          <w:rFonts w:ascii="Palatino Linotype" w:eastAsia="Palatino Linotype" w:hAnsi="Palatino Linotype" w:cs="Palatino Linotype"/>
        </w:rPr>
        <w:t xml:space="preserve"> de impugnación fue presentado a través del </w:t>
      </w:r>
      <w:r w:rsidRPr="004D4F60">
        <w:rPr>
          <w:rFonts w:ascii="Palatino Linotype" w:eastAsia="Palatino Linotype" w:hAnsi="Palatino Linotype" w:cs="Palatino Linotype"/>
          <w:b/>
        </w:rPr>
        <w:t>SAIMEX,</w:t>
      </w:r>
      <w:r w:rsidRPr="004D4F60">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4D4F60">
        <w:rPr>
          <w:rFonts w:ascii="Palatino Linotype" w:eastAsia="Palatino Linotype" w:hAnsi="Palatino Linotype" w:cs="Palatino Linotype"/>
          <w:b/>
        </w:rPr>
        <w:t>SUJETO OBLIGADO</w:t>
      </w:r>
      <w:r w:rsidRPr="004D4F60">
        <w:rPr>
          <w:rFonts w:ascii="Palatino Linotype" w:eastAsia="Palatino Linotype" w:hAnsi="Palatino Linotype" w:cs="Palatino Linotype"/>
        </w:rPr>
        <w:t xml:space="preserve"> entregó respuesta el </w:t>
      </w:r>
      <w:r w:rsidR="00337418" w:rsidRPr="004D4F60">
        <w:rPr>
          <w:rFonts w:ascii="Palatino Linotype" w:eastAsia="Palatino Linotype" w:hAnsi="Palatino Linotype" w:cs="Palatino Linotype"/>
          <w:b/>
        </w:rPr>
        <w:t xml:space="preserve">ocho de diciembre </w:t>
      </w:r>
      <w:r w:rsidRPr="004D4F60">
        <w:rPr>
          <w:rFonts w:ascii="Palatino Linotype" w:eastAsia="Palatino Linotype" w:hAnsi="Palatino Linotype" w:cs="Palatino Linotype"/>
          <w:b/>
        </w:rPr>
        <w:t>dos mil veinticinco</w:t>
      </w:r>
      <w:r w:rsidRPr="004D4F60">
        <w:rPr>
          <w:rFonts w:ascii="Palatino Linotype" w:eastAsia="Palatino Linotype" w:hAnsi="Palatino Linotype" w:cs="Palatino Linotype"/>
        </w:rPr>
        <w:t xml:space="preserve">, de tal forma que el plazo para interponer el recurso transcurrió del </w:t>
      </w:r>
      <w:r w:rsidR="00337418" w:rsidRPr="004D4F60">
        <w:rPr>
          <w:rFonts w:ascii="Palatino Linotype" w:eastAsia="Palatino Linotype" w:hAnsi="Palatino Linotype" w:cs="Palatino Linotype"/>
          <w:b/>
        </w:rPr>
        <w:t>nueve de diciembre</w:t>
      </w:r>
      <w:r w:rsidRPr="004D4F60">
        <w:rPr>
          <w:rFonts w:ascii="Palatino Linotype" w:eastAsia="Palatino Linotype" w:hAnsi="Palatino Linotype" w:cs="Palatino Linotype"/>
          <w:b/>
        </w:rPr>
        <w:t xml:space="preserve"> de dos mil veinticinco</w:t>
      </w:r>
      <w:r w:rsidR="00337418" w:rsidRPr="004D4F60">
        <w:rPr>
          <w:rFonts w:ascii="Palatino Linotype" w:eastAsia="Palatino Linotype" w:hAnsi="Palatino Linotype" w:cs="Palatino Linotype"/>
          <w:b/>
        </w:rPr>
        <w:t xml:space="preserve"> al dieciocho de enero de dos mil veintiséis</w:t>
      </w:r>
      <w:r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rPr>
        <w:t xml:space="preserve">en consecuencia, si el </w:t>
      </w:r>
      <w:r w:rsidRPr="004D4F60">
        <w:rPr>
          <w:rFonts w:ascii="Palatino Linotype" w:eastAsia="Palatino Linotype" w:hAnsi="Palatino Linotype" w:cs="Palatino Linotype"/>
          <w:b/>
        </w:rPr>
        <w:t>PARTICULAR</w:t>
      </w:r>
      <w:r w:rsidRPr="004D4F60">
        <w:rPr>
          <w:rFonts w:ascii="Palatino Linotype" w:eastAsia="Palatino Linotype" w:hAnsi="Palatino Linotype" w:cs="Palatino Linotype"/>
        </w:rPr>
        <w:t xml:space="preserve"> presentó su inconformidad el </w:t>
      </w:r>
      <w:r w:rsidR="00337418" w:rsidRPr="004D4F60">
        <w:rPr>
          <w:rFonts w:ascii="Palatino Linotype" w:eastAsia="Palatino Linotype" w:hAnsi="Palatino Linotype" w:cs="Palatino Linotype"/>
          <w:b/>
        </w:rPr>
        <w:t>doce de diciembre</w:t>
      </w:r>
      <w:r w:rsidRPr="004D4F60">
        <w:rPr>
          <w:rFonts w:ascii="Palatino Linotype" w:eastAsia="Palatino Linotype" w:hAnsi="Palatino Linotype" w:cs="Palatino Linotype"/>
          <w:b/>
        </w:rPr>
        <w:t xml:space="preserve"> de dos mil veinticinco</w:t>
      </w:r>
      <w:r w:rsidRPr="004D4F60">
        <w:rPr>
          <w:rFonts w:ascii="Palatino Linotype" w:eastAsia="Palatino Linotype" w:hAnsi="Palatino Linotype" w:cs="Palatino Linotype"/>
        </w:rPr>
        <w:t xml:space="preserve">, este  se encuentra dentro de los márgenes temporales previstos en el artículo 178 de la </w:t>
      </w:r>
      <w:r w:rsidRPr="004D4F60">
        <w:rPr>
          <w:rFonts w:ascii="Palatino Linotype" w:eastAsia="Palatino Linotype" w:hAnsi="Palatino Linotype" w:cs="Palatino Linotype"/>
          <w:b/>
        </w:rPr>
        <w:t xml:space="preserve">Ley de Transparencia y Acceso a la Información Pública del Estado de México y Municipios </w:t>
      </w:r>
      <w:r w:rsidRPr="004D4F60">
        <w:rPr>
          <w:rFonts w:ascii="Palatino Linotype" w:eastAsia="Palatino Linotype" w:hAnsi="Palatino Linotype" w:cs="Palatino Linotype"/>
        </w:rPr>
        <w:t xml:space="preserve">vigente. </w:t>
      </w:r>
    </w:p>
    <w:p w:rsidR="0026182F" w:rsidRPr="004D4F60" w:rsidRDefault="0026182F" w:rsidP="0026182F">
      <w:pPr>
        <w:spacing w:line="360" w:lineRule="auto"/>
        <w:ind w:right="49"/>
        <w:jc w:val="both"/>
        <w:rPr>
          <w:rFonts w:ascii="Palatino Linotype" w:eastAsia="Palatino Linotype" w:hAnsi="Palatino Linotype" w:cs="Palatino Linotype"/>
        </w:rPr>
      </w:pPr>
    </w:p>
    <w:p w:rsidR="0026182F" w:rsidRPr="004D4F60" w:rsidRDefault="0026182F" w:rsidP="0026182F">
      <w:pPr>
        <w:pStyle w:val="Ttulo2"/>
        <w:rPr>
          <w:rFonts w:ascii="Palatino Linotype" w:eastAsia="Palatino Linotype" w:hAnsi="Palatino Linotype" w:cs="Palatino Linotype"/>
          <w:b/>
          <w:i/>
          <w:color w:val="000000"/>
          <w:sz w:val="24"/>
          <w:szCs w:val="24"/>
        </w:rPr>
      </w:pPr>
      <w:r w:rsidRPr="004D4F60">
        <w:rPr>
          <w:rFonts w:ascii="Palatino Linotype" w:eastAsia="Palatino Linotype" w:hAnsi="Palatino Linotype" w:cs="Palatino Linotype"/>
          <w:b/>
          <w:color w:val="000000"/>
          <w:sz w:val="24"/>
          <w:szCs w:val="24"/>
        </w:rPr>
        <w:t xml:space="preserve">TERCERO. Del planteamiento de la </w:t>
      </w:r>
      <w:r w:rsidRPr="004D4F60">
        <w:rPr>
          <w:rFonts w:ascii="Palatino Linotype" w:eastAsia="Palatino Linotype" w:hAnsi="Palatino Linotype" w:cs="Palatino Linotype"/>
          <w:b/>
          <w:i/>
          <w:color w:val="000000"/>
          <w:sz w:val="24"/>
          <w:szCs w:val="24"/>
        </w:rPr>
        <w:t>Litis.</w:t>
      </w:r>
    </w:p>
    <w:p w:rsidR="0026182F" w:rsidRPr="004D4F60" w:rsidRDefault="0026182F" w:rsidP="003543DC">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Se solicitó tener acceso, a la información que a continuación se simplifica:</w:t>
      </w:r>
    </w:p>
    <w:p w:rsidR="0026182F" w:rsidRPr="004D4F60" w:rsidRDefault="0026182F" w:rsidP="0026182F">
      <w:pPr>
        <w:pBdr>
          <w:top w:val="nil"/>
          <w:left w:val="nil"/>
          <w:bottom w:val="nil"/>
          <w:right w:val="nil"/>
          <w:between w:val="nil"/>
        </w:pBdr>
        <w:ind w:left="567" w:right="-220"/>
        <w:jc w:val="both"/>
        <w:rPr>
          <w:rFonts w:ascii="Palatino Linotype" w:eastAsia="Palatino Linotype" w:hAnsi="Palatino Linotype" w:cs="Palatino Linotype"/>
          <w:i/>
          <w:color w:val="000000"/>
        </w:rPr>
      </w:pPr>
    </w:p>
    <w:p w:rsidR="003F57C3" w:rsidRPr="004D4F60" w:rsidRDefault="003F57C3" w:rsidP="003F57C3">
      <w:pPr>
        <w:pStyle w:val="Prrafodelista"/>
        <w:numPr>
          <w:ilvl w:val="0"/>
          <w:numId w:val="23"/>
        </w:numPr>
        <w:ind w:left="1134" w:right="-788"/>
        <w:jc w:val="both"/>
        <w:rPr>
          <w:rFonts w:ascii="Palatino Linotype" w:eastAsia="Palatino Linotype" w:hAnsi="Palatino Linotype" w:cs="Palatino Linotype"/>
          <w:i/>
          <w:color w:val="000000"/>
          <w:sz w:val="24"/>
        </w:rPr>
      </w:pPr>
      <w:r w:rsidRPr="004D4F60">
        <w:rPr>
          <w:rFonts w:ascii="Palatino Linotype" w:eastAsia="Palatino Linotype" w:hAnsi="Palatino Linotype" w:cs="Palatino Linotype"/>
          <w:i/>
          <w:color w:val="000000"/>
          <w:sz w:val="24"/>
        </w:rPr>
        <w:t>Del distribuidor vial del municipio de Tepotzotlán con la autopista México-Querétaro, inconcluso:</w:t>
      </w:r>
    </w:p>
    <w:p w:rsidR="003F57C3" w:rsidRPr="004D4F60" w:rsidRDefault="003F57C3" w:rsidP="003F57C3">
      <w:pPr>
        <w:pStyle w:val="Prrafodelista"/>
        <w:numPr>
          <w:ilvl w:val="0"/>
          <w:numId w:val="24"/>
        </w:numPr>
        <w:ind w:right="-788"/>
        <w:jc w:val="both"/>
        <w:rPr>
          <w:rFonts w:ascii="Palatino Linotype" w:eastAsia="Palatino Linotype" w:hAnsi="Palatino Linotype" w:cs="Palatino Linotype"/>
          <w:i/>
          <w:color w:val="000000"/>
          <w:sz w:val="24"/>
        </w:rPr>
      </w:pPr>
      <w:r w:rsidRPr="004D4F60">
        <w:rPr>
          <w:rFonts w:ascii="Palatino Linotype" w:eastAsia="Palatino Linotype" w:hAnsi="Palatino Linotype" w:cs="Palatino Linotype"/>
          <w:i/>
          <w:color w:val="000000"/>
          <w:sz w:val="24"/>
        </w:rPr>
        <w:t xml:space="preserve">Proyecto de obra. </w:t>
      </w:r>
    </w:p>
    <w:p w:rsidR="003F57C3" w:rsidRPr="004D4F60" w:rsidRDefault="003F57C3" w:rsidP="003F57C3">
      <w:pPr>
        <w:pStyle w:val="Prrafodelista"/>
        <w:numPr>
          <w:ilvl w:val="0"/>
          <w:numId w:val="24"/>
        </w:numPr>
        <w:ind w:right="-788"/>
        <w:jc w:val="both"/>
        <w:rPr>
          <w:rFonts w:ascii="Palatino Linotype" w:eastAsia="Palatino Linotype" w:hAnsi="Palatino Linotype" w:cs="Palatino Linotype"/>
          <w:i/>
          <w:color w:val="000000"/>
          <w:sz w:val="24"/>
        </w:rPr>
      </w:pPr>
      <w:r w:rsidRPr="004D4F60">
        <w:rPr>
          <w:rFonts w:ascii="Palatino Linotype" w:eastAsia="Palatino Linotype" w:hAnsi="Palatino Linotype" w:cs="Palatino Linotype"/>
          <w:i/>
          <w:color w:val="000000"/>
          <w:sz w:val="24"/>
        </w:rPr>
        <w:t>Avances de obra.</w:t>
      </w:r>
    </w:p>
    <w:p w:rsidR="003F57C3" w:rsidRPr="004D4F60" w:rsidRDefault="003F57C3" w:rsidP="003F57C3">
      <w:pPr>
        <w:pStyle w:val="Prrafodelista"/>
        <w:numPr>
          <w:ilvl w:val="0"/>
          <w:numId w:val="24"/>
        </w:numPr>
        <w:ind w:right="-788"/>
        <w:jc w:val="both"/>
        <w:rPr>
          <w:rFonts w:ascii="Palatino Linotype" w:eastAsia="Palatino Linotype" w:hAnsi="Palatino Linotype" w:cs="Palatino Linotype"/>
          <w:i/>
          <w:color w:val="000000"/>
          <w:sz w:val="24"/>
        </w:rPr>
      </w:pPr>
      <w:r w:rsidRPr="004D4F60">
        <w:rPr>
          <w:rFonts w:ascii="Palatino Linotype" w:eastAsia="Palatino Linotype" w:hAnsi="Palatino Linotype" w:cs="Palatino Linotype"/>
          <w:i/>
          <w:color w:val="000000"/>
          <w:sz w:val="24"/>
        </w:rPr>
        <w:t>Todos los documentos relacionados con la obra.</w:t>
      </w:r>
    </w:p>
    <w:p w:rsidR="0026182F" w:rsidRPr="004D4F60" w:rsidRDefault="0026182F" w:rsidP="0026182F">
      <w:pPr>
        <w:ind w:left="709" w:right="-788"/>
        <w:jc w:val="both"/>
        <w:rPr>
          <w:rFonts w:ascii="Palatino Linotype" w:eastAsia="Palatino Linotype" w:hAnsi="Palatino Linotype" w:cs="Palatino Linotype"/>
          <w:b/>
        </w:rPr>
      </w:pPr>
    </w:p>
    <w:p w:rsidR="0026182F" w:rsidRPr="004D4F60" w:rsidRDefault="0026182F" w:rsidP="00873612">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lastRenderedPageBreak/>
        <w:t xml:space="preserve">En </w:t>
      </w:r>
      <w:r w:rsidRPr="004D4F60">
        <w:rPr>
          <w:rFonts w:ascii="Palatino Linotype" w:eastAsia="Palatino Linotype" w:hAnsi="Palatino Linotype" w:cs="Palatino Linotype"/>
          <w:color w:val="000000"/>
        </w:rPr>
        <w:t>respuesta</w:t>
      </w:r>
      <w:r w:rsidRPr="004D4F60">
        <w:rPr>
          <w:rFonts w:ascii="Palatino Linotype" w:eastAsia="Palatino Linotype" w:hAnsi="Palatino Linotype" w:cs="Palatino Linotype"/>
        </w:rPr>
        <w:t>, el Sujeto Obligado</w:t>
      </w:r>
      <w:r w:rsidRPr="004D4F60">
        <w:rPr>
          <w:rFonts w:ascii="Palatino Linotype" w:eastAsia="Palatino Linotype" w:hAnsi="Palatino Linotype" w:cs="Palatino Linotype"/>
          <w:b/>
        </w:rPr>
        <w:t xml:space="preserve"> </w:t>
      </w:r>
      <w:r w:rsidR="00873612" w:rsidRPr="004D4F60">
        <w:rPr>
          <w:rFonts w:ascii="Palatino Linotype" w:eastAsia="Palatino Linotype" w:hAnsi="Palatino Linotype" w:cs="Palatino Linotype"/>
        </w:rPr>
        <w:t>realizó la entrega de información ya descrita</w:t>
      </w:r>
      <w:r w:rsidRPr="004D4F60">
        <w:rPr>
          <w:rFonts w:ascii="Palatino Linotype" w:eastAsia="Palatino Linotype" w:hAnsi="Palatino Linotype" w:cs="Palatino Linotype"/>
        </w:rPr>
        <w:t xml:space="preserve"> en el an</w:t>
      </w:r>
      <w:r w:rsidR="00873612" w:rsidRPr="004D4F60">
        <w:rPr>
          <w:rFonts w:ascii="Palatino Linotype" w:eastAsia="Palatino Linotype" w:hAnsi="Palatino Linotype" w:cs="Palatino Linotype"/>
        </w:rPr>
        <w:t>terior párrafo 9</w:t>
      </w:r>
      <w:r w:rsidRPr="004D4F60">
        <w:rPr>
          <w:rFonts w:ascii="Palatino Linotype" w:eastAsia="Palatino Linotype" w:hAnsi="Palatino Linotype" w:cs="Palatino Linotype"/>
        </w:rPr>
        <w:t xml:space="preserve">, inconforme con la </w:t>
      </w:r>
      <w:r w:rsidR="00873612" w:rsidRPr="004D4F60">
        <w:rPr>
          <w:rFonts w:ascii="Palatino Linotype" w:eastAsia="Palatino Linotype" w:hAnsi="Palatino Linotype" w:cs="Palatino Linotype"/>
        </w:rPr>
        <w:t>misma</w:t>
      </w:r>
      <w:r w:rsidRPr="004D4F60">
        <w:rPr>
          <w:rFonts w:ascii="Palatino Linotype" w:eastAsia="Palatino Linotype" w:hAnsi="Palatino Linotype" w:cs="Palatino Linotype"/>
        </w:rPr>
        <w:t>, se interpuso recurso de revisión argumentando sustancialmente la negativa de la información solicitada.</w:t>
      </w:r>
    </w:p>
    <w:p w:rsidR="0026182F" w:rsidRPr="004D4F60" w:rsidRDefault="0026182F" w:rsidP="0026182F">
      <w:pPr>
        <w:spacing w:line="360" w:lineRule="auto"/>
        <w:ind w:right="-787"/>
        <w:jc w:val="both"/>
        <w:rPr>
          <w:rFonts w:ascii="Palatino Linotype" w:eastAsia="Palatino Linotype" w:hAnsi="Palatino Linotype" w:cs="Palatino Linotype"/>
          <w:i/>
          <w:color w:val="000000"/>
        </w:rPr>
      </w:pPr>
    </w:p>
    <w:p w:rsidR="0026182F" w:rsidRPr="004D4F60" w:rsidRDefault="0026182F" w:rsidP="00873612">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4D4F60">
        <w:rPr>
          <w:rFonts w:ascii="Palatino Linotype" w:eastAsia="Palatino Linotype" w:hAnsi="Palatino Linotype" w:cs="Palatino Linotype"/>
          <w:b/>
        </w:rPr>
        <w:t>179, fracción I, de la Ley de Transparencia y Acceso a la Información Pública del Estado de México y Municipios</w:t>
      </w:r>
      <w:r w:rsidRPr="004D4F60">
        <w:rPr>
          <w:rFonts w:ascii="Palatino Linotype" w:eastAsia="Palatino Linotype" w:hAnsi="Palatino Linotype" w:cs="Palatino Linotype"/>
        </w:rPr>
        <w:t xml:space="preserve">; </w:t>
      </w:r>
      <w:r w:rsidRPr="004D4F60">
        <w:rPr>
          <w:rFonts w:ascii="Palatino Linotype" w:eastAsia="Palatino Linotype" w:hAnsi="Palatino Linotype" w:cs="Palatino Linotype"/>
          <w:color w:val="000000"/>
        </w:rPr>
        <w:t xml:space="preserve">fracción que determina la hipótesis relativa a </w:t>
      </w:r>
      <w:r w:rsidRPr="004D4F60">
        <w:rPr>
          <w:rFonts w:ascii="Palatino Linotype" w:eastAsia="Palatino Linotype" w:hAnsi="Palatino Linotype" w:cs="Palatino Linotype"/>
          <w:b/>
          <w:color w:val="000000"/>
        </w:rPr>
        <w:t>la negativa a la información solicitada,</w:t>
      </w:r>
      <w:r w:rsidRPr="004D4F60">
        <w:rPr>
          <w:rFonts w:ascii="Palatino Linotype" w:eastAsia="Palatino Linotype" w:hAnsi="Palatino Linotype" w:cs="Palatino Linotype"/>
          <w:color w:val="000000"/>
        </w:rPr>
        <w:t xml:space="preserve"> </w:t>
      </w:r>
      <w:r w:rsidRPr="004D4F60">
        <w:rPr>
          <w:rFonts w:ascii="Palatino Linotype" w:eastAsia="Palatino Linotype" w:hAnsi="Palatino Linotype" w:cs="Palatino Linotype"/>
        </w:rPr>
        <w:t>contexto del cual se dolió el Recurrente al momento de interponer su inconformidad.</w:t>
      </w:r>
      <w:r w:rsidRPr="004D4F60">
        <w:rPr>
          <w:rFonts w:ascii="Palatino Linotype" w:eastAsia="Palatino Linotype" w:hAnsi="Palatino Linotype" w:cs="Palatino Linotype"/>
          <w:color w:val="000000"/>
        </w:rPr>
        <w:t xml:space="preserve"> De modo tal que el presente recurso de revisión se </w:t>
      </w:r>
      <w:r w:rsidRPr="004D4F60">
        <w:rPr>
          <w:rFonts w:ascii="Palatino Linotype" w:eastAsia="Palatino Linotype" w:hAnsi="Palatino Linotype" w:cs="Palatino Linotype"/>
        </w:rPr>
        <w:t>abocará</w:t>
      </w:r>
      <w:r w:rsidRPr="004D4F60">
        <w:rPr>
          <w:rFonts w:ascii="Palatino Linotype" w:eastAsia="Palatino Linotype" w:hAnsi="Palatino Linotype" w:cs="Palatino Linotype"/>
          <w:color w:val="000000"/>
        </w:rPr>
        <w:t xml:space="preserve"> en determinar si el Sujeto Obligado con su respuesta ciertamente actualiza la causal de procedencia</w:t>
      </w:r>
      <w:r w:rsidRPr="004D4F60">
        <w:rPr>
          <w:rFonts w:ascii="Palatino Linotype" w:eastAsia="Palatino Linotype" w:hAnsi="Palatino Linotype" w:cs="Palatino Linotype"/>
          <w:b/>
          <w:color w:val="000000"/>
        </w:rPr>
        <w:t xml:space="preserve"> </w:t>
      </w:r>
      <w:r w:rsidRPr="004D4F60">
        <w:rPr>
          <w:rFonts w:ascii="Palatino Linotype" w:eastAsia="Palatino Linotype" w:hAnsi="Palatino Linotype" w:cs="Palatino Linotype"/>
          <w:color w:val="000000"/>
        </w:rPr>
        <w:t xml:space="preserve">señalada. </w:t>
      </w:r>
    </w:p>
    <w:p w:rsidR="0026182F" w:rsidRPr="004D4F60" w:rsidRDefault="0026182F" w:rsidP="0026182F">
      <w:pPr>
        <w:spacing w:line="360" w:lineRule="auto"/>
        <w:ind w:right="-787"/>
        <w:rPr>
          <w:rFonts w:ascii="Palatino Linotype" w:eastAsia="Palatino Linotype" w:hAnsi="Palatino Linotype" w:cs="Palatino Linotype"/>
        </w:rPr>
      </w:pPr>
    </w:p>
    <w:p w:rsidR="0026182F" w:rsidRPr="004D4F60" w:rsidRDefault="0026182F" w:rsidP="0026182F">
      <w:pPr>
        <w:pStyle w:val="Ttulo2"/>
        <w:rPr>
          <w:rFonts w:ascii="Palatino Linotype" w:eastAsia="Palatino Linotype" w:hAnsi="Palatino Linotype" w:cs="Palatino Linotype"/>
          <w:b/>
          <w:color w:val="000000"/>
          <w:sz w:val="24"/>
          <w:szCs w:val="24"/>
        </w:rPr>
      </w:pPr>
      <w:bookmarkStart w:id="5" w:name="_heading=h.1t3h5sf" w:colFirst="0" w:colLast="0"/>
      <w:bookmarkEnd w:id="5"/>
      <w:r w:rsidRPr="004D4F60">
        <w:rPr>
          <w:rFonts w:ascii="Palatino Linotype" w:eastAsia="Palatino Linotype" w:hAnsi="Palatino Linotype" w:cs="Palatino Linotype"/>
          <w:b/>
          <w:color w:val="000000"/>
          <w:sz w:val="24"/>
          <w:szCs w:val="24"/>
        </w:rPr>
        <w:t>CUARTO. Del estudio y resolución del asunto.</w:t>
      </w:r>
    </w:p>
    <w:p w:rsidR="0026182F" w:rsidRPr="004D4F60" w:rsidRDefault="0026182F" w:rsidP="00873612">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6182F" w:rsidRPr="004D4F60" w:rsidRDefault="0026182F" w:rsidP="0026182F">
      <w:pPr>
        <w:spacing w:line="360" w:lineRule="auto"/>
        <w:ind w:right="-787"/>
        <w:jc w:val="both"/>
        <w:rPr>
          <w:rFonts w:ascii="Palatino Linotype" w:eastAsia="Palatino Linotype" w:hAnsi="Palatino Linotype" w:cs="Palatino Linotype"/>
        </w:rPr>
      </w:pPr>
    </w:p>
    <w:p w:rsidR="0026182F" w:rsidRPr="004D4F60" w:rsidRDefault="0026182F" w:rsidP="00873612">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Asimismo, es relevante mencionar que el artículo 19, del ordenamiento local de la materia señala que se presume que la información debe existir si se refiere a las facultades, competencias y funciones que los ordenamientos jurídicos aplicables otorgan a los sujetos </w:t>
      </w:r>
      <w:r w:rsidRPr="004D4F60">
        <w:rPr>
          <w:rFonts w:ascii="Palatino Linotype" w:eastAsia="Palatino Linotype" w:hAnsi="Palatino Linotype" w:cs="Palatino Linotype"/>
        </w:rPr>
        <w:lastRenderedPageBreak/>
        <w:t>obligados y en caso de que dichas facultades no se hayan ejercido, se deberá motivar la respuesta en función de las causas que motivaron tal circunstancia.</w:t>
      </w:r>
    </w:p>
    <w:p w:rsidR="0026182F" w:rsidRPr="004D4F60" w:rsidRDefault="0026182F" w:rsidP="0026182F">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6182F" w:rsidRPr="004D4F60" w:rsidRDefault="0026182F" w:rsidP="00873612">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6182F" w:rsidRPr="004D4F60" w:rsidRDefault="0026182F" w:rsidP="0026182F">
      <w:pPr>
        <w:spacing w:line="360" w:lineRule="auto"/>
        <w:ind w:right="-787"/>
        <w:jc w:val="both"/>
        <w:rPr>
          <w:rFonts w:ascii="Palatino Linotype" w:eastAsia="Palatino Linotype" w:hAnsi="Palatino Linotype" w:cs="Palatino Linotype"/>
        </w:rPr>
      </w:pPr>
    </w:p>
    <w:p w:rsidR="0026182F" w:rsidRPr="004D4F60" w:rsidRDefault="0026182F" w:rsidP="0026182F">
      <w:pPr>
        <w:numPr>
          <w:ilvl w:val="0"/>
          <w:numId w:val="14"/>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4D4F60">
        <w:rPr>
          <w:rFonts w:ascii="Palatino Linotype" w:eastAsia="Palatino Linotype" w:hAnsi="Palatino Linotype" w:cs="Palatino Linotype"/>
          <w:b/>
          <w:color w:val="000000"/>
        </w:rPr>
        <w:t>Del Sujeto Obligado.</w:t>
      </w:r>
    </w:p>
    <w:p w:rsidR="0026182F" w:rsidRPr="004D4F60" w:rsidRDefault="00873612" w:rsidP="00873612">
      <w:pPr>
        <w:numPr>
          <w:ilvl w:val="0"/>
          <w:numId w:val="1"/>
        </w:numPr>
        <w:spacing w:line="360" w:lineRule="auto"/>
        <w:ind w:left="0" w:right="-879" w:firstLine="0"/>
        <w:jc w:val="both"/>
      </w:pPr>
      <w:r w:rsidRPr="004D4F60">
        <w:rPr>
          <w:rFonts w:ascii="Palatino Linotype" w:eastAsia="Palatino Linotype" w:hAnsi="Palatino Linotype" w:cs="Palatino Linotype"/>
        </w:rPr>
        <w:t>Para el despacho de los asuntos de la Administración Pública Municipal, la Presidenta Municipal se auxiliará de las direcciones administrativas, mismas que llevarán a cabo sus actividades de manera programada para el cumplimiento de los objetivos y metas establecidas en el plan de desarrollo municipal; contando para ello con la estructura orgánica que disponen las leyes aplicables y la que se establece en su respectivas reglamentaciones orgánicas internas, que les permita su suficiencia presupuestaria</w:t>
      </w:r>
      <w:r w:rsidR="0026182F" w:rsidRPr="004D4F60">
        <w:rPr>
          <w:rFonts w:ascii="Palatino Linotype" w:eastAsia="Palatino Linotype" w:hAnsi="Palatino Linotype" w:cs="Palatino Linotype"/>
        </w:rPr>
        <w:t xml:space="preserve">, de conformidad con el artículo </w:t>
      </w:r>
      <w:r w:rsidR="00FB27FE" w:rsidRPr="004D4F60">
        <w:rPr>
          <w:rFonts w:ascii="Palatino Linotype" w:eastAsia="Palatino Linotype" w:hAnsi="Palatino Linotype" w:cs="Palatino Linotype"/>
        </w:rPr>
        <w:t>38</w:t>
      </w:r>
      <w:r w:rsidR="0026182F" w:rsidRPr="004D4F60">
        <w:rPr>
          <w:rFonts w:ascii="Palatino Linotype" w:eastAsia="Palatino Linotype" w:hAnsi="Palatino Linotype" w:cs="Palatino Linotype"/>
        </w:rPr>
        <w:t>, del Bando Municipal 2025:</w:t>
      </w:r>
    </w:p>
    <w:p w:rsidR="0026182F" w:rsidRPr="004D4F60" w:rsidRDefault="0026182F" w:rsidP="0026182F">
      <w:pPr>
        <w:ind w:left="1134" w:right="-220"/>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Bando Municipal 2025</w:t>
      </w:r>
    </w:p>
    <w:p w:rsidR="0026182F" w:rsidRPr="004D4F60" w:rsidRDefault="0026182F" w:rsidP="0026182F">
      <w:pPr>
        <w:ind w:left="1134" w:right="-220"/>
        <w:jc w:val="center"/>
        <w:rPr>
          <w:rFonts w:ascii="Palatino Linotype" w:eastAsia="Palatino Linotype" w:hAnsi="Palatino Linotype" w:cs="Palatino Linotype"/>
          <w:b/>
          <w:i/>
        </w:rPr>
      </w:pP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ARTÍCULO 38.- La Presidenta Municipal se auxiliará en el ejercicio de sus facultades establecidas en las leyes correspondientes, ejecutando las mismas a través de las </w:t>
      </w:r>
      <w:r w:rsidRPr="004D4F60">
        <w:rPr>
          <w:rFonts w:ascii="Palatino Linotype" w:eastAsia="Palatino Linotype" w:hAnsi="Palatino Linotype" w:cs="Palatino Linotype"/>
          <w:i/>
        </w:rPr>
        <w:lastRenderedPageBreak/>
        <w:t xml:space="preserve">siguientes direcciones y áreas de la Administración Pública Municipal, mismas que estarán bajo su subordinación: </w:t>
      </w:r>
    </w:p>
    <w:p w:rsidR="00FB27FE" w:rsidRPr="004D4F60" w:rsidRDefault="00FB27FE" w:rsidP="00FB27FE">
      <w:pPr>
        <w:ind w:left="708" w:right="62"/>
        <w:jc w:val="both"/>
        <w:rPr>
          <w:rFonts w:ascii="Palatino Linotype" w:eastAsia="Palatino Linotype" w:hAnsi="Palatino Linotype" w:cs="Palatino Linotype"/>
          <w:i/>
        </w:rPr>
      </w:pPr>
    </w:p>
    <w:p w:rsidR="0026182F"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I. DEPENDENCIAS ADMINISTRATIVAS</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 Secretaría del Ayuntamiento;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2. Secretaría Técnica y Particular;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3. Oficina de Asesores; </w:t>
      </w:r>
    </w:p>
    <w:p w:rsidR="00FB27FE" w:rsidRPr="004D4F60" w:rsidRDefault="00FB27FE" w:rsidP="00FB27FE">
      <w:pPr>
        <w:ind w:left="708" w:right="62"/>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t xml:space="preserve">4. Dirección de Administración y Finanzas con funciones de Tesorería;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5. Contraloría Interna Municipal;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6. Juzgado Cívico;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7. Dirección de Seguridad Pública, Vial y Tránsito;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8. Dirección Jurídica;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9. Dirección de Servicios Públicos;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10. Dirección de Desarrollo y Fomento Económico;</w:t>
      </w:r>
    </w:p>
    <w:p w:rsidR="00FB27FE" w:rsidRPr="004D4F60" w:rsidRDefault="00FB27FE" w:rsidP="00FB27FE">
      <w:pPr>
        <w:ind w:left="708" w:right="62"/>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t xml:space="preserve">11. Dirección de Obras Públicas;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12. Dirección de Desarrollo Urbano y Metropolitano;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13. Dirección de Medio Ambiente;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14. Dirección de Educación y Bienestar Social;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15. Dirección de Agua Potable, Drenaje y Alcantarillado;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16. Dirección de Turismo y Cultura;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17. Dirección de las Mujeres;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18. Unidad de Información, Planeación, Programación y Evaluación;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19. Secretaria Técnica del Consejo Municipal de Seguridad Pública;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20. Unidad de Transparencia y Acceso a la Información Pública;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21. Centro de Control, Comando, Comunicaciones y Cómputo (C4);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22. Coordinación Municipal de Protección Civil y Bomberos;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23. Coordinación General Municipal de Mejora Regulatoria. </w:t>
      </w:r>
    </w:p>
    <w:p w:rsidR="00FB27FE" w:rsidRPr="004D4F60" w:rsidRDefault="00FB27FE" w:rsidP="00FB27FE">
      <w:pPr>
        <w:ind w:left="708" w:right="62"/>
        <w:jc w:val="both"/>
        <w:rPr>
          <w:rFonts w:ascii="Palatino Linotype" w:eastAsia="Palatino Linotype" w:hAnsi="Palatino Linotype" w:cs="Palatino Linotype"/>
          <w:i/>
        </w:rPr>
      </w:pP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ORGANISMOS DESCONCENTRADOS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 Defensoría Municipal de los Derechos Humanos;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2. Sistema Municipal Anticorrupción. </w:t>
      </w:r>
    </w:p>
    <w:p w:rsidR="00FB27FE" w:rsidRPr="004D4F60" w:rsidRDefault="00FB27FE" w:rsidP="00FB27FE">
      <w:pPr>
        <w:ind w:left="708" w:right="62"/>
        <w:jc w:val="both"/>
        <w:rPr>
          <w:rFonts w:ascii="Palatino Linotype" w:eastAsia="Palatino Linotype" w:hAnsi="Palatino Linotype" w:cs="Palatino Linotype"/>
          <w:i/>
        </w:rPr>
      </w:pP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III. ORGANISMOS DESCENTRALIZADOS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1. Sistema Municipal para el Desarrollo Integral de la Familia de Tepotzotlán; </w:t>
      </w:r>
    </w:p>
    <w:p w:rsidR="00FB27FE" w:rsidRPr="004D4F60" w:rsidRDefault="00FB27FE" w:rsidP="00FB27FE">
      <w:pPr>
        <w:ind w:left="708" w:right="62"/>
        <w:jc w:val="both"/>
        <w:rPr>
          <w:rFonts w:ascii="Palatino Linotype" w:eastAsia="Palatino Linotype" w:hAnsi="Palatino Linotype" w:cs="Palatino Linotype"/>
          <w:i/>
        </w:rPr>
      </w:pPr>
      <w:r w:rsidRPr="004D4F60">
        <w:rPr>
          <w:rFonts w:ascii="Palatino Linotype" w:eastAsia="Palatino Linotype" w:hAnsi="Palatino Linotype" w:cs="Palatino Linotype"/>
          <w:i/>
        </w:rPr>
        <w:t>2. Instituto Municipal de Cultura Física y Deporte de Tepotzotlán.</w:t>
      </w:r>
    </w:p>
    <w:p w:rsidR="00FB27FE" w:rsidRPr="004D4F60" w:rsidRDefault="00FB27FE" w:rsidP="00FB27FE">
      <w:pPr>
        <w:ind w:left="708" w:right="62"/>
        <w:jc w:val="both"/>
        <w:rPr>
          <w:rFonts w:ascii="Palatino Linotype" w:eastAsia="Palatino Linotype" w:hAnsi="Palatino Linotype" w:cs="Palatino Linotype"/>
          <w:i/>
        </w:rPr>
      </w:pPr>
    </w:p>
    <w:p w:rsidR="0026182F" w:rsidRPr="004D4F60" w:rsidRDefault="0026182F" w:rsidP="002A724F">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lastRenderedPageBreak/>
        <w:t xml:space="preserve">La </w:t>
      </w:r>
      <w:r w:rsidR="00FB27FE" w:rsidRPr="004D4F60">
        <w:rPr>
          <w:rFonts w:ascii="Palatino Linotype" w:eastAsia="Palatino Linotype" w:hAnsi="Palatino Linotype" w:cs="Palatino Linotype"/>
          <w:b/>
        </w:rPr>
        <w:t xml:space="preserve">Dirección de Administración y Finanzas </w:t>
      </w:r>
      <w:r w:rsidR="00FB27FE" w:rsidRPr="004D4F60">
        <w:rPr>
          <w:rFonts w:ascii="Palatino Linotype" w:eastAsia="Palatino Linotype" w:hAnsi="Palatino Linotype" w:cs="Palatino Linotype"/>
        </w:rPr>
        <w:t>asumirá las funciones y atribuciones de la Tesorería, teniendo como funciones, en forma enunciativa y no limitativa, las establecidas en el artículo 95 de la Ley Orgánica Municipal del Estado de México, así como lo dispuesto por las leyes y reglamentos aplicables en el ámbito de su competencia</w:t>
      </w:r>
      <w:r w:rsidR="00FB27FE"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rPr>
        <w:t>oportuno</w:t>
      </w:r>
      <w:r w:rsidR="00FB27FE" w:rsidRPr="004D4F60">
        <w:rPr>
          <w:rFonts w:ascii="Palatino Linotype" w:eastAsia="Palatino Linotype" w:hAnsi="Palatino Linotype" w:cs="Palatino Linotype"/>
        </w:rPr>
        <w:t xml:space="preserve">; asimismo, la </w:t>
      </w:r>
      <w:r w:rsidR="00FB27FE" w:rsidRPr="004D4F60">
        <w:rPr>
          <w:rFonts w:ascii="Palatino Linotype" w:eastAsia="Palatino Linotype" w:hAnsi="Palatino Linotype" w:cs="Palatino Linotype"/>
          <w:b/>
        </w:rPr>
        <w:t>Dirección de Administración y Finanzas con funciones de Tesorería Municipal</w:t>
      </w:r>
      <w:r w:rsidR="00FB27FE" w:rsidRPr="004D4F60">
        <w:rPr>
          <w:rFonts w:ascii="Palatino Linotype" w:eastAsia="Palatino Linotype" w:hAnsi="Palatino Linotype" w:cs="Palatino Linotype"/>
        </w:rPr>
        <w:t>, es el único órgano encargado de la recaudación de los ingresos municipales y responsable de realizar las erogaciones que lleve a cabo el Ayuntamiento</w:t>
      </w:r>
      <w:r w:rsidRPr="004D4F60">
        <w:rPr>
          <w:rFonts w:ascii="Palatino Linotype" w:eastAsia="Palatino Linotype" w:hAnsi="Palatino Linotype" w:cs="Palatino Linotype"/>
        </w:rPr>
        <w:t xml:space="preserve"> de conformidad con lo establecido en </w:t>
      </w:r>
      <w:r w:rsidR="00FB27FE" w:rsidRPr="004D4F60">
        <w:rPr>
          <w:rFonts w:ascii="Palatino Linotype" w:eastAsia="Palatino Linotype" w:hAnsi="Palatino Linotype" w:cs="Palatino Linotype"/>
        </w:rPr>
        <w:t>los</w:t>
      </w:r>
      <w:r w:rsidRPr="004D4F60">
        <w:rPr>
          <w:rFonts w:ascii="Palatino Linotype" w:eastAsia="Palatino Linotype" w:hAnsi="Palatino Linotype" w:cs="Palatino Linotype"/>
        </w:rPr>
        <w:t xml:space="preserve"> artículo</w:t>
      </w:r>
      <w:r w:rsidR="00FB27FE" w:rsidRPr="004D4F60">
        <w:rPr>
          <w:rFonts w:ascii="Palatino Linotype" w:eastAsia="Palatino Linotype" w:hAnsi="Palatino Linotype" w:cs="Palatino Linotype"/>
        </w:rPr>
        <w:t>s</w:t>
      </w:r>
      <w:r w:rsidRPr="004D4F60">
        <w:rPr>
          <w:rFonts w:ascii="Palatino Linotype" w:eastAsia="Palatino Linotype" w:hAnsi="Palatino Linotype" w:cs="Palatino Linotype"/>
        </w:rPr>
        <w:t xml:space="preserve"> </w:t>
      </w:r>
      <w:r w:rsidR="00FB27FE" w:rsidRPr="004D4F60">
        <w:rPr>
          <w:rFonts w:ascii="Palatino Linotype" w:eastAsia="Palatino Linotype" w:hAnsi="Palatino Linotype" w:cs="Palatino Linotype"/>
        </w:rPr>
        <w:t>47 y 48</w:t>
      </w:r>
      <w:r w:rsidRPr="004D4F60">
        <w:rPr>
          <w:rFonts w:ascii="Palatino Linotype" w:eastAsia="Palatino Linotype" w:hAnsi="Palatino Linotype" w:cs="Palatino Linotype"/>
        </w:rPr>
        <w:t>, del Bando Municipal 2025.</w:t>
      </w:r>
    </w:p>
    <w:p w:rsidR="0026182F" w:rsidRPr="004D4F60" w:rsidRDefault="0026182F" w:rsidP="0026182F">
      <w:pPr>
        <w:spacing w:line="360" w:lineRule="auto"/>
        <w:ind w:right="-787"/>
        <w:jc w:val="both"/>
        <w:rPr>
          <w:rFonts w:ascii="Palatino Linotype" w:eastAsia="Palatino Linotype" w:hAnsi="Palatino Linotype" w:cs="Palatino Linotype"/>
        </w:rPr>
      </w:pPr>
    </w:p>
    <w:p w:rsidR="0026182F" w:rsidRPr="004D4F60" w:rsidRDefault="0026182F" w:rsidP="008878F8">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La </w:t>
      </w:r>
      <w:r w:rsidRPr="004D4F60">
        <w:rPr>
          <w:rFonts w:ascii="Palatino Linotype" w:eastAsia="Palatino Linotype" w:hAnsi="Palatino Linotype" w:cs="Palatino Linotype"/>
          <w:b/>
        </w:rPr>
        <w:t>Dirección de Obras Públicas</w:t>
      </w:r>
      <w:r w:rsidRPr="004D4F60">
        <w:rPr>
          <w:rFonts w:ascii="Palatino Linotype" w:eastAsia="Palatino Linotype" w:hAnsi="Palatino Linotype" w:cs="Palatino Linotype"/>
        </w:rPr>
        <w:t xml:space="preserve"> </w:t>
      </w:r>
      <w:r w:rsidR="008878F8" w:rsidRPr="004D4F60">
        <w:rPr>
          <w:rFonts w:ascii="Palatino Linotype" w:eastAsia="Palatino Linotype" w:hAnsi="Palatino Linotype" w:cs="Palatino Linotype"/>
        </w:rPr>
        <w:t>tiene como objetivo la coordinación de las obras públicas previa autorización del Ayuntamiento en términos de lo establecido en el artículo 96 bis de la Ley Orgánica Municipal del Estado de México, que consiste en funciones de planeación, presupuestación, programación y ejecución</w:t>
      </w:r>
      <w:r w:rsidRPr="004D4F60">
        <w:rPr>
          <w:rFonts w:ascii="Palatino Linotype" w:eastAsia="Palatino Linotype" w:hAnsi="Palatino Linotype" w:cs="Palatino Linotype"/>
        </w:rPr>
        <w:t xml:space="preserve">, de conformidad con lo establecido en el artículo </w:t>
      </w:r>
      <w:r w:rsidR="008878F8" w:rsidRPr="004D4F60">
        <w:rPr>
          <w:rFonts w:ascii="Palatino Linotype" w:eastAsia="Palatino Linotype" w:hAnsi="Palatino Linotype" w:cs="Palatino Linotype"/>
        </w:rPr>
        <w:t>51</w:t>
      </w:r>
      <w:r w:rsidRPr="004D4F60">
        <w:rPr>
          <w:rFonts w:ascii="Palatino Linotype" w:eastAsia="Palatino Linotype" w:hAnsi="Palatino Linotype" w:cs="Palatino Linotype"/>
        </w:rPr>
        <w:t>, del Bando Municipal 2025.</w:t>
      </w:r>
    </w:p>
    <w:p w:rsidR="0026182F" w:rsidRPr="004D4F60" w:rsidRDefault="0026182F" w:rsidP="0026182F">
      <w:pPr>
        <w:spacing w:line="360" w:lineRule="auto"/>
        <w:ind w:right="-787"/>
        <w:jc w:val="both"/>
        <w:rPr>
          <w:rFonts w:ascii="Palatino Linotype" w:eastAsia="Palatino Linotype" w:hAnsi="Palatino Linotype" w:cs="Palatino Linotype"/>
        </w:rPr>
      </w:pPr>
    </w:p>
    <w:p w:rsidR="0075568A" w:rsidRPr="004D4F60" w:rsidRDefault="0075568A" w:rsidP="0075568A">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 xml:space="preserve">De lo expuesto es de precisar que la respuesta fue emitida por la </w:t>
      </w:r>
      <w:r w:rsidR="00BC0531" w:rsidRPr="004D4F60">
        <w:rPr>
          <w:rFonts w:ascii="Palatino Linotype" w:eastAsia="Palatino Linotype" w:hAnsi="Palatino Linotype" w:cs="Palatino Linotype"/>
          <w:b/>
        </w:rPr>
        <w:t>Dirección de Obras Públicas</w:t>
      </w:r>
      <w:r w:rsidRPr="004D4F60">
        <w:rPr>
          <w:rFonts w:ascii="Palatino Linotype" w:eastAsia="Palatino Linotype" w:hAnsi="Palatino Linotype" w:cs="Palatino Linotype"/>
        </w:rPr>
        <w:t xml:space="preserve">, no obstante del análisis de la normatividad referida, de manera enunciativa mas no limitativa la </w:t>
      </w:r>
      <w:r w:rsidR="00BC0531" w:rsidRPr="004D4F60">
        <w:rPr>
          <w:rFonts w:ascii="Palatino Linotype" w:eastAsia="Palatino Linotype" w:hAnsi="Palatino Linotype" w:cs="Palatino Linotype"/>
          <w:b/>
        </w:rPr>
        <w:t>Dirección de Administración y Finanzas con funciones de Tesorería Municipal</w:t>
      </w:r>
      <w:r w:rsidRPr="004D4F60">
        <w:rPr>
          <w:rFonts w:ascii="Palatino Linotype" w:eastAsia="Palatino Linotype" w:hAnsi="Palatino Linotype" w:cs="Palatino Linotype"/>
        </w:rPr>
        <w:t xml:space="preserve">, es otra área en la que pudiera obrar la información, de conformidad con sus atribuciones, por lo que podemos advertir que </w:t>
      </w:r>
      <w:r w:rsidRPr="004D4F60">
        <w:rPr>
          <w:rFonts w:ascii="Palatino Linotype" w:eastAsia="Palatino Linotype" w:hAnsi="Palatino Linotype" w:cs="Palatino Linotype"/>
          <w:b/>
        </w:rPr>
        <w:t xml:space="preserve">EL SUJETO OBLIGADO no </w:t>
      </w:r>
      <w:r w:rsidRPr="004D4F60">
        <w:rPr>
          <w:rFonts w:ascii="Palatino Linotype" w:eastAsia="Palatino Linotype" w:hAnsi="Palatino Linotype" w:cs="Palatino Linotype"/>
        </w:rPr>
        <w:t xml:space="preserve">siguió el procedimiento inmerso en la normatividad aplicable, ya que </w:t>
      </w:r>
      <w:r w:rsidRPr="004D4F60">
        <w:rPr>
          <w:rFonts w:ascii="Palatino Linotype" w:eastAsia="Palatino Linotype" w:hAnsi="Palatino Linotype" w:cs="Palatino Linotype"/>
          <w:b/>
        </w:rPr>
        <w:t>no turnó</w:t>
      </w:r>
      <w:r w:rsidRPr="004D4F60">
        <w:rPr>
          <w:rFonts w:ascii="Palatino Linotype" w:eastAsia="Palatino Linotype" w:hAnsi="Palatino Linotype" w:cs="Palatino Linotype"/>
        </w:rPr>
        <w:t xml:space="preserve"> los requerimientos de información a las unidades administrativas competentes en las que pudiera obrar la información, conforme a lo establecido por el artículo 162 de la Ley de Transparencia y Acceso a la Información Pública del Estado de México y Municipios, de conformidad con la fracción XXXIX, del artículo tercero de la legislación local vigente en materia de transparencia:</w:t>
      </w:r>
    </w:p>
    <w:p w:rsidR="0075568A" w:rsidRPr="004D4F60" w:rsidRDefault="0075568A" w:rsidP="0075568A">
      <w:pPr>
        <w:ind w:left="567" w:right="-220"/>
        <w:jc w:val="both"/>
        <w:rPr>
          <w:rFonts w:ascii="Palatino Linotype" w:eastAsia="Palatino Linotype" w:hAnsi="Palatino Linotype" w:cs="Palatino Linotype"/>
          <w:i/>
        </w:rPr>
      </w:pPr>
      <w:r w:rsidRPr="004D4F60">
        <w:rPr>
          <w:rFonts w:ascii="Palatino Linotype" w:eastAsia="Palatino Linotype" w:hAnsi="Palatino Linotype" w:cs="Palatino Linotype"/>
          <w:b/>
          <w:i/>
        </w:rPr>
        <w:lastRenderedPageBreak/>
        <w:t>XXXIX.</w:t>
      </w:r>
      <w:r w:rsidRPr="004D4F60">
        <w:rPr>
          <w:rFonts w:ascii="Palatino Linotype" w:eastAsia="Palatino Linotype" w:hAnsi="Palatino Linotype" w:cs="Palatino Linotype"/>
          <w:i/>
        </w:rPr>
        <w:t xml:space="preserve"> </w:t>
      </w:r>
      <w:r w:rsidRPr="004D4F60">
        <w:rPr>
          <w:rFonts w:ascii="Palatino Linotype" w:eastAsia="Palatino Linotype" w:hAnsi="Palatino Linotype" w:cs="Palatino Linotype"/>
          <w:b/>
          <w:i/>
        </w:rPr>
        <w:t>Servidor público habilitado</w:t>
      </w:r>
      <w:r w:rsidRPr="004D4F60">
        <w:rPr>
          <w:rFonts w:ascii="Palatino Linotype" w:eastAsia="Palatino Linotype" w:hAnsi="Palatino Linotype" w:cs="Palatino Linotype"/>
          <w:i/>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75568A" w:rsidRPr="004D4F60" w:rsidRDefault="0075568A" w:rsidP="0075568A">
      <w:pPr>
        <w:ind w:right="-788"/>
        <w:jc w:val="both"/>
        <w:rPr>
          <w:rFonts w:ascii="Palatino Linotype" w:eastAsia="Palatino Linotype" w:hAnsi="Palatino Linotype" w:cs="Palatino Linotype"/>
        </w:rPr>
      </w:pPr>
    </w:p>
    <w:p w:rsidR="0075568A" w:rsidRPr="004D4F60" w:rsidRDefault="0075568A" w:rsidP="00BC0531">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Así las cosas, se advierte que la Unidad de Transparencia </w:t>
      </w:r>
      <w:r w:rsidRPr="004D4F60">
        <w:rPr>
          <w:rFonts w:ascii="Palatino Linotype" w:eastAsia="Palatino Linotype" w:hAnsi="Palatino Linotype" w:cs="Palatino Linotype"/>
          <w:b/>
        </w:rPr>
        <w:t>no cumplió</w:t>
      </w:r>
      <w:r w:rsidRPr="004D4F60">
        <w:rPr>
          <w:rFonts w:ascii="Palatino Linotype" w:eastAsia="Palatino Linotype" w:hAnsi="Palatino Linotype" w:cs="Palatino Linotype"/>
        </w:rPr>
        <w:t xml:space="preserve"> con lo establecido en el artículo 162 de la Ley de Transparencia y Acceso a la Información Pública del Estado de México y Municipios, el cual menciona lo siguiente:</w:t>
      </w:r>
    </w:p>
    <w:p w:rsidR="0075568A" w:rsidRPr="004D4F60" w:rsidRDefault="0075568A" w:rsidP="0075568A">
      <w:pPr>
        <w:ind w:left="567" w:right="-220"/>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Pr="004D4F60">
        <w:rPr>
          <w:rFonts w:ascii="Palatino Linotype" w:eastAsia="Palatino Linotype" w:hAnsi="Palatino Linotype" w:cs="Palatino Linotype"/>
          <w:b/>
          <w:i/>
        </w:rPr>
        <w:t>Artículo 162.</w:t>
      </w:r>
      <w:r w:rsidRPr="004D4F60">
        <w:rPr>
          <w:rFonts w:ascii="Palatino Linotype" w:eastAsia="Palatino Linotype" w:hAnsi="Palatino Linotype" w:cs="Palatino Linotype"/>
          <w:i/>
        </w:rPr>
        <w:t xml:space="preserve"> Las unidades de transparencia deberán garantizar que las solicitudes se turnen a </w:t>
      </w:r>
      <w:r w:rsidRPr="004D4F60">
        <w:rPr>
          <w:rFonts w:ascii="Palatino Linotype" w:eastAsia="Palatino Linotype" w:hAnsi="Palatino Linotype" w:cs="Palatino Linotype"/>
          <w:b/>
          <w:i/>
        </w:rPr>
        <w:t>todas las Áreas competentes</w:t>
      </w:r>
      <w:r w:rsidRPr="004D4F60">
        <w:rPr>
          <w:rFonts w:ascii="Palatino Linotype" w:eastAsia="Palatino Linotype" w:hAnsi="Palatino Linotype" w:cs="Palatino Linotype"/>
          <w:i/>
        </w:rPr>
        <w:t xml:space="preserve"> que cuenten con la información o deban tenerla de acuerdo a sus facultades, competencias y funciones, </w:t>
      </w:r>
      <w:r w:rsidRPr="004D4F60">
        <w:rPr>
          <w:rFonts w:ascii="Palatino Linotype" w:eastAsia="Palatino Linotype" w:hAnsi="Palatino Linotype" w:cs="Palatino Linotype"/>
          <w:b/>
          <w:i/>
        </w:rPr>
        <w:t>con el objeto de que realicen una búsqueda exhaustiva y razonable de la información solicitada</w:t>
      </w:r>
      <w:r w:rsidRPr="004D4F60">
        <w:rPr>
          <w:rFonts w:ascii="Palatino Linotype" w:eastAsia="Palatino Linotype" w:hAnsi="Palatino Linotype" w:cs="Palatino Linotype"/>
          <w:i/>
        </w:rPr>
        <w:t>.”</w:t>
      </w:r>
    </w:p>
    <w:p w:rsidR="0075568A" w:rsidRPr="004D4F60" w:rsidRDefault="0075568A" w:rsidP="0075568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75568A" w:rsidRPr="004D4F60" w:rsidRDefault="0075568A" w:rsidP="00BC0531">
      <w:pPr>
        <w:numPr>
          <w:ilvl w:val="0"/>
          <w:numId w:val="1"/>
        </w:numPr>
        <w:spacing w:line="360" w:lineRule="auto"/>
        <w:ind w:left="0" w:right="-879" w:firstLine="0"/>
        <w:jc w:val="both"/>
        <w:rPr>
          <w:rFonts w:ascii="Palatino Linotype" w:eastAsia="Palatino Linotype" w:hAnsi="Palatino Linotype" w:cs="Palatino Linotype"/>
          <w:b/>
          <w:color w:val="000000"/>
        </w:rPr>
      </w:pPr>
      <w:r w:rsidRPr="004D4F60">
        <w:rPr>
          <w:rFonts w:ascii="Palatino Linotype" w:eastAsia="Palatino Linotype" w:hAnsi="Palatino Linotype" w:cs="Palatino Linotype"/>
        </w:rPr>
        <w:t>El buscar exhaustivamente en sus archivos, es identificar la unidad(s) administrativa(s) que resguardan el documento al que una persona pretende acceder, es practicar una adecuada gestión documental que nos permite localizar el documento, como bien señala el artículo 159, de la Ley de Transparencia;  por lo que, se puede apreciar que probablemente se cuente con la información solicitada.</w:t>
      </w:r>
    </w:p>
    <w:p w:rsidR="0075568A" w:rsidRPr="004D4F60" w:rsidRDefault="0075568A" w:rsidP="0075568A">
      <w:pPr>
        <w:pBdr>
          <w:top w:val="nil"/>
          <w:left w:val="nil"/>
          <w:bottom w:val="nil"/>
          <w:right w:val="nil"/>
          <w:between w:val="nil"/>
        </w:pBdr>
        <w:rPr>
          <w:rFonts w:ascii="Palatino Linotype" w:eastAsia="Palatino Linotype" w:hAnsi="Palatino Linotype" w:cs="Palatino Linotype"/>
          <w:b/>
          <w:color w:val="000000"/>
        </w:rPr>
      </w:pPr>
    </w:p>
    <w:p w:rsidR="0075568A" w:rsidRPr="004D4F60" w:rsidRDefault="0075568A" w:rsidP="00BC0531">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 xml:space="preserve">Por lo anterior, de la respuesta emitida a la solicitud de información, no se tiene la certeza de que efectivamente se haya llevado a cabo la búsqueda de lo requerido de manera razonable, en el soporte documental, electrónico, digital o cualquier otro que se albergan en los archivos de cada área que conforman al </w:t>
      </w:r>
      <w:r w:rsidRPr="004D4F60">
        <w:rPr>
          <w:rFonts w:ascii="Palatino Linotype" w:eastAsia="Palatino Linotype" w:hAnsi="Palatino Linotype" w:cs="Palatino Linotype"/>
          <w:b/>
        </w:rPr>
        <w:t>SUJETO OBLIGADO</w:t>
      </w:r>
      <w:r w:rsidRPr="004D4F60">
        <w:rPr>
          <w:rFonts w:ascii="Palatino Linotype" w:eastAsia="Palatino Linotype" w:hAnsi="Palatino Linotype" w:cs="Palatino Linotype"/>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solicitado, para poder confirmar que la respuesta es correcta.</w:t>
      </w:r>
    </w:p>
    <w:p w:rsidR="0026182F" w:rsidRPr="004D4F60" w:rsidRDefault="0026182F" w:rsidP="00BC0531">
      <w:pPr>
        <w:numPr>
          <w:ilvl w:val="0"/>
          <w:numId w:val="1"/>
        </w:numPr>
        <w:spacing w:line="360" w:lineRule="auto"/>
        <w:ind w:left="0" w:right="-879" w:firstLine="0"/>
        <w:jc w:val="both"/>
        <w:rPr>
          <w:color w:val="000000"/>
        </w:rPr>
      </w:pPr>
      <w:r w:rsidRPr="004D4F60">
        <w:rPr>
          <w:rFonts w:ascii="Palatino Linotype" w:eastAsia="Palatino Linotype" w:hAnsi="Palatino Linotype" w:cs="Palatino Linotype"/>
          <w:color w:val="000000"/>
        </w:rPr>
        <w:lastRenderedPageBreak/>
        <w:t xml:space="preserve">Es de </w:t>
      </w:r>
      <w:r w:rsidRPr="004D4F60">
        <w:rPr>
          <w:rFonts w:ascii="Palatino Linotype" w:eastAsia="Palatino Linotype" w:hAnsi="Palatino Linotype" w:cs="Palatino Linotype"/>
        </w:rPr>
        <w:t>subrayar</w:t>
      </w:r>
      <w:r w:rsidRPr="004D4F60">
        <w:rPr>
          <w:rFonts w:ascii="Palatino Linotype" w:eastAsia="Palatino Linotype" w:hAnsi="Palatino Linotype" w:cs="Palatino Linotype"/>
          <w:color w:val="000000"/>
        </w:rPr>
        <w:t xml:space="preserve"> que el derecho de acceso a la información pública, consiste en que la información </w:t>
      </w:r>
      <w:r w:rsidRPr="004D4F60">
        <w:rPr>
          <w:rFonts w:ascii="Palatino Linotype" w:eastAsia="Palatino Linotype" w:hAnsi="Palatino Linotype" w:cs="Palatino Linotype"/>
        </w:rPr>
        <w:t>solicitada</w:t>
      </w:r>
      <w:r w:rsidRPr="004D4F60">
        <w:rPr>
          <w:rFonts w:ascii="Palatino Linotype" w:eastAsia="Palatino Linotype" w:hAnsi="Palatino Linotype" w:cs="Palatino Linotype"/>
          <w:color w:val="000000"/>
        </w:rPr>
        <w:t xml:space="preserve">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26182F" w:rsidRPr="004D4F60" w:rsidRDefault="0026182F" w:rsidP="0026182F">
      <w:pPr>
        <w:ind w:left="1134" w:right="-220"/>
        <w:jc w:val="both"/>
        <w:rPr>
          <w:rFonts w:ascii="Palatino Linotype" w:eastAsia="Palatino Linotype" w:hAnsi="Palatino Linotype" w:cs="Palatino Linotype"/>
          <w:i/>
          <w:color w:val="000000"/>
        </w:rPr>
      </w:pPr>
      <w:r w:rsidRPr="004D4F60">
        <w:rPr>
          <w:rFonts w:ascii="Palatino Linotype" w:eastAsia="Palatino Linotype" w:hAnsi="Palatino Linotype" w:cs="Palatino Linotype"/>
          <w:i/>
          <w:color w:val="000000"/>
        </w:rPr>
        <w:t>“</w:t>
      </w:r>
      <w:r w:rsidRPr="004D4F60">
        <w:rPr>
          <w:rFonts w:ascii="Palatino Linotype" w:eastAsia="Palatino Linotype" w:hAnsi="Palatino Linotype" w:cs="Palatino Linotype"/>
          <w:b/>
          <w:i/>
          <w:color w:val="000000"/>
        </w:rPr>
        <w:t xml:space="preserve">Artículo 3. </w:t>
      </w:r>
      <w:r w:rsidRPr="004D4F60">
        <w:rPr>
          <w:rFonts w:ascii="Palatino Linotype" w:eastAsia="Palatino Linotype" w:hAnsi="Palatino Linotype" w:cs="Palatino Linotype"/>
          <w:i/>
          <w:color w:val="000000"/>
        </w:rPr>
        <w:t>Para los efectos de la presente Ley se entenderá por:</w:t>
      </w:r>
    </w:p>
    <w:p w:rsidR="0026182F" w:rsidRPr="004D4F60" w:rsidRDefault="0026182F" w:rsidP="0026182F">
      <w:pPr>
        <w:ind w:left="1134" w:right="-220"/>
        <w:jc w:val="both"/>
        <w:rPr>
          <w:rFonts w:ascii="Palatino Linotype" w:eastAsia="Palatino Linotype" w:hAnsi="Palatino Linotype" w:cs="Palatino Linotype"/>
          <w:i/>
          <w:color w:val="000000"/>
        </w:rPr>
      </w:pPr>
      <w:r w:rsidRPr="004D4F60">
        <w:rPr>
          <w:rFonts w:ascii="Palatino Linotype" w:eastAsia="Palatino Linotype" w:hAnsi="Palatino Linotype" w:cs="Palatino Linotype"/>
          <w:i/>
          <w:color w:val="000000"/>
        </w:rPr>
        <w:t>(…)</w:t>
      </w:r>
    </w:p>
    <w:p w:rsidR="0026182F" w:rsidRPr="004D4F60" w:rsidRDefault="0026182F" w:rsidP="0026182F">
      <w:pPr>
        <w:ind w:left="1134" w:right="-220"/>
        <w:jc w:val="both"/>
        <w:rPr>
          <w:rFonts w:ascii="Palatino Linotype" w:eastAsia="Palatino Linotype" w:hAnsi="Palatino Linotype" w:cs="Palatino Linotype"/>
          <w:i/>
          <w:color w:val="000000"/>
        </w:rPr>
      </w:pPr>
      <w:r w:rsidRPr="004D4F60">
        <w:rPr>
          <w:rFonts w:ascii="Palatino Linotype" w:eastAsia="Palatino Linotype" w:hAnsi="Palatino Linotype" w:cs="Palatino Linotype"/>
          <w:b/>
          <w:i/>
          <w:color w:val="000000"/>
        </w:rPr>
        <w:t>XI. Documento:</w:t>
      </w:r>
      <w:r w:rsidRPr="004D4F60">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6182F" w:rsidRPr="004D4F60" w:rsidRDefault="0026182F" w:rsidP="0026182F">
      <w:pPr>
        <w:spacing w:line="360" w:lineRule="auto"/>
        <w:ind w:left="1134" w:right="-220"/>
        <w:jc w:val="both"/>
        <w:rPr>
          <w:rFonts w:ascii="Palatino Linotype" w:eastAsia="Palatino Linotype" w:hAnsi="Palatino Linotype" w:cs="Palatino Linotype"/>
          <w:i/>
          <w:color w:val="000000"/>
        </w:rPr>
      </w:pPr>
      <w:r w:rsidRPr="004D4F60">
        <w:rPr>
          <w:rFonts w:ascii="Palatino Linotype" w:eastAsia="Palatino Linotype" w:hAnsi="Palatino Linotype" w:cs="Palatino Linotype"/>
          <w:i/>
          <w:color w:val="000000"/>
        </w:rPr>
        <w:t>(…)”</w:t>
      </w:r>
    </w:p>
    <w:p w:rsidR="0026182F" w:rsidRPr="004D4F60" w:rsidRDefault="0026182F" w:rsidP="0026182F">
      <w:pPr>
        <w:ind w:right="-787"/>
        <w:jc w:val="both"/>
        <w:rPr>
          <w:rFonts w:ascii="Palatino Linotype" w:eastAsia="Palatino Linotype" w:hAnsi="Palatino Linotype" w:cs="Palatino Linotype"/>
        </w:rPr>
      </w:pPr>
    </w:p>
    <w:p w:rsidR="0026182F" w:rsidRPr="004D4F60" w:rsidRDefault="0026182F" w:rsidP="0063100F">
      <w:pPr>
        <w:numPr>
          <w:ilvl w:val="0"/>
          <w:numId w:val="1"/>
        </w:numPr>
        <w:spacing w:line="360" w:lineRule="auto"/>
        <w:ind w:left="0" w:right="-879" w:firstLine="0"/>
        <w:jc w:val="both"/>
        <w:rPr>
          <w:color w:val="000000"/>
        </w:rPr>
      </w:pPr>
      <w:r w:rsidRPr="004D4F60">
        <w:rPr>
          <w:rFonts w:ascii="Palatino Linotype" w:eastAsia="Palatino Linotype" w:hAnsi="Palatino Linotype" w:cs="Palatino Linotype"/>
          <w:color w:val="000000"/>
        </w:rPr>
        <w:t xml:space="preserve">Siendo aplicable el Criterio de interpretación en el orden administrativo número 0002-11, emitido por </w:t>
      </w:r>
      <w:r w:rsidRPr="004D4F60">
        <w:rPr>
          <w:rFonts w:ascii="Palatino Linotype" w:eastAsia="Palatino Linotype" w:hAnsi="Palatino Linotype" w:cs="Palatino Linotype"/>
        </w:rPr>
        <w:t>Acuerdo</w:t>
      </w:r>
      <w:r w:rsidRPr="004D4F60">
        <w:rPr>
          <w:rFonts w:ascii="Palatino Linotype" w:eastAsia="Palatino Linotype" w:hAnsi="Palatino Linotype" w:cs="Palatino Linotype"/>
          <w:color w:val="000000"/>
        </w:rPr>
        <w:t xml:space="preserve">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6182F" w:rsidRPr="004D4F60" w:rsidRDefault="0026182F" w:rsidP="0026182F">
      <w:pPr>
        <w:ind w:left="850" w:right="-220"/>
        <w:jc w:val="both"/>
        <w:rPr>
          <w:rFonts w:ascii="Palatino Linotype" w:eastAsia="Palatino Linotype" w:hAnsi="Palatino Linotype" w:cs="Palatino Linotype"/>
          <w:b/>
          <w:i/>
        </w:rPr>
      </w:pPr>
      <w:r w:rsidRPr="004D4F60">
        <w:rPr>
          <w:rFonts w:ascii="Palatino Linotype" w:eastAsia="Palatino Linotype" w:hAnsi="Palatino Linotype" w:cs="Palatino Linotype"/>
          <w:b/>
        </w:rPr>
        <w:t>“</w:t>
      </w:r>
      <w:r w:rsidRPr="004D4F60">
        <w:rPr>
          <w:rFonts w:ascii="Palatino Linotype" w:eastAsia="Palatino Linotype" w:hAnsi="Palatino Linotype" w:cs="Palatino Linotype"/>
          <w:b/>
          <w:i/>
        </w:rPr>
        <w:t>CRITERIO 0002-11</w:t>
      </w:r>
    </w:p>
    <w:p w:rsidR="0026182F" w:rsidRPr="004D4F60" w:rsidRDefault="0026182F" w:rsidP="0026182F">
      <w:pPr>
        <w:ind w:left="850" w:right="-220"/>
        <w:jc w:val="both"/>
        <w:rPr>
          <w:rFonts w:ascii="Palatino Linotype" w:eastAsia="Palatino Linotype" w:hAnsi="Palatino Linotype" w:cs="Palatino Linotype"/>
          <w:i/>
        </w:rPr>
      </w:pPr>
      <w:r w:rsidRPr="004D4F60">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D4F60">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w:t>
      </w:r>
      <w:r w:rsidRPr="004D4F60">
        <w:rPr>
          <w:rFonts w:ascii="Palatino Linotype" w:eastAsia="Palatino Linotype" w:hAnsi="Palatino Linotype" w:cs="Palatino Linotype"/>
          <w:i/>
        </w:rPr>
        <w:lastRenderedPageBreak/>
        <w:t>públicos, administrados, generados o en posesión de los órganos u organismos públicos, en virtud del ejercicio de sus funciones de derecho público, sin importar su fuente, soporte o fecha de elaboración.</w:t>
      </w:r>
    </w:p>
    <w:p w:rsidR="0026182F" w:rsidRPr="004D4F60" w:rsidRDefault="0026182F" w:rsidP="0026182F">
      <w:pPr>
        <w:ind w:left="850" w:right="-220"/>
        <w:jc w:val="both"/>
        <w:rPr>
          <w:rFonts w:ascii="Palatino Linotype" w:eastAsia="Palatino Linotype" w:hAnsi="Palatino Linotype" w:cs="Palatino Linotype"/>
          <w:i/>
        </w:rPr>
      </w:pPr>
      <w:r w:rsidRPr="004D4F60">
        <w:rPr>
          <w:rFonts w:ascii="Palatino Linotype" w:eastAsia="Palatino Linotype" w:hAnsi="Palatino Linotype" w:cs="Palatino Linotype"/>
          <w:i/>
        </w:rPr>
        <w:t>En consecuencia el acceso a la información se refiere a que se cumplan cualquiera de los siguientes tres supuestos:</w:t>
      </w:r>
    </w:p>
    <w:p w:rsidR="0026182F" w:rsidRPr="004D4F60" w:rsidRDefault="0026182F" w:rsidP="0026182F">
      <w:pPr>
        <w:ind w:left="850" w:right="-220"/>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t xml:space="preserve">1) </w:t>
      </w:r>
      <w:r w:rsidRPr="004D4F60">
        <w:rPr>
          <w:rFonts w:ascii="Palatino Linotype" w:eastAsia="Palatino Linotype" w:hAnsi="Palatino Linotype" w:cs="Palatino Linotype"/>
          <w:b/>
          <w:i/>
          <w:u w:val="single"/>
        </w:rPr>
        <w:t>Que se trate de información registrada en cualquier soporte documental, que en ejercicio de las atribuciones conferidas, sea generada por los Sujetos Obligados;</w:t>
      </w:r>
    </w:p>
    <w:p w:rsidR="0026182F" w:rsidRPr="004D4F60" w:rsidRDefault="0026182F" w:rsidP="0026182F">
      <w:pPr>
        <w:ind w:left="850" w:right="-220"/>
        <w:jc w:val="both"/>
        <w:rPr>
          <w:rFonts w:ascii="Palatino Linotype" w:eastAsia="Palatino Linotype" w:hAnsi="Palatino Linotype" w:cs="Palatino Linotype"/>
          <w:i/>
        </w:rPr>
      </w:pPr>
      <w:r w:rsidRPr="004D4F60">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26182F" w:rsidRPr="004D4F60" w:rsidRDefault="0026182F" w:rsidP="0026182F">
      <w:pPr>
        <w:ind w:left="850" w:right="-220"/>
        <w:jc w:val="both"/>
        <w:rPr>
          <w:rFonts w:ascii="Palatino Linotype" w:eastAsia="Palatino Linotype" w:hAnsi="Palatino Linotype" w:cs="Palatino Linotype"/>
          <w:i/>
        </w:rPr>
      </w:pPr>
      <w:r w:rsidRPr="004D4F60">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rsidR="0026182F" w:rsidRPr="004D4F60" w:rsidRDefault="0026182F" w:rsidP="0026182F">
      <w:pPr>
        <w:tabs>
          <w:tab w:val="left" w:pos="851"/>
        </w:tabs>
        <w:spacing w:line="360" w:lineRule="auto"/>
        <w:ind w:left="850" w:right="-220"/>
        <w:rPr>
          <w:rFonts w:ascii="Palatino Linotype" w:eastAsia="Palatino Linotype" w:hAnsi="Palatino Linotype" w:cs="Palatino Linotype"/>
        </w:rPr>
      </w:pPr>
      <w:r w:rsidRPr="004D4F60">
        <w:rPr>
          <w:rFonts w:ascii="Palatino Linotype" w:eastAsia="Palatino Linotype" w:hAnsi="Palatino Linotype" w:cs="Palatino Linotype"/>
        </w:rPr>
        <w:t>(Énfasis Añadido)</w:t>
      </w:r>
    </w:p>
    <w:p w:rsidR="0026182F" w:rsidRPr="004D4F60" w:rsidRDefault="0026182F" w:rsidP="0026182F">
      <w:pPr>
        <w:pBdr>
          <w:top w:val="nil"/>
          <w:left w:val="nil"/>
          <w:bottom w:val="nil"/>
          <w:right w:val="nil"/>
          <w:between w:val="nil"/>
        </w:pBdr>
        <w:ind w:right="-787"/>
        <w:jc w:val="both"/>
        <w:rPr>
          <w:rFonts w:ascii="Palatino Linotype" w:eastAsia="Palatino Linotype" w:hAnsi="Palatino Linotype" w:cs="Palatino Linotype"/>
          <w:color w:val="000000"/>
        </w:rPr>
      </w:pPr>
    </w:p>
    <w:p w:rsidR="0026182F" w:rsidRPr="004D4F60" w:rsidRDefault="0026182F" w:rsidP="0063100F">
      <w:pPr>
        <w:numPr>
          <w:ilvl w:val="0"/>
          <w:numId w:val="1"/>
        </w:numPr>
        <w:spacing w:line="360" w:lineRule="auto"/>
        <w:ind w:left="0" w:right="-879" w:firstLine="0"/>
        <w:jc w:val="both"/>
        <w:rPr>
          <w:color w:val="000000"/>
        </w:rPr>
      </w:pPr>
      <w:r w:rsidRPr="004D4F60">
        <w:rPr>
          <w:rFonts w:ascii="Palatino Linotype" w:eastAsia="Palatino Linotype" w:hAnsi="Palatino Linotype" w:cs="Palatino Linotype"/>
          <w:color w:val="000000"/>
        </w:rPr>
        <w:t xml:space="preserve">Por su parte </w:t>
      </w:r>
      <w:r w:rsidRPr="004D4F60">
        <w:rPr>
          <w:rFonts w:ascii="Palatino Linotype" w:eastAsia="Palatino Linotype" w:hAnsi="Palatino Linotype" w:cs="Palatino Linotype"/>
        </w:rPr>
        <w:t>los</w:t>
      </w:r>
      <w:r w:rsidRPr="004D4F60">
        <w:rPr>
          <w:rFonts w:ascii="Palatino Linotype" w:eastAsia="Palatino Linotype" w:hAnsi="Palatino Linotype" w:cs="Palatino Linotype"/>
          <w:color w:val="000000"/>
        </w:rPr>
        <w:t xml:space="preserve"> artículos 160 y 166, de la Ley local en la materia, que se reproduce de la siguiente forma:</w:t>
      </w:r>
    </w:p>
    <w:p w:rsidR="0026182F" w:rsidRPr="004D4F60" w:rsidRDefault="0026182F" w:rsidP="0026182F">
      <w:pPr>
        <w:ind w:left="566" w:right="-220"/>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Pr="004D4F60">
        <w:rPr>
          <w:rFonts w:ascii="Palatino Linotype" w:eastAsia="Palatino Linotype" w:hAnsi="Palatino Linotype" w:cs="Palatino Linotype"/>
          <w:b/>
          <w:i/>
        </w:rPr>
        <w:t>Artículo 160.</w:t>
      </w:r>
      <w:r w:rsidRPr="004D4F60">
        <w:rPr>
          <w:rFonts w:ascii="Palatino Linotype" w:eastAsia="Palatino Linotype" w:hAnsi="Palatino Linotype" w:cs="Palatino Linotype"/>
          <w:i/>
        </w:rPr>
        <w:t xml:space="preserve"> </w:t>
      </w:r>
      <w:r w:rsidRPr="004D4F60">
        <w:rPr>
          <w:rFonts w:ascii="Palatino Linotype" w:eastAsia="Palatino Linotype" w:hAnsi="Palatino Linotype" w:cs="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4D4F60">
        <w:rPr>
          <w:rFonts w:ascii="Palatino Linotype" w:eastAsia="Palatino Linotype" w:hAnsi="Palatino Linotype" w:cs="Palatino Linotype"/>
          <w:i/>
        </w:rPr>
        <w:t>.</w:t>
      </w:r>
    </w:p>
    <w:p w:rsidR="0026182F" w:rsidRPr="004D4F60" w:rsidRDefault="0026182F" w:rsidP="0026182F">
      <w:pPr>
        <w:ind w:left="566" w:right="-220"/>
        <w:jc w:val="both"/>
        <w:rPr>
          <w:rFonts w:ascii="Palatino Linotype" w:eastAsia="Palatino Linotype" w:hAnsi="Palatino Linotype" w:cs="Palatino Linotype"/>
          <w:i/>
        </w:rPr>
      </w:pPr>
    </w:p>
    <w:p w:rsidR="0026182F" w:rsidRPr="004D4F60" w:rsidRDefault="0026182F" w:rsidP="0026182F">
      <w:pPr>
        <w:ind w:left="566" w:right="-220"/>
        <w:jc w:val="both"/>
        <w:rPr>
          <w:rFonts w:ascii="Palatino Linotype" w:eastAsia="Palatino Linotype" w:hAnsi="Palatino Linotype" w:cs="Palatino Linotype"/>
          <w:i/>
        </w:rPr>
      </w:pPr>
      <w:r w:rsidRPr="004D4F60">
        <w:rPr>
          <w:rFonts w:ascii="Palatino Linotype" w:eastAsia="Palatino Linotype" w:hAnsi="Palatino Linotype" w:cs="Palatino Linotype"/>
          <w:i/>
        </w:rPr>
        <w:t>En caso que la información solicitada consista en bases de datos se deberá privilegiar la entrega de la misma en formatos abiertos.</w:t>
      </w:r>
    </w:p>
    <w:p w:rsidR="0026182F" w:rsidRPr="004D4F60" w:rsidRDefault="0026182F" w:rsidP="0026182F">
      <w:pPr>
        <w:ind w:left="566" w:right="-220"/>
        <w:jc w:val="both"/>
        <w:rPr>
          <w:rFonts w:ascii="Palatino Linotype" w:eastAsia="Palatino Linotype" w:hAnsi="Palatino Linotype" w:cs="Palatino Linotype"/>
          <w:i/>
          <w:u w:val="single"/>
        </w:rPr>
      </w:pPr>
      <w:r w:rsidRPr="004D4F60">
        <w:rPr>
          <w:rFonts w:ascii="Palatino Linotype" w:eastAsia="Palatino Linotype" w:hAnsi="Palatino Linotype" w:cs="Palatino Linotype"/>
          <w:b/>
          <w:i/>
        </w:rPr>
        <w:t>Artículo 166.</w:t>
      </w:r>
      <w:r w:rsidRPr="004D4F60">
        <w:rPr>
          <w:rFonts w:ascii="Palatino Linotype" w:eastAsia="Palatino Linotype" w:hAnsi="Palatino Linotype" w:cs="Palatino Linotype"/>
          <w:i/>
        </w:rPr>
        <w:t xml:space="preserve"> </w:t>
      </w:r>
      <w:r w:rsidRPr="004D4F60">
        <w:rPr>
          <w:rFonts w:ascii="Palatino Linotype" w:eastAsia="Palatino Linotype" w:hAnsi="Palatino Linotype" w:cs="Palatino Linotype"/>
          <w:i/>
          <w:u w:val="single"/>
        </w:rPr>
        <w:t>La obligación de acceso a la información pública se tendrá por cumplida cuando el solicitante tenga a su disposición la información requerida, o cuando realice la consulta de la misma en el lugar en el que ésta se localice.</w:t>
      </w:r>
    </w:p>
    <w:p w:rsidR="0026182F" w:rsidRPr="004D4F60" w:rsidRDefault="0026182F" w:rsidP="0026182F">
      <w:pPr>
        <w:spacing w:line="360" w:lineRule="auto"/>
        <w:ind w:left="566" w:right="-220"/>
        <w:jc w:val="both"/>
        <w:rPr>
          <w:rFonts w:ascii="Palatino Linotype" w:eastAsia="Palatino Linotype" w:hAnsi="Palatino Linotype" w:cs="Palatino Linotype"/>
        </w:rPr>
      </w:pPr>
      <w:r w:rsidRPr="004D4F60">
        <w:rPr>
          <w:rFonts w:ascii="Palatino Linotype" w:eastAsia="Palatino Linotype" w:hAnsi="Palatino Linotype" w:cs="Palatino Linotype"/>
        </w:rPr>
        <w:t>(Énfasis añadido)</w:t>
      </w:r>
    </w:p>
    <w:p w:rsidR="0026182F" w:rsidRPr="004D4F60" w:rsidRDefault="0026182F" w:rsidP="0026182F">
      <w:pPr>
        <w:ind w:right="-787"/>
        <w:jc w:val="both"/>
        <w:rPr>
          <w:rFonts w:ascii="Palatino Linotype" w:eastAsia="Palatino Linotype" w:hAnsi="Palatino Linotype" w:cs="Palatino Linotype"/>
        </w:rPr>
      </w:pPr>
    </w:p>
    <w:p w:rsidR="0026182F" w:rsidRPr="004D4F60" w:rsidRDefault="0026182F" w:rsidP="0063100F">
      <w:pPr>
        <w:numPr>
          <w:ilvl w:val="0"/>
          <w:numId w:val="1"/>
        </w:numPr>
        <w:spacing w:line="360" w:lineRule="auto"/>
        <w:ind w:left="0" w:right="-879" w:firstLine="0"/>
        <w:jc w:val="both"/>
        <w:rPr>
          <w:color w:val="000000"/>
        </w:rPr>
      </w:pPr>
      <w:r w:rsidRPr="004D4F60">
        <w:rPr>
          <w:rFonts w:ascii="Palatino Linotype" w:eastAsia="Palatino Linotype" w:hAnsi="Palatino Linotype" w:cs="Palatino Linotype"/>
          <w:color w:val="000000"/>
        </w:rPr>
        <w:t xml:space="preserve">Así que la obligación de los Sujetos Obligados de dar acceso a la información pública que generen, </w:t>
      </w:r>
      <w:r w:rsidRPr="004D4F60">
        <w:rPr>
          <w:rFonts w:ascii="Palatino Linotype" w:eastAsia="Palatino Linotype" w:hAnsi="Palatino Linotype" w:cs="Palatino Linotype"/>
        </w:rPr>
        <w:t>administren</w:t>
      </w:r>
      <w:r w:rsidRPr="004D4F60">
        <w:rPr>
          <w:rFonts w:ascii="Palatino Linotype" w:eastAsia="Palatino Linotype" w:hAnsi="Palatino Linotype" w:cs="Palatino Linotype"/>
          <w:color w:val="000000"/>
        </w:rPr>
        <w:t xml:space="preserve"> o posean, se tendrá por cumplida cuando el solicitante tenga a su </w:t>
      </w:r>
      <w:r w:rsidRPr="004D4F60">
        <w:rPr>
          <w:rFonts w:ascii="Palatino Linotype" w:eastAsia="Palatino Linotype" w:hAnsi="Palatino Linotype" w:cs="Palatino Linotype"/>
          <w:color w:val="000000"/>
        </w:rPr>
        <w:lastRenderedPageBreak/>
        <w:t>disposición la información requerida, o cuando realice la consulta de la misma en el lugar que ésta se localice, siempre y cuando así resultare procedente.</w:t>
      </w:r>
    </w:p>
    <w:p w:rsidR="0026182F" w:rsidRPr="004D4F60" w:rsidRDefault="0026182F" w:rsidP="0026182F">
      <w:pPr>
        <w:spacing w:line="360" w:lineRule="auto"/>
        <w:ind w:right="-787"/>
        <w:jc w:val="both"/>
        <w:rPr>
          <w:color w:val="000000"/>
        </w:rPr>
      </w:pPr>
    </w:p>
    <w:p w:rsidR="0026182F" w:rsidRPr="004D4F60" w:rsidRDefault="0026182F" w:rsidP="00CB40C1">
      <w:pPr>
        <w:numPr>
          <w:ilvl w:val="0"/>
          <w:numId w:val="1"/>
        </w:numPr>
        <w:spacing w:line="360" w:lineRule="auto"/>
        <w:ind w:left="0" w:right="-879" w:firstLine="0"/>
        <w:jc w:val="both"/>
        <w:rPr>
          <w:rFonts w:ascii="Palatino Linotype" w:eastAsia="Palatino Linotype" w:hAnsi="Palatino Linotype" w:cs="Palatino Linotype"/>
          <w:i/>
        </w:rPr>
      </w:pPr>
      <w:r w:rsidRPr="004D4F60">
        <w:rPr>
          <w:rFonts w:ascii="Palatino Linotype" w:eastAsia="Palatino Linotype" w:hAnsi="Palatino Linotype" w:cs="Palatino Linotype"/>
        </w:rPr>
        <w:t xml:space="preserve">De lo anterior,  es de recordar que el particular requirió </w:t>
      </w:r>
      <w:r w:rsidR="003F57C3" w:rsidRPr="004D4F60">
        <w:rPr>
          <w:rFonts w:ascii="Palatino Linotype" w:eastAsia="Palatino Linotype" w:hAnsi="Palatino Linotype" w:cs="Palatino Linotype"/>
          <w:i/>
          <w:u w:val="single"/>
        </w:rPr>
        <w:t>Del distribuidor vial del municipio de Tepotzotlán con la autopista México-Querétaro, inconcluso:</w:t>
      </w:r>
      <w:r w:rsidR="0063100F" w:rsidRPr="004D4F60">
        <w:rPr>
          <w:rFonts w:ascii="Palatino Linotype" w:eastAsia="Palatino Linotype" w:hAnsi="Palatino Linotype" w:cs="Palatino Linotype"/>
          <w:i/>
          <w:u w:val="single"/>
        </w:rPr>
        <w:t xml:space="preserve"> </w:t>
      </w:r>
      <w:r w:rsidR="003F57C3" w:rsidRPr="004D4F60">
        <w:rPr>
          <w:rFonts w:ascii="Palatino Linotype" w:eastAsia="Palatino Linotype" w:hAnsi="Palatino Linotype" w:cs="Palatino Linotype"/>
          <w:i/>
          <w:u w:val="single"/>
        </w:rPr>
        <w:t>Proyecto de obra</w:t>
      </w:r>
      <w:r w:rsidR="0063100F" w:rsidRPr="004D4F60">
        <w:rPr>
          <w:rFonts w:ascii="Palatino Linotype" w:eastAsia="Palatino Linotype" w:hAnsi="Palatino Linotype" w:cs="Palatino Linotype"/>
          <w:i/>
          <w:u w:val="single"/>
        </w:rPr>
        <w:t xml:space="preserve">; </w:t>
      </w:r>
      <w:r w:rsidR="003F57C3" w:rsidRPr="004D4F60">
        <w:rPr>
          <w:rFonts w:ascii="Palatino Linotype" w:eastAsia="Palatino Linotype" w:hAnsi="Palatino Linotype" w:cs="Palatino Linotype"/>
          <w:i/>
          <w:u w:val="single"/>
        </w:rPr>
        <w:t>Avances</w:t>
      </w:r>
      <w:r w:rsidR="0063100F" w:rsidRPr="004D4F60">
        <w:rPr>
          <w:rFonts w:ascii="Palatino Linotype" w:eastAsia="Palatino Linotype" w:hAnsi="Palatino Linotype" w:cs="Palatino Linotype"/>
          <w:i/>
          <w:u w:val="single"/>
        </w:rPr>
        <w:t xml:space="preserve"> de obra; y </w:t>
      </w:r>
      <w:r w:rsidR="003F57C3" w:rsidRPr="004D4F60">
        <w:rPr>
          <w:rFonts w:ascii="Palatino Linotype" w:eastAsia="Palatino Linotype" w:hAnsi="Palatino Linotype" w:cs="Palatino Linotype"/>
          <w:i/>
          <w:u w:val="single"/>
        </w:rPr>
        <w:t>Todos los documentos relacionados con la obra</w:t>
      </w:r>
      <w:r w:rsidRPr="004D4F60">
        <w:rPr>
          <w:rFonts w:ascii="Palatino Linotype" w:eastAsia="Palatino Linotype" w:hAnsi="Palatino Linotype" w:cs="Palatino Linotype"/>
        </w:rPr>
        <w:t>, en consecuencia</w:t>
      </w:r>
      <w:r w:rsidR="0006580E" w:rsidRPr="004D4F60">
        <w:rPr>
          <w:rFonts w:ascii="Palatino Linotype" w:eastAsia="Palatino Linotype" w:hAnsi="Palatino Linotype" w:cs="Palatino Linotype"/>
        </w:rPr>
        <w:t xml:space="preserve"> </w:t>
      </w:r>
      <w:r w:rsidRPr="004D4F60">
        <w:rPr>
          <w:rFonts w:ascii="Palatino Linotype" w:eastAsia="Palatino Linotype" w:hAnsi="Palatino Linotype" w:cs="Palatino Linotype"/>
        </w:rPr>
        <w:t>el Sujeto Obligado</w:t>
      </w:r>
      <w:r w:rsidR="0063100F" w:rsidRPr="004D4F60">
        <w:rPr>
          <w:rFonts w:ascii="Palatino Linotype" w:eastAsia="Palatino Linotype" w:hAnsi="Palatino Linotype" w:cs="Palatino Linotype"/>
        </w:rPr>
        <w:t xml:space="preserve"> en cumplimiento a la Resolución del Recurso de Revisión 12053/INFOEM/IP/RR/2025, </w:t>
      </w:r>
      <w:r w:rsidRPr="004D4F60">
        <w:rPr>
          <w:rFonts w:ascii="Palatino Linotype" w:eastAsia="Palatino Linotype" w:hAnsi="Palatino Linotype" w:cs="Palatino Linotype"/>
        </w:rPr>
        <w:t>otorgó respuesta a través</w:t>
      </w:r>
      <w:r w:rsidR="0006580E" w:rsidRPr="004D4F60">
        <w:rPr>
          <w:rFonts w:ascii="Palatino Linotype" w:eastAsia="Palatino Linotype" w:hAnsi="Palatino Linotype" w:cs="Palatino Linotype"/>
        </w:rPr>
        <w:t xml:space="preserve"> del</w:t>
      </w:r>
      <w:r w:rsidRPr="004D4F60">
        <w:rPr>
          <w:rFonts w:ascii="Palatino Linotype" w:eastAsia="Palatino Linotype" w:hAnsi="Palatino Linotype" w:cs="Palatino Linotype"/>
        </w:rPr>
        <w:t xml:space="preserve"> </w:t>
      </w:r>
      <w:r w:rsidR="0006580E" w:rsidRPr="004D4F60">
        <w:rPr>
          <w:rFonts w:ascii="Palatino Linotype" w:eastAsia="Palatino Linotype" w:hAnsi="Palatino Linotype" w:cs="Palatino Linotype"/>
        </w:rPr>
        <w:t xml:space="preserve">Director de Obras Públicas, refiriendo que </w:t>
      </w:r>
      <w:r w:rsidR="0006580E" w:rsidRPr="004D4F60">
        <w:rPr>
          <w:rFonts w:ascii="Palatino Linotype" w:eastAsia="Palatino Linotype" w:hAnsi="Palatino Linotype" w:cs="Palatino Linotype"/>
          <w:i/>
        </w:rPr>
        <w:t xml:space="preserve">después de una búsqueda exhaustiva y minuciosa </w:t>
      </w:r>
      <w:r w:rsidR="0006580E" w:rsidRPr="004D4F60">
        <w:rPr>
          <w:rFonts w:ascii="Palatino Linotype" w:eastAsia="Palatino Linotype" w:hAnsi="Palatino Linotype" w:cs="Palatino Linotype"/>
          <w:b/>
          <w:i/>
        </w:rPr>
        <w:t>no se encontró información con las referencias antes mencionadas</w:t>
      </w:r>
      <w:r w:rsidR="0006580E" w:rsidRPr="004D4F60">
        <w:rPr>
          <w:rFonts w:ascii="Palatino Linotype" w:eastAsia="Palatino Linotype" w:hAnsi="Palatino Linotype" w:cs="Palatino Linotype"/>
          <w:i/>
        </w:rPr>
        <w:t>.</w:t>
      </w:r>
      <w:r w:rsidR="00CB40C1" w:rsidRPr="004D4F60">
        <w:rPr>
          <w:rFonts w:ascii="Palatino Linotype" w:eastAsia="Palatino Linotype" w:hAnsi="Palatino Linotype" w:cs="Palatino Linotype"/>
          <w:i/>
        </w:rPr>
        <w:t xml:space="preserve"> </w:t>
      </w:r>
      <w:r w:rsidRPr="004D4F60">
        <w:rPr>
          <w:rFonts w:ascii="Palatino Linotype" w:eastAsia="Palatino Linotype" w:hAnsi="Palatino Linotype" w:cs="Palatino Linotype"/>
        </w:rPr>
        <w:t xml:space="preserve">En consecuencia el particular se dolió por la negativa de la entrega de la información, </w:t>
      </w:r>
      <w:r w:rsidR="00CB40C1" w:rsidRPr="004D4F60">
        <w:rPr>
          <w:rFonts w:ascii="Palatino Linotype" w:eastAsia="Palatino Linotype" w:hAnsi="Palatino Linotype" w:cs="Palatino Linotype"/>
        </w:rPr>
        <w:t>advirtiendo que las partes fueron omisas en rendir manifestaciones que a su derecho conviniera o asistirá.</w:t>
      </w:r>
    </w:p>
    <w:p w:rsidR="00F55DB7" w:rsidRPr="004D4F60" w:rsidRDefault="00F55DB7" w:rsidP="00F55DB7">
      <w:pPr>
        <w:spacing w:line="360" w:lineRule="auto"/>
        <w:ind w:right="-879"/>
        <w:jc w:val="both"/>
        <w:rPr>
          <w:rFonts w:ascii="Palatino Linotype" w:eastAsia="Palatino Linotype" w:hAnsi="Palatino Linotype" w:cs="Palatino Linotype"/>
          <w:i/>
        </w:rPr>
      </w:pPr>
    </w:p>
    <w:p w:rsidR="00F55DB7" w:rsidRPr="004D4F60" w:rsidRDefault="00F55DB7" w:rsidP="00CB40C1">
      <w:pPr>
        <w:numPr>
          <w:ilvl w:val="0"/>
          <w:numId w:val="1"/>
        </w:numPr>
        <w:spacing w:line="360" w:lineRule="auto"/>
        <w:ind w:left="0" w:right="-879" w:firstLine="0"/>
        <w:jc w:val="both"/>
        <w:rPr>
          <w:rFonts w:ascii="Palatino Linotype" w:eastAsia="Palatino Linotype" w:hAnsi="Palatino Linotype" w:cs="Palatino Linotype"/>
          <w:i/>
        </w:rPr>
      </w:pPr>
      <w:r w:rsidRPr="004D4F60">
        <w:rPr>
          <w:rFonts w:ascii="Palatino Linotype" w:eastAsia="Palatino Linotype" w:hAnsi="Palatino Linotype" w:cs="Palatino Linotype"/>
        </w:rPr>
        <w:t>En razón de lo expuesto, este Organismo procedió a realizar una búsqueda al respecto de la información requeridas en los medios tecnológicos de información y comunicación, localizando diversas notas periodísticas y publicaciones en redes sociales sobre la existencia de La construcción del puente de incorporación vial a la </w:t>
      </w:r>
      <w:r w:rsidRPr="004D4F60">
        <w:rPr>
          <w:rFonts w:ascii="Palatino Linotype" w:eastAsia="Palatino Linotype" w:hAnsi="Palatino Linotype" w:cs="Palatino Linotype"/>
          <w:bCs/>
        </w:rPr>
        <w:t>autopista federal México–Querétaro</w:t>
      </w:r>
      <w:r w:rsidRPr="004D4F60">
        <w:rPr>
          <w:rFonts w:ascii="Palatino Linotype" w:eastAsia="Palatino Linotype" w:hAnsi="Palatino Linotype" w:cs="Palatino Linotype"/>
        </w:rPr>
        <w:t> (Carretera 57D), que conectará al </w:t>
      </w:r>
      <w:r w:rsidRPr="004D4F60">
        <w:rPr>
          <w:rFonts w:ascii="Palatino Linotype" w:eastAsia="Palatino Linotype" w:hAnsi="Palatino Linotype" w:cs="Palatino Linotype"/>
          <w:iCs/>
        </w:rPr>
        <w:t>municipio de Tepotzotlán</w:t>
      </w:r>
      <w:r w:rsidRPr="004D4F60">
        <w:rPr>
          <w:rFonts w:ascii="Palatino Linotype" w:eastAsia="Palatino Linotype" w:hAnsi="Palatino Linotype" w:cs="Palatino Linotype"/>
        </w:rPr>
        <w:t>, en las que se señala como responsable de la obra al Municipio de Tepotzotlán, tal como se describe a continuación:</w:t>
      </w:r>
    </w:p>
    <w:p w:rsidR="005D730B" w:rsidRPr="004D4F60" w:rsidRDefault="00F55DB7" w:rsidP="00757BBA">
      <w:pPr>
        <w:pStyle w:val="Prrafodelista"/>
        <w:numPr>
          <w:ilvl w:val="0"/>
          <w:numId w:val="23"/>
        </w:numPr>
        <w:spacing w:line="360" w:lineRule="auto"/>
        <w:ind w:left="851" w:right="-879"/>
        <w:jc w:val="both"/>
        <w:rPr>
          <w:rFonts w:ascii="Palatino Linotype" w:eastAsia="Palatino Linotype" w:hAnsi="Palatino Linotype" w:cs="Palatino Linotype"/>
          <w:i/>
          <w:sz w:val="24"/>
        </w:rPr>
      </w:pPr>
      <w:r w:rsidRPr="004D4F60">
        <w:rPr>
          <w:rFonts w:ascii="Palatino Linotype" w:eastAsia="Palatino Linotype" w:hAnsi="Palatino Linotype" w:cs="Palatino Linotype"/>
          <w:sz w:val="24"/>
        </w:rPr>
        <w:t xml:space="preserve">Nota periodística de AGENDA MANL. Misma que dentro del </w:t>
      </w:r>
      <w:r w:rsidR="005D730B" w:rsidRPr="004D4F60">
        <w:rPr>
          <w:rFonts w:ascii="Palatino Linotype" w:eastAsia="Palatino Linotype" w:hAnsi="Palatino Linotype" w:cs="Palatino Linotype"/>
          <w:sz w:val="24"/>
        </w:rPr>
        <w:t>cuerpo</w:t>
      </w:r>
      <w:r w:rsidRPr="004D4F60">
        <w:rPr>
          <w:rFonts w:ascii="Palatino Linotype" w:eastAsia="Palatino Linotype" w:hAnsi="Palatino Linotype" w:cs="Palatino Linotype"/>
          <w:sz w:val="24"/>
        </w:rPr>
        <w:t xml:space="preserve"> de la noticia refiere que </w:t>
      </w:r>
      <w:r w:rsidR="005D730B" w:rsidRPr="004D4F60">
        <w:rPr>
          <w:rFonts w:ascii="Palatino Linotype" w:eastAsia="Palatino Linotype" w:hAnsi="Palatino Linotype" w:cs="Palatino Linotype"/>
          <w:sz w:val="24"/>
        </w:rPr>
        <w:t>“… el </w:t>
      </w:r>
      <w:r w:rsidR="005D730B" w:rsidRPr="004D4F60">
        <w:rPr>
          <w:rFonts w:ascii="Palatino Linotype" w:eastAsia="Palatino Linotype" w:hAnsi="Palatino Linotype" w:cs="Palatino Linotype"/>
          <w:b/>
          <w:bCs/>
          <w:sz w:val="24"/>
        </w:rPr>
        <w:t>Distribuidor Vial de Tepotzotlán</w:t>
      </w:r>
      <w:r w:rsidR="005D730B" w:rsidRPr="004D4F60">
        <w:rPr>
          <w:rFonts w:ascii="Palatino Linotype" w:eastAsia="Palatino Linotype" w:hAnsi="Palatino Linotype" w:cs="Palatino Linotype"/>
          <w:sz w:val="24"/>
        </w:rPr>
        <w:t>, que debía atravesar la </w:t>
      </w:r>
      <w:r w:rsidR="005D730B" w:rsidRPr="004D4F60">
        <w:rPr>
          <w:rFonts w:ascii="Palatino Linotype" w:eastAsia="Palatino Linotype" w:hAnsi="Palatino Linotype" w:cs="Palatino Linotype"/>
          <w:b/>
          <w:bCs/>
          <w:sz w:val="24"/>
        </w:rPr>
        <w:t>Autopista México-Querétaro</w:t>
      </w:r>
      <w:r w:rsidR="005D730B" w:rsidRPr="004D4F60">
        <w:rPr>
          <w:rFonts w:ascii="Palatino Linotype" w:eastAsia="Palatino Linotype" w:hAnsi="Palatino Linotype" w:cs="Palatino Linotype"/>
          <w:sz w:val="24"/>
        </w:rPr>
        <w:t>. … su construcción fue </w:t>
      </w:r>
      <w:r w:rsidR="005D730B" w:rsidRPr="004D4F60">
        <w:rPr>
          <w:rFonts w:ascii="Palatino Linotype" w:eastAsia="Palatino Linotype" w:hAnsi="Palatino Linotype" w:cs="Palatino Linotype"/>
          <w:b/>
          <w:bCs/>
          <w:sz w:val="24"/>
        </w:rPr>
        <w:t>pagada en 2021</w:t>
      </w:r>
      <w:r w:rsidR="005D730B" w:rsidRPr="004D4F60">
        <w:rPr>
          <w:rFonts w:ascii="Palatino Linotype" w:eastAsia="Palatino Linotype" w:hAnsi="Palatino Linotype" w:cs="Palatino Linotype"/>
          <w:sz w:val="24"/>
        </w:rPr>
        <w:t>, la obra sigue </w:t>
      </w:r>
      <w:r w:rsidR="005D730B" w:rsidRPr="004D4F60">
        <w:rPr>
          <w:rFonts w:ascii="Palatino Linotype" w:eastAsia="Palatino Linotype" w:hAnsi="Palatino Linotype" w:cs="Palatino Linotype"/>
          <w:b/>
          <w:bCs/>
          <w:sz w:val="24"/>
        </w:rPr>
        <w:t>inconclusa</w:t>
      </w:r>
      <w:r w:rsidR="005D730B" w:rsidRPr="004D4F60">
        <w:rPr>
          <w:rFonts w:ascii="Palatino Linotype" w:eastAsia="Palatino Linotype" w:hAnsi="Palatino Linotype" w:cs="Palatino Linotype"/>
          <w:sz w:val="24"/>
        </w:rPr>
        <w:t xml:space="preserve">”, en la que se señalan diversos servidores públicos de la administración municipal en investigación por el proyecto de obra en cita. Consultable en el link </w:t>
      </w:r>
      <w:hyperlink r:id="rId9" w:history="1">
        <w:r w:rsidR="005D730B" w:rsidRPr="004D4F60">
          <w:rPr>
            <w:rStyle w:val="Hipervnculo"/>
            <w:rFonts w:ascii="Palatino Linotype" w:eastAsia="Palatino Linotype" w:hAnsi="Palatino Linotype" w:cs="Palatino Linotype"/>
            <w:sz w:val="24"/>
          </w:rPr>
          <w:t>https://agenciamanl.blogspot.com/2025/04/inhabilitacion-de-maria-de-los-angeles.html</w:t>
        </w:r>
      </w:hyperlink>
      <w:r w:rsidR="005D730B" w:rsidRPr="004D4F60">
        <w:rPr>
          <w:rFonts w:ascii="Palatino Linotype" w:eastAsia="Palatino Linotype" w:hAnsi="Palatino Linotype" w:cs="Palatino Linotype"/>
          <w:sz w:val="24"/>
        </w:rPr>
        <w:t xml:space="preserve"> </w:t>
      </w:r>
    </w:p>
    <w:p w:rsidR="005D730B" w:rsidRPr="004D4F60" w:rsidRDefault="005D730B" w:rsidP="005D730B">
      <w:pPr>
        <w:spacing w:line="360" w:lineRule="auto"/>
        <w:ind w:right="-879"/>
        <w:jc w:val="center"/>
        <w:rPr>
          <w:rFonts w:ascii="Palatino Linotype" w:eastAsia="Palatino Linotype" w:hAnsi="Palatino Linotype" w:cs="Palatino Linotype"/>
          <w:i/>
        </w:rPr>
      </w:pPr>
      <w:r w:rsidRPr="004D4F60">
        <w:rPr>
          <w:rFonts w:ascii="Palatino Linotype" w:eastAsia="Palatino Linotype" w:hAnsi="Palatino Linotype" w:cs="Palatino Linotype"/>
          <w:i/>
          <w:noProof/>
        </w:rPr>
        <w:lastRenderedPageBreak/>
        <w:drawing>
          <wp:inline distT="0" distB="0" distL="0" distR="0" wp14:anchorId="65FDEB1F" wp14:editId="25E25E26">
            <wp:extent cx="4381973" cy="1321763"/>
            <wp:effectExtent l="152400" t="152400" r="361950" b="3549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2535" cy="1333998"/>
                    </a:xfrm>
                    <a:prstGeom prst="rect">
                      <a:avLst/>
                    </a:prstGeom>
                    <a:ln>
                      <a:noFill/>
                    </a:ln>
                    <a:effectLst>
                      <a:outerShdw blurRad="292100" dist="139700" dir="2700000" algn="tl" rotWithShape="0">
                        <a:srgbClr val="333333">
                          <a:alpha val="65000"/>
                        </a:srgbClr>
                      </a:outerShdw>
                    </a:effectLst>
                  </pic:spPr>
                </pic:pic>
              </a:graphicData>
            </a:graphic>
          </wp:inline>
        </w:drawing>
      </w:r>
    </w:p>
    <w:p w:rsidR="005D730B" w:rsidRPr="004D4F60" w:rsidRDefault="005D730B" w:rsidP="005D730B">
      <w:pPr>
        <w:spacing w:line="360" w:lineRule="auto"/>
        <w:ind w:right="-879"/>
        <w:jc w:val="center"/>
        <w:rPr>
          <w:rFonts w:ascii="Palatino Linotype" w:eastAsia="Palatino Linotype" w:hAnsi="Palatino Linotype" w:cs="Palatino Linotype"/>
          <w:i/>
        </w:rPr>
      </w:pPr>
    </w:p>
    <w:p w:rsidR="005D730B" w:rsidRPr="004D4F60" w:rsidRDefault="005D730B" w:rsidP="00757BBA">
      <w:pPr>
        <w:pStyle w:val="Prrafodelista"/>
        <w:numPr>
          <w:ilvl w:val="0"/>
          <w:numId w:val="23"/>
        </w:numPr>
        <w:spacing w:line="360" w:lineRule="auto"/>
        <w:ind w:left="851" w:right="-879"/>
        <w:jc w:val="both"/>
        <w:rPr>
          <w:rFonts w:ascii="Palatino Linotype" w:eastAsia="Palatino Linotype" w:hAnsi="Palatino Linotype" w:cs="Palatino Linotype"/>
          <w:i/>
          <w:sz w:val="24"/>
        </w:rPr>
      </w:pPr>
      <w:r w:rsidRPr="004D4F60">
        <w:rPr>
          <w:rFonts w:ascii="Palatino Linotype" w:eastAsia="Palatino Linotype" w:hAnsi="Palatino Linotype" w:cs="Palatino Linotype"/>
          <w:sz w:val="24"/>
        </w:rPr>
        <w:t>Publicación en la red social Facebook del usuario “Nosotros somos Tepotzotlán”, de fecha 13 de marzo de 2025, misma que refiere que el distribuidor vial de Tepotzotlán se encuentra inconc</w:t>
      </w:r>
      <w:r w:rsidR="008C14D1" w:rsidRPr="004D4F60">
        <w:rPr>
          <w:rFonts w:ascii="Palatino Linotype" w:eastAsia="Palatino Linotype" w:hAnsi="Palatino Linotype" w:cs="Palatino Linotype"/>
          <w:sz w:val="24"/>
        </w:rPr>
        <w:t xml:space="preserve">luso, montos erogados, por mencionar algunos. Consultable en el link </w:t>
      </w:r>
      <w:hyperlink r:id="rId11" w:history="1">
        <w:r w:rsidR="008C14D1" w:rsidRPr="004D4F60">
          <w:rPr>
            <w:rStyle w:val="Hipervnculo"/>
            <w:rFonts w:ascii="Palatino Linotype" w:eastAsia="Palatino Linotype" w:hAnsi="Palatino Linotype" w:cs="Palatino Linotype"/>
            <w:sz w:val="24"/>
          </w:rPr>
          <w:t>https://www.facebook.com/nosotrosomostepotzotlan/posts/lamentable-la-situaci%C3%B3n-del-distribuidor-vial-de-tepotzotl%C3%A1n-a-4-a%C3%B1os-de-iniciar/962883642656659/</w:t>
        </w:r>
      </w:hyperlink>
      <w:r w:rsidR="008C14D1" w:rsidRPr="004D4F60">
        <w:rPr>
          <w:rFonts w:ascii="Palatino Linotype" w:eastAsia="Palatino Linotype" w:hAnsi="Palatino Linotype" w:cs="Palatino Linotype"/>
          <w:sz w:val="24"/>
        </w:rPr>
        <w:t xml:space="preserve"> </w:t>
      </w:r>
    </w:p>
    <w:p w:rsidR="008C14D1" w:rsidRPr="004D4F60" w:rsidRDefault="008C14D1" w:rsidP="008C14D1">
      <w:pPr>
        <w:spacing w:line="360" w:lineRule="auto"/>
        <w:ind w:right="-879"/>
        <w:jc w:val="both"/>
        <w:rPr>
          <w:rFonts w:ascii="Palatino Linotype" w:eastAsia="Palatino Linotype" w:hAnsi="Palatino Linotype" w:cs="Palatino Linotype"/>
          <w:i/>
        </w:rPr>
      </w:pPr>
    </w:p>
    <w:p w:rsidR="008C14D1" w:rsidRPr="004D4F60" w:rsidRDefault="008C14D1" w:rsidP="008C14D1">
      <w:pPr>
        <w:spacing w:line="360" w:lineRule="auto"/>
        <w:ind w:right="-879"/>
        <w:jc w:val="center"/>
        <w:rPr>
          <w:rFonts w:ascii="Palatino Linotype" w:eastAsia="Palatino Linotype" w:hAnsi="Palatino Linotype" w:cs="Palatino Linotype"/>
          <w:i/>
        </w:rPr>
      </w:pPr>
      <w:r w:rsidRPr="004D4F60">
        <w:rPr>
          <w:rFonts w:ascii="Palatino Linotype" w:eastAsia="Palatino Linotype" w:hAnsi="Palatino Linotype" w:cs="Palatino Linotype"/>
          <w:i/>
          <w:noProof/>
        </w:rPr>
        <w:lastRenderedPageBreak/>
        <w:drawing>
          <wp:inline distT="0" distB="0" distL="0" distR="0" wp14:anchorId="7B4B432F" wp14:editId="5A34AE4E">
            <wp:extent cx="4085430" cy="42530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5156" cy="4346430"/>
                    </a:xfrm>
                    <a:prstGeom prst="rect">
                      <a:avLst/>
                    </a:prstGeom>
                  </pic:spPr>
                </pic:pic>
              </a:graphicData>
            </a:graphic>
          </wp:inline>
        </w:drawing>
      </w:r>
    </w:p>
    <w:p w:rsidR="008C14D1" w:rsidRPr="004D4F60" w:rsidRDefault="008C14D1" w:rsidP="008C14D1">
      <w:pPr>
        <w:spacing w:line="360" w:lineRule="auto"/>
        <w:ind w:right="-879"/>
        <w:jc w:val="both"/>
        <w:rPr>
          <w:rFonts w:ascii="Palatino Linotype" w:eastAsia="Palatino Linotype" w:hAnsi="Palatino Linotype" w:cs="Palatino Linotype"/>
          <w:i/>
        </w:rPr>
      </w:pPr>
    </w:p>
    <w:p w:rsidR="008C14D1" w:rsidRPr="004D4F60" w:rsidRDefault="008C14D1" w:rsidP="00757BBA">
      <w:pPr>
        <w:pStyle w:val="Prrafodelista"/>
        <w:numPr>
          <w:ilvl w:val="0"/>
          <w:numId w:val="23"/>
        </w:numPr>
        <w:spacing w:line="360" w:lineRule="auto"/>
        <w:ind w:left="851" w:right="-879"/>
        <w:jc w:val="both"/>
        <w:rPr>
          <w:rFonts w:ascii="Palatino Linotype" w:eastAsia="Palatino Linotype" w:hAnsi="Palatino Linotype" w:cs="Palatino Linotype"/>
          <w:b/>
          <w:bCs/>
          <w:sz w:val="24"/>
        </w:rPr>
      </w:pPr>
      <w:r w:rsidRPr="004D4F60">
        <w:rPr>
          <w:rFonts w:ascii="Palatino Linotype" w:eastAsia="Palatino Linotype" w:hAnsi="Palatino Linotype" w:cs="Palatino Linotype"/>
          <w:sz w:val="24"/>
        </w:rPr>
        <w:t xml:space="preserve">Nota periodística </w:t>
      </w:r>
      <w:r w:rsidR="00163674" w:rsidRPr="004D4F60">
        <w:rPr>
          <w:rFonts w:ascii="Palatino Linotype" w:eastAsia="Palatino Linotype" w:hAnsi="Palatino Linotype" w:cs="Palatino Linotype"/>
          <w:sz w:val="24"/>
        </w:rPr>
        <w:t>publicada</w:t>
      </w:r>
      <w:r w:rsidRPr="004D4F60">
        <w:rPr>
          <w:rFonts w:ascii="Palatino Linotype" w:eastAsia="Palatino Linotype" w:hAnsi="Palatino Linotype" w:cs="Palatino Linotype"/>
          <w:sz w:val="24"/>
        </w:rPr>
        <w:t xml:space="preserve"> por INFOBAE</w:t>
      </w:r>
      <w:r w:rsidR="00163674" w:rsidRPr="004D4F60">
        <w:rPr>
          <w:rFonts w:ascii="Palatino Linotype" w:eastAsia="Palatino Linotype" w:hAnsi="Palatino Linotype" w:cs="Palatino Linotype"/>
          <w:sz w:val="24"/>
        </w:rPr>
        <w:t>,</w:t>
      </w:r>
      <w:r w:rsidRPr="004D4F60">
        <w:rPr>
          <w:rFonts w:ascii="Palatino Linotype" w:eastAsia="Palatino Linotype" w:hAnsi="Palatino Linotype" w:cs="Palatino Linotype"/>
          <w:sz w:val="24"/>
        </w:rPr>
        <w:t xml:space="preserve"> de fecha 20 de junio de 2025, titulada “</w:t>
      </w:r>
      <w:r w:rsidRPr="004D4F60">
        <w:rPr>
          <w:rFonts w:ascii="Palatino Linotype" w:eastAsia="Palatino Linotype" w:hAnsi="Palatino Linotype" w:cs="Palatino Linotype"/>
          <w:b/>
          <w:bCs/>
          <w:sz w:val="24"/>
        </w:rPr>
        <w:t>Puente de más de 400 mdp que tiene retraso en la autopista México-Querétaro es responsabilidad del municipio de Tepotzotlán y Banobras”</w:t>
      </w:r>
      <w:r w:rsidRPr="004D4F60">
        <w:rPr>
          <w:rFonts w:ascii="Palatino Linotype" w:eastAsia="Palatino Linotype" w:hAnsi="Palatino Linotype" w:cs="Palatino Linotype"/>
          <w:bCs/>
          <w:sz w:val="24"/>
        </w:rPr>
        <w:t xml:space="preserve">, en la que se hace referencia a una denuncia hecha por una regidora del municipio de Tepotzotlán por la obra inconclusa y la erogación de los gastos que la misma ha generado. </w:t>
      </w:r>
      <w:r w:rsidRPr="004D4F60">
        <w:rPr>
          <w:rFonts w:ascii="Palatino Linotype" w:eastAsia="Palatino Linotype" w:hAnsi="Palatino Linotype" w:cs="Palatino Linotype"/>
          <w:sz w:val="24"/>
        </w:rPr>
        <w:t xml:space="preserve">Consultable en el link </w:t>
      </w:r>
      <w:hyperlink r:id="rId13" w:anchor=":~:text=M%C3%A9xico-,Puente%20de%20m%C3%A1s%20de%20400%20mdp%20que%20tiene%20retraso%20en,municipio%20de%20Tepotzotl%C3%A1n%20y%20Banobras" w:history="1">
        <w:r w:rsidRPr="004D4F60">
          <w:rPr>
            <w:rStyle w:val="Hipervnculo"/>
            <w:rFonts w:ascii="Palatino Linotype" w:eastAsia="Palatino Linotype" w:hAnsi="Palatino Linotype" w:cs="Palatino Linotype"/>
            <w:sz w:val="24"/>
          </w:rPr>
          <w:t>https://www.infobae.com/mexico/2025/06/19/puente-de-mas-de-400-millones-de-pesos-en-la-autopista-mexico-queretaro-no-cuenta-con-permisos-de-la-sict/#:~:text=M%C3%A9xico-,Puente%20de%20m%C3%A1s%20de%20400%20mdp%20que%20tiene%20retraso%20en,municipio%20de%20Tepotzotl%C3%A1n%20y%20Banobras</w:t>
        </w:r>
      </w:hyperlink>
      <w:r w:rsidRPr="004D4F60">
        <w:rPr>
          <w:rFonts w:ascii="Palatino Linotype" w:eastAsia="Palatino Linotype" w:hAnsi="Palatino Linotype" w:cs="Palatino Linotype"/>
          <w:sz w:val="24"/>
        </w:rPr>
        <w:t xml:space="preserve"> </w:t>
      </w:r>
    </w:p>
    <w:p w:rsidR="00BB4905" w:rsidRPr="004D4F60" w:rsidRDefault="00BB4905" w:rsidP="00BB4905">
      <w:pPr>
        <w:spacing w:line="360" w:lineRule="auto"/>
        <w:ind w:right="-879"/>
        <w:jc w:val="both"/>
        <w:rPr>
          <w:rFonts w:ascii="Palatino Linotype" w:eastAsia="Palatino Linotype" w:hAnsi="Palatino Linotype" w:cs="Palatino Linotype"/>
          <w:b/>
          <w:bCs/>
        </w:rPr>
      </w:pPr>
    </w:p>
    <w:p w:rsidR="00BB4905" w:rsidRPr="004D4F60" w:rsidRDefault="00BB4905" w:rsidP="00BB4905">
      <w:pPr>
        <w:spacing w:line="360" w:lineRule="auto"/>
        <w:ind w:right="-879"/>
        <w:jc w:val="center"/>
        <w:rPr>
          <w:rFonts w:ascii="Palatino Linotype" w:eastAsia="Palatino Linotype" w:hAnsi="Palatino Linotype" w:cs="Palatino Linotype"/>
          <w:b/>
          <w:bCs/>
        </w:rPr>
      </w:pPr>
      <w:r w:rsidRPr="004D4F60">
        <w:rPr>
          <w:rFonts w:ascii="Palatino Linotype" w:eastAsia="Palatino Linotype" w:hAnsi="Palatino Linotype" w:cs="Palatino Linotype"/>
          <w:b/>
          <w:bCs/>
          <w:noProof/>
        </w:rPr>
        <w:drawing>
          <wp:inline distT="0" distB="0" distL="0" distR="0" wp14:anchorId="3F5E1E64" wp14:editId="715197E7">
            <wp:extent cx="4817907" cy="474599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0280" cy="4758179"/>
                    </a:xfrm>
                    <a:prstGeom prst="rect">
                      <a:avLst/>
                    </a:prstGeom>
                  </pic:spPr>
                </pic:pic>
              </a:graphicData>
            </a:graphic>
          </wp:inline>
        </w:drawing>
      </w:r>
    </w:p>
    <w:p w:rsidR="00163674" w:rsidRPr="004D4F60" w:rsidRDefault="00163674" w:rsidP="00BB4905">
      <w:pPr>
        <w:spacing w:line="360" w:lineRule="auto"/>
        <w:ind w:right="-879"/>
        <w:jc w:val="center"/>
        <w:rPr>
          <w:rFonts w:ascii="Palatino Linotype" w:eastAsia="Palatino Linotype" w:hAnsi="Palatino Linotype" w:cs="Palatino Linotype"/>
          <w:b/>
          <w:bCs/>
        </w:rPr>
      </w:pPr>
    </w:p>
    <w:p w:rsidR="00163674" w:rsidRPr="004D4F60" w:rsidRDefault="00163674" w:rsidP="00757BBA">
      <w:pPr>
        <w:pStyle w:val="Prrafodelista"/>
        <w:numPr>
          <w:ilvl w:val="0"/>
          <w:numId w:val="23"/>
        </w:numPr>
        <w:spacing w:line="360" w:lineRule="auto"/>
        <w:ind w:left="851" w:right="-879"/>
        <w:jc w:val="both"/>
        <w:rPr>
          <w:rFonts w:ascii="Palatino Linotype" w:eastAsia="Palatino Linotype" w:hAnsi="Palatino Linotype" w:cs="Palatino Linotype"/>
          <w:sz w:val="24"/>
        </w:rPr>
      </w:pPr>
      <w:r w:rsidRPr="004D4F60">
        <w:rPr>
          <w:rFonts w:ascii="Palatino Linotype" w:eastAsia="Palatino Linotype" w:hAnsi="Palatino Linotype" w:cs="Palatino Linotype"/>
          <w:sz w:val="24"/>
        </w:rPr>
        <w:t xml:space="preserve">Publicación en la red social Facebook del usuario “Periódico de Izcalli”, de fecha 04 de julio de 2025, misma que refiere </w:t>
      </w:r>
      <w:r w:rsidR="0088282D" w:rsidRPr="004D4F60">
        <w:rPr>
          <w:rFonts w:ascii="Palatino Linotype" w:eastAsia="Palatino Linotype" w:hAnsi="Palatino Linotype" w:cs="Palatino Linotype"/>
          <w:sz w:val="24"/>
        </w:rPr>
        <w:t xml:space="preserve">“El </w:t>
      </w:r>
      <w:r w:rsidR="0088282D" w:rsidRPr="004D4F60">
        <w:rPr>
          <w:rFonts w:ascii="Palatino Linotype" w:eastAsia="Palatino Linotype" w:hAnsi="Palatino Linotype" w:cs="Palatino Linotype"/>
          <w:b/>
          <w:bCs/>
          <w:sz w:val="24"/>
        </w:rPr>
        <w:t>Ayuntamiento de Tepotzotlán 2025-2027</w:t>
      </w:r>
      <w:r w:rsidR="0088282D" w:rsidRPr="004D4F60">
        <w:rPr>
          <w:rFonts w:ascii="Palatino Linotype" w:eastAsia="Palatino Linotype" w:hAnsi="Palatino Linotype" w:cs="Palatino Linotype"/>
          <w:sz w:val="24"/>
        </w:rPr>
        <w:t xml:space="preserve"> informó que tanto CAPUFE, como la Junta Local de Caminos concluyeron la reparación del distribuidor vial que conecta a </w:t>
      </w:r>
      <w:r w:rsidR="0088282D" w:rsidRPr="004D4F60">
        <w:rPr>
          <w:rFonts w:ascii="Palatino Linotype" w:eastAsia="Palatino Linotype" w:hAnsi="Palatino Linotype" w:cs="Palatino Linotype"/>
          <w:b/>
          <w:bCs/>
          <w:sz w:val="24"/>
        </w:rPr>
        <w:t>#Tepotzotlán</w:t>
      </w:r>
      <w:r w:rsidR="0088282D" w:rsidRPr="004D4F60">
        <w:rPr>
          <w:rFonts w:ascii="Palatino Linotype" w:eastAsia="Palatino Linotype" w:hAnsi="Palatino Linotype" w:cs="Palatino Linotype"/>
          <w:sz w:val="24"/>
        </w:rPr>
        <w:t xml:space="preserve"> con la autopista México-Querétaro. Las gestiones fueron realizadas por la presidenta municipal </w:t>
      </w:r>
      <w:r w:rsidR="0088282D" w:rsidRPr="004D4F60">
        <w:rPr>
          <w:rFonts w:ascii="Palatino Linotype" w:eastAsia="Palatino Linotype" w:hAnsi="Palatino Linotype" w:cs="Palatino Linotype"/>
          <w:b/>
          <w:bCs/>
          <w:sz w:val="24"/>
        </w:rPr>
        <w:t>Ma. De los Angeles Zuppa Villegas “Gely”</w:t>
      </w:r>
      <w:r w:rsidR="0088282D" w:rsidRPr="004D4F60">
        <w:rPr>
          <w:rFonts w:ascii="Palatino Linotype" w:eastAsia="Palatino Linotype" w:hAnsi="Palatino Linotype" w:cs="Palatino Linotype"/>
          <w:sz w:val="24"/>
        </w:rPr>
        <w:t>.”</w:t>
      </w:r>
      <w:r w:rsidR="006F6294" w:rsidRPr="004D4F60">
        <w:rPr>
          <w:rFonts w:ascii="Palatino Linotype" w:eastAsia="Palatino Linotype" w:hAnsi="Palatino Linotype" w:cs="Palatino Linotype"/>
          <w:sz w:val="24"/>
        </w:rPr>
        <w:t xml:space="preserve"> </w:t>
      </w:r>
      <w:r w:rsidRPr="004D4F60">
        <w:rPr>
          <w:rFonts w:ascii="Palatino Linotype" w:eastAsia="Palatino Linotype" w:hAnsi="Palatino Linotype" w:cs="Palatino Linotype"/>
          <w:sz w:val="24"/>
        </w:rPr>
        <w:t xml:space="preserve">Consultable en el link </w:t>
      </w:r>
      <w:hyperlink r:id="rId15" w:history="1">
        <w:r w:rsidR="006F6294" w:rsidRPr="004D4F60">
          <w:rPr>
            <w:rStyle w:val="Hipervnculo"/>
            <w:rFonts w:ascii="Palatino Linotype" w:eastAsia="Palatino Linotype" w:hAnsi="Palatino Linotype" w:cs="Palatino Linotype"/>
            <w:sz w:val="24"/>
          </w:rPr>
          <w:t>https://www.facebook.com/pizcalli/posts/-</w:t>
        </w:r>
        <w:r w:rsidR="006F6294" w:rsidRPr="004D4F60">
          <w:rPr>
            <w:rStyle w:val="Hipervnculo"/>
            <w:rFonts w:ascii="Palatino Linotype" w:eastAsia="Palatino Linotype" w:hAnsi="Palatino Linotype" w:cs="Palatino Linotype"/>
            <w:sz w:val="24"/>
          </w:rPr>
          <w:lastRenderedPageBreak/>
          <w:t>finalizan-reparaci%C3%B3n-de-distribuidor-vial-en-tepotzotl%C3%A1n-el-ayuntamiento-de-tep/1043182304652263/</w:t>
        </w:r>
      </w:hyperlink>
      <w:r w:rsidR="006F6294" w:rsidRPr="004D4F60">
        <w:rPr>
          <w:rFonts w:ascii="Palatino Linotype" w:eastAsia="Palatino Linotype" w:hAnsi="Palatino Linotype" w:cs="Palatino Linotype"/>
          <w:sz w:val="24"/>
        </w:rPr>
        <w:t xml:space="preserve"> </w:t>
      </w:r>
    </w:p>
    <w:p w:rsidR="006F6294" w:rsidRPr="004D4F60" w:rsidRDefault="006F6294" w:rsidP="006F6294">
      <w:pPr>
        <w:spacing w:line="360" w:lineRule="auto"/>
        <w:ind w:right="-879"/>
        <w:jc w:val="both"/>
        <w:rPr>
          <w:rFonts w:ascii="Palatino Linotype" w:eastAsia="Palatino Linotype" w:hAnsi="Palatino Linotype" w:cs="Palatino Linotype"/>
        </w:rPr>
      </w:pPr>
    </w:p>
    <w:p w:rsidR="006F6294" w:rsidRPr="004D4F60" w:rsidRDefault="006F6294" w:rsidP="006F6294">
      <w:pPr>
        <w:spacing w:line="360" w:lineRule="auto"/>
        <w:ind w:right="-879"/>
        <w:jc w:val="center"/>
        <w:rPr>
          <w:rFonts w:ascii="Palatino Linotype" w:eastAsia="Palatino Linotype" w:hAnsi="Palatino Linotype" w:cs="Palatino Linotype"/>
        </w:rPr>
      </w:pPr>
      <w:r w:rsidRPr="004D4F60">
        <w:rPr>
          <w:rFonts w:ascii="Palatino Linotype" w:eastAsia="Palatino Linotype" w:hAnsi="Palatino Linotype" w:cs="Palatino Linotype"/>
          <w:noProof/>
        </w:rPr>
        <w:drawing>
          <wp:inline distT="0" distB="0" distL="0" distR="0" wp14:anchorId="075D164C" wp14:editId="357C4EAA">
            <wp:extent cx="4329562" cy="2703343"/>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64093" cy="2724904"/>
                    </a:xfrm>
                    <a:prstGeom prst="rect">
                      <a:avLst/>
                    </a:prstGeom>
                  </pic:spPr>
                </pic:pic>
              </a:graphicData>
            </a:graphic>
          </wp:inline>
        </w:drawing>
      </w:r>
    </w:p>
    <w:p w:rsidR="00163674" w:rsidRPr="004D4F60" w:rsidRDefault="00163674" w:rsidP="00D7704E">
      <w:pPr>
        <w:spacing w:line="360" w:lineRule="auto"/>
        <w:ind w:right="-879"/>
        <w:rPr>
          <w:rFonts w:ascii="Palatino Linotype" w:eastAsia="Palatino Linotype" w:hAnsi="Palatino Linotype" w:cs="Palatino Linotype"/>
          <w:b/>
          <w:bCs/>
        </w:rPr>
      </w:pPr>
    </w:p>
    <w:p w:rsidR="00D7704E" w:rsidRPr="004D4F60" w:rsidRDefault="00D7704E" w:rsidP="00D7704E">
      <w:pPr>
        <w:numPr>
          <w:ilvl w:val="0"/>
          <w:numId w:val="1"/>
        </w:numPr>
        <w:spacing w:line="360" w:lineRule="auto"/>
        <w:ind w:left="0" w:right="-879" w:firstLine="0"/>
        <w:jc w:val="both"/>
        <w:rPr>
          <w:color w:val="000000"/>
        </w:rPr>
      </w:pPr>
      <w:r w:rsidRPr="004D4F60">
        <w:rPr>
          <w:rFonts w:ascii="Palatino Linotype" w:eastAsia="Palatino Linotype" w:hAnsi="Palatino Linotype" w:cs="Palatino Linotype"/>
          <w:color w:val="000000"/>
        </w:rPr>
        <w:t xml:space="preserve">Como se advierte de las notas y las publicaciones citadas, </w:t>
      </w:r>
      <w:r w:rsidRPr="004D4F60">
        <w:rPr>
          <w:rFonts w:ascii="Palatino Linotype" w:eastAsia="Palatino Linotype" w:hAnsi="Palatino Linotype" w:cs="Palatino Linotype"/>
          <w:b/>
          <w:color w:val="000000"/>
        </w:rPr>
        <w:t>se observan la existencia de la obra del distribuidor vial de Tepotzotlán con la </w:t>
      </w:r>
      <w:r w:rsidRPr="004D4F60">
        <w:rPr>
          <w:rFonts w:ascii="Palatino Linotype" w:eastAsia="Palatino Linotype" w:hAnsi="Palatino Linotype" w:cs="Palatino Linotype"/>
          <w:b/>
          <w:bCs/>
          <w:color w:val="000000"/>
        </w:rPr>
        <w:t>autopista federal México–Querétaro</w:t>
      </w:r>
      <w:r w:rsidRPr="004D4F60">
        <w:rPr>
          <w:rFonts w:ascii="Palatino Linotype" w:eastAsia="Palatino Linotype" w:hAnsi="Palatino Linotype" w:cs="Palatino Linotype"/>
          <w:b/>
          <w:color w:val="000000"/>
        </w:rPr>
        <w:t>, en las que se señala como responsable de la obra al Municipio de Tepotzotlán</w:t>
      </w:r>
      <w:r w:rsidRPr="004D4F60">
        <w:rPr>
          <w:rFonts w:ascii="Palatino Linotype" w:eastAsia="Palatino Linotype" w:hAnsi="Palatino Linotype" w:cs="Palatino Linotype"/>
          <w:color w:val="000000"/>
        </w:rPr>
        <w:t xml:space="preserve">; al respecto conviene señalar que, si bien es cierto, las notas periodísticas o publicaciones plasmadas en la red de Internet constituyen el Derecho a la Libre Expresión de los profesionales en la materia (artículo 7 de la Constitución Política de los Estados Unidos Mexicanos), en los que se plasman opiniones, señalamientos o comentarios respecto de diversos hechos que se suscitan en un lugar y tiempo determinados, también lo es que dichas publicaciones encontrada por la ponencia arrojan indicios sobre los hechos a que se refieren. Sirve de apoyo a lo anterior, la Jurisprudencia y Tesis Aisladas que enseguida se reproducen: </w:t>
      </w:r>
    </w:p>
    <w:p w:rsidR="00D7704E" w:rsidRPr="004D4F60" w:rsidRDefault="00D7704E" w:rsidP="00D7704E">
      <w:pPr>
        <w:pBdr>
          <w:top w:val="nil"/>
          <w:left w:val="nil"/>
          <w:bottom w:val="nil"/>
          <w:right w:val="nil"/>
          <w:between w:val="nil"/>
        </w:pBdr>
        <w:spacing w:line="360" w:lineRule="auto"/>
        <w:ind w:right="113"/>
        <w:jc w:val="both"/>
        <w:rPr>
          <w:color w:val="000000"/>
        </w:rPr>
      </w:pPr>
    </w:p>
    <w:p w:rsidR="00D7704E" w:rsidRPr="004D4F60" w:rsidRDefault="00D7704E" w:rsidP="00D7704E">
      <w:pPr>
        <w:ind w:left="567"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lastRenderedPageBreak/>
        <w:t>“NOTAS PERIODÍSTICAS. ELEMENTOS PARA DETERMINAR SU FUERZA INDICIARIA.</w:t>
      </w:r>
      <w:r w:rsidRPr="004D4F60">
        <w:rPr>
          <w:rFonts w:ascii="Palatino Linotype" w:eastAsia="Palatino Linotype" w:hAnsi="Palatino Linotype" w:cs="Palatino Linotype"/>
          <w:i/>
        </w:rPr>
        <w:t xml:space="preserve"> 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p>
    <w:p w:rsidR="00D7704E" w:rsidRPr="004D4F60" w:rsidRDefault="00D7704E" w:rsidP="00D7704E">
      <w:pPr>
        <w:spacing w:line="360" w:lineRule="auto"/>
        <w:ind w:left="567" w:right="822"/>
        <w:jc w:val="both"/>
        <w:rPr>
          <w:rFonts w:ascii="Palatino Linotype" w:eastAsia="Palatino Linotype" w:hAnsi="Palatino Linotype" w:cs="Palatino Linotype"/>
          <w:i/>
        </w:rPr>
      </w:pPr>
    </w:p>
    <w:p w:rsidR="00D7704E" w:rsidRPr="004D4F60" w:rsidRDefault="00D7704E" w:rsidP="00D7704E">
      <w:pPr>
        <w:ind w:left="567"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INDICIO. CONCEPTO DE. </w:t>
      </w:r>
      <w:r w:rsidRPr="004D4F60">
        <w:rPr>
          <w:rFonts w:ascii="Palatino Linotype" w:eastAsia="Palatino Linotype" w:hAnsi="Palatino Linotype" w:cs="Palatino Linotype"/>
          <w:i/>
        </w:rPr>
        <w:t xml:space="preserve">El "indicio" es una circunstancia cierta de la que se puede sacar, por inducción lógica, una conclusión acerca de la existencia (o inexistencia) de un hecho a probar; por tanto, la convicción indiciaria se basa en un silogismo en el que la premisa mayor (abstracta y problemática), se funda en la experiencia o en el sentido común, la premisa menor (concreta y cierta) se apoya o constituye la comprobación del hecho, y la conclusión, sacada de la referencia de la premisa menor a la premisa mayor, el indicio, por consiguiente, se diferencia de la presunción en que el dato genérico y probable agrega el dato específico y cierto, a lo abstracto une lo concreto; de lo que antecede ya se desprende sin dificultad que requisito primordial de la prueba indiciaria es la certeza de la circunstancia indiciante, o sea, que el indicio presupone necesariamente la demostración de circunstancias indispensables por las que se arguye indirecta pero lógicamente el hecho que hay que probar mediante un proceso deductivo, con la misma certeza que da la prueba directa. </w:t>
      </w:r>
    </w:p>
    <w:p w:rsidR="00D7704E" w:rsidRPr="004D4F60" w:rsidRDefault="00D7704E" w:rsidP="00D7704E">
      <w:pPr>
        <w:spacing w:line="360" w:lineRule="auto"/>
        <w:ind w:left="567" w:right="822"/>
        <w:jc w:val="both"/>
        <w:rPr>
          <w:rFonts w:ascii="Palatino Linotype" w:eastAsia="Palatino Linotype" w:hAnsi="Palatino Linotype" w:cs="Palatino Linotype"/>
          <w:i/>
        </w:rPr>
      </w:pPr>
    </w:p>
    <w:p w:rsidR="00D7704E" w:rsidRPr="004D4F60" w:rsidRDefault="00D7704E" w:rsidP="00D7704E">
      <w:pPr>
        <w:ind w:left="567" w:right="-574"/>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SEGUNDO TRIBUNAL COLEGIADO DEL SEXTO CIRCUITO. </w:t>
      </w:r>
    </w:p>
    <w:p w:rsidR="00D7704E" w:rsidRPr="004D4F60" w:rsidRDefault="00D7704E" w:rsidP="00D7704E">
      <w:pPr>
        <w:ind w:left="567" w:right="-574"/>
        <w:jc w:val="both"/>
        <w:rPr>
          <w:rFonts w:ascii="Palatino Linotype" w:eastAsia="Palatino Linotype" w:hAnsi="Palatino Linotype" w:cs="Palatino Linotype"/>
          <w:i/>
        </w:rPr>
      </w:pPr>
      <w:r w:rsidRPr="004D4F60">
        <w:rPr>
          <w:rFonts w:ascii="Palatino Linotype" w:eastAsia="Palatino Linotype" w:hAnsi="Palatino Linotype" w:cs="Palatino Linotype"/>
          <w:i/>
        </w:rPr>
        <w:t>Amparo directo 317/87. Juan Antonio Ibarra Chaire y coags. 12 de julio de 1988. Unanimidad de votos. Ponente: José Galván Rojas. Secretario: Vicente Martínez Sánchez.</w:t>
      </w:r>
    </w:p>
    <w:p w:rsidR="00D7704E" w:rsidRPr="004D4F60" w:rsidRDefault="00D7704E" w:rsidP="00D7704E">
      <w:pPr>
        <w:ind w:left="567" w:right="-574"/>
        <w:jc w:val="both"/>
        <w:rPr>
          <w:rFonts w:ascii="Palatino Linotype" w:eastAsia="Palatino Linotype" w:hAnsi="Palatino Linotype" w:cs="Palatino Linotype"/>
          <w:i/>
        </w:rPr>
      </w:pPr>
    </w:p>
    <w:p w:rsidR="00D7704E" w:rsidRPr="004D4F60" w:rsidRDefault="00D7704E" w:rsidP="00D7704E">
      <w:pPr>
        <w:ind w:left="567" w:right="-574"/>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INDICIOS. REQUISITOS PARA QUE GENEREN PRESUNCIÓN DE CERTEZA. </w:t>
      </w:r>
      <w:r w:rsidRPr="004D4F60">
        <w:rPr>
          <w:rFonts w:ascii="Palatino Linotype" w:eastAsia="Palatino Linotype" w:hAnsi="Palatino Linotype" w:cs="Palatino Linotype"/>
          <w:i/>
        </w:rPr>
        <w:t xml:space="preserve">Nada impide que para acreditar la veracidad de un hecho, el juzgador se valga de una presunción que se derive de varios indicios. En esta hipótesis deben cumplirse los principios de </w:t>
      </w:r>
      <w:r w:rsidRPr="004D4F60">
        <w:rPr>
          <w:rFonts w:ascii="Palatino Linotype" w:eastAsia="Palatino Linotype" w:hAnsi="Palatino Linotype" w:cs="Palatino Linotype"/>
          <w:i/>
        </w:rPr>
        <w:lastRenderedPageBreak/>
        <w:t xml:space="preserve">la lógica inferencial de probabilidad, a saber: la fiabilidad de los hechos o datos conocidos, esto es, que no exista duda alguna acerca de su veracidad; la pluralidad de indicios, que se refiere a la necesidad de que existan varios datos que permitan conocer o inferir la existencia de otro no percibido y que conduzcan siempre a una misma conclusión; la pertinencia, que significa que haya relación entre la pluralidad de los datos conocidos; y la coherencia, o sea, que debe existir armonía o concordancia entre los datos mencionados; principios que a su vez encuentran respaldo en el artículo 402 de la ley adjetiva civil para el Distrito Federal que previene que los medios de prueba aportados y admitidos serán valorados en su conjunto por el juzgador, atendiendo a las reglas de la lógica y la experiencia, pues los principios enunciados forman parte tanto de la lógica de probabilidades, como de la experiencia misma, razón por la cual, cuando concurren esas exigencias, y se da un muy alto grado de probabilidad de que los hechos acaecieron en la forma narrada por una de las partes, son aptos para generar la presunción de certeza. </w:t>
      </w:r>
    </w:p>
    <w:p w:rsidR="00D7704E" w:rsidRPr="004D4F60" w:rsidRDefault="00D7704E" w:rsidP="00D7704E">
      <w:pPr>
        <w:spacing w:line="360" w:lineRule="auto"/>
        <w:ind w:right="-592"/>
        <w:jc w:val="both"/>
      </w:pPr>
    </w:p>
    <w:p w:rsidR="00D7704E" w:rsidRPr="004D4F60" w:rsidRDefault="00D7704E" w:rsidP="00D7704E">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De lo anterior, se presume la existencia de documentación relacionada con la información requerida, toda vez que el </w:t>
      </w:r>
      <w:r w:rsidRPr="004D4F60">
        <w:rPr>
          <w:rFonts w:ascii="Palatino Linotype" w:eastAsia="Palatino Linotype" w:hAnsi="Palatino Linotype" w:cs="Palatino Linotype"/>
          <w:b/>
          <w:color w:val="000000"/>
        </w:rPr>
        <w:t>SUJETO OBLIGADO</w:t>
      </w:r>
      <w:r w:rsidRPr="004D4F60">
        <w:rPr>
          <w:rFonts w:ascii="Palatino Linotype" w:eastAsia="Palatino Linotype" w:hAnsi="Palatino Linotype" w:cs="Palatino Linotype"/>
          <w:color w:val="000000"/>
        </w:rPr>
        <w:t xml:space="preserve"> se encuentra constreñido a documentar todo acto de autoridad que éste realice derivado de sus funciones, atribuciones y competencias. </w:t>
      </w:r>
    </w:p>
    <w:p w:rsidR="00D7704E" w:rsidRPr="004D4F60" w:rsidRDefault="00D7704E" w:rsidP="00D7704E">
      <w:pPr>
        <w:spacing w:line="360" w:lineRule="auto"/>
        <w:ind w:right="-787"/>
        <w:jc w:val="both"/>
        <w:rPr>
          <w:rFonts w:ascii="Palatino Linotype" w:eastAsia="Palatino Linotype" w:hAnsi="Palatino Linotype" w:cs="Palatino Linotype"/>
          <w:color w:val="000000"/>
        </w:rPr>
      </w:pPr>
    </w:p>
    <w:p w:rsidR="00D7704E" w:rsidRPr="004D4F60" w:rsidRDefault="00D7704E" w:rsidP="00D7704E">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En ese tenor, si bien es cierto que las páginas de internet no son un medio oficial, también lo es que se trata de indicios que demuestran las tareas o labores que llegan a realizar en este caso los servidores públicos en ejercicio de sus facultades, competencias y/o funciones. </w:t>
      </w:r>
    </w:p>
    <w:p w:rsidR="00D7704E" w:rsidRPr="004D4F60" w:rsidRDefault="00D7704E" w:rsidP="00D7704E">
      <w:pPr>
        <w:spacing w:line="360" w:lineRule="auto"/>
        <w:ind w:right="-787"/>
        <w:jc w:val="both"/>
        <w:rPr>
          <w:rFonts w:ascii="Palatino Linotype" w:eastAsia="Palatino Linotype" w:hAnsi="Palatino Linotype" w:cs="Palatino Linotype"/>
          <w:color w:val="000000"/>
        </w:rPr>
      </w:pPr>
    </w:p>
    <w:p w:rsidR="00D7704E" w:rsidRPr="004D4F60" w:rsidRDefault="00D7704E" w:rsidP="00D7704E">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En tal virtud, al obrar indicios de la información en páginas de internet, demuestran que cuenta con la información en alguna de sus áreas administrativas, este tipo de información es susceptible de considerarse como un hecho notorio el cual puede ser valorado, por formar parte del conocimiento público, lo cual se robustece con la siguiente tesis aislada emitida por los Tribunales Colegiados de Circuito y publicada en el Semanario Judicial de la Federación: </w:t>
      </w:r>
    </w:p>
    <w:p w:rsidR="00D7704E" w:rsidRPr="004D4F60" w:rsidRDefault="00D7704E" w:rsidP="00D7704E">
      <w:pPr>
        <w:pStyle w:val="Prrafodelista"/>
        <w:rPr>
          <w:color w:val="000000"/>
          <w:sz w:val="24"/>
        </w:rPr>
      </w:pPr>
    </w:p>
    <w:p w:rsidR="00D7704E" w:rsidRPr="004D4F60" w:rsidRDefault="00D7704E" w:rsidP="00D7704E">
      <w:pPr>
        <w:pBdr>
          <w:top w:val="nil"/>
          <w:left w:val="nil"/>
          <w:bottom w:val="nil"/>
          <w:right w:val="nil"/>
          <w:between w:val="nil"/>
        </w:pBdr>
        <w:spacing w:line="360" w:lineRule="auto"/>
        <w:ind w:right="-592"/>
        <w:jc w:val="both"/>
        <w:rPr>
          <w:color w:val="000000"/>
        </w:rPr>
      </w:pPr>
    </w:p>
    <w:p w:rsidR="00D7704E" w:rsidRPr="004D4F60" w:rsidRDefault="00D7704E" w:rsidP="00D7704E">
      <w:pPr>
        <w:ind w:left="567"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lastRenderedPageBreak/>
        <w:t xml:space="preserve">“PÁGINAS WEB O ELECTRÓNICAS. SU CONTENIDO ES UN HECHO NOTORIO Y SUSCEPTIBLE DE SER VALORADO EN UNA DECISIÓN JUDICIAL. </w:t>
      </w:r>
      <w:r w:rsidRPr="004D4F60">
        <w:rPr>
          <w:rFonts w:ascii="Palatino Linotype" w:eastAsia="Palatino Linotype" w:hAnsi="Palatino Linotype" w:cs="Palatino Linotype"/>
          <w:i/>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1 2004949. I.3o.C.35 K (10a.). Tribunales Colegiados de Circuito. Décima Época. Semanario Judicial de la Federación y su Gaceta. Libro XXVI, Noviembre de 2013, Pág. 1373. Recurso de Revisión: 03023/INFOEM/IP/RR/2021 Sujeto Obligado: Ayuntamiento de Coacalco de Berriozábal Comisionado por returno: Luis Gustavo Parra Noriega Página 21 de 28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rsidR="00D7704E" w:rsidRPr="004D4F60" w:rsidRDefault="00D7704E" w:rsidP="00D7704E">
      <w:pPr>
        <w:ind w:left="567" w:right="-716"/>
        <w:jc w:val="both"/>
        <w:rPr>
          <w:rFonts w:ascii="Palatino Linotype" w:eastAsia="Palatino Linotype" w:hAnsi="Palatino Linotype" w:cs="Palatino Linotype"/>
          <w:i/>
        </w:rPr>
      </w:pPr>
    </w:p>
    <w:p w:rsidR="00D7704E" w:rsidRPr="004D4F60" w:rsidRDefault="00D7704E" w:rsidP="00D7704E">
      <w:pPr>
        <w:ind w:left="567"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 TERCER TRIBUNAL COLEGIADO EN MATERIA CIVIL DEL PRIMER CIRCUITO. </w:t>
      </w:r>
    </w:p>
    <w:p w:rsidR="00D7704E" w:rsidRPr="004D4F60" w:rsidRDefault="00D7704E" w:rsidP="00D7704E">
      <w:pPr>
        <w:ind w:left="567"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Amparo en revisión 365/2012. Mardygras, S.A. de C.V. 7 de diciembre de 2012. Unanimidad de votos. Ponente: Neófito López Ramos. Secretaria: Ana Lilia Osorno Arroyo.” </w:t>
      </w:r>
    </w:p>
    <w:p w:rsidR="00D7704E" w:rsidRPr="004D4F60" w:rsidRDefault="00D7704E" w:rsidP="00D7704E">
      <w:pPr>
        <w:ind w:left="567"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(Énfasis añadido) </w:t>
      </w:r>
    </w:p>
    <w:p w:rsidR="00D7704E" w:rsidRPr="004D4F60" w:rsidRDefault="00D7704E" w:rsidP="00D7704E">
      <w:pPr>
        <w:spacing w:line="360" w:lineRule="auto"/>
        <w:ind w:right="-592"/>
        <w:jc w:val="both"/>
        <w:rPr>
          <w:rFonts w:ascii="Palatino Linotype" w:eastAsia="Palatino Linotype" w:hAnsi="Palatino Linotype" w:cs="Palatino Linotype"/>
          <w:i/>
        </w:rPr>
      </w:pPr>
    </w:p>
    <w:p w:rsidR="008C14D1" w:rsidRPr="004D4F60" w:rsidRDefault="00D7704E" w:rsidP="008C14D1">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 xml:space="preserve">Es </w:t>
      </w:r>
      <w:r w:rsidRPr="004D4F60">
        <w:rPr>
          <w:rFonts w:ascii="Palatino Linotype" w:eastAsia="Palatino Linotype" w:hAnsi="Palatino Linotype" w:cs="Palatino Linotype"/>
          <w:color w:val="000000"/>
        </w:rPr>
        <w:t>así</w:t>
      </w:r>
      <w:r w:rsidRPr="004D4F60">
        <w:rPr>
          <w:rFonts w:ascii="Palatino Linotype" w:eastAsia="Palatino Linotype" w:hAnsi="Palatino Linotype" w:cs="Palatino Linotype"/>
        </w:rPr>
        <w:t xml:space="preserve"> que, aún y cuando la información proviene de una publicación en página y red social oficiales del Sujeto Obligado, muestra elementos que permiten presumir la existencia del hecho.</w:t>
      </w:r>
    </w:p>
    <w:p w:rsidR="0026182F" w:rsidRPr="004D4F60" w:rsidRDefault="0026182F" w:rsidP="0026182F">
      <w:pPr>
        <w:spacing w:line="360" w:lineRule="auto"/>
        <w:ind w:right="-787"/>
        <w:jc w:val="both"/>
        <w:rPr>
          <w:rFonts w:ascii="Palatino Linotype" w:eastAsia="Palatino Linotype" w:hAnsi="Palatino Linotype" w:cs="Palatino Linotype"/>
        </w:rPr>
      </w:pPr>
    </w:p>
    <w:p w:rsidR="009063A7" w:rsidRPr="004D4F60" w:rsidRDefault="009063A7" w:rsidP="009063A7">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Calibri" w:hAnsi="Palatino Linotype" w:cs="Arial"/>
        </w:rPr>
        <w:t xml:space="preserve">En este </w:t>
      </w:r>
      <w:r w:rsidRPr="004D4F60">
        <w:rPr>
          <w:rFonts w:ascii="Palatino Linotype" w:eastAsia="Palatino Linotype" w:hAnsi="Palatino Linotype" w:cs="Palatino Linotype"/>
        </w:rPr>
        <w:t>contexto</w:t>
      </w:r>
      <w:r w:rsidRPr="004D4F60">
        <w:rPr>
          <w:rFonts w:ascii="Palatino Linotype" w:eastAsia="Calibri" w:hAnsi="Palatino Linotype" w:cs="Arial"/>
        </w:rPr>
        <w:t xml:space="preserve">, </w:t>
      </w:r>
      <w:r w:rsidRPr="004D4F60">
        <w:rPr>
          <w:rFonts w:ascii="Palatino Linotype" w:eastAsia="Palatino Linotype" w:hAnsi="Palatino Linotype" w:cs="Palatino Linotype"/>
          <w:color w:val="000000"/>
        </w:rPr>
        <w:t xml:space="preserve">los artículos 1, fracción III, y 4 de la Ley de la de Contratación Pública del Estado de México y Municipios, especifica que los Ayuntamientos y sus organismos serán </w:t>
      </w:r>
      <w:r w:rsidRPr="004D4F60">
        <w:rPr>
          <w:rFonts w:ascii="Palatino Linotype" w:eastAsia="Palatino Linotype" w:hAnsi="Palatino Linotype" w:cs="Palatino Linotype"/>
          <w:color w:val="000000"/>
        </w:rPr>
        <w:lastRenderedPageBreak/>
        <w:t xml:space="preserve">los encargados de realizar los actos relativos a la planeación, programación, presupuestación, ejecución y control de la adquisición (bienes muebles e inmuebles), arrendamiento (bienes muebles e inmuebles), y la </w:t>
      </w:r>
      <w:r w:rsidRPr="004D4F60">
        <w:rPr>
          <w:rFonts w:ascii="Palatino Linotype" w:eastAsia="Palatino Linotype" w:hAnsi="Palatino Linotype" w:cs="Palatino Linotype"/>
          <w:b/>
          <w:color w:val="000000"/>
        </w:rPr>
        <w:t>contratación de servicios de cualquier naturaleza</w:t>
      </w:r>
      <w:r w:rsidRPr="004D4F60">
        <w:rPr>
          <w:rFonts w:ascii="Palatino Linotype" w:eastAsia="Palatino Linotype" w:hAnsi="Palatino Linotype" w:cs="Palatino Linotype"/>
          <w:color w:val="000000"/>
        </w:rPr>
        <w:t xml:space="preserve">. </w:t>
      </w:r>
    </w:p>
    <w:p w:rsidR="009063A7" w:rsidRPr="004D4F60" w:rsidRDefault="009063A7" w:rsidP="009063A7">
      <w:pPr>
        <w:ind w:left="567" w:right="-85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4.- </w:t>
      </w:r>
      <w:r w:rsidRPr="004D4F60">
        <w:rPr>
          <w:rFonts w:ascii="Palatino Linotype" w:eastAsia="Palatino Linotype" w:hAnsi="Palatino Linotype" w:cs="Palatino Linotype"/>
          <w:i/>
        </w:rPr>
        <w:t>Para los efectos de esta Ley, en las adquisiciones, enajenaciones, arrendamientos y servicios, quedan comprendidos:</w:t>
      </w:r>
    </w:p>
    <w:p w:rsidR="009063A7" w:rsidRPr="004D4F60" w:rsidRDefault="009063A7" w:rsidP="009063A7">
      <w:pPr>
        <w:ind w:left="567" w:right="-856"/>
        <w:jc w:val="both"/>
        <w:rPr>
          <w:rFonts w:ascii="Palatino Linotype" w:eastAsia="Palatino Linotype" w:hAnsi="Palatino Linotype" w:cs="Palatino Linotype"/>
          <w:i/>
        </w:rPr>
      </w:pPr>
    </w:p>
    <w:p w:rsidR="009063A7" w:rsidRPr="004D4F60" w:rsidRDefault="009063A7" w:rsidP="009063A7">
      <w:pPr>
        <w:ind w:left="567" w:right="-85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V. </w:t>
      </w:r>
      <w:r w:rsidRPr="004D4F60">
        <w:rPr>
          <w:rFonts w:ascii="Palatino Linotype" w:eastAsia="Palatino Linotype" w:hAnsi="Palatino Linotype" w:cs="Palatino Linotype"/>
          <w:i/>
        </w:rPr>
        <w:t xml:space="preserve">La contratación de los servicios, relacionados con bienes muebles que se encuentran incorporados o adheridos a bienes inmuebles, cuya instalación o mantenimiento no implique modificación al bien inmueble. </w:t>
      </w:r>
    </w:p>
    <w:p w:rsidR="009063A7" w:rsidRPr="004D4F60" w:rsidRDefault="009063A7" w:rsidP="009063A7">
      <w:pPr>
        <w:ind w:left="567" w:right="-856"/>
        <w:jc w:val="both"/>
        <w:rPr>
          <w:rFonts w:ascii="Palatino Linotype" w:eastAsia="Palatino Linotype" w:hAnsi="Palatino Linotype" w:cs="Palatino Linotype"/>
          <w:i/>
        </w:rPr>
      </w:pPr>
    </w:p>
    <w:p w:rsidR="009063A7" w:rsidRPr="004D4F60" w:rsidRDefault="009063A7" w:rsidP="009063A7">
      <w:pPr>
        <w:ind w:left="567" w:right="-85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 La contratación de los servicios de reconstrucción y mantenimiento de bienes muebles. </w:t>
      </w:r>
    </w:p>
    <w:p w:rsidR="009063A7" w:rsidRPr="004D4F60" w:rsidRDefault="009063A7" w:rsidP="009063A7">
      <w:pPr>
        <w:ind w:left="567" w:right="-856"/>
        <w:jc w:val="both"/>
        <w:rPr>
          <w:rFonts w:ascii="Palatino Linotype" w:eastAsia="Palatino Linotype" w:hAnsi="Palatino Linotype" w:cs="Palatino Linotype"/>
          <w:i/>
        </w:rPr>
      </w:pPr>
    </w:p>
    <w:p w:rsidR="009063A7" w:rsidRPr="004D4F60" w:rsidRDefault="009063A7" w:rsidP="009063A7">
      <w:pPr>
        <w:ind w:left="567" w:right="-856"/>
        <w:jc w:val="both"/>
        <w:rPr>
          <w:rFonts w:ascii="Palatino Linotype" w:eastAsia="Palatino Linotype" w:hAnsi="Palatino Linotype" w:cs="Palatino Linotype"/>
          <w:i/>
        </w:rPr>
      </w:pPr>
      <w:r w:rsidRPr="004D4F60">
        <w:rPr>
          <w:rFonts w:ascii="Palatino Linotype" w:eastAsia="Palatino Linotype" w:hAnsi="Palatino Linotype" w:cs="Palatino Linotype"/>
          <w:i/>
        </w:rPr>
        <w:t>VII. La contratación de los servicios de maquila, seguros y transportación, así como de los de limpieza y vigilancia de bienes inmuebles.</w:t>
      </w:r>
    </w:p>
    <w:p w:rsidR="009063A7" w:rsidRPr="004D4F60" w:rsidRDefault="009063A7" w:rsidP="009063A7">
      <w:pPr>
        <w:ind w:left="567" w:right="-856"/>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p>
    <w:p w:rsidR="009063A7" w:rsidRPr="004D4F60" w:rsidRDefault="009063A7" w:rsidP="009063A7">
      <w:pPr>
        <w:ind w:left="567" w:right="-856"/>
        <w:jc w:val="both"/>
        <w:rPr>
          <w:rFonts w:ascii="Palatino Linotype" w:eastAsia="Palatino Linotype" w:hAnsi="Palatino Linotype" w:cs="Palatino Linotype"/>
          <w:i/>
        </w:rPr>
      </w:pPr>
    </w:p>
    <w:p w:rsidR="009063A7" w:rsidRPr="004D4F60" w:rsidRDefault="009063A7" w:rsidP="009063A7">
      <w:pPr>
        <w:ind w:left="567" w:right="-856"/>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t>En general, otros actos que impliquen la contratación de servicios de cualquier naturaleza.</w:t>
      </w:r>
    </w:p>
    <w:p w:rsidR="009063A7" w:rsidRPr="004D4F60" w:rsidRDefault="009063A7" w:rsidP="009063A7">
      <w:pPr>
        <w:ind w:left="567" w:right="-856"/>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b/>
          <w:i/>
        </w:rPr>
        <w:t>…</w:t>
      </w:r>
    </w:p>
    <w:p w:rsidR="009063A7" w:rsidRPr="004D4F60" w:rsidRDefault="009063A7" w:rsidP="009063A7">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rsidR="009063A7" w:rsidRPr="004D4F60" w:rsidRDefault="009063A7" w:rsidP="009063A7">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En ese contexto las adquisiciones, arrendamientos y servicios, se adjudicarán a través de procedimientos de licitación pública, invitación restringida y adjudicación directa.</w:t>
      </w:r>
    </w:p>
    <w:p w:rsidR="009063A7" w:rsidRPr="004D4F60" w:rsidRDefault="009063A7" w:rsidP="009063A7">
      <w:pPr>
        <w:spacing w:line="360" w:lineRule="auto"/>
        <w:ind w:right="-787"/>
        <w:jc w:val="both"/>
        <w:rPr>
          <w:rFonts w:ascii="Palatino Linotype" w:eastAsia="Palatino Linotype" w:hAnsi="Palatino Linotype" w:cs="Palatino Linotype"/>
          <w:color w:val="000000"/>
        </w:rPr>
      </w:pPr>
    </w:p>
    <w:p w:rsidR="009063A7" w:rsidRPr="004D4F60" w:rsidRDefault="009063A7" w:rsidP="009063A7">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En </w:t>
      </w:r>
      <w:r w:rsidRPr="004D4F60">
        <w:rPr>
          <w:rFonts w:ascii="Palatino Linotype" w:eastAsia="Palatino Linotype" w:hAnsi="Palatino Linotype" w:cs="Palatino Linotype"/>
          <w:color w:val="000000"/>
        </w:rPr>
        <w:t>este</w:t>
      </w:r>
      <w:r w:rsidRPr="004D4F60">
        <w:rPr>
          <w:rFonts w:ascii="Palatino Linotype" w:eastAsia="Palatino Linotype" w:hAnsi="Palatino Linotype" w:cs="Palatino Linotype"/>
        </w:rPr>
        <w:t xml:space="preserve"> orden de ideas, la Ley de Contratación Pública del Estado de México prevé que las adquisiciones, arrendamientos y servicios se adjudicarán mediante licitación pública, esto previa emisión de una convocatoria pública; invitación restringida o adjudicación directa , asimismo la legislación en análisis regula lo siguiente sobre el tópico en estudio: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35.- </w:t>
      </w:r>
      <w:r w:rsidRPr="004D4F60">
        <w:rPr>
          <w:rFonts w:ascii="Palatino Linotype" w:eastAsia="Palatino Linotype" w:hAnsi="Palatino Linotype" w:cs="Palatino Linotype"/>
          <w:i/>
        </w:rPr>
        <w:t xml:space="preserve">En los </w:t>
      </w:r>
      <w:r w:rsidRPr="004D4F60">
        <w:rPr>
          <w:rFonts w:ascii="Palatino Linotype" w:eastAsia="Palatino Linotype" w:hAnsi="Palatino Linotype" w:cs="Palatino Linotype"/>
          <w:b/>
          <w:i/>
        </w:rPr>
        <w:t>procedimientos de licitación pública</w:t>
      </w:r>
      <w:r w:rsidRPr="004D4F60">
        <w:rPr>
          <w:rFonts w:ascii="Palatino Linotype" w:eastAsia="Palatino Linotype" w:hAnsi="Palatino Linotype" w:cs="Palatino Linotype"/>
          <w:i/>
        </w:rPr>
        <w:t xml:space="preserve"> se observará lo siguiente: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I. </w:t>
      </w:r>
      <w:r w:rsidRPr="004D4F60">
        <w:rPr>
          <w:rFonts w:ascii="Palatino Linotype" w:eastAsia="Palatino Linotype" w:hAnsi="Palatino Linotype" w:cs="Palatino Linotype"/>
          <w:i/>
        </w:rPr>
        <w:t xml:space="preserve">El acto de presentación y apertura de propuestas se llevará a cabo por el servidor público que designe la convocante, conforme al procedimiento que se establezca en el reglamento de esta Ley. </w:t>
      </w:r>
    </w:p>
    <w:p w:rsidR="009063A7" w:rsidRPr="004D4F60" w:rsidRDefault="009063A7" w:rsidP="009063A7">
      <w:pPr>
        <w:ind w:left="567" w:right="-858"/>
        <w:jc w:val="both"/>
        <w:rPr>
          <w:rFonts w:ascii="Palatino Linotype" w:eastAsia="Palatino Linotype" w:hAnsi="Palatino Linotype" w:cs="Palatino Linotype"/>
          <w:b/>
          <w:i/>
          <w:u w:val="single"/>
        </w:rPr>
      </w:pPr>
      <w:r w:rsidRPr="004D4F60">
        <w:rPr>
          <w:rFonts w:ascii="Palatino Linotype" w:eastAsia="Palatino Linotype" w:hAnsi="Palatino Linotype" w:cs="Palatino Linotype"/>
          <w:b/>
          <w:i/>
        </w:rPr>
        <w:lastRenderedPageBreak/>
        <w:t xml:space="preserve">II. </w:t>
      </w:r>
      <w:r w:rsidRPr="004D4F60">
        <w:rPr>
          <w:rFonts w:ascii="Palatino Linotype" w:eastAsia="Palatino Linotype" w:hAnsi="Palatino Linotype" w:cs="Palatino Linotype"/>
          <w:i/>
        </w:rPr>
        <w:t>El comité de adquisiciones y servicios evaluará y analizará las propuestas técnicas y económicas presentadas por los licitantes en el ámbito de las respectivas competencias de sus integrantes, y emitirá el dictamen de adjudicación.</w:t>
      </w:r>
      <w:r w:rsidRPr="004D4F60">
        <w:rPr>
          <w:rFonts w:ascii="Palatino Linotype" w:eastAsia="Palatino Linotype" w:hAnsi="Palatino Linotype" w:cs="Palatino Linotype"/>
          <w:b/>
          <w:i/>
          <w:u w:val="single"/>
        </w:rPr>
        <w:t xml:space="preserve">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III. </w:t>
      </w:r>
      <w:r w:rsidRPr="004D4F60">
        <w:rPr>
          <w:rFonts w:ascii="Palatino Linotype" w:eastAsia="Palatino Linotype" w:hAnsi="Palatino Linotype" w:cs="Palatino Linotype"/>
          <w:i/>
        </w:rPr>
        <w:t xml:space="preserve">Las bases de licitación se pondrán a la venta a partir de la fecha de publicación de la convocatoria y hasta el día hábil anterior a la fecha de celebración de la junta de aclaraciones o, en su defecto, del acto de presentación y apertura de propuestas.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IV. </w:t>
      </w:r>
      <w:r w:rsidRPr="004D4F60">
        <w:rPr>
          <w:rFonts w:ascii="Palatino Linotype" w:eastAsia="Palatino Linotype" w:hAnsi="Palatino Linotype" w:cs="Palatino Linotype"/>
          <w:i/>
        </w:rPr>
        <w:t>Las convocantes podrán modificar los plazos y términos establecidos en la convocatoria o en las bases de licitación, hasta cinco días hábiles anteriores a la fecha de la celebración del acto de presentación y apertura de propuestas.</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V. </w:t>
      </w:r>
      <w:r w:rsidRPr="004D4F60">
        <w:rPr>
          <w:rFonts w:ascii="Palatino Linotype" w:eastAsia="Palatino Linotype" w:hAnsi="Palatino Linotype" w:cs="Palatino Linotype"/>
          <w:i/>
        </w:rPr>
        <w:t xml:space="preserve">Las modificaciones no podrán limitar el número de licitantes, sustituir o variar sustancialmente los bienes o servicios convocados originalmente, ni adicionar otros distintos.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VI. </w:t>
      </w:r>
      <w:r w:rsidRPr="004D4F60">
        <w:rPr>
          <w:rFonts w:ascii="Palatino Linotype" w:eastAsia="Palatino Linotype" w:hAnsi="Palatino Linotype" w:cs="Palatino Linotype"/>
          <w:i/>
        </w:rPr>
        <w:t xml:space="preserve">Las modificaciones a la convocatoria o a las bases se harán del conocimiento de los interesados hasta tres días hábiles antes de la fecha señalada para el acto de presentación y apertura de propuestas.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VII. </w:t>
      </w:r>
      <w:r w:rsidRPr="004D4F60">
        <w:rPr>
          <w:rFonts w:ascii="Palatino Linotype" w:eastAsia="Palatino Linotype" w:hAnsi="Palatino Linotype" w:cs="Palatino Linotype"/>
          <w:i/>
        </w:rPr>
        <w:t xml:space="preserve">Se emitirá el fallo dentro de los 15 días hábiles siguientes a la publicación de la convocatoria.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VIII. </w:t>
      </w:r>
      <w:r w:rsidRPr="004D4F60">
        <w:rPr>
          <w:rFonts w:ascii="Palatino Linotype" w:eastAsia="Palatino Linotype" w:hAnsi="Palatino Linotype" w:cs="Palatino Linotype"/>
          <w:i/>
        </w:rPr>
        <w:t>Los licitantes se podrán registrar hasta el día y la hora fijados para el acto de presentación y apertura de propuestas.</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DE LA INVITACIÓN RESTRINGIDA</w:t>
      </w:r>
    </w:p>
    <w:p w:rsidR="009063A7" w:rsidRPr="004D4F60" w:rsidRDefault="009063A7" w:rsidP="009063A7">
      <w:pPr>
        <w:ind w:left="567" w:right="-858"/>
        <w:jc w:val="center"/>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Artículo 44</w:t>
      </w:r>
      <w:r w:rsidRPr="004D4F60">
        <w:rPr>
          <w:rFonts w:ascii="Palatino Linotype" w:eastAsia="Palatino Linotype" w:hAnsi="Palatino Linotype" w:cs="Palatino Linotype"/>
          <w:i/>
        </w:rPr>
        <w:t xml:space="preserve">.- La Oficialía Mayor, las entidades, los tribunales administrativos y los ayuntamientos podrán adquirir y contratar servicios mediante invitación restringida, cuando: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 Se hubiere declarado desierto un procedimiento de licitación, o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El importe de la operación no exceda de los montos establecidos por el Presupuesto de Egresos del Gobierno del Estado de México del ejercicio correspondiente.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La Oficialía Mayor,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En la invitación deberá especificarse si en el proceso de asignación aplicará la modalidad de subasta inversa.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lastRenderedPageBreak/>
        <w:t>Artículo 45</w:t>
      </w:r>
      <w:r w:rsidRPr="004D4F60">
        <w:rPr>
          <w:rFonts w:ascii="Palatino Linotype" w:eastAsia="Palatino Linotype" w:hAnsi="Palatino Linotype" w:cs="Palatino Linotype"/>
          <w:i/>
        </w:rPr>
        <w:t xml:space="preserve">.- El procedimiento establecido en el artículo anterior, comprende la invitación de tres personas cuando menos, que serán seleccionadas de entre las que se inscriban en el catálogo de proveedores cuando exista el número de proveedores referidos.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Artículo 46</w:t>
      </w:r>
      <w:r w:rsidRPr="004D4F60">
        <w:rPr>
          <w:rFonts w:ascii="Palatino Linotype" w:eastAsia="Palatino Linotype" w:hAnsi="Palatino Linotype" w:cs="Palatino Linotype"/>
          <w:i/>
        </w:rPr>
        <w:t>.- El procedimiento de invitación restringida se desarrollará en los términos de la licitación pública, a excepción de la publicación de la convocatoria.</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DE LA ADJUDICACIÓN DIRECTA</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Artículo 48.-</w:t>
      </w:r>
      <w:r w:rsidRPr="004D4F60">
        <w:rPr>
          <w:rFonts w:ascii="Palatino Linotype" w:eastAsia="Palatino Linotype" w:hAnsi="Palatino Linotype" w:cs="Palatino Linotype"/>
          <w:i/>
        </w:rPr>
        <w:t xml:space="preserve"> La Oficialía Mayor, las entidades, los tribunales administrativos y los ayuntamientos podrán adquirir bienes, arrendar bienes muebles e inmuebles y contratar servicios, mediante adjudicación directa, cuando: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 La adquisición o el servicio sólo puedan realizarse con una determinada persona, por tratarse de obras de arte, titularidad de patentes, registros, marcas específicas, derechos de autor u otros derechos exclusivos.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 Existan circunstancias que puedan provocar pérdidas o costos adicionales importantes al erario.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 Pueda comprometerse información de naturaleza confidencial para el Estado o municipios, por razones de seguridad pública.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VII. Existan circunstancias extraordinarias o imprevisibles derivadas de riesgo o desastre. En este supuesto, la adquisición, arrendamiento y servicio deberá limitarse a lo estrictamente necesario para enfrentar tal eventualidad.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VIII. Se hubiere rescindido un contrato, por causas imputables al proveedor o que la persona que habiendo resultado ganadora en una licitación, no concurra a la suscripción del contrato dentro del plazo establecido en esta Ley. En estos supuestos, la Oficialía Mayor, la entidad, el tribunal </w:t>
      </w:r>
      <w:r w:rsidRPr="004D4F60">
        <w:rPr>
          <w:rFonts w:ascii="Palatino Linotype" w:eastAsia="Palatino Linotype" w:hAnsi="Palatino Linotype" w:cs="Palatino Linotype"/>
          <w:i/>
        </w:rPr>
        <w:lastRenderedPageBreak/>
        <w:t xml:space="preserve">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IX. Se hubiere declarado desierto un procedimiento de invitación restringida.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X. Cuando se aseguren condiciones financieras que permitan al Estado o a los municipios cumplir con la obligación de pago de manera diferida, sin que ello implique un costo financiero adicional o que habiéndolo, sea inferior al del mercado, o</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rsidR="009063A7" w:rsidRPr="004D4F60" w:rsidRDefault="009063A7" w:rsidP="009063A7">
      <w:pPr>
        <w:spacing w:line="360" w:lineRule="auto"/>
        <w:ind w:right="-787"/>
        <w:jc w:val="both"/>
        <w:rPr>
          <w:rFonts w:ascii="Palatino Linotype" w:eastAsia="Palatino Linotype" w:hAnsi="Palatino Linotype" w:cs="Palatino Linotype"/>
        </w:rPr>
      </w:pPr>
    </w:p>
    <w:p w:rsidR="009063A7" w:rsidRPr="004D4F60" w:rsidRDefault="009063A7" w:rsidP="009063A7">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color w:val="000000"/>
        </w:rPr>
        <w:t>Posteriormente</w:t>
      </w:r>
      <w:r w:rsidRPr="004D4F60">
        <w:rPr>
          <w:rFonts w:ascii="Palatino Linotype" w:eastAsia="Palatino Linotype" w:hAnsi="Palatino Linotype" w:cs="Palatino Linotype"/>
        </w:rPr>
        <w:t xml:space="preserve"> los entes públicos deberán ceñirse al procedimiento dispuesto por el Reglamento de la legislación en referencia, el cual se cita a continuación para mejor proveer del estudio: </w:t>
      </w:r>
    </w:p>
    <w:p w:rsidR="009063A7" w:rsidRPr="004D4F60" w:rsidRDefault="009063A7" w:rsidP="009063A7">
      <w:pPr>
        <w:ind w:left="567" w:right="-858"/>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“TÍTULO SEXTO</w:t>
      </w:r>
    </w:p>
    <w:p w:rsidR="009063A7" w:rsidRPr="004D4F60" w:rsidRDefault="009063A7" w:rsidP="009063A7">
      <w:pPr>
        <w:ind w:left="567" w:right="-858"/>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DE LOS PROCEDIMIENTOS DE ADQUISICIÓN</w:t>
      </w:r>
    </w:p>
    <w:p w:rsidR="009063A7" w:rsidRPr="004D4F60" w:rsidRDefault="009063A7" w:rsidP="009063A7">
      <w:pPr>
        <w:ind w:left="567" w:right="-858"/>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CAPÍTULO PRIMERO</w:t>
      </w:r>
    </w:p>
    <w:p w:rsidR="009063A7" w:rsidRPr="004D4F60" w:rsidRDefault="009063A7" w:rsidP="009063A7">
      <w:pPr>
        <w:ind w:left="567" w:right="-858"/>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DE LA LICITACIÓN PÚBLICA</w:t>
      </w:r>
    </w:p>
    <w:p w:rsidR="009063A7" w:rsidRPr="004D4F60" w:rsidRDefault="009063A7" w:rsidP="009063A7">
      <w:pPr>
        <w:ind w:left="567" w:right="-858"/>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SECCIÓN PRIMERA</w:t>
      </w: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GENERALIDADES</w:t>
      </w:r>
    </w:p>
    <w:p w:rsidR="009063A7" w:rsidRPr="004D4F60" w:rsidRDefault="009063A7" w:rsidP="009063A7">
      <w:pPr>
        <w:ind w:left="567" w:right="-858"/>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b/>
          <w:i/>
          <w:u w:val="single"/>
        </w:rPr>
      </w:pPr>
      <w:r w:rsidRPr="004D4F60">
        <w:rPr>
          <w:rFonts w:ascii="Palatino Linotype" w:eastAsia="Palatino Linotype" w:hAnsi="Palatino Linotype" w:cs="Palatino Linotype"/>
          <w:b/>
          <w:i/>
        </w:rPr>
        <w:t xml:space="preserve">Artículo 61.- </w:t>
      </w:r>
      <w:r w:rsidRPr="004D4F60">
        <w:rPr>
          <w:rFonts w:ascii="Palatino Linotype" w:eastAsia="Palatino Linotype" w:hAnsi="Palatino Linotype" w:cs="Palatino Linotype"/>
          <w:i/>
        </w:rPr>
        <w:t xml:space="preserve">La Secretaría, organismos auxiliares, tribunales administrativos y </w:t>
      </w:r>
      <w:r w:rsidRPr="004D4F60">
        <w:rPr>
          <w:rFonts w:ascii="Palatino Linotype" w:eastAsia="Palatino Linotype" w:hAnsi="Palatino Linotype" w:cs="Palatino Linotype"/>
          <w:b/>
          <w:i/>
          <w:u w:val="single"/>
        </w:rPr>
        <w:t xml:space="preserve">municipios podrán realizar licitaciones públicas, para la adquisición, arrendamiento de bienes y la contratación de servicios de cualquier naturaleza, conforme a las previsiones y disposiciones presupuestarias respectivas. </w:t>
      </w:r>
    </w:p>
    <w:p w:rsidR="009063A7" w:rsidRPr="004D4F60" w:rsidRDefault="009063A7" w:rsidP="009063A7">
      <w:pPr>
        <w:ind w:left="567" w:right="-858"/>
        <w:jc w:val="both"/>
        <w:rPr>
          <w:rFonts w:ascii="Palatino Linotype" w:eastAsia="Palatino Linotype" w:hAnsi="Palatino Linotype" w:cs="Palatino Linotype"/>
          <w:b/>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lastRenderedPageBreak/>
        <w:t xml:space="preserve">Artículo 62.- </w:t>
      </w:r>
      <w:r w:rsidRPr="004D4F60">
        <w:rPr>
          <w:rFonts w:ascii="Palatino Linotype" w:eastAsia="Palatino Linotype" w:hAnsi="Palatino Linotype" w:cs="Palatino Linotype"/>
          <w:b/>
          <w:i/>
          <w:u w:val="single"/>
        </w:rPr>
        <w:t>Las personas que participen en los procedimientos licitatorios que convoquen la Secretaría, organismos auxiliares, tribunales administrativos y municipios, tendrán igual acceso a la información relacionada con éstos; cumplirán los mismos requisitos y participarán bajo las mismas condiciones</w:t>
      </w:r>
      <w:r w:rsidRPr="004D4F60">
        <w:rPr>
          <w:rFonts w:ascii="Palatino Linotype" w:eastAsia="Palatino Linotype" w:hAnsi="Palatino Linotype" w:cs="Palatino Linotype"/>
          <w:i/>
        </w:rPr>
        <w:t xml:space="preserve">.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67.- </w:t>
      </w:r>
      <w:r w:rsidRPr="004D4F60">
        <w:rPr>
          <w:rFonts w:ascii="Palatino Linotype" w:eastAsia="Palatino Linotype" w:hAnsi="Palatino Linotype" w:cs="Palatino Linotype"/>
          <w:i/>
        </w:rPr>
        <w:t xml:space="preserve">El procedimiento de licitación pública comprende las siguientes fases: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 Publicación de la convocatoria;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Venta de las bases de licitación;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III. Visita, en su caso, al sitio donde se vayan a suministrar los bienes o a prestar los servicios;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IV. Junta de aclaraciones, en su caso;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 Acto de presentación y apertura de propuestas;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 Análisis y evaluación de propuestas;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VII. Dictamen de adjudicación;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VIII. Fallo;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IX. Suscripción del contrato; y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X. Suministro de los bienes o inicio de la prestación del servicio.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68.- </w:t>
      </w:r>
      <w:r w:rsidRPr="004D4F60">
        <w:rPr>
          <w:rFonts w:ascii="Palatino Linotype" w:eastAsia="Palatino Linotype" w:hAnsi="Palatino Linotype" w:cs="Palatino Linotype"/>
          <w:i/>
        </w:rPr>
        <w:t xml:space="preserve">En el procedimiento de licitación pública se observará lo siguiente: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 La convocante con base en las necesidades de las unidades administrativas solicitantes de la adquisición de bienes o la contratación de servicios, y atendiendo a las características de los mismos, programará las fechas en que tendrá verificativo la junta de aclaraciones, en su caso, y el acto de presentación y apertura de propuestas, y fallo, dentro del plazo de quince días hábiles siguientes a la publicación de la convocatoria;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La venta de bases iniciará a partir del día de publicación de la convocatoria y concluirá el día hábil anterior al día de celebración de la junta de aclaraciones.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Cuando no se celebre junta de aclaraciones, la venta de bases concluirá el día hábil anterior a la celebración del acto de presentación y apertura de propuestas.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En todo caso, el plazo de venta de bases no será menor a tres días hábiles contados a partir del día de la publicación de la convocatoria;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III. La convocante podrá modificar la convocatoria o las bases dentro de los cinco días hábiles anteriores a la fecha de la celebración del acto de presentación y apertura de propuestas. En caso de que no se celebre junta de aclaraciones y se hagan modificaciones a la convocatoria o a las bases, se ajustará el plazo programado para la celebración del acto de presentación y apertura de propuestas;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lastRenderedPageBreak/>
        <w:t xml:space="preserve">IV. Tales modificaciones se harán del conocimiento de los interesados tres días hábiles anteriores a la fecha señalada para la celebración del acto de presentación y apertura de propuestas, lo cual podrá ser a través del sistema COMPRAMEX; y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 La junta de aclaraciones deberá realizarse tres días hábiles antes de la celebración del acto de presentación y apertura de propuestas. Las modificaciones que se deriven de la junta de aclaraciones formarán parte integral de las bases y se entregará copia simple del acta correspondiente a las personas que acrediten haberlas adquirido.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69.- </w:t>
      </w:r>
      <w:r w:rsidRPr="004D4F60">
        <w:rPr>
          <w:rFonts w:ascii="Palatino Linotype" w:eastAsia="Palatino Linotype" w:hAnsi="Palatino Linotype" w:cs="Palatino Linotype"/>
          <w:i/>
        </w:rPr>
        <w:t>En los procedimientos de licitación pública cuyo monto rebase el equivalente a dos millones de salario mínimo general vigente en la Capital del Estado y en aquellos casos en los que el área solicitante así lo determine por su complejidad o impacto que tenga en sus programas sustantivos, será obligatoria la participación de testigos sociales, en términos del Título Décimo del Libro Primero del Código Administrativo del Estado de México.</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CAPÍTULO SEGUNDO</w:t>
      </w: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DE LAS EXCEPCIONES A LA LICITACION PÚBLICA</w:t>
      </w: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SECCIÓN PRIMERA</w:t>
      </w: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DE LA INVITACIÓN RESTRINGIDA</w:t>
      </w:r>
    </w:p>
    <w:p w:rsidR="009063A7" w:rsidRPr="004D4F60" w:rsidRDefault="009063A7" w:rsidP="009063A7">
      <w:pPr>
        <w:ind w:left="567" w:right="-858"/>
        <w:jc w:val="center"/>
        <w:rPr>
          <w:rFonts w:ascii="Palatino Linotype" w:eastAsia="Palatino Linotype" w:hAnsi="Palatino Linotype" w:cs="Palatino Linotype"/>
          <w:b/>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Artículo 90</w:t>
      </w:r>
      <w:r w:rsidRPr="004D4F60">
        <w:rPr>
          <w:rFonts w:ascii="Palatino Linotype" w:eastAsia="Palatino Linotype" w:hAnsi="Palatino Linotype" w:cs="Palatino Linotype"/>
          <w:i/>
        </w:rPr>
        <w:t xml:space="preserve">.- En el procedimiento de invitación restringida se deberá observar lo siguiente: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 Se invitará a un mínimo de tres personas seleccionadas de entre las que se encuentren inscritas en el catálogo de proveedores y de prestadores de servicios.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Se podrá invitar a personas que no se encuentren inscritas, cuando en el giro correspondiente del catálogo de proveedores y prestadores de servicios no exista el registro mínimo de personas requeridas para tal modalidad;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Las bases de la invitación restringida indicarán los aspectos de la adquisición o contratación; y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III. Serán aplicables, en lo conducente, las disposiciones de la licitación pública.</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SECCIÓN SEGUNDA</w:t>
      </w:r>
    </w:p>
    <w:p w:rsidR="009063A7" w:rsidRPr="004D4F60" w:rsidRDefault="009063A7" w:rsidP="009063A7">
      <w:pPr>
        <w:ind w:left="567" w:right="-858"/>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DE LA ADJUDICACIÓN DIRECTA</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lastRenderedPageBreak/>
        <w:t>Artículo 91</w:t>
      </w:r>
      <w:r w:rsidRPr="004D4F60">
        <w:rPr>
          <w:rFonts w:ascii="Palatino Linotype" w:eastAsia="Palatino Linotype" w:hAnsi="Palatino Linotype" w:cs="Palatino Linotype"/>
          <w:i/>
        </w:rPr>
        <w:t xml:space="preserve">.- La Secretaría, organismos auxiliares, tribunales administrativos y </w:t>
      </w:r>
      <w:r w:rsidRPr="004D4F60">
        <w:rPr>
          <w:rFonts w:ascii="Palatino Linotype" w:eastAsia="Palatino Linotype" w:hAnsi="Palatino Linotype" w:cs="Palatino Linotype"/>
          <w:b/>
          <w:i/>
        </w:rPr>
        <w:t>municipios</w:t>
      </w:r>
      <w:r w:rsidRPr="004D4F60">
        <w:rPr>
          <w:rFonts w:ascii="Palatino Linotype" w:eastAsia="Palatino Linotype" w:hAnsi="Palatino Linotype" w:cs="Palatino Linotype"/>
          <w:i/>
        </w:rPr>
        <w:t xml:space="preserve"> </w:t>
      </w:r>
      <w:r w:rsidRPr="004D4F60">
        <w:rPr>
          <w:rFonts w:ascii="Palatino Linotype" w:eastAsia="Palatino Linotype" w:hAnsi="Palatino Linotype" w:cs="Palatino Linotype"/>
          <w:b/>
          <w:i/>
        </w:rPr>
        <w:t>podrán</w:t>
      </w:r>
      <w:r w:rsidRPr="004D4F60">
        <w:rPr>
          <w:rFonts w:ascii="Palatino Linotype" w:eastAsia="Palatino Linotype" w:hAnsi="Palatino Linotype" w:cs="Palatino Linotype"/>
          <w:i/>
        </w:rPr>
        <w:t xml:space="preserve"> adquirir, arrendar o enajenar bienes, y contra</w:t>
      </w:r>
      <w:r w:rsidRPr="004D4F60">
        <w:rPr>
          <w:rFonts w:ascii="Palatino Linotype" w:eastAsia="Palatino Linotype" w:hAnsi="Palatino Linotype" w:cs="Palatino Linotype"/>
          <w:b/>
          <w:i/>
        </w:rPr>
        <w:t>tar servicios, mediante el procedimiento de adjudicación directa</w:t>
      </w:r>
      <w:r w:rsidRPr="004D4F60">
        <w:rPr>
          <w:rFonts w:ascii="Palatino Linotype" w:eastAsia="Palatino Linotype" w:hAnsi="Palatino Linotype" w:cs="Palatino Linotype"/>
          <w:i/>
        </w:rPr>
        <w:t xml:space="preserve"> en los términos establecidos por la Ley.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Artículo 92</w:t>
      </w:r>
      <w:r w:rsidRPr="004D4F60">
        <w:rPr>
          <w:rFonts w:ascii="Palatino Linotype" w:eastAsia="Palatino Linotype" w:hAnsi="Palatino Linotype" w:cs="Palatino Linotype"/>
          <w:i/>
        </w:rPr>
        <w:t xml:space="preserve">.- </w:t>
      </w:r>
      <w:r w:rsidRPr="004D4F60">
        <w:rPr>
          <w:rFonts w:ascii="Palatino Linotype" w:eastAsia="Palatino Linotype" w:hAnsi="Palatino Linotype" w:cs="Palatino Linotype"/>
          <w:b/>
          <w:i/>
        </w:rPr>
        <w:t>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w:t>
      </w:r>
      <w:r w:rsidRPr="004D4F60">
        <w:rPr>
          <w:rFonts w:ascii="Palatino Linotype" w:eastAsia="Palatino Linotype" w:hAnsi="Palatino Linotype" w:cs="Palatino Linotype"/>
          <w:i/>
        </w:rPr>
        <w:t xml:space="preserve">, sin que sea necesario observar las disposiciones de los demás artículos de esta Sección.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En el caso de los municipios, las cotizaciones deberán obtenerse a través de sus áreas de administración.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b/>
          <w:i/>
        </w:rPr>
        <w:t>Artículo 93</w:t>
      </w:r>
      <w:r w:rsidRPr="004D4F60">
        <w:rPr>
          <w:rFonts w:ascii="Palatino Linotype" w:eastAsia="Palatino Linotype" w:hAnsi="Palatino Linotype" w:cs="Palatino Linotype"/>
          <w:i/>
        </w:rPr>
        <w:t xml:space="preserve">.- La Secretaría, organismos auxiliares, tribunales administrativos y municipios, solicitarán al comité el dictamen de procedencia del procedimiento de adjudicación directa, acreditando previamente: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 La descripción general de los bienes a adquirir o el servicio a contratar;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La justificación o conveniencia de llevar a cabo la adjudicación directa; y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III. Certificación de suficiencia presupuestaria.</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El oficio justificatorio a que se refiere la fracción II, deberá formularse por el titular de la unidad administrativa interesada en la adquisición de los bienes, la contratación de servicios o el arrendamiento.</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b/>
          <w:i/>
        </w:rPr>
      </w:pPr>
      <w:r w:rsidRPr="004D4F60">
        <w:rPr>
          <w:rFonts w:ascii="Palatino Linotype" w:eastAsia="Palatino Linotype" w:hAnsi="Palatino Linotype" w:cs="Palatino Linotype"/>
          <w:b/>
          <w:i/>
        </w:rPr>
        <w:t xml:space="preserve">Artículo 94.- En el procedimiento de adjudicación directa se observará lo siguiente: </w:t>
      </w:r>
    </w:p>
    <w:p w:rsidR="009063A7" w:rsidRPr="004D4F60" w:rsidRDefault="009063A7" w:rsidP="009063A7">
      <w:pPr>
        <w:ind w:left="567" w:right="-858"/>
        <w:jc w:val="both"/>
        <w:rPr>
          <w:rFonts w:ascii="Palatino Linotype" w:eastAsia="Palatino Linotype" w:hAnsi="Palatino Linotype" w:cs="Palatino Linotype"/>
          <w:i/>
        </w:rPr>
      </w:pP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lastRenderedPageBreak/>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 III. La solicitud de participación contendrá, como mínimo, la descripción y cantidad de los bienes o servicios requeridos, lugar, plazo de entrega o duración del servicio y forma de pago;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IV. La solicitud de participación deberá señalar el día, hora y lugar en que tendrá verificativo el acto de presentación y apertura de ofertas;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 Atendiendo a la naturaleza de los bienes o servicios, la convocante podrá optar entre celebrar o no junta de aclaraciones, en términos de lo dispuesto por este Reglamento;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 El servidor público designado por la convocante será el responsable de llevar a cabo el acto de presentación y apertura de propuestas;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VII. Se observarán, en lo conducente, las disposiciones relativas a la contraoferta; y </w:t>
      </w:r>
    </w:p>
    <w:p w:rsidR="009063A7" w:rsidRPr="004D4F60" w:rsidRDefault="009063A7" w:rsidP="009063A7">
      <w:pPr>
        <w:ind w:left="567" w:right="-858"/>
        <w:jc w:val="both"/>
        <w:rPr>
          <w:rFonts w:ascii="Palatino Linotype" w:eastAsia="Palatino Linotype" w:hAnsi="Palatino Linotype" w:cs="Palatino Linotype"/>
          <w:i/>
        </w:rPr>
      </w:pPr>
      <w:r w:rsidRPr="004D4F60">
        <w:rPr>
          <w:rFonts w:ascii="Palatino Linotype" w:eastAsia="Palatino Linotype" w:hAnsi="Palatino Linotype" w:cs="Palatino Linotype"/>
          <w:i/>
        </w:rPr>
        <w:t>VIII. El comité será responsable de emitir el dictamen de adjudicación que servirá de base para el fallo de adjudicación; correspondiendo a la convocante emitir dicho fallo, quien lo hará del conocimiento de los licitantes. Los actos referidos en los incisos anteriores deberán documentarse en el acta correspondiente y publicarse en el sistema COMPRAMEX. Artículo 95.- En los procedimientos de adjudicación directa, previa dictaminación del Comité respectivo, la convocante podrá adjudicar el contrato al oferente que reúna el mayor número de requisitos solicitados.</w:t>
      </w:r>
    </w:p>
    <w:p w:rsidR="009063A7" w:rsidRPr="004D4F60" w:rsidRDefault="009063A7" w:rsidP="009063A7">
      <w:pPr>
        <w:pBdr>
          <w:top w:val="nil"/>
          <w:left w:val="nil"/>
          <w:bottom w:val="nil"/>
          <w:right w:val="nil"/>
          <w:between w:val="nil"/>
        </w:pBdr>
        <w:spacing w:line="360" w:lineRule="auto"/>
        <w:ind w:left="644"/>
        <w:rPr>
          <w:rFonts w:ascii="Palatino Linotype" w:eastAsia="Palatino Linotype" w:hAnsi="Palatino Linotype" w:cs="Palatino Linotype"/>
          <w:color w:val="000000"/>
        </w:rPr>
      </w:pPr>
    </w:p>
    <w:p w:rsidR="009063A7" w:rsidRPr="004D4F60" w:rsidRDefault="009063A7" w:rsidP="009063A7">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Conforme al artículo 65, de la Ley de Contratación Pública del Estado de México y Municipios, </w:t>
      </w:r>
      <w:r w:rsidRPr="004D4F60">
        <w:rPr>
          <w:rFonts w:ascii="Palatino Linotype" w:eastAsia="Palatino Linotype" w:hAnsi="Palatino Linotype" w:cs="Palatino Linotype"/>
          <w:b/>
          <w:color w:val="000000"/>
        </w:rPr>
        <w:t>la adjudicación de un procedimiento de adquisición y arrendamiento de bienes y contratación de servicios se realizará mediante la suscripción de un contrato</w:t>
      </w:r>
      <w:r w:rsidRPr="004D4F60">
        <w:rPr>
          <w:rFonts w:ascii="Palatino Linotype" w:eastAsia="Palatino Linotype" w:hAnsi="Palatino Linotype" w:cs="Palatino Linotype"/>
          <w:color w:val="000000"/>
        </w:rPr>
        <w:t>, entre el Sujeto Obligado y la persona a la cual haya ganado el procedimiento respectivo, dentro de los diez días hábiles siguientes a la notificación del fallo.</w:t>
      </w:r>
    </w:p>
    <w:p w:rsidR="009063A7" w:rsidRPr="004D4F60" w:rsidRDefault="009063A7" w:rsidP="009063A7">
      <w:pPr>
        <w:spacing w:line="360" w:lineRule="auto"/>
        <w:ind w:right="-787"/>
        <w:jc w:val="both"/>
        <w:rPr>
          <w:rFonts w:ascii="Palatino Linotype" w:eastAsia="Palatino Linotype" w:hAnsi="Palatino Linotype" w:cs="Palatino Linotype"/>
          <w:color w:val="000000"/>
        </w:rPr>
      </w:pPr>
    </w:p>
    <w:p w:rsidR="009063A7" w:rsidRPr="004D4F60" w:rsidRDefault="009063A7" w:rsidP="009063A7">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color w:val="000000"/>
        </w:rPr>
        <w:t>Ahora</w:t>
      </w:r>
      <w:r w:rsidRPr="004D4F60">
        <w:rPr>
          <w:rFonts w:ascii="Palatino Linotype" w:eastAsia="Palatino Linotype" w:hAnsi="Palatino Linotype" w:cs="Palatino Linotype"/>
        </w:rPr>
        <w:t xml:space="preserve"> bien, </w:t>
      </w:r>
      <w:r w:rsidRPr="004D4F60">
        <w:rPr>
          <w:rFonts w:ascii="Palatino Linotype" w:eastAsia="Palatino Linotype" w:hAnsi="Palatino Linotype" w:cs="Palatino Linotype"/>
          <w:color w:val="000000"/>
        </w:rPr>
        <w:t>por</w:t>
      </w:r>
      <w:r w:rsidRPr="004D4F60">
        <w:rPr>
          <w:rFonts w:ascii="Palatino Linotype" w:eastAsia="Palatino Linotype" w:hAnsi="Palatino Linotype" w:cs="Palatino Linotype"/>
        </w:rPr>
        <w:t xml:space="preserve"> cuanto hace a los contratos que emanan de los procedimientos que regula la Ley de Contratación Pública del Estado de México y Municipios, el Reglamento de </w:t>
      </w:r>
      <w:r w:rsidRPr="004D4F60">
        <w:rPr>
          <w:rFonts w:ascii="Palatino Linotype" w:eastAsia="Palatino Linotype" w:hAnsi="Palatino Linotype" w:cs="Palatino Linotype"/>
        </w:rPr>
        <w:lastRenderedPageBreak/>
        <w:t xml:space="preserve">esta, establece que los instrumentos jurídicos vinculantes deberán reunir los siguientes elementos: </w:t>
      </w:r>
    </w:p>
    <w:p w:rsidR="009063A7" w:rsidRPr="004D4F60" w:rsidRDefault="009063A7" w:rsidP="009063A7">
      <w:pPr>
        <w:ind w:left="566" w:right="-716"/>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“TÍTULO NOVENO</w:t>
      </w:r>
    </w:p>
    <w:p w:rsidR="009063A7" w:rsidRPr="004D4F60" w:rsidRDefault="009063A7" w:rsidP="009063A7">
      <w:pPr>
        <w:ind w:left="566" w:right="-716"/>
        <w:jc w:val="center"/>
        <w:rPr>
          <w:rFonts w:ascii="Palatino Linotype" w:eastAsia="Palatino Linotype" w:hAnsi="Palatino Linotype" w:cs="Palatino Linotype"/>
          <w:i/>
        </w:rPr>
      </w:pPr>
      <w:r w:rsidRPr="004D4F60">
        <w:rPr>
          <w:rFonts w:ascii="Palatino Linotype" w:eastAsia="Palatino Linotype" w:hAnsi="Palatino Linotype" w:cs="Palatino Linotype"/>
          <w:b/>
          <w:i/>
        </w:rPr>
        <w:t>DE LOS CONTRATOS</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Artículo 120.- Los contratos relacionados con las materias reguladas por la Ley referirán, como mínimo, lo siguiente:</w:t>
      </w:r>
      <w:r w:rsidRPr="004D4F60">
        <w:rPr>
          <w:rFonts w:ascii="Palatino Linotype" w:eastAsia="Palatino Linotype" w:hAnsi="Palatino Linotype" w:cs="Palatino Linotype"/>
          <w:i/>
        </w:rPr>
        <w:t xml:space="preserve">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 Objeto;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 Fecha de suministro de los bienes o período de prestación del servicio;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III. Datos del procedimiento que dio origen al contrato;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IV. Importe total;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 Porcentajes, número y fechas de las exhibiciones y amortización de los anticipos que se otorguen;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 Formalidades para el otorgamiento y cobro de garantías;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VIII. Términos en que el proveedor o prestador del servicio, en su caso, reintegrará las cantidades que, en cualquier forma, hubiere recibido en exceso por la contratación;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IX. Causales por las que la Secretaría, organismos auxiliares, tribunales administrativos o municipios podrán dar por rescindido el contrato y sus efectos;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X. Las consecuencias de la cancelación o terminación anticipada por causas imputables al proveedor o prestador del servicio;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XI. Señalamiento del domicilio de las partes, ubicado en el territorio del Estado, o bien, domicilio para oír y recibir notificaciones; y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XII. Renuncia expresa al fuero que les pudiera corresponder en función de su domicilio o vecindad presente o futuro.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121.- </w:t>
      </w:r>
      <w:r w:rsidRPr="004D4F60">
        <w:rPr>
          <w:rFonts w:ascii="Palatino Linotype" w:eastAsia="Palatino Linotype" w:hAnsi="Palatino Linotype" w:cs="Palatino Linotype"/>
          <w:i/>
        </w:rPr>
        <w:t xml:space="preserve">Cuando el contrato sea adjudicado a varios participantes, deberá ser firmado por todos, especificando las obligaciones que a cada uno correspondan.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122.- </w:t>
      </w:r>
      <w:r w:rsidRPr="004D4F60">
        <w:rPr>
          <w:rFonts w:ascii="Palatino Linotype" w:eastAsia="Palatino Linotype" w:hAnsi="Palatino Linotype" w:cs="Palatino Linotype"/>
          <w:i/>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lastRenderedPageBreak/>
        <w:t xml:space="preserve">Artículo 123.- </w:t>
      </w:r>
      <w:r w:rsidRPr="004D4F60">
        <w:rPr>
          <w:rFonts w:ascii="Palatino Linotype" w:eastAsia="Palatino Linotype" w:hAnsi="Palatino Linotype" w:cs="Palatino Linotype"/>
          <w:i/>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No se generará el pago de gastos o recargos por parte de la contratante, si durante el plazo para emitir la resolución de la transmisión de los derechos de cobro, se origina un retraso en el pago pactado.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124.- </w:t>
      </w:r>
      <w:r w:rsidRPr="004D4F60">
        <w:rPr>
          <w:rFonts w:ascii="Palatino Linotype" w:eastAsia="Palatino Linotype" w:hAnsi="Palatino Linotype" w:cs="Palatino Linotype"/>
          <w:i/>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125.- </w:t>
      </w:r>
      <w:r w:rsidRPr="004D4F60">
        <w:rPr>
          <w:rFonts w:ascii="Palatino Linotype" w:eastAsia="Palatino Linotype" w:hAnsi="Palatino Linotype" w:cs="Palatino Linotype"/>
          <w:i/>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Igual porcentaje se aplicará a las modificaciones o prórrogas que se hagan respecto a la vigencia de los contratos de prestación de servicios.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126.- </w:t>
      </w:r>
      <w:r w:rsidRPr="004D4F60">
        <w:rPr>
          <w:rFonts w:ascii="Palatino Linotype" w:eastAsia="Palatino Linotype" w:hAnsi="Palatino Linotype" w:cs="Palatino Linotype"/>
          <w:i/>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Artículo 127.- </w:t>
      </w:r>
      <w:r w:rsidRPr="004D4F60">
        <w:rPr>
          <w:rFonts w:ascii="Palatino Linotype" w:eastAsia="Palatino Linotype" w:hAnsi="Palatino Linotype" w:cs="Palatino Linotype"/>
          <w:i/>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Al escrito por medio del cual se informe el cumplimiento o incumplimiento del proveedor o prestador del servicio, se adjuntarán copia de las facturas que acrediten el suministro de los bienes o prestación de los servicios relativos. </w:t>
      </w:r>
    </w:p>
    <w:p w:rsidR="009063A7" w:rsidRPr="004D4F60" w:rsidRDefault="009063A7" w:rsidP="009063A7">
      <w:pPr>
        <w:ind w:left="566" w:right="-716"/>
        <w:jc w:val="both"/>
        <w:rPr>
          <w:rFonts w:ascii="Palatino Linotype" w:eastAsia="Palatino Linotype" w:hAnsi="Palatino Linotype" w:cs="Palatino Linotype"/>
          <w:i/>
        </w:rPr>
      </w:pPr>
      <w:r w:rsidRPr="004D4F60">
        <w:rPr>
          <w:rFonts w:ascii="Palatino Linotype" w:eastAsia="Palatino Linotype" w:hAnsi="Palatino Linotype" w:cs="Palatino Linotype"/>
          <w:i/>
        </w:rPr>
        <w:t>Lo anterior, podrá ser informado a través del sistema COMPRAMEX.”</w:t>
      </w:r>
    </w:p>
    <w:p w:rsidR="009063A7" w:rsidRPr="004D4F60" w:rsidRDefault="009063A7" w:rsidP="009063A7">
      <w:pPr>
        <w:spacing w:line="360" w:lineRule="auto"/>
        <w:ind w:right="-787"/>
        <w:jc w:val="both"/>
        <w:rPr>
          <w:rFonts w:ascii="Palatino Linotype" w:eastAsia="Palatino Linotype" w:hAnsi="Palatino Linotype" w:cs="Palatino Linotype"/>
        </w:rPr>
      </w:pPr>
    </w:p>
    <w:p w:rsidR="009063A7" w:rsidRPr="004D4F60" w:rsidRDefault="009063A7" w:rsidP="009063A7">
      <w:pPr>
        <w:numPr>
          <w:ilvl w:val="0"/>
          <w:numId w:val="1"/>
        </w:numPr>
        <w:spacing w:line="360" w:lineRule="auto"/>
        <w:ind w:left="0" w:right="-879" w:firstLine="0"/>
        <w:jc w:val="both"/>
        <w:rPr>
          <w:rFonts w:ascii="Palatino Linotype" w:eastAsia="Calibri" w:hAnsi="Palatino Linotype" w:cs="Arial"/>
          <w:i/>
        </w:rPr>
      </w:pPr>
      <w:r w:rsidRPr="004D4F60">
        <w:rPr>
          <w:rFonts w:ascii="Palatino Linotype" w:eastAsia="Palatino Linotype" w:hAnsi="Palatino Linotype" w:cs="Palatino Linotype"/>
          <w:color w:val="000000"/>
        </w:rPr>
        <w:lastRenderedPageBreak/>
        <w:t>Dentro</w:t>
      </w:r>
      <w:r w:rsidRPr="004D4F60">
        <w:rPr>
          <w:rFonts w:ascii="Palatino Linotype" w:eastAsia="Palatino Linotype" w:hAnsi="Palatino Linotype" w:cs="Palatino Linotype"/>
        </w:rPr>
        <w:t xml:space="preserve"> del procedimiento de la licitación pública una de las últimas fases es la suscripción del contrato. </w:t>
      </w:r>
      <w:r w:rsidRPr="004D4F60">
        <w:rPr>
          <w:rFonts w:ascii="Palatino Linotype" w:eastAsia="Palatino Linotype" w:hAnsi="Palatino Linotype" w:cs="Palatino Linotype"/>
          <w:color w:val="000000"/>
        </w:rPr>
        <w:t xml:space="preserve">Luego entonces </w:t>
      </w:r>
      <w:r w:rsidRPr="004D4F60">
        <w:rPr>
          <w:rFonts w:ascii="Palatino Linotype" w:eastAsia="Palatino Linotype" w:hAnsi="Palatino Linotype" w:cs="Palatino Linotype"/>
          <w:b/>
          <w:color w:val="000000"/>
        </w:rPr>
        <w:t>la adjudicación de un procedimiento de adquisición de bienes y servicios se realizará mediante la suscripción de un contrato</w:t>
      </w:r>
      <w:r w:rsidRPr="004D4F60">
        <w:rPr>
          <w:rFonts w:ascii="Palatino Linotype" w:eastAsia="Palatino Linotype" w:hAnsi="Palatino Linotype" w:cs="Palatino Linotype"/>
          <w:color w:val="000000"/>
        </w:rPr>
        <w:t>.</w:t>
      </w:r>
    </w:p>
    <w:p w:rsidR="004D4F60" w:rsidRPr="004D4F60" w:rsidRDefault="004D4F60" w:rsidP="004D4F60">
      <w:pPr>
        <w:spacing w:line="360" w:lineRule="auto"/>
        <w:ind w:right="-879"/>
        <w:jc w:val="both"/>
        <w:rPr>
          <w:rFonts w:ascii="Palatino Linotype" w:eastAsia="Calibri" w:hAnsi="Palatino Linotype" w:cs="Arial"/>
          <w:i/>
        </w:rPr>
      </w:pPr>
    </w:p>
    <w:p w:rsidR="0026182F" w:rsidRPr="004D4F60" w:rsidRDefault="0026182F" w:rsidP="00C80687">
      <w:pPr>
        <w:numPr>
          <w:ilvl w:val="0"/>
          <w:numId w:val="1"/>
        </w:numPr>
        <w:spacing w:line="360" w:lineRule="auto"/>
        <w:ind w:left="0" w:right="-879" w:firstLine="0"/>
        <w:jc w:val="both"/>
        <w:rPr>
          <w:rFonts w:ascii="Palatino Linotype" w:eastAsia="Calibri" w:hAnsi="Palatino Linotype" w:cs="Arial"/>
          <w:i/>
        </w:rPr>
      </w:pPr>
      <w:r w:rsidRPr="004D4F60">
        <w:rPr>
          <w:rFonts w:ascii="Palatino Linotype" w:eastAsia="Palatino Linotype" w:hAnsi="Palatino Linotype" w:cs="Palatino Linotype"/>
        </w:rPr>
        <w:t xml:space="preserve">Asimismo, es de referir que se tiene como obligación de transparencia común la de poner a disposición la información relativa </w:t>
      </w:r>
      <w:r w:rsidR="00657A52" w:rsidRPr="004D4F60">
        <w:rPr>
          <w:rFonts w:ascii="Palatino Linotype" w:eastAsia="Palatino Linotype" w:hAnsi="Palatino Linotype" w:cs="Palatino Linotype"/>
        </w:rPr>
        <w:t>a</w:t>
      </w:r>
      <w:r w:rsidRPr="004D4F60">
        <w:rPr>
          <w:rFonts w:ascii="Palatino Linotype" w:eastAsia="Palatino Linotype" w:hAnsi="Palatino Linotype" w:cs="Palatino Linotype"/>
        </w:rPr>
        <w:t xml:space="preserve"> los procesos y resultados sobre procedimientos de adjudicación directa, invitación restringida y licitación de cualquier naturaleza, incluyendo la versión pública del expediente respectivo, tal como lo señala el artículo 92, de la Ley de Transparencia y Acceso a la Información Pública del Estado de México y Municipios:</w:t>
      </w:r>
    </w:p>
    <w:p w:rsidR="0026182F" w:rsidRPr="004D4F60" w:rsidRDefault="0026182F" w:rsidP="00657A52">
      <w:pPr>
        <w:ind w:left="567" w:right="-574"/>
        <w:jc w:val="center"/>
        <w:rPr>
          <w:rFonts w:ascii="Palatino Linotype" w:hAnsi="Palatino Linotype" w:cs="Tahoma"/>
          <w:b/>
          <w:i/>
        </w:rPr>
      </w:pPr>
      <w:r w:rsidRPr="004D4F60">
        <w:rPr>
          <w:rFonts w:ascii="Palatino Linotype" w:hAnsi="Palatino Linotype" w:cs="Tahoma"/>
          <w:b/>
          <w:i/>
        </w:rPr>
        <w:t>De las Obligaciones de Transparencia Comunes</w:t>
      </w:r>
    </w:p>
    <w:p w:rsidR="0026182F" w:rsidRPr="004D4F60" w:rsidRDefault="0026182F" w:rsidP="00657A52">
      <w:pPr>
        <w:ind w:left="567" w:right="-574"/>
        <w:jc w:val="both"/>
        <w:rPr>
          <w:rFonts w:ascii="Palatino Linotype" w:hAnsi="Palatino Linotype" w:cs="Tahoma"/>
          <w:i/>
        </w:rPr>
      </w:pP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b/>
          <w:i/>
        </w:rPr>
        <w:t>Artículo 92</w:t>
      </w:r>
      <w:r w:rsidRPr="004D4F60">
        <w:rPr>
          <w:rFonts w:ascii="Palatino Linotype" w:hAnsi="Palatino Linotype" w:cs="Tahoma"/>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b/>
          <w:i/>
        </w:rPr>
        <w:t>XXIX</w:t>
      </w:r>
      <w:r w:rsidRPr="004D4F60">
        <w:rPr>
          <w:rFonts w:ascii="Palatino Linotype" w:hAnsi="Palatino Linotype" w:cs="Tahoma"/>
          <w:i/>
        </w:rPr>
        <w:t xml:space="preserve">. </w:t>
      </w:r>
      <w:r w:rsidRPr="004D4F60">
        <w:rPr>
          <w:rFonts w:ascii="Palatino Linotype" w:hAnsi="Palatino Linotype" w:cs="Tahoma"/>
          <w:b/>
          <w:i/>
        </w:rPr>
        <w:t xml:space="preserve">La información sobre los procesos y resultados sobre procedimientos de adjudicación directa, invitación restringida y licitación de cualquier naturaleza, </w:t>
      </w:r>
      <w:r w:rsidRPr="004D4F60">
        <w:rPr>
          <w:rFonts w:ascii="Palatino Linotype" w:hAnsi="Palatino Linotype" w:cs="Tahoma"/>
          <w:b/>
          <w:i/>
          <w:u w:val="single"/>
        </w:rPr>
        <w:t>incluyendo la versión pública del expediente respectivo y de los contratos celebrados</w:t>
      </w:r>
      <w:r w:rsidRPr="004D4F60">
        <w:rPr>
          <w:rFonts w:ascii="Palatino Linotype" w:hAnsi="Palatino Linotype" w:cs="Tahoma"/>
          <w:i/>
        </w:rPr>
        <w:t xml:space="preserve">, que deberán contener, por los menos, lo siguiente: </w:t>
      </w:r>
    </w:p>
    <w:p w:rsidR="0026182F" w:rsidRPr="004D4F60" w:rsidRDefault="0026182F" w:rsidP="00657A52">
      <w:pPr>
        <w:ind w:left="567" w:right="-574"/>
        <w:jc w:val="both"/>
        <w:rPr>
          <w:rFonts w:ascii="Palatino Linotype" w:hAnsi="Palatino Linotype" w:cs="Tahoma"/>
          <w:i/>
        </w:rPr>
      </w:pPr>
    </w:p>
    <w:p w:rsidR="0026182F" w:rsidRPr="004D4F60" w:rsidRDefault="0026182F" w:rsidP="00657A52">
      <w:pPr>
        <w:ind w:left="567" w:right="-574"/>
        <w:jc w:val="both"/>
        <w:rPr>
          <w:rFonts w:ascii="Palatino Linotype" w:hAnsi="Palatino Linotype" w:cs="Tahoma"/>
          <w:b/>
          <w:i/>
        </w:rPr>
      </w:pPr>
      <w:r w:rsidRPr="004D4F60">
        <w:rPr>
          <w:rFonts w:ascii="Palatino Linotype" w:hAnsi="Palatino Linotype" w:cs="Tahoma"/>
          <w:b/>
          <w:i/>
        </w:rPr>
        <w:t xml:space="preserve">a) De licitaciones públicas o procedimientos de invitación restringida: </w:t>
      </w:r>
    </w:p>
    <w:p w:rsidR="0026182F" w:rsidRPr="004D4F60" w:rsidRDefault="0026182F" w:rsidP="00657A52">
      <w:pPr>
        <w:ind w:left="567" w:right="-574"/>
        <w:jc w:val="both"/>
        <w:rPr>
          <w:rFonts w:ascii="Palatino Linotype" w:hAnsi="Palatino Linotype" w:cs="Tahoma"/>
          <w:i/>
        </w:rPr>
      </w:pP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 La convocatoria o invitación emitida, así como los fundamentos legales aplicados para llevarla a cabo;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2) Los nombres de los participantes o invitados;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3) El nombre del ganador y las razones que lo justifican;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4) El área solicitante y la responsable de su ejecución;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5) Las convocatorias e invitaciones emitidas;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6) Los dictámenes y fallo de adjudicación;</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7) El contrato y, en su caso, sus anexos;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lastRenderedPageBreak/>
        <w:t xml:space="preserve">8) Los mecanismos de vigilancia y supervisión, incluyendo en su caso, los estudios de impacto urbano y ambiental, según corresponda;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9) La partida presupuestal, de conformidad con el clasificador por objeto del gasto, en el caso de ser aplicable;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10) Origen de los recursos especificando si son federales, estatales o municipales, así como el tipo de fondo de participación o aportación respectiva;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11) Los convenios modificatorios que, en su caso, sean firmados, precisando el objeto y la fecha de celebración;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12) Los informes de avance físico y financiero sobre las obras o servicios contratados;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13) El convenio de terminación; y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14) El finiquito. </w:t>
      </w:r>
    </w:p>
    <w:p w:rsidR="0026182F" w:rsidRPr="004D4F60" w:rsidRDefault="0026182F" w:rsidP="00657A52">
      <w:pPr>
        <w:ind w:left="567" w:right="-574"/>
        <w:jc w:val="both"/>
        <w:rPr>
          <w:rFonts w:ascii="Palatino Linotype" w:hAnsi="Palatino Linotype" w:cs="Tahoma"/>
          <w:i/>
        </w:rPr>
      </w:pPr>
    </w:p>
    <w:p w:rsidR="0026182F" w:rsidRPr="004D4F60" w:rsidRDefault="0026182F" w:rsidP="00657A52">
      <w:pPr>
        <w:ind w:left="567" w:right="-574"/>
        <w:jc w:val="both"/>
        <w:rPr>
          <w:rFonts w:ascii="Palatino Linotype" w:hAnsi="Palatino Linotype" w:cs="Tahoma"/>
          <w:b/>
          <w:i/>
        </w:rPr>
      </w:pPr>
      <w:r w:rsidRPr="004D4F60">
        <w:rPr>
          <w:rFonts w:ascii="Palatino Linotype" w:hAnsi="Palatino Linotype" w:cs="Tahoma"/>
          <w:b/>
          <w:i/>
        </w:rPr>
        <w:t xml:space="preserve">b) De las adjudicaciones directas: </w:t>
      </w:r>
    </w:p>
    <w:p w:rsidR="0026182F" w:rsidRPr="004D4F60" w:rsidRDefault="0026182F" w:rsidP="00657A52">
      <w:pPr>
        <w:ind w:left="567" w:right="-574"/>
        <w:jc w:val="both"/>
        <w:rPr>
          <w:rFonts w:ascii="Palatino Linotype" w:hAnsi="Palatino Linotype" w:cs="Tahoma"/>
          <w:i/>
        </w:rPr>
      </w:pP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 La propuesta enviada por el participante;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2) Los motivos y fundamentos legales aplicados para llevarla a cabo;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3) La autorización del ejercicio de la opción;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4) En su caso, las cotizaciones consideradas, especificando los nombres de los proveedores y sus montos;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5) El nombre de la persona física o jurídica colectiva adjudicada;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6) La unidad administrativa solicitante y la responsable de su ejecución;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7) El número, fecha, el monto del contrato y el plazo de entrega o de ejecución de los servicios u obra;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8) Los mecanismos de vigilancia y supervisión, incluyendo, en su caso, los estudios de impacto urbano y ambiental, según corresponda;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9) Los informes de avance sobre las obras o servicios contratados;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 xml:space="preserve">10) El convenio de terminación; y </w:t>
      </w: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11) El finiquito.</w:t>
      </w:r>
    </w:p>
    <w:p w:rsidR="0026182F" w:rsidRPr="004D4F60" w:rsidRDefault="0026182F" w:rsidP="00657A52">
      <w:pPr>
        <w:ind w:left="567" w:right="-574"/>
        <w:jc w:val="both"/>
        <w:rPr>
          <w:rFonts w:ascii="Palatino Linotype" w:hAnsi="Palatino Linotype" w:cs="Tahoma"/>
          <w:i/>
        </w:rPr>
      </w:pPr>
    </w:p>
    <w:p w:rsidR="0026182F" w:rsidRPr="004D4F60" w:rsidRDefault="0026182F" w:rsidP="00657A52">
      <w:pPr>
        <w:ind w:left="567" w:right="-574"/>
        <w:jc w:val="both"/>
        <w:rPr>
          <w:rFonts w:ascii="Palatino Linotype" w:hAnsi="Palatino Linotype" w:cs="Tahoma"/>
          <w:i/>
        </w:rPr>
      </w:pPr>
      <w:r w:rsidRPr="004D4F60">
        <w:rPr>
          <w:rFonts w:ascii="Palatino Linotype" w:hAnsi="Palatino Linotype" w:cs="Tahoma"/>
          <w:i/>
        </w:rPr>
        <w:t>…</w:t>
      </w:r>
    </w:p>
    <w:p w:rsidR="009063A7" w:rsidRPr="004D4F60" w:rsidRDefault="009063A7" w:rsidP="00657A52">
      <w:pPr>
        <w:ind w:left="567" w:right="-574"/>
        <w:jc w:val="both"/>
        <w:rPr>
          <w:rFonts w:ascii="Palatino Linotype" w:hAnsi="Palatino Linotype" w:cs="Tahoma"/>
          <w:i/>
        </w:rPr>
      </w:pPr>
    </w:p>
    <w:p w:rsidR="009063A7" w:rsidRPr="004D4F60" w:rsidRDefault="009063A7" w:rsidP="00657A52">
      <w:pPr>
        <w:ind w:left="567" w:right="-574"/>
        <w:jc w:val="both"/>
        <w:rPr>
          <w:rFonts w:ascii="Palatino Linotype" w:hAnsi="Palatino Linotype" w:cs="Tahoma"/>
          <w:i/>
        </w:rPr>
      </w:pPr>
      <w:r w:rsidRPr="004D4F60">
        <w:rPr>
          <w:rFonts w:ascii="Palatino Linotype" w:hAnsi="Palatino Linotype" w:cs="Tahoma"/>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9063A7" w:rsidRPr="004D4F60" w:rsidRDefault="009063A7" w:rsidP="00657A52">
      <w:pPr>
        <w:ind w:left="567" w:right="-574"/>
        <w:jc w:val="both"/>
        <w:rPr>
          <w:rFonts w:ascii="Palatino Linotype" w:hAnsi="Palatino Linotype" w:cs="Tahoma"/>
          <w:i/>
        </w:rPr>
      </w:pPr>
    </w:p>
    <w:p w:rsidR="009063A7" w:rsidRPr="004D4F60" w:rsidRDefault="009063A7" w:rsidP="00657A52">
      <w:pPr>
        <w:ind w:left="567" w:right="-574"/>
        <w:jc w:val="both"/>
        <w:rPr>
          <w:rFonts w:ascii="Palatino Linotype" w:hAnsi="Palatino Linotype" w:cs="Tahoma"/>
          <w:i/>
        </w:rPr>
      </w:pPr>
    </w:p>
    <w:p w:rsidR="0026182F" w:rsidRPr="004D4F60" w:rsidRDefault="0026182F" w:rsidP="009063A7">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lastRenderedPageBreak/>
        <w:t xml:space="preserve">En este mismo </w:t>
      </w:r>
      <w:r w:rsidRPr="004D4F60">
        <w:rPr>
          <w:rFonts w:ascii="Palatino Linotype" w:eastAsia="Palatino Linotype" w:hAnsi="Palatino Linotype" w:cs="Palatino Linotype"/>
        </w:rPr>
        <w:t>sentido</w:t>
      </w:r>
      <w:r w:rsidRPr="004D4F60">
        <w:rPr>
          <w:rFonts w:ascii="Palatino Linotype" w:eastAsia="Palatino Linotype" w:hAnsi="Palatino Linotype" w:cs="Palatino Linotype"/>
          <w:color w:val="000000"/>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en la fracción </w:t>
      </w:r>
      <w:r w:rsidRPr="004D4F60">
        <w:rPr>
          <w:rFonts w:ascii="Palatino Linotype" w:eastAsia="Palatino Linotype" w:hAnsi="Palatino Linotype" w:cs="Palatino Linotype"/>
          <w:color w:val="000000"/>
          <w:u w:val="single"/>
        </w:rPr>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r w:rsidRPr="004D4F60">
        <w:rPr>
          <w:rFonts w:ascii="Palatino Linotype" w:eastAsia="Palatino Linotype" w:hAnsi="Palatino Linotype" w:cs="Palatino Linotype"/>
          <w:color w:val="000000"/>
        </w:rPr>
        <w:t xml:space="preserve"> establece </w:t>
      </w:r>
      <w:r w:rsidR="00D57B94" w:rsidRPr="004D4F60">
        <w:rPr>
          <w:rFonts w:ascii="Palatino Linotype" w:eastAsia="Palatino Linotype" w:hAnsi="Palatino Linotype" w:cs="Palatino Linotype"/>
          <w:color w:val="000000"/>
        </w:rPr>
        <w:t>diversos</w:t>
      </w:r>
      <w:r w:rsidRPr="004D4F60">
        <w:rPr>
          <w:rFonts w:ascii="Palatino Linotype" w:eastAsia="Palatino Linotype" w:hAnsi="Palatino Linotype" w:cs="Palatino Linotype"/>
          <w:color w:val="000000"/>
        </w:rPr>
        <w:t xml:space="preserve"> criterios sustantivos de contenido</w:t>
      </w:r>
      <w:r w:rsidR="00D57B94" w:rsidRPr="004D4F60">
        <w:rPr>
          <w:rFonts w:ascii="Palatino Linotype" w:eastAsia="Palatino Linotype" w:hAnsi="Palatino Linotype" w:cs="Palatino Linotype"/>
          <w:color w:val="000000"/>
        </w:rPr>
        <w:t>, entre ellos</w:t>
      </w:r>
      <w:r w:rsidRPr="004D4F60">
        <w:rPr>
          <w:rFonts w:ascii="Palatino Linotype" w:eastAsia="Palatino Linotype" w:hAnsi="Palatino Linotype" w:cs="Palatino Linotype"/>
          <w:color w:val="000000"/>
        </w:rPr>
        <w:t xml:space="preserve"> los siguientes:</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Criterios sustantivos de contenido</w:t>
      </w:r>
      <w:r w:rsidRPr="004D4F60">
        <w:rPr>
          <w:rFonts w:ascii="Palatino Linotype" w:hAnsi="Palatino Linotype" w:cs="Tahoma"/>
          <w:i/>
        </w:rPr>
        <w:t xml:space="preserve"> </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 xml:space="preserve">Respecto de cada una de las etapas del procedimiento de contratación </w:t>
      </w:r>
      <w:r w:rsidRPr="004D4F60">
        <w:rPr>
          <w:rFonts w:ascii="Palatino Linotype" w:hAnsi="Palatino Linotype" w:cs="Tahoma"/>
          <w:b/>
          <w:i/>
        </w:rPr>
        <w:t xml:space="preserve">de licitación pública, invitación a cuando menos tres personas y adjudicación directa </w:t>
      </w:r>
      <w:r w:rsidRPr="004D4F60">
        <w:rPr>
          <w:rFonts w:ascii="Palatino Linotype" w:hAnsi="Palatino Linotype" w:cs="Tahoma"/>
          <w:i/>
        </w:rPr>
        <w:t>se publicarán los siguientes datos:</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3</w:t>
      </w:r>
      <w:r w:rsidRPr="004D4F60">
        <w:rPr>
          <w:rFonts w:ascii="Palatino Linotype" w:hAnsi="Palatino Linotype" w:cs="Tahoma"/>
          <w:i/>
        </w:rPr>
        <w:t xml:space="preserve"> Tipo de procedimiento (catálogo): Licitación pública/Invitación a cuando menos tres personas/ Adjudicación directa/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4</w:t>
      </w:r>
      <w:r w:rsidRPr="004D4F60">
        <w:rPr>
          <w:rFonts w:ascii="Palatino Linotype" w:hAnsi="Palatino Linotype" w:cs="Tahoma"/>
          <w:i/>
        </w:rPr>
        <w:t xml:space="preserve"> Materia o tipo de contratación (catálogo): Obra pública/Servicios relacionados con obra pública/Adquisiciones/Arrendamientos/Servicios.</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En cuanto al contrato se publicarán los siguientes datos:</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46</w:t>
      </w:r>
      <w:r w:rsidRPr="004D4F60">
        <w:rPr>
          <w:rFonts w:ascii="Palatino Linotype" w:hAnsi="Palatino Linotype" w:cs="Tahoma"/>
          <w:i/>
        </w:rPr>
        <w:t xml:space="preserve"> Monto del contrato sin impuestos incluidos (expresados en pesos mexicanos).</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lastRenderedPageBreak/>
        <w:t>Criterio 47</w:t>
      </w:r>
      <w:r w:rsidRPr="004D4F60">
        <w:rPr>
          <w:rFonts w:ascii="Palatino Linotype" w:hAnsi="Palatino Linotype" w:cs="Tahoma"/>
          <w:i/>
        </w:rPr>
        <w:t xml:space="preserve"> Monto total del contrato con impuestos incluidos (expresados en pesos mexicanos).</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Si se trata de obra pública y/o servicios relacionados con la misma se deberán incluir los siguientes datos:</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63</w:t>
      </w:r>
      <w:r w:rsidRPr="004D4F60">
        <w:rPr>
          <w:rFonts w:ascii="Palatino Linotype" w:hAnsi="Palatino Linotype" w:cs="Tahoma"/>
          <w:i/>
        </w:rPr>
        <w:t xml:space="preserve"> Lugar donde se realizará la obra pública y/o servicio relacionado con la misma. </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64</w:t>
      </w:r>
      <w:r w:rsidRPr="004D4F60">
        <w:rPr>
          <w:rFonts w:ascii="Palatino Linotype" w:hAnsi="Palatino Linotype" w:cs="Tahoma"/>
          <w:i/>
        </w:rPr>
        <w:t xml:space="preserve"> Breve descripción de la obra pública.</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67</w:t>
      </w:r>
      <w:r w:rsidRPr="004D4F60">
        <w:rPr>
          <w:rFonts w:ascii="Palatino Linotype" w:hAnsi="Palatino Linotype" w:cs="Tahoma"/>
          <w:i/>
        </w:rPr>
        <w:t xml:space="preserve"> Etapa de la obra pública y/o servicio de la misma (catálogo): En planeación/ En progreso/ Finiquito.</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Asimismo, se deberán publicar los siguientes documentos:</w:t>
      </w:r>
    </w:p>
    <w:p w:rsidR="0026182F" w:rsidRPr="004D4F60" w:rsidRDefault="0026182F" w:rsidP="0026182F">
      <w:pPr>
        <w:ind w:left="1134" w:right="-574"/>
        <w:jc w:val="both"/>
        <w:rPr>
          <w:rFonts w:ascii="Palatino Linotype" w:hAnsi="Palatino Linotype" w:cs="Tahoma"/>
          <w:i/>
        </w:rPr>
      </w:pP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74</w:t>
      </w:r>
      <w:r w:rsidRPr="004D4F60">
        <w:rPr>
          <w:rFonts w:ascii="Palatino Linotype" w:hAnsi="Palatino Linotype" w:cs="Tahoma"/>
          <w:i/>
        </w:rPr>
        <w:t xml:space="preserve"> Hipervínculo, en su caso, al (los) informe(s) de avance físicos en versión pública si así corresponde.</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574"/>
        <w:jc w:val="both"/>
        <w:rPr>
          <w:rFonts w:ascii="Palatino Linotype" w:hAnsi="Palatino Linotype" w:cs="Tahoma"/>
          <w:i/>
        </w:rPr>
      </w:pPr>
      <w:r w:rsidRPr="004D4F60">
        <w:rPr>
          <w:rFonts w:ascii="Palatino Linotype" w:hAnsi="Palatino Linotype" w:cs="Tahoma"/>
          <w:b/>
          <w:i/>
        </w:rPr>
        <w:t>Criterio 78</w:t>
      </w:r>
      <w:r w:rsidRPr="004D4F60">
        <w:rPr>
          <w:rFonts w:ascii="Palatino Linotype" w:hAnsi="Palatino Linotype" w:cs="Tahoma"/>
          <w:i/>
        </w:rPr>
        <w:t xml:space="preserve"> Hipervínculo a la factura o documento que cumpla con requisitos fiscales.</w:t>
      </w:r>
    </w:p>
    <w:p w:rsidR="0026182F" w:rsidRPr="004D4F60" w:rsidRDefault="0026182F" w:rsidP="0026182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26182F" w:rsidRPr="004D4F60" w:rsidRDefault="0026182F" w:rsidP="00441001">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Es así que existe la obligación de publicitar la información que involucra recursos públicos, como lo son los expedientes de procedimientos de adquisiciones y servicios; los contratos celebrados derivados de un procedimiento de adquisición y servicios, así como,  el documento que ampara las erogaciones realizadas con erario público, al ser información que resulta relevante y beneficiosa para la sociedad y no simplemente de interés individual, cuya divulgación resulta útil para que el público comprenda las actividades que llevan a cabo los sujetos obligados.</w:t>
      </w:r>
    </w:p>
    <w:p w:rsidR="0026182F" w:rsidRPr="004D4F60" w:rsidRDefault="0026182F" w:rsidP="0026182F">
      <w:pPr>
        <w:spacing w:line="360" w:lineRule="auto"/>
        <w:ind w:right="-787"/>
        <w:jc w:val="both"/>
        <w:rPr>
          <w:rFonts w:ascii="Palatino Linotype" w:eastAsia="Palatino Linotype" w:hAnsi="Palatino Linotype" w:cs="Palatino Linotype"/>
          <w:color w:val="000000"/>
        </w:rPr>
      </w:pPr>
    </w:p>
    <w:p w:rsidR="0026182F" w:rsidRPr="004D4F60" w:rsidRDefault="00441001" w:rsidP="00441001">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lastRenderedPageBreak/>
        <w:t xml:space="preserve">En este mismo sentido, </w:t>
      </w:r>
      <w:r w:rsidR="0026182F" w:rsidRPr="004D4F60">
        <w:rPr>
          <w:rFonts w:ascii="Palatino Linotype" w:eastAsia="Palatino Linotype" w:hAnsi="Palatino Linotype" w:cs="Palatino Linotype"/>
          <w:color w:val="000000"/>
        </w:rPr>
        <w:t xml:space="preserve">se considera viable analizar la naturaleza jurídica de </w:t>
      </w:r>
      <w:r w:rsidR="0026182F" w:rsidRPr="004D4F60">
        <w:rPr>
          <w:rFonts w:ascii="Palatino Linotype" w:eastAsia="Palatino Linotype" w:hAnsi="Palatino Linotype" w:cs="Palatino Linotype"/>
          <w:b/>
        </w:rPr>
        <w:t>los documentos que acrediten la erogación de un gasto</w:t>
      </w:r>
      <w:r w:rsidR="0026182F" w:rsidRPr="004D4F60">
        <w:rPr>
          <w:rFonts w:ascii="Palatino Linotype" w:eastAsia="Palatino Linotype" w:hAnsi="Palatino Linotype" w:cs="Palatino Linotype"/>
        </w:rPr>
        <w:t xml:space="preserve">, resulta necesario traer a </w:t>
      </w:r>
      <w:r w:rsidR="0026182F" w:rsidRPr="004D4F60">
        <w:rPr>
          <w:rFonts w:ascii="Palatino Linotype" w:eastAsia="Palatino Linotype" w:hAnsi="Palatino Linotype" w:cs="Palatino Linotype"/>
          <w:color w:val="000000"/>
        </w:rPr>
        <w:t>contexto</w:t>
      </w:r>
      <w:r w:rsidR="0026182F" w:rsidRPr="004D4F60">
        <w:rPr>
          <w:rFonts w:ascii="Palatino Linotype" w:eastAsia="Palatino Linotype" w:hAnsi="Palatino Linotype" w:cs="Palatino Linotype"/>
        </w:rPr>
        <w:t xml:space="preserve">, la Resolución Miscelánea Fiscal, establece que la </w:t>
      </w:r>
      <w:r w:rsidR="0026182F" w:rsidRPr="004D4F60">
        <w:rPr>
          <w:rFonts w:ascii="Palatino Linotype" w:eastAsia="Palatino Linotype" w:hAnsi="Palatino Linotype" w:cs="Palatino Linotype"/>
          <w:b/>
        </w:rPr>
        <w:t>factura</w:t>
      </w:r>
      <w:r w:rsidR="0026182F" w:rsidRPr="004D4F60">
        <w:rPr>
          <w:rFonts w:ascii="Palatino Linotype" w:eastAsia="Palatino Linotype" w:hAnsi="Palatino Linotype" w:cs="Palatino Linotype"/>
        </w:rPr>
        <w:t xml:space="preserve"> es lo mismo, que un Comprobante Fiscal Digital por Internet, por lo que, se puede considerar como el documento que comprueba la realización de una transacción</w:t>
      </w:r>
      <w:r w:rsidR="0026182F" w:rsidRPr="004D4F60">
        <w:rPr>
          <w:rFonts w:ascii="Palatino Linotype" w:eastAsia="Palatino Linotype" w:hAnsi="Palatino Linotype" w:cs="Palatino Linotype"/>
          <w:b/>
        </w:rPr>
        <w:t xml:space="preserve"> </w:t>
      </w:r>
      <w:r w:rsidR="0026182F" w:rsidRPr="004D4F60">
        <w:rPr>
          <w:rFonts w:ascii="Palatino Linotype" w:eastAsia="Palatino Linotype" w:hAnsi="Palatino Linotype" w:cs="Palatino Linotype"/>
        </w:rPr>
        <w:t>comercial, entre un comprador y un vendedor, mediante el cual, el primero queda obligado a realizar un pago, mientras que el segundo, a entregar o brindar un producto o servicio.</w:t>
      </w:r>
    </w:p>
    <w:p w:rsidR="0026182F" w:rsidRPr="004D4F60" w:rsidRDefault="0026182F" w:rsidP="0026182F">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26182F" w:rsidRPr="004D4F60" w:rsidRDefault="0026182F" w:rsidP="001113E4">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Resulta </w:t>
      </w:r>
      <w:r w:rsidRPr="004D4F60">
        <w:rPr>
          <w:rFonts w:ascii="Palatino Linotype" w:eastAsia="Palatino Linotype" w:hAnsi="Palatino Linotype" w:cs="Palatino Linotype"/>
          <w:color w:val="000000"/>
        </w:rPr>
        <w:t>importante</w:t>
      </w:r>
      <w:r w:rsidRPr="004D4F60">
        <w:rPr>
          <w:rFonts w:ascii="Palatino Linotype" w:eastAsia="Palatino Linotype" w:hAnsi="Palatino Linotype" w:cs="Palatino Linotype"/>
        </w:rPr>
        <w:t xml:space="preserve"> señalar que este término se encuentra definido en el Glosario de Términos Hacendarios que emite el Instituto Hacendario del Estado de México, el cual expresa lo siguiente:</w:t>
      </w:r>
    </w:p>
    <w:p w:rsidR="0026182F" w:rsidRPr="004D4F60" w:rsidRDefault="0026182F" w:rsidP="0026182F">
      <w:pPr>
        <w:ind w:left="851" w:right="851"/>
        <w:jc w:val="both"/>
        <w:rPr>
          <w:rFonts w:ascii="Palatino Linotype" w:eastAsia="Palatino Linotype" w:hAnsi="Palatino Linotype" w:cs="Palatino Linotype"/>
          <w:b/>
          <w:i/>
        </w:rPr>
      </w:pPr>
      <w:r w:rsidRPr="004D4F60">
        <w:rPr>
          <w:rFonts w:ascii="Palatino Linotype" w:eastAsia="Palatino Linotype" w:hAnsi="Palatino Linotype" w:cs="Palatino Linotype"/>
          <w:i/>
        </w:rPr>
        <w:t>“</w:t>
      </w:r>
      <w:r w:rsidRPr="004D4F60">
        <w:rPr>
          <w:rFonts w:ascii="Palatino Linotype" w:eastAsia="Palatino Linotype" w:hAnsi="Palatino Linotype" w:cs="Palatino Linotype"/>
          <w:b/>
          <w:i/>
        </w:rPr>
        <w:t>FACTURA</w:t>
      </w:r>
    </w:p>
    <w:p w:rsidR="0026182F" w:rsidRPr="004D4F60" w:rsidRDefault="0026182F" w:rsidP="0026182F">
      <w:pPr>
        <w:ind w:left="851" w:right="851"/>
        <w:jc w:val="both"/>
        <w:rPr>
          <w:rFonts w:ascii="Palatino Linotype" w:eastAsia="Palatino Linotype" w:hAnsi="Palatino Linotype" w:cs="Palatino Linotype"/>
          <w:i/>
        </w:rPr>
      </w:pPr>
      <w:r w:rsidRPr="004D4F60">
        <w:rPr>
          <w:rFonts w:ascii="Palatino Linotype" w:eastAsia="Palatino Linotype" w:hAnsi="Palatino Linotype" w:cs="Palatino Linotype"/>
          <w:i/>
        </w:rPr>
        <w:t xml:space="preserve">Es el documento fiscal que emite la persona física o moral para </w:t>
      </w:r>
      <w:r w:rsidRPr="004D4F60">
        <w:rPr>
          <w:rFonts w:ascii="Palatino Linotype" w:eastAsia="Palatino Linotype" w:hAnsi="Palatino Linotype" w:cs="Palatino Linotype"/>
          <w:b/>
          <w:i/>
          <w:u w:val="single"/>
        </w:rPr>
        <w:t>comprobar la venta o adquisición de un bien y/o servicio</w:t>
      </w:r>
      <w:r w:rsidRPr="004D4F60">
        <w:rPr>
          <w:rFonts w:ascii="Palatino Linotype" w:eastAsia="Palatino Linotype" w:hAnsi="Palatino Linotype" w:cs="Palatino Linotype"/>
          <w:i/>
        </w:rPr>
        <w:t>.” (Sic)</w:t>
      </w:r>
    </w:p>
    <w:p w:rsidR="0026182F" w:rsidRPr="004D4F60" w:rsidRDefault="0026182F" w:rsidP="0026182F">
      <w:pPr>
        <w:spacing w:line="360" w:lineRule="auto"/>
        <w:ind w:left="851" w:right="851"/>
        <w:jc w:val="both"/>
        <w:rPr>
          <w:rFonts w:ascii="Palatino Linotype" w:eastAsia="Palatino Linotype" w:hAnsi="Palatino Linotype" w:cs="Palatino Linotype"/>
          <w:i/>
        </w:rPr>
      </w:pPr>
    </w:p>
    <w:p w:rsidR="0026182F" w:rsidRPr="004D4F60" w:rsidRDefault="0026182F" w:rsidP="001113E4">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Es de </w:t>
      </w:r>
      <w:r w:rsidRPr="004D4F60">
        <w:rPr>
          <w:rFonts w:ascii="Palatino Linotype" w:eastAsia="Palatino Linotype" w:hAnsi="Palatino Linotype" w:cs="Palatino Linotype"/>
          <w:color w:val="000000"/>
        </w:rPr>
        <w:t>señalarse</w:t>
      </w:r>
      <w:r w:rsidRPr="004D4F60">
        <w:rPr>
          <w:rFonts w:ascii="Palatino Linotype" w:eastAsia="Palatino Linotype" w:hAnsi="Palatino Linotype" w:cs="Palatino Linotype"/>
        </w:rPr>
        <w:t xml:space="preserve"> que </w:t>
      </w:r>
      <w:r w:rsidRPr="004D4F60">
        <w:rPr>
          <w:rFonts w:ascii="Palatino Linotype" w:eastAsia="Palatino Linotype" w:hAnsi="Palatino Linotype" w:cs="Palatino Linotype"/>
          <w:b/>
        </w:rPr>
        <w:t>las facturas o comprobantes que amparan las erogaciones que se realizan con erario público tienen naturaleza pública</w:t>
      </w:r>
      <w:r w:rsidRPr="004D4F60">
        <w:rPr>
          <w:rFonts w:ascii="Palatino Linotype" w:eastAsia="Palatino Linotype" w:hAnsi="Palatino Linotype" w:cs="Palatino Linotype"/>
        </w:rPr>
        <w:t xml:space="preserve"> pues, constituyen los medios idóneos de evidencia del gasto realizado con recursos públicos, de ahí que convenga precisar que la Constitución Política del Estado Libre y Soberano de México en su artículo 129 señala que l</w:t>
      </w:r>
      <w:r w:rsidRPr="004D4F60">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rsidR="0026182F" w:rsidRPr="004D4F60" w:rsidRDefault="0026182F" w:rsidP="0026182F">
      <w:pPr>
        <w:spacing w:line="360" w:lineRule="auto"/>
        <w:ind w:right="-787"/>
        <w:jc w:val="both"/>
        <w:rPr>
          <w:rFonts w:ascii="Palatino Linotype" w:hAnsi="Palatino Linotype" w:cs="Tahoma"/>
        </w:rPr>
      </w:pPr>
    </w:p>
    <w:p w:rsidR="0026182F" w:rsidRPr="004D4F60" w:rsidRDefault="0026182F" w:rsidP="001113E4">
      <w:pPr>
        <w:numPr>
          <w:ilvl w:val="0"/>
          <w:numId w:val="1"/>
        </w:numPr>
        <w:spacing w:line="360" w:lineRule="auto"/>
        <w:ind w:left="0" w:right="-879" w:firstLine="0"/>
        <w:jc w:val="both"/>
        <w:rPr>
          <w:rFonts w:ascii="Palatino Linotype" w:hAnsi="Palatino Linotype" w:cs="Tahoma"/>
        </w:rPr>
      </w:pPr>
      <w:r w:rsidRPr="004D4F60">
        <w:rPr>
          <w:rFonts w:ascii="Palatino Linotype" w:hAnsi="Palatino Linotype" w:cs="Tahoma"/>
        </w:rPr>
        <w:t xml:space="preserve">En ese </w:t>
      </w:r>
      <w:r w:rsidRPr="004D4F60">
        <w:rPr>
          <w:rFonts w:ascii="Palatino Linotype" w:eastAsia="Palatino Linotype" w:hAnsi="Palatino Linotype" w:cs="Palatino Linotype"/>
          <w:color w:val="000000"/>
        </w:rPr>
        <w:t>contexto</w:t>
      </w:r>
      <w:r w:rsidRPr="004D4F60">
        <w:rPr>
          <w:rFonts w:ascii="Palatino Linotype" w:hAnsi="Palatino Linotype" w:cs="Tahoma"/>
        </w:rPr>
        <w:t xml:space="preserve">, es de </w:t>
      </w:r>
      <w:r w:rsidRPr="004D4F60">
        <w:rPr>
          <w:rFonts w:ascii="Palatino Linotype" w:eastAsia="Palatino Linotype" w:hAnsi="Palatino Linotype" w:cs="Palatino Linotype"/>
        </w:rPr>
        <w:t>referir</w:t>
      </w:r>
      <w:r w:rsidRPr="004D4F60">
        <w:rPr>
          <w:rFonts w:ascii="Palatino Linotype" w:hAnsi="Palatino Linotype" w:cs="Tahoma"/>
        </w:rPr>
        <w:t xml:space="preserve"> que de conformidad con  los artículos 342, 343, 344 y 345 del Código </w:t>
      </w:r>
      <w:r w:rsidRPr="004D4F60">
        <w:rPr>
          <w:rFonts w:ascii="Palatino Linotype" w:eastAsia="Palatino Linotype" w:hAnsi="Palatino Linotype" w:cs="Palatino Linotype"/>
          <w:color w:val="000000"/>
        </w:rPr>
        <w:t>Financiero</w:t>
      </w:r>
      <w:r w:rsidRPr="004D4F60">
        <w:rPr>
          <w:rFonts w:ascii="Palatino Linotype" w:hAnsi="Palatino Linotype" w:cs="Tahoma"/>
        </w:rPr>
        <w:t xml:space="preserve"> del Estado de México y Municipios, disponen el sistema y las políticas </w:t>
      </w:r>
      <w:r w:rsidRPr="004D4F60">
        <w:rPr>
          <w:rFonts w:ascii="Palatino Linotype" w:hAnsi="Palatino Linotype" w:cs="Tahoma"/>
        </w:rPr>
        <w:lastRenderedPageBreak/>
        <w:t xml:space="preserve">que deben seguirse para llevar el </w:t>
      </w:r>
      <w:r w:rsidRPr="004D4F60">
        <w:rPr>
          <w:rFonts w:ascii="Palatino Linotype" w:hAnsi="Palatino Linotype" w:cs="Tahoma"/>
          <w:b/>
        </w:rPr>
        <w:t>registro contable y presupuestal de las operaciones financieras</w:t>
      </w:r>
      <w:r w:rsidRPr="004D4F60">
        <w:rPr>
          <w:rFonts w:ascii="Palatino Linotype" w:hAnsi="Palatino Linotype" w:cs="Tahoma"/>
        </w:rPr>
        <w:t>, en los siguientes términos:</w:t>
      </w: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b/>
          <w:i/>
        </w:rPr>
        <w:t>Artículo 342.-</w:t>
      </w:r>
      <w:r w:rsidRPr="004D4F60">
        <w:rPr>
          <w:rFonts w:ascii="Palatino Linotype" w:hAnsi="Palatino Linotype" w:cs="Tahoma"/>
          <w:i/>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26182F" w:rsidRPr="004D4F60" w:rsidRDefault="0026182F" w:rsidP="0026182F">
      <w:pPr>
        <w:ind w:left="567" w:right="-858"/>
        <w:jc w:val="both"/>
        <w:rPr>
          <w:rFonts w:ascii="Palatino Linotype" w:hAnsi="Palatino Linotype" w:cs="Tahoma"/>
          <w:i/>
        </w:rPr>
      </w:pP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b/>
          <w:i/>
        </w:rPr>
        <w:t>En el caso de los municipios</w:t>
      </w:r>
      <w:r w:rsidRPr="004D4F60">
        <w:rPr>
          <w:rFonts w:ascii="Palatino Linotype" w:hAnsi="Palatino Linotype" w:cs="Tahoma"/>
          <w:i/>
        </w:rPr>
        <w:t>,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26182F" w:rsidRPr="004D4F60" w:rsidRDefault="0026182F" w:rsidP="0026182F">
      <w:pPr>
        <w:ind w:left="567" w:right="-858"/>
        <w:jc w:val="both"/>
        <w:rPr>
          <w:rFonts w:ascii="Palatino Linotype" w:hAnsi="Palatino Linotype" w:cs="Tahoma"/>
          <w:i/>
        </w:rPr>
      </w:pP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b/>
          <w:i/>
        </w:rPr>
        <w:t>Artículo 343.-</w:t>
      </w:r>
      <w:r w:rsidRPr="004D4F60">
        <w:rPr>
          <w:rFonts w:ascii="Palatino Linotype" w:hAnsi="Palatino Linotype" w:cs="Tahoma"/>
          <w:i/>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i/>
        </w:rPr>
        <w:t>El sistema de contabilidad sobre base acumulativa total, se sustentará en las normas emitidas por el Consejo Nacional de Armonización Contable.</w:t>
      </w:r>
    </w:p>
    <w:p w:rsidR="0026182F" w:rsidRPr="004D4F60" w:rsidRDefault="0026182F" w:rsidP="0026182F">
      <w:pPr>
        <w:ind w:left="567" w:right="-858"/>
        <w:jc w:val="both"/>
        <w:rPr>
          <w:rFonts w:ascii="Palatino Linotype" w:hAnsi="Palatino Linotype" w:cs="Tahoma"/>
          <w:b/>
          <w:i/>
        </w:rPr>
      </w:pPr>
    </w:p>
    <w:p w:rsidR="0026182F" w:rsidRPr="004D4F60" w:rsidRDefault="0026182F" w:rsidP="0026182F">
      <w:pPr>
        <w:ind w:left="567" w:right="-858"/>
        <w:jc w:val="both"/>
        <w:rPr>
          <w:rFonts w:ascii="Palatino Linotype" w:hAnsi="Palatino Linotype" w:cs="Tahoma"/>
          <w:b/>
          <w:i/>
        </w:rPr>
      </w:pPr>
      <w:r w:rsidRPr="004D4F60">
        <w:rPr>
          <w:rFonts w:ascii="Palatino Linotype" w:hAnsi="Palatino Linotype" w:cs="Tahoma"/>
          <w:b/>
          <w:i/>
        </w:rPr>
        <w:t>Artículo 344.- Los Entes Públicos, a través de cualquiera de sus unidades administrativas, de acuerdo con su naturaleza jurídica y según corresponda, registrarán contablemente el efecto patrimonial y presupuestal de las operaciones financieras que realicen</w:t>
      </w:r>
      <w:r w:rsidRPr="004D4F60">
        <w:rPr>
          <w:rFonts w:ascii="Palatino Linotype" w:hAnsi="Palatino Linotype" w:cs="Tahoma"/>
          <w:i/>
        </w:rPr>
        <w:t>, en el momento en que ocurran, con base en el sistema y políticas de registro establecidas, en el caso de los Municipios, se hará por la Tesorería.</w:t>
      </w:r>
    </w:p>
    <w:p w:rsidR="0026182F" w:rsidRPr="004D4F60" w:rsidRDefault="0026182F" w:rsidP="0026182F">
      <w:pPr>
        <w:ind w:left="567" w:right="-858"/>
        <w:jc w:val="both"/>
        <w:rPr>
          <w:rFonts w:ascii="Palatino Linotype" w:hAnsi="Palatino Linotype" w:cs="Tahoma"/>
          <w:b/>
          <w:i/>
        </w:rPr>
      </w:pPr>
    </w:p>
    <w:p w:rsidR="0026182F" w:rsidRPr="004D4F60" w:rsidRDefault="0026182F" w:rsidP="0026182F">
      <w:pPr>
        <w:ind w:left="567" w:right="-858"/>
        <w:jc w:val="both"/>
        <w:rPr>
          <w:rFonts w:ascii="Palatino Linotype" w:hAnsi="Palatino Linotype" w:cs="Tahoma"/>
          <w:b/>
          <w:i/>
        </w:rPr>
      </w:pPr>
      <w:r w:rsidRPr="004D4F60">
        <w:rPr>
          <w:rFonts w:ascii="Palatino Linotype" w:hAnsi="Palatino Linotype" w:cs="Tahoma"/>
          <w:b/>
          <w:i/>
        </w:rPr>
        <w:t xml:space="preserve">Todo registro contable y presupuestal deberá estar soportado con los documentos de registro, justificativos y comprobatorios originales, </w:t>
      </w:r>
      <w:r w:rsidRPr="004D4F60">
        <w:rPr>
          <w:rFonts w:ascii="Palatino Linotype" w:hAnsi="Palatino Linotype" w:cs="Tahoma"/>
          <w:i/>
        </w:rPr>
        <w:t xml:space="preserve">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567" w:right="-858"/>
        <w:jc w:val="both"/>
        <w:rPr>
          <w:rFonts w:ascii="Palatino Linotype" w:hAnsi="Palatino Linotype" w:cs="Tahoma"/>
          <w:b/>
          <w:i/>
        </w:rPr>
      </w:pP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b/>
          <w:i/>
        </w:rPr>
        <w:t>Artículo 345.-</w:t>
      </w:r>
      <w:r w:rsidRPr="004D4F60">
        <w:rPr>
          <w:rFonts w:ascii="Palatino Linotype" w:hAnsi="Palatino Linotype" w:cs="Tahoma"/>
          <w:i/>
        </w:rPr>
        <w:t xml:space="preserve"> Las Dependencias y sus unidades administrativas; deberán conservar la documentación contable del año en curso y la de ejercicios anteriores, cuyas cuentas públicas </w:t>
      </w:r>
      <w:r w:rsidRPr="004D4F60">
        <w:rPr>
          <w:rFonts w:ascii="Palatino Linotype" w:hAnsi="Palatino Linotype" w:cs="Tahoma"/>
          <w:i/>
        </w:rPr>
        <w:lastRenderedPageBreak/>
        <w:t>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26182F" w:rsidRPr="004D4F60" w:rsidRDefault="0026182F" w:rsidP="0026182F">
      <w:pPr>
        <w:ind w:left="567" w:right="-858"/>
        <w:jc w:val="both"/>
        <w:rPr>
          <w:rFonts w:ascii="Palatino Linotype" w:hAnsi="Palatino Linotype" w:cs="Tahoma"/>
          <w:i/>
        </w:rPr>
      </w:pP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b/>
          <w:i/>
        </w:rPr>
        <w:t>Los poderes Legislativo y Judicial, los Organismos Autónomos y las Entidades Públicas, de acuerdo con su naturaleza jurídica y según corresponda, deberán conservar la documentación contable del año en curso y la de ejercicios anteriores</w:t>
      </w:r>
      <w:r w:rsidRPr="004D4F60">
        <w:rPr>
          <w:rFonts w:ascii="Palatino Linotype" w:hAnsi="Palatino Linotype" w:cs="Tahoma"/>
          <w:i/>
        </w:rPr>
        <w:t>, cuyas cuentas públicas hayan sido revisadas y fiscalizadas, en sus propios Archivos Contables. Tratándose de los comprobantes fiscales digitales, estos deberán estar agregados en forma electrónica a cada póliza de registro contable.</w:t>
      </w:r>
    </w:p>
    <w:p w:rsidR="0026182F" w:rsidRPr="004D4F60" w:rsidRDefault="0026182F" w:rsidP="0026182F">
      <w:pPr>
        <w:ind w:left="567" w:right="-858"/>
        <w:jc w:val="both"/>
        <w:rPr>
          <w:rFonts w:ascii="Palatino Linotype" w:hAnsi="Palatino Linotype" w:cs="Tahoma"/>
          <w:i/>
        </w:rPr>
      </w:pPr>
    </w:p>
    <w:p w:rsidR="0026182F" w:rsidRPr="004D4F60" w:rsidRDefault="0026182F" w:rsidP="0026182F">
      <w:pPr>
        <w:ind w:left="567" w:right="-858"/>
        <w:jc w:val="both"/>
        <w:rPr>
          <w:rFonts w:ascii="Palatino Linotype" w:hAnsi="Palatino Linotype" w:cs="Tahoma"/>
          <w:i/>
        </w:rPr>
      </w:pPr>
      <w:r w:rsidRPr="004D4F60">
        <w:rPr>
          <w:rFonts w:ascii="Palatino Linotype" w:hAnsi="Palatino Linotype" w:cs="Tahoma"/>
          <w:i/>
        </w:rPr>
        <w:t>El plazo señalado en este artículo empezará a contar a partir de la publicación en el Periódico Oficial, del decreto correspondiente</w:t>
      </w:r>
      <w:r w:rsidRPr="004D4F60">
        <w:rPr>
          <w:rFonts w:ascii="Palatino Linotype" w:hAnsi="Palatino Linotype" w:cs="Tahoma"/>
          <w:b/>
          <w:i/>
        </w:rPr>
        <w:t xml:space="preserve"> </w:t>
      </w:r>
    </w:p>
    <w:p w:rsidR="0026182F" w:rsidRPr="004D4F60" w:rsidRDefault="0026182F" w:rsidP="0026182F">
      <w:pPr>
        <w:spacing w:line="360" w:lineRule="auto"/>
        <w:ind w:right="-93"/>
        <w:jc w:val="both"/>
        <w:rPr>
          <w:rFonts w:ascii="Palatino Linotype" w:hAnsi="Palatino Linotype" w:cs="Tahoma"/>
          <w:i/>
        </w:rPr>
      </w:pPr>
    </w:p>
    <w:p w:rsidR="0026182F" w:rsidRPr="004D4F60" w:rsidRDefault="0026182F" w:rsidP="001113E4">
      <w:pPr>
        <w:numPr>
          <w:ilvl w:val="0"/>
          <w:numId w:val="1"/>
        </w:numPr>
        <w:spacing w:line="360" w:lineRule="auto"/>
        <w:ind w:left="0" w:right="-879" w:firstLine="0"/>
        <w:jc w:val="both"/>
        <w:rPr>
          <w:rFonts w:ascii="Palatino Linotype" w:hAnsi="Palatino Linotype" w:cs="Tahoma"/>
        </w:rPr>
      </w:pPr>
      <w:r w:rsidRPr="004D4F60">
        <w:rPr>
          <w:rFonts w:ascii="Palatino Linotype" w:hAnsi="Palatino Linotype" w:cs="Tahoma"/>
        </w:rPr>
        <w:t xml:space="preserve">De una </w:t>
      </w:r>
      <w:r w:rsidRPr="004D4F60">
        <w:rPr>
          <w:rFonts w:ascii="Palatino Linotype" w:eastAsia="Palatino Linotype" w:hAnsi="Palatino Linotype" w:cs="Palatino Linotype"/>
        </w:rPr>
        <w:t>interpretación</w:t>
      </w:r>
      <w:r w:rsidRPr="004D4F60">
        <w:rPr>
          <w:rFonts w:ascii="Palatino Linotype" w:hAnsi="Palatino Linotype" w:cs="Tahoma"/>
        </w:rPr>
        <w:t xml:space="preserve">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26182F" w:rsidRPr="004D4F60" w:rsidRDefault="0026182F" w:rsidP="0026182F">
      <w:pPr>
        <w:spacing w:line="360" w:lineRule="auto"/>
        <w:ind w:right="-93"/>
        <w:jc w:val="both"/>
        <w:rPr>
          <w:rFonts w:ascii="Palatino Linotype" w:hAnsi="Palatino Linotype" w:cs="Tahoma"/>
        </w:rPr>
      </w:pPr>
    </w:p>
    <w:p w:rsidR="0026182F" w:rsidRPr="004D4F60" w:rsidRDefault="0026182F" w:rsidP="001113E4">
      <w:pPr>
        <w:numPr>
          <w:ilvl w:val="0"/>
          <w:numId w:val="1"/>
        </w:numPr>
        <w:spacing w:line="360" w:lineRule="auto"/>
        <w:ind w:left="0" w:right="-879" w:firstLine="0"/>
        <w:jc w:val="both"/>
        <w:rPr>
          <w:rFonts w:ascii="Palatino Linotype" w:hAnsi="Palatino Linotype" w:cs="Tahoma"/>
        </w:rPr>
      </w:pPr>
      <w:r w:rsidRPr="004D4F60">
        <w:rPr>
          <w:rFonts w:ascii="Palatino Linotype" w:eastAsia="Palatino Linotype" w:hAnsi="Palatino Linotype" w:cs="Palatino Linotype"/>
        </w:rPr>
        <w:t>Al</w:t>
      </w:r>
      <w:r w:rsidRPr="004D4F60">
        <w:rPr>
          <w:rFonts w:ascii="Palatino Linotype" w:hAnsi="Palatino Linotype" w:cs="Tahoma"/>
        </w:rPr>
        <w:t xml:space="preserve"> respecto, si bien es cierto que el Código Financiero del Estado de México y Municipios establece la </w:t>
      </w:r>
      <w:r w:rsidRPr="004D4F60">
        <w:rPr>
          <w:rFonts w:ascii="Palatino Linotype" w:eastAsia="Palatino Linotype" w:hAnsi="Palatino Linotype" w:cs="Palatino Linotype"/>
          <w:color w:val="000000"/>
        </w:rPr>
        <w:t>obligación</w:t>
      </w:r>
      <w:r w:rsidRPr="004D4F60">
        <w:rPr>
          <w:rFonts w:ascii="Palatino Linotype" w:hAnsi="Palatino Linotype" w:cs="Tahoma"/>
        </w:rPr>
        <w:t xml:space="preserve"> a los Municipios para llevar los registros contables y presupuestales; también lo es que, dicho ordenamiento jurídico no establece que debemos entender por registro contable y presupuestal; sin embargo, el “</w:t>
      </w:r>
      <w:r w:rsidRPr="004D4F60">
        <w:rPr>
          <w:rFonts w:ascii="Palatino Linotype" w:hAnsi="Palatino Linotype" w:cs="Tahoma"/>
          <w:i/>
        </w:rPr>
        <w:t>Glosario de Términos para el Proceso de Planeación, Programación, Presupuestación y Evaluación en la Administración Pública”</w:t>
      </w:r>
      <w:r w:rsidRPr="004D4F60">
        <w:rPr>
          <w:rFonts w:ascii="Palatino Linotype" w:hAnsi="Palatino Linotype" w:cs="Tahoma"/>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26182F" w:rsidRPr="004D4F60" w:rsidRDefault="0026182F" w:rsidP="0026182F">
      <w:pPr>
        <w:ind w:left="1134" w:right="900"/>
        <w:jc w:val="both"/>
        <w:rPr>
          <w:rFonts w:ascii="Palatino Linotype" w:hAnsi="Palatino Linotype" w:cs="Tahoma"/>
        </w:rPr>
      </w:pPr>
    </w:p>
    <w:p w:rsidR="0026182F" w:rsidRPr="004D4F60" w:rsidRDefault="0026182F" w:rsidP="0026182F">
      <w:pPr>
        <w:ind w:left="1134" w:right="900"/>
        <w:jc w:val="both"/>
        <w:rPr>
          <w:rFonts w:ascii="Palatino Linotype" w:hAnsi="Palatino Linotype" w:cs="Tahoma"/>
          <w:b/>
          <w:i/>
        </w:rPr>
      </w:pPr>
      <w:r w:rsidRPr="004D4F60">
        <w:rPr>
          <w:rFonts w:ascii="Palatino Linotype" w:hAnsi="Palatino Linotype" w:cs="Tahoma"/>
          <w:b/>
          <w:i/>
        </w:rPr>
        <w:lastRenderedPageBreak/>
        <w:t xml:space="preserve">REGISTRO CONTABLE. </w:t>
      </w:r>
      <w:r w:rsidRPr="004D4F60">
        <w:rPr>
          <w:rFonts w:ascii="Palatino Linotype" w:hAnsi="Palatino Linotype" w:cs="Tahoma"/>
          <w:i/>
        </w:rPr>
        <w:t>Asiento que se realiza en los libros de contabilidad de las actividades relacionadas con el ingreso y egresos de un ente económico.</w:t>
      </w:r>
    </w:p>
    <w:p w:rsidR="0026182F" w:rsidRPr="004D4F60" w:rsidRDefault="0026182F" w:rsidP="0026182F">
      <w:pPr>
        <w:ind w:left="1134" w:right="900"/>
        <w:jc w:val="both"/>
        <w:rPr>
          <w:rFonts w:ascii="Palatino Linotype" w:hAnsi="Palatino Linotype" w:cs="Tahoma"/>
          <w:i/>
        </w:rPr>
      </w:pPr>
    </w:p>
    <w:p w:rsidR="0026182F" w:rsidRPr="004D4F60" w:rsidRDefault="0026182F" w:rsidP="0026182F">
      <w:pPr>
        <w:ind w:left="1134" w:right="900"/>
        <w:jc w:val="both"/>
        <w:rPr>
          <w:rFonts w:ascii="Palatino Linotype" w:hAnsi="Palatino Linotype" w:cs="Tahoma"/>
          <w:i/>
        </w:rPr>
      </w:pPr>
      <w:r w:rsidRPr="004D4F60">
        <w:rPr>
          <w:rFonts w:ascii="Palatino Linotype" w:hAnsi="Palatino Linotype" w:cs="Tahoma"/>
          <w:b/>
          <w:i/>
        </w:rPr>
        <w:t xml:space="preserve">REGISTRO PRESUPUESTARIO. </w:t>
      </w:r>
      <w:r w:rsidRPr="004D4F60">
        <w:rPr>
          <w:rFonts w:ascii="Palatino Linotype" w:hAnsi="Palatino Linotype" w:cs="Tahoma"/>
          <w:i/>
        </w:rPr>
        <w:t>Asiento contable de las erogaciones realizadas por las dependencias y entidades con relación a la asignación, modificación y ejercicio de los recursos presupuestarios que se les hayan autorizado.</w:t>
      </w:r>
    </w:p>
    <w:p w:rsidR="0026182F" w:rsidRPr="004D4F60" w:rsidRDefault="0026182F" w:rsidP="0026182F">
      <w:pPr>
        <w:spacing w:line="360" w:lineRule="auto"/>
        <w:jc w:val="both"/>
        <w:rPr>
          <w:rFonts w:ascii="Palatino Linotype" w:hAnsi="Palatino Linotype" w:cs="Tahoma"/>
          <w:highlight w:val="yellow"/>
        </w:rPr>
      </w:pPr>
    </w:p>
    <w:p w:rsidR="0026182F" w:rsidRPr="004D4F60" w:rsidRDefault="0026182F" w:rsidP="001113E4">
      <w:pPr>
        <w:numPr>
          <w:ilvl w:val="0"/>
          <w:numId w:val="1"/>
        </w:numPr>
        <w:spacing w:line="360" w:lineRule="auto"/>
        <w:ind w:left="0" w:right="-879" w:firstLine="0"/>
        <w:jc w:val="both"/>
        <w:rPr>
          <w:rFonts w:ascii="Palatino Linotype" w:hAnsi="Palatino Linotype" w:cs="Tahoma"/>
        </w:rPr>
      </w:pPr>
      <w:r w:rsidRPr="004D4F60">
        <w:rPr>
          <w:rFonts w:ascii="Palatino Linotype" w:hAnsi="Palatino Linotype" w:cs="Tahoma"/>
        </w:rPr>
        <w:t xml:space="preserve">En este sentido, </w:t>
      </w:r>
      <w:r w:rsidRPr="004D4F60">
        <w:rPr>
          <w:rFonts w:ascii="Palatino Linotype" w:eastAsia="Palatino Linotype" w:hAnsi="Palatino Linotype" w:cs="Palatino Linotype"/>
          <w:color w:val="000000"/>
        </w:rPr>
        <w:t>cabe</w:t>
      </w:r>
      <w:r w:rsidRPr="004D4F60">
        <w:rPr>
          <w:rFonts w:ascii="Palatino Linotype" w:hAnsi="Palatino Linotype" w:cs="Tahoma"/>
        </w:rPr>
        <w:t xml:space="preserve"> referir que la Ley de Fiscalización Superior del Estado de México prevé en su artículo 4 </w:t>
      </w:r>
      <w:r w:rsidRPr="004D4F60">
        <w:rPr>
          <w:rFonts w:ascii="Palatino Linotype" w:eastAsia="Palatino Linotype" w:hAnsi="Palatino Linotype" w:cs="Palatino Linotype"/>
        </w:rPr>
        <w:t>que</w:t>
      </w:r>
      <w:r w:rsidRPr="004D4F60">
        <w:rPr>
          <w:rFonts w:ascii="Palatino Linotype" w:hAnsi="Palatino Linotype" w:cs="Tahoma"/>
        </w:rPr>
        <w:t xml:space="preserve"> los Poderes Públicos del Estado son considerados entes fiscalizables, tal como se observa a continuación:</w:t>
      </w:r>
    </w:p>
    <w:p w:rsidR="0026182F" w:rsidRPr="004D4F60" w:rsidRDefault="0026182F" w:rsidP="0026182F">
      <w:pPr>
        <w:ind w:left="1134" w:right="900"/>
        <w:jc w:val="both"/>
        <w:rPr>
          <w:rFonts w:ascii="Palatino Linotype" w:hAnsi="Palatino Linotype" w:cs="Tahoma"/>
          <w:i/>
        </w:rPr>
      </w:pPr>
      <w:r w:rsidRPr="004D4F60">
        <w:rPr>
          <w:rFonts w:ascii="Palatino Linotype" w:hAnsi="Palatino Linotype" w:cs="Tahoma"/>
          <w:b/>
          <w:i/>
        </w:rPr>
        <w:t>Artículo 4.</w:t>
      </w:r>
      <w:r w:rsidRPr="004D4F60">
        <w:rPr>
          <w:rFonts w:ascii="Palatino Linotype" w:hAnsi="Palatino Linotype" w:cs="Tahoma"/>
          <w:i/>
        </w:rPr>
        <w:t xml:space="preserve"> Son sujetos de fiscalización:</w:t>
      </w:r>
    </w:p>
    <w:p w:rsidR="0026182F" w:rsidRPr="004D4F60" w:rsidRDefault="0026182F" w:rsidP="0026182F">
      <w:pPr>
        <w:ind w:left="1134" w:right="900"/>
        <w:jc w:val="both"/>
        <w:rPr>
          <w:rFonts w:ascii="Palatino Linotype" w:hAnsi="Palatino Linotype" w:cs="Tahoma"/>
          <w:i/>
        </w:rPr>
      </w:pPr>
      <w:r w:rsidRPr="004D4F60">
        <w:rPr>
          <w:rFonts w:ascii="Palatino Linotype" w:hAnsi="Palatino Linotype" w:cs="Tahoma"/>
          <w:i/>
        </w:rPr>
        <w:t>I. Los Poderes Públicos del Estado;</w:t>
      </w:r>
    </w:p>
    <w:p w:rsidR="0026182F" w:rsidRPr="004D4F60" w:rsidRDefault="0026182F" w:rsidP="0026182F">
      <w:pPr>
        <w:ind w:left="1134" w:right="900"/>
        <w:jc w:val="both"/>
        <w:rPr>
          <w:rFonts w:ascii="Palatino Linotype" w:hAnsi="Palatino Linotype" w:cs="Tahoma"/>
          <w:b/>
          <w:i/>
        </w:rPr>
      </w:pPr>
      <w:r w:rsidRPr="004D4F60">
        <w:rPr>
          <w:rFonts w:ascii="Palatino Linotype" w:hAnsi="Palatino Linotype" w:cs="Tahoma"/>
          <w:b/>
          <w:i/>
        </w:rPr>
        <w:t>II. Los municipios del Estado de México;</w:t>
      </w:r>
    </w:p>
    <w:p w:rsidR="0026182F" w:rsidRPr="004D4F60" w:rsidRDefault="0026182F" w:rsidP="0026182F">
      <w:pPr>
        <w:ind w:left="1134" w:right="900"/>
        <w:jc w:val="both"/>
        <w:rPr>
          <w:rFonts w:ascii="Palatino Linotype" w:hAnsi="Palatino Linotype" w:cs="Tahoma"/>
        </w:rPr>
      </w:pPr>
      <w:r w:rsidRPr="004D4F60">
        <w:rPr>
          <w:rFonts w:ascii="Palatino Linotype" w:hAnsi="Palatino Linotype" w:cs="Tahoma"/>
        </w:rPr>
        <w:t xml:space="preserve">Asimismo, el ordenamiento legal referido señala en su artículo 8, fracción XI lo siguiente: </w:t>
      </w:r>
    </w:p>
    <w:p w:rsidR="0026182F" w:rsidRPr="004D4F60" w:rsidRDefault="0026182F" w:rsidP="0026182F">
      <w:pPr>
        <w:ind w:left="1134" w:right="900"/>
        <w:jc w:val="both"/>
        <w:rPr>
          <w:rFonts w:ascii="Palatino Linotype" w:hAnsi="Palatino Linotype" w:cs="Tahoma"/>
        </w:rPr>
      </w:pPr>
    </w:p>
    <w:p w:rsidR="0026182F" w:rsidRPr="004D4F60" w:rsidRDefault="0026182F" w:rsidP="0026182F">
      <w:pPr>
        <w:ind w:left="1134" w:right="900"/>
        <w:jc w:val="both"/>
        <w:rPr>
          <w:rFonts w:ascii="Palatino Linotype" w:hAnsi="Palatino Linotype" w:cs="Tahoma"/>
          <w:i/>
        </w:rPr>
      </w:pPr>
      <w:r w:rsidRPr="004D4F60">
        <w:rPr>
          <w:rFonts w:ascii="Palatino Linotype" w:hAnsi="Palatino Linotype" w:cs="Tahoma"/>
          <w:i/>
        </w:rPr>
        <w:t>Artículo 8. El Órgano Superior tendrá las siguientes atribuciones:</w:t>
      </w:r>
    </w:p>
    <w:p w:rsidR="0026182F" w:rsidRPr="004D4F60" w:rsidRDefault="0026182F" w:rsidP="0026182F">
      <w:pPr>
        <w:ind w:left="1134" w:right="900"/>
        <w:jc w:val="both"/>
        <w:rPr>
          <w:rFonts w:ascii="Palatino Linotype" w:hAnsi="Palatino Linotype" w:cs="Tahoma"/>
          <w:i/>
        </w:rPr>
      </w:pPr>
      <w:r w:rsidRPr="004D4F60">
        <w:rPr>
          <w:rFonts w:ascii="Palatino Linotype" w:hAnsi="Palatino Linotype" w:cs="Tahoma"/>
          <w:i/>
        </w:rPr>
        <w:t>…</w:t>
      </w:r>
    </w:p>
    <w:p w:rsidR="0026182F" w:rsidRPr="004D4F60" w:rsidRDefault="0026182F" w:rsidP="0026182F">
      <w:pPr>
        <w:ind w:left="1134" w:right="900"/>
        <w:jc w:val="both"/>
        <w:rPr>
          <w:rFonts w:ascii="Palatino Linotype" w:hAnsi="Palatino Linotype" w:cs="Tahoma"/>
          <w:i/>
        </w:rPr>
      </w:pPr>
      <w:r w:rsidRPr="004D4F60">
        <w:rPr>
          <w:rFonts w:ascii="Palatino Linotype" w:hAnsi="Palatino Linotype" w:cs="Tahoma"/>
          <w:i/>
        </w:rPr>
        <w:t xml:space="preserve">XI. </w:t>
      </w:r>
      <w:r w:rsidRPr="004D4F60">
        <w:rPr>
          <w:rFonts w:ascii="Palatino Linotype" w:hAnsi="Palatino Linotype" w:cs="Tahoma"/>
          <w:b/>
          <w:i/>
        </w:rPr>
        <w:t>Establecer los lineamientos, criterios, procedimientos, métodos y sistemas para las acciones de control y evaluación, necesarios para la fiscalización de las cuentas públicas y los informes trimestrales</w:t>
      </w:r>
      <w:r w:rsidRPr="004D4F60">
        <w:rPr>
          <w:rFonts w:ascii="Palatino Linotype" w:hAnsi="Palatino Linotype" w:cs="Tahoma"/>
          <w:i/>
        </w:rPr>
        <w:t xml:space="preserve">…” </w:t>
      </w:r>
    </w:p>
    <w:p w:rsidR="0026182F" w:rsidRPr="004D4F60" w:rsidRDefault="0026182F" w:rsidP="0026182F">
      <w:pPr>
        <w:tabs>
          <w:tab w:val="left" w:pos="284"/>
        </w:tabs>
        <w:spacing w:before="240" w:after="240" w:line="360" w:lineRule="auto"/>
        <w:contextualSpacing/>
        <w:jc w:val="both"/>
        <w:rPr>
          <w:rFonts w:ascii="Palatino Linotype" w:hAnsi="Palatino Linotype"/>
          <w:bCs/>
          <w:highlight w:val="yellow"/>
          <w:lang w:val="es-ES"/>
        </w:rPr>
      </w:pPr>
    </w:p>
    <w:p w:rsidR="0026182F" w:rsidRPr="004D4F60" w:rsidRDefault="0026182F" w:rsidP="001113E4">
      <w:pPr>
        <w:numPr>
          <w:ilvl w:val="0"/>
          <w:numId w:val="1"/>
        </w:numPr>
        <w:spacing w:line="360" w:lineRule="auto"/>
        <w:ind w:left="0" w:right="-879" w:firstLine="0"/>
        <w:jc w:val="both"/>
        <w:rPr>
          <w:rFonts w:ascii="Palatino Linotype" w:hAnsi="Palatino Linotype"/>
          <w:bCs/>
          <w:lang w:val="es-ES"/>
        </w:rPr>
      </w:pPr>
      <w:r w:rsidRPr="004D4F60">
        <w:rPr>
          <w:rFonts w:ascii="Palatino Linotype" w:hAnsi="Palatino Linotype" w:cs="Tahoma"/>
        </w:rPr>
        <w:t>De</w:t>
      </w:r>
      <w:r w:rsidRPr="004D4F60">
        <w:rPr>
          <w:rFonts w:ascii="Palatino Linotype" w:hAnsi="Palatino Linotype"/>
          <w:lang w:val="es-ES"/>
        </w:rPr>
        <w:t xml:space="preserve"> la </w:t>
      </w:r>
      <w:r w:rsidRPr="004D4F60">
        <w:rPr>
          <w:rFonts w:ascii="Palatino Linotype" w:hAnsi="Palatino Linotype" w:cs="Tahoma"/>
        </w:rPr>
        <w:t>normatividad</w:t>
      </w:r>
      <w:r w:rsidRPr="004D4F60">
        <w:rPr>
          <w:rFonts w:ascii="Palatino Linotype" w:hAnsi="Palatino Linotype"/>
          <w:lang w:val="es-ES"/>
        </w:rPr>
        <w:t xml:space="preserve"> </w:t>
      </w:r>
      <w:r w:rsidRPr="004D4F60">
        <w:rPr>
          <w:rFonts w:ascii="Palatino Linotype" w:hAnsi="Palatino Linotype" w:cs="Tahoma"/>
        </w:rPr>
        <w:t>previamente</w:t>
      </w:r>
      <w:r w:rsidRPr="004D4F60">
        <w:rPr>
          <w:rFonts w:ascii="Palatino Linotype" w:hAnsi="Palatino Linotype"/>
          <w:lang w:val="es-ES"/>
        </w:rPr>
        <w:t xml:space="preserve"> plasmada, se desprende primeramente que el</w:t>
      </w:r>
      <w:r w:rsidRPr="004D4F60">
        <w:rPr>
          <w:rFonts w:ascii="Palatino Linotype" w:hAnsi="Palatino Linotype"/>
          <w:bCs/>
          <w:lang w:val="es-ES"/>
        </w:rPr>
        <w:t xml:space="preserve"> registro contable del efecto patrimonial y presupuestal de las operaciones financieras se realizará conforme al sistema y a las disposiciones que se aprueben en materia de planeación, programación, </w:t>
      </w:r>
      <w:r w:rsidRPr="004D4F60">
        <w:rPr>
          <w:rFonts w:ascii="Palatino Linotype" w:eastAsia="Palatino Linotype" w:hAnsi="Palatino Linotype" w:cs="Palatino Linotype"/>
        </w:rPr>
        <w:t>presupuestación</w:t>
      </w:r>
      <w:r w:rsidRPr="004D4F60">
        <w:rPr>
          <w:rFonts w:ascii="Palatino Linotype" w:hAnsi="Palatino Linotype"/>
          <w:bCs/>
          <w:lang w:val="es-ES"/>
        </w:rPr>
        <w:t>, evaluación y contabilidad gubernamental.</w:t>
      </w:r>
    </w:p>
    <w:p w:rsidR="0026182F" w:rsidRPr="004D4F60" w:rsidRDefault="0026182F" w:rsidP="0026182F">
      <w:pPr>
        <w:pBdr>
          <w:top w:val="nil"/>
          <w:left w:val="nil"/>
          <w:bottom w:val="nil"/>
          <w:right w:val="nil"/>
          <w:between w:val="nil"/>
        </w:pBdr>
        <w:rPr>
          <w:rFonts w:ascii="Palatino Linotype" w:eastAsia="Palatino Linotype" w:hAnsi="Palatino Linotype" w:cs="Palatino Linotype"/>
          <w:highlight w:val="green"/>
        </w:rPr>
      </w:pPr>
    </w:p>
    <w:p w:rsidR="0026182F" w:rsidRPr="004D4F60" w:rsidRDefault="0026182F" w:rsidP="001113E4">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En razón de lo </w:t>
      </w:r>
      <w:r w:rsidRPr="004D4F60">
        <w:rPr>
          <w:rFonts w:ascii="Palatino Linotype" w:hAnsi="Palatino Linotype"/>
          <w:bCs/>
          <w:lang w:val="es-ES"/>
        </w:rPr>
        <w:t>expuesto</w:t>
      </w:r>
      <w:r w:rsidRPr="004D4F60">
        <w:rPr>
          <w:rFonts w:ascii="Palatino Linotype" w:eastAsia="Palatino Linotype" w:hAnsi="Palatino Linotype" w:cs="Palatino Linotype"/>
        </w:rPr>
        <w:t xml:space="preserve">, los sujetos obligados deberán hacer pública toda aquella información relativa a los montos y las personas a quienes entreguen, por cualquier motivo, </w:t>
      </w:r>
      <w:r w:rsidRPr="004D4F60">
        <w:rPr>
          <w:rFonts w:ascii="Palatino Linotype" w:eastAsia="Palatino Linotype" w:hAnsi="Palatino Linotype" w:cs="Palatino Linotype"/>
        </w:rPr>
        <w:lastRenderedPageBreak/>
        <w:t>recursos públicos y en consecuencia, los servidores públicos deberán transparentar sus acciones así como garantizar y respetar el derecho de acceso a la información pública.</w:t>
      </w:r>
    </w:p>
    <w:p w:rsidR="0026182F" w:rsidRPr="004D4F60" w:rsidRDefault="0026182F" w:rsidP="0026182F">
      <w:pPr>
        <w:spacing w:line="360" w:lineRule="auto"/>
        <w:ind w:right="-787"/>
        <w:jc w:val="both"/>
        <w:rPr>
          <w:rFonts w:ascii="Palatino Linotype" w:eastAsia="Palatino Linotype" w:hAnsi="Palatino Linotype" w:cs="Palatino Linotype"/>
          <w:b/>
          <w:i/>
          <w:u w:val="single"/>
        </w:rPr>
      </w:pPr>
    </w:p>
    <w:p w:rsidR="0026182F" w:rsidRPr="004D4F60" w:rsidRDefault="0026182F" w:rsidP="001113E4">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Por ende</w:t>
      </w:r>
      <w:r w:rsidRPr="004D4F60">
        <w:rPr>
          <w:rFonts w:ascii="Palatino Linotype" w:eastAsia="Palatino Linotype" w:hAnsi="Palatino Linotype" w:cs="Palatino Linotype"/>
          <w:color w:val="000000"/>
        </w:rPr>
        <w:t xml:space="preserve">, el </w:t>
      </w:r>
      <w:r w:rsidRPr="004D4F60">
        <w:rPr>
          <w:rFonts w:ascii="Palatino Linotype" w:eastAsia="Palatino Linotype" w:hAnsi="Palatino Linotype" w:cs="Palatino Linotype"/>
          <w:b/>
          <w:color w:val="000000"/>
        </w:rPr>
        <w:t>SUJETO OBLIGADO</w:t>
      </w:r>
      <w:r w:rsidRPr="004D4F60">
        <w:rPr>
          <w:rFonts w:ascii="Palatino Linotype" w:eastAsia="Palatino Linotype" w:hAnsi="Palatino Linotype" w:cs="Palatino Linotype"/>
          <w:color w:val="000000"/>
        </w:rPr>
        <w:t xml:space="preserve"> deberá realizar una </w:t>
      </w:r>
      <w:r w:rsidRPr="004D4F60">
        <w:rPr>
          <w:rFonts w:ascii="Palatino Linotype" w:eastAsia="Palatino Linotype" w:hAnsi="Palatino Linotype" w:cs="Palatino Linotype"/>
          <w:b/>
          <w:color w:val="000000"/>
        </w:rPr>
        <w:t>nueva búsqueda exhaustiva y razonable</w:t>
      </w:r>
      <w:r w:rsidRPr="004D4F60">
        <w:rPr>
          <w:rFonts w:ascii="Palatino Linotype" w:eastAsia="Palatino Linotype" w:hAnsi="Palatino Linotype" w:cs="Palatino Linotype"/>
          <w:color w:val="000000"/>
        </w:rPr>
        <w:t xml:space="preserve"> en las unidades administrativas que de conformidad a sus funciones y atribuciones posean, administren o generen la información, con la finalidad de entregar la que resulta de interés para </w:t>
      </w:r>
      <w:r w:rsidRPr="004D4F60">
        <w:rPr>
          <w:rFonts w:ascii="Palatino Linotype" w:eastAsia="Palatino Linotype" w:hAnsi="Palatino Linotype" w:cs="Palatino Linotype"/>
          <w:b/>
          <w:color w:val="000000"/>
        </w:rPr>
        <w:t>EL RECURRENTE</w:t>
      </w:r>
      <w:r w:rsidRPr="004D4F60">
        <w:rPr>
          <w:rFonts w:ascii="Palatino Linotype" w:eastAsia="Palatino Linotype" w:hAnsi="Palatino Linotype" w:cs="Palatino Linotype"/>
          <w:color w:val="000000"/>
        </w:rPr>
        <w:t>.</w:t>
      </w:r>
    </w:p>
    <w:p w:rsidR="0026182F" w:rsidRPr="004D4F60" w:rsidRDefault="0026182F" w:rsidP="0026182F">
      <w:pPr>
        <w:spacing w:line="360" w:lineRule="auto"/>
        <w:ind w:right="-787"/>
        <w:jc w:val="both"/>
        <w:rPr>
          <w:rFonts w:ascii="Palatino Linotype" w:eastAsia="Palatino Linotype" w:hAnsi="Palatino Linotype" w:cs="Palatino Linotype"/>
          <w:color w:val="000000"/>
        </w:rPr>
      </w:pPr>
    </w:p>
    <w:p w:rsidR="0026182F" w:rsidRPr="004D4F60" w:rsidRDefault="0026182F" w:rsidP="001113E4">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Resultando</w:t>
      </w:r>
      <w:r w:rsidRPr="004D4F60">
        <w:rPr>
          <w:rFonts w:ascii="Palatino Linotype" w:eastAsia="Palatino Linotype" w:hAnsi="Palatino Linotype" w:cs="Palatino Linotype"/>
          <w:color w:val="000000"/>
        </w:rPr>
        <w:t xml:space="preserve"> aplicable el Criterio orientador 02/17 emitido por el Pleno del Instituto Nacional de Transparencia y Acceso a la Información y Protección de Datos Personales, de título y texto siguientes:</w:t>
      </w:r>
    </w:p>
    <w:p w:rsidR="0026182F" w:rsidRPr="004D4F60" w:rsidRDefault="0026182F" w:rsidP="0026182F">
      <w:pPr>
        <w:pBdr>
          <w:top w:val="nil"/>
          <w:left w:val="nil"/>
          <w:bottom w:val="nil"/>
          <w:right w:val="nil"/>
          <w:between w:val="nil"/>
        </w:pBdr>
        <w:ind w:left="567" w:right="-433"/>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 “Congruencia y exhaustividad. Sus alcances para garantizar el derecho de acceso a la información. </w:t>
      </w:r>
      <w:r w:rsidRPr="004D4F60">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D4F60">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4D4F60">
        <w:rPr>
          <w:rFonts w:ascii="Palatino Linotype" w:eastAsia="Palatino Linotype" w:hAnsi="Palatino Linotype" w:cs="Palatino Linotype"/>
          <w:i/>
        </w:rPr>
        <w:t xml:space="preserve">; mientras que </w:t>
      </w:r>
      <w:r w:rsidRPr="004D4F60">
        <w:rPr>
          <w:rFonts w:ascii="Palatino Linotype" w:eastAsia="Palatino Linotype" w:hAnsi="Palatino Linotype" w:cs="Palatino Linotype"/>
          <w:b/>
          <w:i/>
        </w:rPr>
        <w:t>la exhaustividad significa que dicha respuesta se refiera expresamente a cada uno de los puntos solicitados</w:t>
      </w:r>
      <w:r w:rsidRPr="004D4F60">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6182F" w:rsidRPr="004D4F60" w:rsidRDefault="0026182F" w:rsidP="0026182F">
      <w:pPr>
        <w:pBdr>
          <w:top w:val="nil"/>
          <w:left w:val="nil"/>
          <w:bottom w:val="nil"/>
          <w:right w:val="nil"/>
          <w:between w:val="nil"/>
        </w:pBdr>
        <w:ind w:right="851"/>
        <w:jc w:val="both"/>
        <w:rPr>
          <w:rFonts w:ascii="Palatino Linotype" w:eastAsia="Palatino Linotype" w:hAnsi="Palatino Linotype" w:cs="Palatino Linotype"/>
          <w:i/>
        </w:rPr>
      </w:pPr>
    </w:p>
    <w:p w:rsidR="0026182F" w:rsidRPr="004D4F60" w:rsidRDefault="0026182F" w:rsidP="0026182F">
      <w:pPr>
        <w:pBdr>
          <w:top w:val="nil"/>
          <w:left w:val="nil"/>
          <w:bottom w:val="nil"/>
          <w:right w:val="nil"/>
          <w:between w:val="nil"/>
        </w:pBdr>
        <w:ind w:right="851"/>
        <w:jc w:val="both"/>
        <w:rPr>
          <w:rFonts w:ascii="Palatino Linotype" w:eastAsia="Palatino Linotype" w:hAnsi="Palatino Linotype" w:cs="Palatino Linotype"/>
          <w:i/>
        </w:rPr>
      </w:pPr>
    </w:p>
    <w:p w:rsidR="0026182F" w:rsidRPr="004D4F60" w:rsidRDefault="0026182F" w:rsidP="00484222">
      <w:pPr>
        <w:numPr>
          <w:ilvl w:val="0"/>
          <w:numId w:val="1"/>
        </w:numPr>
        <w:spacing w:line="360" w:lineRule="auto"/>
        <w:ind w:left="0" w:right="-879" w:firstLine="0"/>
        <w:jc w:val="both"/>
        <w:rPr>
          <w:rFonts w:ascii="Palatino Linotype" w:hAnsi="Palatino Linotype"/>
          <w:b/>
          <w:i/>
        </w:rPr>
      </w:pPr>
      <w:r w:rsidRPr="004D4F60">
        <w:rPr>
          <w:rFonts w:ascii="Palatino Linotype" w:eastAsia="Palatino Linotype" w:hAnsi="Palatino Linotype" w:cs="Palatino Linotype"/>
          <w:color w:val="000000"/>
        </w:rPr>
        <w:t xml:space="preserve">Por lo anterior, este Organismo Garante, con la finalidad de garantizar el derecho humano de acceso a la </w:t>
      </w:r>
      <w:r w:rsidRPr="004D4F60">
        <w:rPr>
          <w:rFonts w:ascii="Palatino Linotype" w:eastAsia="Palatino Linotype" w:hAnsi="Palatino Linotype" w:cs="Palatino Linotype"/>
        </w:rPr>
        <w:t>información</w:t>
      </w:r>
      <w:r w:rsidRPr="004D4F60">
        <w:rPr>
          <w:rFonts w:ascii="Palatino Linotype" w:eastAsia="Palatino Linotype" w:hAnsi="Palatino Linotype" w:cs="Palatino Linotype"/>
          <w:color w:val="000000"/>
        </w:rPr>
        <w:t xml:space="preserve"> de la parte </w:t>
      </w:r>
      <w:r w:rsidRPr="004D4F60">
        <w:rPr>
          <w:rFonts w:ascii="Palatino Linotype" w:eastAsia="Palatino Linotype" w:hAnsi="Palatino Linotype" w:cs="Palatino Linotype"/>
          <w:b/>
          <w:color w:val="000000"/>
        </w:rPr>
        <w:t>Recurrente,</w:t>
      </w:r>
      <w:r w:rsidRPr="004D4F60">
        <w:rPr>
          <w:rFonts w:ascii="Palatino Linotype" w:eastAsia="Palatino Linotype" w:hAnsi="Palatino Linotype" w:cs="Palatino Linotype"/>
          <w:color w:val="000000"/>
        </w:rPr>
        <w:t xml:space="preserve"> y a fin de reparar el agravio causado ante la omisión en que incurriera el </w:t>
      </w:r>
      <w:r w:rsidRPr="004D4F60">
        <w:rPr>
          <w:rFonts w:ascii="Palatino Linotype" w:eastAsia="Palatino Linotype" w:hAnsi="Palatino Linotype" w:cs="Palatino Linotype"/>
          <w:b/>
          <w:color w:val="000000"/>
        </w:rPr>
        <w:t>Sujeto Obligado</w:t>
      </w:r>
      <w:r w:rsidRPr="004D4F60">
        <w:rPr>
          <w:rFonts w:ascii="Palatino Linotype" w:eastAsia="Palatino Linotype" w:hAnsi="Palatino Linotype" w:cs="Palatino Linotype"/>
          <w:color w:val="000000"/>
        </w:rPr>
        <w:t xml:space="preserve">, ya que como se señaló, su respuesta careció del principio de exhaustividad, al no pronunciarse por las consideraciones ya </w:t>
      </w:r>
      <w:r w:rsidRPr="004D4F60">
        <w:rPr>
          <w:rFonts w:ascii="Palatino Linotype" w:eastAsia="Palatino Linotype" w:hAnsi="Palatino Linotype" w:cs="Palatino Linotype"/>
          <w:color w:val="000000"/>
        </w:rPr>
        <w:lastRenderedPageBreak/>
        <w:t>expuestas, por lo que se estima procedente</w:t>
      </w:r>
      <w:r w:rsidRPr="004D4F60">
        <w:rPr>
          <w:rFonts w:ascii="Palatino Linotype" w:eastAsia="Palatino Linotype" w:hAnsi="Palatino Linotype" w:cs="Palatino Linotype"/>
          <w:b/>
          <w:color w:val="000000"/>
        </w:rPr>
        <w:t xml:space="preserve"> REVOCAR</w:t>
      </w:r>
      <w:r w:rsidRPr="004D4F60">
        <w:rPr>
          <w:rFonts w:ascii="Palatino Linotype" w:eastAsia="Palatino Linotype" w:hAnsi="Palatino Linotype" w:cs="Palatino Linotype"/>
          <w:color w:val="000000"/>
        </w:rPr>
        <w:t xml:space="preserve"> la respuesta emitida y </w:t>
      </w:r>
      <w:r w:rsidRPr="004D4F60">
        <w:rPr>
          <w:rFonts w:ascii="Palatino Linotype" w:eastAsia="Palatino Linotype" w:hAnsi="Palatino Linotype" w:cs="Palatino Linotype"/>
          <w:b/>
          <w:color w:val="000000"/>
        </w:rPr>
        <w:t>ORDENAR</w:t>
      </w:r>
      <w:r w:rsidRPr="004D4F60">
        <w:rPr>
          <w:rFonts w:ascii="Palatino Linotype" w:eastAsia="Palatino Linotype" w:hAnsi="Palatino Linotype" w:cs="Palatino Linotype"/>
          <w:color w:val="000000"/>
        </w:rPr>
        <w:t xml:space="preserve"> que, previa búsqueda exhaustiva y razonable, de ser procedente en versión pública</w:t>
      </w:r>
      <w:r w:rsidRPr="004D4F60">
        <w:rPr>
          <w:rFonts w:ascii="Palatino Linotype" w:eastAsia="Palatino Linotype" w:hAnsi="Palatino Linotype" w:cs="Palatino Linotype"/>
          <w:b/>
          <w:color w:val="000000"/>
        </w:rPr>
        <w:t xml:space="preserve">, </w:t>
      </w:r>
      <w:r w:rsidRPr="004D4F60">
        <w:rPr>
          <w:rFonts w:ascii="Palatino Linotype" w:eastAsia="Palatino Linotype" w:hAnsi="Palatino Linotype" w:cs="Palatino Linotype"/>
          <w:color w:val="000000"/>
        </w:rPr>
        <w:t xml:space="preserve">se haga entrega </w:t>
      </w:r>
      <w:r w:rsidRPr="004D4F60">
        <w:rPr>
          <w:rFonts w:ascii="Palatino Linotype" w:hAnsi="Palatino Linotype"/>
        </w:rPr>
        <w:t xml:space="preserve">de la información siguiente: </w:t>
      </w:r>
      <w:r w:rsidR="003F57C3" w:rsidRPr="004D4F60">
        <w:rPr>
          <w:rFonts w:ascii="Palatino Linotype" w:hAnsi="Palatino Linotype"/>
          <w:b/>
        </w:rPr>
        <w:t>Del distribuidor vial del municipio de Tepotzotlán con la autopista México-</w:t>
      </w:r>
      <w:r w:rsidR="001113E4" w:rsidRPr="004D4F60">
        <w:rPr>
          <w:rFonts w:ascii="Palatino Linotype" w:hAnsi="Palatino Linotype"/>
          <w:b/>
        </w:rPr>
        <w:t xml:space="preserve">Querétaro: </w:t>
      </w:r>
      <w:r w:rsidR="003F57C3" w:rsidRPr="004D4F60">
        <w:rPr>
          <w:rFonts w:ascii="Palatino Linotype" w:hAnsi="Palatino Linotype"/>
          <w:b/>
        </w:rPr>
        <w:t>Proyecto de obra</w:t>
      </w:r>
      <w:r w:rsidR="001113E4" w:rsidRPr="004D4F60">
        <w:rPr>
          <w:rFonts w:ascii="Palatino Linotype" w:hAnsi="Palatino Linotype"/>
          <w:b/>
        </w:rPr>
        <w:t xml:space="preserve">; </w:t>
      </w:r>
      <w:r w:rsidR="003F57C3" w:rsidRPr="004D4F60">
        <w:rPr>
          <w:rFonts w:ascii="Palatino Linotype" w:hAnsi="Palatino Linotype"/>
          <w:b/>
        </w:rPr>
        <w:t>Avances</w:t>
      </w:r>
      <w:r w:rsidR="001113E4" w:rsidRPr="004D4F60">
        <w:rPr>
          <w:rFonts w:ascii="Palatino Linotype" w:hAnsi="Palatino Linotype"/>
          <w:b/>
        </w:rPr>
        <w:t xml:space="preserve"> de obra; y </w:t>
      </w:r>
      <w:r w:rsidR="003F57C3" w:rsidRPr="004D4F60">
        <w:rPr>
          <w:rFonts w:ascii="Palatino Linotype" w:hAnsi="Palatino Linotype"/>
          <w:b/>
        </w:rPr>
        <w:t>Todos los docu</w:t>
      </w:r>
      <w:r w:rsidR="0015759C" w:rsidRPr="004D4F60">
        <w:rPr>
          <w:rFonts w:ascii="Palatino Linotype" w:hAnsi="Palatino Linotype"/>
          <w:b/>
        </w:rPr>
        <w:t>mentos relacionados con la obra, al 22 de septiembre de 2025.</w:t>
      </w:r>
    </w:p>
    <w:p w:rsidR="0026182F" w:rsidRPr="004D4F60" w:rsidRDefault="0026182F" w:rsidP="0026182F">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highlight w:val="yellow"/>
        </w:rPr>
      </w:pPr>
    </w:p>
    <w:p w:rsidR="0026182F" w:rsidRPr="004D4F60" w:rsidRDefault="0026182F" w:rsidP="00484222">
      <w:pPr>
        <w:numPr>
          <w:ilvl w:val="0"/>
          <w:numId w:val="1"/>
        </w:numPr>
        <w:spacing w:line="360" w:lineRule="auto"/>
        <w:ind w:left="0" w:right="-879" w:firstLine="0"/>
        <w:jc w:val="both"/>
        <w:rPr>
          <w:color w:val="000000"/>
        </w:rPr>
      </w:pPr>
      <w:r w:rsidRPr="004D4F60">
        <w:rPr>
          <w:rFonts w:ascii="Palatino Linotype" w:eastAsia="Palatino Linotype" w:hAnsi="Palatino Linotype" w:cs="Palatino Linotype"/>
          <w:color w:val="000000"/>
        </w:rPr>
        <w:t xml:space="preserve">Por otro lado, no pasa desapercibido para este Órgano Garante, que la información que se ordena entregar puede contener información susceptible de clasificarse; para lo cual, el </w:t>
      </w:r>
      <w:r w:rsidRPr="004D4F60">
        <w:rPr>
          <w:rFonts w:ascii="Palatino Linotype" w:eastAsia="Palatino Linotype" w:hAnsi="Palatino Linotype" w:cs="Palatino Linotype"/>
          <w:b/>
          <w:color w:val="000000"/>
        </w:rPr>
        <w:t>SUJETO OBLIGADO</w:t>
      </w:r>
      <w:r w:rsidRPr="004D4F60">
        <w:rPr>
          <w:rFonts w:ascii="Palatino Linotype" w:eastAsia="Palatino Linotype" w:hAnsi="Palatino Linotype" w:cs="Palatino Linotype"/>
          <w:color w:val="000000"/>
        </w:rPr>
        <w:t xml:space="preserve"> deberá atender al siguiente Considerando.</w:t>
      </w:r>
    </w:p>
    <w:p w:rsidR="0026182F" w:rsidRPr="004D4F60" w:rsidRDefault="0026182F" w:rsidP="0026182F">
      <w:pPr>
        <w:spacing w:line="360" w:lineRule="auto"/>
        <w:ind w:right="-858"/>
        <w:jc w:val="both"/>
        <w:rPr>
          <w:rFonts w:ascii="Palatino Linotype" w:eastAsia="Palatino Linotype" w:hAnsi="Palatino Linotype" w:cs="Palatino Linotype"/>
          <w:b/>
          <w:color w:val="000000"/>
        </w:rPr>
      </w:pPr>
    </w:p>
    <w:p w:rsidR="0026182F" w:rsidRPr="004D4F60" w:rsidRDefault="0026182F" w:rsidP="0026182F">
      <w:pPr>
        <w:keepNext/>
        <w:keepLines/>
        <w:spacing w:after="160" w:line="360" w:lineRule="auto"/>
        <w:rPr>
          <w:rFonts w:ascii="Palatino Linotype" w:eastAsia="Palatino Linotype" w:hAnsi="Palatino Linotype" w:cs="Palatino Linotype"/>
          <w:b/>
          <w:color w:val="000000"/>
        </w:rPr>
      </w:pPr>
      <w:r w:rsidRPr="004D4F60">
        <w:rPr>
          <w:rFonts w:ascii="Palatino Linotype" w:eastAsia="Palatino Linotype" w:hAnsi="Palatino Linotype" w:cs="Palatino Linotype"/>
          <w:b/>
          <w:color w:val="000000"/>
        </w:rPr>
        <w:t>QUINTO. De la versión pública.</w:t>
      </w:r>
    </w:p>
    <w:p w:rsidR="0026182F" w:rsidRPr="004D4F60" w:rsidRDefault="0026182F" w:rsidP="0026182F">
      <w:pPr>
        <w:keepNext/>
        <w:keepLines/>
        <w:numPr>
          <w:ilvl w:val="0"/>
          <w:numId w:val="13"/>
        </w:numPr>
        <w:tabs>
          <w:tab w:val="left" w:pos="284"/>
        </w:tabs>
        <w:spacing w:after="160" w:line="360" w:lineRule="auto"/>
        <w:rPr>
          <w:rFonts w:ascii="Palatino Linotype" w:eastAsia="Palatino Linotype" w:hAnsi="Palatino Linotype" w:cs="Palatino Linotype"/>
          <w:b/>
          <w:color w:val="000000"/>
        </w:rPr>
      </w:pPr>
      <w:r w:rsidRPr="004D4F60">
        <w:rPr>
          <w:rFonts w:ascii="Palatino Linotype" w:eastAsia="Palatino Linotype" w:hAnsi="Palatino Linotype" w:cs="Palatino Linotype"/>
          <w:b/>
          <w:color w:val="000000"/>
        </w:rPr>
        <w:t xml:space="preserve">Nociones generales. </w:t>
      </w:r>
    </w:p>
    <w:p w:rsidR="0026182F" w:rsidRPr="004D4F60" w:rsidRDefault="0026182F" w:rsidP="00484222">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Debe destacarse </w:t>
      </w:r>
      <w:r w:rsidRPr="004D4F60">
        <w:rPr>
          <w:rFonts w:ascii="Palatino Linotype" w:eastAsia="Palatino Linotype" w:hAnsi="Palatino Linotype" w:cs="Palatino Linotype"/>
        </w:rPr>
        <w:t>que</w:t>
      </w:r>
      <w:r w:rsidRPr="004D4F60">
        <w:rPr>
          <w:rFonts w:ascii="Palatino Linotype" w:eastAsia="Palatino Linotype" w:hAnsi="Palatino Linotype" w:cs="Palatino Linotype"/>
          <w:color w:val="000000"/>
        </w:rPr>
        <w:t>, debido a la naturaleza de la información solicitada</w:t>
      </w:r>
      <w:r w:rsidRPr="004D4F60">
        <w:rPr>
          <w:rFonts w:ascii="Palatino Linotype" w:eastAsia="Palatino Linotype" w:hAnsi="Palatino Linotype" w:cs="Palatino Linotype"/>
          <w:b/>
          <w:color w:val="000000"/>
        </w:rPr>
        <w:t xml:space="preserve">, </w:t>
      </w:r>
      <w:r w:rsidRPr="004D4F60">
        <w:rPr>
          <w:rFonts w:ascii="Palatino Linotype" w:eastAsia="Palatino Linotype" w:hAnsi="Palatino Linotype" w:cs="Palatino Linotype"/>
          <w:color w:val="000000"/>
        </w:rPr>
        <w:t xml:space="preserve">eventualmente pudieran obrar datos personales susceptibles de protegerse, el </w:t>
      </w:r>
      <w:r w:rsidRPr="004D4F60">
        <w:rPr>
          <w:rFonts w:ascii="Palatino Linotype" w:eastAsia="Palatino Linotype" w:hAnsi="Palatino Linotype" w:cs="Palatino Linotype"/>
          <w:b/>
          <w:color w:val="000000"/>
        </w:rPr>
        <w:t xml:space="preserve">SUJETO OBLIGADO </w:t>
      </w:r>
      <w:r w:rsidRPr="004D4F6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26182F" w:rsidRPr="004D4F60" w:rsidRDefault="0026182F" w:rsidP="0026182F">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26182F" w:rsidRPr="004D4F60" w:rsidRDefault="0026182F" w:rsidP="00484222">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No pasa desapercibido para este Órgano Garante que los Sujetos Obligados</w:t>
      </w:r>
      <w:r w:rsidRPr="004D4F60">
        <w:rPr>
          <w:rFonts w:ascii="Palatino Linotype" w:eastAsia="Palatino Linotype" w:hAnsi="Palatino Linotype" w:cs="Palatino Linotype"/>
          <w:b/>
          <w:color w:val="000000"/>
        </w:rPr>
        <w:t xml:space="preserve"> </w:t>
      </w:r>
      <w:r w:rsidRPr="004D4F60">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6182F" w:rsidRPr="004D4F60" w:rsidRDefault="0026182F" w:rsidP="0026182F">
      <w:pPr>
        <w:tabs>
          <w:tab w:val="left" w:pos="284"/>
        </w:tabs>
        <w:spacing w:after="160" w:line="360" w:lineRule="auto"/>
        <w:ind w:right="49"/>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229"/>
      </w:tblGrid>
      <w:tr w:rsidR="0026182F" w:rsidRPr="004D4F60" w:rsidTr="004D4F60">
        <w:tc>
          <w:tcPr>
            <w:tcW w:w="2689" w:type="dxa"/>
          </w:tcPr>
          <w:p w:rsidR="0026182F" w:rsidRPr="004D4F60" w:rsidRDefault="0026182F" w:rsidP="003543DC">
            <w:pPr>
              <w:tabs>
                <w:tab w:val="left" w:pos="284"/>
              </w:tabs>
              <w:spacing w:line="360" w:lineRule="auto"/>
              <w:rPr>
                <w:rFonts w:ascii="Palatino Linotype" w:eastAsia="Palatino Linotype" w:hAnsi="Palatino Linotype" w:cs="Palatino Linotype"/>
                <w:b/>
              </w:rPr>
            </w:pPr>
            <w:r w:rsidRPr="004D4F60">
              <w:rPr>
                <w:rFonts w:ascii="Palatino Linotype" w:eastAsia="Palatino Linotype" w:hAnsi="Palatino Linotype" w:cs="Palatino Linotype"/>
                <w:b/>
              </w:rPr>
              <w:lastRenderedPageBreak/>
              <w:t>a) Requisitos previos.</w:t>
            </w:r>
          </w:p>
        </w:tc>
        <w:tc>
          <w:tcPr>
            <w:tcW w:w="7229" w:type="dxa"/>
          </w:tcPr>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b/>
                <w:color w:val="000000"/>
              </w:rPr>
            </w:pPr>
            <w:r w:rsidRPr="004D4F60">
              <w:rPr>
                <w:rFonts w:ascii="Palatino Linotype" w:eastAsia="Palatino Linotype" w:hAnsi="Palatino Linotype" w:cs="Palatino Linotype"/>
                <w:b/>
                <w:color w:val="000000"/>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b/>
                <w:color w:val="000000"/>
              </w:rPr>
            </w:pPr>
            <w:r w:rsidRPr="004D4F60">
              <w:rPr>
                <w:rFonts w:ascii="Palatino Linotype" w:eastAsia="Palatino Linotype" w:hAnsi="Palatino Linotype" w:cs="Palatino Linotype"/>
                <w:b/>
                <w:color w:val="000000"/>
              </w:rPr>
              <w:t>Al hacerlo tienen que precisar de qué información se trata, señalando el supuesto de clasificación (confidencialidad o reserva).</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b/>
                <w:color w:val="000000"/>
              </w:rPr>
            </w:pPr>
            <w:r w:rsidRPr="004D4F60">
              <w:rPr>
                <w:rFonts w:ascii="Palatino Linotype" w:eastAsia="Palatino Linotype" w:hAnsi="Palatino Linotype" w:cs="Palatino Linotype"/>
                <w:b/>
                <w:color w:val="000000"/>
              </w:rPr>
              <w:t>Además, se debe señalar el procedimiento, de los tres que establecen los artículos 132 y 106 de la Ley Estatal y General, respectivamente.</w:t>
            </w:r>
          </w:p>
          <w:p w:rsidR="0026182F" w:rsidRPr="004D4F60" w:rsidRDefault="0026182F" w:rsidP="003543DC">
            <w:pPr>
              <w:tabs>
                <w:tab w:val="left" w:pos="284"/>
              </w:tabs>
              <w:spacing w:line="360" w:lineRule="auto"/>
              <w:jc w:val="both"/>
              <w:rPr>
                <w:rFonts w:ascii="Palatino Linotype" w:eastAsia="Palatino Linotype" w:hAnsi="Palatino Linotype" w:cs="Palatino Linotype"/>
                <w:b/>
              </w:rPr>
            </w:pPr>
            <w:r w:rsidRPr="004D4F60">
              <w:rPr>
                <w:rFonts w:ascii="Palatino Linotype" w:eastAsia="Palatino Linotype" w:hAnsi="Palatino Linotype" w:cs="Palatino Linotype"/>
                <w:b/>
                <w:color w:val="000000"/>
              </w:rPr>
              <w:t xml:space="preserve">El último de estos requisitos previos consiste en que no se pueden emitir acuerdos de carácter general ni particular, esto es, </w:t>
            </w:r>
            <w:r w:rsidRPr="004D4F60">
              <w:rPr>
                <w:rFonts w:ascii="Palatino Linotype" w:eastAsia="Palatino Linotype" w:hAnsi="Palatino Linotype" w:cs="Palatino Linotype"/>
                <w:b/>
                <w:color w:val="000000"/>
                <w:u w:val="single"/>
              </w:rPr>
              <w:t>no se puede hacer un acuerdo para clasificar de manera general todos los documentos de un expediente o área, sin</w:t>
            </w:r>
            <w:r w:rsidRPr="004D4F60">
              <w:rPr>
                <w:rFonts w:ascii="Palatino Linotype" w:eastAsia="Palatino Linotype" w:hAnsi="Palatino Linotype" w:cs="Palatino Linotype"/>
                <w:b/>
                <w:color w:val="000000"/>
              </w:rPr>
              <w:t xml:space="preserve"> individualizar su análisis y tampoco se puede hacer un acuerdo por cada dato que se vaya a clasificar dentro de un documento con diez datos, por ejemplo, susceptibles de ser clasificados.</w:t>
            </w:r>
          </w:p>
        </w:tc>
      </w:tr>
      <w:tr w:rsidR="0026182F" w:rsidRPr="004D4F60" w:rsidTr="004D4F60">
        <w:tc>
          <w:tcPr>
            <w:tcW w:w="2689" w:type="dxa"/>
          </w:tcPr>
          <w:p w:rsidR="0026182F" w:rsidRPr="004D4F60" w:rsidRDefault="0026182F" w:rsidP="003543DC">
            <w:pPr>
              <w:tabs>
                <w:tab w:val="left" w:pos="284"/>
              </w:tabs>
              <w:spacing w:line="360" w:lineRule="auto"/>
              <w:rPr>
                <w:rFonts w:ascii="Palatino Linotype" w:eastAsia="Palatino Linotype" w:hAnsi="Palatino Linotype" w:cs="Palatino Linotype"/>
                <w:b/>
              </w:rPr>
            </w:pPr>
            <w:r w:rsidRPr="004D4F60">
              <w:rPr>
                <w:rFonts w:ascii="Palatino Linotype" w:eastAsia="Palatino Linotype" w:hAnsi="Palatino Linotype" w:cs="Palatino Linotype"/>
                <w:b/>
              </w:rPr>
              <w:t>b) Supuestos de clasificación.</w:t>
            </w:r>
          </w:p>
        </w:tc>
        <w:tc>
          <w:tcPr>
            <w:tcW w:w="7229" w:type="dxa"/>
          </w:tcPr>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Los artículos 116 y 143 de la Ley Estatal y de la Ley General, vigente a la fecha de la solicitud de información, respectivamente, </w:t>
            </w:r>
            <w:r w:rsidRPr="004D4F60">
              <w:rPr>
                <w:rFonts w:ascii="Palatino Linotype" w:eastAsia="Palatino Linotype" w:hAnsi="Palatino Linotype" w:cs="Palatino Linotype"/>
                <w:color w:val="000000"/>
              </w:rPr>
              <w:lastRenderedPageBreak/>
              <w:t>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6182F" w:rsidRPr="004D4F60" w:rsidRDefault="0026182F" w:rsidP="003543DC">
            <w:pPr>
              <w:tabs>
                <w:tab w:val="left" w:pos="284"/>
              </w:tabs>
              <w:spacing w:line="360" w:lineRule="auto"/>
              <w:jc w:val="both"/>
              <w:rPr>
                <w:rFonts w:ascii="Palatino Linotype" w:eastAsia="Palatino Linotype" w:hAnsi="Palatino Linotype" w:cs="Palatino Linotype"/>
              </w:rPr>
            </w:pPr>
            <w:r w:rsidRPr="004D4F60">
              <w:rPr>
                <w:rFonts w:ascii="Palatino Linotype" w:eastAsia="Palatino Linotype" w:hAnsi="Palatino Linotype" w:cs="Palatino Linotype"/>
                <w:color w:val="000000"/>
              </w:rPr>
              <w:t xml:space="preserve">El </w:t>
            </w:r>
            <w:r w:rsidRPr="004D4F60">
              <w:rPr>
                <w:rFonts w:ascii="Palatino Linotype" w:eastAsia="Palatino Linotype" w:hAnsi="Palatino Linotype" w:cs="Palatino Linotype"/>
                <w:b/>
                <w:color w:val="000000"/>
              </w:rPr>
              <w:t>Sujeto Obligado</w:t>
            </w:r>
            <w:r w:rsidRPr="004D4F60">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6182F" w:rsidRPr="004D4F60" w:rsidTr="004D4F60">
        <w:tc>
          <w:tcPr>
            <w:tcW w:w="2689" w:type="dxa"/>
          </w:tcPr>
          <w:p w:rsidR="0026182F" w:rsidRPr="004D4F60" w:rsidRDefault="0026182F" w:rsidP="003543DC">
            <w:pPr>
              <w:tabs>
                <w:tab w:val="left" w:pos="284"/>
              </w:tabs>
              <w:spacing w:line="360" w:lineRule="auto"/>
              <w:rPr>
                <w:rFonts w:ascii="Palatino Linotype" w:eastAsia="Palatino Linotype" w:hAnsi="Palatino Linotype" w:cs="Palatino Linotype"/>
                <w:b/>
              </w:rPr>
            </w:pPr>
            <w:r w:rsidRPr="004D4F60">
              <w:rPr>
                <w:rFonts w:ascii="Palatino Linotype" w:eastAsia="Palatino Linotype" w:hAnsi="Palatino Linotype" w:cs="Palatino Linotype"/>
                <w:b/>
              </w:rPr>
              <w:lastRenderedPageBreak/>
              <w:t>c) Formalidades para emitir el acuerdo de clasificación.</w:t>
            </w:r>
          </w:p>
        </w:tc>
        <w:tc>
          <w:tcPr>
            <w:tcW w:w="7229" w:type="dxa"/>
          </w:tcPr>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Es necesario que </w:t>
            </w:r>
            <w:r w:rsidRPr="004D4F60">
              <w:rPr>
                <w:rFonts w:ascii="Palatino Linotype" w:eastAsia="Palatino Linotype" w:hAnsi="Palatino Linotype" w:cs="Palatino Linotype"/>
                <w:b/>
                <w:color w:val="000000"/>
                <w:u w:val="single"/>
              </w:rPr>
              <w:t>el acto reúna con los requisitos elementales</w:t>
            </w:r>
            <w:r w:rsidRPr="004D4F60">
              <w:rPr>
                <w:rFonts w:ascii="Palatino Linotype" w:eastAsia="Palatino Linotype" w:hAnsi="Palatino Linotype" w:cs="Palatino Linotype"/>
                <w:color w:val="000000"/>
              </w:rPr>
              <w:t>, entre ellos, que la autoridad que va a emitir el acto de autoridad sea la legalmente facultada para ello.</w:t>
            </w:r>
          </w:p>
          <w:p w:rsidR="0026182F" w:rsidRPr="004D4F60" w:rsidRDefault="0026182F" w:rsidP="003543DC">
            <w:pPr>
              <w:tabs>
                <w:tab w:val="left" w:pos="284"/>
              </w:tabs>
              <w:spacing w:line="360" w:lineRule="auto"/>
              <w:jc w:val="both"/>
              <w:rPr>
                <w:rFonts w:ascii="Palatino Linotype" w:eastAsia="Palatino Linotype" w:hAnsi="Palatino Linotype" w:cs="Palatino Linotype"/>
              </w:rPr>
            </w:pPr>
            <w:r w:rsidRPr="004D4F60">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w:t>
            </w:r>
            <w:r w:rsidRPr="004D4F60">
              <w:rPr>
                <w:rFonts w:ascii="Palatino Linotype" w:eastAsia="Palatino Linotype" w:hAnsi="Palatino Linotype" w:cs="Palatino Linotype"/>
                <w:color w:val="000000"/>
              </w:rPr>
              <w:lastRenderedPageBreak/>
              <w:t>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6182F" w:rsidRPr="004D4F60" w:rsidTr="004D4F60">
        <w:tc>
          <w:tcPr>
            <w:tcW w:w="2689" w:type="dxa"/>
          </w:tcPr>
          <w:p w:rsidR="0026182F" w:rsidRPr="004D4F60" w:rsidRDefault="0026182F" w:rsidP="003543DC">
            <w:pPr>
              <w:tabs>
                <w:tab w:val="left" w:pos="284"/>
              </w:tabs>
              <w:spacing w:line="360" w:lineRule="auto"/>
              <w:rPr>
                <w:rFonts w:ascii="Palatino Linotype" w:eastAsia="Palatino Linotype" w:hAnsi="Palatino Linotype" w:cs="Palatino Linotype"/>
                <w:b/>
              </w:rPr>
            </w:pPr>
          </w:p>
          <w:p w:rsidR="0026182F" w:rsidRPr="004D4F60" w:rsidRDefault="0026182F" w:rsidP="003543DC">
            <w:pPr>
              <w:tabs>
                <w:tab w:val="left" w:pos="284"/>
              </w:tabs>
              <w:spacing w:line="360" w:lineRule="auto"/>
              <w:jc w:val="both"/>
              <w:rPr>
                <w:rFonts w:ascii="Palatino Linotype" w:eastAsia="Palatino Linotype" w:hAnsi="Palatino Linotype" w:cs="Palatino Linotype"/>
                <w:b/>
              </w:rPr>
            </w:pPr>
            <w:r w:rsidRPr="004D4F60">
              <w:rPr>
                <w:rFonts w:ascii="Palatino Linotype" w:eastAsia="Palatino Linotype" w:hAnsi="Palatino Linotype" w:cs="Palatino Linotype"/>
                <w:b/>
                <w:color w:val="000000"/>
              </w:rPr>
              <w:t xml:space="preserve">d) Requisitos de fondo del acuerdo de clasificación. </w:t>
            </w:r>
          </w:p>
        </w:tc>
        <w:tc>
          <w:tcPr>
            <w:tcW w:w="7229" w:type="dxa"/>
          </w:tcPr>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D4F60">
              <w:rPr>
                <w:rFonts w:ascii="Palatino Linotype" w:eastAsia="Palatino Linotype" w:hAnsi="Palatino Linotype" w:cs="Palatino Linotype"/>
                <w:b/>
                <w:color w:val="000000"/>
              </w:rPr>
              <w:t>Sujetos Obligados</w:t>
            </w:r>
            <w:r w:rsidRPr="004D4F60">
              <w:rPr>
                <w:rFonts w:ascii="Palatino Linotype" w:eastAsia="Palatino Linotype" w:hAnsi="Palatino Linotype" w:cs="Palatino Linotype"/>
                <w:color w:val="000000"/>
              </w:rPr>
              <w:t xml:space="preserve">, por lo que deberán fundar y motivar debidamente la clasificación. </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De lo anterior, se desprende que para una correcta </w:t>
            </w:r>
            <w:r w:rsidRPr="004D4F60">
              <w:rPr>
                <w:rFonts w:ascii="Palatino Linotype" w:eastAsia="Palatino Linotype" w:hAnsi="Palatino Linotype" w:cs="Palatino Linotype"/>
                <w:b/>
                <w:color w:val="000000"/>
              </w:rPr>
              <w:t>clasificación total o parcial</w:t>
            </w:r>
            <w:r w:rsidRPr="004D4F60">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w:t>
            </w:r>
            <w:r w:rsidRPr="004D4F60">
              <w:rPr>
                <w:rFonts w:ascii="Palatino Linotype" w:eastAsia="Palatino Linotype" w:hAnsi="Palatino Linotype" w:cs="Palatino Linotype"/>
                <w:color w:val="000000"/>
              </w:rPr>
              <w:lastRenderedPageBreak/>
              <w:t>persona que se sienta afectada pueda impugnar la decisión, permitiéndole una real y auténtica defensa.</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Ahora bien, </w:t>
            </w:r>
            <w:r w:rsidRPr="004D4F60">
              <w:rPr>
                <w:rFonts w:ascii="Palatino Linotype" w:eastAsia="Palatino Linotype" w:hAnsi="Palatino Linotype" w:cs="Palatino Linotype"/>
                <w:b/>
                <w:color w:val="000000"/>
                <w:u w:val="single"/>
              </w:rPr>
              <w:t>para cada caso además de fundar y motivar</w:t>
            </w:r>
            <w:r w:rsidRPr="004D4F60">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6182F" w:rsidRPr="004D4F60" w:rsidTr="004D4F60">
        <w:tc>
          <w:tcPr>
            <w:tcW w:w="2689" w:type="dxa"/>
          </w:tcPr>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b/>
              </w:rPr>
            </w:pPr>
            <w:r w:rsidRPr="004D4F60">
              <w:rPr>
                <w:rFonts w:ascii="Palatino Linotype" w:eastAsia="Palatino Linotype" w:hAnsi="Palatino Linotype" w:cs="Palatino Linotype"/>
                <w:b/>
              </w:rPr>
              <w:lastRenderedPageBreak/>
              <w:t xml:space="preserve">e) Condiciones especiales de la clasificación de la información como confidencial. </w:t>
            </w:r>
          </w:p>
        </w:tc>
        <w:tc>
          <w:tcPr>
            <w:tcW w:w="7229" w:type="dxa"/>
          </w:tcPr>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Los artículos 148 y 120 de la Ley Estatal y de la Ley General, vigente a la fecha de la solicitud de información, respectivamente, establecen que aun tratándose de datos personales, se podrán proporcionar, incluso sin solicitar el consentimiento de su titular. </w:t>
            </w:r>
          </w:p>
          <w:p w:rsidR="0026182F" w:rsidRPr="004D4F60" w:rsidRDefault="0026182F" w:rsidP="003543DC">
            <w:pPr>
              <w:tabs>
                <w:tab w:val="left" w:pos="284"/>
              </w:tabs>
              <w:spacing w:line="360" w:lineRule="auto"/>
              <w:ind w:right="49"/>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6182F" w:rsidRPr="004D4F60" w:rsidRDefault="0026182F" w:rsidP="003543DC">
            <w:pPr>
              <w:tabs>
                <w:tab w:val="left" w:pos="284"/>
              </w:tabs>
              <w:spacing w:line="360" w:lineRule="auto"/>
              <w:rPr>
                <w:rFonts w:ascii="Palatino Linotype" w:eastAsia="Palatino Linotype" w:hAnsi="Palatino Linotype" w:cs="Palatino Linotype"/>
              </w:rPr>
            </w:pPr>
            <w:r w:rsidRPr="004D4F60">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6182F" w:rsidRPr="004D4F60" w:rsidRDefault="0026182F" w:rsidP="0026182F">
      <w:pPr>
        <w:tabs>
          <w:tab w:val="left" w:pos="284"/>
        </w:tabs>
        <w:spacing w:line="360" w:lineRule="auto"/>
        <w:rPr>
          <w:rFonts w:ascii="Palatino Linotype" w:eastAsia="Palatino Linotype" w:hAnsi="Palatino Linotype" w:cs="Palatino Linotype"/>
          <w:color w:val="000000"/>
        </w:rPr>
      </w:pPr>
    </w:p>
    <w:p w:rsidR="0026182F" w:rsidRPr="004D4F60" w:rsidRDefault="0026182F" w:rsidP="0026182F">
      <w:pPr>
        <w:rPr>
          <w:rFonts w:ascii="Palatino Linotype" w:eastAsia="Palatino Linotype" w:hAnsi="Palatino Linotype" w:cs="Palatino Linotype"/>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iCs/>
        </w:rPr>
      </w:pPr>
      <w:r w:rsidRPr="004D4F60">
        <w:rPr>
          <w:rFonts w:ascii="Palatino Linotype" w:hAnsi="Palatino Linotype" w:cs="Tahoma"/>
          <w:bCs/>
          <w:iCs/>
        </w:rPr>
        <w:t xml:space="preserve">Dada la </w:t>
      </w:r>
      <w:r w:rsidRPr="004D4F60">
        <w:rPr>
          <w:rFonts w:ascii="Palatino Linotype" w:eastAsia="Palatino Linotype" w:hAnsi="Palatino Linotype" w:cs="Palatino Linotype"/>
          <w:color w:val="000000"/>
        </w:rPr>
        <w:t>complejidad</w:t>
      </w:r>
      <w:r w:rsidRPr="004D4F60">
        <w:rPr>
          <w:rFonts w:ascii="Palatino Linotype" w:hAnsi="Palatino Linotype" w:cs="Tahoma"/>
          <w:bCs/>
          <w:iCs/>
        </w:rPr>
        <w:t xml:space="preserve">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w:t>
      </w:r>
      <w:r w:rsidRPr="004D4F60">
        <w:rPr>
          <w:rFonts w:ascii="Palatino Linotype" w:eastAsia="Palatino Linotype" w:hAnsi="Palatino Linotype" w:cs="Palatino Linotype"/>
          <w:color w:val="000000"/>
        </w:rPr>
        <w:t xml:space="preserve"> </w:t>
      </w:r>
      <w:r w:rsidRPr="004D4F60">
        <w:rPr>
          <w:rFonts w:ascii="Palatino Linotype" w:hAnsi="Palatino Linotype" w:cs="Tahoma"/>
          <w:bCs/>
          <w:iCs/>
        </w:rPr>
        <w:t xml:space="preserve">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w:t>
      </w:r>
      <w:r w:rsidRPr="004D4F60">
        <w:rPr>
          <w:rFonts w:ascii="Palatino Linotype" w:eastAsia="Palatino Linotype" w:hAnsi="Palatino Linotype" w:cs="Palatino Linotype"/>
          <w:color w:val="000000"/>
        </w:rPr>
        <w:t>cuentas</w:t>
      </w:r>
      <w:r w:rsidRPr="004D4F60">
        <w:rPr>
          <w:rFonts w:ascii="Palatino Linotype" w:hAnsi="Palatino Linotype" w:cs="Tahoma"/>
          <w:bCs/>
          <w:iCs/>
        </w:rPr>
        <w:t>, constituyen información de naturaleza pública, en razón de que el beneficio de su publicidad es mayor que el beneficio de su clasificación, aun tratándose de información personal.</w:t>
      </w:r>
    </w:p>
    <w:p w:rsidR="0026182F" w:rsidRPr="004D4F60" w:rsidRDefault="0026182F" w:rsidP="0026182F">
      <w:pPr>
        <w:spacing w:line="360" w:lineRule="auto"/>
        <w:jc w:val="both"/>
        <w:rPr>
          <w:rFonts w:ascii="Palatino Linotype" w:hAnsi="Palatino Linotype" w:cs="Tahoma"/>
          <w:bCs/>
          <w:iCs/>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iCs/>
        </w:rPr>
      </w:pPr>
      <w:r w:rsidRPr="004D4F60">
        <w:rPr>
          <w:rFonts w:ascii="Palatino Linotype" w:hAnsi="Palatino Linotype" w:cs="Tahoma"/>
          <w:bCs/>
          <w:iCs/>
        </w:rPr>
        <w:t xml:space="preserve">Ahora </w:t>
      </w:r>
      <w:r w:rsidRPr="004D4F60">
        <w:rPr>
          <w:rFonts w:ascii="Palatino Linotype" w:eastAsia="Palatino Linotype" w:hAnsi="Palatino Linotype" w:cs="Palatino Linotype"/>
          <w:color w:val="000000"/>
        </w:rPr>
        <w:t>bien</w:t>
      </w:r>
      <w:r w:rsidRPr="004D4F60">
        <w:rPr>
          <w:rFonts w:ascii="Palatino Linotype" w:hAnsi="Palatino Linotype" w:cs="Tahoma"/>
          <w:bCs/>
          <w:iCs/>
        </w:rPr>
        <w:t xml:space="preserve">, </w:t>
      </w:r>
      <w:r w:rsidRPr="004D4F60">
        <w:rPr>
          <w:rFonts w:ascii="Palatino Linotype" w:eastAsia="Palatino Linotype" w:hAnsi="Palatino Linotype" w:cs="Palatino Linotype"/>
          <w:color w:val="000000"/>
        </w:rPr>
        <w:t>cuando</w:t>
      </w:r>
      <w:r w:rsidRPr="004D4F60">
        <w:rPr>
          <w:rFonts w:ascii="Palatino Linotype" w:hAnsi="Palatino Linotype" w:cs="Tahoma"/>
          <w:bCs/>
          <w:iCs/>
        </w:rPr>
        <w:t xml:space="preserve">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26182F" w:rsidRPr="004D4F60" w:rsidRDefault="0026182F" w:rsidP="005F7127">
      <w:pPr>
        <w:numPr>
          <w:ilvl w:val="0"/>
          <w:numId w:val="1"/>
        </w:numPr>
        <w:spacing w:line="360" w:lineRule="auto"/>
        <w:ind w:left="0" w:right="-879" w:firstLine="0"/>
        <w:jc w:val="both"/>
        <w:rPr>
          <w:rFonts w:ascii="Palatino Linotype" w:hAnsi="Palatino Linotype" w:cs="Tahoma"/>
          <w:bCs/>
          <w:iCs/>
        </w:rPr>
      </w:pPr>
      <w:r w:rsidRPr="004D4F60">
        <w:rPr>
          <w:rFonts w:ascii="Palatino Linotype" w:hAnsi="Palatino Linotype" w:cs="Tahoma"/>
          <w:bCs/>
          <w:iCs/>
        </w:rPr>
        <w:lastRenderedPageBreak/>
        <w:t>Bajo este esquema, se aprecia que la información ordenada, puede contener información susceptible a clasificar como confidencial y otra que resulta publica; a fin de aportar mayores elementos para la correcta elaboración de las versiones públicas; de forma enunciativa más no limitativa; se analizan el Registro Federal de Contribuyentes (RFC) y la Clave Única de Registro de Población (CURP), el nombre de representante legal de una persona jurídico colectiva; entre otros, ya que son datos que obran en los documentos solicitados</w:t>
      </w:r>
      <w:r w:rsidRPr="004D4F60">
        <w:rPr>
          <w:rFonts w:ascii="Palatino Linotype" w:hAnsi="Palatino Linotype" w:cs="Tahoma"/>
          <w:bCs/>
          <w:lang w:eastAsia="en-US"/>
        </w:rPr>
        <w:t>.</w:t>
      </w:r>
    </w:p>
    <w:p w:rsidR="0026182F" w:rsidRPr="004D4F60" w:rsidRDefault="0026182F" w:rsidP="0026182F">
      <w:pPr>
        <w:jc w:val="both"/>
        <w:rPr>
          <w:rFonts w:ascii="Palatino Linotype" w:hAnsi="Palatino Linotype" w:cs="Tahoma"/>
          <w:b/>
        </w:rPr>
      </w:pPr>
    </w:p>
    <w:p w:rsidR="0026182F" w:rsidRPr="004D4F60" w:rsidRDefault="0026182F" w:rsidP="0026182F">
      <w:pPr>
        <w:numPr>
          <w:ilvl w:val="0"/>
          <w:numId w:val="19"/>
        </w:numPr>
        <w:spacing w:line="360" w:lineRule="auto"/>
        <w:jc w:val="both"/>
        <w:rPr>
          <w:rFonts w:ascii="Palatino Linotype" w:hAnsi="Palatino Linotype" w:cs="Tahoma"/>
          <w:bCs/>
          <w:lang w:val="es-ES" w:eastAsia="en-US"/>
        </w:rPr>
      </w:pPr>
      <w:r w:rsidRPr="004D4F60">
        <w:rPr>
          <w:rFonts w:ascii="Palatino Linotype" w:hAnsi="Palatino Linotype" w:cs="Tahoma"/>
          <w:b/>
          <w:bCs/>
          <w:lang w:eastAsia="en-US"/>
        </w:rPr>
        <w:t>Registro Federal de Contribuyentes (RFC)</w:t>
      </w:r>
    </w:p>
    <w:p w:rsidR="0026182F" w:rsidRPr="004D4F60" w:rsidRDefault="0026182F" w:rsidP="0026182F">
      <w:pPr>
        <w:spacing w:line="360" w:lineRule="auto"/>
        <w:jc w:val="both"/>
        <w:rPr>
          <w:rFonts w:ascii="Palatino Linotype" w:hAnsi="Palatino Linotype" w:cs="Tahoma"/>
          <w:b/>
          <w:bCs/>
          <w:lang w:eastAsia="en-US"/>
        </w:rPr>
      </w:pPr>
      <w:r w:rsidRPr="004D4F60">
        <w:rPr>
          <w:rFonts w:ascii="Palatino Linotype" w:hAnsi="Palatino Linotype" w:cs="Tahoma"/>
          <w:b/>
          <w:bCs/>
          <w:lang w:eastAsia="en-US"/>
        </w:rPr>
        <w:t>Persona física.</w:t>
      </w:r>
    </w:p>
    <w:p w:rsidR="0026182F" w:rsidRPr="004D4F60" w:rsidRDefault="0026182F" w:rsidP="005F7127">
      <w:pPr>
        <w:numPr>
          <w:ilvl w:val="0"/>
          <w:numId w:val="1"/>
        </w:numPr>
        <w:spacing w:line="360" w:lineRule="auto"/>
        <w:ind w:left="0" w:right="-879" w:firstLine="0"/>
        <w:jc w:val="both"/>
        <w:rPr>
          <w:rFonts w:ascii="Palatino Linotype" w:hAnsi="Palatino Linotype" w:cs="Tahoma"/>
        </w:rPr>
      </w:pPr>
      <w:r w:rsidRPr="004D4F60">
        <w:rPr>
          <w:rFonts w:ascii="Palatino Linotype" w:hAnsi="Palatino Linotype" w:cs="Tahoma"/>
        </w:rPr>
        <w:t xml:space="preserve">Al respecto, </w:t>
      </w:r>
      <w:r w:rsidRPr="004D4F60">
        <w:rPr>
          <w:rFonts w:ascii="Palatino Linotype" w:hAnsi="Palatino Linotype" w:cs="Tahoma"/>
          <w:bCs/>
          <w:iCs/>
        </w:rPr>
        <w:t>cabe</w:t>
      </w:r>
      <w:r w:rsidRPr="004D4F60">
        <w:rPr>
          <w:rFonts w:ascii="Palatino Linotype" w:hAnsi="Palatino Linotype" w:cs="Tahoma"/>
        </w:rPr>
        <w:t xml:space="preserve"> precisar que las personas físicas que deban presentar declaraciones periódicas o que </w:t>
      </w:r>
      <w:r w:rsidRPr="004D4F60">
        <w:rPr>
          <w:rFonts w:ascii="Palatino Linotype" w:hAnsi="Palatino Linotype" w:cs="Tahoma"/>
          <w:bCs/>
          <w:iCs/>
        </w:rPr>
        <w:t>están</w:t>
      </w:r>
      <w:r w:rsidRPr="004D4F60">
        <w:rPr>
          <w:rFonts w:ascii="Palatino Linotype" w:hAnsi="Palatino Linotype" w:cs="Tahoma"/>
        </w:rPr>
        <w:t xml:space="preserve">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26182F" w:rsidRPr="004D4F60" w:rsidRDefault="0026182F" w:rsidP="0026182F">
      <w:pPr>
        <w:jc w:val="both"/>
        <w:rPr>
          <w:rFonts w:ascii="Palatino Linotype" w:hAnsi="Palatino Linotype" w:cs="Tahoma"/>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rPr>
      </w:pPr>
      <w:r w:rsidRPr="004D4F60">
        <w:rPr>
          <w:rFonts w:ascii="Palatino Linotype" w:hAnsi="Palatino Linotype" w:cs="Tahoma"/>
        </w:rPr>
        <w:t xml:space="preserve">De </w:t>
      </w:r>
      <w:r w:rsidRPr="004D4F60">
        <w:rPr>
          <w:rFonts w:ascii="Palatino Linotype" w:hAnsi="Palatino Linotype" w:cs="Tahoma"/>
          <w:bCs/>
          <w:iCs/>
        </w:rPr>
        <w:t>acuerdo</w:t>
      </w:r>
      <w:r w:rsidRPr="004D4F60">
        <w:rPr>
          <w:rFonts w:ascii="Palatino Linotype" w:hAnsi="Palatino Linotype" w:cs="Tahoma"/>
        </w:rPr>
        <w:t xml:space="preserve"> con lo establecido en el artículo en comento, esta clave se compone de trece caracteres </w:t>
      </w:r>
      <w:r w:rsidRPr="004D4F60">
        <w:rPr>
          <w:rFonts w:ascii="Palatino Linotype" w:hAnsi="Palatino Linotype" w:cs="Tahoma"/>
          <w:bCs/>
          <w:iCs/>
        </w:rPr>
        <w:t>alfanuméricos</w:t>
      </w:r>
      <w:r w:rsidRPr="004D4F60">
        <w:rPr>
          <w:rFonts w:ascii="Palatino Linotype" w:hAnsi="Palatino Linotype" w:cs="Tahoma"/>
        </w:rPr>
        <w:t>, con datos obtenidos de los apellidos, nombre(s), fecha de nacimiento del titular, más una homoclave que establece el sistema automático del Servicio de Administración Tributaria.</w:t>
      </w:r>
    </w:p>
    <w:p w:rsidR="0026182F" w:rsidRPr="004D4F60" w:rsidRDefault="0026182F" w:rsidP="0026182F">
      <w:pPr>
        <w:jc w:val="both"/>
        <w:rPr>
          <w:rFonts w:ascii="Palatino Linotype" w:hAnsi="Palatino Linotype" w:cs="Tahoma"/>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rPr>
      </w:pPr>
      <w:r w:rsidRPr="004D4F60">
        <w:rPr>
          <w:rFonts w:ascii="Palatino Linotype" w:hAnsi="Palatino Linotype" w:cs="Tahoma"/>
          <w:bCs/>
          <w:iCs/>
        </w:rPr>
        <w:t>Ahora</w:t>
      </w:r>
      <w:r w:rsidRPr="004D4F60">
        <w:rPr>
          <w:rFonts w:ascii="Palatino Linotype" w:hAnsi="Palatino Linotype" w:cs="Tahoma"/>
        </w:rPr>
        <w:t xml:space="preserve"> bien, la clave del Registro Federal de Contribuyentes es el medio de control que tiene la </w:t>
      </w:r>
      <w:r w:rsidRPr="004D4F60">
        <w:rPr>
          <w:rFonts w:ascii="Palatino Linotype" w:hAnsi="Palatino Linotype" w:cs="Tahoma"/>
          <w:bCs/>
          <w:iCs/>
        </w:rPr>
        <w:t>Secretaría</w:t>
      </w:r>
      <w:r w:rsidRPr="004D4F60">
        <w:rPr>
          <w:rFonts w:ascii="Palatino Linotype" w:hAnsi="Palatino Linotype" w:cs="Tahoma"/>
        </w:rPr>
        <w:t xml:space="preserve">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26182F" w:rsidRPr="004D4F60" w:rsidRDefault="0026182F" w:rsidP="005F7127">
      <w:pPr>
        <w:numPr>
          <w:ilvl w:val="0"/>
          <w:numId w:val="1"/>
        </w:numPr>
        <w:spacing w:line="360" w:lineRule="auto"/>
        <w:ind w:left="0" w:right="-879" w:firstLine="0"/>
        <w:jc w:val="both"/>
        <w:rPr>
          <w:rFonts w:ascii="Palatino Linotype" w:hAnsi="Palatino Linotype" w:cs="Tahoma"/>
        </w:rPr>
      </w:pPr>
      <w:r w:rsidRPr="004D4F60">
        <w:rPr>
          <w:rFonts w:ascii="Palatino Linotype" w:hAnsi="Palatino Linotype" w:cs="Tahoma"/>
        </w:rPr>
        <w:lastRenderedPageBreak/>
        <w:t xml:space="preserve">Conforme a lo expuesto, el Registro Federal de Contribuyentes, es un dato personal, ya que hace a las </w:t>
      </w:r>
      <w:r w:rsidRPr="004D4F60">
        <w:rPr>
          <w:rFonts w:ascii="Palatino Linotype" w:hAnsi="Palatino Linotype" w:cs="Tahoma"/>
          <w:bCs/>
          <w:iCs/>
        </w:rPr>
        <w:t>personas</w:t>
      </w:r>
      <w:r w:rsidRPr="004D4F60">
        <w:rPr>
          <w:rFonts w:ascii="Palatino Linotype" w:hAnsi="Palatino Linotype" w:cs="Tahoma"/>
        </w:rPr>
        <w:t xml:space="preserve"> físicas </w:t>
      </w:r>
      <w:r w:rsidRPr="004D4F60">
        <w:rPr>
          <w:rFonts w:ascii="Palatino Linotype" w:hAnsi="Palatino Linotype" w:cs="Tahoma"/>
          <w:bCs/>
          <w:iCs/>
        </w:rPr>
        <w:t>identificas</w:t>
      </w:r>
      <w:r w:rsidRPr="004D4F60">
        <w:rPr>
          <w:rFonts w:ascii="Palatino Linotype" w:hAnsi="Palatino Linotype" w:cs="Tahoma"/>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26182F" w:rsidRPr="004D4F60" w:rsidRDefault="0026182F" w:rsidP="0026182F">
      <w:pPr>
        <w:spacing w:line="360" w:lineRule="auto"/>
        <w:jc w:val="both"/>
        <w:rPr>
          <w:rFonts w:ascii="Palatino Linotype" w:hAnsi="Palatino Linotype" w:cs="Tahoma"/>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rPr>
      </w:pPr>
      <w:r w:rsidRPr="004D4F60">
        <w:rPr>
          <w:rFonts w:ascii="Palatino Linotype" w:hAnsi="Palatino Linotype" w:cs="Tahoma"/>
          <w:bCs/>
        </w:rPr>
        <w:t xml:space="preserve">Lo </w:t>
      </w:r>
      <w:r w:rsidRPr="004D4F60">
        <w:rPr>
          <w:rFonts w:ascii="Palatino Linotype" w:hAnsi="Palatino Linotype" w:cs="Tahoma"/>
        </w:rPr>
        <w:t>anterior</w:t>
      </w:r>
      <w:r w:rsidRPr="004D4F60">
        <w:rPr>
          <w:rFonts w:ascii="Palatino Linotype" w:hAnsi="Palatino Linotype" w:cs="Tahoma"/>
          <w:bCs/>
        </w:rPr>
        <w:t xml:space="preserve">, resulta </w:t>
      </w:r>
      <w:r w:rsidRPr="004D4F60">
        <w:rPr>
          <w:rFonts w:ascii="Palatino Linotype" w:hAnsi="Palatino Linotype" w:cs="Tahoma"/>
          <w:bCs/>
          <w:iCs/>
        </w:rPr>
        <w:t>congruente</w:t>
      </w:r>
      <w:r w:rsidRPr="004D4F60">
        <w:rPr>
          <w:rFonts w:ascii="Palatino Linotype" w:hAnsi="Palatino Linotype" w:cs="Tahoma"/>
          <w:bCs/>
        </w:rPr>
        <w:t xml:space="preserve"> con el Criterio orientador 19/17 emitido por el Instituto Nacional de Transparencia, </w:t>
      </w:r>
      <w:r w:rsidRPr="004D4F60">
        <w:rPr>
          <w:rFonts w:ascii="Palatino Linotype" w:hAnsi="Palatino Linotype" w:cs="Tahoma"/>
          <w:bCs/>
          <w:iCs/>
        </w:rPr>
        <w:t>Acceso</w:t>
      </w:r>
      <w:r w:rsidRPr="004D4F60">
        <w:rPr>
          <w:rFonts w:ascii="Palatino Linotype" w:hAnsi="Palatino Linotype" w:cs="Tahoma"/>
          <w:bCs/>
        </w:rPr>
        <w:t xml:space="preserve"> a la Información y Protección de Datos Personales, en el cual se señala lo siguiente:</w:t>
      </w:r>
    </w:p>
    <w:p w:rsidR="0026182F" w:rsidRPr="004D4F60" w:rsidRDefault="0026182F" w:rsidP="0026182F">
      <w:pPr>
        <w:ind w:left="1134" w:right="-716"/>
        <w:contextualSpacing/>
        <w:jc w:val="both"/>
        <w:rPr>
          <w:rFonts w:ascii="Palatino Linotype" w:hAnsi="Palatino Linotype" w:cs="Tahoma"/>
          <w:i/>
        </w:rPr>
      </w:pPr>
      <w:r w:rsidRPr="004D4F60">
        <w:rPr>
          <w:rFonts w:ascii="Palatino Linotype" w:hAnsi="Palatino Linotype" w:cs="Tahoma"/>
          <w:b/>
          <w:i/>
        </w:rPr>
        <w:t>Registro Federal de Contribuyentes (RFC) de personas físicas.</w:t>
      </w:r>
      <w:r w:rsidRPr="004D4F60">
        <w:rPr>
          <w:rFonts w:ascii="Palatino Linotype" w:hAnsi="Palatino Linotype" w:cs="Tahoma"/>
          <w:i/>
        </w:rPr>
        <w:t xml:space="preserve"> El RFC es una clave de carácter fiscal, única e irrepetible, que permite identificar al titular, su edad y fecha de nacimiento, por lo que es un dato personal de carácter confidencial.</w:t>
      </w:r>
    </w:p>
    <w:p w:rsidR="0026182F" w:rsidRPr="004D4F60" w:rsidRDefault="0026182F" w:rsidP="0026182F">
      <w:pPr>
        <w:spacing w:line="360" w:lineRule="auto"/>
        <w:ind w:left="567"/>
        <w:contextualSpacing/>
        <w:jc w:val="both"/>
        <w:rPr>
          <w:rFonts w:ascii="Palatino Linotype" w:hAnsi="Palatino Linotype" w:cs="Tahoma"/>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lang w:eastAsia="en-US"/>
        </w:rPr>
      </w:pPr>
      <w:r w:rsidRPr="004D4F60">
        <w:rPr>
          <w:rFonts w:ascii="Palatino Linotype" w:hAnsi="Palatino Linotype" w:cs="Tahoma"/>
        </w:rPr>
        <w:t xml:space="preserve">De tal </w:t>
      </w:r>
      <w:r w:rsidRPr="004D4F60">
        <w:rPr>
          <w:rFonts w:ascii="Palatino Linotype" w:hAnsi="Palatino Linotype" w:cs="Tahoma"/>
          <w:bCs/>
          <w:iCs/>
        </w:rPr>
        <w:t>suerte</w:t>
      </w:r>
      <w:r w:rsidRPr="004D4F60">
        <w:rPr>
          <w:rFonts w:ascii="Palatino Linotype" w:hAnsi="Palatino Linotype" w:cs="Tahoma"/>
        </w:rPr>
        <w:t xml:space="preserve">, el Registro Federal de Contribuyentes de persona físicas no guarda relación con la </w:t>
      </w:r>
      <w:r w:rsidRPr="004D4F60">
        <w:rPr>
          <w:rFonts w:ascii="Palatino Linotype" w:hAnsi="Palatino Linotype" w:cs="Tahoma"/>
          <w:bCs/>
        </w:rPr>
        <w:t>transparencia</w:t>
      </w:r>
      <w:r w:rsidRPr="004D4F60">
        <w:rPr>
          <w:rFonts w:ascii="Palatino Linotype" w:hAnsi="Palatino Linotype" w:cs="Tahoma"/>
        </w:rPr>
        <w:t xml:space="preserve"> de los recursos públicos, por lo que constituye un dato personal </w:t>
      </w:r>
      <w:r w:rsidRPr="004D4F60">
        <w:rPr>
          <w:rFonts w:ascii="Palatino Linotype" w:hAnsi="Palatino Linotype" w:cs="Tahoma"/>
          <w:bCs/>
        </w:rPr>
        <w:t>confidencial</w:t>
      </w:r>
      <w:r w:rsidRPr="004D4F60">
        <w:rPr>
          <w:rFonts w:ascii="Palatino Linotype" w:hAnsi="Palatino Linotype" w:cs="Tahoma"/>
        </w:rPr>
        <w:t xml:space="preserve"> al actualizar el supuesto normativo del artículo 143, fracción I, de la Ley de Transparencia y Acceso a la Información Pública del Estado de México y Municipios.</w:t>
      </w:r>
    </w:p>
    <w:p w:rsidR="0026182F" w:rsidRPr="004D4F60" w:rsidRDefault="0026182F" w:rsidP="0026182F">
      <w:pPr>
        <w:jc w:val="both"/>
        <w:rPr>
          <w:rFonts w:ascii="Palatino Linotype" w:hAnsi="Palatino Linotype" w:cs="Tahoma"/>
          <w:bCs/>
          <w:lang w:val="es-ES" w:eastAsia="en-US"/>
        </w:rPr>
      </w:pPr>
    </w:p>
    <w:p w:rsidR="0026182F" w:rsidRPr="004D4F60" w:rsidRDefault="0026182F" w:rsidP="0026182F">
      <w:pPr>
        <w:pStyle w:val="Prrafodelista"/>
        <w:numPr>
          <w:ilvl w:val="0"/>
          <w:numId w:val="19"/>
        </w:numPr>
        <w:spacing w:line="360" w:lineRule="auto"/>
        <w:ind w:right="-93"/>
        <w:jc w:val="both"/>
        <w:rPr>
          <w:rFonts w:ascii="Palatino Linotype" w:hAnsi="Palatino Linotype" w:cs="Tahoma"/>
          <w:b/>
          <w:sz w:val="24"/>
          <w:lang w:val="es-ES" w:eastAsia="en-US"/>
        </w:rPr>
      </w:pPr>
      <w:r w:rsidRPr="004D4F60">
        <w:rPr>
          <w:rFonts w:ascii="Palatino Linotype" w:hAnsi="Palatino Linotype" w:cs="Tahoma"/>
          <w:b/>
          <w:sz w:val="24"/>
          <w:lang w:val="es-ES" w:eastAsia="en-US"/>
        </w:rPr>
        <w:t>Persona Jurídico-colectiva.</w:t>
      </w:r>
    </w:p>
    <w:p w:rsidR="0026182F" w:rsidRPr="004D4F60" w:rsidRDefault="0026182F" w:rsidP="005F7127">
      <w:pPr>
        <w:numPr>
          <w:ilvl w:val="0"/>
          <w:numId w:val="1"/>
        </w:numPr>
        <w:spacing w:line="360" w:lineRule="auto"/>
        <w:ind w:left="0" w:right="-879" w:firstLine="0"/>
        <w:jc w:val="both"/>
        <w:rPr>
          <w:rFonts w:ascii="Palatino Linotype" w:hAnsi="Palatino Linotype" w:cs="Tahoma"/>
          <w:bCs/>
          <w:lang w:eastAsia="en-US"/>
        </w:rPr>
      </w:pPr>
      <w:r w:rsidRPr="004D4F60">
        <w:rPr>
          <w:rFonts w:ascii="Palatino Linotype" w:hAnsi="Palatino Linotype" w:cs="Tahoma"/>
          <w:bCs/>
          <w:lang w:val="es-ES" w:eastAsia="en-US"/>
        </w:rPr>
        <w:t xml:space="preserve">Al </w:t>
      </w:r>
      <w:r w:rsidRPr="004D4F60">
        <w:rPr>
          <w:rFonts w:ascii="Palatino Linotype" w:hAnsi="Palatino Linotype" w:cs="Tahoma"/>
          <w:bCs/>
        </w:rPr>
        <w:t>respecto</w:t>
      </w:r>
      <w:r w:rsidRPr="004D4F60">
        <w:rPr>
          <w:rFonts w:ascii="Palatino Linotype" w:hAnsi="Palatino Linotype" w:cs="Tahoma"/>
          <w:bCs/>
          <w:lang w:val="es-ES" w:eastAsia="en-US"/>
        </w:rPr>
        <w:t>,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w:t>
      </w:r>
      <w:r w:rsidRPr="004D4F60">
        <w:rPr>
          <w:rFonts w:ascii="Palatino Linotype" w:hAnsi="Palatino Linotype" w:cs="Tahoma"/>
          <w:bCs/>
          <w:lang w:eastAsia="en-US"/>
        </w:rPr>
        <w:t xml:space="preserve"> certificada del documento constitutivo debidamente protocolizado, comprobante de domicilio, identificación personal, número de folio asignado que se le proporcionó al realizar el envío de </w:t>
      </w:r>
      <w:r w:rsidRPr="004D4F60">
        <w:rPr>
          <w:rFonts w:ascii="Palatino Linotype" w:hAnsi="Palatino Linotype" w:cs="Tahoma"/>
          <w:bCs/>
          <w:lang w:eastAsia="en-US"/>
        </w:rPr>
        <w:lastRenderedPageBreak/>
        <w:t xml:space="preserve">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4D4F60">
        <w:rPr>
          <w:rFonts w:ascii="Palatino Linotype" w:hAnsi="Palatino Linotype" w:cs="Tahoma"/>
          <w:b/>
          <w:bCs/>
          <w:lang w:eastAsia="en-US"/>
        </w:rPr>
        <w:t>cédula de identificación fiscal o constancia de registro.</w:t>
      </w:r>
    </w:p>
    <w:p w:rsidR="0026182F" w:rsidRPr="004D4F60" w:rsidRDefault="0026182F" w:rsidP="0026182F">
      <w:pPr>
        <w:jc w:val="both"/>
        <w:rPr>
          <w:rFonts w:ascii="Palatino Linotype" w:hAnsi="Palatino Linotype" w:cs="Tahoma"/>
          <w:bCs/>
          <w:lang w:val="es-ES" w:eastAsia="en-US"/>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lang w:val="es-ES" w:eastAsia="en-US"/>
        </w:rPr>
      </w:pPr>
      <w:r w:rsidRPr="004D4F60">
        <w:rPr>
          <w:rFonts w:ascii="Palatino Linotype" w:hAnsi="Palatino Linotype" w:cs="Tahoma"/>
          <w:bCs/>
          <w:lang w:val="es-ES" w:eastAsia="en-US"/>
        </w:rPr>
        <w:t xml:space="preserve">Por ende, la </w:t>
      </w:r>
      <w:r w:rsidRPr="004D4F60">
        <w:rPr>
          <w:rFonts w:ascii="Palatino Linotype" w:hAnsi="Palatino Linotype" w:cs="Tahoma"/>
          <w:bCs/>
        </w:rPr>
        <w:t>información</w:t>
      </w:r>
      <w:r w:rsidRPr="004D4F60">
        <w:rPr>
          <w:rFonts w:ascii="Palatino Linotype" w:hAnsi="Palatino Linotype" w:cs="Tahoma"/>
          <w:bCs/>
          <w:lang w:val="es-ES" w:eastAsia="en-US"/>
        </w:rPr>
        <w:t xml:space="preserve"> correspondiente al Registro Federal de Contribuyentes de una persona moral da cuenta </w:t>
      </w:r>
      <w:r w:rsidRPr="004D4F60">
        <w:rPr>
          <w:rFonts w:ascii="Palatino Linotype" w:hAnsi="Palatino Linotype" w:cs="Tahoma"/>
          <w:bCs/>
        </w:rPr>
        <w:t>del</w:t>
      </w:r>
      <w:r w:rsidRPr="004D4F60">
        <w:rPr>
          <w:rFonts w:ascii="Palatino Linotype" w:hAnsi="Palatino Linotype" w:cs="Tahoma"/>
          <w:bCs/>
          <w:lang w:val="es-ES" w:eastAsia="en-US"/>
        </w:rPr>
        <w:t xml:space="preserve"> cumplimiento o no en sus obligaciones fiscales; por tanto, no se actualiza su clasificación como confidencial.</w:t>
      </w:r>
    </w:p>
    <w:p w:rsidR="0026182F" w:rsidRPr="004D4F60" w:rsidRDefault="0026182F" w:rsidP="0026182F">
      <w:pPr>
        <w:jc w:val="both"/>
        <w:rPr>
          <w:rFonts w:ascii="Palatino Linotype" w:hAnsi="Palatino Linotype" w:cs="Tahoma"/>
          <w:b/>
          <w:bCs/>
          <w:lang w:eastAsia="en-US"/>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lang w:val="es-ES" w:eastAsia="en-US"/>
        </w:rPr>
      </w:pPr>
      <w:r w:rsidRPr="004D4F60">
        <w:rPr>
          <w:rFonts w:ascii="Palatino Linotype" w:hAnsi="Palatino Linotype" w:cs="Tahoma"/>
          <w:bCs/>
          <w:lang w:val="es-ES" w:eastAsia="en-US"/>
        </w:rPr>
        <w:t>Además, resulta aplicable el Criterio orientador 08/19 emitido por el Instituto Nacional de Transparencia, Acceso a la Información y Protección de Datos Personales, que señala lo siguiente:</w:t>
      </w:r>
    </w:p>
    <w:p w:rsidR="0026182F" w:rsidRPr="004D4F60" w:rsidRDefault="0026182F" w:rsidP="0026182F">
      <w:pPr>
        <w:ind w:left="567" w:right="-716"/>
        <w:jc w:val="both"/>
        <w:rPr>
          <w:rFonts w:ascii="Palatino Linotype" w:hAnsi="Palatino Linotype" w:cs="Tahoma"/>
          <w:bCs/>
          <w:i/>
          <w:lang w:eastAsia="en-US"/>
        </w:rPr>
      </w:pPr>
      <w:r w:rsidRPr="004D4F60">
        <w:rPr>
          <w:rFonts w:ascii="Palatino Linotype" w:hAnsi="Palatino Linotype" w:cs="Tahoma"/>
          <w:b/>
          <w:bCs/>
          <w:i/>
          <w:lang w:eastAsia="en-US"/>
        </w:rPr>
        <w:t xml:space="preserve">Razón social y RFC de personas morales. </w:t>
      </w:r>
      <w:r w:rsidRPr="004D4F60">
        <w:rPr>
          <w:rFonts w:ascii="Palatino Linotype" w:hAnsi="Palatino Linotype" w:cs="Tahoma"/>
          <w:bCs/>
          <w:i/>
          <w:lang w:eastAsia="en-U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26182F" w:rsidRPr="004D4F60" w:rsidRDefault="0026182F" w:rsidP="0026182F">
      <w:pPr>
        <w:spacing w:line="360" w:lineRule="auto"/>
        <w:ind w:right="-93"/>
        <w:jc w:val="both"/>
        <w:rPr>
          <w:rFonts w:ascii="Palatino Linotype" w:hAnsi="Palatino Linotype" w:cs="Tahoma"/>
          <w:bCs/>
          <w:lang w:val="es-ES" w:eastAsia="en-US"/>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lang w:val="es-ES" w:eastAsia="en-US"/>
        </w:rPr>
      </w:pPr>
      <w:r w:rsidRPr="004D4F60">
        <w:rPr>
          <w:rFonts w:ascii="Palatino Linotype" w:hAnsi="Palatino Linotype" w:cs="Tahoma"/>
          <w:bCs/>
          <w:lang w:val="es-ES" w:eastAsia="en-US"/>
        </w:rPr>
        <w:t>Dicho criterio, precisa que el Registro Federal de Contribuyentes de personas morales, es público, al no referir a hechos o actos de carácter económico, contable, jurídico o administrativo que sean útiles o representen una ventaja a sus competidores.</w:t>
      </w:r>
    </w:p>
    <w:p w:rsidR="0026182F" w:rsidRPr="004D4F60" w:rsidRDefault="0026182F" w:rsidP="0026182F">
      <w:pPr>
        <w:spacing w:line="360" w:lineRule="auto"/>
        <w:ind w:right="-93"/>
        <w:jc w:val="both"/>
        <w:rPr>
          <w:rFonts w:ascii="Palatino Linotype" w:hAnsi="Palatino Linotype" w:cs="Tahoma"/>
          <w:bCs/>
          <w:lang w:val="es-ES" w:eastAsia="en-US"/>
        </w:rPr>
      </w:pPr>
    </w:p>
    <w:p w:rsidR="0026182F" w:rsidRPr="004D4F60" w:rsidRDefault="0026182F" w:rsidP="005F7127">
      <w:pPr>
        <w:numPr>
          <w:ilvl w:val="0"/>
          <w:numId w:val="1"/>
        </w:numPr>
        <w:spacing w:line="360" w:lineRule="auto"/>
        <w:ind w:left="0" w:right="-879" w:firstLine="0"/>
        <w:jc w:val="both"/>
        <w:rPr>
          <w:rFonts w:ascii="Palatino Linotype" w:hAnsi="Palatino Linotype" w:cs="Tahoma"/>
          <w:bCs/>
          <w:lang w:eastAsia="en-US"/>
        </w:rPr>
      </w:pPr>
      <w:r w:rsidRPr="004D4F60">
        <w:rPr>
          <w:rFonts w:ascii="Palatino Linotype" w:hAnsi="Palatino Linotype" w:cs="Tahoma"/>
          <w:bCs/>
          <w:lang w:val="es-ES" w:eastAsia="en-US"/>
        </w:rPr>
        <w:t xml:space="preserve">De tales circunstancias, el </w:t>
      </w:r>
      <w:r w:rsidRPr="004D4F60">
        <w:rPr>
          <w:rFonts w:ascii="Palatino Linotype" w:hAnsi="Palatino Linotype" w:cs="Tahoma"/>
          <w:b/>
          <w:bCs/>
          <w:lang w:val="es-ES" w:eastAsia="en-US"/>
        </w:rPr>
        <w:t>Registro Federal de Contribuyentes de personas</w:t>
      </w:r>
      <w:r w:rsidRPr="004D4F60">
        <w:rPr>
          <w:rFonts w:ascii="Palatino Linotype" w:hAnsi="Palatino Linotype" w:cs="Tahoma"/>
          <w:b/>
          <w:bCs/>
          <w:lang w:eastAsia="en-US"/>
        </w:rPr>
        <w:t xml:space="preserve"> morales, no actualizan la causal de clasificación</w:t>
      </w:r>
      <w:r w:rsidRPr="004D4F60">
        <w:rPr>
          <w:rFonts w:ascii="Palatino Linotype" w:hAnsi="Palatino Linotype" w:cs="Tahoma"/>
          <w:bCs/>
          <w:lang w:eastAsia="en-US"/>
        </w:rPr>
        <w:t>, prevista en el artículo 143, fracción I de la Ley de Transparencia y Acceso a la Información Pública del Estado de México y Municipios, al ser de naturaleza pública.</w:t>
      </w:r>
    </w:p>
    <w:p w:rsidR="0026182F" w:rsidRPr="004D4F60" w:rsidRDefault="0026182F" w:rsidP="0026182F">
      <w:pPr>
        <w:spacing w:line="360" w:lineRule="auto"/>
        <w:ind w:right="-787"/>
        <w:jc w:val="both"/>
        <w:rPr>
          <w:rFonts w:ascii="Palatino Linotype" w:hAnsi="Palatino Linotype" w:cs="Tahoma"/>
          <w:bCs/>
          <w:lang w:eastAsia="en-US"/>
        </w:rPr>
      </w:pPr>
    </w:p>
    <w:p w:rsidR="0026182F" w:rsidRPr="004D4F60" w:rsidRDefault="0026182F" w:rsidP="005F7127">
      <w:pPr>
        <w:numPr>
          <w:ilvl w:val="0"/>
          <w:numId w:val="1"/>
        </w:numPr>
        <w:spacing w:line="360" w:lineRule="auto"/>
        <w:ind w:left="0" w:right="-879" w:firstLine="0"/>
        <w:jc w:val="both"/>
      </w:pPr>
      <w:r w:rsidRPr="004D4F60">
        <w:rPr>
          <w:rFonts w:ascii="Palatino Linotype" w:hAnsi="Palatino Linotype" w:cs="Tahoma"/>
          <w:bCs/>
          <w:lang w:val="es-ES" w:eastAsia="en-US"/>
        </w:rPr>
        <w:lastRenderedPageBreak/>
        <w:t>Además</w:t>
      </w:r>
      <w:r w:rsidRPr="004D4F60">
        <w:rPr>
          <w:rFonts w:ascii="Palatino Linotype" w:hAnsi="Palatino Linotype"/>
          <w:color w:val="000000"/>
        </w:rPr>
        <w:t xml:space="preserve">, las </w:t>
      </w:r>
      <w:r w:rsidRPr="004D4F60">
        <w:rPr>
          <w:rFonts w:ascii="Palatino Linotype" w:hAnsi="Palatino Linotype" w:cs="Tahoma"/>
          <w:bCs/>
          <w:lang w:val="es-ES" w:eastAsia="en-US"/>
        </w:rPr>
        <w:t>personas</w:t>
      </w:r>
      <w:r w:rsidRPr="004D4F60">
        <w:rPr>
          <w:rFonts w:ascii="Palatino Linotype" w:hAnsi="Palatino Linotype"/>
          <w:color w:val="000000"/>
        </w:rPr>
        <w:t xml:space="preserve"> físicas que realicen las actividades contratadas por las instituciones, renuncian </w:t>
      </w:r>
      <w:r w:rsidRPr="004D4F60">
        <w:rPr>
          <w:rFonts w:ascii="Palatino Linotype" w:hAnsi="Palatino Linotype" w:cs="Tahoma"/>
          <w:bCs/>
          <w:lang w:val="es-ES" w:eastAsia="en-US"/>
        </w:rPr>
        <w:t>implícitamente</w:t>
      </w:r>
      <w:r w:rsidRPr="004D4F60">
        <w:rPr>
          <w:rFonts w:ascii="Palatino Linotype" w:hAnsi="Palatino Linotype"/>
          <w:color w:val="000000"/>
        </w:rPr>
        <w:t xml:space="preserve"> a una parte de su derecho a la intimidad al obtener beneficios y lucros de los recursos públicos por dicha contratación, por lo que no puede considerarse como información clasificada lo relativo a su nombre, registro federal de contribuyentes y </w:t>
      </w:r>
      <w:r w:rsidRPr="004D4F60">
        <w:rPr>
          <w:rFonts w:ascii="Palatino Linotype" w:hAnsi="Palatino Linotype" w:cs="Tahoma"/>
          <w:bCs/>
          <w:lang w:val="es-ES" w:eastAsia="en-US"/>
        </w:rPr>
        <w:t>domicilio</w:t>
      </w:r>
      <w:r w:rsidRPr="004D4F60">
        <w:rPr>
          <w:rFonts w:ascii="Palatino Linotype" w:hAnsi="Palatino Linotype"/>
          <w:color w:val="000000"/>
        </w:rPr>
        <w:t xml:space="preserve"> fiscal, atento a que dicha información es la que puede generar certeza en los gobernados en que se está ejerciendo debidamente el presupuesto.</w:t>
      </w:r>
    </w:p>
    <w:p w:rsidR="0026182F" w:rsidRPr="004D4F60" w:rsidRDefault="0026182F" w:rsidP="0026182F">
      <w:pPr>
        <w:spacing w:line="360" w:lineRule="auto"/>
        <w:ind w:right="276"/>
        <w:jc w:val="both"/>
      </w:pPr>
    </w:p>
    <w:p w:rsidR="0026182F" w:rsidRPr="004D4F60" w:rsidRDefault="0026182F" w:rsidP="005F7127">
      <w:pPr>
        <w:numPr>
          <w:ilvl w:val="0"/>
          <w:numId w:val="1"/>
        </w:numPr>
        <w:spacing w:line="360" w:lineRule="auto"/>
        <w:ind w:left="0" w:right="-879" w:firstLine="0"/>
        <w:jc w:val="both"/>
      </w:pPr>
      <w:r w:rsidRPr="004D4F60">
        <w:rPr>
          <w:rFonts w:ascii="Palatino Linotype" w:hAnsi="Palatino Linotype"/>
          <w:color w:val="000000"/>
        </w:rPr>
        <w:t xml:space="preserve">Robustece lo anterior el criterio orientador 04/21 emitido por el Instituto Nacional de Transparencia, Acceso a la </w:t>
      </w:r>
      <w:r w:rsidRPr="004D4F60">
        <w:rPr>
          <w:rFonts w:ascii="Palatino Linotype" w:hAnsi="Palatino Linotype" w:cs="Tahoma"/>
          <w:bCs/>
          <w:lang w:val="es-ES" w:eastAsia="en-US"/>
        </w:rPr>
        <w:t>Información</w:t>
      </w:r>
      <w:r w:rsidRPr="004D4F60">
        <w:rPr>
          <w:rFonts w:ascii="Palatino Linotype" w:hAnsi="Palatino Linotype"/>
          <w:color w:val="000000"/>
        </w:rPr>
        <w:t xml:space="preserve"> y Protección de Datos Personales, INAI, el cual refiere:</w:t>
      </w:r>
    </w:p>
    <w:p w:rsidR="0026182F" w:rsidRPr="004D4F60" w:rsidRDefault="0026182F" w:rsidP="0026182F">
      <w:pPr>
        <w:ind w:left="567" w:right="-716"/>
        <w:jc w:val="both"/>
        <w:rPr>
          <w:rFonts w:ascii="Palatino Linotype" w:hAnsi="Palatino Linotype"/>
          <w:i/>
          <w:iCs/>
          <w:color w:val="000000"/>
        </w:rPr>
      </w:pPr>
      <w:r w:rsidRPr="004D4F60">
        <w:rPr>
          <w:rFonts w:ascii="Palatino Linotype" w:hAnsi="Palatino Linotype"/>
          <w:b/>
          <w:bCs/>
          <w:i/>
          <w:iCs/>
          <w:color w:val="000000"/>
        </w:rPr>
        <w:t xml:space="preserve">“Registro Federal de Contribuyentes (RFC) de personas físicas proveedoras o contratistas. </w:t>
      </w:r>
      <w:r w:rsidRPr="004D4F60">
        <w:rPr>
          <w:rFonts w:ascii="Palatino Linotype" w:hAnsi="Palatino Linotype"/>
          <w:i/>
          <w:iCs/>
          <w:color w:val="000000"/>
        </w:rPr>
        <w:t xml:space="preserve">El RFC de contratistas o proveedores de los sujetos obligados debe ser público, ya que al tratarse de personas con contrataciones públicas, su difusión favorece la </w:t>
      </w:r>
      <w:r w:rsidRPr="004D4F60">
        <w:rPr>
          <w:rFonts w:ascii="Palatino Linotype" w:hAnsi="Palatino Linotype" w:cs="Tahoma"/>
          <w:bCs/>
          <w:i/>
          <w:lang w:eastAsia="en-US"/>
        </w:rPr>
        <w:t>transparencia</w:t>
      </w:r>
      <w:r w:rsidRPr="004D4F60">
        <w:rPr>
          <w:rFonts w:ascii="Palatino Linotype" w:hAnsi="Palatino Linotype"/>
          <w:i/>
          <w:iCs/>
          <w:color w:val="000000"/>
        </w:rPr>
        <w:t xml:space="preserve"> con la que deben administrarse los recursos públicos, en términos del artículo 134 de la Constitución Política de los Estados Unidos Mexicanos.”</w:t>
      </w:r>
    </w:p>
    <w:p w:rsidR="0026182F" w:rsidRPr="004D4F60" w:rsidRDefault="0026182F" w:rsidP="0026182F">
      <w:pPr>
        <w:jc w:val="both"/>
        <w:rPr>
          <w:rFonts w:ascii="Palatino Linotype" w:hAnsi="Palatino Linotype" w:cs="Tahoma"/>
          <w:bCs/>
          <w:iCs/>
        </w:rPr>
      </w:pPr>
    </w:p>
    <w:p w:rsidR="0026182F" w:rsidRPr="004D4F60" w:rsidRDefault="0026182F" w:rsidP="0026182F">
      <w:pPr>
        <w:jc w:val="both"/>
        <w:rPr>
          <w:rFonts w:ascii="Palatino Linotype" w:hAnsi="Palatino Linotype" w:cs="Tahoma"/>
          <w:bCs/>
          <w:iCs/>
        </w:rPr>
      </w:pPr>
    </w:p>
    <w:p w:rsidR="0026182F" w:rsidRPr="004D4F60" w:rsidRDefault="0026182F" w:rsidP="0026182F">
      <w:pPr>
        <w:numPr>
          <w:ilvl w:val="0"/>
          <w:numId w:val="20"/>
        </w:numPr>
        <w:spacing w:line="360" w:lineRule="auto"/>
        <w:jc w:val="both"/>
        <w:rPr>
          <w:rFonts w:ascii="Palatino Linotype" w:hAnsi="Palatino Linotype" w:cs="Tahoma"/>
          <w:b/>
        </w:rPr>
      </w:pPr>
      <w:r w:rsidRPr="004D4F60">
        <w:rPr>
          <w:rFonts w:ascii="Palatino Linotype" w:hAnsi="Palatino Linotype" w:cs="Tahoma"/>
          <w:b/>
        </w:rPr>
        <w:t>Clave Única de Registro de Población (CURP).</w:t>
      </w:r>
    </w:p>
    <w:p w:rsidR="0026182F" w:rsidRPr="004D4F60" w:rsidRDefault="0026182F" w:rsidP="00E82FD0">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De igual manera la </w:t>
      </w:r>
      <w:r w:rsidRPr="004D4F60">
        <w:rPr>
          <w:rFonts w:ascii="Palatino Linotype" w:eastAsia="Palatino Linotype" w:hAnsi="Palatino Linotype" w:cs="Palatino Linotype"/>
          <w:b/>
        </w:rPr>
        <w:t>Clave Única de Registro de Población (CURP),</w:t>
      </w:r>
      <w:r w:rsidRPr="004D4F60">
        <w:rPr>
          <w:rFonts w:ascii="Palatino Linotype" w:eastAsia="Palatino Linotype" w:hAnsi="Palatino Linotype" w:cs="Palatino Linotype"/>
        </w:rPr>
        <w:t xml:space="preserve"> constituye un dato personal, ya que tiene </w:t>
      </w:r>
      <w:r w:rsidRPr="004D4F60">
        <w:rPr>
          <w:rFonts w:ascii="Palatino Linotype" w:hAnsi="Palatino Linotype"/>
          <w:color w:val="000000"/>
        </w:rPr>
        <w:t>como</w:t>
      </w:r>
      <w:r w:rsidRPr="004D4F60">
        <w:rPr>
          <w:rFonts w:ascii="Palatino Linotype" w:eastAsia="Palatino Linotype" w:hAnsi="Palatino Linotype" w:cs="Palatino Linotype"/>
        </w:rPr>
        <w:t xml:space="preserve">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6182F" w:rsidRPr="004D4F60" w:rsidRDefault="0026182F" w:rsidP="0026182F">
      <w:pPr>
        <w:tabs>
          <w:tab w:val="left" w:pos="284"/>
        </w:tabs>
        <w:spacing w:line="360" w:lineRule="auto"/>
        <w:jc w:val="both"/>
        <w:rPr>
          <w:rFonts w:ascii="Palatino Linotype" w:eastAsia="Palatino Linotype" w:hAnsi="Palatino Linotype" w:cs="Palatino Linotype"/>
        </w:rPr>
      </w:pPr>
    </w:p>
    <w:p w:rsidR="0026182F" w:rsidRPr="004D4F60" w:rsidRDefault="0026182F" w:rsidP="00E82FD0">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lastRenderedPageBreak/>
        <w:t xml:space="preserve">Argumento que es compartido por el Instituto Nacional de Transparencia, Acceso a la Información y Protección </w:t>
      </w:r>
      <w:r w:rsidRPr="004D4F60">
        <w:rPr>
          <w:rFonts w:ascii="Palatino Linotype" w:hAnsi="Palatino Linotype"/>
          <w:color w:val="000000"/>
        </w:rPr>
        <w:t>de</w:t>
      </w:r>
      <w:r w:rsidRPr="004D4F60">
        <w:rPr>
          <w:rFonts w:ascii="Palatino Linotype" w:eastAsia="Palatino Linotype" w:hAnsi="Palatino Linotype" w:cs="Palatino Linotype"/>
        </w:rPr>
        <w:t xml:space="preserve"> Datos Personales, INAI, conforme al criterio orientador 18/17, el cual refiere: </w:t>
      </w:r>
    </w:p>
    <w:p w:rsidR="0026182F" w:rsidRPr="004D4F60" w:rsidRDefault="0026182F" w:rsidP="0026182F">
      <w:pPr>
        <w:ind w:left="567" w:right="-716"/>
        <w:jc w:val="both"/>
        <w:rPr>
          <w:rFonts w:ascii="Palatino Linotype" w:eastAsia="Palatino Linotype" w:hAnsi="Palatino Linotype" w:cs="Palatino Linotype"/>
          <w:i/>
        </w:rPr>
      </w:pPr>
      <w:r w:rsidRPr="004D4F60">
        <w:rPr>
          <w:rFonts w:ascii="Palatino Linotype" w:eastAsia="Palatino Linotype" w:hAnsi="Palatino Linotype" w:cs="Palatino Linotype"/>
          <w:b/>
          <w:i/>
        </w:rPr>
        <w:t xml:space="preserve">“Clave Única de Registro de Población (CURP). </w:t>
      </w:r>
      <w:r w:rsidRPr="004D4F60">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6182F" w:rsidRPr="004D4F60" w:rsidRDefault="0026182F" w:rsidP="0026182F">
      <w:pPr>
        <w:pBdr>
          <w:top w:val="nil"/>
          <w:left w:val="nil"/>
          <w:bottom w:val="nil"/>
          <w:right w:val="nil"/>
          <w:between w:val="nil"/>
        </w:pBdr>
        <w:spacing w:line="360" w:lineRule="auto"/>
        <w:ind w:right="-787"/>
        <w:jc w:val="both"/>
        <w:rPr>
          <w:rFonts w:ascii="Palatino Linotype" w:eastAsia="Palatino Linotype" w:hAnsi="Palatino Linotype" w:cs="Palatino Linotype"/>
          <w:bCs/>
        </w:rPr>
      </w:pPr>
    </w:p>
    <w:p w:rsidR="0026182F" w:rsidRPr="004D4F60" w:rsidRDefault="0026182F" w:rsidP="0026182F">
      <w:pPr>
        <w:pStyle w:val="Prrafodelista"/>
        <w:numPr>
          <w:ilvl w:val="0"/>
          <w:numId w:val="22"/>
        </w:numPr>
        <w:pBdr>
          <w:top w:val="nil"/>
          <w:left w:val="nil"/>
          <w:bottom w:val="nil"/>
          <w:right w:val="nil"/>
          <w:between w:val="nil"/>
        </w:pBdr>
        <w:spacing w:line="360" w:lineRule="auto"/>
        <w:ind w:right="-787"/>
        <w:jc w:val="both"/>
        <w:rPr>
          <w:rFonts w:ascii="Palatino Linotype" w:eastAsia="Palatino Linotype" w:hAnsi="Palatino Linotype" w:cs="Palatino Linotype"/>
          <w:b/>
          <w:bCs/>
          <w:sz w:val="24"/>
        </w:rPr>
      </w:pPr>
      <w:r w:rsidRPr="004D4F60">
        <w:rPr>
          <w:rFonts w:ascii="Palatino Linotype" w:hAnsi="Palatino Linotype"/>
          <w:b/>
          <w:color w:val="000000"/>
          <w:sz w:val="24"/>
        </w:rPr>
        <w:t>Cuentas bancarias o clabes interbancarias</w:t>
      </w:r>
    </w:p>
    <w:p w:rsidR="0026182F" w:rsidRPr="004D4F60" w:rsidRDefault="0026182F" w:rsidP="00E82FD0">
      <w:pPr>
        <w:numPr>
          <w:ilvl w:val="0"/>
          <w:numId w:val="1"/>
        </w:numPr>
        <w:spacing w:line="360" w:lineRule="auto"/>
        <w:ind w:left="0" w:right="-879" w:firstLine="0"/>
        <w:jc w:val="both"/>
      </w:pPr>
      <w:r w:rsidRPr="004D4F60">
        <w:rPr>
          <w:rFonts w:ascii="Palatino Linotype" w:eastAsia="Palatino Linotype" w:hAnsi="Palatino Linotype" w:cs="Palatino Linotype"/>
        </w:rPr>
        <w:t xml:space="preserve">Resulta </w:t>
      </w:r>
      <w:r w:rsidRPr="004D4F60">
        <w:rPr>
          <w:rFonts w:ascii="Palatino Linotype" w:hAnsi="Palatino Linotype"/>
          <w:color w:val="000000"/>
        </w:rPr>
        <w:t>importante</w:t>
      </w:r>
      <w:r w:rsidRPr="004D4F60">
        <w:rPr>
          <w:rFonts w:ascii="Palatino Linotype" w:eastAsia="Palatino Linotype" w:hAnsi="Palatino Linotype" w:cs="Palatino Linotype"/>
        </w:rPr>
        <w:t xml:space="preserve"> señalar que </w:t>
      </w:r>
      <w:r w:rsidRPr="004D4F60">
        <w:rPr>
          <w:rFonts w:ascii="Palatino Linotype" w:hAnsi="Palatino Linotype"/>
          <w:color w:val="000000"/>
        </w:rPr>
        <w:t>tratándose de las cuentas bancarias o clabes interbancarias de los Sujetos Obligados ya que su publicidad cede a la rendición de cuentas al transparentar la forma en que son administrados los recursos públicos.</w:t>
      </w:r>
    </w:p>
    <w:p w:rsidR="0026182F" w:rsidRPr="004D4F60" w:rsidRDefault="0026182F" w:rsidP="0026182F">
      <w:pPr>
        <w:spacing w:line="360" w:lineRule="auto"/>
        <w:ind w:right="276"/>
        <w:jc w:val="both"/>
      </w:pPr>
    </w:p>
    <w:p w:rsidR="0026182F" w:rsidRPr="004D4F60" w:rsidRDefault="0026182F" w:rsidP="00E82FD0">
      <w:pPr>
        <w:numPr>
          <w:ilvl w:val="0"/>
          <w:numId w:val="1"/>
        </w:numPr>
        <w:spacing w:line="360" w:lineRule="auto"/>
        <w:ind w:left="0" w:right="-879" w:firstLine="0"/>
        <w:jc w:val="both"/>
      </w:pPr>
      <w:r w:rsidRPr="004D4F60">
        <w:rPr>
          <w:rFonts w:ascii="Palatino Linotype" w:hAnsi="Palatino Linotype"/>
          <w:color w:val="000000"/>
        </w:rPr>
        <w:t>Lo argumentado encuentra sustento en los criterios orientadores 10/17 y 11/17 emitidos por el Instituto Nacional de Transparencia, Acceso a la Información y Protección de Datos Personales, INAI, que llevan por rubro y texto los siguientes:</w:t>
      </w:r>
    </w:p>
    <w:p w:rsidR="0026182F" w:rsidRPr="004D4F60" w:rsidRDefault="0026182F" w:rsidP="0026182F">
      <w:pPr>
        <w:pStyle w:val="NormalWeb"/>
        <w:spacing w:before="240" w:beforeAutospacing="0" w:after="240" w:afterAutospacing="0"/>
        <w:ind w:left="567" w:right="-291"/>
        <w:jc w:val="both"/>
      </w:pPr>
      <w:r w:rsidRPr="004D4F60">
        <w:rPr>
          <w:rFonts w:ascii="Palatino Linotype" w:hAnsi="Palatino Linotype"/>
          <w:b/>
          <w:bCs/>
          <w:i/>
          <w:iCs/>
          <w:color w:val="000000"/>
        </w:rPr>
        <w:t>“Cuentas bancarias y/o CLABE interbancaria de personas físicas y morales privadas.</w:t>
      </w:r>
      <w:r w:rsidRPr="004D4F60">
        <w:rPr>
          <w:rFonts w:ascii="Palatino Linotype" w:hAnsi="Palatino Linotype"/>
          <w:i/>
          <w:iCs/>
          <w:color w:val="00000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6182F" w:rsidRPr="004D4F60" w:rsidRDefault="0026182F" w:rsidP="0026182F">
      <w:pPr>
        <w:pStyle w:val="NormalWeb"/>
        <w:spacing w:before="240" w:beforeAutospacing="0" w:after="240" w:afterAutospacing="0"/>
        <w:ind w:left="567" w:right="-291"/>
        <w:jc w:val="both"/>
        <w:rPr>
          <w:rFonts w:ascii="Palatino Linotype" w:hAnsi="Palatino Linotype"/>
          <w:i/>
          <w:iCs/>
          <w:color w:val="000000"/>
        </w:rPr>
      </w:pPr>
      <w:r w:rsidRPr="004D4F60">
        <w:rPr>
          <w:rFonts w:ascii="Palatino Linotype" w:hAnsi="Palatino Linotype"/>
          <w:b/>
          <w:bCs/>
          <w:i/>
          <w:iCs/>
          <w:color w:val="000000"/>
        </w:rPr>
        <w:t>Cuentas bancarias y/o CLABE interbancaria de sujetos obligados que reciben y/o transfieren recursos públicos, son información pública</w:t>
      </w:r>
      <w:r w:rsidRPr="004D4F60">
        <w:rPr>
          <w:rFonts w:ascii="Palatino Linotype" w:hAnsi="Palatino Linotype"/>
          <w:i/>
          <w:iCs/>
          <w:color w:val="000000"/>
        </w:rPr>
        <w:t xml:space="preserve">. La difusión de las cuentas bancarias y claves interbancarias pertenecientes a un sujeto obligado favorece la rendición </w:t>
      </w:r>
      <w:r w:rsidRPr="004D4F60">
        <w:rPr>
          <w:rFonts w:ascii="Palatino Linotype" w:hAnsi="Palatino Linotype"/>
          <w:i/>
          <w:iCs/>
          <w:color w:val="000000"/>
        </w:rPr>
        <w:lastRenderedPageBreak/>
        <w:t>de cuentas al transparentar la forma en que se administran los recursos públicos, razón por la cual no pueden considerarse como información clasificada.”</w:t>
      </w:r>
    </w:p>
    <w:p w:rsidR="0026182F" w:rsidRPr="004D4F60" w:rsidRDefault="0026182F" w:rsidP="0026182F">
      <w:pPr>
        <w:pStyle w:val="NormalWeb"/>
        <w:spacing w:before="240" w:beforeAutospacing="0" w:after="240" w:afterAutospacing="0"/>
        <w:ind w:right="1127"/>
        <w:jc w:val="both"/>
        <w:rPr>
          <w:rFonts w:ascii="Palatino Linotype" w:hAnsi="Palatino Linotype"/>
          <w:i/>
          <w:iCs/>
          <w:color w:val="000000"/>
        </w:rPr>
      </w:pPr>
    </w:p>
    <w:p w:rsidR="0026182F" w:rsidRPr="004D4F60" w:rsidRDefault="0026182F" w:rsidP="00E82FD0">
      <w:pPr>
        <w:numPr>
          <w:ilvl w:val="0"/>
          <w:numId w:val="1"/>
        </w:numPr>
        <w:spacing w:line="360" w:lineRule="auto"/>
        <w:ind w:left="0" w:right="-879" w:firstLine="0"/>
        <w:jc w:val="both"/>
        <w:rPr>
          <w:rFonts w:ascii="Palatino Linotype" w:eastAsia="Palatino Linotype" w:hAnsi="Palatino Linotype" w:cs="Palatino Linotype"/>
          <w:bCs/>
        </w:rPr>
      </w:pPr>
      <w:r w:rsidRPr="004D4F60">
        <w:rPr>
          <w:rFonts w:ascii="Palatino Linotype" w:eastAsia="Palatino Linotype" w:hAnsi="Palatino Linotype" w:cs="Palatino Linotype"/>
        </w:rPr>
        <w:t xml:space="preserve">Si bien las cuentas bancarias y/o CLABE de personas que </w:t>
      </w:r>
      <w:r w:rsidRPr="004D4F60">
        <w:rPr>
          <w:rFonts w:ascii="Palatino Linotype" w:eastAsia="Palatino Linotype" w:hAnsi="Palatino Linotype" w:cs="Palatino Linotype"/>
          <w:bCs/>
          <w:iCs/>
        </w:rPr>
        <w:t xml:space="preserve">reciben y/o transfieren recursos </w:t>
      </w:r>
      <w:r w:rsidRPr="004D4F60">
        <w:rPr>
          <w:rFonts w:ascii="Palatino Linotype" w:hAnsi="Palatino Linotype"/>
          <w:color w:val="000000"/>
        </w:rPr>
        <w:t>públicos</w:t>
      </w:r>
      <w:r w:rsidRPr="004D4F60">
        <w:rPr>
          <w:rFonts w:ascii="Palatino Linotype" w:eastAsia="Palatino Linotype" w:hAnsi="Palatino Linotype" w:cs="Palatino Linotype"/>
        </w:rPr>
        <w:t xml:space="preserve"> corresponden a datos personales, </w:t>
      </w:r>
      <w:r w:rsidRPr="004D4F60">
        <w:rPr>
          <w:rFonts w:ascii="Palatino Linotype" w:eastAsia="Palatino Linotype" w:hAnsi="Palatino Linotype" w:cs="Palatino Linotype"/>
          <w:bCs/>
        </w:rPr>
        <w:t>no actualizan la causal de clasificación establecida en el artículo 143, fracción I, de la Ley de Transparencia y Acceso a la Información Pública del Estado de México y Municipios.</w:t>
      </w:r>
    </w:p>
    <w:p w:rsidR="0026182F" w:rsidRPr="004D4F60" w:rsidRDefault="0026182F" w:rsidP="0026182F">
      <w:pPr>
        <w:spacing w:line="360" w:lineRule="auto"/>
        <w:ind w:right="-93"/>
        <w:jc w:val="both"/>
        <w:rPr>
          <w:rFonts w:ascii="Palatino Linotype" w:hAnsi="Palatino Linotype" w:cs="Tahoma"/>
          <w:bCs/>
          <w:lang w:val="es-ES" w:eastAsia="en-US"/>
        </w:rPr>
      </w:pPr>
    </w:p>
    <w:p w:rsidR="0026182F" w:rsidRPr="004D4F60" w:rsidRDefault="0026182F" w:rsidP="0026182F">
      <w:pPr>
        <w:pStyle w:val="Prrafodelista"/>
        <w:numPr>
          <w:ilvl w:val="0"/>
          <w:numId w:val="21"/>
        </w:numPr>
        <w:spacing w:line="360" w:lineRule="auto"/>
        <w:jc w:val="both"/>
        <w:rPr>
          <w:rFonts w:ascii="Palatino Linotype" w:hAnsi="Palatino Linotype" w:cs="Tahoma"/>
          <w:b/>
          <w:sz w:val="24"/>
          <w:lang w:val="es-ES" w:eastAsia="en-US"/>
        </w:rPr>
      </w:pPr>
      <w:r w:rsidRPr="004D4F60">
        <w:rPr>
          <w:rFonts w:ascii="Palatino Linotype" w:hAnsi="Palatino Linotype" w:cs="Tahoma"/>
          <w:b/>
          <w:sz w:val="24"/>
          <w:lang w:val="es-ES" w:eastAsia="en-US"/>
        </w:rPr>
        <w:t>Nombre, firma y rúbrica de representante legal.</w:t>
      </w: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hAnsi="Palatino Linotype" w:cs="Tahoma"/>
          <w:lang w:val="es-ES"/>
        </w:rPr>
        <w:t xml:space="preserve">Al respecto, </w:t>
      </w:r>
      <w:r w:rsidRPr="004D4F60">
        <w:rPr>
          <w:rFonts w:ascii="Palatino Linotype" w:eastAsia="Palatino Linotype" w:hAnsi="Palatino Linotype" w:cs="Palatino Linotype"/>
        </w:rPr>
        <w:t>resulta</w:t>
      </w:r>
      <w:r w:rsidRPr="004D4F60">
        <w:rPr>
          <w:rFonts w:ascii="Palatino Linotype" w:hAnsi="Palatino Linotype" w:cs="Tahoma"/>
          <w:lang w:val="es-ES"/>
        </w:rPr>
        <w:t xml:space="preserve"> </w:t>
      </w:r>
      <w:r w:rsidRPr="004D4F60">
        <w:rPr>
          <w:rFonts w:ascii="Palatino Linotype" w:hAnsi="Palatino Linotype"/>
          <w:color w:val="000000"/>
        </w:rPr>
        <w:t>necesario</w:t>
      </w:r>
      <w:r w:rsidRPr="004D4F60">
        <w:rPr>
          <w:rFonts w:ascii="Palatino Linotype" w:hAnsi="Palatino Linotype" w:cs="Tahoma"/>
          <w:lang w:val="es-ES"/>
        </w:rPr>
        <w:t xml:space="preserve"> señalar que las personas jurídico colectivas son representadas mediante personas físicas, debidamente acreditadas para realizar determinados actos a nombre de la jurídico-colectiva, por lo que, el nombre de dichos individuos no </w:t>
      </w:r>
      <w:r w:rsidRPr="004D4F60">
        <w:rPr>
          <w:rFonts w:ascii="Palatino Linotype" w:eastAsia="Palatino Linotype" w:hAnsi="Palatino Linotype" w:cs="Palatino Linotype"/>
        </w:rPr>
        <w:t>puede</w:t>
      </w:r>
      <w:r w:rsidRPr="004D4F60">
        <w:rPr>
          <w:rFonts w:ascii="Palatino Linotype" w:hAnsi="Palatino Linotype" w:cs="Tahoma"/>
          <w:lang w:val="es-ES"/>
        </w:rPr>
        <w:t xml:space="preserve"> ser objeto de clasificación, en virtud de que la representación persigue la finalidad de dar certeza jurídica a los actos que realiza, en el presente caso, solicitar y recibir diversas Licencias de Funcionamiento.</w:t>
      </w:r>
    </w:p>
    <w:p w:rsidR="0026182F" w:rsidRPr="004D4F60" w:rsidRDefault="0026182F" w:rsidP="0026182F">
      <w:pPr>
        <w:spacing w:line="360" w:lineRule="auto"/>
        <w:jc w:val="both"/>
        <w:rPr>
          <w:rFonts w:ascii="Palatino Linotype" w:hAnsi="Palatino Linotype" w:cs="Tahoma"/>
          <w:lang w:val="es-ES"/>
        </w:rPr>
      </w:pP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hAnsi="Palatino Linotype" w:cs="Tahoma"/>
          <w:lang w:val="es-ES"/>
        </w:rPr>
        <w:t xml:space="preserve">En ese </w:t>
      </w:r>
      <w:r w:rsidRPr="004D4F60">
        <w:rPr>
          <w:rFonts w:ascii="Palatino Linotype" w:eastAsia="Palatino Linotype" w:hAnsi="Palatino Linotype" w:cs="Palatino Linotype"/>
        </w:rPr>
        <w:t>sentido</w:t>
      </w:r>
      <w:r w:rsidRPr="004D4F60">
        <w:rPr>
          <w:rFonts w:ascii="Palatino Linotype" w:hAnsi="Palatino Linotype" w:cs="Tahoma"/>
          <w:lang w:val="es-ES"/>
        </w:rPr>
        <w:t>,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0026182F" w:rsidRPr="004D4F60" w:rsidRDefault="0026182F" w:rsidP="0026182F">
      <w:pPr>
        <w:spacing w:line="360" w:lineRule="auto"/>
        <w:jc w:val="both"/>
        <w:rPr>
          <w:rFonts w:ascii="Palatino Linotype" w:hAnsi="Palatino Linotype" w:cs="Tahoma"/>
          <w:lang w:val="es-ES"/>
        </w:rPr>
      </w:pP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hAnsi="Palatino Linotype" w:cs="Tahoma"/>
          <w:lang w:val="es-ES"/>
        </w:rPr>
        <w:t xml:space="preserve">En esa tesitura, la </w:t>
      </w:r>
      <w:r w:rsidRPr="004D4F60">
        <w:rPr>
          <w:rFonts w:ascii="Palatino Linotype" w:eastAsia="Palatino Linotype" w:hAnsi="Palatino Linotype" w:cs="Palatino Linotype"/>
        </w:rPr>
        <w:t>representación</w:t>
      </w:r>
      <w:r w:rsidRPr="004D4F60">
        <w:rPr>
          <w:rFonts w:ascii="Palatino Linotype" w:hAnsi="Palatino Linotype" w:cs="Tahoma"/>
          <w:lang w:val="es-ES"/>
        </w:rPr>
        <w:t xml:space="preserve"> de las personas morales se realizará por medio de representantes o </w:t>
      </w:r>
      <w:r w:rsidRPr="004D4F60">
        <w:rPr>
          <w:rFonts w:ascii="Palatino Linotype" w:eastAsia="Palatino Linotype" w:hAnsi="Palatino Linotype" w:cs="Palatino Linotype"/>
        </w:rPr>
        <w:t>apoderados</w:t>
      </w:r>
      <w:r w:rsidRPr="004D4F60">
        <w:rPr>
          <w:rFonts w:ascii="Palatino Linotype" w:hAnsi="Palatino Linotype" w:cs="Tahoma"/>
          <w:lang w:val="es-ES"/>
        </w:rPr>
        <w:t>, y en el caso específico de las sociedades mercantiles, dicha representación se otorgará mediante instrumento público.</w:t>
      </w: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hAnsi="Palatino Linotype" w:cs="Tahoma"/>
          <w:lang w:val="es-ES"/>
        </w:rPr>
        <w:lastRenderedPageBreak/>
        <w:t xml:space="preserve">Ello, toda vez que la representación legal debe ser conocida para surtir efectos ante terceros; es decir, la publicidad </w:t>
      </w:r>
      <w:r w:rsidRPr="004D4F60">
        <w:rPr>
          <w:rFonts w:ascii="Palatino Linotype" w:eastAsia="Palatino Linotype" w:hAnsi="Palatino Linotype" w:cs="Palatino Linotype"/>
        </w:rPr>
        <w:t>de</w:t>
      </w:r>
      <w:r w:rsidRPr="004D4F60">
        <w:rPr>
          <w:rFonts w:ascii="Palatino Linotype" w:hAnsi="Palatino Linotype" w:cs="Tahoma"/>
          <w:lang w:val="es-ES"/>
        </w:rPr>
        <w:t xml:space="preserve"> la misma tiene por objeto dar certeza a quienes se relacionan con la persona jurídico-colectiva representada, que las actuaciones de su representante están previamente autorizadas y que surtirán efectos legales a que constriñe cada acto.</w:t>
      </w:r>
    </w:p>
    <w:p w:rsidR="0026182F" w:rsidRPr="004D4F60" w:rsidRDefault="0026182F" w:rsidP="0026182F">
      <w:pPr>
        <w:spacing w:line="360" w:lineRule="auto"/>
        <w:jc w:val="both"/>
        <w:rPr>
          <w:rFonts w:ascii="Palatino Linotype" w:hAnsi="Palatino Linotype" w:cs="Tahoma"/>
          <w:lang w:val="es-ES"/>
        </w:rPr>
      </w:pP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hAnsi="Palatino Linotype" w:cs="Tahoma"/>
          <w:lang w:val="es-ES"/>
        </w:rPr>
        <w:t xml:space="preserve">En ese orden de ideas, </w:t>
      </w:r>
      <w:r w:rsidRPr="004D4F60">
        <w:rPr>
          <w:rFonts w:ascii="Palatino Linotype" w:eastAsia="Palatino Linotype" w:hAnsi="Palatino Linotype" w:cs="Palatino Linotype"/>
        </w:rPr>
        <w:t>se</w:t>
      </w:r>
      <w:r w:rsidRPr="004D4F60">
        <w:rPr>
          <w:rFonts w:ascii="Palatino Linotype" w:hAnsi="Palatino Linotype" w:cs="Tahoma"/>
          <w:lang w:val="es-ES"/>
        </w:rPr>
        <w:t xml:space="preserve"> estima que si bien, el nombre es uno de los atributos de la personalidad y la manifestación principal del derecho subjetivo a la identidad, en virtud de que hace una persona física identificada o identificable; lo cierto es que el </w:t>
      </w:r>
      <w:r w:rsidRPr="004D4F60">
        <w:rPr>
          <w:rFonts w:ascii="Palatino Linotype" w:hAnsi="Palatino Linotype" w:cs="Tahoma"/>
          <w:b/>
          <w:lang w:val="es-ES"/>
        </w:rPr>
        <w:t>nombre, la firma y la rúbrica del apoderado legal de una empresa</w:t>
      </w:r>
      <w:r w:rsidRPr="004D4F60">
        <w:rPr>
          <w:rFonts w:ascii="Palatino Linotype" w:hAnsi="Palatino Linotype" w:cs="Tahoma"/>
          <w:lang w:val="es-ES"/>
        </w:rPr>
        <w:t xml:space="preserve">, </w:t>
      </w:r>
      <w:r w:rsidRPr="004D4F60">
        <w:rPr>
          <w:rFonts w:ascii="Palatino Linotype" w:hAnsi="Palatino Linotype" w:cs="Tahoma"/>
          <w:b/>
          <w:lang w:val="es-ES"/>
        </w:rPr>
        <w:t xml:space="preserve">es público, </w:t>
      </w:r>
      <w:r w:rsidRPr="004D4F60">
        <w:rPr>
          <w:rFonts w:ascii="Palatino Linotype" w:hAnsi="Palatino Linotype" w:cs="Tahoma"/>
          <w:lang w:val="es-ES"/>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0026182F" w:rsidRPr="004D4F60" w:rsidRDefault="0026182F" w:rsidP="0026182F">
      <w:pPr>
        <w:spacing w:line="360" w:lineRule="auto"/>
        <w:jc w:val="both"/>
        <w:rPr>
          <w:rFonts w:ascii="Palatino Linotype" w:hAnsi="Palatino Linotype" w:cs="Tahoma"/>
          <w:lang w:val="es-ES"/>
        </w:rPr>
      </w:pP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hAnsi="Palatino Linotype" w:cs="Tahoma"/>
          <w:lang w:val="es-ES"/>
        </w:rPr>
        <w:t xml:space="preserve">Lo anterior, se robustece con el criterio orientador 01/19, emitido por el Instituto Nacional de </w:t>
      </w:r>
      <w:r w:rsidRPr="004D4F60">
        <w:rPr>
          <w:rFonts w:ascii="Palatino Linotype" w:eastAsia="Palatino Linotype" w:hAnsi="Palatino Linotype" w:cs="Palatino Linotype"/>
        </w:rPr>
        <w:t>Transparencia</w:t>
      </w:r>
      <w:r w:rsidRPr="004D4F60">
        <w:rPr>
          <w:rFonts w:ascii="Palatino Linotype" w:hAnsi="Palatino Linotype" w:cs="Tahoma"/>
          <w:lang w:val="es-ES"/>
        </w:rPr>
        <w:t>, Acceso a la Información Pública y Protección de Datos Personales, que establece lo siguiente:</w:t>
      </w:r>
    </w:p>
    <w:p w:rsidR="0026182F" w:rsidRPr="004D4F60" w:rsidRDefault="0026182F" w:rsidP="0026182F">
      <w:pPr>
        <w:ind w:right="-788"/>
        <w:jc w:val="both"/>
        <w:rPr>
          <w:rFonts w:ascii="Palatino Linotype" w:hAnsi="Palatino Linotype" w:cs="Tahoma"/>
          <w:lang w:val="es-ES"/>
        </w:rPr>
      </w:pPr>
    </w:p>
    <w:p w:rsidR="0026182F" w:rsidRPr="004D4F60" w:rsidRDefault="0026182F" w:rsidP="0026182F">
      <w:pPr>
        <w:tabs>
          <w:tab w:val="left" w:pos="8080"/>
        </w:tabs>
        <w:ind w:left="567" w:right="-716"/>
        <w:jc w:val="both"/>
        <w:rPr>
          <w:rFonts w:ascii="Palatino Linotype" w:hAnsi="Palatino Linotype" w:cs="Tahoma"/>
          <w:i/>
          <w:lang w:val="es-ES"/>
        </w:rPr>
      </w:pPr>
      <w:r w:rsidRPr="004D4F60">
        <w:rPr>
          <w:rFonts w:ascii="Palatino Linotype" w:hAnsi="Palatino Linotype" w:cs="Tahoma"/>
          <w:b/>
          <w:i/>
        </w:rPr>
        <w:t>Datos de identificación del representante o apoderado legal.</w:t>
      </w:r>
      <w:r w:rsidRPr="004D4F60">
        <w:rPr>
          <w:rFonts w:ascii="Palatino Linotype" w:hAnsi="Palatino Linotype" w:cs="Tahoma"/>
          <w:i/>
        </w:rPr>
        <w:t xml:space="preserve"> </w:t>
      </w:r>
      <w:r w:rsidRPr="004D4F60">
        <w:rPr>
          <w:rFonts w:ascii="Palatino Linotype" w:hAnsi="Palatino Linotype" w:cs="Tahoma"/>
          <w:b/>
          <w:i/>
        </w:rPr>
        <w:t xml:space="preserve">Naturaleza jurídica. </w:t>
      </w:r>
      <w:r w:rsidRPr="004D4F60">
        <w:rPr>
          <w:rFonts w:ascii="Palatino Linotype" w:hAnsi="Palatino Linotype" w:cs="Tahoma"/>
          <w:i/>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26182F" w:rsidRPr="004D4F60" w:rsidRDefault="0026182F" w:rsidP="0026182F">
      <w:pPr>
        <w:spacing w:line="360" w:lineRule="auto"/>
        <w:jc w:val="both"/>
        <w:rPr>
          <w:rFonts w:ascii="Palatino Linotype" w:hAnsi="Palatino Linotype" w:cs="Tahoma"/>
          <w:lang w:val="es-ES"/>
        </w:rPr>
      </w:pP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hAnsi="Palatino Linotype" w:cs="Tahoma"/>
          <w:lang w:val="es-ES"/>
        </w:rPr>
        <w:t xml:space="preserve">Ante tales </w:t>
      </w:r>
      <w:r w:rsidRPr="004D4F60">
        <w:rPr>
          <w:rFonts w:ascii="Palatino Linotype" w:eastAsia="Palatino Linotype" w:hAnsi="Palatino Linotype" w:cs="Palatino Linotype"/>
        </w:rPr>
        <w:t>situaciones</w:t>
      </w:r>
      <w:r w:rsidRPr="004D4F60">
        <w:rPr>
          <w:rFonts w:ascii="Palatino Linotype" w:hAnsi="Palatino Linotype" w:cs="Tahoma"/>
          <w:lang w:val="es-ES"/>
        </w:rPr>
        <w:t xml:space="preserve">, </w:t>
      </w:r>
      <w:r w:rsidRPr="004D4F60">
        <w:rPr>
          <w:rFonts w:ascii="Palatino Linotype" w:hAnsi="Palatino Linotype" w:cs="Tahoma"/>
          <w:b/>
          <w:lang w:val="es-ES"/>
        </w:rPr>
        <w:t>el nombre, firma y rúbrica del representante legal</w:t>
      </w:r>
      <w:r w:rsidRPr="004D4F60">
        <w:rPr>
          <w:rFonts w:ascii="Palatino Linotype" w:hAnsi="Palatino Linotype" w:cs="Tahoma"/>
          <w:lang w:val="es-ES"/>
        </w:rPr>
        <w:t xml:space="preserve">, de una persona jurídica colectiva que solicitó una Licencia de Funcionamiento, </w:t>
      </w:r>
      <w:r w:rsidRPr="004D4F60">
        <w:rPr>
          <w:rFonts w:ascii="Palatino Linotype" w:hAnsi="Palatino Linotype" w:cs="Tahoma"/>
          <w:b/>
          <w:lang w:val="es-ES"/>
        </w:rPr>
        <w:t>no es susceptible de ser clasificado como confidencial</w:t>
      </w:r>
      <w:r w:rsidRPr="004D4F60">
        <w:rPr>
          <w:rFonts w:ascii="Palatino Linotype" w:hAnsi="Palatino Linotype" w:cs="Tahoma"/>
          <w:lang w:val="es-ES"/>
        </w:rPr>
        <w:t xml:space="preserve">, en términos del artículo 143, fracción I de la Ley Federal de </w:t>
      </w:r>
      <w:r w:rsidRPr="004D4F60">
        <w:rPr>
          <w:rFonts w:ascii="Palatino Linotype" w:hAnsi="Palatino Linotype" w:cs="Tahoma"/>
          <w:lang w:val="es-ES"/>
        </w:rPr>
        <w:lastRenderedPageBreak/>
        <w:t>Transparencia y Acceso a la Información Pública; inclusive ayuda a rendir cuentas, de que dicha autorización fue entregada a la persona adecuada.</w:t>
      </w:r>
    </w:p>
    <w:p w:rsidR="0026182F" w:rsidRPr="004D4F60" w:rsidRDefault="0026182F" w:rsidP="0026182F">
      <w:pPr>
        <w:spacing w:line="360" w:lineRule="auto"/>
        <w:ind w:right="-787"/>
        <w:jc w:val="both"/>
        <w:rPr>
          <w:rFonts w:ascii="Palatino Linotype" w:hAnsi="Palatino Linotype" w:cs="Tahoma"/>
          <w:lang w:val="es-ES"/>
        </w:rPr>
      </w:pPr>
    </w:p>
    <w:p w:rsidR="0026182F" w:rsidRPr="004D4F60" w:rsidRDefault="0026182F" w:rsidP="0026182F">
      <w:pPr>
        <w:pStyle w:val="Prrafodelista"/>
        <w:numPr>
          <w:ilvl w:val="0"/>
          <w:numId w:val="22"/>
        </w:numPr>
        <w:shd w:val="clear" w:color="auto" w:fill="FFFFFF" w:themeFill="background1"/>
        <w:spacing w:line="360" w:lineRule="auto"/>
        <w:jc w:val="both"/>
        <w:rPr>
          <w:rFonts w:ascii="Palatino Linotype" w:hAnsi="Palatino Linotype" w:cs="Tahoma"/>
          <w:b/>
          <w:sz w:val="24"/>
        </w:rPr>
      </w:pPr>
      <w:r w:rsidRPr="004D4F60">
        <w:rPr>
          <w:rFonts w:ascii="Palatino Linotype" w:hAnsi="Palatino Linotype" w:cs="Tahoma"/>
          <w:b/>
          <w:sz w:val="24"/>
        </w:rPr>
        <w:t>Domicilio Fiscal o legal (proveedor persona física o moral)</w:t>
      </w:r>
    </w:p>
    <w:p w:rsidR="0026182F" w:rsidRPr="004D4F60" w:rsidRDefault="0026182F" w:rsidP="00E82FD0">
      <w:pPr>
        <w:numPr>
          <w:ilvl w:val="0"/>
          <w:numId w:val="1"/>
        </w:numPr>
        <w:spacing w:line="360" w:lineRule="auto"/>
        <w:ind w:left="0" w:right="-879" w:firstLine="0"/>
        <w:jc w:val="both"/>
        <w:rPr>
          <w:rFonts w:ascii="Palatino Linotype" w:hAnsi="Palatino Linotype" w:cs="Tahoma"/>
          <w:lang w:val="es-ES"/>
        </w:rPr>
      </w:pPr>
      <w:r w:rsidRPr="004D4F60">
        <w:rPr>
          <w:rFonts w:ascii="Palatino Linotype" w:eastAsia="Palatino Linotype" w:hAnsi="Palatino Linotype" w:cs="Palatino Linotype"/>
        </w:rPr>
        <w:t>De</w:t>
      </w:r>
      <w:r w:rsidRPr="004D4F60">
        <w:rPr>
          <w:rFonts w:ascii="Palatino Linotype" w:hAnsi="Palatino Linotype" w:cs="Tahoma"/>
          <w:lang w:val="es-ES"/>
        </w:rPr>
        <w:t xml:space="preserv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26182F" w:rsidRPr="004D4F60" w:rsidRDefault="0026182F" w:rsidP="0026182F">
      <w:pPr>
        <w:spacing w:line="360" w:lineRule="auto"/>
        <w:ind w:right="-787"/>
        <w:jc w:val="both"/>
        <w:rPr>
          <w:rFonts w:ascii="Palatino Linotype" w:hAnsi="Palatino Linotype" w:cs="Tahoma"/>
          <w:lang w:val="es-ES"/>
        </w:rPr>
      </w:pPr>
    </w:p>
    <w:p w:rsidR="0026182F" w:rsidRPr="004D4F60" w:rsidRDefault="0026182F" w:rsidP="00E82FD0">
      <w:pPr>
        <w:numPr>
          <w:ilvl w:val="0"/>
          <w:numId w:val="1"/>
        </w:numPr>
        <w:spacing w:line="360" w:lineRule="auto"/>
        <w:ind w:left="0" w:right="-879" w:firstLine="0"/>
        <w:jc w:val="both"/>
        <w:rPr>
          <w:rFonts w:ascii="Palatino Linotype" w:hAnsi="Palatino Linotype" w:cs="Tahoma"/>
          <w:bCs/>
          <w:iCs/>
          <w:lang w:val="es-ES"/>
        </w:rPr>
      </w:pPr>
      <w:r w:rsidRPr="004D4F60">
        <w:rPr>
          <w:rFonts w:ascii="Palatino Linotype" w:hAnsi="Palatino Linotype" w:cs="Tahoma"/>
          <w:bCs/>
          <w:iCs/>
          <w:lang w:val="es-ES"/>
        </w:rPr>
        <w:t xml:space="preserve">Además, </w:t>
      </w:r>
      <w:r w:rsidRPr="004D4F60">
        <w:rPr>
          <w:rFonts w:ascii="Palatino Linotype" w:hAnsi="Palatino Linotype" w:cs="Tahoma"/>
          <w:lang w:val="es-ES"/>
        </w:rPr>
        <w:t>respecto</w:t>
      </w:r>
      <w:r w:rsidRPr="004D4F60">
        <w:rPr>
          <w:rFonts w:ascii="Palatino Linotype" w:hAnsi="Palatino Linotype" w:cs="Tahoma"/>
          <w:bCs/>
          <w:iCs/>
          <w:lang w:val="es-ES"/>
        </w:rPr>
        <w:t xml:space="preserve"> al domicilio fiscal, resulta necesario traer el artículo 22 del Código Financiero del Estado de México y Municipios, que establece:</w:t>
      </w:r>
    </w:p>
    <w:p w:rsidR="0026182F" w:rsidRPr="004D4F60" w:rsidRDefault="0026182F" w:rsidP="0026182F">
      <w:pPr>
        <w:tabs>
          <w:tab w:val="left" w:pos="8080"/>
        </w:tabs>
        <w:ind w:left="567" w:right="-716"/>
        <w:jc w:val="both"/>
        <w:rPr>
          <w:rFonts w:ascii="Palatino Linotype" w:hAnsi="Palatino Linotype" w:cs="Tahoma"/>
          <w:b/>
          <w:bCs/>
          <w:i/>
          <w:iCs/>
        </w:rPr>
      </w:pPr>
      <w:r w:rsidRPr="004D4F60">
        <w:rPr>
          <w:rFonts w:ascii="Palatino Linotype" w:hAnsi="Palatino Linotype" w:cs="Tahoma"/>
          <w:b/>
          <w:bCs/>
          <w:i/>
          <w:iCs/>
        </w:rPr>
        <w:t xml:space="preserve">Artículo 22.- Se considera domicilio fiscal de las personas físicas y </w:t>
      </w:r>
      <w:r w:rsidRPr="004D4F60">
        <w:rPr>
          <w:rFonts w:ascii="Palatino Linotype" w:hAnsi="Palatino Linotype" w:cs="Tahoma"/>
          <w:i/>
        </w:rPr>
        <w:t>jurídicas</w:t>
      </w:r>
      <w:r w:rsidRPr="004D4F60">
        <w:rPr>
          <w:rFonts w:ascii="Palatino Linotype" w:hAnsi="Palatino Linotype" w:cs="Tahoma"/>
          <w:b/>
          <w:bCs/>
          <w:i/>
          <w:iCs/>
        </w:rPr>
        <w:t xml:space="preserve"> colectivas: </w:t>
      </w:r>
    </w:p>
    <w:p w:rsidR="0026182F" w:rsidRPr="004D4F60" w:rsidRDefault="0026182F" w:rsidP="0026182F">
      <w:pPr>
        <w:shd w:val="clear" w:color="auto" w:fill="FFFFFF" w:themeFill="background1"/>
        <w:ind w:left="1134" w:right="902"/>
        <w:jc w:val="both"/>
        <w:rPr>
          <w:rFonts w:ascii="Palatino Linotype" w:hAnsi="Palatino Linotype" w:cs="Tahoma"/>
          <w:bCs/>
          <w:i/>
          <w:iCs/>
        </w:rPr>
      </w:pPr>
    </w:p>
    <w:p w:rsidR="0026182F" w:rsidRPr="004D4F60" w:rsidRDefault="0026182F" w:rsidP="0026182F">
      <w:pPr>
        <w:tabs>
          <w:tab w:val="left" w:pos="8080"/>
        </w:tabs>
        <w:ind w:left="567" w:right="-716"/>
        <w:jc w:val="both"/>
        <w:rPr>
          <w:rFonts w:ascii="Palatino Linotype" w:hAnsi="Palatino Linotype" w:cs="Tahoma"/>
          <w:bCs/>
          <w:i/>
          <w:iCs/>
        </w:rPr>
      </w:pPr>
      <w:r w:rsidRPr="004D4F60">
        <w:rPr>
          <w:rFonts w:ascii="Palatino Linotype" w:hAnsi="Palatino Linotype" w:cs="Tahoma"/>
          <w:bCs/>
          <w:i/>
          <w:iCs/>
        </w:rPr>
        <w:t xml:space="preserve">I. El lugar o establecimiento donde se realicen actividades que generen obligaciones fiscales. </w:t>
      </w:r>
    </w:p>
    <w:p w:rsidR="0026182F" w:rsidRPr="004D4F60" w:rsidRDefault="0026182F" w:rsidP="0026182F">
      <w:pPr>
        <w:tabs>
          <w:tab w:val="left" w:pos="8080"/>
        </w:tabs>
        <w:ind w:left="567" w:right="-716"/>
        <w:jc w:val="both"/>
        <w:rPr>
          <w:rFonts w:ascii="Palatino Linotype" w:hAnsi="Palatino Linotype" w:cs="Tahoma"/>
          <w:bCs/>
          <w:i/>
          <w:iCs/>
        </w:rPr>
      </w:pPr>
    </w:p>
    <w:p w:rsidR="0026182F" w:rsidRPr="004D4F60" w:rsidRDefault="0026182F" w:rsidP="0026182F">
      <w:pPr>
        <w:tabs>
          <w:tab w:val="left" w:pos="8080"/>
        </w:tabs>
        <w:ind w:left="567" w:right="-716"/>
        <w:jc w:val="both"/>
        <w:rPr>
          <w:rFonts w:ascii="Palatino Linotype" w:hAnsi="Palatino Linotype" w:cs="Tahoma"/>
          <w:bCs/>
          <w:i/>
          <w:iCs/>
        </w:rPr>
      </w:pPr>
      <w:r w:rsidRPr="004D4F60">
        <w:rPr>
          <w:rFonts w:ascii="Palatino Linotype" w:hAnsi="Palatino Linotype" w:cs="Tahoma"/>
          <w:bCs/>
          <w:i/>
          <w:iCs/>
        </w:rPr>
        <w:t xml:space="preserve">II. El lugar o establecimiento en que se realice el hecho generador de la obligación fiscal, cuando las actividades no se realicen en forma habitual. </w:t>
      </w:r>
    </w:p>
    <w:p w:rsidR="0026182F" w:rsidRPr="004D4F60" w:rsidRDefault="0026182F" w:rsidP="0026182F">
      <w:pPr>
        <w:tabs>
          <w:tab w:val="left" w:pos="8080"/>
        </w:tabs>
        <w:ind w:left="567" w:right="-716"/>
        <w:jc w:val="both"/>
        <w:rPr>
          <w:rFonts w:ascii="Palatino Linotype" w:hAnsi="Palatino Linotype" w:cs="Tahoma"/>
          <w:bCs/>
          <w:i/>
          <w:iCs/>
        </w:rPr>
      </w:pPr>
    </w:p>
    <w:p w:rsidR="0026182F" w:rsidRPr="004D4F60" w:rsidRDefault="0026182F" w:rsidP="0026182F">
      <w:pPr>
        <w:tabs>
          <w:tab w:val="left" w:pos="8080"/>
        </w:tabs>
        <w:ind w:left="567" w:right="-716"/>
        <w:jc w:val="both"/>
        <w:rPr>
          <w:rFonts w:ascii="Palatino Linotype" w:hAnsi="Palatino Linotype" w:cs="Tahoma"/>
          <w:bCs/>
          <w:i/>
          <w:iCs/>
        </w:rPr>
      </w:pPr>
      <w:r w:rsidRPr="004D4F60">
        <w:rPr>
          <w:rFonts w:ascii="Palatino Linotype" w:hAnsi="Palatino Linotype" w:cs="Tahoma"/>
          <w:bCs/>
          <w:i/>
          <w:iCs/>
        </w:rPr>
        <w:t xml:space="preserve">III. El inmueble en el que residan en el territorio del Estado de México, cuando realicen sus actividades en la vía pública, en puestos fijos y semifijos; </w:t>
      </w:r>
    </w:p>
    <w:p w:rsidR="0026182F" w:rsidRPr="004D4F60" w:rsidRDefault="0026182F" w:rsidP="0026182F">
      <w:pPr>
        <w:tabs>
          <w:tab w:val="left" w:pos="8080"/>
        </w:tabs>
        <w:ind w:left="567" w:right="-716"/>
        <w:jc w:val="both"/>
        <w:rPr>
          <w:rFonts w:ascii="Palatino Linotype" w:hAnsi="Palatino Linotype" w:cs="Tahoma"/>
          <w:bCs/>
          <w:i/>
          <w:iCs/>
        </w:rPr>
      </w:pPr>
    </w:p>
    <w:p w:rsidR="0026182F" w:rsidRPr="004D4F60" w:rsidRDefault="0026182F" w:rsidP="0026182F">
      <w:pPr>
        <w:tabs>
          <w:tab w:val="left" w:pos="8080"/>
        </w:tabs>
        <w:ind w:left="567" w:right="-716"/>
        <w:jc w:val="both"/>
        <w:rPr>
          <w:rFonts w:ascii="Palatino Linotype" w:hAnsi="Palatino Linotype" w:cs="Tahoma"/>
          <w:bCs/>
          <w:i/>
          <w:iCs/>
        </w:rPr>
      </w:pPr>
      <w:r w:rsidRPr="004D4F60">
        <w:rPr>
          <w:rFonts w:ascii="Palatino Linotype" w:hAnsi="Palatino Linotype" w:cs="Tahoma"/>
          <w:bCs/>
          <w:i/>
          <w:iCs/>
        </w:rPr>
        <w:t xml:space="preserve">IV. La residencia que identifique la autoridad fiscal, cuando exista certeza de que es el único lugar posible de localización del contribuyente. </w:t>
      </w:r>
    </w:p>
    <w:p w:rsidR="0026182F" w:rsidRPr="004D4F60" w:rsidRDefault="0026182F" w:rsidP="0026182F">
      <w:pPr>
        <w:tabs>
          <w:tab w:val="left" w:pos="8080"/>
        </w:tabs>
        <w:ind w:left="567" w:right="-716"/>
        <w:jc w:val="both"/>
        <w:rPr>
          <w:rFonts w:ascii="Palatino Linotype" w:hAnsi="Palatino Linotype" w:cs="Tahoma"/>
          <w:bCs/>
          <w:i/>
          <w:iCs/>
        </w:rPr>
      </w:pPr>
    </w:p>
    <w:p w:rsidR="0026182F" w:rsidRPr="004D4F60" w:rsidRDefault="0026182F" w:rsidP="0026182F">
      <w:pPr>
        <w:tabs>
          <w:tab w:val="left" w:pos="8080"/>
        </w:tabs>
        <w:ind w:left="567" w:right="-716"/>
        <w:jc w:val="both"/>
        <w:rPr>
          <w:rFonts w:ascii="Palatino Linotype" w:hAnsi="Palatino Linotype" w:cs="Tahoma"/>
          <w:bCs/>
          <w:i/>
          <w:iCs/>
        </w:rPr>
      </w:pPr>
      <w:r w:rsidRPr="004D4F60">
        <w:rPr>
          <w:rFonts w:ascii="Palatino Linotype" w:hAnsi="Palatino Linotype" w:cs="Tahoma"/>
          <w:bCs/>
          <w:i/>
          <w:iCs/>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rsidR="0026182F" w:rsidRPr="004D4F60" w:rsidRDefault="0026182F" w:rsidP="0026182F">
      <w:pPr>
        <w:tabs>
          <w:tab w:val="left" w:pos="8080"/>
        </w:tabs>
        <w:ind w:left="567" w:right="-716"/>
        <w:jc w:val="both"/>
        <w:rPr>
          <w:rFonts w:ascii="Palatino Linotype" w:hAnsi="Palatino Linotype" w:cs="Tahoma"/>
          <w:bCs/>
          <w:i/>
          <w:iCs/>
        </w:rPr>
      </w:pPr>
      <w:r w:rsidRPr="004D4F60">
        <w:rPr>
          <w:rFonts w:ascii="Palatino Linotype" w:hAnsi="Palatino Linotype" w:cs="Tahoma"/>
          <w:bCs/>
          <w:i/>
          <w:iCs/>
        </w:rPr>
        <w:t>…</w:t>
      </w:r>
    </w:p>
    <w:p w:rsidR="0026182F" w:rsidRDefault="0026182F" w:rsidP="0026182F">
      <w:pPr>
        <w:jc w:val="both"/>
        <w:rPr>
          <w:rFonts w:ascii="Palatino Linotype" w:hAnsi="Palatino Linotype" w:cs="Tahoma"/>
          <w:bCs/>
          <w:iCs/>
          <w:lang w:val="es-ES"/>
        </w:rPr>
      </w:pPr>
    </w:p>
    <w:p w:rsidR="004D4F60" w:rsidRPr="004D4F60" w:rsidRDefault="004D4F60" w:rsidP="0026182F">
      <w:pPr>
        <w:jc w:val="both"/>
        <w:rPr>
          <w:rFonts w:ascii="Palatino Linotype" w:hAnsi="Palatino Linotype" w:cs="Tahoma"/>
          <w:bCs/>
          <w:iCs/>
          <w:lang w:val="es-ES"/>
        </w:rPr>
      </w:pPr>
    </w:p>
    <w:p w:rsidR="0026182F" w:rsidRPr="004D4F60" w:rsidRDefault="0026182F" w:rsidP="0026182F">
      <w:pPr>
        <w:pStyle w:val="Prrafodelista"/>
        <w:numPr>
          <w:ilvl w:val="0"/>
          <w:numId w:val="22"/>
        </w:numPr>
        <w:spacing w:line="360" w:lineRule="auto"/>
        <w:ind w:right="-787"/>
        <w:jc w:val="both"/>
        <w:rPr>
          <w:rFonts w:ascii="Palatino Linotype" w:hAnsi="Palatino Linotype" w:cs="Tahoma"/>
          <w:b/>
          <w:bCs/>
          <w:sz w:val="24"/>
        </w:rPr>
      </w:pPr>
      <w:r w:rsidRPr="004D4F60">
        <w:rPr>
          <w:rFonts w:ascii="Palatino Linotype" w:hAnsi="Palatino Linotype" w:cs="Tahoma"/>
          <w:b/>
          <w:bCs/>
          <w:sz w:val="24"/>
        </w:rPr>
        <w:lastRenderedPageBreak/>
        <w:t>Número telefónico</w:t>
      </w:r>
    </w:p>
    <w:p w:rsidR="0026182F" w:rsidRPr="004D4F60" w:rsidRDefault="0026182F" w:rsidP="00E82FD0">
      <w:pPr>
        <w:numPr>
          <w:ilvl w:val="0"/>
          <w:numId w:val="1"/>
        </w:numPr>
        <w:spacing w:line="360" w:lineRule="auto"/>
        <w:ind w:left="0" w:right="-879" w:firstLine="0"/>
        <w:jc w:val="both"/>
        <w:rPr>
          <w:rFonts w:ascii="Palatino Linotype" w:hAnsi="Palatino Linotype" w:cs="Tahoma"/>
          <w:bCs/>
        </w:rPr>
      </w:pPr>
      <w:r w:rsidRPr="004D4F60">
        <w:rPr>
          <w:rFonts w:ascii="Palatino Linotype" w:hAnsi="Palatino Linotype" w:cs="Tahoma"/>
          <w:b/>
          <w:bCs/>
        </w:rPr>
        <w:t>Un</w:t>
      </w:r>
      <w:r w:rsidRPr="004D4F60">
        <w:rPr>
          <w:rFonts w:ascii="Palatino Linotype" w:hAnsi="Palatino Linotype" w:cs="Tahoma"/>
          <w:bCs/>
        </w:rPr>
        <w:t> </w:t>
      </w:r>
      <w:r w:rsidRPr="004D4F60">
        <w:rPr>
          <w:rFonts w:ascii="Palatino Linotype" w:hAnsi="Palatino Linotype" w:cs="Tahoma"/>
          <w:b/>
          <w:bCs/>
        </w:rPr>
        <w:t>número de teléfono</w:t>
      </w:r>
      <w:r w:rsidRPr="004D4F60">
        <w:rPr>
          <w:rFonts w:ascii="Palatino Linotype" w:hAnsi="Palatino Linotype" w:cs="Tahoma"/>
          <w:bCs/>
        </w:rPr>
        <w:t xml:space="preserve"> es </w:t>
      </w:r>
      <w:r w:rsidRPr="004D4F60">
        <w:rPr>
          <w:rFonts w:ascii="Palatino Linotype" w:hAnsi="Palatino Linotype" w:cs="Tahoma"/>
          <w:lang w:val="es-ES"/>
        </w:rPr>
        <w:t>una</w:t>
      </w:r>
      <w:r w:rsidRPr="004D4F60">
        <w:rPr>
          <w:rFonts w:ascii="Palatino Linotype" w:hAnsi="Palatino Linotype" w:cs="Tahoma"/>
          <w:bCs/>
        </w:rPr>
        <w:t xml:space="preserve"> </w:t>
      </w:r>
      <w:r w:rsidRPr="004D4F60">
        <w:rPr>
          <w:rFonts w:ascii="Palatino Linotype" w:hAnsi="Palatino Linotype" w:cs="Tahoma"/>
          <w:lang w:val="es-ES"/>
        </w:rPr>
        <w:t>secuencia</w:t>
      </w:r>
      <w:r w:rsidRPr="004D4F60">
        <w:rPr>
          <w:rFonts w:ascii="Palatino Linotype" w:hAnsi="Palatino Linotype" w:cs="Tahoma"/>
          <w:bCs/>
        </w:rPr>
        <w:t xml:space="preserve"> de </w:t>
      </w:r>
      <w:r w:rsidRPr="004D4F60">
        <w:rPr>
          <w:rStyle w:val="Hipervnculo"/>
          <w:rFonts w:ascii="Palatino Linotype" w:eastAsiaTheme="majorEastAsia" w:hAnsi="Palatino Linotype" w:cs="Tahoma"/>
          <w:bCs/>
          <w:color w:val="auto"/>
        </w:rPr>
        <w:t>dígitos</w:t>
      </w:r>
      <w:r w:rsidRPr="004D4F60">
        <w:rPr>
          <w:rFonts w:ascii="Palatino Linotype" w:hAnsi="Palatino Linotype" w:cs="Tahoma"/>
          <w:bCs/>
        </w:rPr>
        <w:t> utilizada para identificar una </w:t>
      </w:r>
      <w:r w:rsidRPr="004D4F60">
        <w:rPr>
          <w:rStyle w:val="Hipervnculo"/>
          <w:rFonts w:ascii="Palatino Linotype" w:eastAsiaTheme="majorEastAsia" w:hAnsi="Palatino Linotype" w:cs="Tahoma"/>
          <w:bCs/>
          <w:color w:val="auto"/>
        </w:rPr>
        <w:t>línea telefónica</w:t>
      </w:r>
      <w:r w:rsidRPr="004D4F60">
        <w:rPr>
          <w:rFonts w:ascii="Palatino Linotype" w:hAnsi="Palatino Linotype" w:cs="Tahoma"/>
          <w:bCs/>
        </w:rPr>
        <w:t> dentro de una </w:t>
      </w:r>
      <w:r w:rsidRPr="004D4F60">
        <w:rPr>
          <w:rStyle w:val="Hipervnculo"/>
          <w:rFonts w:ascii="Palatino Linotype" w:eastAsiaTheme="majorEastAsia" w:hAnsi="Palatino Linotype" w:cs="Tahoma"/>
          <w:bCs/>
          <w:color w:val="auto"/>
        </w:rPr>
        <w:t>Red Telefónica Conmutada</w:t>
      </w:r>
      <w:r w:rsidRPr="004D4F60">
        <w:rPr>
          <w:rFonts w:ascii="Palatino Linotype" w:hAnsi="Palatino Linotype" w:cs="Tahoma"/>
          <w:bCs/>
        </w:rPr>
        <w:t>, el número contiene la información necesaria para identificar el punto final de la llamada. Los números de teléfono están a menudo asignados a líneas que tienen conectados dispositivos distintos de un </w:t>
      </w:r>
      <w:r w:rsidRPr="004D4F60">
        <w:rPr>
          <w:rStyle w:val="Hipervnculo"/>
          <w:rFonts w:ascii="Palatino Linotype" w:eastAsiaTheme="majorEastAsia" w:hAnsi="Palatino Linotype" w:cs="Tahoma"/>
          <w:bCs/>
          <w:color w:val="auto"/>
        </w:rPr>
        <w:t>teléfono</w:t>
      </w:r>
      <w:r w:rsidRPr="004D4F60">
        <w:rPr>
          <w:rFonts w:ascii="Palatino Linotype" w:hAnsi="Palatino Linotype" w:cs="Tahoma"/>
          <w:bCs/>
        </w:rPr>
        <w:t>, tales como </w:t>
      </w:r>
      <w:r w:rsidRPr="004D4F60">
        <w:rPr>
          <w:rStyle w:val="Hipervnculo"/>
          <w:rFonts w:ascii="Palatino Linotype" w:eastAsiaTheme="majorEastAsia" w:hAnsi="Palatino Linotype" w:cs="Tahoma"/>
          <w:bCs/>
          <w:color w:val="auto"/>
        </w:rPr>
        <w:t>faxes</w:t>
      </w:r>
      <w:r w:rsidRPr="004D4F60">
        <w:rPr>
          <w:rFonts w:ascii="Palatino Linotype" w:hAnsi="Palatino Linotype" w:cs="Tahoma"/>
          <w:bCs/>
        </w:rPr>
        <w:t> y </w:t>
      </w:r>
      <w:r w:rsidRPr="004D4F60">
        <w:rPr>
          <w:rStyle w:val="Hipervnculo"/>
          <w:rFonts w:ascii="Palatino Linotype" w:eastAsiaTheme="majorEastAsia" w:hAnsi="Palatino Linotype" w:cs="Tahoma"/>
          <w:bCs/>
          <w:color w:val="auto"/>
        </w:rPr>
        <w:t>módems</w:t>
      </w:r>
      <w:r w:rsidRPr="004D4F60">
        <w:rPr>
          <w:rFonts w:ascii="Palatino Linotype" w:hAnsi="Palatino Linotype" w:cs="Tahoma"/>
          <w:bCs/>
        </w:rPr>
        <w:t>. Cada uno de esos </w:t>
      </w:r>
      <w:r w:rsidRPr="004D4F60">
        <w:rPr>
          <w:rStyle w:val="Hipervnculo"/>
          <w:rFonts w:ascii="Palatino Linotype" w:eastAsiaTheme="majorEastAsia" w:hAnsi="Palatino Linotype" w:cs="Tahoma"/>
          <w:bCs/>
          <w:color w:val="auto"/>
        </w:rPr>
        <w:t>puntos de terminación de red</w:t>
      </w:r>
      <w:r w:rsidRPr="004D4F60">
        <w:rPr>
          <w:rFonts w:ascii="Palatino Linotype" w:hAnsi="Palatino Linotype" w:cs="Tahoma"/>
          <w:bCs/>
        </w:rPr>
        <w:t> deben de tener un número único en la red para poder realizar una </w:t>
      </w:r>
      <w:r w:rsidRPr="004D4F60">
        <w:rPr>
          <w:rStyle w:val="Hipervnculo"/>
          <w:rFonts w:ascii="Palatino Linotype" w:eastAsiaTheme="majorEastAsia" w:hAnsi="Palatino Linotype" w:cs="Tahoma"/>
          <w:bCs/>
          <w:color w:val="auto"/>
        </w:rPr>
        <w:t>llamada telefónica</w:t>
      </w:r>
      <w:r w:rsidRPr="004D4F60">
        <w:rPr>
          <w:rFonts w:ascii="Palatino Linotype" w:hAnsi="Palatino Linotype" w:cs="Tahoma"/>
          <w:bCs/>
        </w:rPr>
        <w:t>.</w:t>
      </w:r>
    </w:p>
    <w:p w:rsidR="0026182F" w:rsidRPr="004D4F60" w:rsidRDefault="0026182F" w:rsidP="0026182F">
      <w:pPr>
        <w:spacing w:line="360" w:lineRule="auto"/>
        <w:ind w:right="-93"/>
        <w:jc w:val="both"/>
        <w:rPr>
          <w:rFonts w:ascii="Palatino Linotype" w:hAnsi="Palatino Linotype" w:cs="Tahoma"/>
          <w:bCs/>
        </w:rPr>
      </w:pPr>
    </w:p>
    <w:p w:rsidR="0026182F" w:rsidRPr="004D4F60" w:rsidRDefault="0026182F" w:rsidP="0026182F">
      <w:pPr>
        <w:pStyle w:val="Prrafodelista"/>
        <w:numPr>
          <w:ilvl w:val="0"/>
          <w:numId w:val="22"/>
        </w:numPr>
        <w:spacing w:line="360" w:lineRule="auto"/>
        <w:jc w:val="both"/>
        <w:rPr>
          <w:rFonts w:ascii="Palatino Linotype" w:hAnsi="Palatino Linotype" w:cs="Tahoma"/>
          <w:sz w:val="24"/>
        </w:rPr>
      </w:pPr>
      <w:r w:rsidRPr="004D4F60">
        <w:rPr>
          <w:rFonts w:ascii="Palatino Linotype" w:hAnsi="Palatino Linotype" w:cs="Tahoma"/>
          <w:b/>
          <w:sz w:val="24"/>
        </w:rPr>
        <w:t>Correo electrónico</w:t>
      </w:r>
    </w:p>
    <w:p w:rsidR="0026182F" w:rsidRPr="004D4F60" w:rsidRDefault="0026182F" w:rsidP="00E82FD0">
      <w:pPr>
        <w:numPr>
          <w:ilvl w:val="0"/>
          <w:numId w:val="1"/>
        </w:numPr>
        <w:spacing w:line="360" w:lineRule="auto"/>
        <w:ind w:left="0" w:right="-879" w:firstLine="0"/>
        <w:jc w:val="both"/>
        <w:rPr>
          <w:rFonts w:ascii="Palatino Linotype" w:hAnsi="Palatino Linotype" w:cs="Tahoma"/>
          <w:bCs/>
          <w:lang w:eastAsia="en-US"/>
        </w:rPr>
      </w:pPr>
      <w:r w:rsidRPr="004D4F60">
        <w:rPr>
          <w:rFonts w:ascii="Palatino Linotype" w:hAnsi="Palatino Linotype" w:cs="Tahoma"/>
          <w:b/>
          <w:bCs/>
        </w:rPr>
        <w:t>El</w:t>
      </w:r>
      <w:r w:rsidRPr="004D4F60">
        <w:rPr>
          <w:rFonts w:ascii="Palatino Linotype" w:hAnsi="Palatino Linotype" w:cs="Tahoma"/>
          <w:bCs/>
          <w:lang w:eastAsia="en-US"/>
        </w:rPr>
        <w:t xml:space="preserve"> </w:t>
      </w:r>
      <w:r w:rsidRPr="004D4F60">
        <w:rPr>
          <w:rFonts w:ascii="Palatino Linotype" w:hAnsi="Palatino Linotype" w:cs="Tahoma"/>
          <w:b/>
          <w:bCs/>
          <w:lang w:eastAsia="en-US"/>
        </w:rPr>
        <w:t>correo electrónico</w:t>
      </w:r>
      <w:r w:rsidRPr="004D4F60">
        <w:rPr>
          <w:rFonts w:ascii="Palatino Linotype" w:hAnsi="Palatino Linotype" w:cs="Tahoma"/>
          <w:bCs/>
          <w:lang w:eastAsia="en-US"/>
        </w:rPr>
        <w:t xml:space="preserve"> es un siste</w:t>
      </w:r>
      <w:r w:rsidRPr="004D4F60">
        <w:rPr>
          <w:rFonts w:ascii="Palatino Linotype" w:hAnsi="Palatino Linotype" w:cs="Tahoma"/>
          <w:lang w:val="es-ES"/>
        </w:rPr>
        <w:t>m</w:t>
      </w:r>
      <w:r w:rsidRPr="004D4F60">
        <w:rPr>
          <w:rFonts w:ascii="Palatino Linotype" w:hAnsi="Palatino Linotype" w:cs="Tahoma"/>
          <w:bCs/>
          <w:lang w:eastAsia="en-US"/>
        </w:rPr>
        <w:t>a d</w:t>
      </w:r>
      <w:r w:rsidRPr="004D4F60">
        <w:rPr>
          <w:rFonts w:ascii="Palatino Linotype" w:hAnsi="Palatino Linotype" w:cs="Tahoma"/>
          <w:lang w:val="es-ES"/>
        </w:rPr>
        <w:t>e</w:t>
      </w:r>
      <w:r w:rsidRPr="004D4F60">
        <w:rPr>
          <w:rFonts w:ascii="Palatino Linotype" w:hAnsi="Palatino Linotype" w:cs="Tahoma"/>
          <w:bCs/>
          <w:lang w:eastAsia="en-US"/>
        </w:rPr>
        <w:t xml:space="preserve"> transmisión de mensajes a través de internet.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26182F" w:rsidRPr="004D4F60" w:rsidRDefault="0026182F" w:rsidP="0026182F">
      <w:pPr>
        <w:spacing w:line="360" w:lineRule="auto"/>
        <w:jc w:val="both"/>
      </w:pPr>
    </w:p>
    <w:p w:rsidR="0026182F" w:rsidRPr="004D4F60" w:rsidRDefault="0026182F" w:rsidP="00E82FD0">
      <w:pPr>
        <w:numPr>
          <w:ilvl w:val="0"/>
          <w:numId w:val="1"/>
        </w:numPr>
        <w:spacing w:line="360" w:lineRule="auto"/>
        <w:ind w:left="0" w:right="-879" w:firstLine="0"/>
        <w:jc w:val="both"/>
        <w:rPr>
          <w:rFonts w:ascii="Palatino Linotype" w:hAnsi="Palatino Linotype" w:cs="Tahoma"/>
          <w:bCs/>
        </w:rPr>
      </w:pPr>
      <w:r w:rsidRPr="004D4F60">
        <w:rPr>
          <w:rFonts w:ascii="Palatino Linotype" w:hAnsi="Palatino Linotype" w:cs="Tahoma"/>
          <w:bCs/>
        </w:rPr>
        <w:t xml:space="preserve">Al respecto debe </w:t>
      </w:r>
      <w:r w:rsidRPr="004D4F60">
        <w:rPr>
          <w:rFonts w:ascii="Palatino Linotype" w:hAnsi="Palatino Linotype" w:cs="Tahoma"/>
          <w:bCs/>
          <w:lang w:eastAsia="en-US"/>
        </w:rPr>
        <w:t>mencionarse</w:t>
      </w:r>
      <w:r w:rsidRPr="004D4F60">
        <w:rPr>
          <w:rFonts w:ascii="Palatino Linotype" w:hAnsi="Palatino Linotype" w:cs="Tahoma"/>
          <w:bCs/>
        </w:rPr>
        <w:t xml:space="preserve"> que </w:t>
      </w:r>
      <w:r w:rsidRPr="004D4F60">
        <w:rPr>
          <w:rFonts w:ascii="Palatino Linotype" w:hAnsi="Palatino Linotype" w:cs="Tahoma"/>
          <w:bCs/>
          <w:iCs/>
          <w:lang w:val="es-ES"/>
        </w:rPr>
        <w:t xml:space="preserve">conforme a lo establecido en los criterios números 16, 18 y </w:t>
      </w:r>
      <w:r w:rsidRPr="004D4F60">
        <w:rPr>
          <w:rFonts w:ascii="Palatino Linotype" w:hAnsi="Palatino Linotype" w:cs="Tahoma"/>
          <w:bCs/>
        </w:rPr>
        <w:t>19</w:t>
      </w:r>
      <w:r w:rsidRPr="004D4F60">
        <w:rPr>
          <w:rFonts w:ascii="Palatino Linotype" w:hAnsi="Palatino Linotype" w:cs="Tahoma"/>
          <w:bCs/>
          <w:iCs/>
          <w:lang w:val="es-ES"/>
        </w:rPr>
        <w:t xml:space="preserve"> de </w:t>
      </w:r>
      <w:r w:rsidRPr="004D4F60">
        <w:rPr>
          <w:rFonts w:ascii="Palatino Linotype" w:hAnsi="Palatino Linotype" w:cs="Tahoma"/>
          <w:bCs/>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artículo 70, </w:t>
      </w:r>
      <w:r w:rsidRPr="004D4F60">
        <w:rPr>
          <w:rFonts w:ascii="Palatino Linotype" w:hAnsi="Palatino Linotype" w:cs="Tahoma"/>
          <w:b/>
          <w:bCs/>
        </w:rPr>
        <w:t>el domicilio fiscal, y datos de contacto como teléfono y correo electrónico de los proveedores y contratistas, es un dato que debe ser público, motivo por el cual no es procedente que se realice su clasificación como confidencial.</w:t>
      </w:r>
    </w:p>
    <w:p w:rsidR="0026182F" w:rsidRPr="004D4F60" w:rsidRDefault="0026182F" w:rsidP="00E82FD0">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lastRenderedPageBreak/>
        <w:t xml:space="preserve">Asimismo, </w:t>
      </w:r>
      <w:r w:rsidRPr="004D4F60">
        <w:rPr>
          <w:rFonts w:ascii="Palatino Linotype" w:hAnsi="Palatino Linotype" w:cs="Tahoma"/>
          <w:bCs/>
        </w:rPr>
        <w:t>existe</w:t>
      </w:r>
      <w:r w:rsidRPr="004D4F60">
        <w:rPr>
          <w:rFonts w:ascii="Palatino Linotype" w:eastAsia="Palatino Linotype" w:hAnsi="Palatino Linotype" w:cs="Palatino Linotype"/>
        </w:rPr>
        <w:t xml:space="preserve"> diversa información en los documentos fiscales que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derivan información personal de los contribuyentes, esta se encuentra encriptada como se verá a continuación.</w:t>
      </w:r>
    </w:p>
    <w:p w:rsidR="0026182F" w:rsidRPr="004D4F60" w:rsidRDefault="0026182F" w:rsidP="0026182F">
      <w:pPr>
        <w:spacing w:line="360" w:lineRule="auto"/>
        <w:jc w:val="both"/>
        <w:rPr>
          <w:rFonts w:ascii="Palatino Linotype" w:eastAsia="Palatino Linotype" w:hAnsi="Palatino Linotype" w:cs="Palatino Linotype"/>
        </w:rPr>
      </w:pPr>
    </w:p>
    <w:p w:rsidR="0026182F" w:rsidRPr="004D4F60" w:rsidRDefault="0026182F" w:rsidP="0026182F">
      <w:pPr>
        <w:spacing w:line="360" w:lineRule="auto"/>
        <w:jc w:val="both"/>
        <w:rPr>
          <w:rFonts w:ascii="Palatino Linotype" w:eastAsia="Palatino Linotype" w:hAnsi="Palatino Linotype" w:cs="Palatino Linotype"/>
          <w:b/>
        </w:rPr>
      </w:pPr>
      <w:r w:rsidRPr="004D4F60">
        <w:rPr>
          <w:rFonts w:ascii="Palatino Linotype" w:eastAsia="Palatino Linotype" w:hAnsi="Palatino Linotype" w:cs="Palatino Linotype"/>
          <w:b/>
        </w:rPr>
        <w:t xml:space="preserve">Código Bidimensional o QR. </w:t>
      </w:r>
    </w:p>
    <w:p w:rsidR="0026182F" w:rsidRPr="004D4F60" w:rsidRDefault="0026182F" w:rsidP="00E82FD0">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En </w:t>
      </w:r>
      <w:r w:rsidRPr="004D4F60">
        <w:rPr>
          <w:rFonts w:ascii="Palatino Linotype" w:hAnsi="Palatino Linotype" w:cs="Tahoma"/>
          <w:bCs/>
        </w:rPr>
        <w:t>principio</w:t>
      </w:r>
      <w:r w:rsidRPr="004D4F60">
        <w:rPr>
          <w:rFonts w:ascii="Palatino Linotype" w:eastAsia="Palatino Linotype" w:hAnsi="Palatino Linotype" w:cs="Palatino Linotype"/>
        </w:rPr>
        <w:t xml:space="preserve">,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17">
        <w:r w:rsidRPr="004D4F60">
          <w:rPr>
            <w:rFonts w:ascii="Palatino Linotype" w:eastAsia="Palatino Linotype" w:hAnsi="Palatino Linotype" w:cs="Palatino Linotype"/>
            <w:color w:val="0000FF"/>
            <w:u w:val="single"/>
          </w:rPr>
          <w:t>http://dof.gob.mx/nota_detalle.php?codigo=5492254&amp;fecha=28/07/2017</w:t>
        </w:r>
      </w:hyperlink>
      <w:r w:rsidRPr="004D4F60">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Sujeto Obligado, como del proveedor, persona física o moral. </w:t>
      </w:r>
    </w:p>
    <w:p w:rsidR="0026182F" w:rsidRPr="004D4F60" w:rsidRDefault="0026182F" w:rsidP="0026182F">
      <w:pPr>
        <w:spacing w:line="360" w:lineRule="auto"/>
        <w:jc w:val="both"/>
        <w:rPr>
          <w:rFonts w:ascii="Palatino Linotype" w:eastAsia="Palatino Linotype" w:hAnsi="Palatino Linotype" w:cs="Palatino Linotype"/>
        </w:rPr>
      </w:pPr>
    </w:p>
    <w:p w:rsidR="0026182F" w:rsidRPr="004D4F60" w:rsidRDefault="0026182F" w:rsidP="00D96753">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En ese orden de ideas, toda vez que el </w:t>
      </w:r>
      <w:r w:rsidRPr="004D4F60">
        <w:rPr>
          <w:rFonts w:ascii="Palatino Linotype" w:eastAsia="Palatino Linotype" w:hAnsi="Palatino Linotype" w:cs="Palatino Linotype"/>
          <w:b/>
        </w:rPr>
        <w:t>código bidimensional</w:t>
      </w:r>
      <w:r w:rsidRPr="004D4F60">
        <w:rPr>
          <w:rFonts w:ascii="Palatino Linotype" w:eastAsia="Palatino Linotype" w:hAnsi="Palatino Linotype" w:cs="Palatino Linotype"/>
        </w:rPr>
        <w:t xml:space="preserve"> sólo permite el acceso al Registro Federal de Contribuyentes del proveedor y del Sujeto Obligado, los cuales guardan la naturaleza pública, se considera que </w:t>
      </w:r>
      <w:r w:rsidRPr="004D4F60">
        <w:rPr>
          <w:rFonts w:ascii="Palatino Linotype" w:eastAsia="Palatino Linotype" w:hAnsi="Palatino Linotype" w:cs="Palatino Linotype"/>
          <w:b/>
        </w:rPr>
        <w:t>no se actualiza la causal de clasificación</w:t>
      </w:r>
      <w:r w:rsidRPr="004D4F60">
        <w:rPr>
          <w:rFonts w:ascii="Palatino Linotype" w:eastAsia="Palatino Linotype" w:hAnsi="Palatino Linotype" w:cs="Palatino Linotype"/>
        </w:rPr>
        <w:t xml:space="preserve"> prevista en el artículo 143, fracción I de la Ley de la materia, toda vez que únicamente da cuenta de datos que como se analizó en párrafos anteriores, no son susceptibles a testar.</w:t>
      </w:r>
    </w:p>
    <w:p w:rsidR="0026182F" w:rsidRDefault="0026182F" w:rsidP="0026182F">
      <w:pPr>
        <w:spacing w:line="360" w:lineRule="auto"/>
        <w:jc w:val="both"/>
        <w:rPr>
          <w:rFonts w:ascii="Palatino Linotype" w:eastAsia="Palatino Linotype" w:hAnsi="Palatino Linotype" w:cs="Palatino Linotype"/>
        </w:rPr>
      </w:pPr>
    </w:p>
    <w:p w:rsidR="004D4F60" w:rsidRPr="004D4F60" w:rsidRDefault="004D4F60" w:rsidP="0026182F">
      <w:pPr>
        <w:spacing w:line="360" w:lineRule="auto"/>
        <w:jc w:val="both"/>
        <w:rPr>
          <w:rFonts w:ascii="Palatino Linotype" w:eastAsia="Palatino Linotype" w:hAnsi="Palatino Linotype" w:cs="Palatino Linotype"/>
        </w:rPr>
      </w:pPr>
    </w:p>
    <w:p w:rsidR="0026182F" w:rsidRPr="004D4F60" w:rsidRDefault="0026182F" w:rsidP="0026182F">
      <w:pPr>
        <w:ind w:right="-91"/>
        <w:jc w:val="both"/>
        <w:rPr>
          <w:rFonts w:ascii="Palatino Linotype" w:eastAsia="Palatino Linotype" w:hAnsi="Palatino Linotype" w:cs="Palatino Linotype"/>
          <w:b/>
        </w:rPr>
      </w:pPr>
      <w:r w:rsidRPr="004D4F60">
        <w:rPr>
          <w:rFonts w:ascii="Palatino Linotype" w:eastAsia="Palatino Linotype" w:hAnsi="Palatino Linotype" w:cs="Palatino Linotype"/>
          <w:b/>
        </w:rPr>
        <w:lastRenderedPageBreak/>
        <w:t>Cadenas originales y sellos.</w:t>
      </w:r>
    </w:p>
    <w:p w:rsidR="0026182F" w:rsidRPr="004D4F60" w:rsidRDefault="0026182F" w:rsidP="00D96753">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Las</w:t>
      </w:r>
      <w:r w:rsidRPr="004D4F60">
        <w:rPr>
          <w:rFonts w:ascii="Palatino Linotype" w:eastAsia="Palatino Linotype" w:hAnsi="Palatino Linotype" w:cs="Palatino Linotype"/>
          <w:b/>
        </w:rPr>
        <w:t xml:space="preserve"> cadenas originales y sellos</w:t>
      </w:r>
      <w:r w:rsidRPr="004D4F60">
        <w:rPr>
          <w:rFonts w:ascii="Palatino Linotype" w:eastAsia="Palatino Linotype" w:hAnsi="Palatino Linotype" w:cs="Palatino Linotype"/>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26182F" w:rsidRPr="004D4F60" w:rsidRDefault="0026182F" w:rsidP="0026182F">
      <w:pPr>
        <w:ind w:left="1134" w:right="992"/>
        <w:jc w:val="center"/>
        <w:rPr>
          <w:rFonts w:ascii="Palatino Linotype" w:eastAsia="Palatino Linotype" w:hAnsi="Palatino Linotype" w:cs="Palatino Linotype"/>
          <w:b/>
          <w:i/>
        </w:rPr>
      </w:pPr>
      <w:r w:rsidRPr="004D4F60">
        <w:rPr>
          <w:rFonts w:ascii="Palatino Linotype" w:eastAsia="Palatino Linotype" w:hAnsi="Palatino Linotype" w:cs="Palatino Linotype"/>
          <w:b/>
          <w:i/>
        </w:rPr>
        <w:t>“Elementos utilizados en la generación de Sellos Digitales:</w:t>
      </w:r>
    </w:p>
    <w:p w:rsidR="0026182F" w:rsidRPr="004D4F60" w:rsidRDefault="0026182F" w:rsidP="0026182F">
      <w:pPr>
        <w:ind w:left="1134" w:right="992"/>
        <w:rPr>
          <w:rFonts w:ascii="Palatino Linotype" w:eastAsia="Palatino Linotype" w:hAnsi="Palatino Linotype" w:cs="Palatino Linotype"/>
          <w:b/>
          <w:i/>
        </w:rPr>
      </w:pPr>
    </w:p>
    <w:p w:rsidR="0026182F" w:rsidRPr="004D4F60" w:rsidRDefault="0026182F" w:rsidP="0026182F">
      <w:pPr>
        <w:ind w:left="1134" w:right="992"/>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Pr="004D4F60">
        <w:rPr>
          <w:rFonts w:ascii="Palatino Linotype" w:eastAsia="Palatino Linotype" w:hAnsi="Palatino Linotype" w:cs="Palatino Linotype"/>
          <w:i/>
        </w:rPr>
        <w:tab/>
        <w:t>Cadena Original, el elemento a sellar, en este caso de un comprobante fiscal digital a través de Internet.</w:t>
      </w:r>
    </w:p>
    <w:p w:rsidR="0026182F" w:rsidRPr="004D4F60" w:rsidRDefault="0026182F" w:rsidP="0026182F">
      <w:pPr>
        <w:ind w:left="1134" w:right="992"/>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Pr="004D4F60">
        <w:rPr>
          <w:rFonts w:ascii="Palatino Linotype" w:eastAsia="Palatino Linotype" w:hAnsi="Palatino Linotype" w:cs="Palatino Linotype"/>
          <w:i/>
        </w:rPr>
        <w:tab/>
        <w:t>Certificado de Sello Digital y su correspondiente clave privada.</w:t>
      </w:r>
    </w:p>
    <w:p w:rsidR="0026182F" w:rsidRPr="004D4F60" w:rsidRDefault="0026182F" w:rsidP="0026182F">
      <w:pPr>
        <w:ind w:left="1134" w:right="992"/>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Pr="004D4F60">
        <w:rPr>
          <w:rFonts w:ascii="Palatino Linotype" w:eastAsia="Palatino Linotype" w:hAnsi="Palatino Linotype" w:cs="Palatino Linotype"/>
          <w:i/>
        </w:rPr>
        <w:tab/>
        <w:t>Algoritmos de criptografía de clave pública para firma electrónica avanzada.</w:t>
      </w:r>
    </w:p>
    <w:p w:rsidR="0026182F" w:rsidRPr="004D4F60" w:rsidRDefault="0026182F" w:rsidP="0026182F">
      <w:pPr>
        <w:ind w:left="1134" w:right="992"/>
        <w:jc w:val="both"/>
        <w:rPr>
          <w:rFonts w:ascii="Palatino Linotype" w:eastAsia="Palatino Linotype" w:hAnsi="Palatino Linotype" w:cs="Palatino Linotype"/>
          <w:i/>
        </w:rPr>
      </w:pPr>
      <w:r w:rsidRPr="004D4F60">
        <w:rPr>
          <w:rFonts w:ascii="Palatino Linotype" w:eastAsia="Palatino Linotype" w:hAnsi="Palatino Linotype" w:cs="Palatino Linotype"/>
          <w:i/>
        </w:rPr>
        <w:t>•</w:t>
      </w:r>
      <w:r w:rsidRPr="004D4F60">
        <w:rPr>
          <w:rFonts w:ascii="Palatino Linotype" w:eastAsia="Palatino Linotype" w:hAnsi="Palatino Linotype" w:cs="Palatino Linotype"/>
          <w:i/>
        </w:rPr>
        <w:tab/>
        <w:t>Especificaciones de conversión de la firma electrónica avanzada a Base 64.</w:t>
      </w:r>
    </w:p>
    <w:p w:rsidR="0026182F" w:rsidRPr="004D4F60" w:rsidRDefault="0026182F" w:rsidP="0026182F">
      <w:pPr>
        <w:ind w:left="1134" w:right="992"/>
        <w:jc w:val="both"/>
        <w:rPr>
          <w:rFonts w:ascii="Palatino Linotype" w:eastAsia="Palatino Linotype" w:hAnsi="Palatino Linotype" w:cs="Palatino Linotype"/>
          <w:i/>
        </w:rPr>
      </w:pPr>
      <w:r w:rsidRPr="004D4F60">
        <w:rPr>
          <w:rFonts w:ascii="Palatino Linotype" w:eastAsia="Palatino Linotype" w:hAnsi="Palatino Linotype" w:cs="Palatino Linotype"/>
          <w:i/>
        </w:rPr>
        <w:t>Para la generación de sellos digitales se utiliza criptografía de clave pública aplicada a una cadena original.</w:t>
      </w:r>
    </w:p>
    <w:p w:rsidR="0026182F" w:rsidRPr="004D4F60" w:rsidRDefault="0026182F" w:rsidP="0026182F">
      <w:pPr>
        <w:ind w:left="1134" w:right="992"/>
        <w:jc w:val="both"/>
        <w:rPr>
          <w:rFonts w:ascii="Palatino Linotype" w:eastAsia="Palatino Linotype" w:hAnsi="Palatino Linotype" w:cs="Palatino Linotype"/>
          <w:i/>
        </w:rPr>
      </w:pPr>
    </w:p>
    <w:p w:rsidR="0026182F" w:rsidRPr="004D4F60" w:rsidRDefault="0026182F" w:rsidP="0026182F">
      <w:pPr>
        <w:ind w:left="1134" w:right="992"/>
        <w:jc w:val="both"/>
        <w:rPr>
          <w:rFonts w:ascii="Palatino Linotype" w:eastAsia="Palatino Linotype" w:hAnsi="Palatino Linotype" w:cs="Palatino Linotype"/>
          <w:i/>
        </w:rPr>
      </w:pPr>
      <w:r w:rsidRPr="004D4F60">
        <w:rPr>
          <w:rFonts w:ascii="Palatino Linotype" w:eastAsia="Palatino Linotype" w:hAnsi="Palatino Linotype" w:cs="Palatino Linotype"/>
          <w:i/>
        </w:rPr>
        <w:t>Criptografía de la Clave Pública</w:t>
      </w:r>
    </w:p>
    <w:p w:rsidR="0026182F" w:rsidRPr="004D4F60" w:rsidRDefault="0026182F" w:rsidP="0026182F">
      <w:pPr>
        <w:ind w:left="1134" w:right="992"/>
        <w:jc w:val="both"/>
        <w:rPr>
          <w:rFonts w:ascii="Palatino Linotype" w:eastAsia="Palatino Linotype" w:hAnsi="Palatino Linotype" w:cs="Palatino Linotype"/>
          <w:i/>
        </w:rPr>
      </w:pPr>
      <w:r w:rsidRPr="004D4F60">
        <w:rPr>
          <w:rFonts w:ascii="Palatino Linotype" w:eastAsia="Palatino Linotype" w:hAnsi="Palatino Linotype" w:cs="Palatino Linotype"/>
          <w:i/>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26182F" w:rsidRPr="004D4F60" w:rsidRDefault="0026182F" w:rsidP="0026182F">
      <w:pPr>
        <w:ind w:left="1134" w:right="992"/>
        <w:jc w:val="both"/>
        <w:rPr>
          <w:rFonts w:ascii="Palatino Linotype" w:eastAsia="Palatino Linotype" w:hAnsi="Palatino Linotype" w:cs="Palatino Linotype"/>
          <w:i/>
        </w:rPr>
      </w:pPr>
    </w:p>
    <w:p w:rsidR="0026182F" w:rsidRPr="004D4F60" w:rsidRDefault="0026182F" w:rsidP="00D96753">
      <w:pPr>
        <w:numPr>
          <w:ilvl w:val="0"/>
          <w:numId w:val="1"/>
        </w:numPr>
        <w:spacing w:line="360" w:lineRule="auto"/>
        <w:ind w:left="0" w:right="-879" w:firstLine="0"/>
        <w:jc w:val="both"/>
        <w:rPr>
          <w:rFonts w:ascii="Palatino Linotype" w:hAnsi="Palatino Linotype" w:cs="Tahoma"/>
          <w:bCs/>
        </w:rPr>
      </w:pPr>
      <w:r w:rsidRPr="004D4F60">
        <w:rPr>
          <w:rFonts w:ascii="Palatino Linotype" w:eastAsia="Palatino Linotype" w:hAnsi="Palatino Linotype" w:cs="Palatino Linotype"/>
        </w:rPr>
        <w:t xml:space="preserve">Es decir, por sí solos las </w:t>
      </w:r>
      <w:r w:rsidRPr="004D4F60">
        <w:rPr>
          <w:rFonts w:ascii="Palatino Linotype" w:eastAsia="Palatino Linotype" w:hAnsi="Palatino Linotype" w:cs="Palatino Linotype"/>
          <w:b/>
        </w:rPr>
        <w:t>cadenas originales y los sellos originales</w:t>
      </w:r>
      <w:r w:rsidRPr="004D4F60">
        <w:rPr>
          <w:rFonts w:ascii="Palatino Linotype" w:eastAsia="Palatino Linotype" w:hAnsi="Palatino Linotype" w:cs="Palatino Linotype"/>
        </w:rPr>
        <w:t xml:space="preserve"> no contienen datos personales confidenciales, por lo que se considera que </w:t>
      </w:r>
      <w:r w:rsidRPr="004D4F60">
        <w:rPr>
          <w:rFonts w:ascii="Palatino Linotype" w:eastAsia="Palatino Linotype" w:hAnsi="Palatino Linotype" w:cs="Palatino Linotype"/>
          <w:b/>
        </w:rPr>
        <w:t>no actualizan en supuesto de confidencialidad</w:t>
      </w:r>
      <w:r w:rsidRPr="004D4F60">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w:t>
      </w:r>
      <w:r w:rsidRPr="004D4F60">
        <w:rPr>
          <w:rFonts w:ascii="Palatino Linotype" w:eastAsia="Palatino Linotype" w:hAnsi="Palatino Linotype" w:cs="Palatino Linotype"/>
        </w:rPr>
        <w:lastRenderedPageBreak/>
        <w:t>que permite corroborar la legitimidad de la factura, de ser el caso, por lo que guardan el carácter de público.</w:t>
      </w:r>
    </w:p>
    <w:p w:rsidR="0026182F" w:rsidRPr="004D4F60" w:rsidRDefault="0026182F" w:rsidP="0026182F">
      <w:pPr>
        <w:spacing w:line="360" w:lineRule="auto"/>
        <w:ind w:right="1"/>
        <w:jc w:val="both"/>
        <w:rPr>
          <w:rFonts w:ascii="Palatino Linotype" w:eastAsia="Palatino Linotype" w:hAnsi="Palatino Linotype" w:cs="Palatino Linotype"/>
          <w:b/>
        </w:rPr>
      </w:pPr>
    </w:p>
    <w:p w:rsidR="0026182F" w:rsidRPr="004D4F60" w:rsidRDefault="0026182F" w:rsidP="00D96753">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En ese sentido, el </w:t>
      </w:r>
      <w:r w:rsidRPr="004D4F60">
        <w:rPr>
          <w:rFonts w:ascii="Palatino Linotype" w:eastAsia="Palatino Linotype" w:hAnsi="Palatino Linotype" w:cs="Palatino Linotype"/>
          <w:b/>
        </w:rPr>
        <w:t>SUJETO OBLIGADO</w:t>
      </w:r>
      <w:r w:rsidRPr="004D4F60">
        <w:rPr>
          <w:rFonts w:ascii="Palatino Linotype" w:eastAsia="Palatino Linotype" w:hAnsi="Palatino Linotype" w:cs="Palatino Linotype"/>
        </w:rPr>
        <w:t xml:space="preserve"> deberá de emitir el Acuerdo del Comité de Transparencia, mediante el cual de manera fundada y motivada establezca las razones por las cuales se clasifican como confidenciales los datos expuestos con anterioridad.</w:t>
      </w:r>
    </w:p>
    <w:p w:rsidR="0026182F" w:rsidRPr="004D4F60" w:rsidRDefault="0026182F" w:rsidP="0026182F">
      <w:pPr>
        <w:tabs>
          <w:tab w:val="left" w:pos="284"/>
        </w:tabs>
        <w:spacing w:line="360" w:lineRule="auto"/>
        <w:jc w:val="both"/>
        <w:rPr>
          <w:rFonts w:ascii="Palatino Linotype" w:eastAsia="Palatino Linotype" w:hAnsi="Palatino Linotype" w:cs="Palatino Linotype"/>
          <w:color w:val="000000"/>
        </w:rPr>
      </w:pPr>
    </w:p>
    <w:p w:rsidR="0026182F" w:rsidRPr="004D4F60" w:rsidRDefault="0026182F" w:rsidP="00D96753">
      <w:pPr>
        <w:numPr>
          <w:ilvl w:val="0"/>
          <w:numId w:val="1"/>
        </w:numPr>
        <w:spacing w:line="360" w:lineRule="auto"/>
        <w:ind w:left="0" w:right="-879" w:firstLine="0"/>
        <w:jc w:val="both"/>
        <w:rPr>
          <w:rFonts w:ascii="Palatino Linotype" w:eastAsia="Palatino Linotype" w:hAnsi="Palatino Linotype" w:cs="Palatino Linotype"/>
          <w:color w:val="000000"/>
        </w:rPr>
      </w:pPr>
      <w:r w:rsidRPr="004D4F60">
        <w:rPr>
          <w:rFonts w:ascii="Palatino Linotype" w:eastAsia="Palatino Linotype" w:hAnsi="Palatino Linotype" w:cs="Palatino Linotype"/>
        </w:rPr>
        <w:t xml:space="preserve">Derivado de lo establecido en párrafos anteriores, si el </w:t>
      </w:r>
      <w:r w:rsidRPr="004D4F60">
        <w:rPr>
          <w:rFonts w:ascii="Palatino Linotype" w:eastAsia="Palatino Linotype" w:hAnsi="Palatino Linotype" w:cs="Palatino Linotype"/>
          <w:b/>
        </w:rPr>
        <w:t>SUJETO OBLIGADO</w:t>
      </w:r>
      <w:r w:rsidRPr="004D4F60">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26182F" w:rsidRPr="004D4F60" w:rsidRDefault="0026182F" w:rsidP="0026182F">
      <w:pPr>
        <w:spacing w:line="360" w:lineRule="auto"/>
        <w:jc w:val="both"/>
        <w:rPr>
          <w:color w:val="000000"/>
        </w:rPr>
      </w:pPr>
    </w:p>
    <w:p w:rsidR="0026182F" w:rsidRPr="004D4F60" w:rsidRDefault="0026182F" w:rsidP="00D96753">
      <w:pPr>
        <w:numPr>
          <w:ilvl w:val="0"/>
          <w:numId w:val="1"/>
        </w:numPr>
        <w:spacing w:line="360" w:lineRule="auto"/>
        <w:ind w:left="0" w:right="-879" w:firstLine="0"/>
        <w:jc w:val="both"/>
        <w:rPr>
          <w:rFonts w:ascii="Palatino Linotype" w:eastAsia="Palatino Linotype" w:hAnsi="Palatino Linotype" w:cs="Palatino Linotype"/>
        </w:rPr>
      </w:pPr>
      <w:r w:rsidRPr="004D4F60">
        <w:rPr>
          <w:rFonts w:ascii="Palatino Linotype" w:eastAsia="Palatino Linotype" w:hAnsi="Palatino Linotype" w:cs="Palatino Linotype"/>
        </w:rPr>
        <w:t xml:space="preserve">Con fundamento en lo </w:t>
      </w:r>
      <w:r w:rsidRPr="004D4F60">
        <w:rPr>
          <w:rFonts w:ascii="Palatino Linotype" w:hAnsi="Palatino Linotype"/>
        </w:rPr>
        <w:t>prescrito</w:t>
      </w:r>
      <w:r w:rsidRPr="004D4F60">
        <w:rPr>
          <w:rFonts w:ascii="Palatino Linotype" w:eastAsia="Palatino Linotype" w:hAnsi="Palatino Linotype" w:cs="Palatino Linotype"/>
        </w:rPr>
        <w:t xml:space="preserve"> en los artículos </w:t>
      </w:r>
      <w:r w:rsidRPr="004D4F60">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4D4F60">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26182F" w:rsidRPr="004D4F60" w:rsidRDefault="0026182F" w:rsidP="0026182F">
      <w:pPr>
        <w:ind w:right="278"/>
        <w:rPr>
          <w:rFonts w:ascii="Palatino Linotype" w:eastAsia="Palatino Linotype" w:hAnsi="Palatino Linotype" w:cs="Palatino Linotype"/>
        </w:rPr>
      </w:pPr>
    </w:p>
    <w:p w:rsidR="0026182F" w:rsidRPr="004D4F60" w:rsidRDefault="0026182F" w:rsidP="0026182F">
      <w:pPr>
        <w:spacing w:line="360" w:lineRule="auto"/>
        <w:ind w:right="276"/>
        <w:jc w:val="center"/>
        <w:rPr>
          <w:rFonts w:ascii="Palatino Linotype" w:eastAsia="Palatino Linotype" w:hAnsi="Palatino Linotype" w:cs="Palatino Linotype"/>
          <w:b/>
        </w:rPr>
      </w:pPr>
      <w:r w:rsidRPr="004D4F60">
        <w:rPr>
          <w:rFonts w:ascii="Palatino Linotype" w:eastAsia="Palatino Linotype" w:hAnsi="Palatino Linotype" w:cs="Palatino Linotype"/>
          <w:b/>
        </w:rPr>
        <w:t>R E S U E L V E</w:t>
      </w:r>
    </w:p>
    <w:p w:rsidR="0026182F" w:rsidRPr="004D4F60" w:rsidRDefault="0026182F" w:rsidP="0026182F">
      <w:pPr>
        <w:spacing w:line="360" w:lineRule="auto"/>
        <w:ind w:right="-787"/>
        <w:jc w:val="center"/>
        <w:rPr>
          <w:rFonts w:ascii="Palatino Linotype" w:eastAsia="Palatino Linotype" w:hAnsi="Palatino Linotype" w:cs="Palatino Linotype"/>
          <w:b/>
        </w:rPr>
      </w:pPr>
    </w:p>
    <w:p w:rsidR="0026182F" w:rsidRPr="004D4F60" w:rsidRDefault="0026182F" w:rsidP="0026182F">
      <w:pPr>
        <w:spacing w:line="360" w:lineRule="auto"/>
        <w:ind w:right="-716"/>
        <w:jc w:val="both"/>
        <w:rPr>
          <w:rFonts w:ascii="Palatino Linotype" w:eastAsia="Palatino Linotype" w:hAnsi="Palatino Linotype" w:cs="Palatino Linotype"/>
        </w:rPr>
      </w:pPr>
      <w:r w:rsidRPr="004D4F60">
        <w:rPr>
          <w:rFonts w:ascii="Palatino Linotype" w:eastAsia="Palatino Linotype" w:hAnsi="Palatino Linotype" w:cs="Palatino Linotype"/>
          <w:b/>
        </w:rPr>
        <w:t xml:space="preserve">PRIMERO. </w:t>
      </w:r>
      <w:r w:rsidRPr="004D4F60">
        <w:rPr>
          <w:rFonts w:ascii="Palatino Linotype" w:eastAsia="Palatino Linotype" w:hAnsi="Palatino Linotype" w:cs="Palatino Linotype"/>
        </w:rPr>
        <w:t xml:space="preserve">Resultan </w:t>
      </w:r>
      <w:r w:rsidRPr="004D4F60">
        <w:rPr>
          <w:rFonts w:ascii="Palatino Linotype" w:eastAsia="Palatino Linotype" w:hAnsi="Palatino Linotype" w:cs="Palatino Linotype"/>
          <w:b/>
        </w:rPr>
        <w:t>FUNDADAS</w:t>
      </w:r>
      <w:r w:rsidRPr="004D4F60">
        <w:rPr>
          <w:rFonts w:ascii="Palatino Linotype" w:eastAsia="Palatino Linotype" w:hAnsi="Palatino Linotype" w:cs="Palatino Linotype"/>
        </w:rPr>
        <w:t xml:space="preserve"> las</w:t>
      </w:r>
      <w:r w:rsidRPr="004D4F60">
        <w:rPr>
          <w:rFonts w:ascii="Palatino Linotype" w:eastAsia="Palatino Linotype" w:hAnsi="Palatino Linotype" w:cs="Palatino Linotype"/>
          <w:b/>
        </w:rPr>
        <w:t xml:space="preserve"> </w:t>
      </w:r>
      <w:r w:rsidRPr="004D4F60">
        <w:rPr>
          <w:rFonts w:ascii="Palatino Linotype" w:eastAsia="Palatino Linotype" w:hAnsi="Palatino Linotype" w:cs="Palatino Linotype"/>
        </w:rPr>
        <w:t>razones o motivos de inconformidad hechos valer en el Recurso de Revisión</w:t>
      </w:r>
      <w:r w:rsidRPr="004D4F60">
        <w:rPr>
          <w:rFonts w:ascii="Palatino Linotype" w:eastAsia="Palatino Linotype" w:hAnsi="Palatino Linotype" w:cs="Palatino Linotype"/>
          <w:b/>
        </w:rPr>
        <w:t> </w:t>
      </w:r>
      <w:r w:rsidR="00D96753" w:rsidRPr="004D4F60">
        <w:rPr>
          <w:rFonts w:ascii="Palatino Linotype" w:eastAsia="Palatino Linotype" w:hAnsi="Palatino Linotype" w:cs="Palatino Linotype"/>
          <w:b/>
          <w:color w:val="000000"/>
        </w:rPr>
        <w:t xml:space="preserve">12053/INFOEM/ICR-160/IP/RR/2025 </w:t>
      </w:r>
      <w:r w:rsidRPr="004D4F60">
        <w:rPr>
          <w:rFonts w:ascii="Palatino Linotype" w:eastAsia="Palatino Linotype" w:hAnsi="Palatino Linotype" w:cs="Palatino Linotype"/>
        </w:rPr>
        <w:t xml:space="preserve">en términos del </w:t>
      </w:r>
      <w:r w:rsidRPr="004D4F60">
        <w:rPr>
          <w:rFonts w:ascii="Palatino Linotype" w:eastAsia="Palatino Linotype" w:hAnsi="Palatino Linotype" w:cs="Palatino Linotype"/>
          <w:b/>
        </w:rPr>
        <w:t xml:space="preserve">Considerando CUARTO </w:t>
      </w:r>
      <w:r w:rsidRPr="004D4F60">
        <w:rPr>
          <w:rFonts w:ascii="Palatino Linotype" w:eastAsia="Palatino Linotype" w:hAnsi="Palatino Linotype" w:cs="Palatino Linotype"/>
        </w:rPr>
        <w:t>de la presente resolución.</w:t>
      </w:r>
    </w:p>
    <w:p w:rsidR="0026182F" w:rsidRPr="004D4F60" w:rsidRDefault="0026182F" w:rsidP="0026182F">
      <w:pPr>
        <w:spacing w:line="360" w:lineRule="auto"/>
        <w:ind w:right="-716"/>
        <w:jc w:val="both"/>
        <w:rPr>
          <w:rFonts w:ascii="Palatino Linotype" w:eastAsia="Palatino Linotype" w:hAnsi="Palatino Linotype" w:cs="Palatino Linotype"/>
          <w:b/>
        </w:rPr>
      </w:pPr>
    </w:p>
    <w:p w:rsidR="0026182F" w:rsidRPr="004D4F60" w:rsidRDefault="0026182F" w:rsidP="0026182F">
      <w:pPr>
        <w:spacing w:line="360" w:lineRule="auto"/>
        <w:ind w:right="-716"/>
        <w:jc w:val="both"/>
        <w:rPr>
          <w:rFonts w:ascii="Palatino Linotype" w:eastAsia="Palatino Linotype" w:hAnsi="Palatino Linotype" w:cs="Palatino Linotype"/>
        </w:rPr>
      </w:pPr>
      <w:bookmarkStart w:id="6" w:name="_heading=h.17dp8vu" w:colFirst="0" w:colLast="0"/>
      <w:bookmarkEnd w:id="6"/>
      <w:r w:rsidRPr="004D4F60">
        <w:rPr>
          <w:rFonts w:ascii="Palatino Linotype" w:eastAsia="Palatino Linotype" w:hAnsi="Palatino Linotype" w:cs="Palatino Linotype"/>
          <w:b/>
        </w:rPr>
        <w:lastRenderedPageBreak/>
        <w:t>SEGUNDO.</w:t>
      </w:r>
      <w:r w:rsidRPr="004D4F60">
        <w:rPr>
          <w:rFonts w:ascii="Palatino Linotype" w:eastAsia="Palatino Linotype" w:hAnsi="Palatino Linotype" w:cs="Palatino Linotype"/>
          <w:color w:val="2F5496"/>
        </w:rPr>
        <w:t xml:space="preserve"> </w:t>
      </w:r>
      <w:r w:rsidRPr="004D4F60">
        <w:rPr>
          <w:rFonts w:ascii="Palatino Linotype" w:eastAsia="Palatino Linotype" w:hAnsi="Palatino Linotype" w:cs="Palatino Linotype"/>
          <w:color w:val="000000"/>
        </w:rPr>
        <w:t xml:space="preserve">Se </w:t>
      </w:r>
      <w:r w:rsidRPr="004D4F60">
        <w:rPr>
          <w:rFonts w:ascii="Palatino Linotype" w:eastAsia="Palatino Linotype" w:hAnsi="Palatino Linotype" w:cs="Palatino Linotype"/>
          <w:b/>
          <w:color w:val="000000"/>
        </w:rPr>
        <w:t xml:space="preserve">REVOCA </w:t>
      </w:r>
      <w:r w:rsidRPr="004D4F60">
        <w:rPr>
          <w:rFonts w:ascii="Palatino Linotype" w:eastAsia="Palatino Linotype" w:hAnsi="Palatino Linotype" w:cs="Palatino Linotype"/>
          <w:color w:val="000000"/>
        </w:rPr>
        <w:t xml:space="preserve">la respuesta emitida por el </w:t>
      </w:r>
      <w:r w:rsidR="00D96753" w:rsidRPr="004D4F60">
        <w:rPr>
          <w:rFonts w:ascii="Palatino Linotype" w:eastAsia="Palatino Linotype" w:hAnsi="Palatino Linotype" w:cs="Palatino Linotype"/>
          <w:b/>
        </w:rPr>
        <w:t xml:space="preserve">Ayuntamiento de Tepotzotlán </w:t>
      </w:r>
      <w:r w:rsidRPr="004D4F60">
        <w:rPr>
          <w:rFonts w:ascii="Palatino Linotype" w:eastAsia="Palatino Linotype" w:hAnsi="Palatino Linotype" w:cs="Palatino Linotype"/>
          <w:color w:val="000000"/>
        </w:rPr>
        <w:t xml:space="preserve">y se </w:t>
      </w:r>
      <w:r w:rsidRPr="004D4F60">
        <w:rPr>
          <w:rFonts w:ascii="Palatino Linotype" w:eastAsia="Palatino Linotype" w:hAnsi="Palatino Linotype" w:cs="Palatino Linotype"/>
          <w:b/>
          <w:color w:val="000000"/>
        </w:rPr>
        <w:t>ORDENA</w:t>
      </w:r>
      <w:r w:rsidRPr="004D4F60">
        <w:rPr>
          <w:rFonts w:ascii="Palatino Linotype" w:eastAsia="Palatino Linotype" w:hAnsi="Palatino Linotype" w:cs="Palatino Linotype"/>
          <w:color w:val="000000"/>
        </w:rPr>
        <w:t xml:space="preserve"> entregar, vía Sistema de Acceso a la Información Mexiquense </w:t>
      </w:r>
      <w:r w:rsidRPr="004D4F60">
        <w:rPr>
          <w:rFonts w:ascii="Palatino Linotype" w:eastAsia="Palatino Linotype" w:hAnsi="Palatino Linotype" w:cs="Palatino Linotype"/>
          <w:b/>
          <w:color w:val="000000"/>
        </w:rPr>
        <w:t>(SAIMEX),</w:t>
      </w:r>
      <w:r w:rsidRPr="004D4F60">
        <w:rPr>
          <w:rFonts w:ascii="Palatino Linotype" w:eastAsia="Palatino Linotype" w:hAnsi="Palatino Linotype" w:cs="Palatino Linotype"/>
        </w:rPr>
        <w:t xml:space="preserve"> previa búsqueda exhaustiva y razonable, se ser procedente en versión pública, la siguiente información:</w:t>
      </w:r>
    </w:p>
    <w:p w:rsidR="003F57C3" w:rsidRPr="004D4F60" w:rsidRDefault="003F57C3" w:rsidP="00D96753">
      <w:pPr>
        <w:pStyle w:val="Prrafodelista"/>
        <w:numPr>
          <w:ilvl w:val="1"/>
          <w:numId w:val="22"/>
        </w:numPr>
        <w:spacing w:line="360" w:lineRule="auto"/>
        <w:ind w:right="-714"/>
        <w:rPr>
          <w:rFonts w:ascii="Palatino Linotype" w:eastAsia="Palatino Linotype" w:hAnsi="Palatino Linotype" w:cs="Palatino Linotype"/>
          <w:b/>
          <w:color w:val="000000"/>
          <w:sz w:val="24"/>
        </w:rPr>
      </w:pPr>
      <w:r w:rsidRPr="004D4F60">
        <w:rPr>
          <w:rFonts w:ascii="Palatino Linotype" w:eastAsia="Palatino Linotype" w:hAnsi="Palatino Linotype" w:cs="Palatino Linotype"/>
          <w:b/>
          <w:color w:val="000000"/>
          <w:sz w:val="24"/>
        </w:rPr>
        <w:t xml:space="preserve">Del distribuidor vial del municipio de Tepotzotlán con la autopista México-Querétaro, </w:t>
      </w:r>
      <w:r w:rsidR="00D96753" w:rsidRPr="004D4F60">
        <w:rPr>
          <w:rFonts w:ascii="Palatino Linotype" w:eastAsia="Palatino Linotype" w:hAnsi="Palatino Linotype" w:cs="Palatino Linotype"/>
          <w:b/>
          <w:color w:val="000000"/>
          <w:sz w:val="24"/>
        </w:rPr>
        <w:t>los documentos en los que conste o se advierta, al 22 de septiembre de 2025:</w:t>
      </w:r>
    </w:p>
    <w:p w:rsidR="003F57C3" w:rsidRPr="004D4F60" w:rsidRDefault="003F57C3" w:rsidP="00D96753">
      <w:pPr>
        <w:pStyle w:val="Prrafodelista"/>
        <w:numPr>
          <w:ilvl w:val="2"/>
          <w:numId w:val="27"/>
        </w:numPr>
        <w:spacing w:line="360" w:lineRule="auto"/>
        <w:ind w:right="-714"/>
        <w:rPr>
          <w:rFonts w:ascii="Palatino Linotype" w:eastAsia="Palatino Linotype" w:hAnsi="Palatino Linotype" w:cs="Palatino Linotype"/>
          <w:b/>
          <w:color w:val="000000"/>
          <w:sz w:val="24"/>
        </w:rPr>
      </w:pPr>
      <w:r w:rsidRPr="004D4F60">
        <w:rPr>
          <w:rFonts w:ascii="Palatino Linotype" w:eastAsia="Palatino Linotype" w:hAnsi="Palatino Linotype" w:cs="Palatino Linotype"/>
          <w:b/>
          <w:color w:val="000000"/>
          <w:sz w:val="24"/>
        </w:rPr>
        <w:t xml:space="preserve">Proyecto de obra. </w:t>
      </w:r>
    </w:p>
    <w:p w:rsidR="003F57C3" w:rsidRPr="004D4F60" w:rsidRDefault="003F57C3" w:rsidP="00D96753">
      <w:pPr>
        <w:pStyle w:val="Prrafodelista"/>
        <w:numPr>
          <w:ilvl w:val="2"/>
          <w:numId w:val="27"/>
        </w:numPr>
        <w:spacing w:line="360" w:lineRule="auto"/>
        <w:ind w:right="-714"/>
        <w:rPr>
          <w:rFonts w:ascii="Palatino Linotype" w:eastAsia="Palatino Linotype" w:hAnsi="Palatino Linotype" w:cs="Palatino Linotype"/>
          <w:b/>
          <w:color w:val="000000"/>
          <w:sz w:val="24"/>
        </w:rPr>
      </w:pPr>
      <w:r w:rsidRPr="004D4F60">
        <w:rPr>
          <w:rFonts w:ascii="Palatino Linotype" w:eastAsia="Palatino Linotype" w:hAnsi="Palatino Linotype" w:cs="Palatino Linotype"/>
          <w:b/>
          <w:color w:val="000000"/>
          <w:sz w:val="24"/>
        </w:rPr>
        <w:t>Avances de obra.</w:t>
      </w:r>
    </w:p>
    <w:p w:rsidR="0026182F" w:rsidRPr="004D4F60" w:rsidRDefault="003F57C3" w:rsidP="00D96753">
      <w:pPr>
        <w:pStyle w:val="Prrafodelista"/>
        <w:numPr>
          <w:ilvl w:val="2"/>
          <w:numId w:val="27"/>
        </w:numPr>
        <w:spacing w:line="360" w:lineRule="auto"/>
        <w:ind w:right="-714"/>
        <w:rPr>
          <w:rFonts w:ascii="Palatino Linotype" w:eastAsia="Palatino Linotype" w:hAnsi="Palatino Linotype" w:cs="Palatino Linotype"/>
          <w:b/>
          <w:color w:val="000000"/>
          <w:sz w:val="24"/>
        </w:rPr>
      </w:pPr>
      <w:r w:rsidRPr="004D4F60">
        <w:rPr>
          <w:rFonts w:ascii="Palatino Linotype" w:eastAsia="Palatino Linotype" w:hAnsi="Palatino Linotype" w:cs="Palatino Linotype"/>
          <w:b/>
          <w:color w:val="000000"/>
          <w:sz w:val="24"/>
        </w:rPr>
        <w:t>Todos los documentos relacionados con la obra.</w:t>
      </w:r>
    </w:p>
    <w:p w:rsidR="0026182F" w:rsidRPr="004D4F60" w:rsidRDefault="0026182F" w:rsidP="0026182F">
      <w:pPr>
        <w:pStyle w:val="Prrafodelista"/>
        <w:spacing w:line="360" w:lineRule="auto"/>
        <w:ind w:left="993" w:right="-714"/>
        <w:jc w:val="both"/>
        <w:rPr>
          <w:rFonts w:ascii="Palatino Linotype" w:eastAsia="Palatino Linotype" w:hAnsi="Palatino Linotype" w:cs="Palatino Linotype"/>
          <w:b/>
          <w:sz w:val="24"/>
        </w:rPr>
      </w:pPr>
    </w:p>
    <w:p w:rsidR="0026182F" w:rsidRPr="004D4F60" w:rsidRDefault="0026182F" w:rsidP="0026182F">
      <w:pPr>
        <w:pStyle w:val="Prrafodelista"/>
        <w:tabs>
          <w:tab w:val="left" w:pos="8080"/>
        </w:tabs>
        <w:spacing w:line="360" w:lineRule="auto"/>
        <w:ind w:left="993" w:right="49"/>
        <w:jc w:val="both"/>
        <w:rPr>
          <w:rFonts w:ascii="Palatino Linotype" w:hAnsi="Palatino Linotype" w:cs="Arial"/>
          <w:b/>
          <w:sz w:val="24"/>
        </w:rPr>
      </w:pPr>
      <w:r w:rsidRPr="004D4F60">
        <w:rPr>
          <w:rFonts w:ascii="Palatino Linotype" w:hAnsi="Palatino Linotype" w:cs="Arial"/>
          <w:sz w:val="24"/>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4D4F60">
        <w:rPr>
          <w:rFonts w:ascii="Palatino Linotype" w:hAnsi="Palatino Linotype" w:cs="Arial"/>
          <w:b/>
          <w:sz w:val="24"/>
        </w:rPr>
        <w:t>RECURRENTE.</w:t>
      </w:r>
    </w:p>
    <w:p w:rsidR="0026182F" w:rsidRPr="004D4F60" w:rsidRDefault="0026182F" w:rsidP="0026182F">
      <w:pPr>
        <w:spacing w:line="360" w:lineRule="auto"/>
        <w:ind w:right="-714"/>
        <w:jc w:val="both"/>
        <w:rPr>
          <w:rFonts w:ascii="Palatino Linotype" w:eastAsia="Palatino Linotype" w:hAnsi="Palatino Linotype" w:cs="Palatino Linotype"/>
          <w:b/>
        </w:rPr>
      </w:pPr>
    </w:p>
    <w:p w:rsidR="0026182F" w:rsidRPr="004D4F60" w:rsidRDefault="0026182F" w:rsidP="0026182F">
      <w:pPr>
        <w:tabs>
          <w:tab w:val="left" w:pos="8080"/>
        </w:tabs>
        <w:spacing w:line="360" w:lineRule="auto"/>
        <w:ind w:right="-716"/>
        <w:jc w:val="both"/>
        <w:rPr>
          <w:rFonts w:ascii="Palatino Linotype" w:eastAsia="Palatino Linotype" w:hAnsi="Palatino Linotype" w:cs="Palatino Linotype"/>
          <w:color w:val="222222"/>
        </w:rPr>
      </w:pPr>
      <w:r w:rsidRPr="004D4F60">
        <w:rPr>
          <w:rFonts w:ascii="Palatino Linotype" w:eastAsia="Palatino Linotype" w:hAnsi="Palatino Linotype" w:cs="Palatino Linotype"/>
          <w:b/>
        </w:rPr>
        <w:t xml:space="preserve">TERCERO. Notifíquese </w:t>
      </w:r>
      <w:r w:rsidRPr="004D4F60">
        <w:rPr>
          <w:rFonts w:ascii="Palatino Linotype" w:eastAsia="Palatino Linotype" w:hAnsi="Palatino Linotype" w:cs="Palatino Linotype"/>
        </w:rPr>
        <w:t xml:space="preserve">vía </w:t>
      </w:r>
      <w:r w:rsidRPr="004D4F60">
        <w:rPr>
          <w:rFonts w:ascii="Palatino Linotype" w:eastAsia="Palatino Linotype" w:hAnsi="Palatino Linotype" w:cs="Palatino Linotype"/>
          <w:b/>
        </w:rPr>
        <w:t xml:space="preserve">SAIMEX </w:t>
      </w:r>
      <w:r w:rsidRPr="004D4F60">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4D4F60">
        <w:rPr>
          <w:rFonts w:ascii="Palatino Linotype" w:eastAsia="Palatino Linotype" w:hAnsi="Palatino Linotype" w:cs="Palatino Linotype"/>
          <w:b/>
        </w:rPr>
        <w:t>plazo de diez días hábiles</w:t>
      </w:r>
      <w:r w:rsidRPr="004D4F60">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w:t>
      </w:r>
      <w:r w:rsidRPr="004D4F60">
        <w:rPr>
          <w:rFonts w:ascii="Palatino Linotype" w:eastAsia="Palatino Linotype" w:hAnsi="Palatino Linotype" w:cs="Palatino Linotype"/>
        </w:rPr>
        <w:lastRenderedPageBreak/>
        <w:t>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6182F" w:rsidRPr="004D4F60" w:rsidRDefault="0026182F" w:rsidP="0026182F">
      <w:pPr>
        <w:tabs>
          <w:tab w:val="left" w:pos="8080"/>
        </w:tabs>
        <w:spacing w:line="360" w:lineRule="auto"/>
        <w:ind w:right="-716"/>
        <w:jc w:val="both"/>
        <w:rPr>
          <w:rFonts w:ascii="Palatino Linotype" w:eastAsia="Palatino Linotype" w:hAnsi="Palatino Linotype" w:cs="Palatino Linotype"/>
          <w:color w:val="222222"/>
        </w:rPr>
      </w:pPr>
    </w:p>
    <w:p w:rsidR="0026182F" w:rsidRPr="004D4F60" w:rsidRDefault="003F200A" w:rsidP="0026182F">
      <w:pPr>
        <w:spacing w:line="360" w:lineRule="auto"/>
        <w:ind w:right="-858"/>
        <w:jc w:val="both"/>
        <w:rPr>
          <w:rFonts w:ascii="Palatino Linotype" w:eastAsia="Palatino Linotype" w:hAnsi="Palatino Linotype" w:cs="Palatino Linotype"/>
        </w:rPr>
      </w:pPr>
      <w:r w:rsidRPr="004D4F60">
        <w:rPr>
          <w:rFonts w:ascii="Palatino Linotype" w:eastAsia="Palatino Linotype" w:hAnsi="Palatino Linotype" w:cs="Palatino Linotype"/>
          <w:b/>
        </w:rPr>
        <w:t>CUARTO</w:t>
      </w:r>
      <w:r w:rsidR="0026182F" w:rsidRPr="004D4F60">
        <w:rPr>
          <w:rFonts w:ascii="Palatino Linotype" w:eastAsia="Palatino Linotype" w:hAnsi="Palatino Linotype" w:cs="Palatino Linotype"/>
          <w:b/>
        </w:rPr>
        <w:t>. NOTIFÍQUESE</w:t>
      </w:r>
      <w:r w:rsidR="0026182F" w:rsidRPr="004D4F60">
        <w:rPr>
          <w:rFonts w:ascii="Palatino Linotype" w:eastAsia="Palatino Linotype" w:hAnsi="Palatino Linotype" w:cs="Palatino Linotype"/>
        </w:rPr>
        <w:t xml:space="preserve"> la presente resolución a la parte </w:t>
      </w:r>
      <w:r w:rsidR="0026182F" w:rsidRPr="004D4F60">
        <w:rPr>
          <w:rFonts w:ascii="Palatino Linotype" w:eastAsia="Palatino Linotype" w:hAnsi="Palatino Linotype" w:cs="Palatino Linotype"/>
          <w:b/>
        </w:rPr>
        <w:t>Recurrente</w:t>
      </w:r>
      <w:r w:rsidR="0026182F" w:rsidRPr="004D4F60">
        <w:rPr>
          <w:rFonts w:ascii="Palatino Linotype" w:eastAsia="Palatino Linotype" w:hAnsi="Palatino Linotype" w:cs="Palatino Linotype"/>
        </w:rPr>
        <w:t xml:space="preserve"> a través del Sistema de Acceso a la Información Mexiquense </w:t>
      </w:r>
      <w:r w:rsidR="0026182F" w:rsidRPr="004D4F60">
        <w:rPr>
          <w:rFonts w:ascii="Palatino Linotype" w:eastAsia="Palatino Linotype" w:hAnsi="Palatino Linotype" w:cs="Palatino Linotype"/>
          <w:b/>
        </w:rPr>
        <w:t>(SAIMEX)</w:t>
      </w:r>
      <w:r w:rsidR="0026182F" w:rsidRPr="004D4F60">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2002D0" w:rsidRPr="004D4F60" w:rsidRDefault="002002D0" w:rsidP="0026182F">
      <w:pPr>
        <w:spacing w:line="360" w:lineRule="auto"/>
        <w:ind w:right="-858"/>
        <w:jc w:val="both"/>
        <w:rPr>
          <w:rFonts w:ascii="Palatino Linotype" w:eastAsia="Palatino Linotype" w:hAnsi="Palatino Linotype" w:cs="Palatino Linotype"/>
        </w:rPr>
      </w:pPr>
    </w:p>
    <w:p w:rsidR="002002D0" w:rsidRPr="004D4F60" w:rsidRDefault="002002D0" w:rsidP="002002D0">
      <w:pPr>
        <w:spacing w:line="360" w:lineRule="auto"/>
        <w:ind w:right="-879"/>
        <w:jc w:val="both"/>
        <w:rPr>
          <w:rFonts w:ascii="Palatino Linotype" w:eastAsia="Palatino Linotype" w:hAnsi="Palatino Linotype" w:cs="Palatino Linotype"/>
        </w:rPr>
      </w:pPr>
      <w:r w:rsidRPr="004D4F60">
        <w:rPr>
          <w:rFonts w:ascii="Palatino Linotype" w:eastAsia="Palatino Linotype" w:hAnsi="Palatino Linotype" w:cs="Palatino Linotype"/>
          <w:b/>
          <w:bCs/>
        </w:rPr>
        <w:t xml:space="preserve">QUINTO. </w:t>
      </w:r>
      <w:r w:rsidRPr="004D4F60">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002D0" w:rsidRPr="004D4F60" w:rsidRDefault="002002D0" w:rsidP="0026182F">
      <w:pPr>
        <w:spacing w:line="360" w:lineRule="auto"/>
        <w:ind w:right="-858"/>
        <w:jc w:val="both"/>
        <w:rPr>
          <w:rFonts w:ascii="Palatino Linotype" w:eastAsia="Palatino Linotype" w:hAnsi="Palatino Linotype" w:cs="Palatino Linotype"/>
        </w:rPr>
      </w:pPr>
    </w:p>
    <w:p w:rsidR="002002D0" w:rsidRPr="004D4F60" w:rsidRDefault="002002D0" w:rsidP="002002D0">
      <w:pPr>
        <w:spacing w:before="240" w:after="240" w:line="360" w:lineRule="auto"/>
        <w:ind w:right="-737" w:firstLine="1"/>
        <w:jc w:val="both"/>
        <w:rPr>
          <w:rFonts w:ascii="Palatino Linotype" w:hAnsi="Palatino Linotype"/>
        </w:rPr>
      </w:pPr>
      <w:bookmarkStart w:id="7" w:name="_Hlk99014733"/>
      <w:r w:rsidRPr="004D4F60">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QUINCE (15) DE ABRIL DE DOS MIL VEINTISÉIS, ANTE EL SECRETARIO TÉCNICO DEL PLENO </w:t>
      </w:r>
      <w:r w:rsidRPr="004D4F60">
        <w:rPr>
          <w:rFonts w:ascii="Palatino Linotype" w:hAnsi="Palatino Linotype" w:cs="Palatino Linotype"/>
          <w:color w:val="000000" w:themeColor="text1"/>
        </w:rPr>
        <w:t>ALEXIS TAPIA RAMÍREZ.</w:t>
      </w:r>
    </w:p>
    <w:bookmarkEnd w:id="7"/>
    <w:p w:rsidR="00BD7A3B" w:rsidRPr="004D4F60" w:rsidRDefault="00BD7A3B">
      <w:pPr>
        <w:spacing w:line="360" w:lineRule="auto"/>
        <w:rPr>
          <w:rFonts w:ascii="Palatino Linotype" w:eastAsia="Palatino Linotype" w:hAnsi="Palatino Linotype" w:cs="Palatino Linotype"/>
        </w:rPr>
      </w:pPr>
    </w:p>
    <w:p w:rsidR="00BD7A3B" w:rsidRPr="004D4F60" w:rsidRDefault="00BD7A3B">
      <w:pPr>
        <w:spacing w:line="360" w:lineRule="auto"/>
        <w:rPr>
          <w:rFonts w:ascii="Palatino Linotype" w:eastAsia="Palatino Linotype" w:hAnsi="Palatino Linotype" w:cs="Palatino Linotype"/>
        </w:rPr>
      </w:pPr>
    </w:p>
    <w:p w:rsidR="00BD7A3B" w:rsidRPr="004D4F60" w:rsidRDefault="00BD7A3B">
      <w:pPr>
        <w:spacing w:line="360" w:lineRule="auto"/>
        <w:rPr>
          <w:rFonts w:ascii="Palatino Linotype" w:eastAsia="Palatino Linotype" w:hAnsi="Palatino Linotype" w:cs="Palatino Linotype"/>
        </w:rPr>
      </w:pPr>
    </w:p>
    <w:p w:rsidR="00BD7A3B" w:rsidRPr="004D4F60" w:rsidRDefault="00BD7A3B">
      <w:pPr>
        <w:spacing w:line="360" w:lineRule="auto"/>
        <w:rPr>
          <w:rFonts w:ascii="Palatino Linotype" w:eastAsia="Palatino Linotype" w:hAnsi="Palatino Linotype" w:cs="Palatino Linotype"/>
        </w:rPr>
      </w:pPr>
    </w:p>
    <w:p w:rsidR="00BD7A3B" w:rsidRPr="004D4F60" w:rsidRDefault="00BD7A3B">
      <w:pPr>
        <w:spacing w:line="360" w:lineRule="auto"/>
      </w:pPr>
    </w:p>
    <w:p w:rsidR="00BD7A3B" w:rsidRPr="004D4F60" w:rsidRDefault="00BD7A3B">
      <w:pPr>
        <w:spacing w:line="360" w:lineRule="auto"/>
      </w:pPr>
    </w:p>
    <w:p w:rsidR="00BD7A3B" w:rsidRPr="004D4F60" w:rsidRDefault="00BD7A3B">
      <w:pPr>
        <w:spacing w:line="360" w:lineRule="auto"/>
      </w:pPr>
    </w:p>
    <w:p w:rsidR="00BD7A3B" w:rsidRPr="004D4F60" w:rsidRDefault="00BD7A3B">
      <w:pPr>
        <w:spacing w:line="360" w:lineRule="auto"/>
      </w:pPr>
    </w:p>
    <w:p w:rsidR="00BD7A3B" w:rsidRPr="004D4F60" w:rsidRDefault="00BD7A3B">
      <w:pPr>
        <w:spacing w:line="360" w:lineRule="auto"/>
      </w:pPr>
    </w:p>
    <w:p w:rsidR="00BD7A3B" w:rsidRPr="004D4F60" w:rsidRDefault="00BD7A3B">
      <w:pPr>
        <w:spacing w:line="360" w:lineRule="auto"/>
      </w:pPr>
    </w:p>
    <w:p w:rsidR="00BD7A3B" w:rsidRPr="004D4F60" w:rsidRDefault="00BD7A3B">
      <w:pPr>
        <w:spacing w:line="360" w:lineRule="auto"/>
      </w:pPr>
    </w:p>
    <w:p w:rsidR="00BD7A3B" w:rsidRPr="004D4F60" w:rsidRDefault="00BD7A3B">
      <w:pPr>
        <w:spacing w:line="360" w:lineRule="auto"/>
      </w:pPr>
    </w:p>
    <w:p w:rsidR="00BD7A3B" w:rsidRPr="004D4F60" w:rsidRDefault="00BD7A3B">
      <w:pPr>
        <w:spacing w:line="360" w:lineRule="auto"/>
      </w:pPr>
    </w:p>
    <w:p w:rsidR="00BD7A3B" w:rsidRPr="004D4F60" w:rsidRDefault="00BD7A3B"/>
    <w:p w:rsidR="00BD7A3B" w:rsidRPr="004D4F60" w:rsidRDefault="00BD7A3B"/>
    <w:sectPr w:rsidR="00BD7A3B" w:rsidRPr="004D4F60">
      <w:headerReference w:type="even" r:id="rId18"/>
      <w:headerReference w:type="default" r:id="rId19"/>
      <w:footerReference w:type="default" r:id="rId20"/>
      <w:headerReference w:type="first" r:id="rId21"/>
      <w:footerReference w:type="first" r:id="rId22"/>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D79" w:rsidRDefault="00271D79">
      <w:r>
        <w:separator/>
      </w:r>
    </w:p>
  </w:endnote>
  <w:endnote w:type="continuationSeparator" w:id="0">
    <w:p w:rsidR="00271D79" w:rsidRDefault="00271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B94" w:rsidRDefault="00D57B9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34D61">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34D61">
      <w:rPr>
        <w:b/>
        <w:noProof/>
        <w:color w:val="000000"/>
      </w:rPr>
      <w:t>62</w:t>
    </w:r>
    <w:r>
      <w:rPr>
        <w:b/>
        <w:color w:val="000000"/>
      </w:rPr>
      <w:fldChar w:fldCharType="end"/>
    </w:r>
  </w:p>
  <w:p w:rsidR="00D57B94" w:rsidRDefault="00D57B9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B94" w:rsidRDefault="00D57B9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634D6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634D61">
      <w:rPr>
        <w:b/>
        <w:noProof/>
        <w:color w:val="000000"/>
      </w:rPr>
      <w:t>62</w:t>
    </w:r>
    <w:r>
      <w:rPr>
        <w:b/>
        <w:color w:val="000000"/>
      </w:rPr>
      <w:fldChar w:fldCharType="end"/>
    </w:r>
  </w:p>
  <w:p w:rsidR="00D57B94" w:rsidRDefault="00D57B9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D79" w:rsidRDefault="00271D79">
      <w:r>
        <w:separator/>
      </w:r>
    </w:p>
  </w:footnote>
  <w:footnote w:type="continuationSeparator" w:id="0">
    <w:p w:rsidR="00271D79" w:rsidRDefault="00271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B94" w:rsidRDefault="00271D7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206" w:type="dxa"/>
      <w:tblInd w:w="0" w:type="dxa"/>
      <w:tblLayout w:type="fixed"/>
      <w:tblLook w:val="0400" w:firstRow="0" w:lastRow="0" w:firstColumn="0" w:lastColumn="0" w:noHBand="0" w:noVBand="1"/>
    </w:tblPr>
    <w:tblGrid>
      <w:gridCol w:w="2268"/>
      <w:gridCol w:w="7938"/>
    </w:tblGrid>
    <w:tr w:rsidR="00D57B94" w:rsidTr="004D4F60">
      <w:trPr>
        <w:trHeight w:val="1435"/>
      </w:trPr>
      <w:tc>
        <w:tcPr>
          <w:tcW w:w="2268" w:type="dxa"/>
          <w:shd w:val="clear" w:color="auto" w:fill="auto"/>
        </w:tcPr>
        <w:p w:rsidR="00D57B94" w:rsidRDefault="00D57B94">
          <w:pPr>
            <w:tabs>
              <w:tab w:val="right" w:pos="4273"/>
            </w:tabs>
            <w:rPr>
              <w:rFonts w:ascii="Garamond" w:eastAsia="Garamond" w:hAnsi="Garamond" w:cs="Garamond"/>
              <w:sz w:val="16"/>
              <w:szCs w:val="16"/>
            </w:rPr>
          </w:pPr>
        </w:p>
      </w:tc>
      <w:tc>
        <w:tcPr>
          <w:tcW w:w="7938" w:type="dxa"/>
          <w:shd w:val="clear" w:color="auto" w:fill="auto"/>
        </w:tcPr>
        <w:tbl>
          <w:tblPr>
            <w:tblStyle w:val="a3"/>
            <w:tblW w:w="7925" w:type="dxa"/>
            <w:tblInd w:w="594" w:type="dxa"/>
            <w:tblLayout w:type="fixed"/>
            <w:tblLook w:val="0400" w:firstRow="0" w:lastRow="0" w:firstColumn="0" w:lastColumn="0" w:noHBand="0" w:noVBand="1"/>
          </w:tblPr>
          <w:tblGrid>
            <w:gridCol w:w="2964"/>
            <w:gridCol w:w="4961"/>
          </w:tblGrid>
          <w:tr w:rsidR="00D57B94" w:rsidTr="004D4F60">
            <w:trPr>
              <w:trHeight w:val="144"/>
            </w:trPr>
            <w:tc>
              <w:tcPr>
                <w:tcW w:w="2964" w:type="dxa"/>
                <w:shd w:val="clear" w:color="auto" w:fill="auto"/>
              </w:tcPr>
              <w:p w:rsidR="00D57B94" w:rsidRPr="004D4F60" w:rsidRDefault="00D57B94" w:rsidP="00E375E7">
                <w:pPr>
                  <w:tabs>
                    <w:tab w:val="right" w:pos="8838"/>
                  </w:tabs>
                  <w:ind w:left="-264" w:right="-105" w:firstLine="195"/>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Recurso de Revisión:</w:t>
                </w:r>
              </w:p>
            </w:tc>
            <w:tc>
              <w:tcPr>
                <w:tcW w:w="4961" w:type="dxa"/>
                <w:shd w:val="clear" w:color="auto" w:fill="auto"/>
              </w:tcPr>
              <w:p w:rsidR="00D57B94" w:rsidRPr="004D4F60" w:rsidRDefault="00D57B94" w:rsidP="00E375E7">
                <w:pPr>
                  <w:tabs>
                    <w:tab w:val="right" w:pos="8838"/>
                  </w:tabs>
                  <w:ind w:left="-74" w:right="-105"/>
                  <w:jc w:val="both"/>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12053/INFOEM/ICR-160/IP/RR/2025</w:t>
                </w:r>
              </w:p>
            </w:tc>
          </w:tr>
          <w:tr w:rsidR="00D57B94" w:rsidTr="004D4F60">
            <w:trPr>
              <w:trHeight w:val="283"/>
            </w:trPr>
            <w:tc>
              <w:tcPr>
                <w:tcW w:w="2964" w:type="dxa"/>
                <w:shd w:val="clear" w:color="auto" w:fill="auto"/>
              </w:tcPr>
              <w:p w:rsidR="00D57B94" w:rsidRPr="004D4F60" w:rsidRDefault="00D57B94" w:rsidP="00E375E7">
                <w:pPr>
                  <w:tabs>
                    <w:tab w:val="right" w:pos="8838"/>
                  </w:tabs>
                  <w:ind w:left="-74" w:right="-105"/>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Sujeto Obligado:</w:t>
                </w:r>
              </w:p>
            </w:tc>
            <w:tc>
              <w:tcPr>
                <w:tcW w:w="4961" w:type="dxa"/>
                <w:shd w:val="clear" w:color="auto" w:fill="auto"/>
              </w:tcPr>
              <w:p w:rsidR="00D57B94" w:rsidRPr="004D4F60" w:rsidRDefault="00D57B94" w:rsidP="00E375E7">
                <w:pPr>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Ayuntamiento de Tepotzotlán</w:t>
                </w:r>
              </w:p>
            </w:tc>
          </w:tr>
          <w:tr w:rsidR="00D57B94" w:rsidTr="004D4F60">
            <w:trPr>
              <w:trHeight w:val="283"/>
            </w:trPr>
            <w:tc>
              <w:tcPr>
                <w:tcW w:w="2964" w:type="dxa"/>
                <w:shd w:val="clear" w:color="auto" w:fill="auto"/>
              </w:tcPr>
              <w:p w:rsidR="00D57B94" w:rsidRPr="004D4F60" w:rsidRDefault="00D57B94" w:rsidP="00E375E7">
                <w:pPr>
                  <w:tabs>
                    <w:tab w:val="right" w:pos="8838"/>
                  </w:tabs>
                  <w:ind w:left="-74" w:right="-105"/>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Comisionada ponente:</w:t>
                </w:r>
              </w:p>
            </w:tc>
            <w:tc>
              <w:tcPr>
                <w:tcW w:w="4961" w:type="dxa"/>
                <w:shd w:val="clear" w:color="auto" w:fill="auto"/>
              </w:tcPr>
              <w:p w:rsidR="00D57B94" w:rsidRPr="004D4F60" w:rsidRDefault="00D57B94" w:rsidP="00E375E7">
                <w:pPr>
                  <w:tabs>
                    <w:tab w:val="right" w:pos="8838"/>
                  </w:tabs>
                  <w:ind w:left="-74" w:right="-105"/>
                  <w:jc w:val="both"/>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María del Rosario Mejía Ayala</w:t>
                </w:r>
              </w:p>
              <w:p w:rsidR="00D57B94" w:rsidRPr="004D4F60" w:rsidRDefault="00D57B94" w:rsidP="00E375E7">
                <w:pPr>
                  <w:tabs>
                    <w:tab w:val="right" w:pos="8838"/>
                  </w:tabs>
                  <w:ind w:left="-74" w:right="-105"/>
                  <w:jc w:val="both"/>
                  <w:rPr>
                    <w:rFonts w:ascii="Palatino Linotype" w:eastAsia="Palatino Linotype" w:hAnsi="Palatino Linotype" w:cs="Palatino Linotype"/>
                    <w:b/>
                    <w:szCs w:val="22"/>
                  </w:rPr>
                </w:pPr>
              </w:p>
            </w:tc>
          </w:tr>
        </w:tbl>
        <w:p w:rsidR="00D57B94" w:rsidRDefault="00D57B94">
          <w:pPr>
            <w:tabs>
              <w:tab w:val="right" w:pos="8838"/>
            </w:tabs>
            <w:ind w:left="-28"/>
            <w:jc w:val="both"/>
            <w:rPr>
              <w:rFonts w:ascii="Arial" w:eastAsia="Arial" w:hAnsi="Arial" w:cs="Arial"/>
              <w:b/>
              <w:sz w:val="22"/>
              <w:szCs w:val="22"/>
            </w:rPr>
          </w:pPr>
        </w:p>
      </w:tc>
    </w:tr>
  </w:tbl>
  <w:p w:rsidR="00D57B94" w:rsidRDefault="00271D79">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490" w:type="dxa"/>
      <w:tblInd w:w="0" w:type="dxa"/>
      <w:tblLayout w:type="fixed"/>
      <w:tblLook w:val="0400" w:firstRow="0" w:lastRow="0" w:firstColumn="0" w:lastColumn="0" w:noHBand="0" w:noVBand="1"/>
    </w:tblPr>
    <w:tblGrid>
      <w:gridCol w:w="2268"/>
      <w:gridCol w:w="8222"/>
    </w:tblGrid>
    <w:tr w:rsidR="00D57B94" w:rsidTr="004D4F60">
      <w:trPr>
        <w:trHeight w:val="1435"/>
      </w:trPr>
      <w:tc>
        <w:tcPr>
          <w:tcW w:w="2268" w:type="dxa"/>
          <w:shd w:val="clear" w:color="auto" w:fill="auto"/>
        </w:tcPr>
        <w:p w:rsidR="00D57B94" w:rsidRDefault="00D57B94">
          <w:pPr>
            <w:tabs>
              <w:tab w:val="right" w:pos="4273"/>
            </w:tabs>
            <w:rPr>
              <w:rFonts w:ascii="Garamond" w:eastAsia="Garamond" w:hAnsi="Garamond" w:cs="Garamond"/>
              <w:sz w:val="22"/>
              <w:szCs w:val="22"/>
            </w:rPr>
          </w:pPr>
        </w:p>
      </w:tc>
      <w:tc>
        <w:tcPr>
          <w:tcW w:w="8222" w:type="dxa"/>
          <w:shd w:val="clear" w:color="auto" w:fill="auto"/>
        </w:tcPr>
        <w:tbl>
          <w:tblPr>
            <w:tblStyle w:val="a3"/>
            <w:tblW w:w="7040" w:type="dxa"/>
            <w:tblInd w:w="878" w:type="dxa"/>
            <w:tblLayout w:type="fixed"/>
            <w:tblLook w:val="0400" w:firstRow="0" w:lastRow="0" w:firstColumn="0" w:lastColumn="0" w:noHBand="0" w:noVBand="1"/>
          </w:tblPr>
          <w:tblGrid>
            <w:gridCol w:w="2822"/>
            <w:gridCol w:w="4218"/>
          </w:tblGrid>
          <w:tr w:rsidR="00D57B94" w:rsidTr="004D4F60">
            <w:trPr>
              <w:trHeight w:val="144"/>
            </w:trPr>
            <w:tc>
              <w:tcPr>
                <w:tcW w:w="2822" w:type="dxa"/>
                <w:shd w:val="clear" w:color="auto" w:fill="auto"/>
              </w:tcPr>
              <w:p w:rsidR="00D57B94" w:rsidRPr="004D4F60" w:rsidRDefault="00D57B94">
                <w:pPr>
                  <w:tabs>
                    <w:tab w:val="right" w:pos="8838"/>
                  </w:tabs>
                  <w:ind w:left="-264" w:right="-105" w:firstLine="195"/>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Recurso de Revisión:</w:t>
                </w:r>
              </w:p>
            </w:tc>
            <w:tc>
              <w:tcPr>
                <w:tcW w:w="4218" w:type="dxa"/>
                <w:shd w:val="clear" w:color="auto" w:fill="auto"/>
              </w:tcPr>
              <w:p w:rsidR="00D57B94" w:rsidRPr="004D4F60" w:rsidRDefault="00D57B94">
                <w:pPr>
                  <w:tabs>
                    <w:tab w:val="right" w:pos="8838"/>
                  </w:tabs>
                  <w:ind w:left="-74" w:right="-105"/>
                  <w:jc w:val="both"/>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12053/INFOEM/ICR-160/IP/RR/2025</w:t>
                </w:r>
              </w:p>
            </w:tc>
          </w:tr>
          <w:tr w:rsidR="00D57B94" w:rsidTr="004D4F60">
            <w:trPr>
              <w:trHeight w:val="144"/>
            </w:trPr>
            <w:tc>
              <w:tcPr>
                <w:tcW w:w="2822" w:type="dxa"/>
                <w:shd w:val="clear" w:color="auto" w:fill="auto"/>
              </w:tcPr>
              <w:p w:rsidR="00D57B94" w:rsidRPr="004D4F60" w:rsidRDefault="00D57B94">
                <w:pPr>
                  <w:tabs>
                    <w:tab w:val="right" w:pos="8838"/>
                  </w:tabs>
                  <w:ind w:left="-74" w:right="-105"/>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Recurrente:</w:t>
                </w:r>
              </w:p>
            </w:tc>
            <w:tc>
              <w:tcPr>
                <w:tcW w:w="4218" w:type="dxa"/>
                <w:shd w:val="clear" w:color="auto" w:fill="auto"/>
              </w:tcPr>
              <w:p w:rsidR="00D57B94" w:rsidRPr="004D4F60" w:rsidRDefault="00634D61">
                <w:pPr>
                  <w:tabs>
                    <w:tab w:val="left" w:pos="3122"/>
                    <w:tab w:val="right" w:pos="8838"/>
                  </w:tabs>
                  <w:ind w:left="-74" w:right="-105"/>
                  <w:jc w:val="both"/>
                  <w:rPr>
                    <w:rFonts w:ascii="Palatino Linotype" w:eastAsia="Palatino Linotype" w:hAnsi="Palatino Linotype" w:cs="Palatino Linotype"/>
                    <w:b/>
                    <w:szCs w:val="22"/>
                  </w:rPr>
                </w:pPr>
                <w:r>
                  <w:rPr>
                    <w:rFonts w:ascii="Palatino Linotype" w:eastAsia="Palatino Linotype" w:hAnsi="Palatino Linotype" w:cs="Palatino Linotype"/>
                    <w:b/>
                    <w:szCs w:val="22"/>
                  </w:rPr>
                  <w:t>XXXX</w:t>
                </w:r>
              </w:p>
            </w:tc>
          </w:tr>
          <w:tr w:rsidR="00D57B94" w:rsidTr="004D4F60">
            <w:trPr>
              <w:trHeight w:val="283"/>
            </w:trPr>
            <w:tc>
              <w:tcPr>
                <w:tcW w:w="2822" w:type="dxa"/>
                <w:shd w:val="clear" w:color="auto" w:fill="auto"/>
              </w:tcPr>
              <w:p w:rsidR="00D57B94" w:rsidRPr="004D4F60" w:rsidRDefault="00D57B94">
                <w:pPr>
                  <w:tabs>
                    <w:tab w:val="right" w:pos="8838"/>
                  </w:tabs>
                  <w:ind w:left="-74" w:right="-105"/>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Sujeto Obligado:</w:t>
                </w:r>
              </w:p>
            </w:tc>
            <w:tc>
              <w:tcPr>
                <w:tcW w:w="4218" w:type="dxa"/>
                <w:shd w:val="clear" w:color="auto" w:fill="auto"/>
              </w:tcPr>
              <w:p w:rsidR="00D57B94" w:rsidRPr="004D4F60" w:rsidRDefault="00D57B94">
                <w:pPr>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Ayuntamiento de Tepotzotlán</w:t>
                </w:r>
              </w:p>
            </w:tc>
          </w:tr>
          <w:tr w:rsidR="00D57B94" w:rsidTr="004D4F60">
            <w:trPr>
              <w:trHeight w:val="283"/>
            </w:trPr>
            <w:tc>
              <w:tcPr>
                <w:tcW w:w="2822" w:type="dxa"/>
                <w:shd w:val="clear" w:color="auto" w:fill="auto"/>
              </w:tcPr>
              <w:p w:rsidR="00D57B94" w:rsidRPr="004D4F60" w:rsidRDefault="00D57B94">
                <w:pPr>
                  <w:tabs>
                    <w:tab w:val="right" w:pos="8838"/>
                  </w:tabs>
                  <w:ind w:left="-74" w:right="-105"/>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Comisionada ponente:</w:t>
                </w:r>
              </w:p>
            </w:tc>
            <w:tc>
              <w:tcPr>
                <w:tcW w:w="4218" w:type="dxa"/>
                <w:shd w:val="clear" w:color="auto" w:fill="auto"/>
              </w:tcPr>
              <w:p w:rsidR="00D57B94" w:rsidRPr="004D4F60" w:rsidRDefault="00D57B94">
                <w:pPr>
                  <w:tabs>
                    <w:tab w:val="right" w:pos="8838"/>
                  </w:tabs>
                  <w:ind w:left="-74" w:right="-105"/>
                  <w:jc w:val="both"/>
                  <w:rPr>
                    <w:rFonts w:ascii="Palatino Linotype" w:eastAsia="Palatino Linotype" w:hAnsi="Palatino Linotype" w:cs="Palatino Linotype"/>
                    <w:b/>
                    <w:szCs w:val="22"/>
                  </w:rPr>
                </w:pPr>
                <w:r w:rsidRPr="004D4F60">
                  <w:rPr>
                    <w:rFonts w:ascii="Palatino Linotype" w:eastAsia="Palatino Linotype" w:hAnsi="Palatino Linotype" w:cs="Palatino Linotype"/>
                    <w:b/>
                    <w:szCs w:val="22"/>
                  </w:rPr>
                  <w:t>María del Rosario Mejía Ayala</w:t>
                </w:r>
              </w:p>
              <w:p w:rsidR="00D57B94" w:rsidRPr="004D4F60" w:rsidRDefault="00D57B94">
                <w:pPr>
                  <w:tabs>
                    <w:tab w:val="right" w:pos="8838"/>
                  </w:tabs>
                  <w:ind w:left="-74" w:right="-105"/>
                  <w:jc w:val="both"/>
                  <w:rPr>
                    <w:rFonts w:ascii="Palatino Linotype" w:eastAsia="Palatino Linotype" w:hAnsi="Palatino Linotype" w:cs="Palatino Linotype"/>
                    <w:b/>
                    <w:szCs w:val="22"/>
                  </w:rPr>
                </w:pPr>
              </w:p>
            </w:tc>
          </w:tr>
        </w:tbl>
        <w:p w:rsidR="00D57B94" w:rsidRDefault="00D57B94">
          <w:pPr>
            <w:tabs>
              <w:tab w:val="right" w:pos="8838"/>
            </w:tabs>
            <w:ind w:left="-28"/>
            <w:jc w:val="both"/>
            <w:rPr>
              <w:rFonts w:ascii="Arial" w:eastAsia="Arial" w:hAnsi="Arial" w:cs="Arial"/>
              <w:b/>
              <w:sz w:val="22"/>
              <w:szCs w:val="22"/>
            </w:rPr>
          </w:pPr>
        </w:p>
      </w:tc>
    </w:tr>
  </w:tbl>
  <w:p w:rsidR="00D57B94" w:rsidRDefault="00271D79">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DFB4B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3E80D90"/>
    <w:multiLevelType w:val="hybridMultilevel"/>
    <w:tmpl w:val="519E7226"/>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061E5DD7"/>
    <w:multiLevelType w:val="hybridMultilevel"/>
    <w:tmpl w:val="F2261E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9166F0"/>
    <w:multiLevelType w:val="multilevel"/>
    <w:tmpl w:val="94643E60"/>
    <w:lvl w:ilvl="0">
      <w:start w:val="1"/>
      <w:numFmt w:val="decimal"/>
      <w:lvlText w:val="%1."/>
      <w:lvlJc w:val="left"/>
      <w:pPr>
        <w:ind w:left="720" w:hanging="360"/>
      </w:pPr>
      <w:rPr>
        <w:rFonts w:ascii="Palatino Linotype" w:hAnsi="Palatino Linotype" w:hint="default"/>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616C2F"/>
    <w:multiLevelType w:val="hybridMultilevel"/>
    <w:tmpl w:val="81E6E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8CF0253"/>
    <w:multiLevelType w:val="hybridMultilevel"/>
    <w:tmpl w:val="162AB43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DFF0965"/>
    <w:multiLevelType w:val="multilevel"/>
    <w:tmpl w:val="16FC0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D37064"/>
    <w:multiLevelType w:val="multilevel"/>
    <w:tmpl w:val="EB2A3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7505AA"/>
    <w:multiLevelType w:val="multilevel"/>
    <w:tmpl w:val="D0807262"/>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1" w15:restartNumberingAfterBreak="0">
    <w:nsid w:val="4DDB0696"/>
    <w:multiLevelType w:val="multilevel"/>
    <w:tmpl w:val="93F0CB9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4E6118AF"/>
    <w:multiLevelType w:val="multilevel"/>
    <w:tmpl w:val="457E642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F331561"/>
    <w:multiLevelType w:val="multilevel"/>
    <w:tmpl w:val="B89C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816292"/>
    <w:multiLevelType w:val="hybridMultilevel"/>
    <w:tmpl w:val="AEEC1782"/>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54AE63F6"/>
    <w:multiLevelType w:val="multilevel"/>
    <w:tmpl w:val="363E5CA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6" w15:restartNumberingAfterBreak="0">
    <w:nsid w:val="573D15D8"/>
    <w:multiLevelType w:val="multilevel"/>
    <w:tmpl w:val="4664B7A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7" w15:restartNumberingAfterBreak="0">
    <w:nsid w:val="59303E02"/>
    <w:multiLevelType w:val="multilevel"/>
    <w:tmpl w:val="28F24F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DBE099A"/>
    <w:multiLevelType w:val="multilevel"/>
    <w:tmpl w:val="FD4250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E064666"/>
    <w:multiLevelType w:val="hybridMultilevel"/>
    <w:tmpl w:val="A45CD73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7B5996"/>
    <w:multiLevelType w:val="multilevel"/>
    <w:tmpl w:val="197AB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5E35BB"/>
    <w:multiLevelType w:val="multilevel"/>
    <w:tmpl w:val="02B2ACA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2" w15:restartNumberingAfterBreak="0">
    <w:nsid w:val="701C328D"/>
    <w:multiLevelType w:val="hybridMultilevel"/>
    <w:tmpl w:val="3174BFC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1">
      <w:start w:val="1"/>
      <w:numFmt w:val="decimal"/>
      <w:lvlText w:val="%3)"/>
      <w:lvlJc w:val="left"/>
      <w:pPr>
        <w:ind w:left="2160" w:hanging="360"/>
      </w:pPr>
      <w:rPr>
        <w:rFont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3282746"/>
    <w:multiLevelType w:val="multilevel"/>
    <w:tmpl w:val="E2101D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7C435A25"/>
    <w:multiLevelType w:val="multilevel"/>
    <w:tmpl w:val="ED40723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FAF3AF7"/>
    <w:multiLevelType w:val="multilevel"/>
    <w:tmpl w:val="8D768C9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24"/>
  </w:num>
  <w:num w:numId="3">
    <w:abstractNumId w:val="10"/>
  </w:num>
  <w:num w:numId="4">
    <w:abstractNumId w:val="17"/>
  </w:num>
  <w:num w:numId="5">
    <w:abstractNumId w:val="16"/>
  </w:num>
  <w:num w:numId="6">
    <w:abstractNumId w:val="20"/>
  </w:num>
  <w:num w:numId="7">
    <w:abstractNumId w:val="12"/>
  </w:num>
  <w:num w:numId="8">
    <w:abstractNumId w:val="4"/>
  </w:num>
  <w:num w:numId="9">
    <w:abstractNumId w:val="7"/>
  </w:num>
  <w:num w:numId="10">
    <w:abstractNumId w:val="13"/>
  </w:num>
  <w:num w:numId="11">
    <w:abstractNumId w:val="25"/>
  </w:num>
  <w:num w:numId="12">
    <w:abstractNumId w:val="11"/>
  </w:num>
  <w:num w:numId="13">
    <w:abstractNumId w:val="9"/>
  </w:num>
  <w:num w:numId="14">
    <w:abstractNumId w:val="15"/>
  </w:num>
  <w:num w:numId="15">
    <w:abstractNumId w:val="18"/>
  </w:num>
  <w:num w:numId="16">
    <w:abstractNumId w:val="8"/>
  </w:num>
  <w:num w:numId="17">
    <w:abstractNumId w:val="2"/>
  </w:num>
  <w:num w:numId="18">
    <w:abstractNumId w:val="14"/>
  </w:num>
  <w:num w:numId="19">
    <w:abstractNumId w:val="5"/>
  </w:num>
  <w:num w:numId="20">
    <w:abstractNumId w:val="3"/>
  </w:num>
  <w:num w:numId="21">
    <w:abstractNumId w:val="0"/>
  </w:num>
  <w:num w:numId="22">
    <w:abstractNumId w:val="19"/>
  </w:num>
  <w:num w:numId="23">
    <w:abstractNumId w:val="6"/>
  </w:num>
  <w:num w:numId="24">
    <w:abstractNumId w:val="1"/>
  </w:num>
  <w:num w:numId="25">
    <w:abstractNumId w:val="21"/>
  </w:num>
  <w:num w:numId="26">
    <w:abstractNumId w:val="2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A3B"/>
    <w:rsid w:val="000054FF"/>
    <w:rsid w:val="0006580E"/>
    <w:rsid w:val="00095B4E"/>
    <w:rsid w:val="000A6FB9"/>
    <w:rsid w:val="001113E4"/>
    <w:rsid w:val="00114726"/>
    <w:rsid w:val="00126CF3"/>
    <w:rsid w:val="0015759C"/>
    <w:rsid w:val="00163674"/>
    <w:rsid w:val="001F1CF6"/>
    <w:rsid w:val="002002D0"/>
    <w:rsid w:val="0026182F"/>
    <w:rsid w:val="00267C1E"/>
    <w:rsid w:val="00271D79"/>
    <w:rsid w:val="00286FEC"/>
    <w:rsid w:val="002905ED"/>
    <w:rsid w:val="00296CD8"/>
    <w:rsid w:val="002A724F"/>
    <w:rsid w:val="002E6D92"/>
    <w:rsid w:val="00337418"/>
    <w:rsid w:val="003543DC"/>
    <w:rsid w:val="003F200A"/>
    <w:rsid w:val="003F57C3"/>
    <w:rsid w:val="0040762A"/>
    <w:rsid w:val="00441001"/>
    <w:rsid w:val="00484222"/>
    <w:rsid w:val="004A4C3F"/>
    <w:rsid w:val="004D4F60"/>
    <w:rsid w:val="005106BB"/>
    <w:rsid w:val="005D730B"/>
    <w:rsid w:val="005F7127"/>
    <w:rsid w:val="0063100F"/>
    <w:rsid w:val="00634D61"/>
    <w:rsid w:val="00657A52"/>
    <w:rsid w:val="006A756C"/>
    <w:rsid w:val="006F4EB1"/>
    <w:rsid w:val="006F6294"/>
    <w:rsid w:val="00705F3C"/>
    <w:rsid w:val="007102D7"/>
    <w:rsid w:val="0075568A"/>
    <w:rsid w:val="00757BBA"/>
    <w:rsid w:val="007A7D1B"/>
    <w:rsid w:val="00802E74"/>
    <w:rsid w:val="00873612"/>
    <w:rsid w:val="0088282D"/>
    <w:rsid w:val="008878F8"/>
    <w:rsid w:val="008C14D1"/>
    <w:rsid w:val="009063A7"/>
    <w:rsid w:val="0094143E"/>
    <w:rsid w:val="00977CAF"/>
    <w:rsid w:val="009863E0"/>
    <w:rsid w:val="00A87744"/>
    <w:rsid w:val="00B67735"/>
    <w:rsid w:val="00B750C7"/>
    <w:rsid w:val="00B77E1D"/>
    <w:rsid w:val="00B85A30"/>
    <w:rsid w:val="00BB4905"/>
    <w:rsid w:val="00BC0531"/>
    <w:rsid w:val="00BD7A3B"/>
    <w:rsid w:val="00BF2467"/>
    <w:rsid w:val="00BF6120"/>
    <w:rsid w:val="00C36119"/>
    <w:rsid w:val="00C80687"/>
    <w:rsid w:val="00C93FDA"/>
    <w:rsid w:val="00CB40C1"/>
    <w:rsid w:val="00D57B94"/>
    <w:rsid w:val="00D7704E"/>
    <w:rsid w:val="00D96753"/>
    <w:rsid w:val="00DA238D"/>
    <w:rsid w:val="00DD063E"/>
    <w:rsid w:val="00DF6448"/>
    <w:rsid w:val="00E375E7"/>
    <w:rsid w:val="00E82FD0"/>
    <w:rsid w:val="00E84CF7"/>
    <w:rsid w:val="00ED2E3E"/>
    <w:rsid w:val="00F55DB7"/>
    <w:rsid w:val="00FB2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89F2F56-AE21-4F47-9E69-0AD302EB7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650"/>
  </w:style>
  <w:style w:type="paragraph" w:styleId="Ttulo1">
    <w:name w:val="heading 1"/>
    <w:basedOn w:val="Normal"/>
    <w:next w:val="Normal"/>
    <w:link w:val="Ttulo1Car"/>
    <w:uiPriority w:val="9"/>
    <w:qFormat/>
    <w:rsid w:val="005B66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7426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B6650"/>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6650"/>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A7426F"/>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5B6650"/>
    <w:rPr>
      <w:rFonts w:asciiTheme="majorHAnsi" w:eastAsiaTheme="majorEastAsia" w:hAnsiTheme="majorHAnsi" w:cstheme="majorBidi"/>
      <w:color w:val="1F4D78" w:themeColor="accent1" w:themeShade="7F"/>
      <w:sz w:val="24"/>
      <w:szCs w:val="24"/>
      <w:lang w:val="es-ES_tradnl" w:eastAsia="es-ES"/>
    </w:rPr>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B6650"/>
    <w:pPr>
      <w:tabs>
        <w:tab w:val="center" w:pos="4419"/>
        <w:tab w:val="right" w:pos="8838"/>
      </w:tabs>
    </w:pPr>
  </w:style>
  <w:style w:type="character" w:customStyle="1" w:styleId="EncabezadoCar">
    <w:name w:val="Encabezado Car"/>
    <w:basedOn w:val="Fuentedeprrafopredeter"/>
    <w:link w:val="Encabezado"/>
    <w:uiPriority w:val="99"/>
    <w:rsid w:val="005B6650"/>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B6650"/>
    <w:pPr>
      <w:tabs>
        <w:tab w:val="center" w:pos="4419"/>
        <w:tab w:val="right" w:pos="8838"/>
      </w:tabs>
    </w:pPr>
  </w:style>
  <w:style w:type="character" w:customStyle="1" w:styleId="PiedepginaCar">
    <w:name w:val="Pie de página Car"/>
    <w:basedOn w:val="Fuentedeprrafopredeter"/>
    <w:link w:val="Piedepgina"/>
    <w:uiPriority w:val="99"/>
    <w:rsid w:val="005B6650"/>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6650"/>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B6650"/>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qFormat/>
    <w:rsid w:val="005B6650"/>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665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B6650"/>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B6650"/>
    <w:rPr>
      <w:vertAlign w:val="superscript"/>
    </w:rPr>
  </w:style>
  <w:style w:type="table" w:styleId="Tablaconcuadrcula">
    <w:name w:val="Table Grid"/>
    <w:basedOn w:val="Tablanormal"/>
    <w:uiPriority w:val="59"/>
    <w:rsid w:val="00170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6F68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aconvietas2">
    <w:name w:val="List Bullet 2"/>
    <w:basedOn w:val="Normal"/>
    <w:uiPriority w:val="99"/>
    <w:unhideWhenUsed/>
    <w:qFormat/>
    <w:rsid w:val="00A7426F"/>
    <w:pPr>
      <w:numPr>
        <w:numId w:val="7"/>
      </w:numPr>
      <w:contextualSpacing/>
    </w:pPr>
    <w:rPr>
      <w:sz w:val="20"/>
      <w:szCs w:val="20"/>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SinespaciadoCar">
    <w:name w:val="Sin espaciado Car"/>
    <w:aliases w:val="Francesa Car,INAI Car"/>
    <w:link w:val="Sinespaciado"/>
    <w:uiPriority w:val="1"/>
    <w:locked/>
    <w:rsid w:val="0026182F"/>
  </w:style>
  <w:style w:type="paragraph" w:styleId="Sinespaciado">
    <w:name w:val="No Spacing"/>
    <w:aliases w:val="Francesa,INAI"/>
    <w:link w:val="SinespaciadoCar"/>
    <w:uiPriority w:val="1"/>
    <w:qFormat/>
    <w:rsid w:val="0026182F"/>
  </w:style>
  <w:style w:type="paragraph" w:styleId="NormalWeb">
    <w:name w:val="Normal (Web)"/>
    <w:basedOn w:val="Normal"/>
    <w:uiPriority w:val="99"/>
    <w:rsid w:val="0026182F"/>
    <w:pPr>
      <w:spacing w:before="100" w:beforeAutospacing="1" w:after="100" w:afterAutospacing="1"/>
    </w:pPr>
    <w:rPr>
      <w:lang w:val="es-ES"/>
    </w:rPr>
  </w:style>
  <w:style w:type="paragraph" w:customStyle="1" w:styleId="Default">
    <w:name w:val="Default"/>
    <w:rsid w:val="0026182F"/>
    <w:pPr>
      <w:autoSpaceDE w:val="0"/>
      <w:autoSpaceDN w:val="0"/>
      <w:adjustRightInd w:val="0"/>
    </w:pPr>
    <w:rPr>
      <w:rFonts w:ascii="Arial" w:eastAsiaTheme="minorHAnsi" w:hAnsi="Arial" w:cs="Arial"/>
      <w:color w:val="000000"/>
      <w:lang w:eastAsia="en-US"/>
    </w:rPr>
  </w:style>
  <w:style w:type="character" w:customStyle="1" w:styleId="object">
    <w:name w:val="object"/>
    <w:basedOn w:val="Fuentedeprrafopredeter"/>
    <w:rsid w:val="0026182F"/>
  </w:style>
  <w:style w:type="character" w:customStyle="1" w:styleId="vkekvd">
    <w:name w:val="vkekvd"/>
    <w:basedOn w:val="Fuentedeprrafopredeter"/>
    <w:rsid w:val="0026182F"/>
  </w:style>
  <w:style w:type="character" w:customStyle="1" w:styleId="ifmvxd">
    <w:name w:val="ifmvxd"/>
    <w:basedOn w:val="Fuentedeprrafopredeter"/>
    <w:rsid w:val="0026182F"/>
  </w:style>
  <w:style w:type="character" w:customStyle="1" w:styleId="ijm6od">
    <w:name w:val="ijm6od"/>
    <w:basedOn w:val="Fuentedeprrafopredeter"/>
    <w:rsid w:val="0026182F"/>
  </w:style>
  <w:style w:type="character" w:styleId="Textoennegrita">
    <w:name w:val="Strong"/>
    <w:basedOn w:val="Fuentedeprrafopredeter"/>
    <w:uiPriority w:val="22"/>
    <w:qFormat/>
    <w:rsid w:val="0026182F"/>
    <w:rPr>
      <w:b/>
      <w:bCs/>
    </w:rPr>
  </w:style>
  <w:style w:type="character" w:customStyle="1" w:styleId="t286pc">
    <w:name w:val="t286pc"/>
    <w:basedOn w:val="Fuentedeprrafopredeter"/>
    <w:rsid w:val="00261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068805">
      <w:bodyDiv w:val="1"/>
      <w:marLeft w:val="0"/>
      <w:marRight w:val="0"/>
      <w:marTop w:val="0"/>
      <w:marBottom w:val="0"/>
      <w:divBdr>
        <w:top w:val="none" w:sz="0" w:space="0" w:color="auto"/>
        <w:left w:val="none" w:sz="0" w:space="0" w:color="auto"/>
        <w:bottom w:val="none" w:sz="0" w:space="0" w:color="auto"/>
        <w:right w:val="none" w:sz="0" w:space="0" w:color="auto"/>
      </w:divBdr>
      <w:divsChild>
        <w:div w:id="1007365147">
          <w:marLeft w:val="0"/>
          <w:marRight w:val="0"/>
          <w:marTop w:val="120"/>
          <w:marBottom w:val="0"/>
          <w:divBdr>
            <w:top w:val="none" w:sz="0" w:space="0" w:color="auto"/>
            <w:left w:val="none" w:sz="0" w:space="0" w:color="auto"/>
            <w:bottom w:val="none" w:sz="0" w:space="0" w:color="auto"/>
            <w:right w:val="none" w:sz="0" w:space="0" w:color="auto"/>
          </w:divBdr>
          <w:divsChild>
            <w:div w:id="1024482549">
              <w:marLeft w:val="0"/>
              <w:marRight w:val="0"/>
              <w:marTop w:val="0"/>
              <w:marBottom w:val="0"/>
              <w:divBdr>
                <w:top w:val="none" w:sz="0" w:space="0" w:color="auto"/>
                <w:left w:val="none" w:sz="0" w:space="0" w:color="auto"/>
                <w:bottom w:val="none" w:sz="0" w:space="0" w:color="auto"/>
                <w:right w:val="none" w:sz="0" w:space="0" w:color="auto"/>
              </w:divBdr>
            </w:div>
          </w:divsChild>
        </w:div>
        <w:div w:id="735124703">
          <w:marLeft w:val="0"/>
          <w:marRight w:val="0"/>
          <w:marTop w:val="120"/>
          <w:marBottom w:val="0"/>
          <w:divBdr>
            <w:top w:val="none" w:sz="0" w:space="0" w:color="auto"/>
            <w:left w:val="none" w:sz="0" w:space="0" w:color="auto"/>
            <w:bottom w:val="none" w:sz="0" w:space="0" w:color="auto"/>
            <w:right w:val="none" w:sz="0" w:space="0" w:color="auto"/>
          </w:divBdr>
          <w:divsChild>
            <w:div w:id="1685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6135">
      <w:bodyDiv w:val="1"/>
      <w:marLeft w:val="0"/>
      <w:marRight w:val="0"/>
      <w:marTop w:val="0"/>
      <w:marBottom w:val="0"/>
      <w:divBdr>
        <w:top w:val="none" w:sz="0" w:space="0" w:color="auto"/>
        <w:left w:val="none" w:sz="0" w:space="0" w:color="auto"/>
        <w:bottom w:val="none" w:sz="0" w:space="0" w:color="auto"/>
        <w:right w:val="none" w:sz="0" w:space="0" w:color="auto"/>
      </w:divBdr>
      <w:divsChild>
        <w:div w:id="493423743">
          <w:marLeft w:val="0"/>
          <w:marRight w:val="0"/>
          <w:marTop w:val="120"/>
          <w:marBottom w:val="0"/>
          <w:divBdr>
            <w:top w:val="none" w:sz="0" w:space="0" w:color="auto"/>
            <w:left w:val="none" w:sz="0" w:space="0" w:color="auto"/>
            <w:bottom w:val="none" w:sz="0" w:space="0" w:color="auto"/>
            <w:right w:val="none" w:sz="0" w:space="0" w:color="auto"/>
          </w:divBdr>
          <w:divsChild>
            <w:div w:id="619651622">
              <w:marLeft w:val="0"/>
              <w:marRight w:val="0"/>
              <w:marTop w:val="0"/>
              <w:marBottom w:val="0"/>
              <w:divBdr>
                <w:top w:val="none" w:sz="0" w:space="0" w:color="auto"/>
                <w:left w:val="none" w:sz="0" w:space="0" w:color="auto"/>
                <w:bottom w:val="none" w:sz="0" w:space="0" w:color="auto"/>
                <w:right w:val="none" w:sz="0" w:space="0" w:color="auto"/>
              </w:divBdr>
            </w:div>
          </w:divsChild>
        </w:div>
        <w:div w:id="260727532">
          <w:marLeft w:val="0"/>
          <w:marRight w:val="0"/>
          <w:marTop w:val="120"/>
          <w:marBottom w:val="0"/>
          <w:divBdr>
            <w:top w:val="none" w:sz="0" w:space="0" w:color="auto"/>
            <w:left w:val="none" w:sz="0" w:space="0" w:color="auto"/>
            <w:bottom w:val="none" w:sz="0" w:space="0" w:color="auto"/>
            <w:right w:val="none" w:sz="0" w:space="0" w:color="auto"/>
          </w:divBdr>
          <w:divsChild>
            <w:div w:id="194164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95070">
      <w:bodyDiv w:val="1"/>
      <w:marLeft w:val="0"/>
      <w:marRight w:val="0"/>
      <w:marTop w:val="0"/>
      <w:marBottom w:val="0"/>
      <w:divBdr>
        <w:top w:val="none" w:sz="0" w:space="0" w:color="auto"/>
        <w:left w:val="none" w:sz="0" w:space="0" w:color="auto"/>
        <w:bottom w:val="none" w:sz="0" w:space="0" w:color="auto"/>
        <w:right w:val="none" w:sz="0" w:space="0" w:color="auto"/>
      </w:divBdr>
    </w:div>
    <w:div w:id="2048677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bae.com/mexico/2025/06/19/puente-de-mas-de-400-millones-de-pesos-en-la-autopista-mexico-queretaro-no-cuenta-con-permisos-de-la-sic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dof.gob.mx/nota_detalle.php?codigo=5492254&amp;fecha=28/07/2017"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nosotrosomostepotzotlan/posts/lamentable-la-situaci%C3%B3n-del-distribuidor-vial-de-tepotzotl%C3%A1n-a-4-a%C3%B1os-de-iniciar/96288364265665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pizcalli/posts/-finalizan-reparaci%C3%B3n-de-distribuidor-vial-en-tepotzotl%C3%A1n-el-ayuntamiento-de-tep/1043182304652263/"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agenciamanl.blogspot.com/2025/04/inhabilitacion-de-maria-de-los-angeles.html"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2q3Wvzv/MUlEPCKdgglX68ctYA==">CgMxLjAyDmguZGJ3eDZsaTdpbmgxMg5oLnJ0OWVjMmtubTJuaDIOaC50MmJ2d3V1ZHA2NncyCWguMmV0OTJwMDIIaC50eWpjd3QyCWguM2R5NnZrbTIJaC4xdDNoNXNmMgloLjJzOGV5bzEyCWguMTdkcDh2dTgAciExZ0MzOTU1bk83REpfYjBUNDNMaE5Vc25ZcmpUT21UUkI=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62</Pages>
  <Words>17116</Words>
  <Characters>94142</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111036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60</cp:revision>
  <cp:lastPrinted>2026-04-17T17:25:00Z</cp:lastPrinted>
  <dcterms:created xsi:type="dcterms:W3CDTF">2026-04-07T16:20:00Z</dcterms:created>
  <dcterms:modified xsi:type="dcterms:W3CDTF">2026-04-23T18:22:00Z</dcterms:modified>
</cp:coreProperties>
</file>