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FF6D9C" w14:textId="7813EA2F" w:rsidR="004E3EF7" w:rsidRPr="000B7F6B" w:rsidRDefault="00F2495A" w:rsidP="00BF0DE4">
      <w:pPr>
        <w:spacing w:line="360" w:lineRule="auto"/>
        <w:jc w:val="both"/>
        <w:rPr>
          <w:rFonts w:ascii="Palatino Linotype" w:eastAsia="Palatino Linotype" w:hAnsi="Palatino Linotype" w:cs="Palatino Linotype"/>
          <w:b/>
          <w:bCs/>
        </w:rPr>
      </w:pPr>
      <w:r w:rsidRPr="000B7F6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w:t>
      </w:r>
      <w:r w:rsidR="00AE3240" w:rsidRPr="000B7F6B">
        <w:rPr>
          <w:rFonts w:ascii="Palatino Linotype" w:eastAsia="Palatino Linotype" w:hAnsi="Palatino Linotype" w:cs="Palatino Linotype"/>
          <w:b/>
          <w:bCs/>
        </w:rPr>
        <w:t xml:space="preserve">fecha veinticinco </w:t>
      </w:r>
      <w:r w:rsidR="000B7F6B">
        <w:rPr>
          <w:rFonts w:ascii="Palatino Linotype" w:eastAsia="Palatino Linotype" w:hAnsi="Palatino Linotype" w:cs="Palatino Linotype"/>
          <w:b/>
          <w:bCs/>
        </w:rPr>
        <w:t xml:space="preserve">(25) </w:t>
      </w:r>
      <w:r w:rsidRPr="000B7F6B">
        <w:rPr>
          <w:rFonts w:ascii="Palatino Linotype" w:eastAsia="Palatino Linotype" w:hAnsi="Palatino Linotype" w:cs="Palatino Linotype"/>
          <w:b/>
          <w:bCs/>
        </w:rPr>
        <w:t>de junio de dos mil veintiséis.</w:t>
      </w:r>
    </w:p>
    <w:p w14:paraId="351CF9CD" w14:textId="77777777" w:rsidR="004E3EF7" w:rsidRPr="000B7F6B" w:rsidRDefault="004E3EF7" w:rsidP="00BF0DE4">
      <w:pPr>
        <w:spacing w:line="360" w:lineRule="auto"/>
        <w:jc w:val="both"/>
        <w:rPr>
          <w:rFonts w:ascii="Palatino Linotype" w:eastAsia="Palatino Linotype" w:hAnsi="Palatino Linotype" w:cs="Palatino Linotype"/>
        </w:rPr>
      </w:pPr>
    </w:p>
    <w:p w14:paraId="33A7F854" w14:textId="2EA85B37" w:rsidR="004E3EF7" w:rsidRPr="000B7F6B" w:rsidRDefault="00F2495A"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t>VISTO</w:t>
      </w:r>
      <w:r w:rsidRPr="000B7F6B">
        <w:rPr>
          <w:rFonts w:ascii="Palatino Linotype" w:eastAsia="Palatino Linotype" w:hAnsi="Palatino Linotype" w:cs="Palatino Linotype"/>
        </w:rPr>
        <w:t xml:space="preserve"> el expediente electrónico formado con motivo del recurso de revisión </w:t>
      </w:r>
      <w:r w:rsidR="003F5BBB" w:rsidRPr="000B7F6B">
        <w:rPr>
          <w:rFonts w:ascii="Palatino Linotype" w:eastAsia="Palatino Linotype" w:hAnsi="Palatino Linotype" w:cs="Palatino Linotype"/>
          <w:b/>
          <w:bCs/>
        </w:rPr>
        <w:t>0</w:t>
      </w:r>
      <w:r w:rsidR="006E20BA" w:rsidRPr="000B7F6B">
        <w:rPr>
          <w:rFonts w:ascii="Palatino Linotype" w:eastAsia="Palatino Linotype" w:hAnsi="Palatino Linotype" w:cs="Palatino Linotype"/>
          <w:b/>
          <w:bCs/>
        </w:rPr>
        <w:t>1258</w:t>
      </w:r>
      <w:r w:rsidRPr="000B7F6B">
        <w:rPr>
          <w:rFonts w:ascii="Palatino Linotype" w:eastAsia="Palatino Linotype" w:hAnsi="Palatino Linotype" w:cs="Palatino Linotype"/>
          <w:b/>
          <w:bCs/>
        </w:rPr>
        <w:t>/INFOEM/IP/RR/202</w:t>
      </w:r>
      <w:r w:rsidR="003F5BBB" w:rsidRPr="000B7F6B">
        <w:rPr>
          <w:rFonts w:ascii="Palatino Linotype" w:eastAsia="Palatino Linotype" w:hAnsi="Palatino Linotype" w:cs="Palatino Linotype"/>
          <w:b/>
          <w:bCs/>
        </w:rPr>
        <w:t>6</w:t>
      </w:r>
      <w:r w:rsidRPr="000B7F6B">
        <w:rPr>
          <w:rFonts w:ascii="Palatino Linotype" w:eastAsia="Palatino Linotype" w:hAnsi="Palatino Linotype" w:cs="Palatino Linotype"/>
          <w:b/>
          <w:bCs/>
        </w:rPr>
        <w:t xml:space="preserve">, </w:t>
      </w:r>
      <w:r w:rsidRPr="000B7F6B">
        <w:rPr>
          <w:rFonts w:ascii="Palatino Linotype" w:eastAsia="Palatino Linotype" w:hAnsi="Palatino Linotype" w:cs="Palatino Linotype"/>
        </w:rPr>
        <w:t xml:space="preserve">promovido por </w:t>
      </w:r>
      <w:r w:rsidR="00EA0176">
        <w:rPr>
          <w:rFonts w:ascii="Palatino Linotype" w:eastAsia="Palatino Linotype" w:hAnsi="Palatino Linotype" w:cs="Palatino Linotype"/>
          <w:b/>
          <w:bCs/>
        </w:rPr>
        <w:t>XXXX</w:t>
      </w:r>
      <w:r w:rsidRPr="000B7F6B">
        <w:rPr>
          <w:rFonts w:ascii="Palatino Linotype" w:eastAsia="Palatino Linotype" w:hAnsi="Palatino Linotype" w:cs="Palatino Linotype"/>
          <w:b/>
          <w:bCs/>
        </w:rPr>
        <w:t xml:space="preserve">, </w:t>
      </w:r>
      <w:r w:rsidRPr="000B7F6B">
        <w:rPr>
          <w:rFonts w:ascii="Palatino Linotype" w:eastAsia="Palatino Linotype" w:hAnsi="Palatino Linotype" w:cs="Palatino Linotype"/>
        </w:rPr>
        <w:t xml:space="preserve">en lo sucesivo </w:t>
      </w:r>
      <w:r w:rsidRPr="000B7F6B">
        <w:rPr>
          <w:rFonts w:ascii="Palatino Linotype" w:eastAsia="Palatino Linotype" w:hAnsi="Palatino Linotype" w:cs="Palatino Linotype"/>
          <w:b/>
          <w:bCs/>
        </w:rPr>
        <w:t xml:space="preserve">el RECURRENTE, </w:t>
      </w:r>
      <w:r w:rsidRPr="000B7F6B">
        <w:rPr>
          <w:rFonts w:ascii="Palatino Linotype" w:eastAsia="Palatino Linotype" w:hAnsi="Palatino Linotype" w:cs="Palatino Linotype"/>
        </w:rPr>
        <w:t xml:space="preserve">en contra de la respuesta del </w:t>
      </w:r>
      <w:r w:rsidRPr="000B7F6B">
        <w:rPr>
          <w:rFonts w:ascii="Palatino Linotype" w:eastAsia="Palatino Linotype" w:hAnsi="Palatino Linotype" w:cs="Palatino Linotype"/>
          <w:b/>
          <w:bCs/>
        </w:rPr>
        <w:t xml:space="preserve">Ayuntamiento de </w:t>
      </w:r>
      <w:r w:rsidR="006E20BA" w:rsidRPr="000B7F6B">
        <w:rPr>
          <w:rFonts w:ascii="Palatino Linotype" w:eastAsia="Palatino Linotype" w:hAnsi="Palatino Linotype" w:cs="Palatino Linotype"/>
          <w:b/>
          <w:bCs/>
        </w:rPr>
        <w:t>Toluca</w:t>
      </w:r>
      <w:r w:rsidRPr="000B7F6B">
        <w:rPr>
          <w:rFonts w:ascii="Palatino Linotype" w:eastAsia="Palatino Linotype" w:hAnsi="Palatino Linotype" w:cs="Palatino Linotype"/>
          <w:b/>
          <w:bCs/>
        </w:rPr>
        <w:t xml:space="preserve">, </w:t>
      </w:r>
      <w:r w:rsidRPr="000B7F6B">
        <w:rPr>
          <w:rFonts w:ascii="Palatino Linotype" w:eastAsia="Palatino Linotype" w:hAnsi="Palatino Linotype" w:cs="Palatino Linotype"/>
        </w:rPr>
        <w:t>en adelante el</w:t>
      </w:r>
      <w:r w:rsidRPr="000B7F6B">
        <w:rPr>
          <w:rFonts w:ascii="Palatino Linotype" w:eastAsia="Palatino Linotype" w:hAnsi="Palatino Linotype" w:cs="Palatino Linotype"/>
          <w:b/>
          <w:bCs/>
        </w:rPr>
        <w:t xml:space="preserve"> SUJETO OBLIGADO</w:t>
      </w:r>
      <w:r w:rsidRPr="000B7F6B">
        <w:rPr>
          <w:rFonts w:ascii="Palatino Linotype" w:eastAsia="Palatino Linotype" w:hAnsi="Palatino Linotype" w:cs="Palatino Linotype"/>
        </w:rPr>
        <w:t>, por lo que se procede a dictar la presente resolución, con base en los siguientes:</w:t>
      </w:r>
    </w:p>
    <w:p w14:paraId="4DEE7399" w14:textId="77777777" w:rsidR="004E3EF7" w:rsidRPr="000B7F6B" w:rsidRDefault="004E3EF7" w:rsidP="00BF0DE4">
      <w:pPr>
        <w:spacing w:line="360" w:lineRule="auto"/>
        <w:jc w:val="both"/>
        <w:rPr>
          <w:rFonts w:ascii="Palatino Linotype" w:eastAsia="Palatino Linotype" w:hAnsi="Palatino Linotype" w:cs="Palatino Linotype"/>
        </w:rPr>
      </w:pPr>
    </w:p>
    <w:p w14:paraId="4FD5A08E" w14:textId="77777777" w:rsidR="004E3EF7" w:rsidRPr="000B7F6B" w:rsidRDefault="00F2495A" w:rsidP="00BF0DE4">
      <w:pPr>
        <w:keepNext/>
        <w:keepLines/>
        <w:spacing w:line="360" w:lineRule="auto"/>
        <w:jc w:val="center"/>
        <w:rPr>
          <w:rFonts w:ascii="Palatino Linotype" w:eastAsia="Palatino Linotype" w:hAnsi="Palatino Linotype" w:cs="Palatino Linotype"/>
          <w:b/>
          <w:bCs/>
        </w:rPr>
      </w:pPr>
      <w:r w:rsidRPr="000B7F6B">
        <w:rPr>
          <w:rFonts w:ascii="Palatino Linotype" w:eastAsia="Palatino Linotype" w:hAnsi="Palatino Linotype" w:cs="Palatino Linotype"/>
          <w:b/>
          <w:bCs/>
        </w:rPr>
        <w:t>A N T E C E D E N T E S</w:t>
      </w:r>
    </w:p>
    <w:p w14:paraId="517D379C" w14:textId="77777777" w:rsidR="004E3EF7" w:rsidRPr="000B7F6B" w:rsidRDefault="004E3EF7" w:rsidP="00BF0DE4">
      <w:pPr>
        <w:spacing w:line="360" w:lineRule="auto"/>
        <w:rPr>
          <w:rFonts w:ascii="Palatino Linotype" w:eastAsia="Palatino Linotype" w:hAnsi="Palatino Linotype" w:cs="Palatino Linotype"/>
        </w:rPr>
      </w:pPr>
    </w:p>
    <w:p w14:paraId="4BCB3536" w14:textId="2CBCC619"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0" w:name="_heading=h.ntdj20mvnznb" w:colFirst="0" w:colLast="0"/>
      <w:bookmarkEnd w:id="0"/>
      <w:r w:rsidRPr="000B7F6B">
        <w:rPr>
          <w:rFonts w:ascii="Palatino Linotype" w:eastAsia="Palatino Linotype" w:hAnsi="Palatino Linotype" w:cs="Palatino Linotype"/>
        </w:rPr>
        <w:t xml:space="preserve">El </w:t>
      </w:r>
      <w:r w:rsidR="006E20BA" w:rsidRPr="000B7F6B">
        <w:rPr>
          <w:rFonts w:ascii="Palatino Linotype" w:eastAsia="Palatino Linotype" w:hAnsi="Palatino Linotype" w:cs="Palatino Linotype"/>
        </w:rPr>
        <w:t>catorce de enero de dos mil veintiséis</w:t>
      </w:r>
      <w:r w:rsidRPr="000B7F6B">
        <w:rPr>
          <w:rFonts w:ascii="Palatino Linotype" w:eastAsia="Palatino Linotype" w:hAnsi="Palatino Linotype" w:cs="Palatino Linotype"/>
        </w:rPr>
        <w:t>, la</w:t>
      </w:r>
      <w:r w:rsidRPr="000B7F6B">
        <w:rPr>
          <w:rFonts w:ascii="Palatino Linotype" w:eastAsia="Palatino Linotype" w:hAnsi="Palatino Linotype" w:cs="Palatino Linotype"/>
          <w:b/>
          <w:bCs/>
        </w:rPr>
        <w:t xml:space="preserve"> </w:t>
      </w:r>
      <w:r w:rsidRPr="000B7F6B">
        <w:rPr>
          <w:rFonts w:ascii="Palatino Linotype" w:eastAsia="Palatino Linotype" w:hAnsi="Palatino Linotype" w:cs="Palatino Linotype"/>
        </w:rPr>
        <w:t>parte</w:t>
      </w:r>
      <w:r w:rsidRPr="000B7F6B">
        <w:rPr>
          <w:rFonts w:ascii="Palatino Linotype" w:eastAsia="Palatino Linotype" w:hAnsi="Palatino Linotype" w:cs="Palatino Linotype"/>
          <w:b/>
          <w:bCs/>
        </w:rPr>
        <w:t xml:space="preserve"> RECURRENTE </w:t>
      </w:r>
      <w:r w:rsidRPr="000B7F6B">
        <w:rPr>
          <w:rFonts w:ascii="Palatino Linotype" w:eastAsia="Palatino Linotype" w:hAnsi="Palatino Linotype" w:cs="Palatino Linotype"/>
        </w:rPr>
        <w:t xml:space="preserve">presentó ante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a través del el Sistema de Acceso a la Información Mexiquense </w:t>
      </w:r>
      <w:r w:rsidRPr="000B7F6B">
        <w:rPr>
          <w:rFonts w:ascii="Palatino Linotype" w:eastAsia="Palatino Linotype" w:hAnsi="Palatino Linotype" w:cs="Palatino Linotype"/>
          <w:b/>
          <w:bCs/>
        </w:rPr>
        <w:t>(SAIMEX),</w:t>
      </w:r>
      <w:r w:rsidRPr="000B7F6B">
        <w:rPr>
          <w:rFonts w:ascii="Palatino Linotype" w:eastAsia="Palatino Linotype" w:hAnsi="Palatino Linotype" w:cs="Palatino Linotype"/>
        </w:rPr>
        <w:t xml:space="preserve"> la solicitud de información pública </w:t>
      </w:r>
      <w:r w:rsidRPr="000B7F6B">
        <w:rPr>
          <w:rFonts w:ascii="Palatino Linotype" w:eastAsia="Palatino Linotype" w:hAnsi="Palatino Linotype" w:cs="Palatino Linotype"/>
          <w:b/>
          <w:bCs/>
        </w:rPr>
        <w:t>0</w:t>
      </w:r>
      <w:r w:rsidR="003F5BBB" w:rsidRPr="000B7F6B">
        <w:rPr>
          <w:rFonts w:ascii="Palatino Linotype" w:eastAsia="Palatino Linotype" w:hAnsi="Palatino Linotype" w:cs="Palatino Linotype"/>
          <w:b/>
          <w:bCs/>
        </w:rPr>
        <w:t>0</w:t>
      </w:r>
      <w:r w:rsidR="006E20BA" w:rsidRPr="000B7F6B">
        <w:rPr>
          <w:rFonts w:ascii="Palatino Linotype" w:eastAsia="Palatino Linotype" w:hAnsi="Palatino Linotype" w:cs="Palatino Linotype"/>
          <w:b/>
          <w:bCs/>
        </w:rPr>
        <w:t>613</w:t>
      </w:r>
      <w:r w:rsidRPr="000B7F6B">
        <w:rPr>
          <w:rFonts w:ascii="Palatino Linotype" w:eastAsia="Palatino Linotype" w:hAnsi="Palatino Linotype" w:cs="Palatino Linotype"/>
          <w:b/>
          <w:bCs/>
        </w:rPr>
        <w:t>/</w:t>
      </w:r>
      <w:r w:rsidR="006E20BA" w:rsidRPr="000B7F6B">
        <w:rPr>
          <w:rFonts w:ascii="Palatino Linotype" w:eastAsia="Palatino Linotype" w:hAnsi="Palatino Linotype" w:cs="Palatino Linotype"/>
          <w:b/>
          <w:bCs/>
        </w:rPr>
        <w:t>TOLUCA</w:t>
      </w:r>
      <w:r w:rsidRPr="000B7F6B">
        <w:rPr>
          <w:rFonts w:ascii="Palatino Linotype" w:eastAsia="Palatino Linotype" w:hAnsi="Palatino Linotype" w:cs="Palatino Linotype"/>
          <w:b/>
          <w:bCs/>
        </w:rPr>
        <w:t>/IP/202</w:t>
      </w:r>
      <w:r w:rsidR="006E20BA" w:rsidRPr="000B7F6B">
        <w:rPr>
          <w:rFonts w:ascii="Palatino Linotype" w:eastAsia="Palatino Linotype" w:hAnsi="Palatino Linotype" w:cs="Palatino Linotype"/>
          <w:b/>
          <w:bCs/>
        </w:rPr>
        <w:t>6</w:t>
      </w:r>
      <w:r w:rsidRPr="000B7F6B">
        <w:rPr>
          <w:rFonts w:ascii="Palatino Linotype" w:eastAsia="Palatino Linotype" w:hAnsi="Palatino Linotype" w:cs="Palatino Linotype"/>
        </w:rPr>
        <w:t>, en la que solicitó:</w:t>
      </w:r>
    </w:p>
    <w:p w14:paraId="4DC534C7" w14:textId="77777777" w:rsidR="004E3EF7" w:rsidRPr="000B7F6B" w:rsidRDefault="004E3EF7">
      <w:pPr>
        <w:spacing w:line="360" w:lineRule="auto"/>
        <w:ind w:right="-561"/>
        <w:jc w:val="both"/>
        <w:rPr>
          <w:rFonts w:ascii="Palatino Linotype" w:eastAsia="Palatino Linotype" w:hAnsi="Palatino Linotype" w:cs="Palatino Linotype"/>
          <w:i/>
          <w:iCs/>
        </w:rPr>
      </w:pPr>
    </w:p>
    <w:p w14:paraId="2186A02B" w14:textId="407130ED" w:rsidR="004E3EF7" w:rsidRPr="000B7F6B" w:rsidRDefault="00F2495A" w:rsidP="003F5BBB">
      <w:pPr>
        <w:ind w:left="567" w:right="567"/>
        <w:jc w:val="both"/>
        <w:rPr>
          <w:rFonts w:ascii="Palatino Linotype" w:hAnsi="Palatino Linotype"/>
          <w:i/>
          <w:iCs/>
        </w:rPr>
      </w:pPr>
      <w:r w:rsidRPr="000B7F6B">
        <w:rPr>
          <w:rFonts w:ascii="Palatino Linotype" w:eastAsia="Palatino Linotype" w:hAnsi="Palatino Linotype" w:cs="Palatino Linotype"/>
          <w:i/>
          <w:iCs/>
          <w:color w:val="000000"/>
        </w:rPr>
        <w:t>“</w:t>
      </w:r>
      <w:r w:rsidR="006E20BA" w:rsidRPr="000B7F6B">
        <w:rPr>
          <w:rFonts w:ascii="Palatino Linotype" w:hAnsi="Palatino Linotype"/>
          <w:i/>
          <w:iCs/>
          <w:color w:val="000000"/>
        </w:rPr>
        <w:t>LA D</w:t>
      </w:r>
      <w:bookmarkStart w:id="1" w:name="_GoBack"/>
      <w:bookmarkEnd w:id="1"/>
      <w:r w:rsidR="006E20BA" w:rsidRPr="000B7F6B">
        <w:rPr>
          <w:rFonts w:ascii="Palatino Linotype" w:hAnsi="Palatino Linotype"/>
          <w:i/>
          <w:iCs/>
          <w:color w:val="000000"/>
        </w:rPr>
        <w:t>OCUMENTACION QUE ACREDITE QUE EL DIRECTOR DE LA ACADEMIA DE POLICIA DE TOLUCA CUENTA CON CONOCIMIENTOS UNICA Y EXCLUSIVAMENTE EN MATERIA DE SEGURIDAD PUBLICA ASI COMO SU CERTIFICADO DE FORMACION INICIAL PARA POLICIA Y SU CERTIFICADO UNICO POLICIAL</w:t>
      </w:r>
      <w:r w:rsidRPr="000B7F6B">
        <w:rPr>
          <w:rFonts w:ascii="Palatino Linotype" w:eastAsia="Palatino Linotype" w:hAnsi="Palatino Linotype" w:cs="Palatino Linotype"/>
          <w:i/>
          <w:iCs/>
          <w:color w:val="000000"/>
        </w:rPr>
        <w:t xml:space="preserve">” (Sic) </w:t>
      </w:r>
    </w:p>
    <w:p w14:paraId="631F562B" w14:textId="77777777" w:rsidR="004E3EF7" w:rsidRPr="000B7F6B" w:rsidRDefault="004E3EF7">
      <w:pPr>
        <w:pBdr>
          <w:top w:val="nil"/>
          <w:left w:val="nil"/>
          <w:bottom w:val="nil"/>
          <w:right w:val="nil"/>
          <w:between w:val="nil"/>
        </w:pBdr>
        <w:spacing w:line="360" w:lineRule="auto"/>
        <w:ind w:right="-561"/>
        <w:jc w:val="both"/>
        <w:rPr>
          <w:rFonts w:ascii="Palatino Linotype" w:eastAsia="Palatino Linotype" w:hAnsi="Palatino Linotype" w:cs="Palatino Linotype"/>
        </w:rPr>
      </w:pPr>
    </w:p>
    <w:p w14:paraId="4439A7A8" w14:textId="606F36D1" w:rsidR="004E3EF7" w:rsidRPr="000B7F6B"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Se hace constar que se señaló como modalidad de entrega de la información a través del </w:t>
      </w:r>
      <w:r w:rsidRPr="000B7F6B">
        <w:rPr>
          <w:rFonts w:ascii="Palatino Linotype" w:eastAsia="Palatino Linotype" w:hAnsi="Palatino Linotype" w:cs="Palatino Linotype"/>
          <w:b/>
          <w:bCs/>
        </w:rPr>
        <w:t>SAIMEX.</w:t>
      </w:r>
    </w:p>
    <w:p w14:paraId="2389316E" w14:textId="77777777" w:rsidR="003F5BBB" w:rsidRPr="000B7F6B" w:rsidRDefault="003F5BBB" w:rsidP="003F5BBB">
      <w:pPr>
        <w:rPr>
          <w:rFonts w:ascii="Palatino Linotype" w:eastAsia="Palatino Linotype" w:hAnsi="Palatino Linotype" w:cs="Palatino Linotype"/>
        </w:rPr>
      </w:pPr>
    </w:p>
    <w:p w14:paraId="72E1B16B" w14:textId="4C9CBCB6" w:rsidR="004E3EF7" w:rsidRPr="000B7F6B" w:rsidRDefault="00F2495A" w:rsidP="002934A0">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El </w:t>
      </w:r>
      <w:r w:rsidR="006E20BA" w:rsidRPr="000B7F6B">
        <w:rPr>
          <w:rFonts w:ascii="Palatino Linotype" w:eastAsia="Palatino Linotype" w:hAnsi="Palatino Linotype" w:cs="Palatino Linotype"/>
        </w:rPr>
        <w:t>cuatro de febrero</w:t>
      </w:r>
      <w:r w:rsidR="003F5BBB" w:rsidRPr="000B7F6B">
        <w:rPr>
          <w:rFonts w:ascii="Palatino Linotype" w:eastAsia="Palatino Linotype" w:hAnsi="Palatino Linotype" w:cs="Palatino Linotype"/>
        </w:rPr>
        <w:t xml:space="preserve"> de dos mil veintiséis</w:t>
      </w:r>
      <w:r w:rsidRPr="000B7F6B">
        <w:rPr>
          <w:rFonts w:ascii="Palatino Linotype" w:eastAsia="Palatino Linotype" w:hAnsi="Palatino Linotype" w:cs="Palatino Linotype"/>
        </w:rPr>
        <w:t xml:space="preserve">,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b/>
          <w:bCs/>
          <w:i/>
          <w:iCs/>
        </w:rPr>
        <w:t xml:space="preserve"> </w:t>
      </w:r>
      <w:r w:rsidRPr="000B7F6B">
        <w:rPr>
          <w:rFonts w:ascii="Palatino Linotype" w:eastAsia="Palatino Linotype" w:hAnsi="Palatino Linotype" w:cs="Palatino Linotype"/>
        </w:rPr>
        <w:t>dio respuesta a la solicitud de información, en los siguientes términos:</w:t>
      </w:r>
    </w:p>
    <w:p w14:paraId="57604A75" w14:textId="56B2C700"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color w:val="000000"/>
        </w:rPr>
        <w:lastRenderedPageBreak/>
        <w:t>“</w:t>
      </w:r>
      <w:r w:rsidR="006E20BA" w:rsidRPr="000B7F6B">
        <w:rPr>
          <w:rFonts w:ascii="Palatino Linotype" w:hAnsi="Palatino Linotype"/>
          <w:i/>
          <w:iCs/>
          <w:color w:val="000000"/>
        </w:rPr>
        <w:t>En atención a la solicitud con folio 0613/TOLUCA/IP/2026, me permito adjuntar al presente la respuesta correspondiente, Sin más por el momento, reciba un saludo</w:t>
      </w:r>
      <w:r w:rsidRPr="000B7F6B">
        <w:rPr>
          <w:rFonts w:ascii="Palatino Linotype" w:eastAsia="Palatino Linotype" w:hAnsi="Palatino Linotype" w:cs="Palatino Linotype"/>
          <w:i/>
          <w:iCs/>
          <w:color w:val="000000"/>
        </w:rPr>
        <w:t xml:space="preserve">” (Sic) </w:t>
      </w:r>
    </w:p>
    <w:p w14:paraId="7FBA2FA8" w14:textId="1AD89BB8" w:rsidR="004E3EF7" w:rsidRPr="000B7F6B" w:rsidRDefault="004E3EF7">
      <w:pPr>
        <w:spacing w:line="360" w:lineRule="auto"/>
        <w:ind w:right="-561"/>
        <w:jc w:val="both"/>
        <w:rPr>
          <w:rFonts w:ascii="Palatino Linotype" w:eastAsia="Palatino Linotype" w:hAnsi="Palatino Linotype" w:cs="Palatino Linotype"/>
          <w:b/>
          <w:bCs/>
        </w:rPr>
      </w:pPr>
    </w:p>
    <w:p w14:paraId="02DA94B9" w14:textId="5B92F4BE" w:rsidR="006E20BA" w:rsidRPr="000B7F6B" w:rsidRDefault="006E20BA">
      <w:pPr>
        <w:spacing w:line="360" w:lineRule="auto"/>
        <w:ind w:right="-561"/>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Archivos electrónicos adjuntos:</w:t>
      </w:r>
    </w:p>
    <w:p w14:paraId="01C9A7FC" w14:textId="1D3FCB5A" w:rsidR="006E20BA" w:rsidRPr="000B7F6B" w:rsidRDefault="00287318" w:rsidP="006E20BA">
      <w:pPr>
        <w:ind w:left="567" w:right="567"/>
        <w:jc w:val="both"/>
        <w:rPr>
          <w:rFonts w:ascii="Palatino Linotype" w:eastAsia="Palatino Linotype" w:hAnsi="Palatino Linotype" w:cs="Palatino Linotype"/>
          <w:b/>
          <w:bCs/>
        </w:rPr>
      </w:pPr>
      <w:hyperlink r:id="rId8" w:tgtFrame="_blank" w:history="1">
        <w:r w:rsidR="006E20BA" w:rsidRPr="000B7F6B">
          <w:rPr>
            <w:rStyle w:val="Hipervnculo"/>
            <w:rFonts w:ascii="Palatino Linotype" w:hAnsi="Palatino Linotype" w:cs="Arial"/>
            <w:b/>
            <w:bCs/>
            <w:color w:val="auto"/>
            <w:u w:val="none"/>
          </w:rPr>
          <w:t>NOTIFI CIUD INCOMPETENCIA S. 613.pdf</w:t>
        </w:r>
      </w:hyperlink>
      <w:r w:rsidR="006E20BA" w:rsidRPr="000B7F6B">
        <w:rPr>
          <w:rFonts w:ascii="Palatino Linotype" w:hAnsi="Palatino Linotype"/>
        </w:rPr>
        <w:t>: Oficio suscrito por la Directora General de Administración, mediante el cual, señaló que el requerimiento no es competencia de la Dirección a su cargo.</w:t>
      </w:r>
    </w:p>
    <w:p w14:paraId="5CD6D8E4" w14:textId="77777777" w:rsidR="006E20BA" w:rsidRPr="000B7F6B" w:rsidRDefault="006E20BA">
      <w:pPr>
        <w:spacing w:line="360" w:lineRule="auto"/>
        <w:ind w:right="-561"/>
        <w:jc w:val="both"/>
        <w:rPr>
          <w:rFonts w:ascii="Palatino Linotype" w:eastAsia="Palatino Linotype" w:hAnsi="Palatino Linotype" w:cs="Palatino Linotype"/>
          <w:b/>
          <w:bCs/>
        </w:rPr>
      </w:pPr>
    </w:p>
    <w:p w14:paraId="24C32CAE" w14:textId="24497D03"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El </w:t>
      </w:r>
      <w:r w:rsidR="006E20BA" w:rsidRPr="000B7F6B">
        <w:rPr>
          <w:rFonts w:ascii="Palatino Linotype" w:eastAsia="Palatino Linotype" w:hAnsi="Palatino Linotype" w:cs="Palatino Linotype"/>
        </w:rPr>
        <w:t>cuatro de febrero</w:t>
      </w:r>
      <w:r w:rsidR="003F5BBB" w:rsidRPr="000B7F6B">
        <w:rPr>
          <w:rFonts w:ascii="Palatino Linotype" w:eastAsia="Palatino Linotype" w:hAnsi="Palatino Linotype" w:cs="Palatino Linotype"/>
        </w:rPr>
        <w:t xml:space="preserve"> de dos mil veintiséis</w:t>
      </w:r>
      <w:r w:rsidRPr="000B7F6B">
        <w:rPr>
          <w:rFonts w:ascii="Palatino Linotype" w:eastAsia="Palatino Linotype" w:hAnsi="Palatino Linotype" w:cs="Palatino Linotype"/>
        </w:rPr>
        <w:t>,</w:t>
      </w:r>
      <w:r w:rsidRPr="000B7F6B">
        <w:rPr>
          <w:rFonts w:ascii="Palatino Linotype" w:eastAsia="Palatino Linotype" w:hAnsi="Palatino Linotype" w:cs="Palatino Linotype"/>
          <w:b/>
          <w:bCs/>
        </w:rPr>
        <w:t xml:space="preserve"> </w:t>
      </w:r>
      <w:r w:rsidRPr="000B7F6B">
        <w:rPr>
          <w:rFonts w:ascii="Palatino Linotype" w:eastAsia="Palatino Linotype" w:hAnsi="Palatino Linotype" w:cs="Palatino Linotype"/>
        </w:rPr>
        <w:t xml:space="preserve">el </w:t>
      </w:r>
      <w:r w:rsidRPr="000B7F6B">
        <w:rPr>
          <w:rFonts w:ascii="Palatino Linotype" w:eastAsia="Palatino Linotype" w:hAnsi="Palatino Linotype" w:cs="Palatino Linotype"/>
          <w:b/>
          <w:bCs/>
        </w:rPr>
        <w:t>RECURRENTE</w:t>
      </w:r>
      <w:r w:rsidRPr="000B7F6B">
        <w:rPr>
          <w:rFonts w:ascii="Palatino Linotype" w:eastAsia="Palatino Linotype" w:hAnsi="Palatino Linotype" w:cs="Palatino Linotype"/>
        </w:rPr>
        <w:t xml:space="preserve"> interpuso el recurso de revisión en contra de la respuesta, señalando como:</w:t>
      </w:r>
    </w:p>
    <w:p w14:paraId="6E95D15F" w14:textId="77777777" w:rsidR="004E3EF7" w:rsidRPr="000B7F6B" w:rsidRDefault="004E3EF7">
      <w:pPr>
        <w:spacing w:line="360" w:lineRule="auto"/>
        <w:ind w:right="-561"/>
        <w:jc w:val="both"/>
        <w:rPr>
          <w:rFonts w:ascii="Palatino Linotype" w:eastAsia="Palatino Linotype" w:hAnsi="Palatino Linotype" w:cs="Palatino Linotype"/>
        </w:rPr>
      </w:pPr>
    </w:p>
    <w:p w14:paraId="048E1244" w14:textId="57F86A6B" w:rsidR="004E3EF7" w:rsidRPr="000B7F6B" w:rsidRDefault="00F2495A" w:rsidP="00BF0DE4">
      <w:pPr>
        <w:numPr>
          <w:ilvl w:val="0"/>
          <w:numId w:val="1"/>
        </w:numPr>
        <w:ind w:left="567" w:right="567" w:hanging="141"/>
        <w:jc w:val="both"/>
        <w:rPr>
          <w:rFonts w:ascii="Palatino Linotype" w:eastAsia="Palatino Linotype" w:hAnsi="Palatino Linotype" w:cs="Palatino Linotype"/>
        </w:rPr>
      </w:pPr>
      <w:r w:rsidRPr="000B7F6B">
        <w:rPr>
          <w:rFonts w:ascii="Palatino Linotype" w:eastAsia="Palatino Linotype" w:hAnsi="Palatino Linotype" w:cs="Palatino Linotype"/>
          <w:b/>
          <w:bCs/>
        </w:rPr>
        <w:t>Acto impugnado</w:t>
      </w:r>
      <w:r w:rsidRPr="000B7F6B">
        <w:rPr>
          <w:rFonts w:ascii="Palatino Linotype" w:eastAsia="Palatino Linotype" w:hAnsi="Palatino Linotype" w:cs="Palatino Linotype"/>
          <w:b/>
          <w:bCs/>
          <w:i/>
          <w:iCs/>
        </w:rPr>
        <w:t>:</w:t>
      </w:r>
      <w:r w:rsidRPr="000B7F6B">
        <w:rPr>
          <w:rFonts w:ascii="Palatino Linotype" w:eastAsia="Palatino Linotype" w:hAnsi="Palatino Linotype" w:cs="Palatino Linotype"/>
          <w:i/>
          <w:iCs/>
          <w:color w:val="000000"/>
        </w:rPr>
        <w:t xml:space="preserve"> “</w:t>
      </w:r>
      <w:r w:rsidR="006E20BA" w:rsidRPr="000B7F6B">
        <w:rPr>
          <w:rFonts w:ascii="Palatino Linotype" w:hAnsi="Palatino Linotype"/>
          <w:i/>
          <w:iCs/>
          <w:color w:val="000000"/>
        </w:rPr>
        <w:t>la respuesta a la solicitud de transparencia 0613/TOLUCA/IP/2026</w:t>
      </w:r>
      <w:r w:rsidRPr="000B7F6B">
        <w:rPr>
          <w:rFonts w:ascii="Palatino Linotype" w:eastAsia="Palatino Linotype" w:hAnsi="Palatino Linotype" w:cs="Palatino Linotype"/>
          <w:i/>
          <w:iCs/>
          <w:color w:val="000000"/>
        </w:rPr>
        <w:t>” (Sic)</w:t>
      </w:r>
    </w:p>
    <w:p w14:paraId="595F6BC8" w14:textId="77777777" w:rsidR="004E3EF7" w:rsidRPr="000B7F6B" w:rsidRDefault="004E3EF7" w:rsidP="00BF0DE4">
      <w:pPr>
        <w:ind w:left="567" w:right="567" w:hanging="141"/>
        <w:jc w:val="both"/>
        <w:rPr>
          <w:rFonts w:ascii="Palatino Linotype" w:eastAsia="Palatino Linotype" w:hAnsi="Palatino Linotype" w:cs="Palatino Linotype"/>
        </w:rPr>
      </w:pPr>
    </w:p>
    <w:p w14:paraId="3CB6B086" w14:textId="47BADFD3" w:rsidR="004E3EF7" w:rsidRPr="000B7F6B" w:rsidRDefault="00F2495A" w:rsidP="00BF0DE4">
      <w:pPr>
        <w:numPr>
          <w:ilvl w:val="0"/>
          <w:numId w:val="2"/>
        </w:numPr>
        <w:ind w:left="567" w:right="567" w:hanging="141"/>
        <w:jc w:val="both"/>
        <w:rPr>
          <w:rFonts w:ascii="Palatino Linotype" w:eastAsia="Palatino Linotype" w:hAnsi="Palatino Linotype" w:cs="Palatino Linotype"/>
          <w:i/>
          <w:iCs/>
        </w:rPr>
      </w:pPr>
      <w:r w:rsidRPr="000B7F6B">
        <w:rPr>
          <w:rFonts w:ascii="Palatino Linotype" w:eastAsia="Palatino Linotype" w:hAnsi="Palatino Linotype" w:cs="Palatino Linotype"/>
          <w:b/>
          <w:bCs/>
        </w:rPr>
        <w:t xml:space="preserve">Razones o Motivos de inconformidad: </w:t>
      </w:r>
      <w:r w:rsidRPr="000B7F6B">
        <w:rPr>
          <w:rFonts w:ascii="Palatino Linotype" w:eastAsia="Palatino Linotype" w:hAnsi="Palatino Linotype" w:cs="Palatino Linotype"/>
          <w:i/>
          <w:iCs/>
          <w:color w:val="000000"/>
        </w:rPr>
        <w:t>“</w:t>
      </w:r>
      <w:r w:rsidR="006E20BA" w:rsidRPr="000B7F6B">
        <w:rPr>
          <w:rFonts w:ascii="Palatino Linotype" w:hAnsi="Palatino Linotype"/>
          <w:i/>
          <w:iCs/>
          <w:color w:val="000000"/>
        </w:rPr>
        <w:t>LA RESPUESTA NO SATISFACE LA SOLICITUD PRESENTADA YA QUE SOLO SE LIMITA A SEÑALAR QUE LA SOILCITUD DE INFORMACION NO ES COMPETENCIA DE LA DIRECCION GENERAL DE ADMINISTRACION SIN REALIZAR UNA BUSQUEDA EXAHUSTIVA EN TODAS LAS AREAS COMOETENTES O INCLUSO CON EL SERVIDOR PUBLICO DEL QUE SE REQUIERE LA INFORMACION REQUERIDA</w:t>
      </w:r>
      <w:r w:rsidRPr="000B7F6B">
        <w:rPr>
          <w:rFonts w:ascii="Palatino Linotype" w:eastAsia="Palatino Linotype" w:hAnsi="Palatino Linotype" w:cs="Palatino Linotype"/>
          <w:i/>
          <w:iCs/>
          <w:color w:val="000000"/>
        </w:rPr>
        <w:t>” (Sic)</w:t>
      </w:r>
    </w:p>
    <w:p w14:paraId="479EC87D" w14:textId="77777777" w:rsidR="004E3EF7" w:rsidRPr="000B7F6B" w:rsidRDefault="004E3EF7">
      <w:pPr>
        <w:spacing w:line="360" w:lineRule="auto"/>
        <w:ind w:right="-561"/>
        <w:jc w:val="both"/>
        <w:rPr>
          <w:rFonts w:ascii="Palatino Linotype" w:eastAsia="Palatino Linotype" w:hAnsi="Palatino Linotype" w:cs="Palatino Linotype"/>
          <w:b/>
          <w:bCs/>
        </w:rPr>
      </w:pPr>
    </w:p>
    <w:p w14:paraId="317E4C03"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0B7F6B">
        <w:rPr>
          <w:rFonts w:ascii="Palatino Linotype" w:eastAsia="Palatino Linotype" w:hAnsi="Palatino Linotype" w:cs="Palatino Linotype"/>
          <w:b/>
          <w:bCs/>
        </w:rPr>
        <w:t xml:space="preserve">Ley de Transparencia y Acceso a la Información Pública del Estado de México y Municipios </w:t>
      </w:r>
      <w:r w:rsidRPr="000B7F6B">
        <w:rPr>
          <w:rFonts w:ascii="Palatino Linotype" w:eastAsia="Palatino Linotype" w:hAnsi="Palatino Linotype" w:cs="Palatino Linotype"/>
        </w:rPr>
        <w:t xml:space="preserve">se turna a la </w:t>
      </w:r>
      <w:r w:rsidRPr="000B7F6B">
        <w:rPr>
          <w:rFonts w:ascii="Palatino Linotype" w:eastAsia="Palatino Linotype" w:hAnsi="Palatino Linotype" w:cs="Palatino Linotype"/>
          <w:b/>
          <w:bCs/>
        </w:rPr>
        <w:t xml:space="preserve">Comisionada María del Rosario Mejía Ayala, </w:t>
      </w:r>
      <w:r w:rsidRPr="000B7F6B">
        <w:rPr>
          <w:rFonts w:ascii="Palatino Linotype" w:eastAsia="Palatino Linotype" w:hAnsi="Palatino Linotype" w:cs="Palatino Linotype"/>
        </w:rPr>
        <w:t xml:space="preserve">para su análisis. </w:t>
      </w:r>
    </w:p>
    <w:p w14:paraId="5536D872" w14:textId="77777777" w:rsidR="004E3EF7" w:rsidRPr="000B7F6B" w:rsidRDefault="004E3EF7" w:rsidP="00771F83">
      <w:pPr>
        <w:spacing w:line="360" w:lineRule="auto"/>
        <w:jc w:val="both"/>
        <w:rPr>
          <w:rFonts w:ascii="Palatino Linotype" w:eastAsia="Palatino Linotype" w:hAnsi="Palatino Linotype" w:cs="Palatino Linotype"/>
        </w:rPr>
      </w:pPr>
    </w:p>
    <w:p w14:paraId="341A6096" w14:textId="0D1538F4"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rPr>
        <w:t xml:space="preserve">La Comisionada Ponente con fundamento en lo dispuesto por el artículo 185 fracción II de la ley de la materia, a través del acuerdo de admisión del </w:t>
      </w:r>
      <w:r w:rsidR="006E20BA" w:rsidRPr="000B7F6B">
        <w:rPr>
          <w:rFonts w:ascii="Palatino Linotype" w:eastAsia="Palatino Linotype" w:hAnsi="Palatino Linotype" w:cs="Palatino Linotype"/>
        </w:rPr>
        <w:t>cinco de febrero</w:t>
      </w:r>
      <w:r w:rsidR="00771F83" w:rsidRPr="000B7F6B">
        <w:rPr>
          <w:rFonts w:ascii="Palatino Linotype" w:eastAsia="Palatino Linotype" w:hAnsi="Palatino Linotype" w:cs="Palatino Linotype"/>
        </w:rPr>
        <w:t xml:space="preserve"> de dos mil </w:t>
      </w:r>
      <w:r w:rsidR="00771F83" w:rsidRPr="000B7F6B">
        <w:rPr>
          <w:rFonts w:ascii="Palatino Linotype" w:eastAsia="Palatino Linotype" w:hAnsi="Palatino Linotype" w:cs="Palatino Linotype"/>
        </w:rPr>
        <w:lastRenderedPageBreak/>
        <w:t>veintiséis</w:t>
      </w:r>
      <w:r w:rsidRPr="000B7F6B">
        <w:rPr>
          <w:rFonts w:ascii="Palatino Linotype" w:eastAsia="Palatino Linotype" w:hAnsi="Palatino Linotype" w:cs="Palatino Linotype"/>
        </w:rPr>
        <w:t xml:space="preserve">, puso a disposición de las partes el expediente electrónico vía </w:t>
      </w:r>
      <w:r w:rsidRPr="000B7F6B">
        <w:rPr>
          <w:rFonts w:ascii="Palatino Linotype" w:eastAsia="Palatino Linotype" w:hAnsi="Palatino Linotype" w:cs="Palatino Linotype"/>
          <w:b/>
          <w:bCs/>
        </w:rPr>
        <w:t xml:space="preserve">SAIMEX </w:t>
      </w:r>
      <w:r w:rsidRPr="000B7F6B">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presentará el informe justificado procedente. </w:t>
      </w:r>
    </w:p>
    <w:p w14:paraId="72F825CB" w14:textId="77777777" w:rsidR="004E3EF7" w:rsidRPr="000B7F6B" w:rsidRDefault="004E3EF7" w:rsidP="00BF0DE4">
      <w:pPr>
        <w:pBdr>
          <w:top w:val="nil"/>
          <w:left w:val="nil"/>
          <w:bottom w:val="nil"/>
          <w:right w:val="nil"/>
          <w:between w:val="nil"/>
        </w:pBdr>
        <w:rPr>
          <w:rFonts w:ascii="Palatino Linotype" w:eastAsia="Palatino Linotype" w:hAnsi="Palatino Linotype" w:cs="Palatino Linotype"/>
          <w:color w:val="000000"/>
        </w:rPr>
      </w:pPr>
    </w:p>
    <w:p w14:paraId="18F8D54F" w14:textId="16F4E089" w:rsidR="006E20BA" w:rsidRPr="000B7F6B" w:rsidRDefault="00F2495A" w:rsidP="00771F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El </w:t>
      </w:r>
      <w:r w:rsidR="006E20BA" w:rsidRPr="000B7F6B">
        <w:rPr>
          <w:rFonts w:ascii="Palatino Linotype" w:eastAsia="Palatino Linotype" w:hAnsi="Palatino Linotype" w:cs="Palatino Linotype"/>
        </w:rPr>
        <w:t xml:space="preserve">once y dieciséis de febrero de dos mil veintiséis,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w:t>
      </w:r>
      <w:r w:rsidR="006E20BA" w:rsidRPr="000B7F6B">
        <w:rPr>
          <w:rFonts w:ascii="Palatino Linotype" w:eastAsia="Palatino Linotype" w:hAnsi="Palatino Linotype" w:cs="Palatino Linotype"/>
        </w:rPr>
        <w:t>rindió</w:t>
      </w:r>
      <w:r w:rsidRPr="000B7F6B">
        <w:rPr>
          <w:rFonts w:ascii="Palatino Linotype" w:eastAsia="Palatino Linotype" w:hAnsi="Palatino Linotype" w:cs="Palatino Linotype"/>
        </w:rPr>
        <w:t xml:space="preserve"> el informe justificado correspondiente, </w:t>
      </w:r>
      <w:r w:rsidR="006E20BA" w:rsidRPr="000B7F6B">
        <w:rPr>
          <w:rFonts w:ascii="Palatino Linotype" w:eastAsia="Palatino Linotype" w:hAnsi="Palatino Linotype" w:cs="Palatino Linotype"/>
        </w:rPr>
        <w:t>mediante los siguientes archivos electrónicos:</w:t>
      </w:r>
    </w:p>
    <w:p w14:paraId="33CCC85F" w14:textId="410A80F3" w:rsidR="006E20BA" w:rsidRPr="000B7F6B" w:rsidRDefault="006E20BA" w:rsidP="006E20BA">
      <w:pPr>
        <w:pBdr>
          <w:top w:val="nil"/>
          <w:left w:val="nil"/>
          <w:bottom w:val="nil"/>
          <w:right w:val="nil"/>
          <w:between w:val="nil"/>
        </w:pBdr>
        <w:ind w:left="567" w:right="567"/>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 xml:space="preserve">1258-2026-DGA.pdf: </w:t>
      </w:r>
      <w:r w:rsidRPr="000B7F6B">
        <w:rPr>
          <w:rFonts w:ascii="Palatino Linotype" w:eastAsia="Palatino Linotype" w:hAnsi="Palatino Linotype" w:cs="Palatino Linotype"/>
        </w:rPr>
        <w:t>Oficio suscrito por la Directora General de Administración, mediante el cual,</w:t>
      </w:r>
      <w:r w:rsidRPr="000B7F6B">
        <w:rPr>
          <w:rFonts w:ascii="Palatino Linotype" w:eastAsia="Palatino Linotype" w:hAnsi="Palatino Linotype" w:cs="Palatino Linotype"/>
          <w:b/>
          <w:bCs/>
        </w:rPr>
        <w:t xml:space="preserve"> ratificó la respuesta.</w:t>
      </w:r>
    </w:p>
    <w:p w14:paraId="5C64AE5C" w14:textId="77777777" w:rsidR="006E20BA" w:rsidRPr="000B7F6B" w:rsidRDefault="006E20BA" w:rsidP="006E20BA">
      <w:pPr>
        <w:pBdr>
          <w:top w:val="nil"/>
          <w:left w:val="nil"/>
          <w:bottom w:val="nil"/>
          <w:right w:val="nil"/>
          <w:between w:val="nil"/>
        </w:pBdr>
        <w:ind w:left="567" w:right="567"/>
        <w:jc w:val="both"/>
        <w:rPr>
          <w:rFonts w:ascii="Palatino Linotype" w:eastAsia="Palatino Linotype" w:hAnsi="Palatino Linotype" w:cs="Palatino Linotype"/>
          <w:b/>
          <w:bCs/>
        </w:rPr>
      </w:pPr>
    </w:p>
    <w:p w14:paraId="45AF6827" w14:textId="4CE60680" w:rsidR="006E20BA" w:rsidRPr="000B7F6B" w:rsidRDefault="006E20BA" w:rsidP="006E20BA">
      <w:pPr>
        <w:pBdr>
          <w:top w:val="nil"/>
          <w:left w:val="nil"/>
          <w:bottom w:val="nil"/>
          <w:right w:val="nil"/>
          <w:between w:val="nil"/>
        </w:pBdr>
        <w:ind w:left="567" w:right="567"/>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 xml:space="preserve">Ratificación 1258.pdf: </w:t>
      </w:r>
      <w:r w:rsidRPr="000B7F6B">
        <w:rPr>
          <w:rFonts w:ascii="Palatino Linotype" w:eastAsia="Palatino Linotype" w:hAnsi="Palatino Linotype" w:cs="Palatino Linotype"/>
        </w:rPr>
        <w:t>Oficio suscrito por el Titular de la Unidad de Transparencia, mediante el cual, ratificó la respuesta emitida por la Dirección General de Administración.</w:t>
      </w:r>
    </w:p>
    <w:p w14:paraId="1D1BF478" w14:textId="77777777" w:rsidR="006E20BA" w:rsidRPr="000B7F6B" w:rsidRDefault="006E20BA" w:rsidP="006E20BA">
      <w:pPr>
        <w:pStyle w:val="Prrafodelista"/>
        <w:rPr>
          <w:rFonts w:ascii="Palatino Linotype" w:eastAsia="Palatino Linotype" w:hAnsi="Palatino Linotype" w:cs="Palatino Linotype"/>
        </w:rPr>
      </w:pPr>
    </w:p>
    <w:p w14:paraId="1C22E1ED" w14:textId="547E5EFB" w:rsidR="004E3EF7" w:rsidRPr="000B7F6B" w:rsidRDefault="006E20BA" w:rsidP="00771F83">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P</w:t>
      </w:r>
      <w:r w:rsidR="00F2495A" w:rsidRPr="000B7F6B">
        <w:rPr>
          <w:rFonts w:ascii="Palatino Linotype" w:eastAsia="Palatino Linotype" w:hAnsi="Palatino Linotype" w:cs="Palatino Linotype"/>
        </w:rPr>
        <w:t>or su parte,</w:t>
      </w:r>
      <w:r w:rsidR="00F2495A" w:rsidRPr="000B7F6B">
        <w:rPr>
          <w:rFonts w:ascii="Palatino Linotype" w:eastAsia="Palatino Linotype" w:hAnsi="Palatino Linotype" w:cs="Palatino Linotype"/>
          <w:color w:val="000000"/>
        </w:rPr>
        <w:t xml:space="preserve"> </w:t>
      </w:r>
      <w:r w:rsidR="00771F83" w:rsidRPr="000B7F6B">
        <w:rPr>
          <w:rFonts w:ascii="Palatino Linotype" w:eastAsia="Palatino Linotype" w:hAnsi="Palatino Linotype" w:cs="Palatino Linotype"/>
          <w:color w:val="000000"/>
        </w:rPr>
        <w:t>el</w:t>
      </w:r>
      <w:r w:rsidR="00F2495A" w:rsidRPr="000B7F6B">
        <w:rPr>
          <w:rFonts w:ascii="Palatino Linotype" w:eastAsia="Palatino Linotype" w:hAnsi="Palatino Linotype" w:cs="Palatino Linotype"/>
          <w:color w:val="000000"/>
        </w:rPr>
        <w:t xml:space="preserve"> </w:t>
      </w:r>
      <w:r w:rsidR="00F2495A" w:rsidRPr="000B7F6B">
        <w:rPr>
          <w:rFonts w:ascii="Palatino Linotype" w:eastAsia="Palatino Linotype" w:hAnsi="Palatino Linotype" w:cs="Palatino Linotype"/>
          <w:b/>
          <w:bCs/>
          <w:color w:val="000000"/>
        </w:rPr>
        <w:t>RECURRENTE</w:t>
      </w:r>
      <w:r w:rsidR="00F2495A" w:rsidRPr="000B7F6B">
        <w:rPr>
          <w:rFonts w:ascii="Palatino Linotype" w:eastAsia="Palatino Linotype" w:hAnsi="Palatino Linotype" w:cs="Palatino Linotype"/>
          <w:color w:val="000000"/>
        </w:rPr>
        <w:t xml:space="preserve"> dejó de realizar manifestaciones que a su derecho conviniera y asistiera.</w:t>
      </w:r>
    </w:p>
    <w:p w14:paraId="2096CFDA" w14:textId="77777777" w:rsidR="00BF0DE4" w:rsidRPr="000B7F6B" w:rsidRDefault="00BF0DE4" w:rsidP="00BF0DE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916A5E" w14:textId="54471398"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La Comisionada Ponente decretó el cierre de instrucción mediante el acuerdo </w:t>
      </w:r>
      <w:r w:rsidR="006E20BA" w:rsidRPr="000B7F6B">
        <w:rPr>
          <w:rFonts w:ascii="Palatino Linotype" w:eastAsia="Palatino Linotype" w:hAnsi="Palatino Linotype" w:cs="Palatino Linotype"/>
        </w:rPr>
        <w:t xml:space="preserve">del veinticuatro de junio </w:t>
      </w:r>
      <w:r w:rsidRPr="000B7F6B">
        <w:rPr>
          <w:rFonts w:ascii="Palatino Linotype" w:eastAsia="Palatino Linotype" w:hAnsi="Palatino Linotype" w:cs="Palatino Linotype"/>
        </w:rPr>
        <w:t>de dos mil veintiséis.</w:t>
      </w:r>
    </w:p>
    <w:p w14:paraId="4CAA542A" w14:textId="77777777" w:rsidR="004E3EF7" w:rsidRPr="000B7F6B" w:rsidRDefault="004E3EF7">
      <w:pPr>
        <w:spacing w:line="360" w:lineRule="auto"/>
        <w:ind w:right="-561"/>
        <w:rPr>
          <w:rFonts w:ascii="Palatino Linotype" w:eastAsia="Palatino Linotype" w:hAnsi="Palatino Linotype" w:cs="Palatino Linotype"/>
          <w:b/>
          <w:bCs/>
        </w:rPr>
      </w:pPr>
    </w:p>
    <w:p w14:paraId="3D6BBC0E" w14:textId="77777777" w:rsidR="004E3EF7" w:rsidRPr="000B7F6B" w:rsidRDefault="00F2495A">
      <w:pPr>
        <w:keepNext/>
        <w:keepLines/>
        <w:spacing w:line="360" w:lineRule="auto"/>
        <w:ind w:right="-561"/>
        <w:jc w:val="center"/>
        <w:rPr>
          <w:rFonts w:ascii="Palatino Linotype" w:eastAsia="Palatino Linotype" w:hAnsi="Palatino Linotype" w:cs="Palatino Linotype"/>
          <w:b/>
          <w:bCs/>
        </w:rPr>
      </w:pPr>
      <w:r w:rsidRPr="000B7F6B">
        <w:rPr>
          <w:rFonts w:ascii="Palatino Linotype" w:eastAsia="Palatino Linotype" w:hAnsi="Palatino Linotype" w:cs="Palatino Linotype"/>
          <w:b/>
          <w:bCs/>
        </w:rPr>
        <w:t xml:space="preserve">C O N S I D E R A N D O </w:t>
      </w:r>
    </w:p>
    <w:p w14:paraId="691A3508" w14:textId="77777777" w:rsidR="004E3EF7" w:rsidRPr="000B7F6B" w:rsidRDefault="004E3EF7">
      <w:pPr>
        <w:keepNext/>
        <w:keepLines/>
        <w:spacing w:line="360" w:lineRule="auto"/>
        <w:ind w:right="-561"/>
        <w:rPr>
          <w:rFonts w:ascii="Palatino Linotype" w:eastAsia="Palatino Linotype" w:hAnsi="Palatino Linotype" w:cs="Palatino Linotype"/>
        </w:rPr>
      </w:pPr>
    </w:p>
    <w:p w14:paraId="2D716CD8" w14:textId="77777777" w:rsidR="004E3EF7" w:rsidRPr="000B7F6B" w:rsidRDefault="00F2495A">
      <w:pPr>
        <w:keepNext/>
        <w:keepLines/>
        <w:spacing w:line="360" w:lineRule="auto"/>
        <w:ind w:right="-561"/>
        <w:rPr>
          <w:rFonts w:ascii="Palatino Linotype" w:eastAsia="Palatino Linotype" w:hAnsi="Palatino Linotype" w:cs="Palatino Linotype"/>
          <w:b/>
          <w:bCs/>
        </w:rPr>
      </w:pPr>
      <w:r w:rsidRPr="000B7F6B">
        <w:rPr>
          <w:rFonts w:ascii="Palatino Linotype" w:eastAsia="Palatino Linotype" w:hAnsi="Palatino Linotype" w:cs="Palatino Linotype"/>
          <w:b/>
          <w:bCs/>
        </w:rPr>
        <w:t>PRIMERO. De la competencia.</w:t>
      </w:r>
    </w:p>
    <w:p w14:paraId="73695463"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2" w:name="_heading=h.3znysh7" w:colFirst="0" w:colLast="0"/>
      <w:bookmarkEnd w:id="2"/>
      <w:r w:rsidRPr="000B7F6B">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w:t>
      </w:r>
      <w:r w:rsidRPr="000B7F6B">
        <w:rPr>
          <w:rFonts w:ascii="Palatino Linotype" w:eastAsia="Palatino Linotype" w:hAnsi="Palatino Linotype" w:cs="Palatino Linotype"/>
        </w:rPr>
        <w:lastRenderedPageBreak/>
        <w:t>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14:paraId="2AD74377" w14:textId="77777777" w:rsidR="004E3EF7" w:rsidRPr="000B7F6B" w:rsidRDefault="004E3EF7" w:rsidP="00BF0DE4">
      <w:pPr>
        <w:spacing w:line="360" w:lineRule="auto"/>
        <w:ind w:left="644"/>
        <w:jc w:val="both"/>
        <w:rPr>
          <w:rFonts w:ascii="Palatino Linotype" w:eastAsia="Palatino Linotype" w:hAnsi="Palatino Linotype" w:cs="Palatino Linotype"/>
        </w:rPr>
      </w:pPr>
      <w:bookmarkStart w:id="3" w:name="_heading=h.2v230knidey2" w:colFirst="0" w:colLast="0"/>
      <w:bookmarkEnd w:id="3"/>
    </w:p>
    <w:p w14:paraId="1F43FC7B" w14:textId="45C78177" w:rsidR="004E3EF7" w:rsidRPr="000B7F6B" w:rsidRDefault="00F2495A" w:rsidP="00BF0DE4">
      <w:pPr>
        <w:keepNext/>
        <w:keepLines/>
        <w:spacing w:line="360" w:lineRule="auto"/>
        <w:rPr>
          <w:rFonts w:ascii="Palatino Linotype" w:eastAsia="Palatino Linotype" w:hAnsi="Palatino Linotype" w:cs="Palatino Linotype"/>
          <w:b/>
          <w:bCs/>
        </w:rPr>
      </w:pPr>
      <w:r w:rsidRPr="000B7F6B">
        <w:rPr>
          <w:rFonts w:ascii="Palatino Linotype" w:eastAsia="Palatino Linotype" w:hAnsi="Palatino Linotype" w:cs="Palatino Linotype"/>
          <w:b/>
          <w:bCs/>
        </w:rPr>
        <w:t>SEGUNDO. De la oportunidad y procedencia.</w:t>
      </w:r>
    </w:p>
    <w:p w14:paraId="0E39C2C5" w14:textId="5FE63006"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b/>
          <w:bCs/>
        </w:rPr>
      </w:pPr>
      <w:bookmarkStart w:id="4" w:name="_heading=h.3dy6vkm" w:colFirst="0" w:colLast="0"/>
      <w:bookmarkEnd w:id="4"/>
      <w:r w:rsidRPr="000B7F6B">
        <w:rPr>
          <w:rFonts w:ascii="Palatino Linotype" w:eastAsia="Palatino Linotype" w:hAnsi="Palatino Linotype" w:cs="Palatino Linotype"/>
        </w:rPr>
        <w:t xml:space="preserve">El medio de impugnación fue presentado a través del </w:t>
      </w:r>
      <w:r w:rsidRPr="000B7F6B">
        <w:rPr>
          <w:rFonts w:ascii="Palatino Linotype" w:eastAsia="Palatino Linotype" w:hAnsi="Palatino Linotype" w:cs="Palatino Linotype"/>
          <w:b/>
          <w:bCs/>
        </w:rPr>
        <w:t>SAIMEX,</w:t>
      </w:r>
      <w:r w:rsidRPr="000B7F6B">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entregó respuesta el </w:t>
      </w:r>
      <w:r w:rsidR="006E20BA" w:rsidRPr="000B7F6B">
        <w:rPr>
          <w:rFonts w:ascii="Palatino Linotype" w:eastAsia="Palatino Linotype" w:hAnsi="Palatino Linotype" w:cs="Palatino Linotype"/>
        </w:rPr>
        <w:t>cuatro de febrero d</w:t>
      </w:r>
      <w:r w:rsidR="00771F83" w:rsidRPr="000B7F6B">
        <w:rPr>
          <w:rFonts w:ascii="Palatino Linotype" w:eastAsia="Palatino Linotype" w:hAnsi="Palatino Linotype" w:cs="Palatino Linotype"/>
        </w:rPr>
        <w:t>e dos mil veintiséis</w:t>
      </w:r>
      <w:r w:rsidRPr="000B7F6B">
        <w:rPr>
          <w:rFonts w:ascii="Palatino Linotype" w:eastAsia="Palatino Linotype" w:hAnsi="Palatino Linotype" w:cs="Palatino Linotype"/>
        </w:rPr>
        <w:t xml:space="preserve">, de tal forma que el plazo para interponer el recurso de revisión transcurrió del </w:t>
      </w:r>
      <w:r w:rsidR="006E20BA" w:rsidRPr="000B7F6B">
        <w:rPr>
          <w:rFonts w:ascii="Palatino Linotype" w:eastAsia="Palatino Linotype" w:hAnsi="Palatino Linotype" w:cs="Palatino Linotype"/>
        </w:rPr>
        <w:t xml:space="preserve">cinco al veinticinco </w:t>
      </w:r>
      <w:r w:rsidR="00771F83" w:rsidRPr="000B7F6B">
        <w:rPr>
          <w:rFonts w:ascii="Palatino Linotype" w:eastAsia="Palatino Linotype" w:hAnsi="Palatino Linotype" w:cs="Palatino Linotype"/>
        </w:rPr>
        <w:t xml:space="preserve">de febrero </w:t>
      </w:r>
      <w:r w:rsidRPr="000B7F6B">
        <w:rPr>
          <w:rFonts w:ascii="Palatino Linotype" w:eastAsia="Palatino Linotype" w:hAnsi="Palatino Linotype" w:cs="Palatino Linotype"/>
        </w:rPr>
        <w:t xml:space="preserve">de dos mil veintiséis; en consecuencia, presentó su inconformidad </w:t>
      </w:r>
      <w:r w:rsidR="006E20BA" w:rsidRPr="000B7F6B">
        <w:rPr>
          <w:rFonts w:ascii="Palatino Linotype" w:eastAsia="Palatino Linotype" w:hAnsi="Palatino Linotype" w:cs="Palatino Linotype"/>
        </w:rPr>
        <w:t>cuatro de febrer</w:t>
      </w:r>
      <w:r w:rsidR="00771F83" w:rsidRPr="000B7F6B">
        <w:rPr>
          <w:rFonts w:ascii="Palatino Linotype" w:eastAsia="Palatino Linotype" w:hAnsi="Palatino Linotype" w:cs="Palatino Linotype"/>
        </w:rPr>
        <w:t>o de dos mil veintiséis</w:t>
      </w:r>
      <w:r w:rsidRPr="000B7F6B">
        <w:rPr>
          <w:rFonts w:ascii="Palatino Linotype" w:eastAsia="Palatino Linotype" w:hAnsi="Palatino Linotype" w:cs="Palatino Linotype"/>
        </w:rPr>
        <w:t xml:space="preserve">, por lo que se encuentra dentro de los márgenes temporales previstos en el artículo 178 de la </w:t>
      </w:r>
      <w:r w:rsidRPr="000B7F6B">
        <w:rPr>
          <w:rFonts w:ascii="Palatino Linotype" w:eastAsia="Palatino Linotype" w:hAnsi="Palatino Linotype" w:cs="Palatino Linotype"/>
          <w:b/>
          <w:bCs/>
        </w:rPr>
        <w:t xml:space="preserve">Ley de Transparencia y Acceso a la Información Pública del Estado de México y Municipios </w:t>
      </w:r>
      <w:r w:rsidRPr="000B7F6B">
        <w:rPr>
          <w:rFonts w:ascii="Palatino Linotype" w:eastAsia="Palatino Linotype" w:hAnsi="Palatino Linotype" w:cs="Palatino Linotype"/>
        </w:rPr>
        <w:t>vigente.</w:t>
      </w:r>
    </w:p>
    <w:p w14:paraId="58F1A900"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49ED4FFF"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022D22A" w14:textId="77777777" w:rsidR="004E3EF7" w:rsidRPr="000B7F6B" w:rsidRDefault="004E3EF7">
      <w:pPr>
        <w:pBdr>
          <w:top w:val="nil"/>
          <w:left w:val="nil"/>
          <w:bottom w:val="nil"/>
          <w:right w:val="nil"/>
          <w:between w:val="nil"/>
        </w:pBdr>
        <w:ind w:left="720" w:right="-561"/>
        <w:rPr>
          <w:rFonts w:ascii="Palatino Linotype" w:eastAsia="Palatino Linotype" w:hAnsi="Palatino Linotype" w:cs="Palatino Linotype"/>
          <w:b/>
          <w:bCs/>
          <w:color w:val="000000"/>
        </w:rPr>
      </w:pPr>
    </w:p>
    <w:p w14:paraId="42E557A5" w14:textId="33287F0C" w:rsidR="004E3EF7" w:rsidRPr="000B7F6B" w:rsidRDefault="00F2495A" w:rsidP="00BF0DE4">
      <w:pPr>
        <w:pStyle w:val="Ttulo1"/>
        <w:spacing w:before="0" w:after="0" w:line="360" w:lineRule="auto"/>
        <w:rPr>
          <w:rFonts w:ascii="Palatino Linotype" w:eastAsia="Palatino Linotype" w:hAnsi="Palatino Linotype" w:cs="Palatino Linotype"/>
          <w:sz w:val="24"/>
          <w:szCs w:val="24"/>
        </w:rPr>
      </w:pPr>
      <w:r w:rsidRPr="000B7F6B">
        <w:rPr>
          <w:rFonts w:ascii="Palatino Linotype" w:eastAsia="Palatino Linotype" w:hAnsi="Palatino Linotype" w:cs="Palatino Linotype"/>
          <w:sz w:val="24"/>
          <w:szCs w:val="24"/>
        </w:rPr>
        <w:lastRenderedPageBreak/>
        <w:t xml:space="preserve">TERCERO. Planteamiento de la </w:t>
      </w:r>
      <w:r w:rsidRPr="000B7F6B">
        <w:rPr>
          <w:rFonts w:ascii="Palatino Linotype" w:eastAsia="Palatino Linotype" w:hAnsi="Palatino Linotype" w:cs="Palatino Linotype"/>
          <w:i/>
          <w:iCs/>
          <w:sz w:val="24"/>
          <w:szCs w:val="24"/>
        </w:rPr>
        <w:t>Litis</w:t>
      </w:r>
      <w:r w:rsidRPr="000B7F6B">
        <w:rPr>
          <w:rFonts w:ascii="Palatino Linotype" w:eastAsia="Palatino Linotype" w:hAnsi="Palatino Linotype" w:cs="Palatino Linotype"/>
          <w:sz w:val="24"/>
          <w:szCs w:val="24"/>
        </w:rPr>
        <w:t>.</w:t>
      </w:r>
    </w:p>
    <w:p w14:paraId="685EE75D" w14:textId="01D5A63F" w:rsidR="006E20BA" w:rsidRPr="000B7F6B" w:rsidRDefault="00F2495A" w:rsidP="006E20BA">
      <w:pPr>
        <w:numPr>
          <w:ilvl w:val="0"/>
          <w:numId w:val="3"/>
        </w:numPr>
        <w:spacing w:line="360" w:lineRule="auto"/>
        <w:ind w:left="0" w:firstLine="0"/>
        <w:jc w:val="both"/>
        <w:rPr>
          <w:rFonts w:ascii="Palatino Linotype" w:eastAsia="Palatino Linotype" w:hAnsi="Palatino Linotype" w:cs="Palatino Linotype"/>
          <w:b/>
          <w:bCs/>
          <w:i/>
          <w:iCs/>
        </w:rPr>
      </w:pPr>
      <w:bookmarkStart w:id="5" w:name="_Hlk232686136"/>
      <w:r w:rsidRPr="000B7F6B">
        <w:rPr>
          <w:rFonts w:ascii="Palatino Linotype" w:eastAsia="Palatino Linotype" w:hAnsi="Palatino Linotype" w:cs="Palatino Linotype"/>
        </w:rPr>
        <w:t xml:space="preserve">La parte </w:t>
      </w:r>
      <w:r w:rsidRPr="000B7F6B">
        <w:rPr>
          <w:rFonts w:ascii="Palatino Linotype" w:eastAsia="Palatino Linotype" w:hAnsi="Palatino Linotype" w:cs="Palatino Linotype"/>
          <w:b/>
          <w:bCs/>
        </w:rPr>
        <w:t>RECURRENTE</w:t>
      </w:r>
      <w:r w:rsidRPr="000B7F6B">
        <w:rPr>
          <w:rFonts w:ascii="Palatino Linotype" w:eastAsia="Palatino Linotype" w:hAnsi="Palatino Linotype" w:cs="Palatino Linotype"/>
        </w:rPr>
        <w:t xml:space="preserve"> solicitó</w:t>
      </w:r>
      <w:r w:rsidR="00771F83" w:rsidRPr="000B7F6B">
        <w:rPr>
          <w:rFonts w:ascii="Palatino Linotype" w:eastAsia="Palatino Linotype" w:hAnsi="Palatino Linotype" w:cs="Palatino Linotype"/>
        </w:rPr>
        <w:t>,</w:t>
      </w:r>
      <w:r w:rsidR="006E20BA" w:rsidRPr="000B7F6B">
        <w:rPr>
          <w:rFonts w:ascii="Palatino Linotype" w:hAnsi="Palatino Linotype"/>
          <w:color w:val="000000"/>
        </w:rPr>
        <w:t xml:space="preserve"> la documentación que acredite que el Director de la Academia de Policía de Toluca cuenta con conocimientos en materia de Seguridad Pública, su certificado de formación inicial para policía y su certificado único policial.</w:t>
      </w:r>
    </w:p>
    <w:p w14:paraId="4C9B6F14" w14:textId="77777777" w:rsidR="006E20BA" w:rsidRPr="000B7F6B" w:rsidRDefault="006E20BA" w:rsidP="006E20BA">
      <w:pPr>
        <w:spacing w:line="360" w:lineRule="auto"/>
        <w:jc w:val="both"/>
        <w:rPr>
          <w:rFonts w:ascii="Palatino Linotype" w:eastAsia="Palatino Linotype" w:hAnsi="Palatino Linotype" w:cs="Palatino Linotype"/>
          <w:b/>
          <w:bCs/>
          <w:i/>
          <w:iCs/>
        </w:rPr>
      </w:pPr>
    </w:p>
    <w:p w14:paraId="18C0DFA0" w14:textId="784F886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0B7F6B">
        <w:rPr>
          <w:rFonts w:ascii="Palatino Linotype" w:eastAsia="Palatino Linotype" w:hAnsi="Palatino Linotype" w:cs="Palatino Linotype"/>
        </w:rPr>
        <w:t xml:space="preserve">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emitió respuesta en términos del </w:t>
      </w:r>
      <w:r w:rsidRPr="000B7F6B">
        <w:rPr>
          <w:rFonts w:ascii="Palatino Linotype" w:eastAsia="Palatino Linotype" w:hAnsi="Palatino Linotype" w:cs="Palatino Linotype"/>
          <w:b/>
          <w:bCs/>
        </w:rPr>
        <w:t xml:space="preserve">párrafo </w:t>
      </w:r>
      <w:r w:rsidR="005B6190" w:rsidRPr="000B7F6B">
        <w:rPr>
          <w:rFonts w:ascii="Palatino Linotype" w:eastAsia="Palatino Linotype" w:hAnsi="Palatino Linotype" w:cs="Palatino Linotype"/>
          <w:b/>
          <w:bCs/>
        </w:rPr>
        <w:t>4</w:t>
      </w:r>
      <w:r w:rsidRPr="000B7F6B">
        <w:rPr>
          <w:rFonts w:ascii="Palatino Linotype" w:eastAsia="Palatino Linotype" w:hAnsi="Palatino Linotype" w:cs="Palatino Linotype"/>
        </w:rPr>
        <w:t xml:space="preserve"> de la presente resolución.</w:t>
      </w:r>
    </w:p>
    <w:p w14:paraId="3A4FBE9D"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20505D6F" w14:textId="0639A22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Inconforme con la respuesta, el Solicitante interpuso el recurso de revisión en el que manifestó </w:t>
      </w:r>
      <w:r w:rsidR="005B6190" w:rsidRPr="000B7F6B">
        <w:rPr>
          <w:rFonts w:ascii="Palatino Linotype" w:eastAsia="Palatino Linotype" w:hAnsi="Palatino Linotype" w:cs="Palatino Linotype"/>
          <w:b/>
          <w:bCs/>
        </w:rPr>
        <w:t>la negativa de la información solicitada.</w:t>
      </w:r>
    </w:p>
    <w:bookmarkEnd w:id="5"/>
    <w:p w14:paraId="461D4158" w14:textId="77777777" w:rsidR="004E3EF7" w:rsidRPr="000B7F6B" w:rsidRDefault="004E3EF7" w:rsidP="00BF0DE4">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6B609486" w14:textId="6708DAF5"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0B7F6B">
        <w:rPr>
          <w:rFonts w:ascii="Palatino Linotype" w:eastAsia="Palatino Linotype" w:hAnsi="Palatino Linotype" w:cs="Palatino Linotype"/>
        </w:rPr>
        <w:t xml:space="preserve">En dichas condiciones, la </w:t>
      </w:r>
      <w:r w:rsidRPr="000B7F6B">
        <w:rPr>
          <w:rFonts w:ascii="Palatino Linotype" w:eastAsia="Palatino Linotype" w:hAnsi="Palatino Linotype" w:cs="Palatino Linotype"/>
          <w:i/>
          <w:iCs/>
        </w:rPr>
        <w:t>Litis</w:t>
      </w:r>
      <w:r w:rsidRPr="000B7F6B">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w:t>
      </w:r>
      <w:r w:rsidRPr="000B7F6B">
        <w:rPr>
          <w:rFonts w:ascii="Palatino Linotype" w:eastAsia="Palatino Linotype" w:hAnsi="Palatino Linotype" w:cs="Palatino Linotype"/>
          <w:b/>
          <w:bCs/>
        </w:rPr>
        <w:t xml:space="preserve"> I </w:t>
      </w:r>
      <w:r w:rsidRPr="000B7F6B">
        <w:rPr>
          <w:rFonts w:ascii="Palatino Linotype" w:eastAsia="Palatino Linotype" w:hAnsi="Palatino Linotype" w:cs="Palatino Linotype"/>
        </w:rPr>
        <w:t xml:space="preserve">de la </w:t>
      </w:r>
      <w:r w:rsidRPr="000B7F6B">
        <w:rPr>
          <w:rFonts w:ascii="Palatino Linotype" w:eastAsia="Palatino Linotype" w:hAnsi="Palatino Linotype" w:cs="Palatino Linotype"/>
          <w:b/>
          <w:bCs/>
        </w:rPr>
        <w:t>Ley de Transparencia y Acceso a la Información Pública del Estado de México y Municipios</w:t>
      </w:r>
      <w:r w:rsidRPr="000B7F6B">
        <w:rPr>
          <w:rFonts w:ascii="Palatino Linotype" w:eastAsia="Palatino Linotype" w:hAnsi="Palatino Linotype" w:cs="Palatino Linotype"/>
        </w:rPr>
        <w:t>.</w:t>
      </w:r>
    </w:p>
    <w:p w14:paraId="732EC46C" w14:textId="77777777" w:rsidR="004E3EF7" w:rsidRPr="000B7F6B" w:rsidRDefault="004E3EF7">
      <w:pPr>
        <w:spacing w:line="360" w:lineRule="auto"/>
        <w:ind w:right="-561"/>
        <w:jc w:val="both"/>
        <w:rPr>
          <w:rFonts w:ascii="Palatino Linotype" w:eastAsia="Palatino Linotype" w:hAnsi="Palatino Linotype" w:cs="Palatino Linotype"/>
          <w:b/>
          <w:bCs/>
        </w:rPr>
      </w:pPr>
    </w:p>
    <w:p w14:paraId="64326B3A" w14:textId="29E5FAE7" w:rsidR="004E3EF7" w:rsidRPr="000B7F6B" w:rsidRDefault="00F2495A" w:rsidP="00BF0DE4">
      <w:pPr>
        <w:pStyle w:val="Ttulo2"/>
        <w:spacing w:before="0" w:line="360" w:lineRule="auto"/>
        <w:rPr>
          <w:rFonts w:ascii="Palatino Linotype" w:eastAsia="Palatino Linotype" w:hAnsi="Palatino Linotype" w:cs="Palatino Linotype"/>
          <w:b/>
          <w:bCs/>
          <w:color w:val="000000"/>
          <w:sz w:val="24"/>
          <w:szCs w:val="24"/>
        </w:rPr>
      </w:pPr>
      <w:r w:rsidRPr="000B7F6B">
        <w:rPr>
          <w:rFonts w:ascii="Palatino Linotype" w:eastAsia="Palatino Linotype" w:hAnsi="Palatino Linotype" w:cs="Palatino Linotype"/>
          <w:b/>
          <w:bCs/>
          <w:color w:val="000000"/>
          <w:sz w:val="24"/>
          <w:szCs w:val="24"/>
        </w:rPr>
        <w:t>CUARTA. Estudio y resolución del asunto.</w:t>
      </w:r>
    </w:p>
    <w:p w14:paraId="7D4883FB"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El </w:t>
      </w:r>
      <w:r w:rsidRPr="000B7F6B">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0B7F6B">
        <w:rPr>
          <w:rFonts w:ascii="Palatino Linotype" w:eastAsia="Palatino Linotype" w:hAnsi="Palatino Linotype" w:cs="Palatino Linotype"/>
        </w:rPr>
        <w:t>Particular</w:t>
      </w:r>
      <w:r w:rsidRPr="000B7F6B">
        <w:rPr>
          <w:rFonts w:ascii="Palatino Linotype" w:eastAsia="Palatino Linotype" w:hAnsi="Palatino Linotype" w:cs="Palatino Linotype"/>
          <w:color w:val="000000"/>
        </w:rPr>
        <w:t xml:space="preserve"> del Estado de México.</w:t>
      </w:r>
    </w:p>
    <w:p w14:paraId="61FC344F"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236FABEB" w14:textId="77777777" w:rsidR="004E3EF7" w:rsidRPr="000B7F6B" w:rsidRDefault="00F2495A" w:rsidP="00BF0DE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lastRenderedPageBreak/>
        <w:t xml:space="preserve">Definiendo el Derecho de Acceso a la Información Pública como: </w:t>
      </w:r>
      <w:r w:rsidRPr="000B7F6B">
        <w:rPr>
          <w:rFonts w:ascii="Palatino Linotype" w:eastAsia="Palatino Linotype" w:hAnsi="Palatino Linotype" w:cs="Palatino Linotype"/>
          <w:i/>
          <w:iCs/>
          <w:color w:val="000000"/>
        </w:rPr>
        <w:t xml:space="preserve">La igualdad de </w:t>
      </w:r>
      <w:r w:rsidRPr="000B7F6B">
        <w:rPr>
          <w:rFonts w:ascii="Palatino Linotype" w:eastAsia="Palatino Linotype" w:hAnsi="Palatino Linotype" w:cs="Palatino Linotype"/>
          <w:color w:val="000000"/>
        </w:rPr>
        <w:t>oportunidades</w:t>
      </w:r>
      <w:r w:rsidRPr="000B7F6B">
        <w:rPr>
          <w:rFonts w:ascii="Palatino Linotype" w:eastAsia="Palatino Linotype" w:hAnsi="Palatino Linotype" w:cs="Palatino Linotype"/>
          <w:i/>
          <w:iCs/>
          <w:color w:val="000000"/>
        </w:rPr>
        <w:t xml:space="preserve"> para recibir, buscar e impartir información</w:t>
      </w:r>
      <w:r w:rsidRPr="000B7F6B">
        <w:rPr>
          <w:rFonts w:ascii="Palatino Linotype" w:eastAsia="Palatino Linotype" w:hAnsi="Palatino Linotype" w:cs="Palatino Linotype"/>
          <w:color w:val="000000"/>
          <w:vertAlign w:val="superscript"/>
        </w:rPr>
        <w:footnoteReference w:id="1"/>
      </w:r>
      <w:r w:rsidRPr="000B7F6B">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B7F6B">
        <w:rPr>
          <w:rFonts w:ascii="Palatino Linotype" w:eastAsia="Palatino Linotype" w:hAnsi="Palatino Linotype" w:cs="Palatino Linotype"/>
          <w:color w:val="000000"/>
          <w:vertAlign w:val="superscript"/>
        </w:rPr>
        <w:footnoteReference w:id="2"/>
      </w:r>
      <w:r w:rsidRPr="000B7F6B">
        <w:rPr>
          <w:rFonts w:ascii="Palatino Linotype" w:eastAsia="Palatino Linotype" w:hAnsi="Palatino Linotype" w:cs="Palatino Linotype"/>
          <w:color w:val="000000"/>
        </w:rPr>
        <w:t>que se constituye como una herramienta fundamental para ejercer</w:t>
      </w:r>
      <w:r w:rsidRPr="000B7F6B">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0B7F6B">
        <w:rPr>
          <w:rFonts w:ascii="Palatino Linotype" w:eastAsia="Palatino Linotype" w:hAnsi="Palatino Linotype" w:cs="Palatino Linotype"/>
          <w:color w:val="000000"/>
          <w:vertAlign w:val="superscript"/>
        </w:rPr>
        <w:footnoteReference w:id="3"/>
      </w:r>
      <w:r w:rsidRPr="000B7F6B">
        <w:rPr>
          <w:rFonts w:ascii="Palatino Linotype" w:eastAsia="Palatino Linotype" w:hAnsi="Palatino Linotype" w:cs="Palatino Linotype"/>
          <w:color w:val="000000"/>
        </w:rPr>
        <w:t>fomentando</w:t>
      </w:r>
      <w:r w:rsidRPr="000B7F6B">
        <w:rPr>
          <w:rFonts w:ascii="Palatino Linotype" w:eastAsia="Palatino Linotype" w:hAnsi="Palatino Linotype" w:cs="Palatino Linotype"/>
          <w:i/>
          <w:iCs/>
          <w:color w:val="000000"/>
        </w:rPr>
        <w:t xml:space="preserve"> la transparencia de las actividades estatales y </w:t>
      </w:r>
      <w:r w:rsidRPr="000B7F6B">
        <w:rPr>
          <w:rFonts w:ascii="Palatino Linotype" w:eastAsia="Palatino Linotype" w:hAnsi="Palatino Linotype" w:cs="Palatino Linotype"/>
          <w:color w:val="000000"/>
        </w:rPr>
        <w:t>promoviendo</w:t>
      </w:r>
      <w:r w:rsidRPr="000B7F6B">
        <w:rPr>
          <w:rFonts w:ascii="Palatino Linotype" w:eastAsia="Palatino Linotype" w:hAnsi="Palatino Linotype" w:cs="Palatino Linotype"/>
          <w:i/>
          <w:iCs/>
          <w:color w:val="000000"/>
        </w:rPr>
        <w:t xml:space="preserve"> la responsabilidad de los funcionarios sobre su gestión pública,</w:t>
      </w:r>
      <w:r w:rsidRPr="000B7F6B">
        <w:rPr>
          <w:rFonts w:ascii="Palatino Linotype" w:eastAsia="Palatino Linotype" w:hAnsi="Palatino Linotype" w:cs="Palatino Linotype"/>
          <w:color w:val="000000"/>
          <w:vertAlign w:val="superscript"/>
        </w:rPr>
        <w:footnoteReference w:id="4"/>
      </w:r>
      <w:r w:rsidRPr="000B7F6B">
        <w:rPr>
          <w:rFonts w:ascii="Palatino Linotype" w:eastAsia="Palatino Linotype" w:hAnsi="Palatino Linotype" w:cs="Palatino Linotype"/>
          <w:color w:val="000000"/>
        </w:rPr>
        <w:t>que permite</w:t>
      </w:r>
      <w:r w:rsidRPr="000B7F6B">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14:paraId="0E231B75" w14:textId="77777777" w:rsidR="004E3EF7" w:rsidRPr="000B7F6B" w:rsidRDefault="004E3EF7" w:rsidP="00BF0DE4">
      <w:pPr>
        <w:spacing w:line="360" w:lineRule="auto"/>
        <w:rPr>
          <w:rFonts w:ascii="Palatino Linotype" w:eastAsia="Palatino Linotype" w:hAnsi="Palatino Linotype" w:cs="Palatino Linotype"/>
          <w:color w:val="000000"/>
        </w:rPr>
      </w:pPr>
    </w:p>
    <w:p w14:paraId="73E11D1C" w14:textId="36A5981D"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 xml:space="preserve">En </w:t>
      </w:r>
      <w:r w:rsidRPr="000B7F6B">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14:paraId="1E26B190" w14:textId="77777777" w:rsidR="004E3EF7" w:rsidRPr="000B7F6B" w:rsidRDefault="00F2495A" w:rsidP="00BF0DE4">
      <w:pPr>
        <w:tabs>
          <w:tab w:val="left" w:pos="8789"/>
        </w:tabs>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w:t>
      </w:r>
      <w:r w:rsidRPr="000B7F6B">
        <w:rPr>
          <w:rFonts w:ascii="Palatino Linotype" w:eastAsia="Palatino Linotype" w:hAnsi="Palatino Linotype" w:cs="Palatino Linotype"/>
          <w:b/>
          <w:bCs/>
          <w:i/>
          <w:iCs/>
        </w:rPr>
        <w:t>Artículo 1.-</w:t>
      </w:r>
      <w:r w:rsidRPr="000B7F6B">
        <w:rPr>
          <w:rFonts w:ascii="Palatino Linotype" w:eastAsia="Palatino Linotype" w:hAnsi="Palatino Linotype" w:cs="Palatino Linotype"/>
          <w:i/>
          <w:iCs/>
        </w:rPr>
        <w:t xml:space="preserve"> </w:t>
      </w:r>
    </w:p>
    <w:p w14:paraId="4D76947D" w14:textId="77777777" w:rsidR="004E3EF7" w:rsidRPr="000B7F6B" w:rsidRDefault="00F2495A" w:rsidP="00BF0DE4">
      <w:pPr>
        <w:tabs>
          <w:tab w:val="left" w:pos="8789"/>
        </w:tabs>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w:t>
      </w:r>
    </w:p>
    <w:p w14:paraId="592B5B92" w14:textId="77777777" w:rsidR="004E3EF7" w:rsidRPr="000B7F6B" w:rsidRDefault="00F2495A" w:rsidP="00BF0DE4">
      <w:pPr>
        <w:tabs>
          <w:tab w:val="left" w:pos="8789"/>
        </w:tabs>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Todas las</w:t>
      </w:r>
      <w:r w:rsidRPr="000B7F6B">
        <w:rPr>
          <w:rFonts w:ascii="Palatino Linotype" w:eastAsia="Palatino Linotype" w:hAnsi="Palatino Linotype" w:cs="Palatino Linotype"/>
        </w:rPr>
        <w:t xml:space="preserve"> </w:t>
      </w:r>
      <w:r w:rsidRPr="000B7F6B">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F64D9E9" w14:textId="77777777" w:rsidR="004E3EF7" w:rsidRPr="000B7F6B" w:rsidRDefault="00F2495A" w:rsidP="00BF0DE4">
      <w:pPr>
        <w:tabs>
          <w:tab w:val="left" w:pos="8789"/>
        </w:tabs>
        <w:ind w:left="567" w:right="567"/>
        <w:jc w:val="both"/>
        <w:rPr>
          <w:rFonts w:ascii="Palatino Linotype" w:eastAsia="Palatino Linotype" w:hAnsi="Palatino Linotype" w:cs="Palatino Linotype"/>
        </w:rPr>
      </w:pPr>
      <w:r w:rsidRPr="000B7F6B">
        <w:rPr>
          <w:rFonts w:ascii="Palatino Linotype" w:eastAsia="Palatino Linotype" w:hAnsi="Palatino Linotype" w:cs="Palatino Linotype"/>
          <w:i/>
          <w:iCs/>
        </w:rPr>
        <w:t>(…)</w:t>
      </w:r>
      <w:r w:rsidRPr="000B7F6B">
        <w:rPr>
          <w:rFonts w:ascii="Palatino Linotype" w:eastAsia="Palatino Linotype" w:hAnsi="Palatino Linotype" w:cs="Palatino Linotype"/>
        </w:rPr>
        <w:t>”</w:t>
      </w:r>
    </w:p>
    <w:p w14:paraId="67BDB022"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lastRenderedPageBreak/>
        <w:t xml:space="preserve">Por </w:t>
      </w:r>
      <w:r w:rsidRPr="000B7F6B">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731B0062"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61A02B3D" w14:textId="01750E01" w:rsidR="00BF0DE4"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 xml:space="preserve">Así </w:t>
      </w:r>
      <w:r w:rsidRPr="000B7F6B">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5F56045B" w14:textId="77777777" w:rsidR="004E3EF7" w:rsidRPr="000B7F6B" w:rsidRDefault="00F2495A">
      <w:pPr>
        <w:ind w:left="567" w:right="-561"/>
        <w:jc w:val="both"/>
        <w:rPr>
          <w:rFonts w:ascii="Palatino Linotype" w:eastAsia="Palatino Linotype" w:hAnsi="Palatino Linotype" w:cs="Palatino Linotype"/>
          <w:b/>
          <w:bCs/>
          <w:i/>
          <w:iCs/>
        </w:rPr>
      </w:pPr>
      <w:r w:rsidRPr="000B7F6B">
        <w:rPr>
          <w:rFonts w:ascii="Palatino Linotype" w:eastAsia="Palatino Linotype" w:hAnsi="Palatino Linotype" w:cs="Palatino Linotype"/>
          <w:b/>
          <w:bCs/>
          <w:i/>
          <w:iCs/>
        </w:rPr>
        <w:t>Constitución Política de los Estados Unidos Mexicanos</w:t>
      </w:r>
    </w:p>
    <w:p w14:paraId="01F21039" w14:textId="77777777" w:rsidR="004E3EF7" w:rsidRPr="000B7F6B" w:rsidRDefault="004E3EF7" w:rsidP="00BF0DE4">
      <w:pPr>
        <w:ind w:left="567" w:right="567"/>
        <w:jc w:val="both"/>
        <w:rPr>
          <w:rFonts w:ascii="Palatino Linotype" w:eastAsia="Palatino Linotype" w:hAnsi="Palatino Linotype" w:cs="Palatino Linotype"/>
          <w:b/>
          <w:bCs/>
          <w:i/>
          <w:iCs/>
        </w:rPr>
      </w:pPr>
    </w:p>
    <w:p w14:paraId="3E65032B" w14:textId="77777777" w:rsidR="004E3EF7" w:rsidRPr="000B7F6B" w:rsidRDefault="00F2495A" w:rsidP="00BF0DE4">
      <w:pPr>
        <w:ind w:left="567" w:right="567"/>
        <w:jc w:val="both"/>
        <w:rPr>
          <w:rFonts w:ascii="Palatino Linotype" w:eastAsia="Palatino Linotype" w:hAnsi="Palatino Linotype" w:cs="Palatino Linotype"/>
          <w:b/>
          <w:bCs/>
          <w:i/>
          <w:iCs/>
        </w:rPr>
      </w:pPr>
      <w:r w:rsidRPr="000B7F6B">
        <w:rPr>
          <w:rFonts w:ascii="Palatino Linotype" w:eastAsia="Palatino Linotype" w:hAnsi="Palatino Linotype" w:cs="Palatino Linotype"/>
          <w:b/>
          <w:bCs/>
          <w:i/>
          <w:iCs/>
        </w:rPr>
        <w:t>“Artículo 6.</w:t>
      </w:r>
      <w:r w:rsidRPr="000B7F6B">
        <w:rPr>
          <w:rFonts w:ascii="Palatino Linotype" w:eastAsia="Palatino Linotype" w:hAnsi="Palatino Linotype" w:cs="Palatino Linotype"/>
          <w:i/>
          <w:iCs/>
        </w:rPr>
        <w:t xml:space="preserve"> …</w:t>
      </w:r>
    </w:p>
    <w:p w14:paraId="443765C2"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w:t>
      </w:r>
    </w:p>
    <w:p w14:paraId="1C47ABDB"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Para efectos de lo dispuesto en el presente artículo se observará lo siguiente:</w:t>
      </w:r>
    </w:p>
    <w:p w14:paraId="0498A503" w14:textId="77777777" w:rsidR="004E3EF7" w:rsidRPr="000B7F6B" w:rsidRDefault="00F2495A" w:rsidP="00BF0DE4">
      <w:pPr>
        <w:ind w:left="567" w:right="567"/>
        <w:jc w:val="both"/>
        <w:rPr>
          <w:rFonts w:ascii="Palatino Linotype" w:eastAsia="Palatino Linotype" w:hAnsi="Palatino Linotype" w:cs="Palatino Linotype"/>
          <w:b/>
          <w:bCs/>
          <w:i/>
          <w:iCs/>
        </w:rPr>
      </w:pPr>
      <w:r w:rsidRPr="000B7F6B">
        <w:rPr>
          <w:rFonts w:ascii="Palatino Linotype" w:eastAsia="Palatino Linotype" w:hAnsi="Palatino Linotype" w:cs="Palatino Linotype"/>
          <w:b/>
          <w:bCs/>
          <w:i/>
          <w:iCs/>
        </w:rPr>
        <w:t>A</w:t>
      </w:r>
      <w:r w:rsidRPr="000B7F6B">
        <w:rPr>
          <w:rFonts w:ascii="Palatino Linotype" w:eastAsia="Palatino Linotype" w:hAnsi="Palatino Linotype" w:cs="Palatino Linotype"/>
          <w:i/>
          <w:iCs/>
        </w:rPr>
        <w:t xml:space="preserve">. </w:t>
      </w:r>
      <w:r w:rsidRPr="000B7F6B">
        <w:rPr>
          <w:rFonts w:ascii="Palatino Linotype" w:eastAsia="Palatino Linotype" w:hAnsi="Palatino Linotype" w:cs="Palatino Linotype"/>
          <w:b/>
          <w:bCs/>
          <w:i/>
          <w:iCs/>
        </w:rPr>
        <w:t>Para el ejercicio del derecho de acceso a la información</w:t>
      </w:r>
      <w:r w:rsidRPr="000B7F6B">
        <w:rPr>
          <w:rFonts w:ascii="Palatino Linotype" w:eastAsia="Palatino Linotype" w:hAnsi="Palatino Linotype" w:cs="Palatino Linotype"/>
          <w:i/>
          <w:iCs/>
        </w:rPr>
        <w:t xml:space="preserve">, la Federación y </w:t>
      </w:r>
      <w:r w:rsidRPr="000B7F6B">
        <w:rPr>
          <w:rFonts w:ascii="Palatino Linotype" w:eastAsia="Palatino Linotype" w:hAnsi="Palatino Linotype" w:cs="Palatino Linotype"/>
          <w:b/>
          <w:bCs/>
          <w:i/>
          <w:iCs/>
        </w:rPr>
        <w:t>las entidades federativas, en el ámbito de sus respectivas competencias, se regirán por los siguientes principios y bases:</w:t>
      </w:r>
    </w:p>
    <w:p w14:paraId="6EFF1D42"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b/>
          <w:bCs/>
          <w:i/>
          <w:iCs/>
        </w:rPr>
        <w:t xml:space="preserve">I. </w:t>
      </w:r>
      <w:r w:rsidRPr="000B7F6B">
        <w:rPr>
          <w:rFonts w:ascii="Palatino Linotype" w:eastAsia="Palatino Linotype" w:hAnsi="Palatino Linotype" w:cs="Palatino Linotype"/>
          <w:b/>
          <w:bCs/>
          <w:i/>
          <w:iCs/>
        </w:rPr>
        <w:tab/>
        <w:t>Toda la información en posesión de cualquier</w:t>
      </w:r>
      <w:r w:rsidRPr="000B7F6B">
        <w:rPr>
          <w:rFonts w:ascii="Palatino Linotype" w:eastAsia="Palatino Linotype" w:hAnsi="Palatino Linotype" w:cs="Palatino Linotype"/>
          <w:i/>
          <w:iCs/>
        </w:rPr>
        <w:t xml:space="preserve"> </w:t>
      </w:r>
      <w:r w:rsidRPr="000B7F6B">
        <w:rPr>
          <w:rFonts w:ascii="Palatino Linotype" w:eastAsia="Palatino Linotype" w:hAnsi="Palatino Linotype" w:cs="Palatino Linotype"/>
          <w:b/>
          <w:bCs/>
          <w:i/>
          <w:iCs/>
        </w:rPr>
        <w:t>autoridad</w:t>
      </w:r>
      <w:r w:rsidRPr="000B7F6B">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B7F6B">
        <w:rPr>
          <w:rFonts w:ascii="Palatino Linotype" w:eastAsia="Palatino Linotype" w:hAnsi="Palatino Linotype" w:cs="Palatino Linotype"/>
          <w:b/>
          <w:bCs/>
          <w:i/>
          <w:iCs/>
        </w:rPr>
        <w:t>municipal</w:t>
      </w:r>
      <w:r w:rsidRPr="000B7F6B">
        <w:rPr>
          <w:rFonts w:ascii="Palatino Linotype" w:eastAsia="Palatino Linotype" w:hAnsi="Palatino Linotype" w:cs="Palatino Linotype"/>
          <w:i/>
          <w:iCs/>
        </w:rPr>
        <w:t xml:space="preserve">, </w:t>
      </w:r>
      <w:r w:rsidRPr="000B7F6B">
        <w:rPr>
          <w:rFonts w:ascii="Palatino Linotype" w:eastAsia="Palatino Linotype" w:hAnsi="Palatino Linotype" w:cs="Palatino Linotype"/>
          <w:b/>
          <w:bCs/>
          <w:i/>
          <w:iCs/>
        </w:rPr>
        <w:t>es pública</w:t>
      </w:r>
      <w:r w:rsidRPr="000B7F6B">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0B7F6B">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0B7F6B">
        <w:rPr>
          <w:rFonts w:ascii="Palatino Linotype" w:eastAsia="Palatino Linotype" w:hAnsi="Palatino Linotype" w:cs="Palatino Linotype"/>
          <w:i/>
          <w:iCs/>
        </w:rPr>
        <w:t>, la ley determinará los supuestos específicos bajo los cuales procederá la declaración de inexistencia de la información.”</w:t>
      </w:r>
    </w:p>
    <w:p w14:paraId="4C125D85" w14:textId="77777777" w:rsidR="004E3EF7" w:rsidRPr="000B7F6B" w:rsidRDefault="004E3EF7" w:rsidP="00BF0DE4">
      <w:pPr>
        <w:tabs>
          <w:tab w:val="left" w:pos="426"/>
          <w:tab w:val="left" w:pos="567"/>
        </w:tabs>
        <w:ind w:left="567" w:right="567"/>
        <w:jc w:val="both"/>
        <w:rPr>
          <w:rFonts w:ascii="Palatino Linotype" w:eastAsia="Palatino Linotype" w:hAnsi="Palatino Linotype" w:cs="Palatino Linotype"/>
          <w:color w:val="000000"/>
        </w:rPr>
      </w:pPr>
    </w:p>
    <w:p w14:paraId="779A8A8F" w14:textId="77777777" w:rsidR="004E3EF7" w:rsidRPr="000B7F6B" w:rsidRDefault="00F2495A" w:rsidP="00BF0DE4">
      <w:pPr>
        <w:ind w:left="567" w:right="567"/>
        <w:jc w:val="both"/>
        <w:rPr>
          <w:rFonts w:ascii="Palatino Linotype" w:eastAsia="Palatino Linotype" w:hAnsi="Palatino Linotype" w:cs="Palatino Linotype"/>
          <w:b/>
          <w:bCs/>
          <w:i/>
          <w:iCs/>
        </w:rPr>
      </w:pPr>
      <w:r w:rsidRPr="000B7F6B">
        <w:rPr>
          <w:rFonts w:ascii="Palatino Linotype" w:eastAsia="Palatino Linotype" w:hAnsi="Palatino Linotype" w:cs="Palatino Linotype"/>
          <w:b/>
          <w:bCs/>
          <w:i/>
          <w:iCs/>
        </w:rPr>
        <w:t>Constitución Política del Estado Libre y Soberano de México</w:t>
      </w:r>
    </w:p>
    <w:p w14:paraId="7EC28895"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b/>
          <w:bCs/>
          <w:i/>
          <w:iCs/>
        </w:rPr>
        <w:t>“Artículo 5</w:t>
      </w:r>
      <w:r w:rsidRPr="000B7F6B">
        <w:rPr>
          <w:rFonts w:ascii="Palatino Linotype" w:eastAsia="Palatino Linotype" w:hAnsi="Palatino Linotype" w:cs="Palatino Linotype"/>
          <w:i/>
          <w:iCs/>
        </w:rPr>
        <w:t>.-…</w:t>
      </w:r>
    </w:p>
    <w:p w14:paraId="07FEA70E"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lastRenderedPageBreak/>
        <w:t>…</w:t>
      </w:r>
    </w:p>
    <w:p w14:paraId="4F5B7F5B"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0B7F6B">
        <w:rPr>
          <w:rFonts w:ascii="Palatino Linotype" w:eastAsia="Palatino Linotype" w:hAnsi="Palatino Linotype" w:cs="Palatino Linotype"/>
          <w:i/>
          <w:iCs/>
        </w:rPr>
        <w:t>.</w:t>
      </w:r>
    </w:p>
    <w:p w14:paraId="7CF5C190" w14:textId="127B723E"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0FA67F" w14:textId="77777777" w:rsidR="004E3EF7" w:rsidRPr="000B7F6B" w:rsidRDefault="00F2495A" w:rsidP="00BF0DE4">
      <w:pPr>
        <w:ind w:left="567" w:right="567"/>
        <w:jc w:val="both"/>
        <w:rPr>
          <w:rFonts w:ascii="Palatino Linotype" w:eastAsia="Palatino Linotype" w:hAnsi="Palatino Linotype" w:cs="Palatino Linotype"/>
          <w:i/>
          <w:iCs/>
        </w:rPr>
      </w:pPr>
      <w:r w:rsidRPr="000B7F6B">
        <w:rPr>
          <w:rFonts w:ascii="Palatino Linotype" w:eastAsia="Palatino Linotype" w:hAnsi="Palatino Linotype" w:cs="Palatino Linotype"/>
          <w:b/>
          <w:bCs/>
          <w:i/>
          <w:iCs/>
        </w:rPr>
        <w:t>Este derecho se regirá por los principios y bases siguientes</w:t>
      </w:r>
      <w:r w:rsidRPr="000B7F6B">
        <w:rPr>
          <w:rFonts w:ascii="Palatino Linotype" w:eastAsia="Palatino Linotype" w:hAnsi="Palatino Linotype" w:cs="Palatino Linotype"/>
          <w:i/>
          <w:iCs/>
        </w:rPr>
        <w:t>:</w:t>
      </w:r>
    </w:p>
    <w:p w14:paraId="227359A3" w14:textId="77777777" w:rsidR="004E3EF7" w:rsidRPr="000B7F6B" w:rsidRDefault="00F2495A" w:rsidP="00BF0DE4">
      <w:pPr>
        <w:ind w:left="567" w:right="567"/>
        <w:jc w:val="both"/>
        <w:rPr>
          <w:rFonts w:ascii="Palatino Linotype" w:eastAsia="Palatino Linotype" w:hAnsi="Palatino Linotype" w:cs="Palatino Linotype"/>
          <w:b/>
          <w:bCs/>
        </w:rPr>
      </w:pPr>
      <w:r w:rsidRPr="000B7F6B">
        <w:rPr>
          <w:rFonts w:ascii="Palatino Linotype" w:eastAsia="Palatino Linotype" w:hAnsi="Palatino Linotype" w:cs="Palatino Linotype"/>
          <w:b/>
          <w:bCs/>
          <w:i/>
          <w:iCs/>
        </w:rPr>
        <w:t>Toda la información en posesión de cualquier autoridad, entidad, órgano y organismos de los</w:t>
      </w:r>
      <w:r w:rsidRPr="000B7F6B">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0B7F6B">
        <w:rPr>
          <w:rFonts w:ascii="Palatino Linotype" w:eastAsia="Palatino Linotype" w:hAnsi="Palatino Linotype" w:cs="Palatino Linotype"/>
          <w:b/>
          <w:bCs/>
          <w:i/>
          <w:iCs/>
        </w:rPr>
        <w:t>municipales</w:t>
      </w:r>
      <w:r w:rsidRPr="000B7F6B">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B7F6B">
        <w:rPr>
          <w:rFonts w:ascii="Palatino Linotype" w:eastAsia="Palatino Linotype" w:hAnsi="Palatino Linotype" w:cs="Palatino Linotype"/>
          <w:b/>
          <w:bCs/>
          <w:i/>
          <w:iCs/>
        </w:rPr>
        <w:t>es pública</w:t>
      </w:r>
      <w:r w:rsidRPr="000B7F6B">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0B7F6B">
        <w:rPr>
          <w:rFonts w:ascii="Palatino Linotype" w:eastAsia="Palatino Linotype" w:hAnsi="Palatino Linotype" w:cs="Palatino Linotype"/>
          <w:b/>
          <w:bCs/>
          <w:i/>
          <w:iCs/>
        </w:rPr>
        <w:t>En la interpretación de este derecho deberá prevalecer el principio de máxima publicidad</w:t>
      </w:r>
      <w:r w:rsidRPr="000B7F6B">
        <w:rPr>
          <w:rFonts w:ascii="Palatino Linotype" w:eastAsia="Palatino Linotype" w:hAnsi="Palatino Linotype" w:cs="Palatino Linotype"/>
          <w:i/>
          <w:iCs/>
        </w:rPr>
        <w:t xml:space="preserve">. </w:t>
      </w:r>
      <w:r w:rsidRPr="000B7F6B">
        <w:rPr>
          <w:rFonts w:ascii="Palatino Linotype" w:eastAsia="Palatino Linotype" w:hAnsi="Palatino Linotype" w:cs="Palatino Linotype"/>
          <w:b/>
          <w:bCs/>
          <w:i/>
          <w:iCs/>
        </w:rPr>
        <w:t>Los sujetos obligados deberán documentar todo acto que derive del ejercicio de sus facultades, competencias o funciones</w:t>
      </w:r>
      <w:r w:rsidRPr="000B7F6B">
        <w:rPr>
          <w:rFonts w:ascii="Palatino Linotype" w:eastAsia="Palatino Linotype" w:hAnsi="Palatino Linotype" w:cs="Palatino Linotype"/>
          <w:i/>
          <w:iCs/>
        </w:rPr>
        <w:t>, la ley determinará los supuestos específicos bajo los cuales procederá la declaración de inexistencia de la información.”</w:t>
      </w:r>
    </w:p>
    <w:p w14:paraId="3E4293AA" w14:textId="77777777" w:rsidR="004E3EF7" w:rsidRPr="000B7F6B" w:rsidRDefault="004E3EF7">
      <w:pPr>
        <w:spacing w:line="360" w:lineRule="auto"/>
        <w:ind w:right="-561"/>
        <w:rPr>
          <w:rFonts w:ascii="Palatino Linotype" w:eastAsia="Palatino Linotype" w:hAnsi="Palatino Linotype" w:cs="Palatino Linotype"/>
          <w:b/>
          <w:bCs/>
        </w:rPr>
      </w:pPr>
    </w:p>
    <w:p w14:paraId="1B27A53F"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 xml:space="preserve">Según </w:t>
      </w:r>
      <w:r w:rsidRPr="000B7F6B">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0B7F6B">
        <w:rPr>
          <w:rFonts w:ascii="Palatino Linotype" w:eastAsia="Palatino Linotype" w:hAnsi="Palatino Linotype" w:cs="Palatino Linotype"/>
          <w:i/>
          <w:iCs/>
        </w:rPr>
        <w:t>por los principios de simplicidad, rapidez gratuidad del procedimiento, auxilio y orientación a los particulares</w:t>
      </w:r>
      <w:r w:rsidRPr="000B7F6B">
        <w:rPr>
          <w:rFonts w:ascii="Palatino Linotype" w:eastAsia="Palatino Linotype" w:hAnsi="Palatino Linotype" w:cs="Palatino Linotype"/>
        </w:rPr>
        <w:t>, contemplando el derecho de las personas con discapacidad y hablantes de lengua indígena.</w:t>
      </w:r>
    </w:p>
    <w:p w14:paraId="5AFB161C"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6D8C2129"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 xml:space="preserve">El </w:t>
      </w:r>
      <w:r w:rsidRPr="000B7F6B">
        <w:rPr>
          <w:rFonts w:ascii="Palatino Linotype" w:eastAsia="Palatino Linotype" w:hAnsi="Palatino Linotype" w:cs="Palatino Linotype"/>
        </w:rPr>
        <w:t xml:space="preserve">Derecho de Acceso a la Información se garantiza y respeta oportunamente, y según lo que dispone la Ley, las </w:t>
      </w:r>
      <w:r w:rsidRPr="000B7F6B">
        <w:rPr>
          <w:rFonts w:ascii="Palatino Linotype" w:eastAsia="Palatino Linotype" w:hAnsi="Palatino Linotype" w:cs="Palatino Linotype"/>
          <w:i/>
          <w:iCs/>
        </w:rPr>
        <w:t>solicitudes de acceso a la información</w:t>
      </w:r>
      <w:r w:rsidRPr="000B7F6B">
        <w:rPr>
          <w:rFonts w:ascii="Palatino Linotype" w:eastAsia="Palatino Linotype" w:hAnsi="Palatino Linotype" w:cs="Palatino Linotype"/>
        </w:rPr>
        <w:t>.</w:t>
      </w:r>
    </w:p>
    <w:p w14:paraId="33E11ECD"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5E677085"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0B7F6B">
        <w:rPr>
          <w:rFonts w:ascii="Palatino Linotype" w:eastAsia="Palatino Linotype" w:hAnsi="Palatino Linotype" w:cs="Palatino Linotype"/>
          <w:color w:val="000000"/>
        </w:rPr>
        <w:lastRenderedPageBreak/>
        <w:t xml:space="preserve">Así </w:t>
      </w:r>
      <w:r w:rsidRPr="000B7F6B">
        <w:rPr>
          <w:rFonts w:ascii="Palatino Linotype" w:eastAsia="Palatino Linotype" w:hAnsi="Palatino Linotype" w:cs="Palatino Linotype"/>
        </w:rPr>
        <w:t xml:space="preserve">entonces, se procede analizar, en primer lugar, si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4154742F" w14:textId="77777777" w:rsidR="004E3EF7" w:rsidRPr="000B7F6B" w:rsidRDefault="004E3EF7" w:rsidP="00BF0DE4">
      <w:pPr>
        <w:spacing w:line="360" w:lineRule="auto"/>
        <w:rPr>
          <w:rFonts w:ascii="Palatino Linotype" w:eastAsia="Palatino Linotype" w:hAnsi="Palatino Linotype" w:cs="Palatino Linotype"/>
          <w:b/>
          <w:bCs/>
        </w:rPr>
      </w:pPr>
    </w:p>
    <w:p w14:paraId="5FFA0F0E" w14:textId="13F97420" w:rsidR="004E3EF7" w:rsidRPr="000B7F6B" w:rsidRDefault="00F2495A" w:rsidP="00BF0DE4">
      <w:pPr>
        <w:keepNext/>
        <w:keepLines/>
        <w:numPr>
          <w:ilvl w:val="1"/>
          <w:numId w:val="4"/>
        </w:numPr>
        <w:spacing w:line="360" w:lineRule="auto"/>
        <w:ind w:left="567"/>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De la información solicitada y la respuesta del SUJETO OBLIGADO.</w:t>
      </w:r>
    </w:p>
    <w:p w14:paraId="17208014"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6" w:name="_heading=h.30j0zll" w:colFirst="0" w:colLast="0"/>
      <w:bookmarkEnd w:id="6"/>
      <w:r w:rsidRPr="000B7F6B">
        <w:rPr>
          <w:rFonts w:ascii="Palatino Linotype" w:eastAsia="Palatino Linotype" w:hAnsi="Palatino Linotype" w:cs="Palatino Linotype"/>
        </w:rPr>
        <w:t xml:space="preserve">Derivado del Planteamiento de la </w:t>
      </w:r>
      <w:r w:rsidRPr="000B7F6B">
        <w:rPr>
          <w:rFonts w:ascii="Palatino Linotype" w:eastAsia="Palatino Linotype" w:hAnsi="Palatino Linotype" w:cs="Palatino Linotype"/>
          <w:i/>
          <w:iCs/>
        </w:rPr>
        <w:t>Litis</w:t>
      </w:r>
      <w:r w:rsidRPr="000B7F6B">
        <w:rPr>
          <w:rFonts w:ascii="Palatino Linotype" w:eastAsia="Palatino Linotype" w:hAnsi="Palatino Linotype" w:cs="Palatino Linotype"/>
        </w:rPr>
        <w:t>,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14:paraId="54DE39A2" w14:textId="77777777" w:rsidR="004E3EF7" w:rsidRPr="000B7F6B" w:rsidRDefault="004E3EF7" w:rsidP="00BF0DE4">
      <w:pPr>
        <w:spacing w:line="360" w:lineRule="auto"/>
        <w:jc w:val="both"/>
        <w:rPr>
          <w:rFonts w:ascii="Palatino Linotype" w:eastAsia="Palatino Linotype" w:hAnsi="Palatino Linotype" w:cs="Palatino Linotype"/>
          <w:b/>
          <w:bCs/>
        </w:rPr>
      </w:pPr>
    </w:p>
    <w:p w14:paraId="6C55E8CB" w14:textId="77777777" w:rsidR="004E3EF7" w:rsidRPr="000B7F6B" w:rsidRDefault="00F2495A" w:rsidP="00BF0DE4">
      <w:pPr>
        <w:numPr>
          <w:ilvl w:val="0"/>
          <w:numId w:val="3"/>
        </w:numPr>
        <w:spacing w:line="360" w:lineRule="auto"/>
        <w:ind w:left="0" w:firstLine="0"/>
        <w:jc w:val="both"/>
        <w:rPr>
          <w:rFonts w:ascii="Palatino Linotype" w:eastAsia="Palatino Linotype" w:hAnsi="Palatino Linotype" w:cs="Palatino Linotype"/>
          <w:b/>
          <w:bCs/>
        </w:rPr>
      </w:pPr>
      <w:r w:rsidRPr="000B7F6B">
        <w:rPr>
          <w:rFonts w:ascii="Palatino Linotype" w:eastAsia="Palatino Linotype" w:hAnsi="Palatino Linotype" w:cs="Palatino Linotype"/>
        </w:rPr>
        <w:t xml:space="preserve">Así, resulta conveniente reiterar la información solicitada por la parte </w:t>
      </w:r>
      <w:r w:rsidRPr="000B7F6B">
        <w:rPr>
          <w:rFonts w:ascii="Palatino Linotype" w:eastAsia="Palatino Linotype" w:hAnsi="Palatino Linotype" w:cs="Palatino Linotype"/>
          <w:b/>
          <w:bCs/>
        </w:rPr>
        <w:t>RECURRENTE</w:t>
      </w:r>
      <w:r w:rsidRPr="000B7F6B">
        <w:rPr>
          <w:rFonts w:ascii="Palatino Linotype" w:eastAsia="Palatino Linotype" w:hAnsi="Palatino Linotype" w:cs="Palatino Linotype"/>
        </w:rPr>
        <w:t xml:space="preserve">, así como la respuesta emitida por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mediante el siguiente cuadro descriptivo:</w:t>
      </w:r>
    </w:p>
    <w:p w14:paraId="12BA5C81" w14:textId="77777777" w:rsidR="00BF0DE4" w:rsidRPr="000B7F6B" w:rsidRDefault="00BF0DE4">
      <w:pPr>
        <w:spacing w:line="360" w:lineRule="auto"/>
        <w:ind w:right="-561"/>
        <w:rPr>
          <w:rFonts w:ascii="Palatino Linotype" w:eastAsia="Palatino Linotype" w:hAnsi="Palatino Linotype" w:cs="Palatino Linotype"/>
        </w:rPr>
      </w:pPr>
    </w:p>
    <w:tbl>
      <w:tblPr>
        <w:tblStyle w:val="a"/>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0"/>
        <w:gridCol w:w="6375"/>
      </w:tblGrid>
      <w:tr w:rsidR="004E3EF7" w:rsidRPr="000B7F6B" w14:paraId="4A7EEC30" w14:textId="77777777">
        <w:tc>
          <w:tcPr>
            <w:tcW w:w="3540" w:type="dxa"/>
            <w:shd w:val="clear" w:color="auto" w:fill="D9D9D9"/>
          </w:tcPr>
          <w:p w14:paraId="002F7C0B" w14:textId="77777777" w:rsidR="004E3EF7" w:rsidRPr="000B7F6B" w:rsidRDefault="00F2495A">
            <w:pPr>
              <w:ind w:right="-561"/>
              <w:jc w:val="center"/>
              <w:rPr>
                <w:rFonts w:ascii="Palatino Linotype" w:eastAsia="Palatino Linotype" w:hAnsi="Palatino Linotype" w:cs="Palatino Linotype"/>
                <w:b/>
                <w:bCs/>
              </w:rPr>
            </w:pPr>
            <w:r w:rsidRPr="000B7F6B">
              <w:rPr>
                <w:rFonts w:ascii="Palatino Linotype" w:eastAsia="Palatino Linotype" w:hAnsi="Palatino Linotype" w:cs="Palatino Linotype"/>
                <w:b/>
                <w:bCs/>
              </w:rPr>
              <w:t>Información Solicitada</w:t>
            </w:r>
          </w:p>
        </w:tc>
        <w:tc>
          <w:tcPr>
            <w:tcW w:w="6375" w:type="dxa"/>
            <w:shd w:val="clear" w:color="auto" w:fill="D9D9D9"/>
          </w:tcPr>
          <w:p w14:paraId="38B673A2" w14:textId="77777777" w:rsidR="004E3EF7" w:rsidRPr="000B7F6B" w:rsidRDefault="00F2495A">
            <w:pPr>
              <w:ind w:right="-561"/>
              <w:jc w:val="center"/>
              <w:rPr>
                <w:rFonts w:ascii="Palatino Linotype" w:eastAsia="Palatino Linotype" w:hAnsi="Palatino Linotype" w:cs="Palatino Linotype"/>
                <w:b/>
                <w:bCs/>
              </w:rPr>
            </w:pPr>
            <w:r w:rsidRPr="000B7F6B">
              <w:rPr>
                <w:rFonts w:ascii="Palatino Linotype" w:eastAsia="Palatino Linotype" w:hAnsi="Palatino Linotype" w:cs="Palatino Linotype"/>
                <w:b/>
                <w:bCs/>
              </w:rPr>
              <w:t>Respuesta</w:t>
            </w:r>
          </w:p>
        </w:tc>
      </w:tr>
      <w:tr w:rsidR="004E3EF7" w:rsidRPr="000B7F6B" w14:paraId="2D3F413C" w14:textId="77777777" w:rsidTr="00E81034">
        <w:trPr>
          <w:trHeight w:val="70"/>
        </w:trPr>
        <w:tc>
          <w:tcPr>
            <w:tcW w:w="3540" w:type="dxa"/>
          </w:tcPr>
          <w:p w14:paraId="0237C99A" w14:textId="77277F3F" w:rsidR="004E3EF7" w:rsidRPr="000B7F6B" w:rsidRDefault="00E81034" w:rsidP="00E81034">
            <w:pPr>
              <w:jc w:val="both"/>
              <w:rPr>
                <w:rFonts w:ascii="Palatino Linotype" w:hAnsi="Palatino Linotype" w:cs="Palatino Linotype"/>
                <w:b/>
                <w:bCs/>
                <w:i/>
                <w:iCs/>
              </w:rPr>
            </w:pPr>
            <w:r w:rsidRPr="000B7F6B">
              <w:rPr>
                <w:rFonts w:ascii="Palatino Linotype" w:hAnsi="Palatino Linotype"/>
                <w:color w:val="000000"/>
              </w:rPr>
              <w:t>Documentación que acredite que el Director de la Academia de Policía de Toluca cuenta con conocimientos en materia de Seguridad Pública, su certificado de formación inicial para policía y su certificado único policial.</w:t>
            </w:r>
          </w:p>
        </w:tc>
        <w:tc>
          <w:tcPr>
            <w:tcW w:w="6375" w:type="dxa"/>
          </w:tcPr>
          <w:p w14:paraId="313DDC75" w14:textId="18FF1D82" w:rsidR="004E3EF7" w:rsidRPr="000B7F6B" w:rsidRDefault="00E81034">
            <w:pPr>
              <w:ind w:right="-43"/>
              <w:jc w:val="both"/>
              <w:rPr>
                <w:rFonts w:ascii="Palatino Linotype" w:eastAsia="Palatino Linotype" w:hAnsi="Palatino Linotype" w:cs="Palatino Linotype"/>
              </w:rPr>
            </w:pPr>
            <w:r w:rsidRPr="000B7F6B">
              <w:rPr>
                <w:rFonts w:ascii="Palatino Linotype" w:hAnsi="Palatino Linotype"/>
              </w:rPr>
              <w:t>La Directora General de Administración, refirió que el requerimiento no es competencia de la Dirección a su cargo.</w:t>
            </w:r>
          </w:p>
        </w:tc>
      </w:tr>
    </w:tbl>
    <w:p w14:paraId="7FCE5082" w14:textId="65539D94" w:rsidR="00E81034" w:rsidRPr="000B7F6B" w:rsidRDefault="00F2495A" w:rsidP="00BF0DE4">
      <w:pPr>
        <w:numPr>
          <w:ilvl w:val="0"/>
          <w:numId w:val="3"/>
        </w:numPr>
        <w:spacing w:line="360" w:lineRule="auto"/>
        <w:ind w:left="0" w:firstLine="0"/>
        <w:jc w:val="both"/>
        <w:rPr>
          <w:rFonts w:ascii="Palatino Linotype" w:eastAsia="Palatino Linotype" w:hAnsi="Palatino Linotype" w:cs="Palatino Linotype"/>
        </w:rPr>
      </w:pPr>
      <w:bookmarkStart w:id="7" w:name="_heading=h.2s8eyo1" w:colFirst="0" w:colLast="0"/>
      <w:bookmarkEnd w:id="7"/>
      <w:r w:rsidRPr="000B7F6B">
        <w:rPr>
          <w:rFonts w:ascii="Palatino Linotype" w:eastAsia="Palatino Linotype" w:hAnsi="Palatino Linotype" w:cs="Palatino Linotype"/>
        </w:rPr>
        <w:lastRenderedPageBreak/>
        <w:t>En este sentido, la parte</w:t>
      </w:r>
      <w:r w:rsidR="00E81034" w:rsidRPr="000B7F6B">
        <w:rPr>
          <w:rFonts w:ascii="Palatino Linotype" w:eastAsia="Palatino Linotype" w:hAnsi="Palatino Linotype" w:cs="Palatino Linotype"/>
          <w:b/>
          <w:bCs/>
        </w:rPr>
        <w:t xml:space="preserve"> RECURRENTE</w:t>
      </w:r>
      <w:r w:rsidR="00E81034" w:rsidRPr="000B7F6B">
        <w:rPr>
          <w:rFonts w:ascii="Palatino Linotype" w:eastAsia="Palatino Linotype" w:hAnsi="Palatino Linotype" w:cs="Palatino Linotype"/>
        </w:rPr>
        <w:t xml:space="preserve"> </w:t>
      </w:r>
      <w:r w:rsidRPr="000B7F6B">
        <w:rPr>
          <w:rFonts w:ascii="Palatino Linotype" w:eastAsia="Palatino Linotype" w:hAnsi="Palatino Linotype" w:cs="Palatino Linotype"/>
        </w:rPr>
        <w:t>se inconformó p</w:t>
      </w:r>
      <w:r w:rsidR="00E81034" w:rsidRPr="000B7F6B">
        <w:rPr>
          <w:rFonts w:ascii="Palatino Linotype" w:eastAsia="Palatino Linotype" w:hAnsi="Palatino Linotype" w:cs="Palatino Linotype"/>
        </w:rPr>
        <w:t>or la negativa de la información solicitada.</w:t>
      </w:r>
    </w:p>
    <w:p w14:paraId="516EC0E6" w14:textId="77777777" w:rsidR="00E81034" w:rsidRPr="000B7F6B" w:rsidRDefault="00E81034" w:rsidP="00E81034">
      <w:pPr>
        <w:spacing w:line="360" w:lineRule="auto"/>
        <w:jc w:val="both"/>
        <w:rPr>
          <w:rFonts w:ascii="Palatino Linotype" w:eastAsia="Palatino Linotype" w:hAnsi="Palatino Linotype" w:cs="Palatino Linotype"/>
        </w:rPr>
      </w:pPr>
    </w:p>
    <w:p w14:paraId="293D51E4" w14:textId="75C3512D" w:rsidR="00E81034" w:rsidRPr="000B7F6B" w:rsidRDefault="00E81034" w:rsidP="00E8103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hAnsi="Palatino Linotype" w:cs="Palatino Linotype"/>
          <w:bCs/>
        </w:rPr>
        <w:t xml:space="preserve">Al respecto, cabe precisar que, si bien el </w:t>
      </w:r>
      <w:r w:rsidRPr="000B7F6B">
        <w:rPr>
          <w:rFonts w:ascii="Palatino Linotype" w:hAnsi="Palatino Linotype" w:cs="Palatino Linotype"/>
          <w:b/>
        </w:rPr>
        <w:t xml:space="preserve">SUJETO OBLIGADO </w:t>
      </w:r>
      <w:r w:rsidRPr="000B7F6B">
        <w:rPr>
          <w:rFonts w:ascii="Palatino Linotype" w:hAnsi="Palatino Linotype" w:cs="Palatino Linotype"/>
          <w:bCs/>
        </w:rPr>
        <w:t>emitió un pronunciamiento respecto de la información solicitada, no se advierte que se haya realizado la búsqueda exhaustiva y razonable de la misma en los archivos de todas las áreas o unidades administrativas competentes.</w:t>
      </w:r>
    </w:p>
    <w:p w14:paraId="307B67A1" w14:textId="77777777" w:rsidR="00E81034" w:rsidRPr="000B7F6B" w:rsidRDefault="00E81034" w:rsidP="00E81034">
      <w:pPr>
        <w:pStyle w:val="Prrafodelista"/>
        <w:rPr>
          <w:rFonts w:ascii="Palatino Linotype" w:hAnsi="Palatino Linotype" w:cs="Palatino Linotype"/>
          <w:bCs/>
        </w:rPr>
      </w:pPr>
    </w:p>
    <w:p w14:paraId="2CA23E03" w14:textId="375A961B" w:rsidR="00E81034" w:rsidRPr="000B7F6B" w:rsidRDefault="00E81034" w:rsidP="00E81034">
      <w:pPr>
        <w:numPr>
          <w:ilvl w:val="0"/>
          <w:numId w:val="3"/>
        </w:numPr>
        <w:spacing w:line="360" w:lineRule="auto"/>
        <w:ind w:left="0" w:firstLine="0"/>
        <w:jc w:val="both"/>
        <w:rPr>
          <w:rFonts w:ascii="Palatino Linotype" w:eastAsia="Palatino Linotype" w:hAnsi="Palatino Linotype" w:cs="Palatino Linotype"/>
        </w:rPr>
      </w:pPr>
      <w:r w:rsidRPr="000B7F6B">
        <w:rPr>
          <w:rFonts w:ascii="Palatino Linotype" w:hAnsi="Palatino Linotype" w:cs="Palatino Linotype"/>
          <w:bCs/>
        </w:rPr>
        <w:t xml:space="preserve">Así, </w:t>
      </w:r>
      <w:r w:rsidRPr="000B7F6B">
        <w:rPr>
          <w:rFonts w:ascii="Palatino Linotype" w:hAnsi="Palatino Linotype" w:cs="Arial"/>
          <w:color w:val="000000" w:themeColor="text1"/>
          <w:lang w:val="es-ES"/>
        </w:rPr>
        <w:t xml:space="preserve">cabe </w:t>
      </w:r>
      <w:r w:rsidRPr="000B7F6B">
        <w:rPr>
          <w:rFonts w:ascii="Palatino Linotype" w:hAnsi="Palatino Linotype" w:cs="Cambria"/>
          <w:color w:val="000000" w:themeColor="text1"/>
          <w:lang w:val="es-ES_tradnl"/>
        </w:rPr>
        <w:t>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6731B6D4" w14:textId="77777777" w:rsidR="00E81034" w:rsidRPr="000B7F6B" w:rsidRDefault="00E81034" w:rsidP="00E81034">
      <w:pPr>
        <w:contextualSpacing/>
        <w:rPr>
          <w:rFonts w:ascii="Palatino Linotype" w:hAnsi="Palatino Linotype" w:cs="Arial"/>
          <w:color w:val="000000" w:themeColor="text1"/>
          <w:lang w:val="es-ES"/>
        </w:rPr>
      </w:pPr>
    </w:p>
    <w:p w14:paraId="793FD6A0" w14:textId="301D715C" w:rsidR="00E81034" w:rsidRPr="000B7F6B" w:rsidRDefault="00E81034" w:rsidP="00E81034">
      <w:pPr>
        <w:pStyle w:val="Prrafodelista"/>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Arial"/>
          <w:color w:val="000000" w:themeColor="text1"/>
          <w:lang w:val="es-ES"/>
        </w:rPr>
        <w:t xml:space="preserve">En </w:t>
      </w:r>
      <w:r w:rsidRPr="000B7F6B">
        <w:rPr>
          <w:rFonts w:ascii="Palatino Linotype" w:hAnsi="Palatino Linotype" w:cs="Cambria"/>
          <w:color w:val="000000" w:themeColor="text1"/>
          <w:lang w:val="es-ES_tradnl"/>
        </w:rPr>
        <w:t xml:space="preserve">este sentido, para </w:t>
      </w:r>
      <w:r w:rsidRPr="000B7F6B">
        <w:rPr>
          <w:rFonts w:ascii="Palatino Linotype" w:hAnsi="Palatino Linotype" w:cs="Arial"/>
          <w:lang w:val="es-ES_tradnl"/>
        </w:rPr>
        <w:t>atender las solicitudes de información, los Sujetos Obligados contarán con un área denominada Unidad de Transparencia</w:t>
      </w:r>
      <w:r w:rsidRPr="000B7F6B">
        <w:rPr>
          <w:rFonts w:ascii="Palatino Linotype" w:hAnsi="Palatino Linotype" w:cs="Cambria"/>
          <w:vertAlign w:val="superscript"/>
          <w:lang w:val="es-ES_tradnl"/>
        </w:rPr>
        <w:footnoteReference w:id="5"/>
      </w:r>
      <w:r w:rsidRPr="000B7F6B">
        <w:rPr>
          <w:rFonts w:ascii="Palatino Linotype" w:hAnsi="Palatino Linotype" w:cs="Arial"/>
          <w:lang w:val="es-ES_tradnl"/>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0B7F6B">
        <w:rPr>
          <w:rFonts w:ascii="Palatino Linotype" w:hAnsi="Palatino Linotype" w:cs="Arial"/>
          <w:b/>
          <w:bCs/>
          <w:lang w:val="es-ES_tradnl"/>
        </w:rPr>
        <w:t xml:space="preserve"> </w:t>
      </w:r>
      <w:r w:rsidRPr="000B7F6B">
        <w:rPr>
          <w:rFonts w:ascii="Palatino Linotype" w:hAnsi="Palatino Linotype" w:cs="Arial"/>
          <w:lang w:val="es-ES_tradnl"/>
        </w:rPr>
        <w:t>en los términos de la Ley General y la Ley de Transparencia y Acceso a la Información Pública del Estado de México y Municipios</w:t>
      </w:r>
      <w:r w:rsidRPr="000B7F6B">
        <w:rPr>
          <w:rFonts w:ascii="Palatino Linotype" w:hAnsi="Palatino Linotype" w:cs="Cambria"/>
          <w:vertAlign w:val="superscript"/>
          <w:lang w:val="es-ES_tradnl"/>
        </w:rPr>
        <w:footnoteReference w:id="6"/>
      </w:r>
      <w:r w:rsidRPr="000B7F6B">
        <w:rPr>
          <w:rFonts w:ascii="Palatino Linotype" w:hAnsi="Palatino Linotype" w:cs="Arial"/>
          <w:lang w:val="es-ES_tradnl"/>
        </w:rPr>
        <w:t>.</w:t>
      </w:r>
    </w:p>
    <w:p w14:paraId="5B09895F" w14:textId="0A1875CA" w:rsidR="00E81034" w:rsidRPr="000B7F6B" w:rsidRDefault="00E81034" w:rsidP="006A126A">
      <w:pPr>
        <w:numPr>
          <w:ilvl w:val="0"/>
          <w:numId w:val="3"/>
        </w:numPr>
        <w:spacing w:line="360" w:lineRule="auto"/>
        <w:ind w:left="0" w:right="1" w:firstLine="0"/>
        <w:contextualSpacing/>
        <w:jc w:val="both"/>
        <w:rPr>
          <w:rFonts w:ascii="Palatino Linotype" w:hAnsi="Palatino Linotype" w:cs="Palatino Linotype"/>
          <w:b/>
          <w:lang w:val="es-ES_tradnl"/>
        </w:rPr>
      </w:pPr>
      <w:r w:rsidRPr="000B7F6B">
        <w:rPr>
          <w:rFonts w:ascii="Palatino Linotype" w:hAnsi="Palatino Linotype" w:cs="Arial"/>
          <w:color w:val="000000" w:themeColor="text1"/>
          <w:lang w:val="es-ES"/>
        </w:rPr>
        <w:lastRenderedPageBreak/>
        <w:t xml:space="preserve">De </w:t>
      </w:r>
      <w:r w:rsidRPr="000B7F6B">
        <w:rPr>
          <w:rFonts w:ascii="Palatino Linotype" w:hAnsi="Palatino Linotype" w:cs="Arial"/>
          <w:color w:val="000000" w:themeColor="text1"/>
          <w:lang w:val="es-ES_tradnl"/>
        </w:rPr>
        <w:t>conformidad con lo dispuesto en la Ley de Transparencia y Acceso a la Información Pública del Estado de México y Municipios, las Unidades de Transparencia tendrán, entre sus atribuciones, las siguientes:</w:t>
      </w:r>
    </w:p>
    <w:p w14:paraId="33F0E7B7" w14:textId="77777777" w:rsidR="00E81034" w:rsidRPr="000B7F6B" w:rsidRDefault="00E81034" w:rsidP="00E81034">
      <w:pPr>
        <w:numPr>
          <w:ilvl w:val="1"/>
          <w:numId w:val="9"/>
        </w:numPr>
        <w:spacing w:before="240" w:after="240"/>
        <w:ind w:left="709" w:right="616" w:hanging="142"/>
        <w:contextualSpacing/>
        <w:jc w:val="both"/>
        <w:rPr>
          <w:rFonts w:ascii="Palatino Linotype" w:hAnsi="Palatino Linotype" w:cs="Arial"/>
          <w:color w:val="000000" w:themeColor="text1"/>
          <w:lang w:val="es-ES_tradnl"/>
        </w:rPr>
      </w:pPr>
      <w:r w:rsidRPr="000B7F6B">
        <w:rPr>
          <w:rFonts w:ascii="Palatino Linotype" w:hAnsi="Palatino Linotype" w:cs="Arial"/>
          <w:color w:val="000000" w:themeColor="text1"/>
          <w:lang w:val="es-ES_tradnl"/>
        </w:rPr>
        <w:t>Recibir, tramitar y dar respuesta a las solicitudes de acceso a la información;</w:t>
      </w:r>
    </w:p>
    <w:p w14:paraId="3BF62149" w14:textId="77777777" w:rsidR="00E81034" w:rsidRPr="000B7F6B" w:rsidRDefault="00E81034" w:rsidP="00E81034">
      <w:pPr>
        <w:numPr>
          <w:ilvl w:val="1"/>
          <w:numId w:val="9"/>
        </w:numPr>
        <w:spacing w:before="240" w:after="240"/>
        <w:ind w:left="709" w:right="616" w:hanging="142"/>
        <w:contextualSpacing/>
        <w:jc w:val="both"/>
        <w:rPr>
          <w:rFonts w:ascii="Palatino Linotype" w:hAnsi="Palatino Linotype" w:cs="Arial"/>
          <w:color w:val="000000" w:themeColor="text1"/>
          <w:lang w:val="es-ES_tradnl"/>
        </w:rPr>
      </w:pPr>
      <w:r w:rsidRPr="000B7F6B">
        <w:rPr>
          <w:rFonts w:ascii="Palatino Linotype" w:hAnsi="Palatino Linotype" w:cs="Arial"/>
          <w:color w:val="000000" w:themeColor="text1"/>
          <w:lang w:val="es-ES_tradnl"/>
        </w:rPr>
        <w:t xml:space="preserve">Realizar, con efectividad, los trámites internos necesarios para la atención de las solicitudes de acceso a la información; </w:t>
      </w:r>
    </w:p>
    <w:p w14:paraId="6C67C422" w14:textId="77777777" w:rsidR="00E81034" w:rsidRPr="000B7F6B" w:rsidRDefault="00E81034" w:rsidP="00E81034">
      <w:pPr>
        <w:numPr>
          <w:ilvl w:val="1"/>
          <w:numId w:val="9"/>
        </w:numPr>
        <w:spacing w:before="240" w:after="240"/>
        <w:ind w:left="709" w:right="616" w:hanging="142"/>
        <w:contextualSpacing/>
        <w:jc w:val="both"/>
        <w:rPr>
          <w:rFonts w:ascii="Palatino Linotype" w:hAnsi="Palatino Linotype" w:cs="Arial"/>
          <w:color w:val="000000" w:themeColor="text1"/>
          <w:lang w:val="es-ES_tradnl"/>
        </w:rPr>
      </w:pPr>
      <w:r w:rsidRPr="000B7F6B">
        <w:rPr>
          <w:rFonts w:ascii="Palatino Linotype" w:hAnsi="Palatino Linotype" w:cs="Arial"/>
          <w:color w:val="000000" w:themeColor="text1"/>
          <w:lang w:val="es-ES_tradnl"/>
        </w:rPr>
        <w:t xml:space="preserve">Entregar, en su caso, a los particulares la información solicitada; y </w:t>
      </w:r>
    </w:p>
    <w:p w14:paraId="63DC4BA7" w14:textId="77777777" w:rsidR="00E81034" w:rsidRPr="000B7F6B" w:rsidRDefault="00E81034" w:rsidP="00E81034">
      <w:pPr>
        <w:numPr>
          <w:ilvl w:val="1"/>
          <w:numId w:val="9"/>
        </w:numPr>
        <w:spacing w:before="240" w:after="240"/>
        <w:ind w:left="709" w:right="616" w:hanging="142"/>
        <w:contextualSpacing/>
        <w:jc w:val="both"/>
        <w:rPr>
          <w:rFonts w:ascii="Palatino Linotype" w:hAnsi="Palatino Linotype" w:cs="Cambria"/>
          <w:color w:val="000000" w:themeColor="text1"/>
          <w:lang w:val="es-ES_tradnl"/>
        </w:rPr>
      </w:pPr>
      <w:r w:rsidRPr="000B7F6B">
        <w:rPr>
          <w:rFonts w:ascii="Palatino Linotype" w:hAnsi="Palatino Linotype" w:cs="Arial"/>
          <w:color w:val="000000" w:themeColor="text1"/>
          <w:lang w:val="es-ES_tradnl"/>
        </w:rPr>
        <w:t>Efectuar las notificaciones a los solicitantes.</w:t>
      </w:r>
    </w:p>
    <w:p w14:paraId="154F36E3" w14:textId="77777777" w:rsidR="00E81034" w:rsidRPr="000B7F6B" w:rsidRDefault="00E81034" w:rsidP="006A126A">
      <w:pPr>
        <w:spacing w:before="240" w:after="240"/>
        <w:ind w:right="616"/>
        <w:contextualSpacing/>
        <w:jc w:val="both"/>
        <w:rPr>
          <w:rFonts w:ascii="Palatino Linotype" w:hAnsi="Palatino Linotype" w:cs="Cambria"/>
          <w:color w:val="000000" w:themeColor="text1"/>
          <w:lang w:val="es-ES_tradnl"/>
        </w:rPr>
      </w:pPr>
    </w:p>
    <w:p w14:paraId="1AF9678D" w14:textId="77777777" w:rsidR="00E81034" w:rsidRPr="000B7F6B" w:rsidRDefault="00E81034" w:rsidP="00E81034">
      <w:pPr>
        <w:numPr>
          <w:ilvl w:val="0"/>
          <w:numId w:val="3"/>
        </w:numPr>
        <w:spacing w:line="360" w:lineRule="auto"/>
        <w:ind w:left="0" w:right="1" w:firstLine="0"/>
        <w:contextualSpacing/>
        <w:jc w:val="both"/>
        <w:rPr>
          <w:rFonts w:ascii="Palatino Linotype" w:hAnsi="Palatino Linotype" w:cs="Palatino Linotype"/>
          <w:b/>
          <w:lang w:val="es-ES_tradnl"/>
        </w:rPr>
      </w:pPr>
      <w:r w:rsidRPr="000B7F6B">
        <w:rPr>
          <w:rFonts w:ascii="Palatino Linotype" w:hAnsi="Palatino Linotype" w:cs="Arial"/>
          <w:color w:val="000000" w:themeColor="text1"/>
          <w:lang w:val="es-ES"/>
        </w:rPr>
        <w:t xml:space="preserve">Otros </w:t>
      </w:r>
      <w:r w:rsidRPr="000B7F6B">
        <w:rPr>
          <w:rFonts w:ascii="Palatino Linotype" w:hAnsi="Palatino Linotype" w:cs="Arial"/>
          <w:color w:val="000000" w:themeColor="text1"/>
          <w:lang w:val="es-ES_tradnl"/>
        </w:rPr>
        <w:t xml:space="preserve">sujetos del proceso de atención a las solicitudes de información son los servidores públicos habilitados, quienes serán designados por el titular del </w:t>
      </w:r>
      <w:r w:rsidRPr="000B7F6B">
        <w:rPr>
          <w:rFonts w:ascii="Palatino Linotype" w:hAnsi="Palatino Linotype" w:cs="Arial"/>
          <w:b/>
          <w:color w:val="000000" w:themeColor="text1"/>
          <w:lang w:val="es-ES_tradnl"/>
        </w:rPr>
        <w:t xml:space="preserve">SUJETO OBLIGADO </w:t>
      </w:r>
      <w:r w:rsidRPr="000B7F6B">
        <w:rPr>
          <w:rFonts w:ascii="Palatino Linotype" w:hAnsi="Palatino Linotype" w:cs="Arial"/>
          <w:color w:val="000000" w:themeColor="text1"/>
          <w:lang w:val="es-ES_tradnl"/>
        </w:rPr>
        <w:t>a propuesta del responsable de la Unidad de Transparencia</w:t>
      </w:r>
      <w:r w:rsidRPr="000B7F6B">
        <w:rPr>
          <w:rFonts w:ascii="Palatino Linotype" w:hAnsi="Palatino Linotype"/>
          <w:vertAlign w:val="superscript"/>
          <w:lang w:val="es-ES_tradnl"/>
        </w:rPr>
        <w:footnoteReference w:id="7"/>
      </w:r>
      <w:r w:rsidRPr="000B7F6B">
        <w:rPr>
          <w:rFonts w:ascii="Palatino Linotype" w:hAnsi="Palatino Linotype" w:cs="Arial"/>
          <w:color w:val="000000" w:themeColor="text1"/>
          <w:lang w:val="es-ES_tradnl"/>
        </w:rPr>
        <w:t xml:space="preserve"> y tendrán, entre sus atribuciones, las siguientes</w:t>
      </w:r>
      <w:r w:rsidRPr="000B7F6B">
        <w:rPr>
          <w:rFonts w:ascii="Palatino Linotype" w:hAnsi="Palatino Linotype"/>
          <w:vertAlign w:val="superscript"/>
          <w:lang w:val="es-ES_tradnl"/>
        </w:rPr>
        <w:footnoteReference w:id="8"/>
      </w:r>
      <w:r w:rsidRPr="000B7F6B">
        <w:rPr>
          <w:rFonts w:ascii="Palatino Linotype" w:hAnsi="Palatino Linotype" w:cs="Arial"/>
          <w:color w:val="000000" w:themeColor="text1"/>
          <w:lang w:val="es-ES_tradnl"/>
        </w:rPr>
        <w:t>:</w:t>
      </w:r>
    </w:p>
    <w:p w14:paraId="267E2867" w14:textId="77777777" w:rsidR="00E81034" w:rsidRPr="000B7F6B" w:rsidRDefault="00E81034" w:rsidP="00E81034">
      <w:pPr>
        <w:numPr>
          <w:ilvl w:val="1"/>
          <w:numId w:val="10"/>
        </w:numPr>
        <w:spacing w:before="240" w:after="240"/>
        <w:ind w:left="709" w:right="565" w:hanging="142"/>
        <w:contextualSpacing/>
        <w:jc w:val="both"/>
        <w:rPr>
          <w:rFonts w:ascii="Palatino Linotype" w:hAnsi="Palatino Linotype" w:cs="Arial"/>
          <w:color w:val="000000" w:themeColor="text1"/>
          <w:lang w:val="es-ES_tradnl"/>
        </w:rPr>
      </w:pPr>
      <w:r w:rsidRPr="000B7F6B">
        <w:rPr>
          <w:rFonts w:ascii="Palatino Linotype" w:hAnsi="Palatino Linotype" w:cs="Arial"/>
          <w:color w:val="000000" w:themeColor="text1"/>
          <w:lang w:val="es-ES_tradnl"/>
        </w:rPr>
        <w:t>Localizar la información que le solicite la Unidad de Transparencia; y</w:t>
      </w:r>
    </w:p>
    <w:p w14:paraId="50E0D0F5" w14:textId="77777777" w:rsidR="00E81034" w:rsidRPr="000B7F6B" w:rsidRDefault="00E81034" w:rsidP="00E81034">
      <w:pPr>
        <w:numPr>
          <w:ilvl w:val="1"/>
          <w:numId w:val="10"/>
        </w:numPr>
        <w:spacing w:before="240" w:after="240"/>
        <w:ind w:left="709" w:right="565" w:hanging="142"/>
        <w:contextualSpacing/>
        <w:jc w:val="both"/>
        <w:rPr>
          <w:rFonts w:ascii="Palatino Linotype" w:hAnsi="Palatino Linotype" w:cs="Cambria"/>
          <w:color w:val="000000" w:themeColor="text1"/>
          <w:lang w:val="es-ES_tradnl"/>
        </w:rPr>
      </w:pPr>
      <w:r w:rsidRPr="000B7F6B">
        <w:rPr>
          <w:rFonts w:ascii="Palatino Linotype" w:hAnsi="Palatino Linotype" w:cs="Arial"/>
          <w:color w:val="000000" w:themeColor="text1"/>
          <w:lang w:val="es-ES_tradnl"/>
        </w:rPr>
        <w:t>Proporcionar la información que obre en los archivos y que le sea solicitada por la Unidad de Transparencia.</w:t>
      </w:r>
    </w:p>
    <w:p w14:paraId="5BBD232A" w14:textId="77777777" w:rsidR="00E81034" w:rsidRPr="000B7F6B" w:rsidRDefault="00E81034" w:rsidP="00E81034">
      <w:pPr>
        <w:spacing w:line="360" w:lineRule="auto"/>
        <w:ind w:right="1"/>
        <w:jc w:val="both"/>
        <w:rPr>
          <w:rFonts w:ascii="Palatino Linotype" w:hAnsi="Palatino Linotype" w:cs="Palatino Linotype"/>
          <w:b/>
          <w:lang w:val="es-ES_tradnl"/>
        </w:rPr>
      </w:pPr>
    </w:p>
    <w:p w14:paraId="1B4642D2" w14:textId="77777777" w:rsidR="00E81034" w:rsidRPr="000B7F6B" w:rsidRDefault="00E81034" w:rsidP="00E81034">
      <w:pPr>
        <w:pStyle w:val="Prrafodelista"/>
        <w:numPr>
          <w:ilvl w:val="0"/>
          <w:numId w:val="3"/>
        </w:numPr>
        <w:spacing w:line="360" w:lineRule="auto"/>
        <w:ind w:left="0" w:right="1" w:firstLine="0"/>
        <w:jc w:val="both"/>
        <w:rPr>
          <w:rFonts w:ascii="Palatino Linotype" w:hAnsi="Palatino Linotype" w:cs="Palatino Linotype"/>
          <w:b/>
          <w:lang w:val="es-ES_tradnl"/>
        </w:rPr>
      </w:pPr>
      <w:r w:rsidRPr="000B7F6B">
        <w:rPr>
          <w:rFonts w:ascii="Palatino Linotype" w:hAnsi="Palatino Linotype" w:cs="Cambria"/>
          <w:color w:val="000000" w:themeColor="text1"/>
          <w:lang w:val="es-ES_tradnl"/>
        </w:rPr>
        <w:t xml:space="preserve">De </w:t>
      </w:r>
      <w:r w:rsidRPr="000B7F6B">
        <w:rPr>
          <w:rFonts w:ascii="Palatino Linotype" w:hAnsi="Palatino Linotype" w:cs="Arial"/>
          <w:color w:val="000000" w:themeColor="text1"/>
          <w:lang w:val="es-ES_tradnl"/>
        </w:rPr>
        <w:t xml:space="preserve">tal manera que cada una de las áreas administrativas del </w:t>
      </w:r>
      <w:r w:rsidRPr="000B7F6B">
        <w:rPr>
          <w:rFonts w:ascii="Palatino Linotype" w:hAnsi="Palatino Linotype" w:cs="Arial"/>
          <w:b/>
          <w:bCs/>
          <w:color w:val="000000" w:themeColor="text1"/>
          <w:lang w:val="es-ES_tradnl"/>
        </w:rPr>
        <w:t>SUJETO OBLIGADO</w:t>
      </w:r>
      <w:r w:rsidRPr="000B7F6B">
        <w:rPr>
          <w:rFonts w:ascii="Palatino Linotype" w:hAnsi="Palatino Linotype" w:cs="Arial"/>
          <w:color w:val="000000" w:themeColor="text1"/>
          <w:lang w:val="es-ES_tradnl"/>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127B723E" w14:textId="77777777" w:rsidR="00E81034" w:rsidRPr="000B7F6B" w:rsidRDefault="00E81034" w:rsidP="00E81034">
      <w:pPr>
        <w:pStyle w:val="Prrafodelista"/>
        <w:spacing w:line="360" w:lineRule="auto"/>
        <w:ind w:left="0" w:right="1"/>
        <w:jc w:val="both"/>
        <w:rPr>
          <w:rFonts w:ascii="Palatino Linotype" w:hAnsi="Palatino Linotype" w:cs="Palatino Linotype"/>
          <w:b/>
          <w:lang w:val="es-ES_tradnl"/>
        </w:rPr>
      </w:pPr>
    </w:p>
    <w:p w14:paraId="7ACD561B" w14:textId="717E3B6B" w:rsidR="00E81034" w:rsidRPr="000B7F6B" w:rsidRDefault="00E81034" w:rsidP="00E81034">
      <w:pPr>
        <w:pStyle w:val="Prrafodelista"/>
        <w:numPr>
          <w:ilvl w:val="0"/>
          <w:numId w:val="3"/>
        </w:numPr>
        <w:spacing w:line="360" w:lineRule="auto"/>
        <w:ind w:left="0" w:right="1" w:firstLine="0"/>
        <w:jc w:val="both"/>
        <w:rPr>
          <w:rFonts w:ascii="Palatino Linotype" w:hAnsi="Palatino Linotype" w:cs="Palatino Linotype"/>
          <w:b/>
          <w:lang w:val="es-ES_tradnl"/>
        </w:rPr>
      </w:pPr>
      <w:r w:rsidRPr="000B7F6B">
        <w:rPr>
          <w:rFonts w:ascii="Palatino Linotype" w:hAnsi="Palatino Linotype" w:cs="Arial"/>
          <w:color w:val="000000" w:themeColor="text1"/>
          <w:lang w:val="es-ES"/>
        </w:rPr>
        <w:t xml:space="preserve">Aunado a lo anterior, </w:t>
      </w:r>
      <w:r w:rsidRPr="000B7F6B">
        <w:rPr>
          <w:rFonts w:ascii="Palatino Linotype" w:hAnsi="Palatino Linotype" w:cs="Cambria"/>
          <w:color w:val="000000" w:themeColor="text1"/>
          <w:lang w:val="es-ES_tradnl"/>
        </w:rPr>
        <w:t>la Ley de Transparencia y Acceso a la Información Pública del Estado de México y Municipios, en su artículo 53, establece las funciones correspondientes a esta Unidad; mismas que se inserta a continuación:</w:t>
      </w:r>
    </w:p>
    <w:p w14:paraId="22368F72"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b/>
          <w:bCs/>
          <w:i/>
          <w:iCs/>
          <w:lang w:val="es-ES_tradnl"/>
        </w:rPr>
        <w:lastRenderedPageBreak/>
        <w:t>“Artículo 53</w:t>
      </w:r>
      <w:r w:rsidRPr="000B7F6B">
        <w:rPr>
          <w:rFonts w:ascii="Palatino Linotype" w:hAnsi="Palatino Linotype" w:cs="Cambria"/>
          <w:i/>
          <w:iCs/>
          <w:lang w:val="es-ES_tradnl"/>
        </w:rPr>
        <w:t xml:space="preserve">. Las Unidades de Transparencia tendrán las siguientes funciones: </w:t>
      </w:r>
    </w:p>
    <w:p w14:paraId="2229DE6F"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p>
    <w:p w14:paraId="3B470FE2"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3039167D" w14:textId="77777777" w:rsidR="00E81034" w:rsidRPr="000B7F6B" w:rsidRDefault="00E81034" w:rsidP="00E81034">
      <w:pPr>
        <w:spacing w:before="240" w:after="240"/>
        <w:ind w:left="567" w:right="616"/>
        <w:contextualSpacing/>
        <w:jc w:val="both"/>
        <w:rPr>
          <w:rFonts w:ascii="Palatino Linotype" w:hAnsi="Palatino Linotype" w:cs="Cambria"/>
          <w:b/>
          <w:bCs/>
          <w:i/>
          <w:iCs/>
          <w:lang w:val="es-ES_tradnl"/>
        </w:rPr>
      </w:pPr>
      <w:r w:rsidRPr="000B7F6B">
        <w:rPr>
          <w:rFonts w:ascii="Palatino Linotype" w:hAnsi="Palatino Linotype" w:cs="Cambria"/>
          <w:b/>
          <w:bCs/>
          <w:i/>
          <w:iCs/>
          <w:lang w:val="es-ES_tradnl"/>
        </w:rPr>
        <w:t xml:space="preserve">II. Recibir, tramitar y dar respuesta a las solicitudes de acceso a la información; </w:t>
      </w:r>
    </w:p>
    <w:p w14:paraId="19207488"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III. Auxiliar a los particulares en la elaboración de solicitudes de acceso a la información y, en su caso, orientarlos sobre los sujetos obligados competentes conforme a la normatividad aplicable; </w:t>
      </w:r>
    </w:p>
    <w:p w14:paraId="0D2344F3" w14:textId="77777777" w:rsidR="00E81034" w:rsidRPr="000B7F6B" w:rsidRDefault="00E81034" w:rsidP="00E81034">
      <w:pPr>
        <w:spacing w:before="240" w:after="240"/>
        <w:ind w:left="567" w:right="616"/>
        <w:contextualSpacing/>
        <w:jc w:val="both"/>
        <w:rPr>
          <w:rFonts w:ascii="Palatino Linotype" w:hAnsi="Palatino Linotype" w:cs="Cambria"/>
          <w:b/>
          <w:bCs/>
          <w:i/>
          <w:iCs/>
          <w:lang w:val="es-ES_tradnl"/>
        </w:rPr>
      </w:pPr>
      <w:r w:rsidRPr="000B7F6B">
        <w:rPr>
          <w:rFonts w:ascii="Palatino Linotype" w:hAnsi="Palatino Linotype" w:cs="Cambria"/>
          <w:b/>
          <w:bCs/>
          <w:i/>
          <w:iCs/>
          <w:lang w:val="es-ES_tradnl"/>
        </w:rPr>
        <w:t xml:space="preserve">IV. Realizar, con efectividad, los trámites internos necesarios para la atención de las solicitudes de acceso a la información; </w:t>
      </w:r>
    </w:p>
    <w:p w14:paraId="1D18D2F4"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V. Entregar, en su caso, a los particulares la información solicitada; </w:t>
      </w:r>
    </w:p>
    <w:p w14:paraId="5C61A8B7"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VI. Efectuar las notificaciones a los solicitantes; </w:t>
      </w:r>
    </w:p>
    <w:p w14:paraId="299258A9"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VII. Proponer al Comité de Transparencia, los procedimientos internos que aseguren la mayor eficiencia en la gestión de las solicitudes de acceso a la información, conforme a la normatividad aplicable; </w:t>
      </w:r>
    </w:p>
    <w:p w14:paraId="6E601F9D"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VIII. Proponer a quien preside el Comité de Transparencia, personal habilitado que sea necesario para recibir y dar trámite a las solicitudes de acceso a la información; </w:t>
      </w:r>
    </w:p>
    <w:p w14:paraId="78A9AA2A" w14:textId="77777777" w:rsidR="00E81034" w:rsidRPr="000B7F6B" w:rsidRDefault="00E81034" w:rsidP="00E81034">
      <w:pPr>
        <w:spacing w:before="240" w:after="240"/>
        <w:ind w:left="567" w:right="616"/>
        <w:contextualSpacing/>
        <w:jc w:val="both"/>
        <w:rPr>
          <w:rFonts w:ascii="Palatino Linotype" w:hAnsi="Palatino Linotype" w:cs="Cambria"/>
          <w:b/>
          <w:bCs/>
          <w:i/>
          <w:iCs/>
          <w:lang w:val="es-ES_tradnl"/>
        </w:rPr>
      </w:pPr>
      <w:r w:rsidRPr="000B7F6B">
        <w:rPr>
          <w:rFonts w:ascii="Palatino Linotype" w:hAnsi="Palatino Linotype" w:cs="Cambria"/>
          <w:b/>
          <w:bCs/>
          <w:i/>
          <w:iCs/>
          <w:lang w:val="es-ES_tradnl"/>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FF20F43"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X. Presentar ante el Comité, el proyecto de clasificación de información; </w:t>
      </w:r>
    </w:p>
    <w:p w14:paraId="24403683"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XI. Promover e implementar políticas de transparencia proactiva procurando su accesibilidad; </w:t>
      </w:r>
    </w:p>
    <w:p w14:paraId="4E7809C5"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 xml:space="preserve">XII. Fomentar la transparencia y accesibilidad al interior del sujeto obligado; </w:t>
      </w:r>
    </w:p>
    <w:p w14:paraId="6E1B9DA9"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XIII. Hacer del conocimiento de la instancia competente la probable responsabilidad por el incumplimiento de las obligaciones previstas en la presente Ley; y</w:t>
      </w:r>
    </w:p>
    <w:p w14:paraId="347C4718" w14:textId="77777777" w:rsidR="00E81034" w:rsidRPr="000B7F6B" w:rsidRDefault="00E81034" w:rsidP="00E81034">
      <w:pPr>
        <w:spacing w:before="240" w:after="240"/>
        <w:ind w:left="567" w:right="616"/>
        <w:contextualSpacing/>
        <w:jc w:val="both"/>
        <w:rPr>
          <w:rFonts w:ascii="Palatino Linotype" w:hAnsi="Palatino Linotype" w:cs="Cambria"/>
          <w:i/>
          <w:iCs/>
          <w:lang w:val="es-ES_tradnl"/>
        </w:rPr>
      </w:pPr>
      <w:r w:rsidRPr="000B7F6B">
        <w:rPr>
          <w:rFonts w:ascii="Palatino Linotype" w:hAnsi="Palatino Linotype" w:cs="Cambria"/>
          <w:i/>
          <w:iCs/>
          <w:lang w:val="es-ES_tradnl"/>
        </w:rPr>
        <w:t>XIV. Las demás que resulten necesarias para facilitar el acceso a la información y aquellas que se desprenden de la presente Ley y demás disposiciones jurídicas aplicables. (…)</w:t>
      </w:r>
    </w:p>
    <w:p w14:paraId="1EC0305F" w14:textId="77777777" w:rsidR="00E81034" w:rsidRPr="000B7F6B" w:rsidRDefault="00E81034" w:rsidP="00E81034">
      <w:pPr>
        <w:ind w:left="567" w:right="616"/>
        <w:jc w:val="both"/>
        <w:rPr>
          <w:rFonts w:ascii="Palatino Linotype" w:hAnsi="Palatino Linotype" w:cs="Arial"/>
          <w:color w:val="000000" w:themeColor="text1"/>
          <w:lang w:val="es-ES"/>
        </w:rPr>
      </w:pPr>
      <w:r w:rsidRPr="000B7F6B">
        <w:rPr>
          <w:rFonts w:ascii="Palatino Linotype" w:hAnsi="Palatino Linotype" w:cs="Cambria"/>
          <w:i/>
          <w:iCs/>
          <w:lang w:val="es-ES_tradnl"/>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w:t>
      </w:r>
      <w:r w:rsidRPr="000B7F6B">
        <w:rPr>
          <w:rFonts w:ascii="Palatino Linotype" w:hAnsi="Palatino Linotype" w:cs="Cambria"/>
          <w:i/>
          <w:iCs/>
          <w:lang w:val="es-ES_tradnl"/>
        </w:rPr>
        <w:lastRenderedPageBreak/>
        <w:t>Transparencia, presentar solicitudes de acceso a la información y facilitar su gestión e interponer los recursos que las leyes establezcan.”</w:t>
      </w:r>
    </w:p>
    <w:p w14:paraId="4E0C7F62" w14:textId="77777777" w:rsidR="00E81034" w:rsidRPr="000B7F6B" w:rsidRDefault="00E81034" w:rsidP="00E81034">
      <w:pPr>
        <w:spacing w:line="360" w:lineRule="auto"/>
        <w:ind w:right="1"/>
        <w:jc w:val="both"/>
        <w:rPr>
          <w:rFonts w:ascii="Palatino Linotype" w:hAnsi="Palatino Linotype" w:cs="Palatino Linotype"/>
          <w:b/>
          <w:lang w:val="es-ES_tradnl"/>
        </w:rPr>
      </w:pPr>
    </w:p>
    <w:p w14:paraId="507FA865" w14:textId="77777777" w:rsidR="00E81034" w:rsidRPr="000B7F6B" w:rsidRDefault="00E81034" w:rsidP="00E81034">
      <w:pPr>
        <w:numPr>
          <w:ilvl w:val="0"/>
          <w:numId w:val="3"/>
        </w:numPr>
        <w:spacing w:line="360" w:lineRule="auto"/>
        <w:ind w:left="0" w:right="1" w:firstLine="0"/>
        <w:jc w:val="both"/>
        <w:rPr>
          <w:rFonts w:ascii="Palatino Linotype" w:hAnsi="Palatino Linotype" w:cs="Palatino Linotype"/>
          <w:b/>
          <w:lang w:val="es-ES_tradnl"/>
        </w:rPr>
      </w:pPr>
      <w:r w:rsidRPr="000B7F6B">
        <w:rPr>
          <w:rFonts w:ascii="Palatino Linotype" w:hAnsi="Palatino Linotype" w:cs="Arial"/>
          <w:color w:val="000000" w:themeColor="text1"/>
          <w:lang w:val="es-ES"/>
        </w:rPr>
        <w:t xml:space="preserve">De </w:t>
      </w:r>
      <w:r w:rsidRPr="000B7F6B">
        <w:rPr>
          <w:rFonts w:ascii="Palatino Linotype" w:hAnsi="Palatino Linotype" w:cs="Cambria"/>
          <w:color w:val="000000" w:themeColor="text1"/>
          <w:lang w:val="es-ES_tradnl"/>
        </w:rPr>
        <w:t xml:space="preserve">lo expuesto, se tiene que, la Unidad de Transparencia es la encargada de </w:t>
      </w:r>
      <w:r w:rsidRPr="000B7F6B">
        <w:rPr>
          <w:rFonts w:ascii="Palatino Linotype" w:hAnsi="Palatino Linotype" w:cs="Cambria"/>
          <w:lang w:val="es-ES_tradnl"/>
        </w:rPr>
        <w:t>recibir, tramitar y dar respuesta a las solicitudes de acceso a la información.</w:t>
      </w:r>
    </w:p>
    <w:p w14:paraId="4C6C03B5" w14:textId="77777777" w:rsidR="00E81034" w:rsidRPr="000B7F6B" w:rsidRDefault="00E81034" w:rsidP="00E81034">
      <w:pPr>
        <w:spacing w:line="360" w:lineRule="auto"/>
        <w:ind w:right="1"/>
        <w:jc w:val="both"/>
        <w:rPr>
          <w:rFonts w:ascii="Palatino Linotype" w:hAnsi="Palatino Linotype" w:cs="Palatino Linotype"/>
          <w:b/>
          <w:lang w:val="es-ES_tradnl"/>
        </w:rPr>
      </w:pPr>
    </w:p>
    <w:p w14:paraId="66D70880" w14:textId="07B5BC66" w:rsidR="00E81034" w:rsidRPr="000B7F6B" w:rsidRDefault="00E81034" w:rsidP="00E81034">
      <w:pPr>
        <w:numPr>
          <w:ilvl w:val="0"/>
          <w:numId w:val="3"/>
        </w:numPr>
        <w:spacing w:line="360" w:lineRule="auto"/>
        <w:ind w:left="0" w:right="1" w:firstLine="0"/>
        <w:jc w:val="both"/>
        <w:rPr>
          <w:rFonts w:ascii="Palatino Linotype" w:hAnsi="Palatino Linotype" w:cs="Palatino Linotype"/>
          <w:b/>
          <w:lang w:val="es-ES_tradnl"/>
        </w:rPr>
      </w:pPr>
      <w:r w:rsidRPr="000B7F6B">
        <w:rPr>
          <w:rFonts w:ascii="Palatino Linotype" w:hAnsi="Palatino Linotype" w:cs="Arial"/>
          <w:color w:val="000000" w:themeColor="text1"/>
          <w:lang w:val="es-ES"/>
        </w:rPr>
        <w:t xml:space="preserve">En este sentido, se advierte que, </w:t>
      </w:r>
      <w:r w:rsidRPr="000B7F6B">
        <w:rPr>
          <w:rFonts w:ascii="Palatino Linotype" w:eastAsia="MS Mincho" w:hAnsi="Palatino Linotype" w:cs="Cambria"/>
          <w:lang w:val="es-ES_tradnl"/>
        </w:rPr>
        <w:t xml:space="preserve">el </w:t>
      </w:r>
      <w:r w:rsidRPr="000B7F6B">
        <w:rPr>
          <w:rFonts w:ascii="Palatino Linotype" w:eastAsia="MS Mincho" w:hAnsi="Palatino Linotype" w:cs="Cambria"/>
          <w:b/>
          <w:lang w:val="es-ES_tradnl"/>
        </w:rPr>
        <w:t>SUJETO OBLIGADO</w:t>
      </w:r>
      <w:r w:rsidRPr="000B7F6B">
        <w:rPr>
          <w:rFonts w:ascii="Palatino Linotype" w:eastAsia="MS Mincho" w:hAnsi="Palatino Linotype" w:cs="Cambria"/>
          <w:lang w:val="es-ES_tradnl"/>
        </w:rPr>
        <w:t xml:space="preserve"> no cumplió con el procedimiento de búsqueda exhaustiva y razonable, pues no gestionó la solicitud de información en todas las unidades en donde </w:t>
      </w:r>
      <w:r w:rsidRPr="000B7F6B">
        <w:rPr>
          <w:rFonts w:ascii="Palatino Linotype" w:eastAsia="MS Mincho" w:hAnsi="Palatino Linotype" w:cs="Cambria"/>
          <w:u w:val="single"/>
          <w:lang w:val="es-ES_tradnl"/>
        </w:rPr>
        <w:t>pudiera</w:t>
      </w:r>
      <w:r w:rsidRPr="000B7F6B">
        <w:rPr>
          <w:rFonts w:ascii="Palatino Linotype" w:eastAsia="MS Mincho" w:hAnsi="Palatino Linotype" w:cs="Cambria"/>
          <w:lang w:val="es-ES_tradnl"/>
        </w:rPr>
        <w:t xml:space="preserve"> obrar la información requerida.</w:t>
      </w:r>
    </w:p>
    <w:p w14:paraId="626DF6DB" w14:textId="77777777" w:rsidR="00E81034" w:rsidRPr="000B7F6B" w:rsidRDefault="00E81034" w:rsidP="00E81034">
      <w:pPr>
        <w:rPr>
          <w:rFonts w:ascii="Palatino Linotype" w:hAnsi="Palatino Linotype" w:cs="Palatino Linotype"/>
          <w:bCs/>
        </w:rPr>
      </w:pPr>
    </w:p>
    <w:p w14:paraId="56596089" w14:textId="7C794578" w:rsidR="00E81034" w:rsidRPr="000B7F6B" w:rsidRDefault="00E81034" w:rsidP="00E81034">
      <w:pPr>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Palatino Linotype"/>
          <w:bCs/>
        </w:rPr>
        <w:t>Así, resulta conveniente referir que el Reglamento Interior del Ayuntamiento de Toluca, en su artículo 3.2 señala que, para la consulta, estudio, planeación y despacho de los asuntos en los diversos ramos de la administración pública municipal, el presidente municipal se regirá por la Constitución Federal, la Constitución Estatal, la Ley Orgánica Municipal, el Bando Municipal y se auxiliará de la Secretaría del Ayuntamiento y de las siguientes dependencias:</w:t>
      </w:r>
    </w:p>
    <w:p w14:paraId="21A714A4"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1. Tesorería Municipal; </w:t>
      </w:r>
    </w:p>
    <w:p w14:paraId="341612BD"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2. Contraloría; </w:t>
      </w:r>
    </w:p>
    <w:p w14:paraId="3377A6F8"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3. Dirección General de Gobierno; </w:t>
      </w:r>
    </w:p>
    <w:p w14:paraId="7D3C7E4F" w14:textId="77777777" w:rsidR="00E81034" w:rsidRPr="000B7F6B" w:rsidRDefault="00E81034" w:rsidP="00E81034">
      <w:pPr>
        <w:tabs>
          <w:tab w:val="left" w:pos="1140"/>
        </w:tabs>
        <w:ind w:left="567" w:right="1"/>
        <w:jc w:val="both"/>
        <w:rPr>
          <w:rFonts w:ascii="Palatino Linotype" w:hAnsi="Palatino Linotype" w:cs="Palatino Linotype"/>
          <w:b/>
        </w:rPr>
      </w:pPr>
      <w:r w:rsidRPr="000B7F6B">
        <w:rPr>
          <w:rFonts w:ascii="Palatino Linotype" w:hAnsi="Palatino Linotype" w:cs="Palatino Linotype"/>
          <w:b/>
        </w:rPr>
        <w:t xml:space="preserve">4. Dirección General de Seguridad y Protección; </w:t>
      </w:r>
    </w:p>
    <w:p w14:paraId="21C623F2" w14:textId="77777777" w:rsidR="00E81034" w:rsidRPr="000B7F6B" w:rsidRDefault="00E81034" w:rsidP="00E81034">
      <w:pPr>
        <w:tabs>
          <w:tab w:val="left" w:pos="1140"/>
        </w:tabs>
        <w:ind w:left="567" w:right="1"/>
        <w:jc w:val="both"/>
        <w:rPr>
          <w:rFonts w:ascii="Palatino Linotype" w:hAnsi="Palatino Linotype" w:cs="Palatino Linotype"/>
          <w:b/>
        </w:rPr>
      </w:pPr>
      <w:r w:rsidRPr="000B7F6B">
        <w:rPr>
          <w:rFonts w:ascii="Palatino Linotype" w:hAnsi="Palatino Linotype" w:cs="Palatino Linotype"/>
          <w:b/>
        </w:rPr>
        <w:t xml:space="preserve">5. Dirección General de Administración; </w:t>
      </w:r>
    </w:p>
    <w:p w14:paraId="2A3A2107"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6. Dirección General de Medio Ambiente; </w:t>
      </w:r>
    </w:p>
    <w:p w14:paraId="2D86F838"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7. Dirección General de Servicios Públicos; </w:t>
      </w:r>
    </w:p>
    <w:p w14:paraId="024FDA6F"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8. Dirección General de Desarrollo Urbano, Ordenamiento Territorial y Obras Públicas; </w:t>
      </w:r>
    </w:p>
    <w:p w14:paraId="3BD8E0D8" w14:textId="77777777"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 xml:space="preserve">9. Dirección General de Desarrollo Económico; y </w:t>
      </w:r>
    </w:p>
    <w:p w14:paraId="536AFCD6" w14:textId="4C7B9390" w:rsidR="00E81034" w:rsidRPr="000B7F6B" w:rsidRDefault="00E81034" w:rsidP="00E81034">
      <w:pPr>
        <w:tabs>
          <w:tab w:val="left" w:pos="1140"/>
        </w:tabs>
        <w:ind w:left="567" w:right="1"/>
        <w:jc w:val="both"/>
        <w:rPr>
          <w:rFonts w:ascii="Palatino Linotype" w:hAnsi="Palatino Linotype" w:cs="Palatino Linotype"/>
          <w:bCs/>
        </w:rPr>
      </w:pPr>
      <w:r w:rsidRPr="000B7F6B">
        <w:rPr>
          <w:rFonts w:ascii="Palatino Linotype" w:hAnsi="Palatino Linotype" w:cs="Palatino Linotype"/>
          <w:bCs/>
        </w:rPr>
        <w:t>10. Dirección General de Desarrollo Social.</w:t>
      </w:r>
    </w:p>
    <w:p w14:paraId="381781FE" w14:textId="77777777" w:rsidR="00E81034" w:rsidRPr="000B7F6B" w:rsidRDefault="00E81034" w:rsidP="00E81034">
      <w:pPr>
        <w:spacing w:line="360" w:lineRule="auto"/>
        <w:ind w:right="1"/>
        <w:jc w:val="both"/>
        <w:rPr>
          <w:rFonts w:ascii="Palatino Linotype" w:hAnsi="Palatino Linotype" w:cs="Palatino Linotype"/>
          <w:bCs/>
        </w:rPr>
      </w:pPr>
    </w:p>
    <w:p w14:paraId="78E2B820" w14:textId="0F381727" w:rsidR="00E81034" w:rsidRPr="000B7F6B" w:rsidRDefault="00E81034" w:rsidP="00E81034">
      <w:pPr>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Palatino Linotype"/>
          <w:bCs/>
        </w:rPr>
        <w:t xml:space="preserve">Por su parte, el artículo </w:t>
      </w:r>
      <w:r w:rsidR="00332718" w:rsidRPr="000B7F6B">
        <w:rPr>
          <w:rFonts w:ascii="Palatino Linotype" w:hAnsi="Palatino Linotype" w:cs="Palatino Linotype"/>
          <w:bCs/>
        </w:rPr>
        <w:t>3.3</w:t>
      </w:r>
      <w:r w:rsidR="004E4A46" w:rsidRPr="000B7F6B">
        <w:rPr>
          <w:rFonts w:ascii="Palatino Linotype" w:hAnsi="Palatino Linotype" w:cs="Palatino Linotype"/>
          <w:bCs/>
        </w:rPr>
        <w:t xml:space="preserve">6 </w:t>
      </w:r>
      <w:r w:rsidR="00332718" w:rsidRPr="000B7F6B">
        <w:rPr>
          <w:rFonts w:ascii="Palatino Linotype" w:hAnsi="Palatino Linotype" w:cs="Palatino Linotype"/>
          <w:bCs/>
        </w:rPr>
        <w:t xml:space="preserve">del </w:t>
      </w:r>
      <w:r w:rsidR="0081749C" w:rsidRPr="000B7F6B">
        <w:rPr>
          <w:rFonts w:ascii="Palatino Linotype" w:hAnsi="Palatino Linotype" w:cs="Palatino Linotype"/>
          <w:bCs/>
        </w:rPr>
        <w:t>Manual</w:t>
      </w:r>
      <w:r w:rsidR="00332718" w:rsidRPr="000B7F6B">
        <w:rPr>
          <w:rFonts w:ascii="Palatino Linotype" w:hAnsi="Palatino Linotype" w:cs="Palatino Linotype"/>
          <w:bCs/>
        </w:rPr>
        <w:t xml:space="preserve"> de Organización de </w:t>
      </w:r>
      <w:r w:rsidR="0081749C" w:rsidRPr="000B7F6B">
        <w:rPr>
          <w:rFonts w:ascii="Palatino Linotype" w:hAnsi="Palatino Linotype" w:cs="Palatino Linotype"/>
          <w:bCs/>
        </w:rPr>
        <w:t>Organización de la Dirección General de Seguridad y Protección, establece lo siguiente:</w:t>
      </w:r>
    </w:p>
    <w:p w14:paraId="7294A11A" w14:textId="68347651" w:rsidR="004E4A46" w:rsidRPr="000B7F6B" w:rsidRDefault="004E4A46" w:rsidP="004E4A46">
      <w:pPr>
        <w:ind w:right="1"/>
        <w:jc w:val="center"/>
        <w:rPr>
          <w:rFonts w:ascii="Palatino Linotype" w:hAnsi="Palatino Linotype" w:cs="Palatino Linotype"/>
          <w:b/>
          <w:i/>
          <w:iCs/>
        </w:rPr>
      </w:pPr>
      <w:r w:rsidRPr="000B7F6B">
        <w:rPr>
          <w:rFonts w:ascii="Palatino Linotype" w:hAnsi="Palatino Linotype" w:cs="Palatino Linotype"/>
          <w:b/>
          <w:i/>
          <w:iCs/>
        </w:rPr>
        <w:lastRenderedPageBreak/>
        <w:t>DIRECCIÓN DE DESARROLLO POLICIAL</w:t>
      </w:r>
    </w:p>
    <w:p w14:paraId="3FABE0BC" w14:textId="77777777" w:rsidR="004E4A46" w:rsidRPr="000B7F6B" w:rsidRDefault="004E4A46" w:rsidP="004E4A46">
      <w:pPr>
        <w:ind w:right="1"/>
        <w:jc w:val="center"/>
        <w:rPr>
          <w:rFonts w:ascii="Palatino Linotype" w:hAnsi="Palatino Linotype" w:cs="Palatino Linotype"/>
          <w:b/>
          <w:i/>
          <w:iCs/>
        </w:rPr>
      </w:pPr>
    </w:p>
    <w:p w14:paraId="127D4907" w14:textId="08FCA75E" w:rsidR="004E4A46" w:rsidRPr="000B7F6B" w:rsidRDefault="004E4A46" w:rsidP="004E4A46">
      <w:pPr>
        <w:ind w:left="567" w:right="567"/>
        <w:jc w:val="both"/>
        <w:rPr>
          <w:rFonts w:ascii="Palatino Linotype" w:hAnsi="Palatino Linotype" w:cs="Palatino Linotype"/>
          <w:b/>
          <w:i/>
          <w:iCs/>
        </w:rPr>
      </w:pPr>
      <w:r w:rsidRPr="000B7F6B">
        <w:rPr>
          <w:rFonts w:ascii="Palatino Linotype" w:hAnsi="Palatino Linotype" w:cs="Palatino Linotype"/>
          <w:b/>
          <w:i/>
          <w:iCs/>
        </w:rPr>
        <w:t xml:space="preserve">Artículo 3.36. </w:t>
      </w:r>
      <w:r w:rsidRPr="000B7F6B">
        <w:rPr>
          <w:rFonts w:ascii="Palatino Linotype" w:hAnsi="Palatino Linotype" w:cs="Palatino Linotype"/>
          <w:bCs/>
          <w:i/>
          <w:iCs/>
        </w:rPr>
        <w:t>La o el titular de la Dirección de Desarrollo Policial tiene las siguientes atribuciones: Dirigir el proceso de reclutamiento, selección y evaluación de aspirantes a ingresar al Servicio Profesional de Carrera Policial;  Aplicar sanciones y medidas disciplinarias al personal docente, administrativo y alumnado de la academia que infrinja los lineamientos internos de la institución;  Proponer, instrumentar e implementar las acciones de formación inicial y profesionalización a cargo de la Comisión del Servicio Profesional de Carrera Policial, para asegurar el adecuado desempeño en todas las especialidades y jerarquías a través de conocimientos, el desarrollo y perfeccionamiento de habilidades, destrezas y aptitudes; Establecer, desarrollar y evaluar el sistema de capacitación y profesionalización de carácter obligatorio y permanente basado en los principios de legalidad, objetividad, preparación, competencia, capacidad y superación constante del personal en tareas; Proponer, presentar y realizar el Programa Rector de Formación, Capacitación y Profesionalización Policial para las y los cadetes y personal activo de los cuerpos de seguridad pública;  Proponer, programar y ejecutar un sistema de carácter obligatorio y permanente, que establezca los lineamientos que definen los procedimientos de planeación, reclutamiento, selección, certificación, formación inicial, ingreso y formación continua, así como estímulos y régimen disciplinario;  Formar parte de la Comisión del Servicio Profesional de Carrera Policial, cuando se traten asuntos de promociones y ascensos del personal operativo; y   Las demás que le asignen otros ordenamientos, el presidente municipal y la o el Director General de Seguridad y Protección.</w:t>
      </w:r>
    </w:p>
    <w:p w14:paraId="03014BA9" w14:textId="77777777" w:rsidR="00E81034" w:rsidRPr="000B7F6B" w:rsidRDefault="00E81034" w:rsidP="00E81034">
      <w:pPr>
        <w:spacing w:line="360" w:lineRule="auto"/>
        <w:ind w:right="1"/>
        <w:jc w:val="both"/>
        <w:rPr>
          <w:rFonts w:ascii="Palatino Linotype" w:hAnsi="Palatino Linotype" w:cs="Palatino Linotype"/>
          <w:b/>
          <w:bCs/>
          <w:lang w:val="es-ES_tradnl"/>
        </w:rPr>
      </w:pPr>
    </w:p>
    <w:p w14:paraId="5568D1D9" w14:textId="7D4D541D" w:rsidR="004E4A46" w:rsidRPr="000B7F6B" w:rsidRDefault="004E4A46" w:rsidP="00E81034">
      <w:pPr>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Palatino Linotype"/>
          <w:bCs/>
        </w:rPr>
        <w:t>Ahora bien, el artículo 3.33 del Manual de Organización de la Dirección General de Administración, establece lo siguiente:</w:t>
      </w:r>
    </w:p>
    <w:p w14:paraId="2F10AB43" w14:textId="66F75B09" w:rsidR="004E4A46" w:rsidRPr="000B7F6B" w:rsidRDefault="004E4A46" w:rsidP="004E4A46">
      <w:pPr>
        <w:ind w:left="567" w:right="567"/>
        <w:jc w:val="center"/>
        <w:rPr>
          <w:rFonts w:ascii="Palatino Linotype" w:hAnsi="Palatino Linotype" w:cs="Palatino Linotype"/>
          <w:b/>
          <w:i/>
          <w:iCs/>
        </w:rPr>
      </w:pPr>
      <w:r w:rsidRPr="000B7F6B">
        <w:rPr>
          <w:rFonts w:ascii="Palatino Linotype" w:hAnsi="Palatino Linotype" w:cs="Palatino Linotype"/>
          <w:b/>
          <w:i/>
          <w:iCs/>
        </w:rPr>
        <w:t>SUBSECCIÓN PRIMERA</w:t>
      </w:r>
    </w:p>
    <w:p w14:paraId="23D135FF" w14:textId="371E52D3" w:rsidR="004E4A46" w:rsidRPr="000B7F6B" w:rsidRDefault="004E4A46" w:rsidP="004E4A46">
      <w:pPr>
        <w:ind w:left="567" w:right="567"/>
        <w:jc w:val="center"/>
        <w:rPr>
          <w:rFonts w:ascii="Palatino Linotype" w:hAnsi="Palatino Linotype" w:cs="Palatino Linotype"/>
          <w:b/>
          <w:i/>
          <w:iCs/>
        </w:rPr>
      </w:pPr>
      <w:r w:rsidRPr="000B7F6B">
        <w:rPr>
          <w:rFonts w:ascii="Palatino Linotype" w:hAnsi="Palatino Linotype" w:cs="Palatino Linotype"/>
          <w:b/>
          <w:i/>
          <w:iCs/>
        </w:rPr>
        <w:t>DE LA DIRECCIÓN DE RECURSOS HUMANOS</w:t>
      </w:r>
    </w:p>
    <w:p w14:paraId="215C318F" w14:textId="77777777" w:rsidR="004E4A46" w:rsidRPr="000B7F6B" w:rsidRDefault="004E4A46" w:rsidP="004E4A46">
      <w:pPr>
        <w:ind w:left="567" w:right="567"/>
        <w:jc w:val="center"/>
        <w:rPr>
          <w:rFonts w:ascii="Palatino Linotype" w:hAnsi="Palatino Linotype" w:cs="Palatino Linotype"/>
          <w:b/>
          <w:i/>
          <w:iCs/>
        </w:rPr>
      </w:pPr>
    </w:p>
    <w:p w14:paraId="13FEEC0B" w14:textId="697B37F3" w:rsidR="004E4A46" w:rsidRPr="000B7F6B" w:rsidRDefault="004E4A46" w:rsidP="004E4A46">
      <w:pPr>
        <w:ind w:left="567" w:right="567"/>
        <w:jc w:val="both"/>
        <w:rPr>
          <w:rFonts w:ascii="Palatino Linotype" w:hAnsi="Palatino Linotype" w:cs="Palatino Linotype"/>
          <w:bCs/>
          <w:i/>
          <w:iCs/>
        </w:rPr>
      </w:pPr>
      <w:r w:rsidRPr="000B7F6B">
        <w:rPr>
          <w:rFonts w:ascii="Palatino Linotype" w:hAnsi="Palatino Linotype" w:cs="Palatino Linotype"/>
          <w:b/>
          <w:i/>
          <w:iCs/>
        </w:rPr>
        <w:t>Artículo 3.33.</w:t>
      </w:r>
      <w:r w:rsidRPr="000B7F6B">
        <w:rPr>
          <w:rFonts w:ascii="Palatino Linotype" w:hAnsi="Palatino Linotype" w:cs="Palatino Linotype"/>
          <w:bCs/>
          <w:i/>
          <w:iCs/>
        </w:rPr>
        <w:t xml:space="preserve"> La o el titular de la Dirección de Recursos Humanos cuenta con las siguientes atribuciones:  </w:t>
      </w:r>
      <w:r w:rsidRPr="000B7F6B">
        <w:rPr>
          <w:rFonts w:ascii="Palatino Linotype" w:hAnsi="Palatino Linotype" w:cs="Palatino Linotype"/>
          <w:b/>
          <w:i/>
          <w:iCs/>
        </w:rPr>
        <w:t>I. Elaborar, operar y mejorar los procedimientos administrativos para la selección, reclutamiento, contratación, escalafón, inducción, evaluación del desempeño, capacitación, baja, comisión, licencias prejubilatorias, y desarrollo del personal al servicio del Municipio de acuerdo a lo dispuesto en la normatividad aplicable;</w:t>
      </w:r>
      <w:r w:rsidRPr="000B7F6B">
        <w:rPr>
          <w:rFonts w:ascii="Palatino Linotype" w:hAnsi="Palatino Linotype" w:cs="Palatino Linotype"/>
          <w:bCs/>
          <w:i/>
          <w:iCs/>
        </w:rPr>
        <w:t xml:space="preserve">  II. Vigilar que se cumplan las disposiciones en materia de trabajo, seguridad e </w:t>
      </w:r>
      <w:r w:rsidRPr="000B7F6B">
        <w:rPr>
          <w:rFonts w:ascii="Palatino Linotype" w:hAnsi="Palatino Linotype" w:cs="Palatino Linotype"/>
          <w:bCs/>
          <w:i/>
          <w:iCs/>
        </w:rPr>
        <w:lastRenderedPageBreak/>
        <w:t>higiene, igualdad laboral, así como las demás normas aplicables a la institución respecto de los derechos y obligaciones del personal; III. Garantizar que no se soliciten documentos que se consideren discriminatorios, como condicionantes para la contratación del personal; IV. Aplicar las disposiciones legales laborales que rigen al personal del Ayuntamiento; V. Registrar, controlar y dar seguimiento a los movimientos de personal como, altas, reingresos, bajas, remociones, renuncias, retiro, cambios de categoría y adscripción, promociones, comisiones, entre otras;</w:t>
      </w:r>
    </w:p>
    <w:p w14:paraId="0ED43344" w14:textId="77777777" w:rsidR="004E4A46" w:rsidRPr="000B7F6B" w:rsidRDefault="004E4A46" w:rsidP="004E4A46">
      <w:pPr>
        <w:spacing w:line="360" w:lineRule="auto"/>
        <w:ind w:right="1"/>
        <w:jc w:val="both"/>
        <w:rPr>
          <w:rFonts w:ascii="Palatino Linotype" w:hAnsi="Palatino Linotype" w:cs="Palatino Linotype"/>
          <w:bCs/>
        </w:rPr>
      </w:pPr>
    </w:p>
    <w:p w14:paraId="3C4206FE" w14:textId="4C8B3A2F" w:rsidR="006A126A" w:rsidRPr="000B7F6B" w:rsidRDefault="006A126A" w:rsidP="006A126A">
      <w:pPr>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Palatino Linotype"/>
          <w:bCs/>
        </w:rPr>
        <w:t xml:space="preserve">Ahora bien, correlativo a lo anterior, resulta conveniente señalar que el artículo 22 Bis de la Ley de Seguridad del Estado de México, precisa que para ocupar el cargo de Director de Seguridad Pública Municipal o equivalente, se deberá satisfacer los siguientes requisitos: </w:t>
      </w:r>
    </w:p>
    <w:p w14:paraId="144400F5" w14:textId="77777777" w:rsidR="006A126A" w:rsidRPr="000B7F6B" w:rsidRDefault="006A126A" w:rsidP="006A126A">
      <w:pPr>
        <w:spacing w:line="360" w:lineRule="auto"/>
        <w:ind w:right="1"/>
        <w:jc w:val="both"/>
        <w:rPr>
          <w:rFonts w:ascii="Palatino Linotype" w:hAnsi="Palatino Linotype" w:cs="Palatino Linotype"/>
          <w:bCs/>
        </w:rPr>
      </w:pPr>
    </w:p>
    <w:p w14:paraId="1C03E19E" w14:textId="77777777" w:rsidR="006A126A" w:rsidRPr="000B7F6B" w:rsidRDefault="006A126A" w:rsidP="006A126A">
      <w:pPr>
        <w:pStyle w:val="typographytext-defaultp3oty"/>
        <w:shd w:val="clear" w:color="auto" w:fill="FFFFFF"/>
        <w:spacing w:before="0" w:beforeAutospacing="0" w:after="360" w:afterAutospacing="0"/>
        <w:ind w:left="567" w:right="567"/>
        <w:rPr>
          <w:rFonts w:ascii="Palatino Linotype" w:hAnsi="Palatino Linotype" w:cs="Arial"/>
          <w:i/>
          <w:color w:val="333333"/>
        </w:rPr>
      </w:pPr>
      <w:r w:rsidRPr="000B7F6B">
        <w:rPr>
          <w:rFonts w:ascii="Palatino Linotype" w:hAnsi="Palatino Linotype" w:cs="Arial"/>
          <w:i/>
          <w:color w:val="333333"/>
        </w:rPr>
        <w:t>I. Ser ciudadano o ciudadana del Estado de México, preferentemente vecino del municipio, en pleno goce de sus derechos civiles y políticos.</w:t>
      </w:r>
    </w:p>
    <w:p w14:paraId="45301B95" w14:textId="5BF332B4" w:rsidR="006A126A" w:rsidRPr="000B7F6B" w:rsidRDefault="006A126A" w:rsidP="006A126A">
      <w:pPr>
        <w:pStyle w:val="typographytext-defaultp3oty"/>
        <w:shd w:val="clear" w:color="auto" w:fill="FFFFFF"/>
        <w:spacing w:before="0" w:beforeAutospacing="0" w:after="360" w:afterAutospacing="0"/>
        <w:ind w:left="567" w:right="567"/>
        <w:rPr>
          <w:rFonts w:ascii="Palatino Linotype" w:hAnsi="Palatino Linotype" w:cs="Arial"/>
          <w:i/>
          <w:color w:val="333333"/>
        </w:rPr>
      </w:pPr>
      <w:r w:rsidRPr="000B7F6B">
        <w:rPr>
          <w:rFonts w:ascii="Palatino Linotype" w:hAnsi="Palatino Linotype" w:cs="Arial"/>
          <w:i/>
          <w:color w:val="333333"/>
        </w:rPr>
        <w:t>II. No estar inhabilitado o inhabilitada para desempeñar cargo, empleo, o comisión pública.</w:t>
      </w:r>
    </w:p>
    <w:p w14:paraId="619EFB51" w14:textId="77777777" w:rsidR="006A126A" w:rsidRPr="000B7F6B" w:rsidRDefault="006A126A" w:rsidP="006A126A">
      <w:pPr>
        <w:pStyle w:val="typographytext-defaultp3oty"/>
        <w:shd w:val="clear" w:color="auto" w:fill="FFFFFF"/>
        <w:spacing w:before="0" w:beforeAutospacing="0" w:after="360" w:afterAutospacing="0"/>
        <w:ind w:left="567" w:right="567"/>
        <w:rPr>
          <w:rFonts w:ascii="Palatino Linotype" w:hAnsi="Palatino Linotype" w:cs="Arial"/>
          <w:i/>
          <w:color w:val="333333"/>
        </w:rPr>
      </w:pPr>
      <w:r w:rsidRPr="000B7F6B">
        <w:rPr>
          <w:rFonts w:ascii="Palatino Linotype" w:hAnsi="Palatino Linotype" w:cs="Arial"/>
          <w:i/>
          <w:color w:val="333333"/>
        </w:rPr>
        <w:t>III. No haber sido condenado o condenada por delito doloso que amerite pena privativa de libertad.</w:t>
      </w:r>
    </w:p>
    <w:p w14:paraId="00D8F8D0" w14:textId="07331193" w:rsidR="009C7A42" w:rsidRPr="000B7F6B" w:rsidRDefault="006A126A" w:rsidP="009C7A42">
      <w:pPr>
        <w:pStyle w:val="typographytext-defaultp3oty"/>
        <w:shd w:val="clear" w:color="auto" w:fill="FFFFFF"/>
        <w:spacing w:before="0" w:beforeAutospacing="0" w:after="360" w:afterAutospacing="0"/>
        <w:ind w:left="567" w:right="567"/>
        <w:rPr>
          <w:rFonts w:ascii="Palatino Linotype" w:hAnsi="Palatino Linotype" w:cs="Arial"/>
          <w:i/>
          <w:color w:val="333333"/>
        </w:rPr>
      </w:pPr>
      <w:r w:rsidRPr="000B7F6B">
        <w:rPr>
          <w:rFonts w:ascii="Palatino Linotype" w:hAnsi="Palatino Linotype" w:cs="Arial"/>
          <w:i/>
          <w:color w:val="333333"/>
        </w:rPr>
        <w:t xml:space="preserve">IV.- </w:t>
      </w:r>
      <w:r w:rsidRPr="000B7F6B">
        <w:rPr>
          <w:rFonts w:ascii="Palatino Linotype" w:hAnsi="Palatino Linotype" w:cs="Arial"/>
          <w:b/>
          <w:i/>
          <w:color w:val="333333"/>
        </w:rPr>
        <w:t>Tener Licenciatura y preferentemente especialización en seguridad pública</w:t>
      </w:r>
      <w:r w:rsidRPr="000B7F6B">
        <w:rPr>
          <w:rFonts w:ascii="Palatino Linotype" w:hAnsi="Palatino Linotype" w:cs="Arial"/>
          <w:i/>
          <w:color w:val="333333"/>
        </w:rPr>
        <w:t>, o contar con experiencia mínima de un año en la materia.</w:t>
      </w:r>
    </w:p>
    <w:p w14:paraId="145483C4" w14:textId="6C0E6963" w:rsidR="004E4A46" w:rsidRPr="000B7F6B" w:rsidRDefault="00E81034" w:rsidP="004E4A46">
      <w:pPr>
        <w:numPr>
          <w:ilvl w:val="0"/>
          <w:numId w:val="3"/>
        </w:numPr>
        <w:spacing w:line="360" w:lineRule="auto"/>
        <w:ind w:left="0" w:right="1" w:firstLine="0"/>
        <w:jc w:val="both"/>
        <w:rPr>
          <w:rFonts w:ascii="Palatino Linotype" w:hAnsi="Palatino Linotype" w:cs="Palatino Linotype"/>
          <w:bCs/>
        </w:rPr>
      </w:pPr>
      <w:r w:rsidRPr="000B7F6B">
        <w:rPr>
          <w:rFonts w:ascii="Palatino Linotype" w:hAnsi="Palatino Linotype" w:cs="Palatino Linotype"/>
          <w:bCs/>
        </w:rPr>
        <w:t xml:space="preserve">En consecuencia, </w:t>
      </w:r>
      <w:r w:rsidRPr="000B7F6B">
        <w:rPr>
          <w:rFonts w:ascii="Palatino Linotype" w:hAnsi="Palatino Linotype" w:cs="Palatino Linotype"/>
          <w:bCs/>
          <w:lang w:val="es-ES_tradnl"/>
        </w:rPr>
        <w:t>se advierte que el</w:t>
      </w:r>
      <w:r w:rsidRPr="000B7F6B">
        <w:rPr>
          <w:rFonts w:ascii="Palatino Linotype" w:hAnsi="Palatino Linotype" w:cs="Palatino Linotype"/>
          <w:b/>
          <w:lang w:val="es-ES_tradnl"/>
        </w:rPr>
        <w:t xml:space="preserve"> SUJETO OBLIGADO </w:t>
      </w:r>
      <w:r w:rsidRPr="000B7F6B">
        <w:rPr>
          <w:rFonts w:ascii="Palatino Linotype" w:hAnsi="Palatino Linotype" w:cs="Tahoma"/>
          <w:color w:val="000000"/>
          <w:lang w:val="es-ES_tradnl"/>
        </w:rPr>
        <w:t>deberá proporcionar previa búsqueda exhaustiva y razonable y, de ser el caso en versión pública,</w:t>
      </w:r>
      <w:r w:rsidRPr="000B7F6B">
        <w:rPr>
          <w:rFonts w:ascii="Palatino Linotype" w:hAnsi="Palatino Linotype" w:cs="Tahoma"/>
          <w:b/>
          <w:color w:val="000000"/>
          <w:lang w:val="es-ES_tradnl"/>
        </w:rPr>
        <w:t xml:space="preserve"> </w:t>
      </w:r>
      <w:r w:rsidR="004E4A46" w:rsidRPr="000B7F6B">
        <w:rPr>
          <w:rFonts w:ascii="Palatino Linotype" w:hAnsi="Palatino Linotype" w:cs="Palatino Linotype"/>
          <w:b/>
        </w:rPr>
        <w:t>el o los documentos que</w:t>
      </w:r>
      <w:r w:rsidR="004E4A46" w:rsidRPr="000B7F6B">
        <w:rPr>
          <w:rFonts w:ascii="Palatino Linotype" w:hAnsi="Palatino Linotype"/>
          <w:b/>
          <w:color w:val="000000"/>
        </w:rPr>
        <w:t xml:space="preserve"> acrediten que el Director de la Academia de Policía cuenta con conocimientos en materia de Seguridad Pública, su certificado de formación inicial para policía y su certificado único policial al 14 de enero de 2026.</w:t>
      </w:r>
    </w:p>
    <w:p w14:paraId="63538187" w14:textId="77777777" w:rsidR="00E81034" w:rsidRPr="000B7F6B" w:rsidRDefault="00E81034" w:rsidP="00E81034">
      <w:pPr>
        <w:spacing w:line="360" w:lineRule="auto"/>
        <w:ind w:right="1"/>
        <w:jc w:val="both"/>
        <w:rPr>
          <w:rFonts w:ascii="Palatino Linotype" w:hAnsi="Palatino Linotype" w:cs="Palatino Linotype"/>
          <w:bCs/>
        </w:rPr>
      </w:pPr>
    </w:p>
    <w:p w14:paraId="159D04B1" w14:textId="77777777" w:rsidR="00E81034" w:rsidRPr="000B7F6B" w:rsidRDefault="00E81034" w:rsidP="00E81034">
      <w:pPr>
        <w:numPr>
          <w:ilvl w:val="0"/>
          <w:numId w:val="3"/>
        </w:numPr>
        <w:spacing w:line="360" w:lineRule="auto"/>
        <w:ind w:left="0" w:firstLine="0"/>
        <w:jc w:val="both"/>
        <w:rPr>
          <w:rFonts w:ascii="Palatino Linotype" w:hAnsi="Palatino Linotype" w:cs="Palatino Linotype"/>
          <w:color w:val="000000"/>
        </w:rPr>
      </w:pPr>
      <w:r w:rsidRPr="000B7F6B">
        <w:rPr>
          <w:rFonts w:ascii="Palatino Linotype" w:hAnsi="Palatino Linotype"/>
        </w:rPr>
        <w:lastRenderedPageBreak/>
        <w:t xml:space="preserve">Así, es importante señalar que el artículo 4, párrafo segundo de la Ley de Transparencia y Acceso a la Información Pública del Estado de México y Municipios, dispone: </w:t>
      </w:r>
    </w:p>
    <w:p w14:paraId="2D4A23E1"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w:t>
      </w:r>
      <w:r w:rsidRPr="000B7F6B">
        <w:rPr>
          <w:rFonts w:ascii="Palatino Linotype" w:hAnsi="Palatino Linotype"/>
          <w:b/>
          <w:i/>
        </w:rPr>
        <w:t>Artículo 4. …</w:t>
      </w:r>
    </w:p>
    <w:p w14:paraId="104F27E9" w14:textId="77777777" w:rsidR="00E81034" w:rsidRPr="000B7F6B" w:rsidRDefault="00E81034" w:rsidP="00E81034">
      <w:pPr>
        <w:tabs>
          <w:tab w:val="left" w:pos="426"/>
          <w:tab w:val="left" w:pos="567"/>
        </w:tabs>
        <w:ind w:left="567" w:right="565"/>
        <w:contextualSpacing/>
        <w:jc w:val="both"/>
        <w:rPr>
          <w:rFonts w:ascii="Palatino Linotype" w:hAnsi="Palatino Linotype" w:cs="Arial"/>
          <w:i/>
          <w:color w:val="000000" w:themeColor="text1"/>
          <w:lang w:val="es-ES"/>
        </w:rPr>
      </w:pPr>
      <w:r w:rsidRPr="000B7F6B">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7BADFD3" w14:textId="77777777" w:rsidR="00E81034" w:rsidRPr="000B7F6B" w:rsidRDefault="00E81034" w:rsidP="00E81034">
      <w:pPr>
        <w:tabs>
          <w:tab w:val="left" w:pos="426"/>
          <w:tab w:val="left" w:pos="567"/>
        </w:tabs>
        <w:spacing w:line="360" w:lineRule="auto"/>
        <w:contextualSpacing/>
        <w:jc w:val="both"/>
        <w:rPr>
          <w:rFonts w:ascii="Palatino Linotype" w:hAnsi="Palatino Linotype" w:cs="Arial"/>
          <w:color w:val="000000" w:themeColor="text1"/>
          <w:lang w:val="es-ES"/>
        </w:rPr>
      </w:pPr>
    </w:p>
    <w:p w14:paraId="672974BF"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cs="Arial"/>
          <w:color w:val="000000" w:themeColor="text1"/>
          <w:lang w:val="es-ES"/>
        </w:rPr>
        <w:t xml:space="preserve">De lo anterior, se desprende </w:t>
      </w:r>
      <w:r w:rsidRPr="000B7F6B">
        <w:rPr>
          <w:rFonts w:ascii="Palatino Linotype" w:hAnsi="Palatino Linotype"/>
        </w:rPr>
        <w:t xml:space="preserve">que la información generada, obtenida, adquirida, transmitida, administrada o en posesión de los Sujetos Obligados, será accesible de manera permanente a cualquier persona, privilegiando el principio de máxima publicidad de la información. </w:t>
      </w:r>
    </w:p>
    <w:p w14:paraId="3C70AE16" w14:textId="77777777" w:rsidR="00E81034" w:rsidRPr="000B7F6B" w:rsidRDefault="00E81034" w:rsidP="00E81034">
      <w:pPr>
        <w:tabs>
          <w:tab w:val="left" w:pos="426"/>
          <w:tab w:val="left" w:pos="567"/>
        </w:tabs>
        <w:spacing w:line="360" w:lineRule="auto"/>
        <w:contextualSpacing/>
        <w:jc w:val="both"/>
        <w:rPr>
          <w:rFonts w:ascii="Palatino Linotype" w:hAnsi="Palatino Linotype" w:cs="Arial"/>
          <w:color w:val="000000" w:themeColor="text1"/>
          <w:lang w:val="es-ES"/>
        </w:rPr>
      </w:pPr>
    </w:p>
    <w:p w14:paraId="49D34EA5"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4161B5B"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w:t>
      </w:r>
      <w:r w:rsidRPr="000B7F6B">
        <w:rPr>
          <w:rFonts w:ascii="Palatino Linotype" w:hAnsi="Palatino Linotype"/>
          <w:b/>
          <w:i/>
        </w:rPr>
        <w:t>Artículo 12.</w:t>
      </w:r>
      <w:r w:rsidRPr="000B7F6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4F244B13"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p>
    <w:p w14:paraId="3E60E9A6" w14:textId="77777777" w:rsidR="00E81034" w:rsidRPr="000B7F6B" w:rsidRDefault="00E81034" w:rsidP="00E81034">
      <w:pPr>
        <w:tabs>
          <w:tab w:val="left" w:pos="426"/>
          <w:tab w:val="left" w:pos="567"/>
        </w:tabs>
        <w:ind w:left="567" w:right="565"/>
        <w:contextualSpacing/>
        <w:jc w:val="both"/>
        <w:rPr>
          <w:rFonts w:ascii="Palatino Linotype" w:hAnsi="Palatino Linotype" w:cs="Arial"/>
          <w:i/>
          <w:color w:val="000000" w:themeColor="text1"/>
          <w:lang w:val="es-ES"/>
        </w:rPr>
      </w:pPr>
      <w:r w:rsidRPr="000B7F6B">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6F065AA" w14:textId="77777777" w:rsidR="00E81034" w:rsidRPr="000B7F6B" w:rsidRDefault="00E81034" w:rsidP="00E81034">
      <w:pPr>
        <w:tabs>
          <w:tab w:val="left" w:pos="426"/>
          <w:tab w:val="left" w:pos="567"/>
        </w:tabs>
        <w:spacing w:line="360" w:lineRule="auto"/>
        <w:contextualSpacing/>
        <w:jc w:val="both"/>
        <w:rPr>
          <w:rFonts w:ascii="Palatino Linotype" w:hAnsi="Palatino Linotype" w:cs="Arial"/>
          <w:color w:val="000000" w:themeColor="text1"/>
          <w:lang w:val="es-ES"/>
        </w:rPr>
      </w:pPr>
    </w:p>
    <w:p w14:paraId="6F78F4DC"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cs="Arial"/>
          <w:color w:val="000000" w:themeColor="text1"/>
          <w:lang w:val="es-ES"/>
        </w:rPr>
        <w:lastRenderedPageBreak/>
        <w:t xml:space="preserve">En síntesis, </w:t>
      </w:r>
      <w:r w:rsidRPr="000B7F6B">
        <w:rPr>
          <w:rFonts w:ascii="Palatino Linotype" w:hAnsi="Palatino Linotype"/>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w:t>
      </w:r>
    </w:p>
    <w:p w14:paraId="0E568E6A" w14:textId="77777777" w:rsidR="00E81034" w:rsidRPr="000B7F6B" w:rsidRDefault="00E81034" w:rsidP="00E81034">
      <w:pPr>
        <w:tabs>
          <w:tab w:val="left" w:pos="426"/>
          <w:tab w:val="left" w:pos="567"/>
        </w:tabs>
        <w:spacing w:line="360" w:lineRule="auto"/>
        <w:contextualSpacing/>
        <w:jc w:val="both"/>
        <w:rPr>
          <w:rFonts w:ascii="Palatino Linotype" w:hAnsi="Palatino Linotype" w:cs="Arial"/>
          <w:color w:val="000000" w:themeColor="text1"/>
          <w:lang w:val="es-ES"/>
        </w:rPr>
      </w:pPr>
    </w:p>
    <w:p w14:paraId="29A240F7"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cs="Arial"/>
          <w:color w:val="000000" w:themeColor="text1"/>
          <w:lang w:val="es-ES"/>
        </w:rPr>
        <w:t>No obstante,</w:t>
      </w:r>
      <w:r w:rsidRPr="000B7F6B">
        <w:rPr>
          <w:rFonts w:ascii="Palatino Linotype" w:hAnsi="Palatino Linotype"/>
        </w:rPr>
        <w:t xml:space="preserve"> </w:t>
      </w:r>
      <w:r w:rsidRPr="000B7F6B">
        <w:rPr>
          <w:rFonts w:ascii="Palatino Linotype" w:hAnsi="Palatino Linotype" w:cs="Palatino Linotype"/>
          <w:color w:val="000000"/>
        </w:rPr>
        <w:t>el Sujeto Obligado tiene el deber de documentar todos los actos que deriven del ejercicio de sus funciones y al mismo tiempo hacer pública la información que se les requiera y que obre en sus archivos. 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A9F31F" w14:textId="77777777" w:rsidR="00E81034" w:rsidRPr="000B7F6B" w:rsidRDefault="00E81034" w:rsidP="00E81034">
      <w:pPr>
        <w:tabs>
          <w:tab w:val="left" w:pos="426"/>
          <w:tab w:val="left" w:pos="567"/>
        </w:tabs>
        <w:spacing w:line="360" w:lineRule="auto"/>
        <w:jc w:val="both"/>
        <w:rPr>
          <w:rFonts w:ascii="Palatino Linotype" w:hAnsi="Palatino Linotype" w:cs="Arial"/>
          <w:color w:val="000000" w:themeColor="text1"/>
          <w:lang w:val="es-ES"/>
        </w:rPr>
      </w:pPr>
    </w:p>
    <w:p w14:paraId="04E0B04D"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rPr>
        <w:t xml:space="preserve">Como apoyo a lo anterior, es aplicable el Criterio 03-17, emitido por el Instituto Nacional de Transparencia, Acceso a la Información y Protección de Datos Personales, que dice: </w:t>
      </w:r>
    </w:p>
    <w:p w14:paraId="11ECEB1C"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b/>
          <w:i/>
        </w:rPr>
        <w:t>“No existe obligación de elaborar documentos ad hoc para atender las solicitudes de acceso a la información.</w:t>
      </w:r>
      <w:r w:rsidRPr="000B7F6B">
        <w:rPr>
          <w:rFonts w:ascii="Palatino Linotype" w:hAnsi="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9043F1A"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p>
    <w:p w14:paraId="42F5AF8C"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 xml:space="preserve">Resoluciones: </w:t>
      </w:r>
    </w:p>
    <w:p w14:paraId="665C654C"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lastRenderedPageBreak/>
        <w:sym w:font="Symbol" w:char="F0B7"/>
      </w:r>
      <w:r w:rsidRPr="000B7F6B">
        <w:rPr>
          <w:rFonts w:ascii="Palatino Linotype" w:hAnsi="Palatino Linotype"/>
          <w:i/>
        </w:rPr>
        <w:t xml:space="preserve"> RRA 0050/16. Instituto Nacional para la Evaluación de la Educación. 13 julio de 2016. Por unanimidad. Comisionado Ponente: Francisco Javier Acuña Llamas. </w:t>
      </w:r>
    </w:p>
    <w:p w14:paraId="01B0E2EB"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sym w:font="Symbol" w:char="F0B7"/>
      </w:r>
      <w:r w:rsidRPr="000B7F6B">
        <w:rPr>
          <w:rFonts w:ascii="Palatino Linotype" w:hAnsi="Palatino Linotype"/>
          <w:i/>
        </w:rPr>
        <w:t xml:space="preserve"> RRA 0310/16. Instituto Nacional de Transparencia, Acceso a la Información y Protección de Datos Personales. 10 de agosto de 2016. Por unanimidad. Comisionada Ponente. Areli Cano Guadiana. </w:t>
      </w:r>
    </w:p>
    <w:p w14:paraId="79FE139B" w14:textId="77777777" w:rsidR="00E81034" w:rsidRPr="000B7F6B" w:rsidRDefault="00E81034" w:rsidP="00E81034">
      <w:pPr>
        <w:tabs>
          <w:tab w:val="left" w:pos="426"/>
          <w:tab w:val="left" w:pos="567"/>
        </w:tabs>
        <w:ind w:left="567" w:right="565"/>
        <w:contextualSpacing/>
        <w:jc w:val="both"/>
        <w:rPr>
          <w:rFonts w:ascii="Palatino Linotype" w:hAnsi="Palatino Linotype" w:cs="Arial"/>
          <w:i/>
          <w:color w:val="000000" w:themeColor="text1"/>
          <w:lang w:val="es-ES"/>
        </w:rPr>
      </w:pPr>
      <w:r w:rsidRPr="000B7F6B">
        <w:rPr>
          <w:rFonts w:ascii="Palatino Linotype" w:hAnsi="Palatino Linotype"/>
          <w:i/>
        </w:rPr>
        <w:sym w:font="Symbol" w:char="F0B7"/>
      </w:r>
      <w:r w:rsidRPr="000B7F6B">
        <w:rPr>
          <w:rFonts w:ascii="Palatino Linotype" w:hAnsi="Palatino Linotype"/>
          <w:i/>
        </w:rPr>
        <w:t xml:space="preserve"> RRA 1889/16. Secretaría de Hacienda y Crédito Público. 05 de octubre de 2016. Por unanimidad. Comisionada Ponente. Ximena Puente de la Mora.”</w:t>
      </w:r>
    </w:p>
    <w:p w14:paraId="23431C87" w14:textId="77777777" w:rsidR="00E81034" w:rsidRPr="000B7F6B" w:rsidRDefault="00E81034" w:rsidP="00E81034">
      <w:pPr>
        <w:tabs>
          <w:tab w:val="left" w:pos="426"/>
          <w:tab w:val="left" w:pos="567"/>
        </w:tabs>
        <w:spacing w:line="360" w:lineRule="auto"/>
        <w:contextualSpacing/>
        <w:jc w:val="both"/>
        <w:rPr>
          <w:rFonts w:ascii="Palatino Linotype" w:hAnsi="Palatino Linotype" w:cs="Arial"/>
          <w:color w:val="000000" w:themeColor="text1"/>
          <w:lang w:val="es-ES"/>
        </w:rPr>
      </w:pPr>
    </w:p>
    <w:p w14:paraId="60AA31E5" w14:textId="77777777" w:rsidR="00E81034" w:rsidRPr="000B7F6B" w:rsidRDefault="00E81034" w:rsidP="00E81034">
      <w:pPr>
        <w:numPr>
          <w:ilvl w:val="0"/>
          <w:numId w:val="3"/>
        </w:numPr>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cs="Arial"/>
          <w:color w:val="000000" w:themeColor="text1"/>
          <w:lang w:val="es-ES"/>
        </w:rPr>
        <w:t xml:space="preserve">Asimos, </w:t>
      </w:r>
      <w:r w:rsidRPr="000B7F6B">
        <w:rPr>
          <w:rFonts w:ascii="Palatino Linotype" w:hAnsi="Palatino Linotype"/>
        </w:rPr>
        <w:t xml:space="preserve">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14:paraId="7C4909A3" w14:textId="77777777" w:rsidR="00E81034" w:rsidRPr="000B7F6B" w:rsidRDefault="00E81034" w:rsidP="00E81034">
      <w:pPr>
        <w:spacing w:line="360" w:lineRule="auto"/>
        <w:contextualSpacing/>
        <w:jc w:val="both"/>
        <w:rPr>
          <w:rFonts w:ascii="Palatino Linotype" w:hAnsi="Palatino Linotype" w:cs="Arial"/>
          <w:color w:val="000000" w:themeColor="text1"/>
          <w:lang w:val="es-ES"/>
        </w:rPr>
      </w:pPr>
    </w:p>
    <w:p w14:paraId="19039E30" w14:textId="77777777" w:rsidR="00E81034" w:rsidRPr="000B7F6B" w:rsidRDefault="00E81034" w:rsidP="00E81034">
      <w:pPr>
        <w:numPr>
          <w:ilvl w:val="0"/>
          <w:numId w:val="3"/>
        </w:numPr>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1B08D348"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b/>
          <w:i/>
        </w:rPr>
        <w:t>“Artículo 3.</w:t>
      </w:r>
      <w:r w:rsidRPr="000B7F6B">
        <w:rPr>
          <w:rFonts w:ascii="Palatino Linotype" w:hAnsi="Palatino Linotype"/>
          <w:i/>
        </w:rPr>
        <w:t xml:space="preserve"> Para los efectos de la presente Ley se entenderá por: </w:t>
      </w:r>
    </w:p>
    <w:p w14:paraId="3C9E22D6"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 xml:space="preserve">(…) </w:t>
      </w:r>
    </w:p>
    <w:p w14:paraId="19AB2FA1" w14:textId="77777777" w:rsidR="00E81034" w:rsidRPr="000B7F6B" w:rsidRDefault="00E81034" w:rsidP="00E81034">
      <w:pPr>
        <w:tabs>
          <w:tab w:val="left" w:pos="426"/>
          <w:tab w:val="left" w:pos="567"/>
        </w:tabs>
        <w:ind w:left="567" w:right="565"/>
        <w:contextualSpacing/>
        <w:jc w:val="both"/>
        <w:rPr>
          <w:rFonts w:ascii="Palatino Linotype" w:hAnsi="Palatino Linotype"/>
          <w:b/>
          <w:i/>
        </w:rPr>
      </w:pPr>
      <w:r w:rsidRPr="000B7F6B">
        <w:rPr>
          <w:rFonts w:ascii="Palatino Linotype" w:hAnsi="Palatino Linotype"/>
          <w:b/>
          <w:i/>
        </w:rPr>
        <w:t>XI. Documento:</w:t>
      </w:r>
      <w:r w:rsidRPr="000B7F6B">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w:t>
      </w:r>
      <w:r w:rsidRPr="000B7F6B">
        <w:rPr>
          <w:rFonts w:ascii="Palatino Linotype" w:hAnsi="Palatino Linotype"/>
          <w:i/>
        </w:rPr>
        <w:lastRenderedPageBreak/>
        <w:t xml:space="preserve">públicos e integrantes, sin importar su fuente o fecha de elaboración. </w:t>
      </w:r>
      <w:r w:rsidRPr="000B7F6B">
        <w:rPr>
          <w:rFonts w:ascii="Palatino Linotype" w:hAnsi="Palatino Linotype"/>
          <w:b/>
          <w:i/>
        </w:rPr>
        <w:t xml:space="preserve">Los documentos podrán estar en cualquier medio, sea escrito, impreso, sonoro, visual, electrónico, informático u holográfico; </w:t>
      </w:r>
    </w:p>
    <w:p w14:paraId="574EFCB1"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w:t>
      </w:r>
    </w:p>
    <w:p w14:paraId="0C40FDE7" w14:textId="77777777" w:rsidR="00E81034" w:rsidRPr="000B7F6B" w:rsidRDefault="00E81034" w:rsidP="00E81034">
      <w:pPr>
        <w:tabs>
          <w:tab w:val="left" w:pos="426"/>
          <w:tab w:val="left" w:pos="567"/>
        </w:tabs>
        <w:ind w:right="565"/>
        <w:jc w:val="both"/>
        <w:rPr>
          <w:rFonts w:ascii="Palatino Linotype" w:hAnsi="Palatino Linotype" w:cs="Arial"/>
          <w:i/>
          <w:color w:val="000000" w:themeColor="text1"/>
          <w:lang w:val="es-ES"/>
        </w:rPr>
      </w:pPr>
    </w:p>
    <w:p w14:paraId="3459341A" w14:textId="77777777" w:rsidR="00E81034" w:rsidRPr="000B7F6B" w:rsidRDefault="00E81034" w:rsidP="00E81034">
      <w:pPr>
        <w:numPr>
          <w:ilvl w:val="0"/>
          <w:numId w:val="3"/>
        </w:numPr>
        <w:tabs>
          <w:tab w:val="left" w:pos="426"/>
          <w:tab w:val="left" w:pos="567"/>
        </w:tabs>
        <w:spacing w:line="360" w:lineRule="auto"/>
        <w:ind w:left="0" w:firstLine="0"/>
        <w:contextualSpacing/>
        <w:jc w:val="both"/>
        <w:rPr>
          <w:rFonts w:ascii="Palatino Linotype" w:hAnsi="Palatino Linotype" w:cs="Arial"/>
          <w:color w:val="000000" w:themeColor="text1"/>
          <w:lang w:val="es-ES"/>
        </w:rPr>
      </w:pPr>
      <w:r w:rsidRPr="000B7F6B">
        <w:rPr>
          <w:rFonts w:ascii="Palatino Linotype" w:hAnsi="Palatino Linotype" w:cs="Arial"/>
          <w:color w:val="000000" w:themeColor="text1"/>
          <w:lang w:val="es-ES"/>
        </w:rPr>
        <w:t xml:space="preserve">Siendo </w:t>
      </w:r>
      <w:r w:rsidRPr="000B7F6B">
        <w:rPr>
          <w:rFonts w:ascii="Palatino Linotype" w:hAnsi="Palatino Linotype"/>
        </w:rPr>
        <w:t>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B40385C" w14:textId="77777777" w:rsidR="00E81034" w:rsidRPr="000B7F6B" w:rsidRDefault="00E81034" w:rsidP="00E81034">
      <w:pPr>
        <w:tabs>
          <w:tab w:val="left" w:pos="426"/>
          <w:tab w:val="left" w:pos="567"/>
        </w:tabs>
        <w:ind w:left="567" w:right="565"/>
        <w:contextualSpacing/>
        <w:jc w:val="both"/>
        <w:rPr>
          <w:rFonts w:ascii="Palatino Linotype" w:hAnsi="Palatino Linotype"/>
          <w:i/>
        </w:rPr>
      </w:pPr>
      <w:r w:rsidRPr="000B7F6B">
        <w:rPr>
          <w:rFonts w:ascii="Palatino Linotype" w:hAnsi="Palatino Linotype"/>
          <w:i/>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14:paraId="65A37518" w14:textId="77777777" w:rsidR="00B26155" w:rsidRPr="000B7F6B" w:rsidRDefault="00B26155" w:rsidP="00BF0DE4">
      <w:pPr>
        <w:spacing w:line="360" w:lineRule="auto"/>
        <w:jc w:val="both"/>
        <w:rPr>
          <w:rFonts w:ascii="Palatino Linotype" w:eastAsia="Palatino Linotype" w:hAnsi="Palatino Linotype" w:cs="Palatino Linotype"/>
        </w:rPr>
      </w:pPr>
    </w:p>
    <w:p w14:paraId="7B209B35" w14:textId="1285FA72" w:rsidR="00BF0DE4" w:rsidRPr="000B7F6B" w:rsidRDefault="00B26155" w:rsidP="00BF0DE4">
      <w:pPr>
        <w:spacing w:line="360" w:lineRule="auto"/>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QUINTO. De la versión pública.</w:t>
      </w:r>
    </w:p>
    <w:p w14:paraId="2C7F4468" w14:textId="38E5A24F" w:rsidR="00B26155" w:rsidRPr="000B7F6B" w:rsidRDefault="00B26155" w:rsidP="00BF0DE4">
      <w:pPr>
        <w:spacing w:line="360" w:lineRule="auto"/>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I.</w:t>
      </w:r>
      <w:r w:rsidRPr="000B7F6B">
        <w:rPr>
          <w:rFonts w:ascii="Palatino Linotype" w:eastAsia="Palatino Linotype" w:hAnsi="Palatino Linotype" w:cs="Palatino Linotype"/>
          <w:b/>
          <w:bCs/>
        </w:rPr>
        <w:tab/>
        <w:t xml:space="preserve">Nociones generales. </w:t>
      </w:r>
    </w:p>
    <w:p w14:paraId="2970232C" w14:textId="2D9F629C" w:rsidR="00B26155" w:rsidRPr="000B7F6B" w:rsidRDefault="000B7F6B"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rPr>
        <w:t>51.</w:t>
      </w:r>
      <w:r>
        <w:rPr>
          <w:rFonts w:ascii="Palatino Linotype" w:eastAsia="Palatino Linotype" w:hAnsi="Palatino Linotype" w:cs="Palatino Linotype"/>
        </w:rPr>
        <w:t xml:space="preserve"> </w:t>
      </w:r>
      <w:r w:rsidR="00B26155" w:rsidRPr="000B7F6B">
        <w:rPr>
          <w:rFonts w:ascii="Palatino Linotype" w:eastAsia="Palatino Linotype" w:hAnsi="Palatino Linotype" w:cs="Palatino Linotype"/>
        </w:rPr>
        <w:t xml:space="preserve">Ahora bien, debe destacarse, que debido a que des desconoce el contenido de la información que sea entregada es que pudiera ser el caso que contenga datos susceptibles de protegerse, así como información susceptible de clasificarse como confidencial o reservada, por lo que, el </w:t>
      </w:r>
      <w:r w:rsidR="00B26155" w:rsidRPr="000B7F6B">
        <w:rPr>
          <w:rFonts w:ascii="Palatino Linotype" w:eastAsia="Palatino Linotype" w:hAnsi="Palatino Linotype" w:cs="Palatino Linotype"/>
          <w:b/>
          <w:bCs/>
        </w:rPr>
        <w:lastRenderedPageBreak/>
        <w:t>SUJETO OBLIGADO</w:t>
      </w:r>
      <w:r w:rsidR="00B26155" w:rsidRPr="000B7F6B">
        <w:rPr>
          <w:rFonts w:ascii="Palatino Linotype" w:eastAsia="Palatino Linotype" w:hAnsi="Palatino Linotype" w:cs="Palatino Linotype"/>
        </w:rPr>
        <w:t xml:space="preserve"> deberá de hacer la adecuada versión pública, protegiendo los datos que no son susceptibles de ser proporcionados. </w:t>
      </w:r>
    </w:p>
    <w:p w14:paraId="4E021D35" w14:textId="77777777" w:rsidR="00B26155" w:rsidRPr="000B7F6B" w:rsidRDefault="00B26155" w:rsidP="00BF0DE4">
      <w:pPr>
        <w:spacing w:line="360" w:lineRule="auto"/>
        <w:jc w:val="both"/>
        <w:rPr>
          <w:rFonts w:ascii="Palatino Linotype" w:eastAsia="Palatino Linotype" w:hAnsi="Palatino Linotype" w:cs="Palatino Linotype"/>
        </w:rPr>
      </w:pPr>
    </w:p>
    <w:p w14:paraId="42276C5F" w14:textId="21CECBE5" w:rsidR="00B26155" w:rsidRPr="000B7F6B" w:rsidRDefault="00B26155" w:rsidP="000B7F6B">
      <w:pPr>
        <w:pStyle w:val="Prrafodelista"/>
        <w:numPr>
          <w:ilvl w:val="0"/>
          <w:numId w:val="12"/>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7D75447C" w14:textId="77777777" w:rsidR="00B26155" w:rsidRPr="000B7F6B" w:rsidRDefault="00B26155" w:rsidP="00B26155">
      <w:pPr>
        <w:spacing w:line="360" w:lineRule="auto"/>
        <w:ind w:right="-561"/>
        <w:jc w:val="both"/>
        <w:rPr>
          <w:rFonts w:ascii="Palatino Linotype" w:eastAsia="Palatino Linotype" w:hAnsi="Palatino Linotype" w:cs="Palatino Linotype"/>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5"/>
        <w:gridCol w:w="7375"/>
      </w:tblGrid>
      <w:tr w:rsidR="00450B89" w:rsidRPr="000B7F6B" w14:paraId="72919D75" w14:textId="77777777" w:rsidTr="000B7F6B">
        <w:tc>
          <w:tcPr>
            <w:tcW w:w="2685" w:type="dxa"/>
          </w:tcPr>
          <w:p w14:paraId="62FE0B4C" w14:textId="77777777" w:rsidR="00450B89" w:rsidRPr="000B7F6B" w:rsidRDefault="00450B89" w:rsidP="00BF0DE4">
            <w:pPr>
              <w:tabs>
                <w:tab w:val="left" w:pos="284"/>
              </w:tabs>
              <w:ind w:right="-1417"/>
              <w:rPr>
                <w:rFonts w:ascii="Palatino Linotype" w:eastAsia="Palatino Linotype" w:hAnsi="Palatino Linotype" w:cs="Palatino Linotype"/>
                <w:b/>
                <w:bCs/>
              </w:rPr>
            </w:pPr>
            <w:r w:rsidRPr="000B7F6B">
              <w:rPr>
                <w:rFonts w:ascii="Palatino Linotype" w:eastAsia="Palatino Linotype" w:hAnsi="Palatino Linotype" w:cs="Palatino Linotype"/>
                <w:b/>
                <w:bCs/>
              </w:rPr>
              <w:t>a) Requisitos previos.</w:t>
            </w:r>
          </w:p>
        </w:tc>
        <w:tc>
          <w:tcPr>
            <w:tcW w:w="7375" w:type="dxa"/>
          </w:tcPr>
          <w:p w14:paraId="47044F7B" w14:textId="77777777" w:rsidR="00450B89" w:rsidRPr="000B7F6B" w:rsidRDefault="00450B89" w:rsidP="00BF0DE4">
            <w:pPr>
              <w:tabs>
                <w:tab w:val="left" w:pos="284"/>
              </w:tabs>
              <w:ind w:right="411"/>
              <w:jc w:val="both"/>
              <w:rPr>
                <w:rFonts w:ascii="Palatino Linotype" w:eastAsia="Palatino Linotype" w:hAnsi="Palatino Linotype" w:cs="Palatino Linotype"/>
                <w:b/>
                <w:bCs/>
                <w:color w:val="000000"/>
              </w:rPr>
            </w:pPr>
            <w:r w:rsidRPr="000B7F6B">
              <w:rPr>
                <w:rFonts w:ascii="Palatino Linotype" w:eastAsia="Palatino Linotype" w:hAnsi="Palatino Linotype" w:cs="Palatino Linotype"/>
                <w:b/>
                <w:bCs/>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0B69F89B" w14:textId="77777777" w:rsidR="00450B89" w:rsidRPr="000B7F6B" w:rsidRDefault="00450B89" w:rsidP="00BF0DE4">
            <w:pPr>
              <w:tabs>
                <w:tab w:val="left" w:pos="284"/>
              </w:tabs>
              <w:ind w:right="411"/>
              <w:jc w:val="both"/>
              <w:rPr>
                <w:rFonts w:ascii="Palatino Linotype" w:eastAsia="Palatino Linotype" w:hAnsi="Palatino Linotype" w:cs="Palatino Linotype"/>
                <w:b/>
                <w:bCs/>
                <w:color w:val="000000"/>
              </w:rPr>
            </w:pPr>
            <w:r w:rsidRPr="000B7F6B">
              <w:rPr>
                <w:rFonts w:ascii="Palatino Linotype" w:eastAsia="Palatino Linotype" w:hAnsi="Palatino Linotype" w:cs="Palatino Linotype"/>
                <w:b/>
                <w:bCs/>
                <w:color w:val="000000"/>
              </w:rPr>
              <w:t>Al hacerlo tienen que precisar de qué información se trata, señalando el supuesto de clasificación (confidencialidad o reserva).</w:t>
            </w:r>
          </w:p>
          <w:p w14:paraId="7B72FA64" w14:textId="77777777" w:rsidR="00450B89" w:rsidRPr="000B7F6B" w:rsidRDefault="00450B89" w:rsidP="00BF0DE4">
            <w:pPr>
              <w:tabs>
                <w:tab w:val="left" w:pos="284"/>
              </w:tabs>
              <w:ind w:right="411"/>
              <w:jc w:val="both"/>
              <w:rPr>
                <w:rFonts w:ascii="Palatino Linotype" w:eastAsia="Palatino Linotype" w:hAnsi="Palatino Linotype" w:cs="Palatino Linotype"/>
                <w:b/>
                <w:bCs/>
                <w:color w:val="000000"/>
              </w:rPr>
            </w:pPr>
            <w:r w:rsidRPr="000B7F6B">
              <w:rPr>
                <w:rFonts w:ascii="Palatino Linotype" w:eastAsia="Palatino Linotype" w:hAnsi="Palatino Linotype" w:cs="Palatino Linotype"/>
                <w:b/>
                <w:bCs/>
                <w:color w:val="000000"/>
              </w:rPr>
              <w:t>Además, se debe señalar el procedimiento, de los tres que establecen los artículos 132 y 106 de la Ley Estatal y General, respectivamente.</w:t>
            </w:r>
          </w:p>
          <w:p w14:paraId="04FCD55A" w14:textId="77777777" w:rsidR="00450B89" w:rsidRPr="000B7F6B" w:rsidRDefault="00450B89" w:rsidP="00BF0DE4">
            <w:pPr>
              <w:tabs>
                <w:tab w:val="left" w:pos="284"/>
              </w:tabs>
              <w:ind w:right="411"/>
              <w:jc w:val="both"/>
              <w:rPr>
                <w:rFonts w:ascii="Palatino Linotype" w:eastAsia="Palatino Linotype" w:hAnsi="Palatino Linotype" w:cs="Palatino Linotype"/>
                <w:b/>
                <w:bCs/>
              </w:rPr>
            </w:pPr>
            <w:r w:rsidRPr="000B7F6B">
              <w:rPr>
                <w:rFonts w:ascii="Palatino Linotype" w:eastAsia="Palatino Linotype" w:hAnsi="Palatino Linotype" w:cs="Palatino Linotype"/>
                <w:b/>
                <w:bCs/>
                <w:color w:val="000000"/>
              </w:rPr>
              <w:t xml:space="preserve">El último de estos requisitos previos consiste en que no se pueden emitir acuerdos de carácter general ni particular, esto es, </w:t>
            </w:r>
            <w:r w:rsidRPr="000B7F6B">
              <w:rPr>
                <w:rFonts w:ascii="Palatino Linotype" w:eastAsia="Palatino Linotype" w:hAnsi="Palatino Linotype" w:cs="Palatino Linotype"/>
                <w:b/>
                <w:bCs/>
                <w:color w:val="000000"/>
                <w:u w:val="single"/>
              </w:rPr>
              <w:t>no se puede hacer un acuerdo para clasificar de manera general todos los documentos de un expediente o área, sin</w:t>
            </w:r>
            <w:r w:rsidRPr="000B7F6B">
              <w:rPr>
                <w:rFonts w:ascii="Palatino Linotype" w:eastAsia="Palatino Linotype" w:hAnsi="Palatino Linotype" w:cs="Palatino Linotype"/>
                <w:b/>
                <w:bCs/>
                <w:color w:val="000000"/>
              </w:rPr>
              <w:t xml:space="preserve"> individualizar su análisis y tampoco se puede hacer un acuerdo por cada dato que se vaya a clasificar dentro de un documento con diez datos, por ejemplo, susceptibles de ser clasificados.</w:t>
            </w:r>
          </w:p>
        </w:tc>
      </w:tr>
      <w:tr w:rsidR="00450B89" w:rsidRPr="000B7F6B" w14:paraId="14BF27CE" w14:textId="77777777" w:rsidTr="000B7F6B">
        <w:tc>
          <w:tcPr>
            <w:tcW w:w="2685" w:type="dxa"/>
          </w:tcPr>
          <w:p w14:paraId="57528172" w14:textId="77777777" w:rsidR="00450B89" w:rsidRPr="000B7F6B" w:rsidRDefault="00450B89" w:rsidP="00BF0DE4">
            <w:pPr>
              <w:tabs>
                <w:tab w:val="left" w:pos="284"/>
              </w:tabs>
              <w:ind w:right="-260"/>
              <w:rPr>
                <w:rFonts w:ascii="Palatino Linotype" w:eastAsia="Palatino Linotype" w:hAnsi="Palatino Linotype" w:cs="Palatino Linotype"/>
                <w:b/>
                <w:bCs/>
              </w:rPr>
            </w:pPr>
            <w:r w:rsidRPr="000B7F6B">
              <w:rPr>
                <w:rFonts w:ascii="Palatino Linotype" w:eastAsia="Palatino Linotype" w:hAnsi="Palatino Linotype" w:cs="Palatino Linotype"/>
                <w:b/>
                <w:bCs/>
              </w:rPr>
              <w:t>b) Supuestos de clasificación.</w:t>
            </w:r>
          </w:p>
        </w:tc>
        <w:tc>
          <w:tcPr>
            <w:tcW w:w="7375" w:type="dxa"/>
          </w:tcPr>
          <w:p w14:paraId="133CDAA4" w14:textId="77777777" w:rsidR="00450B89" w:rsidRPr="000B7F6B" w:rsidRDefault="00450B89" w:rsidP="00BF0DE4">
            <w:pPr>
              <w:tabs>
                <w:tab w:val="left" w:pos="284"/>
              </w:tabs>
              <w:ind w:right="127"/>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209C9275" w14:textId="77777777" w:rsidR="00450B89" w:rsidRPr="000B7F6B" w:rsidRDefault="00450B89" w:rsidP="00BF0DE4">
            <w:pPr>
              <w:tabs>
                <w:tab w:val="left" w:pos="284"/>
              </w:tabs>
              <w:ind w:right="127"/>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1AB53EB" w14:textId="77777777" w:rsidR="00450B89" w:rsidRPr="000B7F6B" w:rsidRDefault="00450B89" w:rsidP="00BF0DE4">
            <w:pPr>
              <w:tabs>
                <w:tab w:val="left" w:pos="284"/>
              </w:tabs>
              <w:ind w:right="127"/>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 xml:space="preserve">El </w:t>
            </w:r>
            <w:r w:rsidRPr="000B7F6B">
              <w:rPr>
                <w:rFonts w:ascii="Palatino Linotype" w:eastAsia="Palatino Linotype" w:hAnsi="Palatino Linotype" w:cs="Palatino Linotype"/>
                <w:b/>
                <w:bCs/>
                <w:color w:val="000000"/>
              </w:rPr>
              <w:t>Sujeto Obligado</w:t>
            </w:r>
            <w:r w:rsidRPr="000B7F6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50B89" w:rsidRPr="000B7F6B" w14:paraId="7AE64A5B" w14:textId="77777777" w:rsidTr="000B7F6B">
        <w:tc>
          <w:tcPr>
            <w:tcW w:w="2685" w:type="dxa"/>
          </w:tcPr>
          <w:p w14:paraId="0466BD9E" w14:textId="77777777" w:rsidR="00450B89" w:rsidRPr="000B7F6B" w:rsidRDefault="00450B89" w:rsidP="00BF0DE4">
            <w:pPr>
              <w:tabs>
                <w:tab w:val="left" w:pos="284"/>
              </w:tabs>
              <w:rPr>
                <w:rFonts w:ascii="Palatino Linotype" w:eastAsia="Palatino Linotype" w:hAnsi="Palatino Linotype" w:cs="Palatino Linotype"/>
                <w:b/>
                <w:bCs/>
              </w:rPr>
            </w:pPr>
            <w:r w:rsidRPr="000B7F6B">
              <w:rPr>
                <w:rFonts w:ascii="Palatino Linotype" w:eastAsia="Palatino Linotype" w:hAnsi="Palatino Linotype" w:cs="Palatino Linotype"/>
                <w:b/>
                <w:bCs/>
              </w:rPr>
              <w:lastRenderedPageBreak/>
              <w:t>c) Formalidades para emitir el acuerdo de clasificación.</w:t>
            </w:r>
          </w:p>
        </w:tc>
        <w:tc>
          <w:tcPr>
            <w:tcW w:w="7375" w:type="dxa"/>
          </w:tcPr>
          <w:p w14:paraId="7484F737" w14:textId="77777777" w:rsidR="00450B89" w:rsidRPr="000B7F6B" w:rsidRDefault="00450B89" w:rsidP="00BF0DE4">
            <w:pPr>
              <w:tabs>
                <w:tab w:val="left" w:pos="284"/>
              </w:tabs>
              <w:ind w:right="269"/>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2C0CE840" w14:textId="77777777" w:rsidR="00450B89" w:rsidRPr="000B7F6B" w:rsidRDefault="00450B89" w:rsidP="00BF0DE4">
            <w:pPr>
              <w:tabs>
                <w:tab w:val="left" w:pos="284"/>
              </w:tabs>
              <w:ind w:right="269"/>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Es necesario que </w:t>
            </w:r>
            <w:r w:rsidRPr="000B7F6B">
              <w:rPr>
                <w:rFonts w:ascii="Palatino Linotype" w:eastAsia="Palatino Linotype" w:hAnsi="Palatino Linotype" w:cs="Palatino Linotype"/>
                <w:b/>
                <w:bCs/>
                <w:color w:val="000000"/>
                <w:u w:val="single"/>
              </w:rPr>
              <w:t>el acto reúna con los requisitos elementales</w:t>
            </w:r>
            <w:r w:rsidRPr="000B7F6B">
              <w:rPr>
                <w:rFonts w:ascii="Palatino Linotype" w:eastAsia="Palatino Linotype" w:hAnsi="Palatino Linotype" w:cs="Palatino Linotype"/>
                <w:color w:val="000000"/>
              </w:rPr>
              <w:t>, entre ellos, que la autoridad que va a emitir el acto de autoridad sea la legalmente facultada para ello.</w:t>
            </w:r>
          </w:p>
          <w:p w14:paraId="0636AF0D" w14:textId="77777777" w:rsidR="00450B89" w:rsidRPr="000B7F6B" w:rsidRDefault="00450B89" w:rsidP="00BF0DE4">
            <w:pPr>
              <w:tabs>
                <w:tab w:val="left" w:pos="284"/>
              </w:tabs>
              <w:ind w:right="269"/>
              <w:jc w:val="both"/>
              <w:rPr>
                <w:rFonts w:ascii="Palatino Linotype" w:eastAsia="Palatino Linotype" w:hAnsi="Palatino Linotype" w:cs="Palatino Linotype"/>
              </w:rPr>
            </w:pPr>
            <w:r w:rsidRPr="000B7F6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50B89" w:rsidRPr="000B7F6B" w14:paraId="05ADC228" w14:textId="77777777" w:rsidTr="000B7F6B">
        <w:tc>
          <w:tcPr>
            <w:tcW w:w="2685" w:type="dxa"/>
          </w:tcPr>
          <w:p w14:paraId="6FBF6D95" w14:textId="77777777" w:rsidR="00450B89" w:rsidRPr="000B7F6B" w:rsidRDefault="00450B89" w:rsidP="00BF0DE4">
            <w:pPr>
              <w:tabs>
                <w:tab w:val="left" w:pos="284"/>
              </w:tabs>
              <w:ind w:right="-119"/>
              <w:rPr>
                <w:rFonts w:ascii="Palatino Linotype" w:eastAsia="Palatino Linotype" w:hAnsi="Palatino Linotype" w:cs="Palatino Linotype"/>
                <w:b/>
                <w:bCs/>
              </w:rPr>
            </w:pPr>
          </w:p>
          <w:p w14:paraId="1DDBD5F5" w14:textId="77777777" w:rsidR="00450B89" w:rsidRPr="000B7F6B" w:rsidRDefault="00450B89" w:rsidP="00BF0DE4">
            <w:pPr>
              <w:tabs>
                <w:tab w:val="left" w:pos="284"/>
              </w:tabs>
              <w:ind w:right="-119"/>
              <w:jc w:val="both"/>
              <w:rPr>
                <w:rFonts w:ascii="Palatino Linotype" w:eastAsia="Palatino Linotype" w:hAnsi="Palatino Linotype" w:cs="Palatino Linotype"/>
                <w:b/>
                <w:bCs/>
              </w:rPr>
            </w:pPr>
            <w:r w:rsidRPr="000B7F6B">
              <w:rPr>
                <w:rFonts w:ascii="Palatino Linotype" w:eastAsia="Palatino Linotype" w:hAnsi="Palatino Linotype" w:cs="Palatino Linotype"/>
                <w:b/>
                <w:bCs/>
                <w:color w:val="000000"/>
              </w:rPr>
              <w:t xml:space="preserve">d) Requisitos de fondo del acuerdo de clasificación. </w:t>
            </w:r>
          </w:p>
        </w:tc>
        <w:tc>
          <w:tcPr>
            <w:tcW w:w="7375" w:type="dxa"/>
          </w:tcPr>
          <w:p w14:paraId="15ABCFFA"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w:t>
            </w:r>
            <w:r w:rsidRPr="000B7F6B">
              <w:rPr>
                <w:rFonts w:ascii="Palatino Linotype" w:eastAsia="Palatino Linotype" w:hAnsi="Palatino Linotype" w:cs="Palatino Linotype"/>
                <w:color w:val="000000"/>
              </w:rPr>
              <w:lastRenderedPageBreak/>
              <w:t xml:space="preserve">las restricciones, corresponde a los </w:t>
            </w:r>
            <w:r w:rsidRPr="000B7F6B">
              <w:rPr>
                <w:rFonts w:ascii="Palatino Linotype" w:eastAsia="Palatino Linotype" w:hAnsi="Palatino Linotype" w:cs="Palatino Linotype"/>
                <w:b/>
                <w:bCs/>
                <w:color w:val="000000"/>
              </w:rPr>
              <w:t>Sujetos Obligados</w:t>
            </w:r>
            <w:r w:rsidRPr="000B7F6B">
              <w:rPr>
                <w:rFonts w:ascii="Palatino Linotype" w:eastAsia="Palatino Linotype" w:hAnsi="Palatino Linotype" w:cs="Palatino Linotype"/>
                <w:color w:val="000000"/>
              </w:rPr>
              <w:t xml:space="preserve">, por lo que deberán fundar y motivar debidamente la clasificación. </w:t>
            </w:r>
          </w:p>
          <w:p w14:paraId="7B567798"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De lo anterior, se desprende que para una correcta </w:t>
            </w:r>
            <w:r w:rsidRPr="000B7F6B">
              <w:rPr>
                <w:rFonts w:ascii="Palatino Linotype" w:eastAsia="Palatino Linotype" w:hAnsi="Palatino Linotype" w:cs="Palatino Linotype"/>
                <w:b/>
                <w:bCs/>
                <w:color w:val="000000"/>
              </w:rPr>
              <w:t>clasificación total o parcial</w:t>
            </w:r>
            <w:r w:rsidRPr="000B7F6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F36F0E3"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9C4193E"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33094521"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Ahora bien, </w:t>
            </w:r>
            <w:r w:rsidRPr="000B7F6B">
              <w:rPr>
                <w:rFonts w:ascii="Palatino Linotype" w:eastAsia="Palatino Linotype" w:hAnsi="Palatino Linotype" w:cs="Palatino Linotype"/>
                <w:b/>
                <w:bCs/>
                <w:color w:val="000000"/>
                <w:u w:val="single"/>
              </w:rPr>
              <w:t>para cada caso además de fundar y motivar</w:t>
            </w:r>
            <w:r w:rsidRPr="000B7F6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50B89" w:rsidRPr="000B7F6B" w14:paraId="79A67477" w14:textId="77777777" w:rsidTr="000B7F6B">
        <w:tc>
          <w:tcPr>
            <w:tcW w:w="2685" w:type="dxa"/>
          </w:tcPr>
          <w:p w14:paraId="75FE30B9" w14:textId="77777777" w:rsidR="00450B89" w:rsidRPr="000B7F6B" w:rsidRDefault="00450B89" w:rsidP="00BF0DE4">
            <w:pPr>
              <w:tabs>
                <w:tab w:val="left" w:pos="284"/>
              </w:tabs>
              <w:ind w:right="165"/>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lastRenderedPageBreak/>
              <w:t xml:space="preserve">e) Condiciones especiales de la clasificación de la información como confidencial. </w:t>
            </w:r>
          </w:p>
        </w:tc>
        <w:tc>
          <w:tcPr>
            <w:tcW w:w="7375" w:type="dxa"/>
          </w:tcPr>
          <w:p w14:paraId="33A03241"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14:paraId="23B4A3A2" w14:textId="77777777" w:rsidR="00450B89" w:rsidRPr="000B7F6B" w:rsidRDefault="00450B89" w:rsidP="00BF0DE4">
            <w:pPr>
              <w:tabs>
                <w:tab w:val="left" w:pos="284"/>
              </w:tabs>
              <w:jc w:val="both"/>
              <w:rPr>
                <w:rFonts w:ascii="Palatino Linotype" w:eastAsia="Palatino Linotype" w:hAnsi="Palatino Linotype" w:cs="Palatino Linotype"/>
                <w:color w:val="000000"/>
              </w:rPr>
            </w:pPr>
            <w:r w:rsidRPr="000B7F6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3F64448" w14:textId="77777777" w:rsidR="00450B89" w:rsidRPr="000B7F6B" w:rsidRDefault="00450B89" w:rsidP="00BF0DE4">
            <w:pPr>
              <w:tabs>
                <w:tab w:val="left" w:pos="284"/>
              </w:tabs>
              <w:rPr>
                <w:rFonts w:ascii="Palatino Linotype" w:eastAsia="Palatino Linotype" w:hAnsi="Palatino Linotype" w:cs="Palatino Linotype"/>
              </w:rPr>
            </w:pPr>
            <w:r w:rsidRPr="000B7F6B">
              <w:rPr>
                <w:rFonts w:ascii="Palatino Linotype" w:eastAsia="Palatino Linotype" w:hAnsi="Palatino Linotype" w:cs="Palatino Linotype"/>
                <w:color w:val="000000"/>
              </w:rPr>
              <w:lastRenderedPageBreak/>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5FF339AB" w14:textId="77777777" w:rsidR="00450B89" w:rsidRPr="000B7F6B" w:rsidRDefault="00450B89" w:rsidP="00B26155">
      <w:pPr>
        <w:spacing w:line="360" w:lineRule="auto"/>
        <w:ind w:right="-561"/>
        <w:jc w:val="both"/>
        <w:rPr>
          <w:rFonts w:ascii="Palatino Linotype" w:eastAsia="Palatino Linotype" w:hAnsi="Palatino Linotype" w:cs="Palatino Linotype"/>
        </w:rPr>
      </w:pPr>
    </w:p>
    <w:p w14:paraId="424985E8" w14:textId="31F8A68F" w:rsidR="00B26155" w:rsidRPr="000B7F6B" w:rsidRDefault="00B26155" w:rsidP="000B7F6B">
      <w:pPr>
        <w:pStyle w:val="Prrafodelista"/>
        <w:numPr>
          <w:ilvl w:val="0"/>
          <w:numId w:val="12"/>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9A2DF2A" w14:textId="77777777" w:rsidR="00B26155" w:rsidRPr="000B7F6B" w:rsidRDefault="00B26155" w:rsidP="00BF0DE4">
      <w:pPr>
        <w:spacing w:line="360" w:lineRule="auto"/>
        <w:jc w:val="both"/>
        <w:rPr>
          <w:rFonts w:ascii="Palatino Linotype" w:eastAsia="Palatino Linotype" w:hAnsi="Palatino Linotype" w:cs="Palatino Linotype"/>
        </w:rPr>
      </w:pPr>
    </w:p>
    <w:p w14:paraId="6D3A6404" w14:textId="7EF30179" w:rsidR="00B26155" w:rsidRPr="000B7F6B" w:rsidRDefault="00B26155" w:rsidP="000B7F6B">
      <w:pPr>
        <w:pStyle w:val="Prrafodelista"/>
        <w:numPr>
          <w:ilvl w:val="0"/>
          <w:numId w:val="12"/>
        </w:numPr>
        <w:spacing w:line="360" w:lineRule="auto"/>
        <w:ind w:left="0" w:firstLine="0"/>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Por lo anteriormente expuesto, este Órgano Garante considera parcialmente fundadas las razones o motivos de inconformidad que plantea el </w:t>
      </w:r>
      <w:r w:rsidRPr="000B7F6B">
        <w:rPr>
          <w:rFonts w:ascii="Palatino Linotype" w:eastAsia="Palatino Linotype" w:hAnsi="Palatino Linotype" w:cs="Palatino Linotype"/>
          <w:b/>
          <w:bCs/>
        </w:rPr>
        <w:t>RECURRENTE</w:t>
      </w:r>
      <w:r w:rsidRPr="000B7F6B">
        <w:rPr>
          <w:rFonts w:ascii="Palatino Linotype" w:eastAsia="Palatino Linotype" w:hAnsi="Palatino Linotype" w:cs="Palatino Linotype"/>
        </w:rPr>
        <w:t xml:space="preserve">, determinando </w:t>
      </w:r>
      <w:r w:rsidRPr="000B7F6B">
        <w:rPr>
          <w:rFonts w:ascii="Palatino Linotype" w:eastAsia="Palatino Linotype" w:hAnsi="Palatino Linotype" w:cs="Palatino Linotype"/>
          <w:b/>
          <w:bCs/>
        </w:rPr>
        <w:t>REVOCAR</w:t>
      </w:r>
      <w:r w:rsidRPr="000B7F6B">
        <w:rPr>
          <w:rFonts w:ascii="Palatino Linotype" w:eastAsia="Palatino Linotype" w:hAnsi="Palatino Linotype" w:cs="Palatino Linotype"/>
        </w:rPr>
        <w:t xml:space="preserve"> la respuesta del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0B7F6B">
        <w:rPr>
          <w:rFonts w:ascii="Palatino Linotype" w:eastAsia="Palatino Linotype" w:hAnsi="Palatino Linotype" w:cs="Palatino Linotype"/>
          <w:b/>
          <w:bCs/>
        </w:rPr>
        <w:t>ÓRGANO GARANTE</w:t>
      </w:r>
      <w:r w:rsidRPr="000B7F6B">
        <w:rPr>
          <w:rFonts w:ascii="Palatino Linotype" w:eastAsia="Palatino Linotype" w:hAnsi="Palatino Linotype" w:cs="Palatino Linotype"/>
        </w:rPr>
        <w:t xml:space="preserve"> emite los siguientes.</w:t>
      </w:r>
    </w:p>
    <w:p w14:paraId="6D879DB9" w14:textId="77777777" w:rsidR="004E4A46" w:rsidRPr="000B7F6B" w:rsidRDefault="004E4A46" w:rsidP="00F2495A">
      <w:pPr>
        <w:spacing w:line="360" w:lineRule="auto"/>
        <w:jc w:val="both"/>
        <w:rPr>
          <w:rFonts w:ascii="Palatino Linotype" w:eastAsia="Palatino Linotype" w:hAnsi="Palatino Linotype" w:cs="Palatino Linotype"/>
        </w:rPr>
      </w:pPr>
    </w:p>
    <w:p w14:paraId="741BCE68" w14:textId="77777777" w:rsidR="00B26155" w:rsidRPr="000B7F6B" w:rsidRDefault="00B26155" w:rsidP="00B26155">
      <w:pPr>
        <w:spacing w:line="360" w:lineRule="auto"/>
        <w:ind w:right="-561"/>
        <w:jc w:val="center"/>
        <w:rPr>
          <w:rFonts w:ascii="Palatino Linotype" w:eastAsia="Palatino Linotype" w:hAnsi="Palatino Linotype" w:cs="Palatino Linotype"/>
          <w:b/>
          <w:bCs/>
        </w:rPr>
      </w:pPr>
      <w:r w:rsidRPr="000B7F6B">
        <w:rPr>
          <w:rFonts w:ascii="Palatino Linotype" w:eastAsia="Palatino Linotype" w:hAnsi="Palatino Linotype" w:cs="Palatino Linotype"/>
          <w:b/>
          <w:bCs/>
        </w:rPr>
        <w:t>R E S O L U T I V O S</w:t>
      </w:r>
    </w:p>
    <w:p w14:paraId="69CA6DC8" w14:textId="77777777" w:rsidR="00B26155" w:rsidRPr="000B7F6B" w:rsidRDefault="00B26155" w:rsidP="00B26155">
      <w:pPr>
        <w:spacing w:line="360" w:lineRule="auto"/>
        <w:ind w:right="-561"/>
        <w:jc w:val="both"/>
        <w:rPr>
          <w:rFonts w:ascii="Palatino Linotype" w:eastAsia="Palatino Linotype" w:hAnsi="Palatino Linotype" w:cs="Palatino Linotype"/>
          <w:b/>
          <w:bCs/>
        </w:rPr>
      </w:pPr>
    </w:p>
    <w:p w14:paraId="15E27131" w14:textId="591622D4"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t>PRIMERO</w:t>
      </w:r>
      <w:r w:rsidRPr="000B7F6B">
        <w:rPr>
          <w:rFonts w:ascii="Palatino Linotype" w:eastAsia="Palatino Linotype" w:hAnsi="Palatino Linotype" w:cs="Palatino Linotype"/>
        </w:rPr>
        <w:t xml:space="preserve">. Resultan fundadas las razones o motivos de inconformidad hechos valer en el Recurso de Revisión </w:t>
      </w:r>
      <w:r w:rsidR="004E4A46" w:rsidRPr="000B7F6B">
        <w:rPr>
          <w:rFonts w:ascii="Palatino Linotype" w:eastAsia="Palatino Linotype" w:hAnsi="Palatino Linotype" w:cs="Palatino Linotype"/>
          <w:b/>
          <w:bCs/>
        </w:rPr>
        <w:t>01258</w:t>
      </w:r>
      <w:r w:rsidRPr="000B7F6B">
        <w:rPr>
          <w:rFonts w:ascii="Palatino Linotype" w:eastAsia="Palatino Linotype" w:hAnsi="Palatino Linotype" w:cs="Palatino Linotype"/>
          <w:b/>
          <w:bCs/>
        </w:rPr>
        <w:t>/INFOEM/IP/RR/202</w:t>
      </w:r>
      <w:r w:rsidR="004E4A46" w:rsidRPr="000B7F6B">
        <w:rPr>
          <w:rFonts w:ascii="Palatino Linotype" w:eastAsia="Palatino Linotype" w:hAnsi="Palatino Linotype" w:cs="Palatino Linotype"/>
          <w:b/>
          <w:bCs/>
        </w:rPr>
        <w:t>6</w:t>
      </w:r>
      <w:r w:rsidRPr="000B7F6B">
        <w:rPr>
          <w:rFonts w:ascii="Palatino Linotype" w:eastAsia="Palatino Linotype" w:hAnsi="Palatino Linotype" w:cs="Palatino Linotype"/>
        </w:rPr>
        <w:t xml:space="preserve">, en términos de los Considerandos Cuarto y Quinto de la presente resolución. </w:t>
      </w:r>
    </w:p>
    <w:p w14:paraId="2B1D2EFB" w14:textId="77777777" w:rsidR="00B26155" w:rsidRPr="000B7F6B" w:rsidRDefault="00B26155" w:rsidP="00BF0DE4">
      <w:pPr>
        <w:spacing w:line="360" w:lineRule="auto"/>
        <w:jc w:val="both"/>
        <w:rPr>
          <w:rFonts w:ascii="Palatino Linotype" w:eastAsia="Palatino Linotype" w:hAnsi="Palatino Linotype" w:cs="Palatino Linotype"/>
        </w:rPr>
      </w:pPr>
    </w:p>
    <w:p w14:paraId="19A02648" w14:textId="1533DE74"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lastRenderedPageBreak/>
        <w:t>SEGUNDO</w:t>
      </w:r>
      <w:r w:rsidRPr="000B7F6B">
        <w:rPr>
          <w:rFonts w:ascii="Palatino Linotype" w:eastAsia="Palatino Linotype" w:hAnsi="Palatino Linotype" w:cs="Palatino Linotype"/>
        </w:rPr>
        <w:t xml:space="preserve">. Se </w:t>
      </w:r>
      <w:r w:rsidRPr="000B7F6B">
        <w:rPr>
          <w:rFonts w:ascii="Palatino Linotype" w:eastAsia="Palatino Linotype" w:hAnsi="Palatino Linotype" w:cs="Palatino Linotype"/>
          <w:b/>
          <w:bCs/>
        </w:rPr>
        <w:t>REVOCA</w:t>
      </w:r>
      <w:r w:rsidRPr="000B7F6B">
        <w:rPr>
          <w:rFonts w:ascii="Palatino Linotype" w:eastAsia="Palatino Linotype" w:hAnsi="Palatino Linotype" w:cs="Palatino Linotype"/>
        </w:rPr>
        <w:t xml:space="preserve"> la respuesta emitida por el </w:t>
      </w:r>
      <w:r w:rsidRPr="000B7F6B">
        <w:rPr>
          <w:rFonts w:ascii="Palatino Linotype" w:eastAsia="Palatino Linotype" w:hAnsi="Palatino Linotype" w:cs="Palatino Linotype"/>
          <w:b/>
          <w:bCs/>
        </w:rPr>
        <w:t>Ayuntamiento de</w:t>
      </w:r>
      <w:r w:rsidR="00450B89" w:rsidRPr="000B7F6B">
        <w:rPr>
          <w:rFonts w:ascii="Palatino Linotype" w:eastAsia="Palatino Linotype" w:hAnsi="Palatino Linotype" w:cs="Palatino Linotype"/>
          <w:b/>
          <w:bCs/>
        </w:rPr>
        <w:t xml:space="preserve"> </w:t>
      </w:r>
      <w:r w:rsidR="004E4A46" w:rsidRPr="000B7F6B">
        <w:rPr>
          <w:rFonts w:ascii="Palatino Linotype" w:eastAsia="Palatino Linotype" w:hAnsi="Palatino Linotype" w:cs="Palatino Linotype"/>
          <w:b/>
          <w:bCs/>
        </w:rPr>
        <w:t>Toluca</w:t>
      </w:r>
      <w:r w:rsidR="00BF0DE4" w:rsidRPr="000B7F6B">
        <w:rPr>
          <w:rFonts w:ascii="Palatino Linotype" w:eastAsia="Palatino Linotype" w:hAnsi="Palatino Linotype" w:cs="Palatino Linotype"/>
        </w:rPr>
        <w:t xml:space="preserve"> </w:t>
      </w:r>
      <w:r w:rsidRPr="000B7F6B">
        <w:rPr>
          <w:rFonts w:ascii="Palatino Linotype" w:eastAsia="Palatino Linotype" w:hAnsi="Palatino Linotype" w:cs="Palatino Linotype"/>
        </w:rPr>
        <w:t xml:space="preserve">y se </w:t>
      </w:r>
      <w:r w:rsidRPr="000B7F6B">
        <w:rPr>
          <w:rFonts w:ascii="Palatino Linotype" w:eastAsia="Palatino Linotype" w:hAnsi="Palatino Linotype" w:cs="Palatino Linotype"/>
          <w:b/>
          <w:bCs/>
        </w:rPr>
        <w:t>ORDENA</w:t>
      </w:r>
      <w:r w:rsidRPr="000B7F6B">
        <w:rPr>
          <w:rFonts w:ascii="Palatino Linotype" w:eastAsia="Palatino Linotype" w:hAnsi="Palatino Linotype" w:cs="Palatino Linotype"/>
        </w:rPr>
        <w:t xml:space="preserve"> entregar vía Sistema de Acceso a la Información, en versión pública</w:t>
      </w:r>
      <w:r w:rsidR="004E4A46" w:rsidRPr="000B7F6B">
        <w:rPr>
          <w:rFonts w:ascii="Palatino Linotype" w:eastAsia="Palatino Linotype" w:hAnsi="Palatino Linotype" w:cs="Palatino Linotype"/>
        </w:rPr>
        <w:t xml:space="preserve"> de ser procedente,</w:t>
      </w:r>
      <w:r w:rsidRPr="000B7F6B">
        <w:rPr>
          <w:rFonts w:ascii="Palatino Linotype" w:eastAsia="Palatino Linotype" w:hAnsi="Palatino Linotype" w:cs="Palatino Linotype"/>
        </w:rPr>
        <w:t xml:space="preserve"> </w:t>
      </w:r>
      <w:r w:rsidR="00382448" w:rsidRPr="000B7F6B">
        <w:rPr>
          <w:rFonts w:ascii="Palatino Linotype" w:eastAsia="Palatino Linotype" w:hAnsi="Palatino Linotype" w:cs="Palatino Linotype"/>
        </w:rPr>
        <w:t>la siguiente información</w:t>
      </w:r>
      <w:r w:rsidR="004E4A46" w:rsidRPr="000B7F6B">
        <w:rPr>
          <w:rFonts w:ascii="Palatino Linotype" w:eastAsia="Palatino Linotype" w:hAnsi="Palatino Linotype" w:cs="Palatino Linotype"/>
        </w:rPr>
        <w:t xml:space="preserve"> al 14 de enero de 2026</w:t>
      </w:r>
      <w:r w:rsidR="00382448" w:rsidRPr="000B7F6B">
        <w:rPr>
          <w:rFonts w:ascii="Palatino Linotype" w:eastAsia="Palatino Linotype" w:hAnsi="Palatino Linotype" w:cs="Palatino Linotype"/>
        </w:rPr>
        <w:t>:</w:t>
      </w:r>
    </w:p>
    <w:p w14:paraId="2FE95C7E" w14:textId="77777777" w:rsidR="00B26155" w:rsidRPr="000B7F6B" w:rsidRDefault="00B26155" w:rsidP="0029594C">
      <w:pPr>
        <w:spacing w:line="360" w:lineRule="auto"/>
        <w:ind w:left="567" w:right="567"/>
        <w:jc w:val="both"/>
        <w:rPr>
          <w:rFonts w:ascii="Palatino Linotype" w:eastAsia="Palatino Linotype" w:hAnsi="Palatino Linotype" w:cs="Palatino Linotype"/>
        </w:rPr>
      </w:pPr>
    </w:p>
    <w:p w14:paraId="268E1A6D" w14:textId="030E8E30" w:rsidR="00B26155" w:rsidRPr="000B7F6B" w:rsidRDefault="00B26155" w:rsidP="0029594C">
      <w:pPr>
        <w:spacing w:line="360" w:lineRule="auto"/>
        <w:ind w:left="567" w:right="567"/>
        <w:jc w:val="both"/>
        <w:rPr>
          <w:rFonts w:ascii="Palatino Linotype" w:eastAsia="Palatino Linotype" w:hAnsi="Palatino Linotype" w:cs="Palatino Linotype"/>
          <w:b/>
          <w:bCs/>
        </w:rPr>
      </w:pPr>
      <w:r w:rsidRPr="000B7F6B">
        <w:rPr>
          <w:rFonts w:ascii="Palatino Linotype" w:eastAsia="Palatino Linotype" w:hAnsi="Palatino Linotype" w:cs="Palatino Linotype"/>
          <w:b/>
          <w:bCs/>
        </w:rPr>
        <w:t xml:space="preserve">1.- </w:t>
      </w:r>
      <w:r w:rsidR="004E4A46" w:rsidRPr="000B7F6B">
        <w:rPr>
          <w:rFonts w:ascii="Palatino Linotype" w:hAnsi="Palatino Linotype" w:cs="Palatino Linotype"/>
          <w:b/>
        </w:rPr>
        <w:t>El o los documentos que</w:t>
      </w:r>
      <w:r w:rsidR="004E4A46" w:rsidRPr="000B7F6B">
        <w:rPr>
          <w:rFonts w:ascii="Palatino Linotype" w:hAnsi="Palatino Linotype"/>
          <w:b/>
          <w:color w:val="000000"/>
        </w:rPr>
        <w:t xml:space="preserve"> acrediten que el Director de la Academia de Policía cuenta con conocimientos en materia de Seguridad Pública, su certificado de formación inicial para policía y su certificado único policial.</w:t>
      </w:r>
    </w:p>
    <w:p w14:paraId="5D6AC363" w14:textId="77777777" w:rsidR="00B26155" w:rsidRPr="000B7F6B" w:rsidRDefault="00B26155" w:rsidP="00B26155">
      <w:pPr>
        <w:spacing w:line="360" w:lineRule="auto"/>
        <w:ind w:right="-561"/>
        <w:jc w:val="both"/>
        <w:rPr>
          <w:rFonts w:ascii="Palatino Linotype" w:eastAsia="Palatino Linotype" w:hAnsi="Palatino Linotype" w:cs="Palatino Linotype"/>
        </w:rPr>
      </w:pPr>
    </w:p>
    <w:p w14:paraId="63D685FA" w14:textId="77777777"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B7F6B">
        <w:rPr>
          <w:rFonts w:ascii="Palatino Linotype" w:eastAsia="Palatino Linotype" w:hAnsi="Palatino Linotype" w:cs="Palatino Linotype"/>
          <w:b/>
          <w:bCs/>
        </w:rPr>
        <w:t>RECURRENTE.</w:t>
      </w:r>
    </w:p>
    <w:p w14:paraId="37DEBFEE" w14:textId="77777777" w:rsidR="00B26155" w:rsidRPr="000B7F6B" w:rsidRDefault="00B26155" w:rsidP="00BF0DE4">
      <w:pPr>
        <w:spacing w:line="360" w:lineRule="auto"/>
        <w:jc w:val="both"/>
        <w:rPr>
          <w:rFonts w:ascii="Palatino Linotype" w:eastAsia="Palatino Linotype" w:hAnsi="Palatino Linotype" w:cs="Palatino Linotype"/>
        </w:rPr>
      </w:pPr>
    </w:p>
    <w:p w14:paraId="7775EDD1" w14:textId="77777777"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t>TERCERO. NOTIFÍQUESE</w:t>
      </w:r>
      <w:r w:rsidRPr="000B7F6B">
        <w:rPr>
          <w:rFonts w:ascii="Palatino Linotype" w:eastAsia="Palatino Linotype" w:hAnsi="Palatino Linotype" w:cs="Palatino Linotype"/>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B7F6B">
        <w:rPr>
          <w:rFonts w:ascii="Palatino Linotype" w:eastAsia="Palatino Linotype" w:hAnsi="Palatino Linotype" w:cs="Palatino Linotype"/>
          <w:b/>
        </w:rPr>
        <w:t>dé cumplimiento a lo ordenado dentro del plazo de diez días hábiles</w:t>
      </w:r>
      <w:r w:rsidRPr="000B7F6B">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02315B66" w14:textId="77777777" w:rsidR="00B26155" w:rsidRPr="000B7F6B" w:rsidRDefault="00B26155" w:rsidP="00BF0DE4">
      <w:pPr>
        <w:spacing w:line="360" w:lineRule="auto"/>
        <w:jc w:val="both"/>
        <w:rPr>
          <w:rFonts w:ascii="Palatino Linotype" w:eastAsia="Palatino Linotype" w:hAnsi="Palatino Linotype" w:cs="Palatino Linotype"/>
          <w:b/>
          <w:bCs/>
        </w:rPr>
      </w:pPr>
    </w:p>
    <w:p w14:paraId="3A8BFDE5" w14:textId="77777777"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lastRenderedPageBreak/>
        <w:t>CUARTO.</w:t>
      </w:r>
      <w:r w:rsidRPr="000B7F6B">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0B7F6B">
        <w:rPr>
          <w:rFonts w:ascii="Palatino Linotype" w:eastAsia="Palatino Linotype" w:hAnsi="Palatino Linotype" w:cs="Palatino Linotype"/>
          <w:b/>
          <w:bCs/>
        </w:rPr>
        <w:t>SUJETO OBLIGADO</w:t>
      </w:r>
      <w:r w:rsidRPr="000B7F6B">
        <w:rPr>
          <w:rFonts w:ascii="Palatino Linotype" w:eastAsia="Palatino Linotype" w:hAnsi="Palatino Linotype" w:cs="Palatino Linotype"/>
        </w:rPr>
        <w:t xml:space="preserve"> de manera fundada y motivada, podrá solicitar una ampliación de plazo para el cumplimiento de la presente resolución.</w:t>
      </w:r>
    </w:p>
    <w:p w14:paraId="2798099F" w14:textId="77777777" w:rsidR="00B26155" w:rsidRPr="000B7F6B" w:rsidRDefault="00B26155" w:rsidP="00BF0DE4">
      <w:pPr>
        <w:spacing w:line="360" w:lineRule="auto"/>
        <w:jc w:val="both"/>
        <w:rPr>
          <w:rFonts w:ascii="Palatino Linotype" w:eastAsia="Palatino Linotype" w:hAnsi="Palatino Linotype" w:cs="Palatino Linotype"/>
        </w:rPr>
      </w:pPr>
    </w:p>
    <w:p w14:paraId="0EB5D190" w14:textId="2AEFB2E3"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t>QUINTO</w:t>
      </w:r>
      <w:r w:rsidRPr="000B7F6B">
        <w:rPr>
          <w:rFonts w:ascii="Palatino Linotype" w:eastAsia="Palatino Linotype" w:hAnsi="Palatino Linotype" w:cs="Palatino Linotype"/>
        </w:rPr>
        <w:t>. Notifíquese a</w:t>
      </w:r>
      <w:r w:rsidR="00BF0DE4" w:rsidRPr="000B7F6B">
        <w:rPr>
          <w:rFonts w:ascii="Palatino Linotype" w:eastAsia="Palatino Linotype" w:hAnsi="Palatino Linotype" w:cs="Palatino Linotype"/>
        </w:rPr>
        <w:t>l</w:t>
      </w:r>
      <w:r w:rsidRPr="000B7F6B">
        <w:rPr>
          <w:rFonts w:ascii="Palatino Linotype" w:eastAsia="Palatino Linotype" w:hAnsi="Palatino Linotype" w:cs="Palatino Linotype"/>
        </w:rPr>
        <w:t xml:space="preserve"> </w:t>
      </w:r>
      <w:r w:rsidRPr="000B7F6B">
        <w:rPr>
          <w:rFonts w:ascii="Palatino Linotype" w:eastAsia="Palatino Linotype" w:hAnsi="Palatino Linotype" w:cs="Palatino Linotype"/>
          <w:b/>
          <w:bCs/>
        </w:rPr>
        <w:t>RECURRENTE</w:t>
      </w:r>
      <w:r w:rsidRPr="000B7F6B">
        <w:rPr>
          <w:rFonts w:ascii="Palatino Linotype" w:eastAsia="Palatino Linotype" w:hAnsi="Palatino Linotype" w:cs="Palatino Linotype"/>
        </w:rPr>
        <w:t xml:space="preserve"> la presente resolución, vía </w:t>
      </w:r>
      <w:r w:rsidRPr="000B7F6B">
        <w:rPr>
          <w:rFonts w:ascii="Palatino Linotype" w:eastAsia="Palatino Linotype" w:hAnsi="Palatino Linotype" w:cs="Palatino Linotype"/>
          <w:b/>
          <w:bCs/>
        </w:rPr>
        <w:t>SAIMEX.</w:t>
      </w:r>
    </w:p>
    <w:p w14:paraId="703528A6" w14:textId="77777777" w:rsidR="00B26155" w:rsidRPr="000B7F6B" w:rsidRDefault="00B26155" w:rsidP="00BF0DE4">
      <w:pPr>
        <w:spacing w:line="360" w:lineRule="auto"/>
        <w:jc w:val="both"/>
        <w:rPr>
          <w:rFonts w:ascii="Palatino Linotype" w:eastAsia="Palatino Linotype" w:hAnsi="Palatino Linotype" w:cs="Palatino Linotype"/>
        </w:rPr>
      </w:pPr>
    </w:p>
    <w:p w14:paraId="42655001" w14:textId="77777777" w:rsidR="00B26155" w:rsidRPr="000B7F6B" w:rsidRDefault="00B26155" w:rsidP="00BF0DE4">
      <w:pPr>
        <w:spacing w:line="360" w:lineRule="auto"/>
        <w:jc w:val="both"/>
        <w:rPr>
          <w:rFonts w:ascii="Palatino Linotype" w:eastAsia="Palatino Linotype" w:hAnsi="Palatino Linotype" w:cs="Palatino Linotype"/>
        </w:rPr>
      </w:pPr>
      <w:r w:rsidRPr="000B7F6B">
        <w:rPr>
          <w:rFonts w:ascii="Palatino Linotype" w:eastAsia="Palatino Linotype" w:hAnsi="Palatino Linotype" w:cs="Palatino Linotype"/>
          <w:b/>
          <w:bCs/>
        </w:rPr>
        <w:t>SEXTO.</w:t>
      </w:r>
      <w:r w:rsidRPr="000B7F6B">
        <w:rPr>
          <w:rFonts w:ascii="Palatino Linotype" w:eastAsia="Palatino Linotype" w:hAnsi="Palatino Linotype" w:cs="Palatino Linotype"/>
        </w:rPr>
        <w:t xml:space="preserve"> Se hace del conocimiento del </w:t>
      </w:r>
      <w:r w:rsidRPr="000B7F6B">
        <w:rPr>
          <w:rFonts w:ascii="Palatino Linotype" w:eastAsia="Palatino Linotype" w:hAnsi="Palatino Linotype" w:cs="Palatino Linotype"/>
          <w:b/>
          <w:bCs/>
        </w:rPr>
        <w:t xml:space="preserve">RECURRENTE </w:t>
      </w:r>
      <w:r w:rsidRPr="000B7F6B">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43BB1F30" w14:textId="77777777" w:rsidR="00B26155" w:rsidRPr="000B7F6B" w:rsidRDefault="00B26155" w:rsidP="00BF0DE4">
      <w:pPr>
        <w:spacing w:line="360" w:lineRule="auto"/>
        <w:rPr>
          <w:rFonts w:ascii="Palatino Linotype" w:eastAsia="Palatino Linotype" w:hAnsi="Palatino Linotype" w:cs="Palatino Linotype"/>
        </w:rPr>
      </w:pPr>
    </w:p>
    <w:p w14:paraId="54848DEF" w14:textId="77777777" w:rsidR="00AE3240" w:rsidRPr="000B7F6B" w:rsidRDefault="00AE3240" w:rsidP="00AE3240">
      <w:pPr>
        <w:spacing w:before="240" w:after="240" w:line="360" w:lineRule="auto"/>
        <w:ind w:firstLine="1"/>
        <w:jc w:val="both"/>
        <w:rPr>
          <w:rFonts w:ascii="Palatino Linotype" w:hAnsi="Palatino Linotype"/>
        </w:rPr>
      </w:pPr>
      <w:bookmarkStart w:id="8" w:name="_Hlk99014733"/>
      <w:r w:rsidRPr="000B7F6B">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VEINTICINCO (25) DE JUNIO DE DOS MIL VEINTISÉIS, ANTE EL SECRETARIO TÉCNICO DEL PLENO </w:t>
      </w:r>
      <w:r w:rsidRPr="000B7F6B">
        <w:rPr>
          <w:rFonts w:ascii="Palatino Linotype" w:hAnsi="Palatino Linotype" w:cs="Palatino Linotype"/>
          <w:color w:val="000000" w:themeColor="text1"/>
        </w:rPr>
        <w:t>ALEXIS TAPIA RAMÍREZ.</w:t>
      </w:r>
    </w:p>
    <w:bookmarkEnd w:id="8"/>
    <w:p w14:paraId="5DBC96D2" w14:textId="77777777" w:rsidR="00B26155" w:rsidRPr="000B7F6B" w:rsidRDefault="00B26155" w:rsidP="00B26155">
      <w:pPr>
        <w:spacing w:line="360" w:lineRule="auto"/>
        <w:ind w:right="-561"/>
        <w:rPr>
          <w:rFonts w:ascii="Palatino Linotype" w:eastAsia="Palatino Linotype" w:hAnsi="Palatino Linotype" w:cs="Palatino Linotype"/>
        </w:rPr>
      </w:pPr>
    </w:p>
    <w:p w14:paraId="26F2D453" w14:textId="77777777" w:rsidR="00B26155" w:rsidRPr="000B7F6B" w:rsidRDefault="00B26155" w:rsidP="00B26155">
      <w:pPr>
        <w:spacing w:line="360" w:lineRule="auto"/>
        <w:ind w:right="-561"/>
        <w:rPr>
          <w:rFonts w:ascii="Palatino Linotype" w:eastAsia="Palatino Linotype" w:hAnsi="Palatino Linotype" w:cs="Palatino Linotype"/>
        </w:rPr>
      </w:pPr>
    </w:p>
    <w:p w14:paraId="4CC84C6B" w14:textId="77777777" w:rsidR="00B26155" w:rsidRPr="000B7F6B" w:rsidRDefault="00B26155" w:rsidP="00B26155">
      <w:pPr>
        <w:spacing w:line="360" w:lineRule="auto"/>
        <w:ind w:right="-561"/>
        <w:rPr>
          <w:rFonts w:ascii="Palatino Linotype" w:eastAsia="Palatino Linotype" w:hAnsi="Palatino Linotype" w:cs="Palatino Linotype"/>
        </w:rPr>
      </w:pPr>
    </w:p>
    <w:p w14:paraId="3B287DA9" w14:textId="77777777" w:rsidR="00B26155" w:rsidRPr="000B7F6B" w:rsidRDefault="00B26155" w:rsidP="00B26155">
      <w:pPr>
        <w:spacing w:line="360" w:lineRule="auto"/>
        <w:ind w:right="-561"/>
        <w:rPr>
          <w:rFonts w:ascii="Palatino Linotype" w:eastAsia="Palatino Linotype" w:hAnsi="Palatino Linotype" w:cs="Palatino Linotype"/>
        </w:rPr>
      </w:pPr>
    </w:p>
    <w:p w14:paraId="46CCEC84" w14:textId="77777777" w:rsidR="004E3EF7" w:rsidRPr="000B7F6B" w:rsidRDefault="004E3EF7">
      <w:pPr>
        <w:spacing w:line="360" w:lineRule="auto"/>
        <w:ind w:right="-561"/>
        <w:rPr>
          <w:rFonts w:ascii="Palatino Linotype" w:eastAsia="Palatino Linotype" w:hAnsi="Palatino Linotype" w:cs="Palatino Linotype"/>
        </w:rPr>
      </w:pPr>
    </w:p>
    <w:p w14:paraId="3E9A70E6" w14:textId="77777777" w:rsidR="004E3EF7" w:rsidRPr="000B7F6B" w:rsidRDefault="004E3EF7">
      <w:pPr>
        <w:spacing w:line="360" w:lineRule="auto"/>
        <w:ind w:right="-561"/>
        <w:rPr>
          <w:rFonts w:ascii="Palatino Linotype" w:eastAsia="Palatino Linotype" w:hAnsi="Palatino Linotype" w:cs="Palatino Linotype"/>
        </w:rPr>
      </w:pPr>
    </w:p>
    <w:p w14:paraId="45EA0571" w14:textId="77777777" w:rsidR="004E3EF7" w:rsidRPr="000B7F6B" w:rsidRDefault="004E3EF7">
      <w:pPr>
        <w:spacing w:line="360" w:lineRule="auto"/>
        <w:ind w:right="-561"/>
        <w:rPr>
          <w:rFonts w:ascii="Palatino Linotype" w:eastAsia="Palatino Linotype" w:hAnsi="Palatino Linotype" w:cs="Palatino Linotype"/>
        </w:rPr>
      </w:pPr>
    </w:p>
    <w:p w14:paraId="3DDF8A61" w14:textId="77777777" w:rsidR="004E3EF7" w:rsidRPr="000B7F6B" w:rsidRDefault="004E3EF7">
      <w:pPr>
        <w:spacing w:line="360" w:lineRule="auto"/>
        <w:ind w:right="-561"/>
        <w:rPr>
          <w:rFonts w:ascii="Palatino Linotype" w:eastAsia="Palatino Linotype" w:hAnsi="Palatino Linotype" w:cs="Palatino Linotype"/>
        </w:rPr>
      </w:pPr>
    </w:p>
    <w:p w14:paraId="43CC8C45" w14:textId="77777777" w:rsidR="004E3EF7" w:rsidRPr="000B7F6B" w:rsidRDefault="004E3EF7">
      <w:pPr>
        <w:spacing w:line="360" w:lineRule="auto"/>
        <w:ind w:right="-561"/>
        <w:rPr>
          <w:rFonts w:ascii="Palatino Linotype" w:eastAsia="Palatino Linotype" w:hAnsi="Palatino Linotype" w:cs="Palatino Linotype"/>
        </w:rPr>
      </w:pPr>
    </w:p>
    <w:p w14:paraId="192E1586" w14:textId="77777777" w:rsidR="004E3EF7" w:rsidRPr="000B7F6B" w:rsidRDefault="004E3EF7">
      <w:pPr>
        <w:spacing w:line="360" w:lineRule="auto"/>
        <w:ind w:right="-561"/>
        <w:rPr>
          <w:rFonts w:ascii="Palatino Linotype" w:eastAsia="Palatino Linotype" w:hAnsi="Palatino Linotype" w:cs="Palatino Linotype"/>
        </w:rPr>
      </w:pPr>
    </w:p>
    <w:p w14:paraId="17FC8315" w14:textId="77777777" w:rsidR="004E3EF7" w:rsidRPr="000B7F6B" w:rsidRDefault="004E3EF7">
      <w:pPr>
        <w:spacing w:line="360" w:lineRule="auto"/>
        <w:ind w:right="-561"/>
        <w:rPr>
          <w:rFonts w:ascii="Palatino Linotype" w:eastAsia="Palatino Linotype" w:hAnsi="Palatino Linotype" w:cs="Palatino Linotype"/>
        </w:rPr>
      </w:pPr>
    </w:p>
    <w:sectPr w:rsidR="004E3EF7" w:rsidRPr="000B7F6B" w:rsidSect="000B7F6B">
      <w:headerReference w:type="even" r:id="rId9"/>
      <w:headerReference w:type="default" r:id="rId10"/>
      <w:footerReference w:type="default" r:id="rId11"/>
      <w:headerReference w:type="first" r:id="rId12"/>
      <w:footerReference w:type="first" r:id="rId13"/>
      <w:pgSz w:w="12240" w:h="15840"/>
      <w:pgMar w:top="80" w:right="616" w:bottom="1843"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661A0D" w14:textId="77777777" w:rsidR="00287318" w:rsidRDefault="00287318">
      <w:r>
        <w:separator/>
      </w:r>
    </w:p>
  </w:endnote>
  <w:endnote w:type="continuationSeparator" w:id="0">
    <w:p w14:paraId="3307CFF0" w14:textId="77777777" w:rsidR="00287318" w:rsidRDefault="00287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06742D15-573A-47F6-A1E4-1CB80A4F88B6}"/>
    <w:embedBold r:id="rId2" w:fontKey="{89382BB1-56BC-48A5-902D-F49F980A0DF4}"/>
    <w:embedItalic r:id="rId3" w:fontKey="{70C1C6D2-4784-4776-873D-7FE25E6A4A63}"/>
    <w:embedBoldItalic r:id="rId4" w:fontKey="{13F659CB-5498-4641-AE91-525C72FE8ADC}"/>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E130F406-CDE4-4ACF-B794-0E7CA78AB3C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98A59114-786C-4D60-9A73-1A325D2B5DC6}"/>
  </w:font>
  <w:font w:name="Georgia">
    <w:panose1 w:val="02040502050405020303"/>
    <w:charset w:val="00"/>
    <w:family w:val="roman"/>
    <w:pitch w:val="variable"/>
    <w:sig w:usb0="00000287" w:usb1="00000000" w:usb2="00000000" w:usb3="00000000" w:csb0="0000009F" w:csb1="00000000"/>
    <w:embedItalic r:id="rId7" w:fontKey="{2148054A-5A0F-4723-936A-84C6C4DD577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A08C2B2C-73B8-416D-9A38-2FA6AB561D18}"/>
    <w:embedItalic r:id="rId9" w:fontKey="{90F3C3C0-5770-4195-94D7-B74D6ABBD6F2}"/>
    <w:embedBoldItalic r:id="rId10" w:fontKey="{2F7995F3-CFFB-4845-AB6E-53C48845F4F5}"/>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embedRegular r:id="rId11" w:fontKey="{2F7E53A4-ED1B-4A92-AEE6-2261FA86C664}"/>
  </w:font>
  <w:font w:name="Garamond">
    <w:panose1 w:val="02020404030301010803"/>
    <w:charset w:val="00"/>
    <w:family w:val="roman"/>
    <w:pitch w:val="variable"/>
    <w:sig w:usb0="00000287" w:usb1="00000000" w:usb2="00000000" w:usb3="00000000" w:csb0="0000009F" w:csb1="00000000"/>
    <w:embedRegular r:id="rId12" w:fontKey="{ACE7D3E7-1AA9-475B-9C0D-9942AB2D0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0D57E"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EA0176">
      <w:rPr>
        <w:rFonts w:ascii="Palatino Linotype" w:eastAsia="Palatino Linotype" w:hAnsi="Palatino Linotype" w:cs="Palatino Linotype"/>
        <w:b/>
        <w:bCs/>
        <w:noProof/>
        <w:color w:val="000000"/>
        <w:sz w:val="22"/>
        <w:szCs w:val="22"/>
      </w:rPr>
      <w:t>6</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EA0176">
      <w:rPr>
        <w:rFonts w:ascii="Palatino Linotype" w:eastAsia="Palatino Linotype" w:hAnsi="Palatino Linotype" w:cs="Palatino Linotype"/>
        <w:b/>
        <w:bCs/>
        <w:noProof/>
        <w:color w:val="000000"/>
        <w:sz w:val="22"/>
        <w:szCs w:val="22"/>
      </w:rPr>
      <w:t>26</w:t>
    </w:r>
    <w:r>
      <w:rPr>
        <w:rFonts w:ascii="Palatino Linotype" w:eastAsia="Palatino Linotype" w:hAnsi="Palatino Linotype" w:cs="Palatino Linotype"/>
        <w:b/>
        <w:bCs/>
        <w:color w:val="000000"/>
        <w:sz w:val="22"/>
        <w:szCs w:val="22"/>
      </w:rPr>
      <w:fldChar w:fldCharType="end"/>
    </w:r>
  </w:p>
  <w:p w14:paraId="263AFD25" w14:textId="77777777" w:rsidR="004E3EF7" w:rsidRDefault="004E3EF7">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C1A33" w14:textId="77777777" w:rsidR="004E3EF7" w:rsidRDefault="00F2495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EA0176">
      <w:rPr>
        <w:rFonts w:ascii="Palatino Linotype" w:eastAsia="Palatino Linotype" w:hAnsi="Palatino Linotype" w:cs="Palatino Linotype"/>
        <w:b/>
        <w:bCs/>
        <w:noProof/>
        <w:color w:val="000000"/>
        <w:sz w:val="22"/>
        <w:szCs w:val="22"/>
      </w:rPr>
      <w:t>26</w:t>
    </w:r>
    <w:r>
      <w:rPr>
        <w:rFonts w:ascii="Palatino Linotype" w:eastAsia="Palatino Linotype" w:hAnsi="Palatino Linotype" w:cs="Palatino Linotype"/>
        <w:b/>
        <w:bCs/>
        <w:color w:val="000000"/>
        <w:sz w:val="22"/>
        <w:szCs w:val="22"/>
      </w:rPr>
      <w:fldChar w:fldCharType="end"/>
    </w:r>
  </w:p>
  <w:p w14:paraId="1845EF18" w14:textId="77777777" w:rsidR="004E3EF7" w:rsidRDefault="004E3EF7">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7310E" w14:textId="77777777" w:rsidR="00287318" w:rsidRDefault="00287318">
      <w:r>
        <w:separator/>
      </w:r>
    </w:p>
  </w:footnote>
  <w:footnote w:type="continuationSeparator" w:id="0">
    <w:p w14:paraId="53AE3E75" w14:textId="77777777" w:rsidR="00287318" w:rsidRDefault="00287318">
      <w:r>
        <w:continuationSeparator/>
      </w:r>
    </w:p>
  </w:footnote>
  <w:footnote w:id="1">
    <w:p w14:paraId="7A691ECC"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14:paraId="2DCF6B6D"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14:paraId="0958FD0F"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14:paraId="35F0CE5D" w14:textId="77777777" w:rsidR="004E3EF7" w:rsidRDefault="00F249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14:paraId="59BEF68A" w14:textId="77777777" w:rsidR="00E81034" w:rsidRDefault="00E81034" w:rsidP="00E81034">
      <w:pPr>
        <w:pStyle w:val="Textonotapie"/>
      </w:pPr>
      <w:r>
        <w:rPr>
          <w:vertAlign w:val="superscript"/>
        </w:rPr>
        <w:footnoteRef/>
      </w:r>
      <w:r>
        <w:t xml:space="preserve"> Artículo 50, Ley de Transparencia y Acceso a la Información Pública del Estado de México y Municipios.</w:t>
      </w:r>
    </w:p>
  </w:footnote>
  <w:footnote w:id="6">
    <w:p w14:paraId="0E04F32A" w14:textId="77777777" w:rsidR="00E81034" w:rsidRDefault="00E81034" w:rsidP="00E81034">
      <w:pPr>
        <w:pStyle w:val="Textonotapie"/>
      </w:pPr>
      <w:r>
        <w:rPr>
          <w:vertAlign w:val="superscript"/>
        </w:rPr>
        <w:footnoteRef/>
      </w:r>
      <w:r>
        <w:t xml:space="preserve"> Artículo 51, Ídem.</w:t>
      </w:r>
    </w:p>
  </w:footnote>
  <w:footnote w:id="7">
    <w:p w14:paraId="6EF13C5D" w14:textId="77777777" w:rsidR="00E81034" w:rsidRDefault="00E81034" w:rsidP="00E81034">
      <w:pPr>
        <w:pStyle w:val="Textonotapie"/>
      </w:pPr>
      <w:r>
        <w:rPr>
          <w:vertAlign w:val="superscript"/>
        </w:rPr>
        <w:footnoteRef/>
      </w:r>
      <w:r>
        <w:t xml:space="preserve"> Artículo 58, Ley de Transparencia y Acceso a la Información Pública del Estado de México y Municipios.</w:t>
      </w:r>
    </w:p>
  </w:footnote>
  <w:footnote w:id="8">
    <w:p w14:paraId="37A5BF23" w14:textId="77777777" w:rsidR="00E81034" w:rsidRDefault="00E81034" w:rsidP="00E81034">
      <w:pPr>
        <w:pStyle w:val="Textonotapie"/>
      </w:pPr>
      <w:r>
        <w:rPr>
          <w:vertAlign w:val="superscript"/>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A95F3" w14:textId="77777777" w:rsidR="004E3EF7" w:rsidRDefault="00287318">
    <w:pPr>
      <w:pBdr>
        <w:top w:val="nil"/>
        <w:left w:val="nil"/>
        <w:bottom w:val="nil"/>
        <w:right w:val="nil"/>
        <w:between w:val="nil"/>
      </w:pBdr>
      <w:tabs>
        <w:tab w:val="center" w:pos="4419"/>
        <w:tab w:val="right" w:pos="8838"/>
      </w:tabs>
      <w:rPr>
        <w:color w:val="000000"/>
      </w:rPr>
    </w:pPr>
    <w:r>
      <w:rPr>
        <w:color w:val="000000"/>
      </w:rPr>
      <w:pict w14:anchorId="40BD09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10632" w:type="dxa"/>
      <w:tblInd w:w="0" w:type="dxa"/>
      <w:tblLayout w:type="fixed"/>
      <w:tblLook w:val="0400" w:firstRow="0" w:lastRow="0" w:firstColumn="0" w:lastColumn="0" w:noHBand="0" w:noVBand="1"/>
    </w:tblPr>
    <w:tblGrid>
      <w:gridCol w:w="2268"/>
      <w:gridCol w:w="8364"/>
    </w:tblGrid>
    <w:tr w:rsidR="004E3EF7" w14:paraId="178AFE68" w14:textId="77777777" w:rsidTr="000B7F6B">
      <w:trPr>
        <w:trHeight w:val="1435"/>
      </w:trPr>
      <w:tc>
        <w:tcPr>
          <w:tcW w:w="2268" w:type="dxa"/>
          <w:shd w:val="clear" w:color="auto" w:fill="auto"/>
        </w:tcPr>
        <w:p w14:paraId="12166C45" w14:textId="77777777" w:rsidR="004E3EF7" w:rsidRDefault="004E3EF7">
          <w:pPr>
            <w:tabs>
              <w:tab w:val="right" w:pos="4273"/>
            </w:tabs>
            <w:rPr>
              <w:rFonts w:ascii="Garamond" w:eastAsia="Garamond" w:hAnsi="Garamond" w:cs="Garamond"/>
              <w:sz w:val="16"/>
              <w:szCs w:val="16"/>
            </w:rPr>
          </w:pPr>
        </w:p>
      </w:tc>
      <w:tc>
        <w:tcPr>
          <w:tcW w:w="8364" w:type="dxa"/>
          <w:shd w:val="clear" w:color="auto" w:fill="auto"/>
        </w:tcPr>
        <w:tbl>
          <w:tblPr>
            <w:tblStyle w:val="a1"/>
            <w:tblW w:w="7783" w:type="dxa"/>
            <w:tblInd w:w="452" w:type="dxa"/>
            <w:tblLayout w:type="fixed"/>
            <w:tblLook w:val="0400" w:firstRow="0" w:lastRow="0" w:firstColumn="0" w:lastColumn="0" w:noHBand="0" w:noVBand="1"/>
          </w:tblPr>
          <w:tblGrid>
            <w:gridCol w:w="3797"/>
            <w:gridCol w:w="3986"/>
          </w:tblGrid>
          <w:tr w:rsidR="004E3EF7" w14:paraId="280B747B" w14:textId="77777777" w:rsidTr="000B7F6B">
            <w:trPr>
              <w:trHeight w:val="150"/>
            </w:trPr>
            <w:tc>
              <w:tcPr>
                <w:tcW w:w="3797" w:type="dxa"/>
                <w:shd w:val="clear" w:color="auto" w:fill="auto"/>
              </w:tcPr>
              <w:p w14:paraId="33953132" w14:textId="77777777" w:rsidR="004E3EF7" w:rsidRPr="000B7F6B" w:rsidRDefault="00F2495A">
                <w:pPr>
                  <w:tabs>
                    <w:tab w:val="right" w:pos="8838"/>
                  </w:tabs>
                  <w:ind w:left="850" w:right="-105"/>
                  <w:jc w:val="both"/>
                  <w:rPr>
                    <w:rFonts w:ascii="Palatino Linotype" w:eastAsia="Palatino Linotype" w:hAnsi="Palatino Linotype" w:cs="Palatino Linotype"/>
                    <w:b/>
                    <w:bCs/>
                    <w:szCs w:val="22"/>
                  </w:rPr>
                </w:pPr>
                <w:r w:rsidRPr="000B7F6B">
                  <w:rPr>
                    <w:rFonts w:ascii="Palatino Linotype" w:eastAsia="Palatino Linotype" w:hAnsi="Palatino Linotype" w:cs="Palatino Linotype"/>
                    <w:b/>
                    <w:bCs/>
                    <w:szCs w:val="22"/>
                  </w:rPr>
                  <w:t>Recurso de Revisión:</w:t>
                </w:r>
              </w:p>
            </w:tc>
            <w:tc>
              <w:tcPr>
                <w:tcW w:w="3986" w:type="dxa"/>
                <w:shd w:val="clear" w:color="auto" w:fill="auto"/>
              </w:tcPr>
              <w:p w14:paraId="7D8D127E" w14:textId="63506F80" w:rsidR="004E3EF7" w:rsidRPr="000B7F6B" w:rsidRDefault="003F5BBB">
                <w:pPr>
                  <w:ind w:right="-1343"/>
                  <w:jc w:val="both"/>
                  <w:rPr>
                    <w:rFonts w:ascii="Palatino Linotype" w:eastAsia="Palatino Linotype" w:hAnsi="Palatino Linotype" w:cs="Palatino Linotype"/>
                    <w:szCs w:val="22"/>
                  </w:rPr>
                </w:pPr>
                <w:r w:rsidRPr="000B7F6B">
                  <w:rPr>
                    <w:rFonts w:ascii="Palatino Linotype" w:eastAsia="Palatino Linotype" w:hAnsi="Palatino Linotype" w:cs="Palatino Linotype"/>
                    <w:szCs w:val="22"/>
                  </w:rPr>
                  <w:t>0</w:t>
                </w:r>
                <w:r w:rsidR="006E20BA" w:rsidRPr="000B7F6B">
                  <w:rPr>
                    <w:rFonts w:ascii="Palatino Linotype" w:eastAsia="Palatino Linotype" w:hAnsi="Palatino Linotype" w:cs="Palatino Linotype"/>
                    <w:szCs w:val="22"/>
                  </w:rPr>
                  <w:t>1258</w:t>
                </w:r>
                <w:r w:rsidR="00F2495A" w:rsidRPr="000B7F6B">
                  <w:rPr>
                    <w:rFonts w:ascii="Palatino Linotype" w:eastAsia="Palatino Linotype" w:hAnsi="Palatino Linotype" w:cs="Palatino Linotype"/>
                    <w:szCs w:val="22"/>
                  </w:rPr>
                  <w:t>/INFOEM/IP/RR/202</w:t>
                </w:r>
                <w:r w:rsidRPr="000B7F6B">
                  <w:rPr>
                    <w:rFonts w:ascii="Palatino Linotype" w:eastAsia="Palatino Linotype" w:hAnsi="Palatino Linotype" w:cs="Palatino Linotype"/>
                    <w:szCs w:val="22"/>
                  </w:rPr>
                  <w:t>6</w:t>
                </w:r>
              </w:p>
            </w:tc>
          </w:tr>
          <w:tr w:rsidR="004E3EF7" w14:paraId="1D8ED556" w14:textId="77777777" w:rsidTr="000B7F6B">
            <w:trPr>
              <w:trHeight w:val="295"/>
            </w:trPr>
            <w:tc>
              <w:tcPr>
                <w:tcW w:w="3797" w:type="dxa"/>
                <w:shd w:val="clear" w:color="auto" w:fill="auto"/>
              </w:tcPr>
              <w:p w14:paraId="5A8068ED" w14:textId="77777777" w:rsidR="004E3EF7" w:rsidRPr="000B7F6B" w:rsidRDefault="00F2495A">
                <w:pPr>
                  <w:tabs>
                    <w:tab w:val="right" w:pos="8838"/>
                  </w:tabs>
                  <w:ind w:left="850" w:right="-105"/>
                  <w:jc w:val="both"/>
                  <w:rPr>
                    <w:rFonts w:ascii="Palatino Linotype" w:eastAsia="Palatino Linotype" w:hAnsi="Palatino Linotype" w:cs="Palatino Linotype"/>
                    <w:b/>
                    <w:bCs/>
                    <w:szCs w:val="22"/>
                  </w:rPr>
                </w:pPr>
                <w:r w:rsidRPr="000B7F6B">
                  <w:rPr>
                    <w:rFonts w:ascii="Palatino Linotype" w:eastAsia="Palatino Linotype" w:hAnsi="Palatino Linotype" w:cs="Palatino Linotype"/>
                    <w:b/>
                    <w:bCs/>
                    <w:szCs w:val="22"/>
                  </w:rPr>
                  <w:t>Sujeto Obligado:</w:t>
                </w:r>
              </w:p>
            </w:tc>
            <w:tc>
              <w:tcPr>
                <w:tcW w:w="3986" w:type="dxa"/>
                <w:shd w:val="clear" w:color="auto" w:fill="auto"/>
              </w:tcPr>
              <w:p w14:paraId="0B462890" w14:textId="6EB9B78B" w:rsidR="004E3EF7" w:rsidRPr="000B7F6B" w:rsidRDefault="00F2495A" w:rsidP="003F5BBB">
                <w:pPr>
                  <w:ind w:right="-1343"/>
                  <w:rPr>
                    <w:rFonts w:ascii="Palatino Linotype" w:eastAsia="Palatino Linotype" w:hAnsi="Palatino Linotype" w:cs="Palatino Linotype"/>
                    <w:szCs w:val="22"/>
                  </w:rPr>
                </w:pPr>
                <w:r w:rsidRPr="000B7F6B">
                  <w:rPr>
                    <w:rFonts w:ascii="Palatino Linotype" w:eastAsia="Palatino Linotype" w:hAnsi="Palatino Linotype" w:cs="Palatino Linotype"/>
                    <w:szCs w:val="22"/>
                  </w:rPr>
                  <w:t xml:space="preserve">Ayuntamiento de </w:t>
                </w:r>
                <w:r w:rsidR="006E20BA" w:rsidRPr="000B7F6B">
                  <w:rPr>
                    <w:rFonts w:ascii="Palatino Linotype" w:eastAsia="Palatino Linotype" w:hAnsi="Palatino Linotype" w:cs="Palatino Linotype"/>
                    <w:szCs w:val="22"/>
                  </w:rPr>
                  <w:t>Toluca</w:t>
                </w:r>
              </w:p>
            </w:tc>
          </w:tr>
          <w:tr w:rsidR="004E3EF7" w14:paraId="704479EA" w14:textId="77777777" w:rsidTr="000B7F6B">
            <w:trPr>
              <w:trHeight w:val="295"/>
            </w:trPr>
            <w:tc>
              <w:tcPr>
                <w:tcW w:w="3797" w:type="dxa"/>
                <w:shd w:val="clear" w:color="auto" w:fill="auto"/>
              </w:tcPr>
              <w:p w14:paraId="0B9B007D" w14:textId="77777777" w:rsidR="004E3EF7" w:rsidRPr="000B7F6B" w:rsidRDefault="00F2495A">
                <w:pPr>
                  <w:tabs>
                    <w:tab w:val="right" w:pos="8838"/>
                  </w:tabs>
                  <w:ind w:left="850" w:right="-105"/>
                  <w:jc w:val="both"/>
                  <w:rPr>
                    <w:rFonts w:ascii="Palatino Linotype" w:eastAsia="Palatino Linotype" w:hAnsi="Palatino Linotype" w:cs="Palatino Linotype"/>
                    <w:b/>
                    <w:bCs/>
                    <w:szCs w:val="22"/>
                  </w:rPr>
                </w:pPr>
                <w:r w:rsidRPr="000B7F6B">
                  <w:rPr>
                    <w:rFonts w:ascii="Palatino Linotype" w:eastAsia="Palatino Linotype" w:hAnsi="Palatino Linotype" w:cs="Palatino Linotype"/>
                    <w:b/>
                    <w:bCs/>
                    <w:szCs w:val="22"/>
                  </w:rPr>
                  <w:t>Comisionada ponente:</w:t>
                </w:r>
              </w:p>
            </w:tc>
            <w:tc>
              <w:tcPr>
                <w:tcW w:w="3986" w:type="dxa"/>
                <w:shd w:val="clear" w:color="auto" w:fill="auto"/>
              </w:tcPr>
              <w:p w14:paraId="546E7062" w14:textId="77777777" w:rsidR="004E3EF7" w:rsidRPr="000B7F6B" w:rsidRDefault="00F2495A">
                <w:pPr>
                  <w:ind w:right="-1343"/>
                  <w:jc w:val="both"/>
                  <w:rPr>
                    <w:rFonts w:ascii="Palatino Linotype" w:eastAsia="Palatino Linotype" w:hAnsi="Palatino Linotype" w:cs="Palatino Linotype"/>
                    <w:szCs w:val="22"/>
                  </w:rPr>
                </w:pPr>
                <w:r w:rsidRPr="000B7F6B">
                  <w:rPr>
                    <w:rFonts w:ascii="Palatino Linotype" w:eastAsia="Palatino Linotype" w:hAnsi="Palatino Linotype" w:cs="Palatino Linotype"/>
                    <w:szCs w:val="22"/>
                  </w:rPr>
                  <w:t>María del Rosario Mejía Ayala</w:t>
                </w:r>
              </w:p>
              <w:p w14:paraId="2BDA498D" w14:textId="77777777" w:rsidR="004E3EF7" w:rsidRPr="000B7F6B" w:rsidRDefault="004E3EF7">
                <w:pPr>
                  <w:ind w:left="141" w:right="-1343"/>
                  <w:jc w:val="both"/>
                  <w:rPr>
                    <w:rFonts w:ascii="Palatino Linotype" w:eastAsia="Palatino Linotype" w:hAnsi="Palatino Linotype" w:cs="Palatino Linotype"/>
                    <w:szCs w:val="22"/>
                  </w:rPr>
                </w:pPr>
              </w:p>
            </w:tc>
          </w:tr>
        </w:tbl>
        <w:p w14:paraId="0E060218" w14:textId="77777777" w:rsidR="004E3EF7" w:rsidRDefault="004E3EF7">
          <w:pPr>
            <w:tabs>
              <w:tab w:val="right" w:pos="8838"/>
            </w:tabs>
            <w:ind w:left="-28"/>
            <w:jc w:val="both"/>
            <w:rPr>
              <w:rFonts w:ascii="Arial" w:eastAsia="Arial" w:hAnsi="Arial" w:cs="Arial"/>
              <w:b/>
              <w:bCs/>
              <w:sz w:val="18"/>
              <w:szCs w:val="18"/>
            </w:rPr>
          </w:pPr>
        </w:p>
      </w:tc>
    </w:tr>
  </w:tbl>
  <w:p w14:paraId="4A4E8B49" w14:textId="77777777" w:rsidR="004E3EF7" w:rsidRDefault="00287318">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2F351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10065" w:type="dxa"/>
      <w:tblInd w:w="0" w:type="dxa"/>
      <w:tblLayout w:type="fixed"/>
      <w:tblLook w:val="0400" w:firstRow="0" w:lastRow="0" w:firstColumn="0" w:lastColumn="0" w:noHBand="0" w:noVBand="1"/>
    </w:tblPr>
    <w:tblGrid>
      <w:gridCol w:w="2265"/>
      <w:gridCol w:w="7800"/>
    </w:tblGrid>
    <w:tr w:rsidR="004E3EF7" w14:paraId="52BE5BBF" w14:textId="77777777">
      <w:trPr>
        <w:trHeight w:val="1435"/>
      </w:trPr>
      <w:tc>
        <w:tcPr>
          <w:tcW w:w="2265" w:type="dxa"/>
          <w:shd w:val="clear" w:color="auto" w:fill="auto"/>
        </w:tcPr>
        <w:p w14:paraId="4BE2DD81" w14:textId="77777777" w:rsidR="004E3EF7" w:rsidRDefault="004E3EF7">
          <w:pPr>
            <w:tabs>
              <w:tab w:val="right" w:pos="4273"/>
            </w:tabs>
            <w:rPr>
              <w:rFonts w:ascii="Garamond" w:eastAsia="Garamond" w:hAnsi="Garamond" w:cs="Garamond"/>
              <w:sz w:val="22"/>
              <w:szCs w:val="22"/>
            </w:rPr>
          </w:pPr>
        </w:p>
      </w:tc>
      <w:tc>
        <w:tcPr>
          <w:tcW w:w="7800" w:type="dxa"/>
          <w:shd w:val="clear" w:color="auto" w:fill="auto"/>
        </w:tcPr>
        <w:tbl>
          <w:tblPr>
            <w:tblStyle w:val="a3"/>
            <w:tblW w:w="7410" w:type="dxa"/>
            <w:tblInd w:w="1306" w:type="dxa"/>
            <w:tblLayout w:type="fixed"/>
            <w:tblLook w:val="0400" w:firstRow="0" w:lastRow="0" w:firstColumn="0" w:lastColumn="0" w:noHBand="0" w:noVBand="1"/>
          </w:tblPr>
          <w:tblGrid>
            <w:gridCol w:w="2807"/>
            <w:gridCol w:w="4603"/>
          </w:tblGrid>
          <w:tr w:rsidR="004E3EF7" w14:paraId="08664596" w14:textId="77777777" w:rsidTr="00EA0176">
            <w:trPr>
              <w:trHeight w:val="144"/>
            </w:trPr>
            <w:tc>
              <w:tcPr>
                <w:tcW w:w="2807" w:type="dxa"/>
                <w:shd w:val="clear" w:color="auto" w:fill="auto"/>
              </w:tcPr>
              <w:p w14:paraId="3308F9A6" w14:textId="77777777" w:rsidR="004E3EF7" w:rsidRDefault="00F2495A" w:rsidP="000B7F6B">
                <w:pPr>
                  <w:tabs>
                    <w:tab w:val="right" w:pos="8838"/>
                  </w:tabs>
                  <w:ind w:left="26" w:right="-126"/>
                  <w:rPr>
                    <w:rFonts w:ascii="Palatino Linotype" w:eastAsia="Palatino Linotype" w:hAnsi="Palatino Linotype" w:cs="Palatino Linotype"/>
                    <w:b/>
                    <w:bCs/>
                  </w:rPr>
                </w:pPr>
                <w:r>
                  <w:rPr>
                    <w:rFonts w:ascii="Palatino Linotype" w:eastAsia="Palatino Linotype" w:hAnsi="Palatino Linotype" w:cs="Palatino Linotype"/>
                    <w:b/>
                    <w:bCs/>
                  </w:rPr>
                  <w:t>Recurso de Revisión:</w:t>
                </w:r>
              </w:p>
            </w:tc>
            <w:tc>
              <w:tcPr>
                <w:tcW w:w="4603" w:type="dxa"/>
                <w:shd w:val="clear" w:color="auto" w:fill="auto"/>
              </w:tcPr>
              <w:p w14:paraId="7A5E22B4" w14:textId="4B3FE79B" w:rsidR="004E3EF7" w:rsidRDefault="00AE3240" w:rsidP="000B7F6B">
                <w:pPr>
                  <w:tabs>
                    <w:tab w:val="right" w:pos="8838"/>
                  </w:tabs>
                  <w:ind w:left="26" w:right="-126"/>
                  <w:rPr>
                    <w:rFonts w:ascii="Palatino Linotype" w:eastAsia="Palatino Linotype" w:hAnsi="Palatino Linotype" w:cs="Palatino Linotype"/>
                  </w:rPr>
                </w:pPr>
                <w:r>
                  <w:rPr>
                    <w:rFonts w:ascii="Palatino Linotype" w:eastAsia="Palatino Linotype" w:hAnsi="Palatino Linotype" w:cs="Palatino Linotype"/>
                  </w:rPr>
                  <w:t>1</w:t>
                </w:r>
                <w:r w:rsidR="006E20BA">
                  <w:rPr>
                    <w:rFonts w:ascii="Palatino Linotype" w:eastAsia="Palatino Linotype" w:hAnsi="Palatino Linotype" w:cs="Palatino Linotype"/>
                  </w:rPr>
                  <w:t>258</w:t>
                </w:r>
                <w:r w:rsidR="00F2495A">
                  <w:rPr>
                    <w:rFonts w:ascii="Palatino Linotype" w:eastAsia="Palatino Linotype" w:hAnsi="Palatino Linotype" w:cs="Palatino Linotype"/>
                  </w:rPr>
                  <w:t>/INFOEM/IP/RR/202</w:t>
                </w:r>
                <w:r w:rsidR="003F5BBB">
                  <w:rPr>
                    <w:rFonts w:ascii="Palatino Linotype" w:eastAsia="Palatino Linotype" w:hAnsi="Palatino Linotype" w:cs="Palatino Linotype"/>
                  </w:rPr>
                  <w:t>6</w:t>
                </w:r>
              </w:p>
            </w:tc>
          </w:tr>
          <w:tr w:rsidR="004E3EF7" w14:paraId="0F0507A8" w14:textId="77777777" w:rsidTr="00EA0176">
            <w:trPr>
              <w:trHeight w:val="144"/>
            </w:trPr>
            <w:tc>
              <w:tcPr>
                <w:tcW w:w="2807" w:type="dxa"/>
                <w:shd w:val="clear" w:color="auto" w:fill="auto"/>
              </w:tcPr>
              <w:p w14:paraId="56883813" w14:textId="77777777" w:rsidR="004E3EF7" w:rsidRDefault="00F2495A" w:rsidP="000B7F6B">
                <w:pPr>
                  <w:tabs>
                    <w:tab w:val="right" w:pos="8838"/>
                  </w:tabs>
                  <w:ind w:left="26" w:right="-126"/>
                  <w:rPr>
                    <w:rFonts w:ascii="Palatino Linotype" w:eastAsia="Palatino Linotype" w:hAnsi="Palatino Linotype" w:cs="Palatino Linotype"/>
                    <w:b/>
                    <w:bCs/>
                  </w:rPr>
                </w:pPr>
                <w:r>
                  <w:rPr>
                    <w:rFonts w:ascii="Palatino Linotype" w:eastAsia="Palatino Linotype" w:hAnsi="Palatino Linotype" w:cs="Palatino Linotype"/>
                    <w:b/>
                    <w:bCs/>
                  </w:rPr>
                  <w:t>Recurrente:</w:t>
                </w:r>
              </w:p>
            </w:tc>
            <w:tc>
              <w:tcPr>
                <w:tcW w:w="4603" w:type="dxa"/>
                <w:shd w:val="clear" w:color="auto" w:fill="auto"/>
              </w:tcPr>
              <w:p w14:paraId="42DC0DAA" w14:textId="5099FF9F" w:rsidR="004E3EF7" w:rsidRDefault="00EA0176" w:rsidP="000B7F6B">
                <w:pPr>
                  <w:tabs>
                    <w:tab w:val="left" w:pos="3122"/>
                    <w:tab w:val="right" w:pos="8838"/>
                  </w:tabs>
                  <w:ind w:left="26" w:right="-126"/>
                  <w:rPr>
                    <w:rFonts w:ascii="Palatino Linotype" w:eastAsia="Palatino Linotype" w:hAnsi="Palatino Linotype" w:cs="Palatino Linotype"/>
                  </w:rPr>
                </w:pPr>
                <w:r>
                  <w:rPr>
                    <w:rFonts w:ascii="Palatino Linotype" w:eastAsia="Palatino Linotype" w:hAnsi="Palatino Linotype" w:cs="Palatino Linotype"/>
                  </w:rPr>
                  <w:t>XXXX</w:t>
                </w:r>
              </w:p>
            </w:tc>
          </w:tr>
          <w:tr w:rsidR="004E3EF7" w14:paraId="478C5535" w14:textId="77777777" w:rsidTr="00EA0176">
            <w:trPr>
              <w:trHeight w:val="80"/>
            </w:trPr>
            <w:tc>
              <w:tcPr>
                <w:tcW w:w="2807" w:type="dxa"/>
                <w:shd w:val="clear" w:color="auto" w:fill="auto"/>
              </w:tcPr>
              <w:p w14:paraId="4F0363CA" w14:textId="77777777" w:rsidR="004E3EF7" w:rsidRDefault="00F2495A" w:rsidP="000B7F6B">
                <w:pPr>
                  <w:tabs>
                    <w:tab w:val="right" w:pos="8838"/>
                  </w:tabs>
                  <w:ind w:left="26" w:right="-126"/>
                  <w:rPr>
                    <w:rFonts w:ascii="Palatino Linotype" w:eastAsia="Palatino Linotype" w:hAnsi="Palatino Linotype" w:cs="Palatino Linotype"/>
                    <w:b/>
                    <w:bCs/>
                  </w:rPr>
                </w:pPr>
                <w:r>
                  <w:rPr>
                    <w:rFonts w:ascii="Palatino Linotype" w:eastAsia="Palatino Linotype" w:hAnsi="Palatino Linotype" w:cs="Palatino Linotype"/>
                    <w:b/>
                    <w:bCs/>
                  </w:rPr>
                  <w:t>Sujeto Obligado:</w:t>
                </w:r>
              </w:p>
            </w:tc>
            <w:tc>
              <w:tcPr>
                <w:tcW w:w="4603" w:type="dxa"/>
                <w:shd w:val="clear" w:color="auto" w:fill="auto"/>
              </w:tcPr>
              <w:p w14:paraId="50181938" w14:textId="71F36984" w:rsidR="004E3EF7" w:rsidRDefault="00F2495A" w:rsidP="000B7F6B">
                <w:pPr>
                  <w:tabs>
                    <w:tab w:val="left" w:pos="3122"/>
                    <w:tab w:val="right" w:pos="8838"/>
                  </w:tabs>
                  <w:ind w:left="26" w:right="-126"/>
                  <w:rPr>
                    <w:rFonts w:ascii="Palatino Linotype" w:eastAsia="Palatino Linotype" w:hAnsi="Palatino Linotype" w:cs="Palatino Linotype"/>
                  </w:rPr>
                </w:pPr>
                <w:r>
                  <w:rPr>
                    <w:rFonts w:ascii="Palatino Linotype" w:eastAsia="Palatino Linotype" w:hAnsi="Palatino Linotype" w:cs="Palatino Linotype"/>
                  </w:rPr>
                  <w:t xml:space="preserve">Ayuntamiento de </w:t>
                </w:r>
                <w:r w:rsidR="006E20BA">
                  <w:rPr>
                    <w:rFonts w:ascii="Palatino Linotype" w:eastAsia="Palatino Linotype" w:hAnsi="Palatino Linotype" w:cs="Palatino Linotype"/>
                  </w:rPr>
                  <w:t>Toluca</w:t>
                </w:r>
              </w:p>
            </w:tc>
          </w:tr>
          <w:tr w:rsidR="004E3EF7" w14:paraId="17B2D809" w14:textId="77777777" w:rsidTr="00EA0176">
            <w:trPr>
              <w:trHeight w:val="283"/>
            </w:trPr>
            <w:tc>
              <w:tcPr>
                <w:tcW w:w="2807" w:type="dxa"/>
                <w:shd w:val="clear" w:color="auto" w:fill="auto"/>
              </w:tcPr>
              <w:p w14:paraId="6DADA040" w14:textId="77777777" w:rsidR="004E3EF7" w:rsidRDefault="00F2495A" w:rsidP="000B7F6B">
                <w:pPr>
                  <w:tabs>
                    <w:tab w:val="right" w:pos="8838"/>
                  </w:tabs>
                  <w:ind w:left="26" w:right="-126"/>
                  <w:rPr>
                    <w:rFonts w:ascii="Palatino Linotype" w:eastAsia="Palatino Linotype" w:hAnsi="Palatino Linotype" w:cs="Palatino Linotype"/>
                    <w:b/>
                    <w:bCs/>
                  </w:rPr>
                </w:pPr>
                <w:r>
                  <w:rPr>
                    <w:rFonts w:ascii="Palatino Linotype" w:eastAsia="Palatino Linotype" w:hAnsi="Palatino Linotype" w:cs="Palatino Linotype"/>
                    <w:b/>
                    <w:bCs/>
                  </w:rPr>
                  <w:t>Comisionada ponente:</w:t>
                </w:r>
              </w:p>
            </w:tc>
            <w:tc>
              <w:tcPr>
                <w:tcW w:w="4603" w:type="dxa"/>
                <w:shd w:val="clear" w:color="auto" w:fill="auto"/>
              </w:tcPr>
              <w:p w14:paraId="38E9BAD3" w14:textId="77777777" w:rsidR="004E3EF7" w:rsidRDefault="00F2495A" w:rsidP="000B7F6B">
                <w:pPr>
                  <w:tabs>
                    <w:tab w:val="right" w:pos="8838"/>
                  </w:tabs>
                  <w:ind w:left="26" w:right="-126"/>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79B108FD" w14:textId="77777777" w:rsidR="004E3EF7" w:rsidRDefault="004E3EF7" w:rsidP="000B7F6B">
                <w:pPr>
                  <w:tabs>
                    <w:tab w:val="right" w:pos="8838"/>
                  </w:tabs>
                  <w:ind w:left="26" w:right="-126"/>
                  <w:rPr>
                    <w:rFonts w:ascii="Palatino Linotype" w:eastAsia="Palatino Linotype" w:hAnsi="Palatino Linotype" w:cs="Palatino Linotype"/>
                  </w:rPr>
                </w:pPr>
              </w:p>
            </w:tc>
          </w:tr>
        </w:tbl>
        <w:p w14:paraId="43168A24" w14:textId="77777777" w:rsidR="004E3EF7" w:rsidRDefault="004E3EF7">
          <w:pPr>
            <w:tabs>
              <w:tab w:val="right" w:pos="8838"/>
            </w:tabs>
            <w:ind w:left="-28"/>
            <w:jc w:val="both"/>
            <w:rPr>
              <w:rFonts w:ascii="Arial" w:eastAsia="Arial" w:hAnsi="Arial" w:cs="Arial"/>
              <w:b/>
              <w:bCs/>
              <w:sz w:val="22"/>
              <w:szCs w:val="22"/>
            </w:rPr>
          </w:pPr>
        </w:p>
      </w:tc>
    </w:tr>
  </w:tbl>
  <w:p w14:paraId="6BD291F7" w14:textId="77777777" w:rsidR="004E3EF7" w:rsidRDefault="00287318">
    <w:pPr>
      <w:pBdr>
        <w:top w:val="nil"/>
        <w:left w:val="nil"/>
        <w:bottom w:val="nil"/>
        <w:right w:val="nil"/>
        <w:between w:val="nil"/>
      </w:pBdr>
      <w:tabs>
        <w:tab w:val="center" w:pos="4419"/>
        <w:tab w:val="right" w:pos="8838"/>
      </w:tabs>
      <w:rPr>
        <w:color w:val="000000"/>
        <w:sz w:val="2"/>
        <w:szCs w:val="2"/>
      </w:rPr>
    </w:pPr>
    <w:r>
      <w:rPr>
        <w:color w:val="000000"/>
        <w:sz w:val="2"/>
        <w:szCs w:val="2"/>
      </w:rPr>
      <w:pict w14:anchorId="21BA12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B4E78"/>
    <w:multiLevelType w:val="multilevel"/>
    <w:tmpl w:val="2F683004"/>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02564F"/>
    <w:multiLevelType w:val="multilevel"/>
    <w:tmpl w:val="A5CAA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702462"/>
    <w:multiLevelType w:val="hybridMultilevel"/>
    <w:tmpl w:val="61CEA1E0"/>
    <w:lvl w:ilvl="0" w:tplc="98FEE436">
      <w:start w:val="5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906AFC"/>
    <w:multiLevelType w:val="multilevel"/>
    <w:tmpl w:val="3C2A8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74097B"/>
    <w:multiLevelType w:val="multilevel"/>
    <w:tmpl w:val="FFFFFFFF"/>
    <w:lvl w:ilvl="0">
      <w:start w:val="1"/>
      <w:numFmt w:val="decimal"/>
      <w:lvlText w:val="%1."/>
      <w:lvlJc w:val="left"/>
      <w:rPr>
        <w:rFonts w:ascii="Palatino Linotype" w:eastAsia="Times New Roman" w:hAnsi="Palatino Linotype" w:cs="Palatino Linotype"/>
        <w:b/>
        <w:i w:val="0"/>
        <w:sz w:val="24"/>
        <w:szCs w:val="24"/>
      </w:rPr>
    </w:lvl>
    <w:lvl w:ilvl="1">
      <w:start w:val="1"/>
      <w:numFmt w:val="lowerLetter"/>
      <w:lvlText w:val="%2)"/>
      <w:lvlJc w:val="left"/>
      <w:pPr>
        <w:ind w:left="1440" w:hanging="360"/>
      </w:pPr>
      <w:rPr>
        <w:rFonts w:cs="Times New Roman"/>
        <w:b/>
        <w:i w:val="0"/>
      </w:rPr>
    </w:lvl>
    <w:lvl w:ilvl="2">
      <w:start w:val="1"/>
      <w:numFmt w:val="bullet"/>
      <w:lvlText w:val="⮚"/>
      <w:lvlJc w:val="left"/>
      <w:pPr>
        <w:ind w:left="2340" w:hanging="360"/>
      </w:pPr>
      <w:rPr>
        <w:rFonts w:ascii="Noto Sans Symbols" w:eastAsia="Times New Roman" w:hAnsi="Noto Sans Symbols"/>
        <w:strike w:val="0"/>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15:restartNumberingAfterBreak="0">
    <w:nsid w:val="3F7A7F86"/>
    <w:multiLevelType w:val="hybridMultilevel"/>
    <w:tmpl w:val="16C612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AE483A"/>
    <w:multiLevelType w:val="multilevel"/>
    <w:tmpl w:val="49E69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DC2FF6"/>
    <w:multiLevelType w:val="multilevel"/>
    <w:tmpl w:val="FFFFFFFF"/>
    <w:lvl w:ilvl="0">
      <w:start w:val="1"/>
      <w:numFmt w:val="decimal"/>
      <w:lvlText w:val="%1."/>
      <w:lvlJc w:val="left"/>
      <w:pPr>
        <w:ind w:left="357" w:hanging="357"/>
      </w:pPr>
      <w:rPr>
        <w:rFonts w:ascii="Palatino Linotype" w:eastAsia="Times New Roman" w:hAnsi="Palatino Linotype" w:cs="Palatino Linotype"/>
        <w:b/>
        <w:bCs/>
        <w:i w:val="0"/>
        <w:iCs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bCs/>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5C5866BE"/>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5E053133"/>
    <w:multiLevelType w:val="hybridMultilevel"/>
    <w:tmpl w:val="5FB4D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06853C6"/>
    <w:multiLevelType w:val="hybridMultilevel"/>
    <w:tmpl w:val="FFFFFFFF"/>
    <w:lvl w:ilvl="0" w:tplc="7EE0C6EC">
      <w:start w:val="1"/>
      <w:numFmt w:val="decimal"/>
      <w:lvlText w:val="%1."/>
      <w:lvlJc w:val="left"/>
      <w:rPr>
        <w:rFonts w:ascii="Palatino Linotype" w:hAnsi="Palatino Linotype" w:cs="Times New Roman"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hint="default"/>
        <w:strike w:val="0"/>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70CE652C"/>
    <w:multiLevelType w:val="multilevel"/>
    <w:tmpl w:val="3850A7B6"/>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3"/>
  </w:num>
  <w:num w:numId="3">
    <w:abstractNumId w:val="0"/>
  </w:num>
  <w:num w:numId="4">
    <w:abstractNumId w:val="11"/>
  </w:num>
  <w:num w:numId="5">
    <w:abstractNumId w:val="1"/>
  </w:num>
  <w:num w:numId="6">
    <w:abstractNumId w:val="9"/>
  </w:num>
  <w:num w:numId="7">
    <w:abstractNumId w:val="7"/>
  </w:num>
  <w:num w:numId="8">
    <w:abstractNumId w:val="4"/>
  </w:num>
  <w:num w:numId="9">
    <w:abstractNumId w:val="8"/>
  </w:num>
  <w:num w:numId="10">
    <w:abstractNumId w:val="10"/>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3EF7"/>
    <w:rsid w:val="00052632"/>
    <w:rsid w:val="00061318"/>
    <w:rsid w:val="000B7F6B"/>
    <w:rsid w:val="00287318"/>
    <w:rsid w:val="002934A0"/>
    <w:rsid w:val="0029594C"/>
    <w:rsid w:val="00332718"/>
    <w:rsid w:val="00382448"/>
    <w:rsid w:val="003F5BBB"/>
    <w:rsid w:val="00450B89"/>
    <w:rsid w:val="00462260"/>
    <w:rsid w:val="004E3EF7"/>
    <w:rsid w:val="004E4A46"/>
    <w:rsid w:val="00594520"/>
    <w:rsid w:val="005B6190"/>
    <w:rsid w:val="006A126A"/>
    <w:rsid w:val="006E20BA"/>
    <w:rsid w:val="00727641"/>
    <w:rsid w:val="00771F83"/>
    <w:rsid w:val="0081749C"/>
    <w:rsid w:val="00834EE8"/>
    <w:rsid w:val="009C7A42"/>
    <w:rsid w:val="00A61C35"/>
    <w:rsid w:val="00AE3240"/>
    <w:rsid w:val="00B26155"/>
    <w:rsid w:val="00BD6E1F"/>
    <w:rsid w:val="00BF0DE4"/>
    <w:rsid w:val="00C676D8"/>
    <w:rsid w:val="00C828AC"/>
    <w:rsid w:val="00D10EEF"/>
    <w:rsid w:val="00E81034"/>
    <w:rsid w:val="00EA0176"/>
    <w:rsid w:val="00F04FBC"/>
    <w:rsid w:val="00F249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A24D5A"/>
  <w15:docId w15:val="{3D2C3422-ED30-489C-9AB0-787385CC7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B26155"/>
    <w:pPr>
      <w:tabs>
        <w:tab w:val="center" w:pos="4419"/>
        <w:tab w:val="right" w:pos="8838"/>
      </w:tabs>
    </w:pPr>
  </w:style>
  <w:style w:type="character" w:customStyle="1" w:styleId="PiedepginaCar">
    <w:name w:val="Pie de página Car"/>
    <w:basedOn w:val="Fuentedeprrafopredeter"/>
    <w:link w:val="Piedepgina"/>
    <w:uiPriority w:val="99"/>
    <w:rsid w:val="00B2615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4EE8"/>
    <w:pPr>
      <w:ind w:left="720"/>
      <w:contextualSpacing/>
    </w:pPr>
  </w:style>
  <w:style w:type="character" w:styleId="Hipervnculo">
    <w:name w:val="Hyperlink"/>
    <w:basedOn w:val="Fuentedeprrafopredeter"/>
    <w:uiPriority w:val="99"/>
    <w:semiHidden/>
    <w:unhideWhenUsed/>
    <w:rsid w:val="003F5BBB"/>
    <w:rPr>
      <w:color w:val="0000FF"/>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81034"/>
  </w:style>
  <w:style w:type="character" w:customStyle="1" w:styleId="TextonotapieCar">
    <w:name w:val="Texto nota pie Car"/>
    <w:aliases w:val="Footnote Text Char Char Char Char Char Car,Footnote Text Char Char Char Char Car,Ref. de nota al pie1 Car,FA Fu Car,Footnote Text Char Char Char Car,Footnote Text Cha Car,FA Fußnotentext Car,FA Fu?notentext Car,FA Fuﬂnotentext Car"/>
    <w:basedOn w:val="Fuentedeprrafopredeter"/>
    <w:link w:val="Textonotapie"/>
    <w:uiPriority w:val="99"/>
    <w:qFormat/>
    <w:locked/>
    <w:rsid w:val="00E81034"/>
    <w:rPr>
      <w:sz w:val="20"/>
      <w:szCs w:val="20"/>
    </w:rPr>
  </w:style>
  <w:style w:type="paragraph" w:styleId="Textonotapie">
    <w:name w:val="footnote text"/>
    <w:aliases w:val="Footnote Text Char Char Char Char Char,Footnote Text Char Char Char Char,Ref. de nota al pie1,FA Fu,Footnote Text Char Char Char,Footnote Text Cha,FA Fußnotentext,FA Fu?notentext,Footnote Text Char Char,FA Fuﬂnotentext,Ca,FA Fu?notente"/>
    <w:basedOn w:val="Normal"/>
    <w:link w:val="TextonotapieCar"/>
    <w:uiPriority w:val="99"/>
    <w:unhideWhenUsed/>
    <w:qFormat/>
    <w:rsid w:val="00E81034"/>
    <w:rPr>
      <w:sz w:val="20"/>
      <w:szCs w:val="20"/>
    </w:rPr>
  </w:style>
  <w:style w:type="character" w:customStyle="1" w:styleId="TextonotapieCar1">
    <w:name w:val="Texto nota pie Car1"/>
    <w:basedOn w:val="Fuentedeprrafopredeter"/>
    <w:uiPriority w:val="99"/>
    <w:semiHidden/>
    <w:rsid w:val="00E81034"/>
    <w:rPr>
      <w:sz w:val="20"/>
      <w:szCs w:val="20"/>
    </w:rPr>
  </w:style>
  <w:style w:type="paragraph" w:customStyle="1" w:styleId="typographytext-defaultp3oty">
    <w:name w:val="typography_text-default__p3oty"/>
    <w:basedOn w:val="Normal"/>
    <w:rsid w:val="006A12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729726">
      <w:bodyDiv w:val="1"/>
      <w:marLeft w:val="0"/>
      <w:marRight w:val="0"/>
      <w:marTop w:val="0"/>
      <w:marBottom w:val="0"/>
      <w:divBdr>
        <w:top w:val="none" w:sz="0" w:space="0" w:color="auto"/>
        <w:left w:val="none" w:sz="0" w:space="0" w:color="auto"/>
        <w:bottom w:val="none" w:sz="0" w:space="0" w:color="auto"/>
        <w:right w:val="none" w:sz="0" w:space="0" w:color="auto"/>
      </w:divBdr>
    </w:div>
    <w:div w:id="653069247">
      <w:bodyDiv w:val="1"/>
      <w:marLeft w:val="0"/>
      <w:marRight w:val="0"/>
      <w:marTop w:val="0"/>
      <w:marBottom w:val="0"/>
      <w:divBdr>
        <w:top w:val="none" w:sz="0" w:space="0" w:color="auto"/>
        <w:left w:val="none" w:sz="0" w:space="0" w:color="auto"/>
        <w:bottom w:val="none" w:sz="0" w:space="0" w:color="auto"/>
        <w:right w:val="none" w:sz="0" w:space="0" w:color="auto"/>
      </w:divBdr>
    </w:div>
    <w:div w:id="733700879">
      <w:bodyDiv w:val="1"/>
      <w:marLeft w:val="0"/>
      <w:marRight w:val="0"/>
      <w:marTop w:val="0"/>
      <w:marBottom w:val="0"/>
      <w:divBdr>
        <w:top w:val="none" w:sz="0" w:space="0" w:color="auto"/>
        <w:left w:val="none" w:sz="0" w:space="0" w:color="auto"/>
        <w:bottom w:val="none" w:sz="0" w:space="0" w:color="auto"/>
        <w:right w:val="none" w:sz="0" w:space="0" w:color="auto"/>
      </w:divBdr>
    </w:div>
    <w:div w:id="829370387">
      <w:bodyDiv w:val="1"/>
      <w:marLeft w:val="0"/>
      <w:marRight w:val="0"/>
      <w:marTop w:val="0"/>
      <w:marBottom w:val="0"/>
      <w:divBdr>
        <w:top w:val="none" w:sz="0" w:space="0" w:color="auto"/>
        <w:left w:val="none" w:sz="0" w:space="0" w:color="auto"/>
        <w:bottom w:val="none" w:sz="0" w:space="0" w:color="auto"/>
        <w:right w:val="none" w:sz="0" w:space="0" w:color="auto"/>
      </w:divBdr>
    </w:div>
    <w:div w:id="879127153">
      <w:bodyDiv w:val="1"/>
      <w:marLeft w:val="0"/>
      <w:marRight w:val="0"/>
      <w:marTop w:val="0"/>
      <w:marBottom w:val="0"/>
      <w:divBdr>
        <w:top w:val="none" w:sz="0" w:space="0" w:color="auto"/>
        <w:left w:val="none" w:sz="0" w:space="0" w:color="auto"/>
        <w:bottom w:val="none" w:sz="0" w:space="0" w:color="auto"/>
        <w:right w:val="none" w:sz="0" w:space="0" w:color="auto"/>
      </w:divBdr>
    </w:div>
    <w:div w:id="1203715020">
      <w:bodyDiv w:val="1"/>
      <w:marLeft w:val="0"/>
      <w:marRight w:val="0"/>
      <w:marTop w:val="0"/>
      <w:marBottom w:val="0"/>
      <w:divBdr>
        <w:top w:val="none" w:sz="0" w:space="0" w:color="auto"/>
        <w:left w:val="none" w:sz="0" w:space="0" w:color="auto"/>
        <w:bottom w:val="none" w:sz="0" w:space="0" w:color="auto"/>
        <w:right w:val="none" w:sz="0" w:space="0" w:color="auto"/>
      </w:divBdr>
    </w:div>
    <w:div w:id="1745763459">
      <w:bodyDiv w:val="1"/>
      <w:marLeft w:val="0"/>
      <w:marRight w:val="0"/>
      <w:marTop w:val="0"/>
      <w:marBottom w:val="0"/>
      <w:divBdr>
        <w:top w:val="none" w:sz="0" w:space="0" w:color="auto"/>
        <w:left w:val="none" w:sz="0" w:space="0" w:color="auto"/>
        <w:bottom w:val="none" w:sz="0" w:space="0" w:color="auto"/>
        <w:right w:val="none" w:sz="0" w:space="0" w:color="auto"/>
      </w:divBdr>
    </w:div>
    <w:div w:id="2069760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63870.pag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Bhtvc9fr65bA9GHf4skvX+4c4g==">CgMxLjAyDmgubnRkajIwbXZuem5iMgloLjN6bnlzaDcyDmguMnYyMzBrbmlkZXkyMgloLjNkeTZ2a20yCWguMzBqMHpsbDIJaC4yczhleW8xMg5oLmQzMHZjc3Q0aGhpNDIOaC44dGdxOWFtMnh5NnYyDWguazA2cmRlNzV0Mzg4AHIhMWp6OHl2bC1qUVlSMXcwMjZQWnpQTnA2NlF0N1kzRlBN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6906</Words>
  <Characters>37986</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INFOEM-434</dc:creator>
  <cp:lastModifiedBy>Cuenta Microsoft</cp:lastModifiedBy>
  <cp:revision>7</cp:revision>
  <cp:lastPrinted>2026-06-29T15:56:00Z</cp:lastPrinted>
  <dcterms:created xsi:type="dcterms:W3CDTF">2026-06-22T20:10:00Z</dcterms:created>
  <dcterms:modified xsi:type="dcterms:W3CDTF">2026-07-02T23:25:00Z</dcterms:modified>
</cp:coreProperties>
</file>