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D9F4C" w14:textId="3790A520" w:rsidR="00C877F6" w:rsidRPr="00C83C48" w:rsidRDefault="00F36565">
      <w:pPr>
        <w:spacing w:line="360" w:lineRule="auto"/>
        <w:ind w:right="49" w:hanging="22"/>
        <w:jc w:val="both"/>
        <w:rPr>
          <w:rFonts w:ascii="Palatino Linotype" w:eastAsia="Palatino Linotype" w:hAnsi="Palatino Linotype" w:cs="Palatino Linotype"/>
          <w:sz w:val="22"/>
          <w:szCs w:val="22"/>
        </w:rPr>
      </w:pPr>
      <w:bookmarkStart w:id="0" w:name="_GoBack"/>
      <w:bookmarkEnd w:id="0"/>
      <w:r w:rsidRPr="00C83C48">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403AAA" w:rsidRPr="00C83C48">
        <w:rPr>
          <w:rFonts w:ascii="Palatino Linotype" w:eastAsia="Palatino Linotype" w:hAnsi="Palatino Linotype" w:cs="Palatino Linotype"/>
          <w:b/>
          <w:sz w:val="22"/>
          <w:szCs w:val="22"/>
        </w:rPr>
        <w:t>cinco</w:t>
      </w:r>
      <w:r w:rsidR="00D52078" w:rsidRPr="00C83C48">
        <w:rPr>
          <w:rFonts w:ascii="Palatino Linotype" w:eastAsia="Palatino Linotype" w:hAnsi="Palatino Linotype" w:cs="Palatino Linotype"/>
          <w:b/>
          <w:sz w:val="22"/>
          <w:szCs w:val="22"/>
        </w:rPr>
        <w:t xml:space="preserve"> de </w:t>
      </w:r>
      <w:r w:rsidR="00403AAA" w:rsidRPr="00C83C48">
        <w:rPr>
          <w:rFonts w:ascii="Palatino Linotype" w:eastAsia="Palatino Linotype" w:hAnsi="Palatino Linotype" w:cs="Palatino Linotype"/>
          <w:b/>
          <w:sz w:val="22"/>
          <w:szCs w:val="22"/>
        </w:rPr>
        <w:t>marzo</w:t>
      </w:r>
      <w:r w:rsidRPr="00C83C48">
        <w:rPr>
          <w:rFonts w:ascii="Palatino Linotype" w:eastAsia="Palatino Linotype" w:hAnsi="Palatino Linotype" w:cs="Palatino Linotype"/>
          <w:sz w:val="22"/>
          <w:szCs w:val="22"/>
        </w:rPr>
        <w:t xml:space="preserve"> </w:t>
      </w:r>
      <w:r w:rsidR="000C6DFE" w:rsidRPr="00C83C48">
        <w:rPr>
          <w:rFonts w:ascii="Palatino Linotype" w:eastAsia="Palatino Linotype" w:hAnsi="Palatino Linotype" w:cs="Palatino Linotype"/>
          <w:b/>
          <w:sz w:val="22"/>
          <w:szCs w:val="22"/>
        </w:rPr>
        <w:t>de dos mil veintiséis.</w:t>
      </w:r>
    </w:p>
    <w:p w14:paraId="7F051BA5" w14:textId="77777777" w:rsidR="00C877F6" w:rsidRPr="00C83C48" w:rsidRDefault="00C877F6">
      <w:pPr>
        <w:spacing w:line="360" w:lineRule="auto"/>
        <w:ind w:right="49"/>
        <w:jc w:val="both"/>
        <w:rPr>
          <w:rFonts w:ascii="Palatino Linotype" w:eastAsia="Palatino Linotype" w:hAnsi="Palatino Linotype" w:cs="Palatino Linotype"/>
          <w:sz w:val="22"/>
          <w:szCs w:val="22"/>
        </w:rPr>
      </w:pPr>
    </w:p>
    <w:p w14:paraId="02027E82" w14:textId="0AE446AF" w:rsidR="00C877F6" w:rsidRPr="00C83C48" w:rsidRDefault="00F36565">
      <w:pPr>
        <w:spacing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VISTO </w:t>
      </w:r>
      <w:r w:rsidRPr="00C83C48">
        <w:rPr>
          <w:rFonts w:ascii="Palatino Linotype" w:eastAsia="Palatino Linotype" w:hAnsi="Palatino Linotype" w:cs="Palatino Linotype"/>
          <w:sz w:val="22"/>
          <w:szCs w:val="22"/>
        </w:rPr>
        <w:t xml:space="preserve">el expediente relativo al recurso de revisión </w:t>
      </w:r>
      <w:r w:rsidR="001F05E3" w:rsidRPr="00C83C48">
        <w:rPr>
          <w:rFonts w:ascii="Palatino Linotype" w:eastAsia="Palatino Linotype" w:hAnsi="Palatino Linotype" w:cs="Palatino Linotype"/>
          <w:b/>
          <w:sz w:val="22"/>
          <w:szCs w:val="22"/>
        </w:rPr>
        <w:t>09214/INFOEM/IP/RR/2025</w:t>
      </w:r>
      <w:r w:rsidRPr="00C83C48">
        <w:rPr>
          <w:rFonts w:ascii="Palatino Linotype" w:eastAsia="Palatino Linotype" w:hAnsi="Palatino Linotype" w:cs="Palatino Linotype"/>
          <w:b/>
          <w:sz w:val="22"/>
          <w:szCs w:val="22"/>
        </w:rPr>
        <w:t xml:space="preserve">, </w:t>
      </w:r>
      <w:r w:rsidRPr="00C83C48">
        <w:rPr>
          <w:rFonts w:ascii="Palatino Linotype" w:eastAsia="Palatino Linotype" w:hAnsi="Palatino Linotype" w:cs="Palatino Linotype"/>
          <w:sz w:val="22"/>
          <w:szCs w:val="22"/>
        </w:rPr>
        <w:t>interpuesto por</w:t>
      </w:r>
      <w:r w:rsidR="00737A90" w:rsidRPr="00C83C48">
        <w:rPr>
          <w:rFonts w:ascii="Palatino Linotype" w:eastAsia="Palatino Linotype" w:hAnsi="Palatino Linotype" w:cs="Palatino Linotype"/>
          <w:sz w:val="22"/>
          <w:szCs w:val="22"/>
        </w:rPr>
        <w:t xml:space="preserve"> un </w:t>
      </w:r>
      <w:r w:rsidR="00737A90" w:rsidRPr="00C83C48">
        <w:rPr>
          <w:rFonts w:ascii="Palatino Linotype" w:eastAsia="Palatino Linotype" w:hAnsi="Palatino Linotype" w:cs="Palatino Linotype"/>
          <w:b/>
          <w:sz w:val="22"/>
          <w:szCs w:val="22"/>
        </w:rPr>
        <w:t>Usuario que no proporcionó su nombre</w:t>
      </w:r>
      <w:r w:rsidR="00737A90"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sz w:val="22"/>
          <w:szCs w:val="22"/>
        </w:rPr>
        <w:t xml:space="preserve">en lo sucesivo la parte </w:t>
      </w:r>
      <w:r w:rsidRPr="00C83C48">
        <w:rPr>
          <w:rFonts w:ascii="Palatino Linotype" w:eastAsia="Palatino Linotype" w:hAnsi="Palatino Linotype" w:cs="Palatino Linotype"/>
          <w:b/>
          <w:sz w:val="22"/>
          <w:szCs w:val="22"/>
        </w:rPr>
        <w:t>Recurrente</w:t>
      </w:r>
      <w:r w:rsidRPr="00C83C48">
        <w:rPr>
          <w:rFonts w:ascii="Palatino Linotype" w:eastAsia="Palatino Linotype" w:hAnsi="Palatino Linotype" w:cs="Palatino Linotype"/>
          <w:sz w:val="22"/>
          <w:szCs w:val="22"/>
        </w:rPr>
        <w:t xml:space="preserve">, en contra de la respuesta a la solicitud de información por parte del </w:t>
      </w:r>
      <w:r w:rsidR="000C6DFE" w:rsidRPr="00C83C48">
        <w:rPr>
          <w:rFonts w:ascii="Palatino Linotype" w:eastAsia="Palatino Linotype" w:hAnsi="Palatino Linotype" w:cs="Palatino Linotype"/>
          <w:b/>
          <w:sz w:val="22"/>
          <w:szCs w:val="22"/>
        </w:rPr>
        <w:t>Ayuntamiento de Toluca</w:t>
      </w:r>
      <w:r w:rsidRPr="00C83C48">
        <w:rPr>
          <w:rFonts w:ascii="Palatino Linotype" w:eastAsia="Palatino Linotype" w:hAnsi="Palatino Linotype" w:cs="Palatino Linotype"/>
          <w:sz w:val="22"/>
          <w:szCs w:val="22"/>
        </w:rPr>
        <w:t xml:space="preserve">, en lo sucesivo el </w:t>
      </w:r>
      <w:r w:rsidRPr="00C83C48">
        <w:rPr>
          <w:rFonts w:ascii="Palatino Linotype" w:eastAsia="Palatino Linotype" w:hAnsi="Palatino Linotype" w:cs="Palatino Linotype"/>
          <w:b/>
          <w:sz w:val="22"/>
          <w:szCs w:val="22"/>
        </w:rPr>
        <w:t xml:space="preserve">Sujeto Obligado; </w:t>
      </w:r>
      <w:r w:rsidRPr="00C83C48">
        <w:rPr>
          <w:rFonts w:ascii="Palatino Linotype" w:eastAsia="Palatino Linotype" w:hAnsi="Palatino Linotype" w:cs="Palatino Linotype"/>
          <w:sz w:val="22"/>
          <w:szCs w:val="22"/>
        </w:rPr>
        <w:t>se procede a dictar la presente resolución, con base en lo siguiente.</w:t>
      </w:r>
      <w:r w:rsidR="005C2ED1" w:rsidRPr="00C83C48">
        <w:rPr>
          <w:rFonts w:ascii="Palatino Linotype" w:eastAsia="Palatino Linotype" w:hAnsi="Palatino Linotype" w:cs="Palatino Linotype"/>
          <w:sz w:val="22"/>
          <w:szCs w:val="22"/>
        </w:rPr>
        <w:t xml:space="preserve"> </w:t>
      </w:r>
    </w:p>
    <w:p w14:paraId="34BBF48E" w14:textId="77777777" w:rsidR="00C877F6" w:rsidRPr="00C83C48" w:rsidRDefault="00C877F6">
      <w:pPr>
        <w:spacing w:line="360" w:lineRule="auto"/>
        <w:ind w:right="49"/>
        <w:jc w:val="both"/>
        <w:rPr>
          <w:rFonts w:ascii="Palatino Linotype" w:eastAsia="Palatino Linotype" w:hAnsi="Palatino Linotype" w:cs="Palatino Linotype"/>
          <w:sz w:val="22"/>
          <w:szCs w:val="22"/>
        </w:rPr>
      </w:pPr>
    </w:p>
    <w:p w14:paraId="29A1AF53" w14:textId="5EB2DA70" w:rsidR="00C877F6" w:rsidRPr="00C83C48" w:rsidRDefault="00F36565">
      <w:pPr>
        <w:spacing w:line="360" w:lineRule="auto"/>
        <w:ind w:right="49"/>
        <w:jc w:val="center"/>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I.</w:t>
      </w:r>
      <w:r w:rsidRPr="00C83C48">
        <w:rPr>
          <w:rFonts w:ascii="Palatino Linotype" w:eastAsia="Palatino Linotype" w:hAnsi="Palatino Linotype" w:cs="Palatino Linotype"/>
          <w:b/>
          <w:sz w:val="22"/>
          <w:szCs w:val="22"/>
        </w:rPr>
        <w:tab/>
        <w:t>A N T E C E D E N T E S</w:t>
      </w:r>
      <w:r w:rsidR="005C74CB" w:rsidRPr="00C83C48">
        <w:rPr>
          <w:rFonts w:ascii="Palatino Linotype" w:eastAsia="Palatino Linotype" w:hAnsi="Palatino Linotype" w:cs="Palatino Linotype"/>
          <w:b/>
          <w:sz w:val="22"/>
          <w:szCs w:val="22"/>
        </w:rPr>
        <w:t xml:space="preserve"> </w:t>
      </w:r>
    </w:p>
    <w:p w14:paraId="3ACFD56D" w14:textId="77777777" w:rsidR="00C877F6" w:rsidRPr="00C83C48" w:rsidRDefault="00C877F6">
      <w:pPr>
        <w:spacing w:line="360" w:lineRule="auto"/>
        <w:ind w:right="49"/>
        <w:jc w:val="both"/>
        <w:rPr>
          <w:rFonts w:ascii="Palatino Linotype" w:eastAsia="Palatino Linotype" w:hAnsi="Palatino Linotype" w:cs="Palatino Linotype"/>
          <w:sz w:val="22"/>
          <w:szCs w:val="22"/>
        </w:rPr>
      </w:pPr>
    </w:p>
    <w:p w14:paraId="523B7B02" w14:textId="4D42BB8B"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1.</w:t>
      </w:r>
      <w:r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b/>
          <w:sz w:val="22"/>
          <w:szCs w:val="22"/>
        </w:rPr>
        <w:t xml:space="preserve">Solicitud </w:t>
      </w:r>
      <w:r w:rsidR="00D3382D" w:rsidRPr="00C83C48">
        <w:rPr>
          <w:rFonts w:ascii="Palatino Linotype" w:eastAsia="Palatino Linotype" w:hAnsi="Palatino Linotype" w:cs="Palatino Linotype"/>
          <w:b/>
          <w:sz w:val="22"/>
          <w:szCs w:val="22"/>
        </w:rPr>
        <w:t xml:space="preserve">de </w:t>
      </w:r>
      <w:r w:rsidR="009456FA" w:rsidRPr="00C83C48">
        <w:rPr>
          <w:rFonts w:ascii="Palatino Linotype" w:eastAsia="Palatino Linotype" w:hAnsi="Palatino Linotype" w:cs="Palatino Linotype"/>
          <w:b/>
          <w:sz w:val="22"/>
          <w:szCs w:val="22"/>
        </w:rPr>
        <w:t xml:space="preserve">Acceso a la Información. El </w:t>
      </w:r>
      <w:r w:rsidR="001F05E3" w:rsidRPr="00C83C48">
        <w:rPr>
          <w:rFonts w:ascii="Palatino Linotype" w:eastAsia="Palatino Linotype" w:hAnsi="Palatino Linotype" w:cs="Palatino Linotype"/>
          <w:b/>
          <w:sz w:val="22"/>
          <w:szCs w:val="22"/>
        </w:rPr>
        <w:t>once</w:t>
      </w:r>
      <w:r w:rsidR="00287278" w:rsidRPr="00C83C48">
        <w:rPr>
          <w:rFonts w:ascii="Palatino Linotype" w:eastAsia="Palatino Linotype" w:hAnsi="Palatino Linotype" w:cs="Palatino Linotype"/>
          <w:b/>
          <w:sz w:val="22"/>
          <w:szCs w:val="22"/>
        </w:rPr>
        <w:t xml:space="preserve"> </w:t>
      </w:r>
      <w:r w:rsidR="00D3382D" w:rsidRPr="00C83C48">
        <w:rPr>
          <w:rFonts w:ascii="Palatino Linotype" w:eastAsia="Palatino Linotype" w:hAnsi="Palatino Linotype" w:cs="Palatino Linotype"/>
          <w:b/>
          <w:sz w:val="22"/>
          <w:szCs w:val="22"/>
        </w:rPr>
        <w:t xml:space="preserve">de </w:t>
      </w:r>
      <w:r w:rsidR="00403AAA" w:rsidRPr="00C83C48">
        <w:rPr>
          <w:rFonts w:ascii="Palatino Linotype" w:eastAsia="Palatino Linotype" w:hAnsi="Palatino Linotype" w:cs="Palatino Linotype"/>
          <w:b/>
          <w:sz w:val="22"/>
          <w:szCs w:val="22"/>
        </w:rPr>
        <w:t>junio</w:t>
      </w:r>
      <w:r w:rsidRPr="00C83C48">
        <w:rPr>
          <w:rFonts w:ascii="Palatino Linotype" w:eastAsia="Palatino Linotype" w:hAnsi="Palatino Linotype" w:cs="Palatino Linotype"/>
          <w:b/>
          <w:sz w:val="22"/>
          <w:szCs w:val="22"/>
        </w:rPr>
        <w:t xml:space="preserve"> de dos mil veinticinco</w:t>
      </w:r>
      <w:r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b/>
          <w:sz w:val="22"/>
          <w:szCs w:val="22"/>
        </w:rPr>
        <w:t>LA PARTE</w:t>
      </w:r>
      <w:r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b/>
          <w:sz w:val="22"/>
          <w:szCs w:val="22"/>
        </w:rPr>
        <w:t>RECURRENTE</w:t>
      </w:r>
      <w:r w:rsidRPr="00C83C48">
        <w:rPr>
          <w:rFonts w:ascii="Palatino Linotype" w:eastAsia="Palatino Linotype" w:hAnsi="Palatino Linotype" w:cs="Palatino Linotype"/>
          <w:sz w:val="22"/>
          <w:szCs w:val="22"/>
        </w:rPr>
        <w:t xml:space="preserve"> formuló solicitud de acceso a información pública a través del </w:t>
      </w:r>
      <w:r w:rsidRPr="00C83C48">
        <w:rPr>
          <w:rFonts w:ascii="Palatino Linotype" w:eastAsia="Palatino Linotype" w:hAnsi="Palatino Linotype" w:cs="Palatino Linotype"/>
          <w:b/>
          <w:sz w:val="22"/>
          <w:szCs w:val="22"/>
        </w:rPr>
        <w:t>SAIMEX</w:t>
      </w:r>
      <w:r w:rsidRPr="00C83C48">
        <w:rPr>
          <w:rFonts w:ascii="Palatino Linotype" w:eastAsia="Palatino Linotype" w:hAnsi="Palatino Linotype" w:cs="Palatino Linotype"/>
          <w:sz w:val="22"/>
          <w:szCs w:val="22"/>
        </w:rPr>
        <w:t xml:space="preserve">, en la que requirió lo siguiente: </w:t>
      </w:r>
    </w:p>
    <w:p w14:paraId="4EEACF59"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21215815" w14:textId="49509993" w:rsidR="00C877F6" w:rsidRPr="00C83C48" w:rsidRDefault="00F36565" w:rsidP="001244B6">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sz w:val="22"/>
          <w:szCs w:val="22"/>
        </w:rPr>
      </w:pPr>
      <w:bookmarkStart w:id="1" w:name="_heading=h.3znysh7" w:colFirst="0" w:colLast="0"/>
      <w:bookmarkEnd w:id="1"/>
      <w:r w:rsidRPr="00C83C48">
        <w:rPr>
          <w:rFonts w:ascii="Palatino Linotype" w:eastAsia="Palatino Linotype" w:hAnsi="Palatino Linotype" w:cs="Palatino Linotype"/>
          <w:b/>
          <w:sz w:val="22"/>
          <w:szCs w:val="22"/>
        </w:rPr>
        <w:t>0</w:t>
      </w:r>
      <w:r w:rsidR="00403AAA" w:rsidRPr="00C83C48">
        <w:rPr>
          <w:rFonts w:ascii="Palatino Linotype" w:eastAsia="Palatino Linotype" w:hAnsi="Palatino Linotype" w:cs="Palatino Linotype"/>
          <w:b/>
          <w:sz w:val="22"/>
          <w:szCs w:val="22"/>
        </w:rPr>
        <w:t>3</w:t>
      </w:r>
      <w:r w:rsidR="001F05E3" w:rsidRPr="00C83C48">
        <w:rPr>
          <w:rFonts w:ascii="Palatino Linotype" w:eastAsia="Palatino Linotype" w:hAnsi="Palatino Linotype" w:cs="Palatino Linotype"/>
          <w:b/>
          <w:sz w:val="22"/>
          <w:szCs w:val="22"/>
        </w:rPr>
        <w:t>392</w:t>
      </w:r>
      <w:r w:rsidRPr="00C83C48">
        <w:rPr>
          <w:rFonts w:ascii="Palatino Linotype" w:eastAsia="Palatino Linotype" w:hAnsi="Palatino Linotype" w:cs="Palatino Linotype"/>
          <w:b/>
          <w:sz w:val="22"/>
          <w:szCs w:val="22"/>
        </w:rPr>
        <w:t>/</w:t>
      </w:r>
      <w:r w:rsidR="000C6DFE" w:rsidRPr="00C83C48">
        <w:rPr>
          <w:rFonts w:ascii="Palatino Linotype" w:eastAsia="Palatino Linotype" w:hAnsi="Palatino Linotype" w:cs="Palatino Linotype"/>
          <w:b/>
          <w:sz w:val="22"/>
          <w:szCs w:val="22"/>
        </w:rPr>
        <w:t>TOLUCA</w:t>
      </w:r>
      <w:r w:rsidRPr="00C83C48">
        <w:rPr>
          <w:rFonts w:ascii="Palatino Linotype" w:eastAsia="Palatino Linotype" w:hAnsi="Palatino Linotype" w:cs="Palatino Linotype"/>
          <w:b/>
          <w:sz w:val="22"/>
          <w:szCs w:val="22"/>
        </w:rPr>
        <w:t>/IP/2025</w:t>
      </w:r>
    </w:p>
    <w:p w14:paraId="173CF3CD" w14:textId="39DD673C" w:rsidR="00C877F6" w:rsidRPr="00C83C48" w:rsidRDefault="00F36565">
      <w:pPr>
        <w:spacing w:line="276" w:lineRule="auto"/>
        <w:ind w:left="567" w:right="843"/>
        <w:jc w:val="both"/>
        <w:rPr>
          <w:rFonts w:ascii="Palatino Linotype" w:eastAsia="Palatino Linotype" w:hAnsi="Palatino Linotype" w:cs="Palatino Linotype"/>
          <w:b/>
          <w:i/>
          <w:sz w:val="22"/>
          <w:szCs w:val="22"/>
        </w:rPr>
      </w:pPr>
      <w:r w:rsidRPr="00C83C48">
        <w:rPr>
          <w:rFonts w:ascii="Palatino Linotype" w:eastAsia="Palatino Linotype" w:hAnsi="Palatino Linotype" w:cs="Palatino Linotype"/>
          <w:i/>
          <w:sz w:val="22"/>
          <w:szCs w:val="22"/>
        </w:rPr>
        <w:t>"</w:t>
      </w:r>
      <w:r w:rsidR="001F05E3" w:rsidRPr="00C83C48">
        <w:rPr>
          <w:rFonts w:ascii="Palatino Linotype" w:eastAsia="Palatino Linotype" w:hAnsi="Palatino Linotype" w:cs="Palatino Linotype"/>
          <w:i/>
          <w:sz w:val="22"/>
          <w:szCs w:val="22"/>
        </w:rPr>
        <w:t>. Versión pública del documento digital o escaneado, del programa de obras o cualquier o cualquier otro en el que aparezcan las obras aprobadas en sesión pública por el h. ayuntamiento. 2. Versión pública del documento digital o escaneado, del listado de contratos en materia de obra pública, que hayan sido celebrados por ese ayuntamiento durante el ejercicio fiscal 2024, así como el nombre de las personas físicas o jurídicas colectivas, que se hayan contratado. 3.Se me informe sobre el estado administrativo, legal, financiero y físico (si se encuentra concluida o no su ejecución) de las contratadas durante el ejercicio 2024. 4. Lista de contratos en materia de obra pública celebrados durante el ejercicio 2025, así como el nombre de las personas físicas o jurídicas colectivas, que se hayan contratado.</w:t>
      </w:r>
      <w:r w:rsidRPr="00C83C48">
        <w:rPr>
          <w:rFonts w:ascii="Palatino Linotype" w:eastAsia="Palatino Linotype" w:hAnsi="Palatino Linotype" w:cs="Palatino Linotype"/>
          <w:b/>
          <w:i/>
          <w:sz w:val="22"/>
          <w:szCs w:val="22"/>
        </w:rPr>
        <w:t>” (Sic.)</w:t>
      </w:r>
    </w:p>
    <w:p w14:paraId="1861AE9B" w14:textId="77777777" w:rsidR="00C877F6" w:rsidRPr="00C83C48" w:rsidRDefault="00C877F6">
      <w:pPr>
        <w:spacing w:line="360" w:lineRule="auto"/>
        <w:ind w:left="567" w:right="843"/>
        <w:jc w:val="both"/>
        <w:rPr>
          <w:rFonts w:ascii="Palatino Linotype" w:eastAsia="Palatino Linotype" w:hAnsi="Palatino Linotype" w:cs="Palatino Linotype"/>
          <w:i/>
          <w:sz w:val="22"/>
          <w:szCs w:val="22"/>
        </w:rPr>
      </w:pPr>
    </w:p>
    <w:p w14:paraId="76742D72" w14:textId="77777777" w:rsidR="00C877F6" w:rsidRPr="00C83C48" w:rsidRDefault="00F36565">
      <w:pPr>
        <w:spacing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Modalidad elegida para la entrega de la información:</w:t>
      </w:r>
      <w:r w:rsidRPr="00C83C48">
        <w:rPr>
          <w:rFonts w:ascii="Palatino Linotype" w:eastAsia="Palatino Linotype" w:hAnsi="Palatino Linotype" w:cs="Palatino Linotype"/>
          <w:sz w:val="22"/>
          <w:szCs w:val="22"/>
        </w:rPr>
        <w:t xml:space="preserve"> a través del Sistema de Acceso a la Información Mexiquense (SAIMEX).</w:t>
      </w:r>
    </w:p>
    <w:p w14:paraId="62007702" w14:textId="77777777" w:rsidR="00C877F6" w:rsidRPr="00C83C48" w:rsidRDefault="00C877F6">
      <w:pPr>
        <w:widowControl w:val="0"/>
        <w:spacing w:line="360" w:lineRule="auto"/>
        <w:jc w:val="both"/>
        <w:rPr>
          <w:rFonts w:ascii="Palatino Linotype" w:eastAsia="Palatino Linotype" w:hAnsi="Palatino Linotype" w:cs="Palatino Linotype"/>
          <w:b/>
          <w:sz w:val="22"/>
          <w:szCs w:val="22"/>
        </w:rPr>
      </w:pPr>
    </w:p>
    <w:p w14:paraId="46E266A9" w14:textId="6282C518" w:rsidR="00C877F6" w:rsidRPr="00C83C48" w:rsidRDefault="00F36565">
      <w:pPr>
        <w:widowControl w:val="0"/>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2. Respuesta.</w:t>
      </w:r>
      <w:r w:rsidRPr="00C83C48">
        <w:rPr>
          <w:rFonts w:ascii="Palatino Linotype" w:eastAsia="Palatino Linotype" w:hAnsi="Palatino Linotype" w:cs="Palatino Linotype"/>
          <w:sz w:val="22"/>
          <w:szCs w:val="22"/>
        </w:rPr>
        <w:t xml:space="preserve"> El </w:t>
      </w:r>
      <w:r w:rsidR="001F05E3" w:rsidRPr="00C83C48">
        <w:rPr>
          <w:rFonts w:ascii="Palatino Linotype" w:eastAsia="Palatino Linotype" w:hAnsi="Palatino Linotype" w:cs="Palatino Linotype"/>
          <w:b/>
          <w:sz w:val="22"/>
          <w:szCs w:val="22"/>
        </w:rPr>
        <w:t>dos</w:t>
      </w:r>
      <w:r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b/>
          <w:sz w:val="22"/>
          <w:szCs w:val="22"/>
        </w:rPr>
        <w:t xml:space="preserve">de </w:t>
      </w:r>
      <w:r w:rsidR="00403AAA" w:rsidRPr="00C83C48">
        <w:rPr>
          <w:rFonts w:ascii="Palatino Linotype" w:eastAsia="Palatino Linotype" w:hAnsi="Palatino Linotype" w:cs="Palatino Linotype"/>
          <w:b/>
          <w:sz w:val="22"/>
          <w:szCs w:val="22"/>
        </w:rPr>
        <w:t>julio</w:t>
      </w:r>
      <w:r w:rsidR="009456FA" w:rsidRPr="00C83C48">
        <w:rPr>
          <w:rFonts w:ascii="Palatino Linotype" w:eastAsia="Palatino Linotype" w:hAnsi="Palatino Linotype" w:cs="Palatino Linotype"/>
          <w:b/>
          <w:sz w:val="22"/>
          <w:szCs w:val="22"/>
        </w:rPr>
        <w:t xml:space="preserve"> </w:t>
      </w:r>
      <w:r w:rsidRPr="00C83C48">
        <w:rPr>
          <w:rFonts w:ascii="Palatino Linotype" w:eastAsia="Palatino Linotype" w:hAnsi="Palatino Linotype" w:cs="Palatino Linotype"/>
          <w:b/>
          <w:sz w:val="22"/>
          <w:szCs w:val="22"/>
        </w:rPr>
        <w:t>de dos mil veinticinco</w:t>
      </w:r>
      <w:r w:rsidRPr="00C83C48">
        <w:rPr>
          <w:rFonts w:ascii="Palatino Linotype" w:eastAsia="Palatino Linotype" w:hAnsi="Palatino Linotype" w:cs="Palatino Linotype"/>
          <w:sz w:val="22"/>
          <w:szCs w:val="22"/>
        </w:rPr>
        <w:t>, el Sujeto Obligado dio respuesta a la solicitud en los siguientes términos:</w:t>
      </w:r>
    </w:p>
    <w:p w14:paraId="7689408D" w14:textId="77777777" w:rsidR="00C877F6" w:rsidRPr="00C83C48" w:rsidRDefault="00C877F6">
      <w:pPr>
        <w:widowControl w:val="0"/>
        <w:spacing w:line="360" w:lineRule="auto"/>
        <w:jc w:val="both"/>
        <w:rPr>
          <w:rFonts w:ascii="Palatino Linotype" w:eastAsia="Palatino Linotype" w:hAnsi="Palatino Linotype" w:cs="Palatino Linotype"/>
          <w:sz w:val="22"/>
          <w:szCs w:val="22"/>
        </w:rPr>
      </w:pPr>
    </w:p>
    <w:p w14:paraId="18CF795C" w14:textId="77777777" w:rsidR="001F05E3" w:rsidRPr="00C83C48" w:rsidRDefault="00F36565" w:rsidP="001F05E3">
      <w:pPr>
        <w:widowControl w:val="0"/>
        <w:spacing w:line="360" w:lineRule="auto"/>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r w:rsidR="001F05E3" w:rsidRPr="00C83C48">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A6F817B" w14:textId="77777777" w:rsidR="001F05E3" w:rsidRPr="00C83C48" w:rsidRDefault="001F05E3" w:rsidP="001F05E3">
      <w:pPr>
        <w:widowControl w:val="0"/>
        <w:spacing w:line="360" w:lineRule="auto"/>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En atención a la solicitud con folio 03392/TOLUCA/IP/2025, me permito adjuntar al presente la respuesta correspondiente, Sin más por el momento, reciba un saludo.</w:t>
      </w:r>
    </w:p>
    <w:p w14:paraId="52C73B53" w14:textId="77777777" w:rsidR="001F05E3" w:rsidRPr="00C83C48" w:rsidRDefault="001F05E3" w:rsidP="001F05E3">
      <w:pPr>
        <w:widowControl w:val="0"/>
        <w:spacing w:line="360" w:lineRule="auto"/>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ATENTAMENTE</w:t>
      </w:r>
    </w:p>
    <w:p w14:paraId="7858BA1C" w14:textId="403BD1B8" w:rsidR="00C877F6" w:rsidRPr="00C83C48" w:rsidRDefault="001F05E3" w:rsidP="001F05E3">
      <w:pPr>
        <w:widowControl w:val="0"/>
        <w:spacing w:line="360" w:lineRule="auto"/>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Dr. </w:t>
      </w:r>
      <w:proofErr w:type="spellStart"/>
      <w:r w:rsidRPr="00C83C48">
        <w:rPr>
          <w:rFonts w:ascii="Palatino Linotype" w:eastAsia="Palatino Linotype" w:hAnsi="Palatino Linotype" w:cs="Palatino Linotype"/>
          <w:i/>
          <w:sz w:val="22"/>
          <w:szCs w:val="22"/>
        </w:rPr>
        <w:t>Nahum</w:t>
      </w:r>
      <w:proofErr w:type="spellEnd"/>
      <w:r w:rsidRPr="00C83C48">
        <w:rPr>
          <w:rFonts w:ascii="Palatino Linotype" w:eastAsia="Palatino Linotype" w:hAnsi="Palatino Linotype" w:cs="Palatino Linotype"/>
          <w:i/>
          <w:sz w:val="22"/>
          <w:szCs w:val="22"/>
        </w:rPr>
        <w:t xml:space="preserve"> Miguel Mendoza Morales</w:t>
      </w:r>
      <w:r w:rsidR="00287278" w:rsidRPr="00C83C48">
        <w:rPr>
          <w:rFonts w:ascii="Palatino Linotype" w:eastAsia="Palatino Linotype" w:hAnsi="Palatino Linotype" w:cs="Palatino Linotype"/>
          <w:i/>
          <w:sz w:val="22"/>
          <w:szCs w:val="22"/>
        </w:rPr>
        <w:t>”</w:t>
      </w:r>
    </w:p>
    <w:p w14:paraId="7C751FDF" w14:textId="77777777" w:rsidR="009456FA" w:rsidRPr="00C83C48" w:rsidRDefault="009456FA" w:rsidP="009456FA">
      <w:pPr>
        <w:widowControl w:val="0"/>
        <w:spacing w:line="360" w:lineRule="auto"/>
        <w:ind w:left="567" w:right="843"/>
        <w:jc w:val="both"/>
        <w:rPr>
          <w:rFonts w:ascii="Palatino Linotype" w:eastAsia="Palatino Linotype" w:hAnsi="Palatino Linotype" w:cs="Palatino Linotype"/>
          <w:i/>
          <w:sz w:val="22"/>
          <w:szCs w:val="22"/>
        </w:rPr>
      </w:pPr>
    </w:p>
    <w:p w14:paraId="369D8218" w14:textId="77777777" w:rsidR="00D42C47" w:rsidRPr="00C83C48" w:rsidRDefault="00F36565">
      <w:pPr>
        <w:widowControl w:val="0"/>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El Sujeto Obligado adjunt</w:t>
      </w:r>
      <w:r w:rsidR="000D6BF4" w:rsidRPr="00C83C48">
        <w:rPr>
          <w:rFonts w:ascii="Palatino Linotype" w:eastAsia="Palatino Linotype" w:hAnsi="Palatino Linotype" w:cs="Palatino Linotype"/>
          <w:sz w:val="22"/>
          <w:szCs w:val="22"/>
        </w:rPr>
        <w:t xml:space="preserve">ó </w:t>
      </w:r>
      <w:r w:rsidR="00D42C47" w:rsidRPr="00C83C48">
        <w:rPr>
          <w:rFonts w:ascii="Palatino Linotype" w:eastAsia="Palatino Linotype" w:hAnsi="Palatino Linotype" w:cs="Palatino Linotype"/>
          <w:sz w:val="22"/>
          <w:szCs w:val="22"/>
        </w:rPr>
        <w:t>los documentos electrónicos siguientes:</w:t>
      </w:r>
    </w:p>
    <w:p w14:paraId="05AA89CB" w14:textId="77777777" w:rsidR="00D42C47" w:rsidRPr="00C83C48" w:rsidRDefault="00D42C47">
      <w:pPr>
        <w:widowControl w:val="0"/>
        <w:spacing w:line="360" w:lineRule="auto"/>
        <w:jc w:val="both"/>
        <w:rPr>
          <w:rFonts w:ascii="Palatino Linotype" w:eastAsia="Palatino Linotype" w:hAnsi="Palatino Linotype" w:cs="Palatino Linotype"/>
          <w:sz w:val="22"/>
          <w:szCs w:val="22"/>
        </w:rPr>
      </w:pPr>
    </w:p>
    <w:p w14:paraId="35A64310" w14:textId="19A575F4" w:rsidR="001F05E3" w:rsidRPr="00C83C48" w:rsidRDefault="001F05E3" w:rsidP="00AF6DAF">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 xml:space="preserve">Anexo 1 </w:t>
      </w:r>
      <w:proofErr w:type="spellStart"/>
      <w:r w:rsidRPr="00C83C48">
        <w:rPr>
          <w:rFonts w:ascii="Palatino Linotype" w:eastAsia="Palatino Linotype" w:hAnsi="Palatino Linotype" w:cs="Palatino Linotype"/>
          <w:b/>
          <w:sz w:val="22"/>
          <w:szCs w:val="22"/>
        </w:rPr>
        <w:t>Saimex</w:t>
      </w:r>
      <w:proofErr w:type="spellEnd"/>
      <w:r w:rsidRPr="00C83C48">
        <w:rPr>
          <w:rFonts w:ascii="Palatino Linotype" w:eastAsia="Palatino Linotype" w:hAnsi="Palatino Linotype" w:cs="Palatino Linotype"/>
          <w:b/>
          <w:sz w:val="22"/>
          <w:szCs w:val="22"/>
        </w:rPr>
        <w:t xml:space="preserve"> 03392.pdf: </w:t>
      </w:r>
      <w:r w:rsidRPr="00C83C48">
        <w:rPr>
          <w:rFonts w:ascii="Palatino Linotype" w:eastAsia="Palatino Linotype" w:hAnsi="Palatino Linotype" w:cs="Palatino Linotype"/>
          <w:sz w:val="22"/>
          <w:szCs w:val="22"/>
        </w:rPr>
        <w:t>Documento emitido por el Secretario del Ayuntamiento mediante el cual remite el programa anual de obra pública para el ejercicio fiscal 2024. Con un listado de un total de ciento treinta y un registros de obra pública.</w:t>
      </w:r>
      <w:r w:rsidRPr="00C83C48">
        <w:rPr>
          <w:rFonts w:ascii="Palatino Linotype" w:eastAsia="Palatino Linotype" w:hAnsi="Palatino Linotype" w:cs="Palatino Linotype"/>
          <w:b/>
          <w:sz w:val="22"/>
          <w:szCs w:val="22"/>
        </w:rPr>
        <w:t xml:space="preserve"> </w:t>
      </w:r>
    </w:p>
    <w:p w14:paraId="46677C0D" w14:textId="1FC13E6B" w:rsidR="001F05E3" w:rsidRPr="00C83C48" w:rsidRDefault="001F05E3" w:rsidP="00AF6DAF">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 xml:space="preserve">Anexo 2 </w:t>
      </w:r>
      <w:proofErr w:type="spellStart"/>
      <w:r w:rsidRPr="00C83C48">
        <w:rPr>
          <w:rFonts w:ascii="Palatino Linotype" w:eastAsia="Palatino Linotype" w:hAnsi="Palatino Linotype" w:cs="Palatino Linotype"/>
          <w:b/>
          <w:sz w:val="22"/>
          <w:szCs w:val="22"/>
        </w:rPr>
        <w:t>Saimex</w:t>
      </w:r>
      <w:proofErr w:type="spellEnd"/>
      <w:r w:rsidRPr="00C83C48">
        <w:rPr>
          <w:rFonts w:ascii="Palatino Linotype" w:eastAsia="Palatino Linotype" w:hAnsi="Palatino Linotype" w:cs="Palatino Linotype"/>
          <w:b/>
          <w:sz w:val="22"/>
          <w:szCs w:val="22"/>
        </w:rPr>
        <w:t xml:space="preserve"> 03392.pdf</w:t>
      </w:r>
      <w:r w:rsidR="00E21FDE" w:rsidRPr="00C83C48">
        <w:rPr>
          <w:rFonts w:ascii="Palatino Linotype" w:eastAsia="Palatino Linotype" w:hAnsi="Palatino Linotype" w:cs="Palatino Linotype"/>
          <w:b/>
          <w:sz w:val="22"/>
          <w:szCs w:val="22"/>
        </w:rPr>
        <w:t xml:space="preserve">: </w:t>
      </w:r>
      <w:r w:rsidR="00E21FDE" w:rsidRPr="00C83C48">
        <w:rPr>
          <w:rFonts w:ascii="Palatino Linotype" w:eastAsia="Palatino Linotype" w:hAnsi="Palatino Linotype" w:cs="Palatino Linotype"/>
          <w:sz w:val="22"/>
          <w:szCs w:val="22"/>
        </w:rPr>
        <w:t>Documento que contiene el Programa Anual de Obra Pública para el ejercicio fiscal 2024.</w:t>
      </w:r>
    </w:p>
    <w:p w14:paraId="0B0EE441" w14:textId="7D283E6D" w:rsidR="001F05E3" w:rsidRPr="00C83C48" w:rsidRDefault="001F05E3" w:rsidP="00AF6DAF">
      <w:pPr>
        <w:pStyle w:val="Prrafodelista"/>
        <w:widowControl w:val="0"/>
        <w:numPr>
          <w:ilvl w:val="0"/>
          <w:numId w:val="26"/>
        </w:numPr>
        <w:spacing w:line="360" w:lineRule="auto"/>
        <w:ind w:left="70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Respuesta </w:t>
      </w:r>
      <w:proofErr w:type="spellStart"/>
      <w:r w:rsidRPr="00C83C48">
        <w:rPr>
          <w:rFonts w:ascii="Palatino Linotype" w:eastAsia="Palatino Linotype" w:hAnsi="Palatino Linotype" w:cs="Palatino Linotype"/>
          <w:b/>
          <w:sz w:val="22"/>
          <w:szCs w:val="22"/>
        </w:rPr>
        <w:t>Saimex</w:t>
      </w:r>
      <w:proofErr w:type="spellEnd"/>
      <w:r w:rsidRPr="00C83C48">
        <w:rPr>
          <w:rFonts w:ascii="Palatino Linotype" w:eastAsia="Palatino Linotype" w:hAnsi="Palatino Linotype" w:cs="Palatino Linotype"/>
          <w:b/>
          <w:sz w:val="22"/>
          <w:szCs w:val="22"/>
        </w:rPr>
        <w:t xml:space="preserve"> 03392.pdf</w:t>
      </w:r>
      <w:r w:rsidR="00E21FDE" w:rsidRPr="00C83C48">
        <w:rPr>
          <w:rFonts w:ascii="Palatino Linotype" w:eastAsia="Palatino Linotype" w:hAnsi="Palatino Linotype" w:cs="Palatino Linotype"/>
          <w:b/>
          <w:sz w:val="22"/>
          <w:szCs w:val="22"/>
        </w:rPr>
        <w:t xml:space="preserve">: </w:t>
      </w:r>
      <w:r w:rsidR="00E21FDE" w:rsidRPr="00C83C48">
        <w:rPr>
          <w:rFonts w:ascii="Palatino Linotype" w:eastAsia="Palatino Linotype" w:hAnsi="Palatino Linotype" w:cs="Palatino Linotype"/>
          <w:sz w:val="22"/>
          <w:szCs w:val="22"/>
        </w:rPr>
        <w:t xml:space="preserve">Oficio suscrito por el Director General de Obras Públicas mediante el cual refiere que se atienden los puntos 1, 2 y 3. </w:t>
      </w:r>
      <w:r w:rsidR="00B2209C" w:rsidRPr="00C83C48">
        <w:rPr>
          <w:rFonts w:ascii="Palatino Linotype" w:eastAsia="Palatino Linotype" w:hAnsi="Palatino Linotype" w:cs="Palatino Linotype"/>
          <w:sz w:val="22"/>
          <w:szCs w:val="22"/>
        </w:rPr>
        <w:t>Señala que en el punto 4, no se han realizado procedimientos de contratación</w:t>
      </w:r>
      <w:r w:rsidR="001D56E0" w:rsidRPr="00C83C48">
        <w:rPr>
          <w:rFonts w:ascii="Palatino Linotype" w:eastAsia="Palatino Linotype" w:hAnsi="Palatino Linotype" w:cs="Palatino Linotype"/>
          <w:b/>
          <w:sz w:val="22"/>
          <w:szCs w:val="22"/>
        </w:rPr>
        <w:t xml:space="preserve"> </w:t>
      </w:r>
      <w:r w:rsidR="001D56E0" w:rsidRPr="00C83C48">
        <w:rPr>
          <w:rFonts w:ascii="Palatino Linotype" w:eastAsia="Palatino Linotype" w:hAnsi="Palatino Linotype" w:cs="Palatino Linotype"/>
          <w:sz w:val="22"/>
          <w:szCs w:val="22"/>
        </w:rPr>
        <w:t>de obras pública, por lo que no se han generado ni administrado contratos.</w:t>
      </w:r>
    </w:p>
    <w:p w14:paraId="555749CF" w14:textId="37D2D09E" w:rsidR="001F05E3" w:rsidRPr="00C83C48" w:rsidRDefault="001F05E3" w:rsidP="00AF6DAF">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lastRenderedPageBreak/>
        <w:t>SA anexo SAIMEX 3392 -1.pdf</w:t>
      </w:r>
      <w:r w:rsidR="001D56E0" w:rsidRPr="00C83C48">
        <w:rPr>
          <w:rFonts w:ascii="Palatino Linotype" w:eastAsia="Palatino Linotype" w:hAnsi="Palatino Linotype" w:cs="Palatino Linotype"/>
          <w:b/>
          <w:sz w:val="22"/>
          <w:szCs w:val="22"/>
        </w:rPr>
        <w:t xml:space="preserve">: </w:t>
      </w:r>
      <w:r w:rsidR="001D56E0" w:rsidRPr="00C83C48">
        <w:rPr>
          <w:rFonts w:ascii="Palatino Linotype" w:eastAsia="Palatino Linotype" w:hAnsi="Palatino Linotype" w:cs="Palatino Linotype"/>
          <w:sz w:val="22"/>
          <w:szCs w:val="22"/>
        </w:rPr>
        <w:t xml:space="preserve">Contiene el acta de la Quincuagésima Cuarta Sesión Extraordinaria de Cabildo en la que se aprobó </w:t>
      </w:r>
      <w:r w:rsidR="00111CC6" w:rsidRPr="00C83C48">
        <w:rPr>
          <w:rFonts w:ascii="Palatino Linotype" w:eastAsia="Palatino Linotype" w:hAnsi="Palatino Linotype" w:cs="Palatino Linotype"/>
          <w:sz w:val="22"/>
          <w:szCs w:val="22"/>
        </w:rPr>
        <w:t xml:space="preserve">la modificación y actualización del </w:t>
      </w:r>
      <w:r w:rsidR="001D56E0" w:rsidRPr="00C83C48">
        <w:rPr>
          <w:rFonts w:ascii="Palatino Linotype" w:eastAsia="Palatino Linotype" w:hAnsi="Palatino Linotype" w:cs="Palatino Linotype"/>
          <w:sz w:val="22"/>
          <w:szCs w:val="22"/>
        </w:rPr>
        <w:t>programa anual de obras para el ejercicio fiscal 2024.</w:t>
      </w:r>
    </w:p>
    <w:p w14:paraId="67D8D60B" w14:textId="57F9D6E2" w:rsidR="001F05E3" w:rsidRPr="00C83C48" w:rsidRDefault="001F05E3" w:rsidP="00AF6DAF">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R. 03392. 2025.pdf</w:t>
      </w:r>
      <w:r w:rsidR="00111CC6" w:rsidRPr="00C83C48">
        <w:rPr>
          <w:rFonts w:ascii="Palatino Linotype" w:eastAsia="Palatino Linotype" w:hAnsi="Palatino Linotype" w:cs="Palatino Linotype"/>
          <w:b/>
          <w:sz w:val="22"/>
          <w:szCs w:val="22"/>
        </w:rPr>
        <w:t xml:space="preserve">: </w:t>
      </w:r>
      <w:r w:rsidR="00111CC6" w:rsidRPr="00C83C48">
        <w:rPr>
          <w:rFonts w:ascii="Palatino Linotype" w:eastAsia="Palatino Linotype" w:hAnsi="Palatino Linotype" w:cs="Palatino Linotype"/>
          <w:sz w:val="22"/>
          <w:szCs w:val="22"/>
        </w:rPr>
        <w:t>Documento suscrito por el Titular de la Unidad de Transparencia mediante el cual refiere que proporciona la respuesta a la solicitud</w:t>
      </w:r>
      <w:r w:rsidR="00111CC6" w:rsidRPr="00C83C48">
        <w:rPr>
          <w:rFonts w:ascii="Palatino Linotype" w:eastAsia="Palatino Linotype" w:hAnsi="Palatino Linotype" w:cs="Palatino Linotype"/>
          <w:b/>
          <w:sz w:val="22"/>
          <w:szCs w:val="22"/>
        </w:rPr>
        <w:t>.</w:t>
      </w:r>
    </w:p>
    <w:p w14:paraId="73557A01" w14:textId="77777777" w:rsidR="00D42C47" w:rsidRPr="00C83C48" w:rsidRDefault="00D42C47">
      <w:pPr>
        <w:widowControl w:val="0"/>
        <w:spacing w:line="360" w:lineRule="auto"/>
        <w:jc w:val="both"/>
        <w:rPr>
          <w:rFonts w:ascii="Palatino Linotype" w:eastAsia="Palatino Linotype" w:hAnsi="Palatino Linotype" w:cs="Palatino Linotype"/>
          <w:sz w:val="22"/>
          <w:szCs w:val="22"/>
        </w:rPr>
      </w:pPr>
    </w:p>
    <w:p w14:paraId="4DA0D391" w14:textId="7B58C083"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3. Del Recurso de Revisión. </w:t>
      </w:r>
      <w:r w:rsidRPr="00C83C48">
        <w:rPr>
          <w:rFonts w:ascii="Palatino Linotype" w:eastAsia="Palatino Linotype" w:hAnsi="Palatino Linotype" w:cs="Palatino Linotype"/>
          <w:sz w:val="22"/>
          <w:szCs w:val="22"/>
        </w:rPr>
        <w:t>Inconforme con la respuesta del</w:t>
      </w:r>
      <w:r w:rsidRPr="00C83C48">
        <w:rPr>
          <w:rFonts w:ascii="Palatino Linotype" w:eastAsia="Palatino Linotype" w:hAnsi="Palatino Linotype" w:cs="Palatino Linotype"/>
          <w:b/>
          <w:sz w:val="22"/>
          <w:szCs w:val="22"/>
        </w:rPr>
        <w:t xml:space="preserve"> SUJETO OBLIGADO, </w:t>
      </w:r>
      <w:r w:rsidRPr="00C83C48">
        <w:rPr>
          <w:rFonts w:ascii="Palatino Linotype" w:eastAsia="Palatino Linotype" w:hAnsi="Palatino Linotype" w:cs="Palatino Linotype"/>
          <w:sz w:val="22"/>
          <w:szCs w:val="22"/>
        </w:rPr>
        <w:t xml:space="preserve">el </w:t>
      </w:r>
      <w:r w:rsidR="00AF6DAF" w:rsidRPr="00C83C48">
        <w:rPr>
          <w:rFonts w:ascii="Palatino Linotype" w:eastAsia="Palatino Linotype" w:hAnsi="Palatino Linotype" w:cs="Palatino Linotype"/>
          <w:b/>
          <w:sz w:val="22"/>
          <w:szCs w:val="22"/>
        </w:rPr>
        <w:t>seis</w:t>
      </w:r>
      <w:r w:rsidR="005B4F46" w:rsidRPr="00C83C48">
        <w:rPr>
          <w:rFonts w:ascii="Palatino Linotype" w:eastAsia="Palatino Linotype" w:hAnsi="Palatino Linotype" w:cs="Palatino Linotype"/>
          <w:b/>
          <w:sz w:val="22"/>
          <w:szCs w:val="22"/>
        </w:rPr>
        <w:t xml:space="preserve"> </w:t>
      </w:r>
      <w:r w:rsidRPr="00C83C48">
        <w:rPr>
          <w:rFonts w:ascii="Palatino Linotype" w:eastAsia="Palatino Linotype" w:hAnsi="Palatino Linotype" w:cs="Palatino Linotype"/>
          <w:sz w:val="22"/>
          <w:szCs w:val="22"/>
        </w:rPr>
        <w:t>d</w:t>
      </w:r>
      <w:r w:rsidRPr="00C83C48">
        <w:rPr>
          <w:rFonts w:ascii="Palatino Linotype" w:eastAsia="Palatino Linotype" w:hAnsi="Palatino Linotype" w:cs="Palatino Linotype"/>
          <w:b/>
          <w:sz w:val="22"/>
          <w:szCs w:val="22"/>
        </w:rPr>
        <w:t xml:space="preserve">e </w:t>
      </w:r>
      <w:r w:rsidR="00AF6DAF" w:rsidRPr="00C83C48">
        <w:rPr>
          <w:rFonts w:ascii="Palatino Linotype" w:eastAsia="Palatino Linotype" w:hAnsi="Palatino Linotype" w:cs="Palatino Linotype"/>
          <w:b/>
          <w:sz w:val="22"/>
          <w:szCs w:val="22"/>
        </w:rPr>
        <w:t>agosto</w:t>
      </w:r>
      <w:r w:rsidRPr="00C83C48">
        <w:rPr>
          <w:rFonts w:ascii="Palatino Linotype" w:eastAsia="Palatino Linotype" w:hAnsi="Palatino Linotype" w:cs="Palatino Linotype"/>
          <w:b/>
          <w:sz w:val="22"/>
          <w:szCs w:val="22"/>
        </w:rPr>
        <w:t xml:space="preserve"> de dos mil veinticinco, LA PARTE RECURRENTE </w:t>
      </w:r>
      <w:r w:rsidRPr="00C83C48">
        <w:rPr>
          <w:rFonts w:ascii="Palatino Linotype" w:eastAsia="Palatino Linotype" w:hAnsi="Palatino Linotype" w:cs="Palatino Linotype"/>
          <w:sz w:val="22"/>
          <w:szCs w:val="22"/>
        </w:rPr>
        <w:t>interpuso el recurso de revisión</w:t>
      </w:r>
      <w:r w:rsidR="00A06A0C"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sz w:val="22"/>
          <w:szCs w:val="22"/>
        </w:rPr>
        <w:t xml:space="preserve">mediante el cual y manifestó lo siguiente: </w:t>
      </w:r>
    </w:p>
    <w:p w14:paraId="36671519" w14:textId="5A8C0376" w:rsidR="00C877F6" w:rsidRPr="00C83C48" w:rsidRDefault="00F36565" w:rsidP="00AF6DAF">
      <w:pPr>
        <w:pStyle w:val="Listaconvietas3"/>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Acto Impugnado:</w:t>
      </w:r>
      <w:r w:rsidRPr="00C83C48">
        <w:rPr>
          <w:rFonts w:ascii="Palatino Linotype" w:eastAsia="Palatino Linotype" w:hAnsi="Palatino Linotype" w:cs="Palatino Linotype"/>
          <w:i/>
          <w:sz w:val="22"/>
          <w:szCs w:val="22"/>
        </w:rPr>
        <w:t xml:space="preserve"> “</w:t>
      </w:r>
      <w:r w:rsidR="00AF6DAF" w:rsidRPr="00C83C48">
        <w:rPr>
          <w:rFonts w:ascii="Palatino Linotype" w:eastAsia="Palatino Linotype" w:hAnsi="Palatino Linotype" w:cs="Palatino Linotype"/>
          <w:i/>
          <w:sz w:val="22"/>
          <w:szCs w:val="22"/>
        </w:rPr>
        <w:t>NO ME ENTREGO LO SOLICITADO</w:t>
      </w:r>
      <w:r w:rsidRPr="00C83C48">
        <w:rPr>
          <w:rFonts w:ascii="Palatino Linotype" w:eastAsia="Palatino Linotype" w:hAnsi="Palatino Linotype" w:cs="Palatino Linotype"/>
          <w:i/>
          <w:sz w:val="22"/>
          <w:szCs w:val="22"/>
        </w:rPr>
        <w:t>” (Sic.)</w:t>
      </w:r>
    </w:p>
    <w:p w14:paraId="2BA13102" w14:textId="77777777" w:rsidR="00C877F6" w:rsidRPr="00C83C48" w:rsidRDefault="00C877F6" w:rsidP="00A06A0C">
      <w:pPr>
        <w:pBdr>
          <w:top w:val="nil"/>
          <w:left w:val="nil"/>
          <w:bottom w:val="nil"/>
          <w:right w:val="nil"/>
          <w:between w:val="nil"/>
        </w:pBdr>
        <w:spacing w:line="276" w:lineRule="auto"/>
        <w:ind w:left="720" w:right="560"/>
        <w:jc w:val="both"/>
        <w:rPr>
          <w:rFonts w:ascii="Palatino Linotype" w:eastAsia="Palatino Linotype" w:hAnsi="Palatino Linotype" w:cs="Palatino Linotype"/>
          <w:i/>
          <w:sz w:val="22"/>
          <w:szCs w:val="22"/>
        </w:rPr>
      </w:pPr>
    </w:p>
    <w:p w14:paraId="61E1D3CB" w14:textId="29D0CA51" w:rsidR="00C877F6" w:rsidRPr="00C83C48" w:rsidRDefault="00F36565" w:rsidP="00AF6DAF">
      <w:pPr>
        <w:pStyle w:val="Listaconvietas3"/>
        <w:rPr>
          <w:rFonts w:eastAsia="Palatino Linotype"/>
        </w:rPr>
      </w:pPr>
      <w:r w:rsidRPr="00C83C48">
        <w:rPr>
          <w:rFonts w:eastAsia="Palatino Linotype"/>
          <w:b/>
        </w:rPr>
        <w:t>Motivo de inconformidad:</w:t>
      </w:r>
      <w:r w:rsidRPr="00C83C48">
        <w:rPr>
          <w:rFonts w:eastAsia="Palatino Linotype"/>
        </w:rPr>
        <w:t xml:space="preserve"> “</w:t>
      </w:r>
      <w:r w:rsidR="00AF6DAF" w:rsidRPr="00C83C48">
        <w:rPr>
          <w:rFonts w:ascii="Palatino Linotype" w:eastAsia="Palatino Linotype" w:hAnsi="Palatino Linotype" w:cs="Palatino Linotype"/>
          <w:i/>
          <w:sz w:val="22"/>
          <w:szCs w:val="22"/>
        </w:rPr>
        <w:t>NO ENTREGO LO SOLICITADO EN EL SAIMEX NIEGA LA INFORMACIÓN</w:t>
      </w:r>
      <w:r w:rsidRPr="00C83C48">
        <w:rPr>
          <w:rFonts w:eastAsia="Palatino Linotype"/>
        </w:rPr>
        <w:t>” (Sic.)</w:t>
      </w:r>
    </w:p>
    <w:p w14:paraId="5FFC28A4" w14:textId="77777777" w:rsidR="00422637" w:rsidRPr="00C83C48" w:rsidRDefault="00422637" w:rsidP="00422637">
      <w:pPr>
        <w:pStyle w:val="Prrafodelista"/>
        <w:rPr>
          <w:rFonts w:ascii="Palatino Linotype" w:eastAsia="Palatino Linotype" w:hAnsi="Palatino Linotype" w:cs="Palatino Linotype"/>
          <w:i/>
          <w:sz w:val="22"/>
          <w:szCs w:val="22"/>
        </w:rPr>
      </w:pPr>
    </w:p>
    <w:p w14:paraId="2F870A2F" w14:textId="77777777" w:rsidR="00C877F6" w:rsidRPr="00C83C48" w:rsidRDefault="00C877F6" w:rsidP="00422637">
      <w:pPr>
        <w:pBdr>
          <w:top w:val="nil"/>
          <w:left w:val="nil"/>
          <w:bottom w:val="nil"/>
          <w:right w:val="nil"/>
          <w:between w:val="nil"/>
        </w:pBdr>
        <w:ind w:left="720"/>
        <w:rPr>
          <w:rFonts w:ascii="Palatino Linotype" w:eastAsia="Palatino Linotype" w:hAnsi="Palatino Linotype" w:cs="Palatino Linotype"/>
          <w:i/>
          <w:sz w:val="22"/>
          <w:szCs w:val="22"/>
        </w:rPr>
      </w:pPr>
    </w:p>
    <w:p w14:paraId="6A9E7514" w14:textId="0DBFD99B"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4. Turno. </w:t>
      </w:r>
      <w:r w:rsidRPr="00C83C48">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1F05E3" w:rsidRPr="00C83C48">
        <w:rPr>
          <w:rFonts w:ascii="Palatino Linotype" w:eastAsia="Palatino Linotype" w:hAnsi="Palatino Linotype" w:cs="Palatino Linotype"/>
          <w:b/>
          <w:sz w:val="22"/>
          <w:szCs w:val="22"/>
        </w:rPr>
        <w:t>09214/INFOEM/IP/RR/2025</w:t>
      </w:r>
      <w:r w:rsidRPr="00C83C48">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C83C48">
        <w:rPr>
          <w:rFonts w:ascii="Palatino Linotype" w:eastAsia="Palatino Linotype" w:hAnsi="Palatino Linotype" w:cs="Palatino Linotype"/>
          <w:b/>
          <w:sz w:val="22"/>
          <w:szCs w:val="22"/>
        </w:rPr>
        <w:t>Guadalupe Ramírez Peña</w:t>
      </w:r>
      <w:r w:rsidRPr="00C83C48">
        <w:rPr>
          <w:rFonts w:ascii="Palatino Linotype" w:eastAsia="Palatino Linotype" w:hAnsi="Palatino Linotype" w:cs="Palatino Linotype"/>
          <w:sz w:val="22"/>
          <w:szCs w:val="22"/>
        </w:rPr>
        <w:t>, para su análisis, estudio, elaboración del proyecto y presentación ante el Pleno de este Instituto.</w:t>
      </w:r>
    </w:p>
    <w:p w14:paraId="5BFE6F75"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4B06CA9F" w14:textId="3A600ABE" w:rsidR="00C877F6" w:rsidRPr="00C83C48" w:rsidRDefault="00F36565">
      <w:pPr>
        <w:spacing w:line="360" w:lineRule="auto"/>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 xml:space="preserve">5. Admisión. </w:t>
      </w:r>
      <w:r w:rsidRPr="00C83C48">
        <w:rPr>
          <w:rFonts w:ascii="Palatino Linotype" w:eastAsia="Palatino Linotype" w:hAnsi="Palatino Linotype" w:cs="Palatino Linotype"/>
          <w:sz w:val="22"/>
          <w:szCs w:val="22"/>
        </w:rPr>
        <w:t xml:space="preserve">El </w:t>
      </w:r>
      <w:r w:rsidR="00AF6DAF" w:rsidRPr="00C83C48">
        <w:rPr>
          <w:rFonts w:ascii="Palatino Linotype" w:eastAsia="Palatino Linotype" w:hAnsi="Palatino Linotype" w:cs="Palatino Linotype"/>
          <w:b/>
          <w:sz w:val="22"/>
          <w:szCs w:val="22"/>
        </w:rPr>
        <w:t>once</w:t>
      </w:r>
      <w:r w:rsidR="005A4875" w:rsidRPr="00C83C48">
        <w:rPr>
          <w:rFonts w:ascii="Palatino Linotype" w:eastAsia="Palatino Linotype" w:hAnsi="Palatino Linotype" w:cs="Palatino Linotype"/>
          <w:b/>
          <w:sz w:val="22"/>
          <w:szCs w:val="22"/>
        </w:rPr>
        <w:t xml:space="preserve"> de </w:t>
      </w:r>
      <w:r w:rsidR="00A06A0C" w:rsidRPr="00C83C48">
        <w:rPr>
          <w:rFonts w:ascii="Palatino Linotype" w:eastAsia="Palatino Linotype" w:hAnsi="Palatino Linotype" w:cs="Palatino Linotype"/>
          <w:b/>
          <w:sz w:val="22"/>
          <w:szCs w:val="22"/>
        </w:rPr>
        <w:t>agosto</w:t>
      </w:r>
      <w:r w:rsidRPr="00C83C48">
        <w:rPr>
          <w:rFonts w:ascii="Palatino Linotype" w:eastAsia="Palatino Linotype" w:hAnsi="Palatino Linotype" w:cs="Palatino Linotype"/>
          <w:b/>
          <w:sz w:val="22"/>
          <w:szCs w:val="22"/>
        </w:rPr>
        <w:t xml:space="preserve"> de dos mil veinticinco</w:t>
      </w:r>
      <w:r w:rsidRPr="00C83C48">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Pr="00C83C48">
        <w:rPr>
          <w:rFonts w:ascii="Palatino Linotype" w:eastAsia="Palatino Linotype" w:hAnsi="Palatino Linotype" w:cs="Palatino Linotype"/>
          <w:b/>
          <w:sz w:val="22"/>
          <w:szCs w:val="22"/>
        </w:rPr>
        <w:t>.</w:t>
      </w:r>
      <w:r w:rsidR="005A668A" w:rsidRPr="00C83C48">
        <w:rPr>
          <w:rFonts w:ascii="Palatino Linotype" w:eastAsia="Palatino Linotype" w:hAnsi="Palatino Linotype" w:cs="Palatino Linotype"/>
          <w:b/>
          <w:sz w:val="22"/>
          <w:szCs w:val="22"/>
        </w:rPr>
        <w:t xml:space="preserve"> </w:t>
      </w:r>
    </w:p>
    <w:p w14:paraId="5E981DE9" w14:textId="77777777" w:rsidR="00C877F6" w:rsidRPr="00C83C48" w:rsidRDefault="00C877F6">
      <w:pPr>
        <w:spacing w:line="360" w:lineRule="auto"/>
        <w:jc w:val="both"/>
        <w:rPr>
          <w:rFonts w:ascii="Palatino Linotype" w:eastAsia="Palatino Linotype" w:hAnsi="Palatino Linotype" w:cs="Palatino Linotype"/>
          <w:b/>
          <w:sz w:val="22"/>
          <w:szCs w:val="22"/>
        </w:rPr>
      </w:pPr>
    </w:p>
    <w:p w14:paraId="58BDC998" w14:textId="21BEFB27" w:rsidR="007861D5"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6. Manifestaciones.</w:t>
      </w:r>
      <w:r w:rsidRPr="00C83C48">
        <w:rPr>
          <w:rFonts w:ascii="Palatino Linotype" w:eastAsia="Palatino Linotype" w:hAnsi="Palatino Linotype" w:cs="Palatino Linotype"/>
          <w:sz w:val="22"/>
          <w:szCs w:val="22"/>
        </w:rPr>
        <w:t xml:space="preserve"> De las constancias que obran en el expediente electrónico del SAIMEX, se advierte que el Sujeto Obligado rindió su informe justificado, el </w:t>
      </w:r>
      <w:r w:rsidR="00AF6DAF" w:rsidRPr="00C83C48">
        <w:rPr>
          <w:rFonts w:ascii="Palatino Linotype" w:eastAsia="Palatino Linotype" w:hAnsi="Palatino Linotype" w:cs="Palatino Linotype"/>
          <w:b/>
          <w:sz w:val="22"/>
          <w:szCs w:val="22"/>
        </w:rPr>
        <w:t>veinte</w:t>
      </w:r>
      <w:r w:rsidR="00631C21" w:rsidRPr="00C83C48">
        <w:rPr>
          <w:rFonts w:ascii="Palatino Linotype" w:eastAsia="Palatino Linotype" w:hAnsi="Palatino Linotype" w:cs="Palatino Linotype"/>
          <w:sz w:val="22"/>
          <w:szCs w:val="22"/>
        </w:rPr>
        <w:t xml:space="preserve"> </w:t>
      </w:r>
      <w:r w:rsidR="00F94226" w:rsidRPr="00C83C48">
        <w:rPr>
          <w:rFonts w:ascii="Palatino Linotype" w:eastAsia="Palatino Linotype" w:hAnsi="Palatino Linotype" w:cs="Palatino Linotype"/>
          <w:b/>
          <w:sz w:val="22"/>
          <w:szCs w:val="22"/>
        </w:rPr>
        <w:t xml:space="preserve">de </w:t>
      </w:r>
      <w:r w:rsidR="00631C21" w:rsidRPr="00C83C48">
        <w:rPr>
          <w:rFonts w:ascii="Palatino Linotype" w:eastAsia="Palatino Linotype" w:hAnsi="Palatino Linotype" w:cs="Palatino Linotype"/>
          <w:b/>
          <w:sz w:val="22"/>
          <w:szCs w:val="22"/>
        </w:rPr>
        <w:t>agosto</w:t>
      </w:r>
      <w:r w:rsidR="007861D5" w:rsidRPr="00C83C48">
        <w:rPr>
          <w:rFonts w:ascii="Palatino Linotype" w:eastAsia="Palatino Linotype" w:hAnsi="Palatino Linotype" w:cs="Palatino Linotype"/>
          <w:sz w:val="22"/>
          <w:szCs w:val="22"/>
        </w:rPr>
        <w:t xml:space="preserve"> </w:t>
      </w:r>
      <w:r w:rsidR="00E111DF" w:rsidRPr="00C83C48">
        <w:rPr>
          <w:rFonts w:ascii="Palatino Linotype" w:eastAsia="Palatino Linotype" w:hAnsi="Palatino Linotype" w:cs="Palatino Linotype"/>
          <w:b/>
          <w:sz w:val="22"/>
          <w:szCs w:val="22"/>
        </w:rPr>
        <w:t>de</w:t>
      </w:r>
      <w:r w:rsidRPr="00C83C48">
        <w:rPr>
          <w:rFonts w:ascii="Palatino Linotype" w:eastAsia="Palatino Linotype" w:hAnsi="Palatino Linotype" w:cs="Palatino Linotype"/>
          <w:b/>
          <w:sz w:val="22"/>
          <w:szCs w:val="22"/>
        </w:rPr>
        <w:t xml:space="preserve"> dos mil veinticinco,</w:t>
      </w:r>
      <w:r w:rsidRPr="00C83C48">
        <w:rPr>
          <w:rFonts w:ascii="Palatino Linotype" w:eastAsia="Palatino Linotype" w:hAnsi="Palatino Linotype" w:cs="Palatino Linotype"/>
          <w:sz w:val="22"/>
          <w:szCs w:val="22"/>
        </w:rPr>
        <w:t xml:space="preserve"> a través de</w:t>
      </w:r>
      <w:r w:rsidR="00631C21"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sz w:val="22"/>
          <w:szCs w:val="22"/>
        </w:rPr>
        <w:t>l</w:t>
      </w:r>
      <w:r w:rsidR="00631C21" w:rsidRPr="00C83C48">
        <w:rPr>
          <w:rFonts w:ascii="Palatino Linotype" w:eastAsia="Palatino Linotype" w:hAnsi="Palatino Linotype" w:cs="Palatino Linotype"/>
          <w:sz w:val="22"/>
          <w:szCs w:val="22"/>
        </w:rPr>
        <w:t>os</w:t>
      </w:r>
      <w:r w:rsidRPr="00C83C48">
        <w:rPr>
          <w:rFonts w:ascii="Palatino Linotype" w:eastAsia="Palatino Linotype" w:hAnsi="Palatino Linotype" w:cs="Palatino Linotype"/>
          <w:sz w:val="22"/>
          <w:szCs w:val="22"/>
        </w:rPr>
        <w:t xml:space="preserve"> documento</w:t>
      </w:r>
      <w:r w:rsidR="00631C21" w:rsidRPr="00C83C48">
        <w:rPr>
          <w:rFonts w:ascii="Palatino Linotype" w:eastAsia="Palatino Linotype" w:hAnsi="Palatino Linotype" w:cs="Palatino Linotype"/>
          <w:sz w:val="22"/>
          <w:szCs w:val="22"/>
        </w:rPr>
        <w:t>s</w:t>
      </w:r>
      <w:r w:rsidRPr="00C83C48">
        <w:rPr>
          <w:rFonts w:ascii="Palatino Linotype" w:eastAsia="Palatino Linotype" w:hAnsi="Palatino Linotype" w:cs="Palatino Linotype"/>
          <w:sz w:val="22"/>
          <w:szCs w:val="22"/>
        </w:rPr>
        <w:t xml:space="preserve"> electrónico</w:t>
      </w:r>
      <w:r w:rsidR="00631C21" w:rsidRPr="00C83C48">
        <w:rPr>
          <w:rFonts w:ascii="Palatino Linotype" w:eastAsia="Palatino Linotype" w:hAnsi="Palatino Linotype" w:cs="Palatino Linotype"/>
          <w:sz w:val="22"/>
          <w:szCs w:val="22"/>
        </w:rPr>
        <w:t>s</w:t>
      </w:r>
      <w:r w:rsidRPr="00C83C48">
        <w:rPr>
          <w:rFonts w:ascii="Palatino Linotype" w:eastAsia="Palatino Linotype" w:hAnsi="Palatino Linotype" w:cs="Palatino Linotype"/>
          <w:sz w:val="22"/>
          <w:szCs w:val="22"/>
        </w:rPr>
        <w:t xml:space="preserve"> denominado</w:t>
      </w:r>
      <w:r w:rsidR="00631C21" w:rsidRPr="00C83C48">
        <w:rPr>
          <w:rFonts w:ascii="Palatino Linotype" w:eastAsia="Palatino Linotype" w:hAnsi="Palatino Linotype" w:cs="Palatino Linotype"/>
          <w:sz w:val="22"/>
          <w:szCs w:val="22"/>
        </w:rPr>
        <w:t>s</w:t>
      </w:r>
      <w:r w:rsidR="007861D5" w:rsidRPr="00C83C48">
        <w:rPr>
          <w:rFonts w:ascii="Palatino Linotype" w:eastAsia="Palatino Linotype" w:hAnsi="Palatino Linotype" w:cs="Palatino Linotype"/>
          <w:sz w:val="22"/>
          <w:szCs w:val="22"/>
        </w:rPr>
        <w:t xml:space="preserve"> </w:t>
      </w:r>
      <w:proofErr w:type="spellStart"/>
      <w:r w:rsidR="00631C21" w:rsidRPr="00C83C48">
        <w:rPr>
          <w:rFonts w:ascii="Palatino Linotype" w:eastAsia="Palatino Linotype" w:hAnsi="Palatino Linotype" w:cs="Palatino Linotype"/>
          <w:b/>
          <w:sz w:val="22"/>
          <w:szCs w:val="22"/>
        </w:rPr>
        <w:t>Ratificacion</w:t>
      </w:r>
      <w:proofErr w:type="spellEnd"/>
      <w:r w:rsidR="00631C21" w:rsidRPr="00C83C48">
        <w:rPr>
          <w:rFonts w:ascii="Palatino Linotype" w:eastAsia="Palatino Linotype" w:hAnsi="Palatino Linotype" w:cs="Palatino Linotype"/>
          <w:b/>
          <w:sz w:val="22"/>
          <w:szCs w:val="22"/>
        </w:rPr>
        <w:t xml:space="preserve"> </w:t>
      </w:r>
      <w:r w:rsidR="00AF6DAF" w:rsidRPr="00C83C48">
        <w:rPr>
          <w:rFonts w:ascii="Palatino Linotype" w:eastAsia="Palatino Linotype" w:hAnsi="Palatino Linotype" w:cs="Palatino Linotype"/>
          <w:b/>
          <w:sz w:val="22"/>
          <w:szCs w:val="22"/>
        </w:rPr>
        <w:t>09214</w:t>
      </w:r>
      <w:r w:rsidR="00631C21" w:rsidRPr="00C83C48">
        <w:rPr>
          <w:rFonts w:ascii="Palatino Linotype" w:eastAsia="Palatino Linotype" w:hAnsi="Palatino Linotype" w:cs="Palatino Linotype"/>
          <w:b/>
          <w:sz w:val="22"/>
          <w:szCs w:val="22"/>
        </w:rPr>
        <w:t>.pdf;</w:t>
      </w:r>
      <w:r w:rsidR="00AF6DAF" w:rsidRPr="00C83C48">
        <w:rPr>
          <w:rFonts w:ascii="Palatino Linotype" w:eastAsia="Palatino Linotype" w:hAnsi="Palatino Linotype" w:cs="Palatino Linotype"/>
          <w:b/>
          <w:sz w:val="22"/>
          <w:szCs w:val="22"/>
        </w:rPr>
        <w:t xml:space="preserve"> </w:t>
      </w:r>
      <w:proofErr w:type="gramStart"/>
      <w:r w:rsidR="00AF6DAF" w:rsidRPr="00C83C48">
        <w:rPr>
          <w:rFonts w:ascii="Palatino Linotype" w:eastAsia="Palatino Linotype" w:hAnsi="Palatino Linotype" w:cs="Palatino Linotype"/>
          <w:b/>
          <w:sz w:val="22"/>
          <w:szCs w:val="22"/>
        </w:rPr>
        <w:t xml:space="preserve">y </w:t>
      </w:r>
      <w:r w:rsidR="00631C21" w:rsidRPr="00C83C48">
        <w:rPr>
          <w:rFonts w:ascii="Palatino Linotype" w:eastAsia="Palatino Linotype" w:hAnsi="Palatino Linotype" w:cs="Palatino Linotype"/>
          <w:b/>
          <w:sz w:val="22"/>
          <w:szCs w:val="22"/>
        </w:rPr>
        <w:t xml:space="preserve"> ANEXOS</w:t>
      </w:r>
      <w:proofErr w:type="gramEnd"/>
      <w:r w:rsidR="00631C21" w:rsidRPr="00C83C48">
        <w:rPr>
          <w:rFonts w:ascii="Palatino Linotype" w:eastAsia="Palatino Linotype" w:hAnsi="Palatino Linotype" w:cs="Palatino Linotype"/>
          <w:b/>
          <w:sz w:val="22"/>
          <w:szCs w:val="22"/>
        </w:rPr>
        <w:t xml:space="preserve"> 9</w:t>
      </w:r>
      <w:r w:rsidR="00AF6DAF" w:rsidRPr="00C83C48">
        <w:rPr>
          <w:rFonts w:ascii="Palatino Linotype" w:eastAsia="Palatino Linotype" w:hAnsi="Palatino Linotype" w:cs="Palatino Linotype"/>
          <w:b/>
          <w:sz w:val="22"/>
          <w:szCs w:val="22"/>
        </w:rPr>
        <w:t>214-</w:t>
      </w:r>
      <w:r w:rsidR="00631C21" w:rsidRPr="00C83C48">
        <w:rPr>
          <w:rFonts w:ascii="Palatino Linotype" w:eastAsia="Palatino Linotype" w:hAnsi="Palatino Linotype" w:cs="Palatino Linotype"/>
          <w:b/>
          <w:sz w:val="22"/>
          <w:szCs w:val="22"/>
        </w:rPr>
        <w:t xml:space="preserve">2025.pdf, </w:t>
      </w:r>
      <w:r w:rsidR="007861D5" w:rsidRPr="00C83C48">
        <w:rPr>
          <w:rFonts w:ascii="Palatino Linotype" w:eastAsia="Palatino Linotype" w:hAnsi="Palatino Linotype" w:cs="Palatino Linotype"/>
          <w:sz w:val="22"/>
          <w:szCs w:val="22"/>
        </w:rPr>
        <w:t>mediante el cual ratifica la respuesta inicial. E</w:t>
      </w:r>
      <w:r w:rsidR="00631C21" w:rsidRPr="00C83C48">
        <w:rPr>
          <w:rFonts w:ascii="Palatino Linotype" w:eastAsia="Palatino Linotype" w:hAnsi="Palatino Linotype" w:cs="Palatino Linotype"/>
          <w:sz w:val="22"/>
          <w:szCs w:val="22"/>
        </w:rPr>
        <w:t>l</w:t>
      </w:r>
      <w:r w:rsidR="007861D5" w:rsidRPr="00C83C48">
        <w:rPr>
          <w:rFonts w:ascii="Palatino Linotype" w:eastAsia="Palatino Linotype" w:hAnsi="Palatino Linotype" w:cs="Palatino Linotype"/>
          <w:sz w:val="22"/>
          <w:szCs w:val="22"/>
        </w:rPr>
        <w:t xml:space="preserve"> informe justificado se puso a</w:t>
      </w:r>
      <w:r w:rsidR="000F3A18" w:rsidRPr="00C83C48">
        <w:rPr>
          <w:rFonts w:ascii="Palatino Linotype" w:eastAsia="Palatino Linotype" w:hAnsi="Palatino Linotype" w:cs="Palatino Linotype"/>
          <w:sz w:val="22"/>
          <w:szCs w:val="22"/>
        </w:rPr>
        <w:t xml:space="preserve"> disposición del Recurrente el </w:t>
      </w:r>
      <w:r w:rsidR="00AF6DAF" w:rsidRPr="00C83C48">
        <w:rPr>
          <w:rFonts w:ascii="Palatino Linotype" w:eastAsia="Palatino Linotype" w:hAnsi="Palatino Linotype" w:cs="Palatino Linotype"/>
          <w:b/>
          <w:sz w:val="22"/>
          <w:szCs w:val="22"/>
        </w:rPr>
        <w:t>veinticinco</w:t>
      </w:r>
      <w:r w:rsidR="007861D5" w:rsidRPr="00C83C48">
        <w:rPr>
          <w:rFonts w:ascii="Palatino Linotype" w:eastAsia="Palatino Linotype" w:hAnsi="Palatino Linotype" w:cs="Palatino Linotype"/>
          <w:b/>
          <w:sz w:val="22"/>
          <w:szCs w:val="22"/>
        </w:rPr>
        <w:t xml:space="preserve"> de </w:t>
      </w:r>
      <w:r w:rsidR="00CA0CC9" w:rsidRPr="00C83C48">
        <w:rPr>
          <w:rFonts w:ascii="Palatino Linotype" w:eastAsia="Palatino Linotype" w:hAnsi="Palatino Linotype" w:cs="Palatino Linotype"/>
          <w:b/>
          <w:sz w:val="22"/>
          <w:szCs w:val="22"/>
        </w:rPr>
        <w:t>febrero</w:t>
      </w:r>
      <w:r w:rsidR="007861D5" w:rsidRPr="00C83C48">
        <w:rPr>
          <w:rFonts w:ascii="Palatino Linotype" w:eastAsia="Palatino Linotype" w:hAnsi="Palatino Linotype" w:cs="Palatino Linotype"/>
          <w:b/>
          <w:sz w:val="22"/>
          <w:szCs w:val="22"/>
        </w:rPr>
        <w:t xml:space="preserve"> de dos mil veintiséis.</w:t>
      </w:r>
      <w:r w:rsidR="007861D5" w:rsidRPr="00C83C48">
        <w:rPr>
          <w:rFonts w:ascii="Palatino Linotype" w:eastAsia="Palatino Linotype" w:hAnsi="Palatino Linotype" w:cs="Palatino Linotype"/>
          <w:sz w:val="22"/>
          <w:szCs w:val="22"/>
        </w:rPr>
        <w:t xml:space="preserve"> </w:t>
      </w:r>
    </w:p>
    <w:p w14:paraId="2048994A" w14:textId="77777777" w:rsidR="008360A2" w:rsidRPr="00C83C48" w:rsidRDefault="008360A2">
      <w:pPr>
        <w:spacing w:line="360" w:lineRule="auto"/>
        <w:jc w:val="both"/>
        <w:rPr>
          <w:rFonts w:ascii="Palatino Linotype" w:eastAsia="Palatino Linotype" w:hAnsi="Palatino Linotype" w:cs="Palatino Linotype"/>
          <w:sz w:val="22"/>
          <w:szCs w:val="22"/>
        </w:rPr>
      </w:pPr>
    </w:p>
    <w:p w14:paraId="16288D25" w14:textId="46727AF5" w:rsidR="008360A2" w:rsidRPr="00C83C48" w:rsidRDefault="008360A2" w:rsidP="008360A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7. Ampliación de plazo. El </w:t>
      </w:r>
      <w:r w:rsidR="00C2248A" w:rsidRPr="00C83C48">
        <w:rPr>
          <w:rFonts w:ascii="Palatino Linotype" w:eastAsia="Palatino Linotype" w:hAnsi="Palatino Linotype" w:cs="Palatino Linotype"/>
          <w:b/>
          <w:sz w:val="22"/>
          <w:szCs w:val="22"/>
        </w:rPr>
        <w:t>veinticinco</w:t>
      </w:r>
      <w:r w:rsidRPr="00C83C48">
        <w:rPr>
          <w:rFonts w:ascii="Palatino Linotype" w:eastAsia="Palatino Linotype" w:hAnsi="Palatino Linotype" w:cs="Palatino Linotype"/>
          <w:b/>
          <w:sz w:val="22"/>
          <w:szCs w:val="22"/>
        </w:rPr>
        <w:t xml:space="preserve"> de febrero de dos mil veintiséis</w:t>
      </w:r>
      <w:r w:rsidRPr="00C83C48">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2CBB9434"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33316339"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Por ello, es menester precisar </w:t>
      </w:r>
      <w:proofErr w:type="gramStart"/>
      <w:r w:rsidRPr="00C83C48">
        <w:rPr>
          <w:rFonts w:ascii="Palatino Linotype" w:eastAsia="Palatino Linotype" w:hAnsi="Palatino Linotype" w:cs="Palatino Linotype"/>
          <w:sz w:val="22"/>
          <w:szCs w:val="22"/>
        </w:rPr>
        <w:t>que</w:t>
      </w:r>
      <w:proofErr w:type="gramEnd"/>
      <w:r w:rsidRPr="00C83C48">
        <w:rPr>
          <w:rFonts w:ascii="Palatino Linotype" w:eastAsia="Palatino Linotype" w:hAnsi="Palatino Linotype" w:cs="Palatino Linotype"/>
          <w:sz w:val="22"/>
          <w:szCs w:val="22"/>
        </w:rPr>
        <w:t xml:space="preserv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8B8591D"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33F6FBD"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AE5859"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628036BE" w14:textId="77777777" w:rsidR="008360A2" w:rsidRPr="00C83C48"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Complejidad del Asunto:</w:t>
      </w:r>
      <w:r w:rsidRPr="00C83C48">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6BC10876" w14:textId="77777777" w:rsidR="008360A2" w:rsidRPr="00C83C48"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Actividad Procesal del interesado</w:t>
      </w:r>
      <w:r w:rsidRPr="00C83C48">
        <w:rPr>
          <w:rFonts w:ascii="Palatino Linotype" w:eastAsia="Palatino Linotype" w:hAnsi="Palatino Linotype" w:cs="Palatino Linotype"/>
          <w:sz w:val="22"/>
          <w:szCs w:val="22"/>
        </w:rPr>
        <w:t>. Acciones u omisiones del interesado.</w:t>
      </w:r>
    </w:p>
    <w:p w14:paraId="676E9738" w14:textId="77777777" w:rsidR="008360A2" w:rsidRPr="00C83C48"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Conducta de la Autoridad:</w:t>
      </w:r>
      <w:r w:rsidRPr="00C83C48">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18AC1F08" w14:textId="77777777" w:rsidR="008360A2" w:rsidRPr="00C83C48"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La afectación generada en la situación jurídica de la persona involucrada en el proceso:</w:t>
      </w:r>
      <w:r w:rsidRPr="00C83C48">
        <w:rPr>
          <w:rFonts w:ascii="Palatino Linotype" w:eastAsia="Palatino Linotype" w:hAnsi="Palatino Linotype" w:cs="Palatino Linotype"/>
          <w:sz w:val="22"/>
          <w:szCs w:val="22"/>
        </w:rPr>
        <w:t xml:space="preserve"> Violación a sus derechos humanos.</w:t>
      </w:r>
    </w:p>
    <w:p w14:paraId="1E2F27A9"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2114940"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C83C48">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C83C48">
        <w:rPr>
          <w:rFonts w:ascii="Palatino Linotype" w:eastAsia="Palatino Linotype" w:hAnsi="Palatino Linotype" w:cs="Palatino Linotype"/>
          <w:sz w:val="22"/>
          <w:szCs w:val="22"/>
        </w:rPr>
        <w:t>, visible en la Gaceta del Seminario Judicial de la Federación con el registro digital 205635.</w:t>
      </w:r>
    </w:p>
    <w:p w14:paraId="3C33E156"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D5865DA"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33482C38" w14:textId="77777777" w:rsidR="008360A2" w:rsidRPr="00C83C48"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b/>
          <w:i/>
          <w:sz w:val="22"/>
          <w:szCs w:val="22"/>
        </w:rPr>
        <w:t>“PLAZO RAZONABLE PARA RESOLVER. DIMENSIÓN Y EFECTOS DE ESTE CONCEPTO CUANDO SE ADUCE EXCESIVA CARGA DE TRABAJO</w:t>
      </w: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sz w:val="22"/>
          <w:szCs w:val="22"/>
        </w:rPr>
        <w:t xml:space="preserve"> consultable en el Seminario Judicial de la Federación y su gaceta, con el registro digital 2002351.</w:t>
      </w:r>
    </w:p>
    <w:p w14:paraId="72D539E1" w14:textId="77777777" w:rsidR="008360A2" w:rsidRPr="00C83C48"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C83C48">
        <w:rPr>
          <w:rFonts w:ascii="Palatino Linotype" w:eastAsia="Palatino Linotype" w:hAnsi="Palatino Linotype" w:cs="Palatino Linotype"/>
          <w:sz w:val="22"/>
          <w:szCs w:val="22"/>
        </w:rPr>
        <w:t>, visible en el Seminario Judicial de la Federación y su gaceta, con el registro digital 2002350.</w:t>
      </w:r>
    </w:p>
    <w:p w14:paraId="791A6F43" w14:textId="77777777" w:rsidR="008360A2" w:rsidRPr="00C83C48" w:rsidRDefault="008360A2" w:rsidP="008360A2">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46D2EDF" w14:textId="0E12668D" w:rsidR="00C877F6" w:rsidRPr="00C83C48" w:rsidRDefault="008360A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8</w:t>
      </w:r>
      <w:r w:rsidR="00F36565" w:rsidRPr="00C83C48">
        <w:rPr>
          <w:rFonts w:ascii="Palatino Linotype" w:eastAsia="Palatino Linotype" w:hAnsi="Palatino Linotype" w:cs="Palatino Linotype"/>
          <w:b/>
          <w:sz w:val="22"/>
          <w:szCs w:val="22"/>
        </w:rPr>
        <w:t>. Cierre de instrucción</w:t>
      </w:r>
      <w:r w:rsidR="00F36565" w:rsidRPr="00C83C48">
        <w:rPr>
          <w:rFonts w:ascii="Palatino Linotype" w:eastAsia="Palatino Linotype" w:hAnsi="Palatino Linotype" w:cs="Palatino Linotype"/>
          <w:sz w:val="22"/>
          <w:szCs w:val="22"/>
        </w:rPr>
        <w:t xml:space="preserve">. En fecha </w:t>
      </w:r>
      <w:r w:rsidR="00C2248A" w:rsidRPr="00C83C48">
        <w:rPr>
          <w:rFonts w:ascii="Palatino Linotype" w:eastAsia="Palatino Linotype" w:hAnsi="Palatino Linotype" w:cs="Palatino Linotype"/>
          <w:b/>
          <w:sz w:val="22"/>
          <w:szCs w:val="22"/>
        </w:rPr>
        <w:t>c</w:t>
      </w:r>
      <w:r w:rsidR="00C83C48" w:rsidRPr="00C83C48">
        <w:rPr>
          <w:rFonts w:ascii="Palatino Linotype" w:eastAsia="Palatino Linotype" w:hAnsi="Palatino Linotype" w:cs="Palatino Linotype"/>
          <w:b/>
          <w:sz w:val="22"/>
          <w:szCs w:val="22"/>
        </w:rPr>
        <w:t>inco</w:t>
      </w:r>
      <w:r w:rsidR="00F94226" w:rsidRPr="00C83C48">
        <w:rPr>
          <w:rFonts w:ascii="Palatino Linotype" w:eastAsia="Palatino Linotype" w:hAnsi="Palatino Linotype" w:cs="Palatino Linotype"/>
          <w:sz w:val="22"/>
          <w:szCs w:val="22"/>
        </w:rPr>
        <w:t xml:space="preserve"> </w:t>
      </w:r>
      <w:r w:rsidR="00F36565" w:rsidRPr="00C83C48">
        <w:rPr>
          <w:rFonts w:ascii="Palatino Linotype" w:eastAsia="Palatino Linotype" w:hAnsi="Palatino Linotype" w:cs="Palatino Linotype"/>
          <w:b/>
          <w:sz w:val="22"/>
          <w:szCs w:val="22"/>
        </w:rPr>
        <w:t xml:space="preserve">de </w:t>
      </w:r>
      <w:r w:rsidR="00631C21" w:rsidRPr="00C83C48">
        <w:rPr>
          <w:rFonts w:ascii="Palatino Linotype" w:eastAsia="Palatino Linotype" w:hAnsi="Palatino Linotype" w:cs="Palatino Linotype"/>
          <w:b/>
          <w:sz w:val="22"/>
          <w:szCs w:val="22"/>
        </w:rPr>
        <w:t>marzo</w:t>
      </w:r>
      <w:r w:rsidR="00F36565" w:rsidRPr="00C83C48">
        <w:rPr>
          <w:rFonts w:ascii="Palatino Linotype" w:eastAsia="Palatino Linotype" w:hAnsi="Palatino Linotype" w:cs="Palatino Linotype"/>
          <w:b/>
          <w:sz w:val="22"/>
          <w:szCs w:val="22"/>
        </w:rPr>
        <w:t xml:space="preserve"> de dos mil veinti</w:t>
      </w:r>
      <w:r w:rsidR="00E111DF" w:rsidRPr="00C83C48">
        <w:rPr>
          <w:rFonts w:ascii="Palatino Linotype" w:eastAsia="Palatino Linotype" w:hAnsi="Palatino Linotype" w:cs="Palatino Linotype"/>
          <w:b/>
          <w:sz w:val="22"/>
          <w:szCs w:val="22"/>
        </w:rPr>
        <w:t>séis</w:t>
      </w:r>
      <w:r w:rsidR="00F36565" w:rsidRPr="00C83C48">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BAC11C7" w14:textId="77777777" w:rsidR="00C877F6" w:rsidRPr="00C83C48" w:rsidRDefault="00C877F6">
      <w:pPr>
        <w:spacing w:line="360" w:lineRule="auto"/>
        <w:ind w:right="49"/>
        <w:jc w:val="both"/>
        <w:rPr>
          <w:rFonts w:ascii="Palatino Linotype" w:eastAsia="Palatino Linotype" w:hAnsi="Palatino Linotype" w:cs="Palatino Linotype"/>
          <w:sz w:val="22"/>
          <w:szCs w:val="22"/>
        </w:rPr>
      </w:pPr>
    </w:p>
    <w:p w14:paraId="2332E74C" w14:textId="1BEBEA7B" w:rsidR="00C877F6" w:rsidRPr="00C83C48" w:rsidRDefault="00F36565">
      <w:pPr>
        <w:spacing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Debido a que fue</w:t>
      </w:r>
      <w:r w:rsidR="008D5D61" w:rsidRPr="00C83C48">
        <w:rPr>
          <w:rFonts w:ascii="Palatino Linotype" w:eastAsia="Palatino Linotype" w:hAnsi="Palatino Linotype" w:cs="Palatino Linotype"/>
          <w:sz w:val="22"/>
          <w:szCs w:val="22"/>
        </w:rPr>
        <w:t xml:space="preserve"> debidamente sustanciado</w:t>
      </w:r>
      <w:r w:rsidRPr="00C83C48">
        <w:rPr>
          <w:rFonts w:ascii="Palatino Linotype" w:eastAsia="Palatino Linotype" w:hAnsi="Palatino Linotype" w:cs="Palatino Linotype"/>
          <w:sz w:val="22"/>
          <w:szCs w:val="22"/>
        </w:rPr>
        <w:t xml:space="preserve"> </w:t>
      </w:r>
      <w:r w:rsidR="008D5D61" w:rsidRPr="00C83C48">
        <w:rPr>
          <w:rFonts w:ascii="Palatino Linotype" w:eastAsia="Palatino Linotype" w:hAnsi="Palatino Linotype" w:cs="Palatino Linotype"/>
          <w:sz w:val="22"/>
          <w:szCs w:val="22"/>
        </w:rPr>
        <w:tab/>
        <w:t>el</w:t>
      </w:r>
      <w:r w:rsidRPr="00C83C48">
        <w:rPr>
          <w:rFonts w:ascii="Palatino Linotype" w:eastAsia="Palatino Linotype" w:hAnsi="Palatino Linotype" w:cs="Palatino Linotype"/>
          <w:sz w:val="22"/>
          <w:szCs w:val="22"/>
        </w:rPr>
        <w:t xml:space="preserve"> expediente electrónico y no existe diligencia pendiente de desahogo, se emite la Resolución que conforme a Derecho proceda, de acuerdo con los siguientes: </w:t>
      </w:r>
    </w:p>
    <w:p w14:paraId="76DFC1EA" w14:textId="77777777" w:rsidR="008360A2" w:rsidRPr="00C83C48" w:rsidRDefault="008360A2">
      <w:pPr>
        <w:spacing w:line="360" w:lineRule="auto"/>
        <w:ind w:right="49"/>
        <w:jc w:val="both"/>
        <w:rPr>
          <w:rFonts w:ascii="Palatino Linotype" w:eastAsia="Palatino Linotype" w:hAnsi="Palatino Linotype" w:cs="Palatino Linotype"/>
          <w:sz w:val="22"/>
          <w:szCs w:val="22"/>
        </w:rPr>
      </w:pPr>
    </w:p>
    <w:p w14:paraId="17694FE8" w14:textId="549072A2" w:rsidR="00C877F6" w:rsidRPr="00C83C48" w:rsidRDefault="00F36565" w:rsidP="009A113E">
      <w:pPr>
        <w:spacing w:line="360" w:lineRule="auto"/>
        <w:ind w:left="720" w:right="49" w:hanging="720"/>
        <w:jc w:val="center"/>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II.</w:t>
      </w:r>
      <w:r w:rsidRPr="00C83C48">
        <w:rPr>
          <w:rFonts w:ascii="Palatino Linotype" w:eastAsia="Palatino Linotype" w:hAnsi="Palatino Linotype" w:cs="Palatino Linotype"/>
          <w:b/>
          <w:sz w:val="22"/>
          <w:szCs w:val="22"/>
        </w:rPr>
        <w:tab/>
        <w:t>C O N S I D E R A N D O:</w:t>
      </w:r>
      <w:r w:rsidR="00351E01" w:rsidRPr="00C83C48">
        <w:rPr>
          <w:rFonts w:ascii="Palatino Linotype" w:eastAsia="Palatino Linotype" w:hAnsi="Palatino Linotype" w:cs="Palatino Linotype"/>
          <w:b/>
          <w:sz w:val="22"/>
          <w:szCs w:val="22"/>
        </w:rPr>
        <w:t xml:space="preserve"> </w:t>
      </w:r>
    </w:p>
    <w:p w14:paraId="3E2B3FBD" w14:textId="77777777" w:rsidR="00C877F6" w:rsidRPr="00C83C48" w:rsidRDefault="00C877F6">
      <w:pPr>
        <w:spacing w:line="360" w:lineRule="auto"/>
        <w:ind w:right="49"/>
        <w:jc w:val="both"/>
        <w:rPr>
          <w:rFonts w:ascii="Palatino Linotype" w:eastAsia="Palatino Linotype" w:hAnsi="Palatino Linotype" w:cs="Palatino Linotype"/>
          <w:sz w:val="22"/>
          <w:szCs w:val="22"/>
        </w:rPr>
      </w:pPr>
    </w:p>
    <w:p w14:paraId="1C3901F1"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Primero. Competencia.</w:t>
      </w:r>
      <w:r w:rsidRPr="00C83C4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20C2A94" w14:textId="77777777" w:rsidR="00C877F6" w:rsidRPr="00C83C48" w:rsidRDefault="00F36565">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Segundo. Oportunidad y </w:t>
      </w:r>
      <w:proofErr w:type="spellStart"/>
      <w:r w:rsidRPr="00C83C48">
        <w:rPr>
          <w:rFonts w:ascii="Palatino Linotype" w:eastAsia="Palatino Linotype" w:hAnsi="Palatino Linotype" w:cs="Palatino Linotype"/>
          <w:b/>
          <w:sz w:val="22"/>
          <w:szCs w:val="22"/>
        </w:rPr>
        <w:t>Procedibilidad</w:t>
      </w:r>
      <w:proofErr w:type="spellEnd"/>
      <w:r w:rsidRPr="00C83C48">
        <w:rPr>
          <w:rFonts w:ascii="Palatino Linotype" w:eastAsia="Palatino Linotype" w:hAnsi="Palatino Linotype" w:cs="Palatino Linotype"/>
          <w:b/>
          <w:sz w:val="22"/>
          <w:szCs w:val="22"/>
        </w:rPr>
        <w:t xml:space="preserve"> del Recurso de Revisión. </w:t>
      </w:r>
      <w:r w:rsidRPr="00C83C48">
        <w:rPr>
          <w:rFonts w:ascii="Palatino Linotype" w:eastAsia="Palatino Linotype" w:hAnsi="Palatino Linotype" w:cs="Palatino Linotype"/>
          <w:sz w:val="22"/>
          <w:szCs w:val="22"/>
        </w:rPr>
        <w:t xml:space="preserve">Previo al estudio del fondo del asunto, se procede a analizar los requisitos de oportunidad y </w:t>
      </w:r>
      <w:proofErr w:type="spellStart"/>
      <w:r w:rsidRPr="00C83C48">
        <w:rPr>
          <w:rFonts w:ascii="Palatino Linotype" w:eastAsia="Palatino Linotype" w:hAnsi="Palatino Linotype" w:cs="Palatino Linotype"/>
          <w:sz w:val="22"/>
          <w:szCs w:val="22"/>
        </w:rPr>
        <w:t>procedibilidad</w:t>
      </w:r>
      <w:proofErr w:type="spellEnd"/>
      <w:r w:rsidRPr="00C83C48">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14:paraId="37CA5A2A" w14:textId="77777777" w:rsidR="00C877F6" w:rsidRPr="00C83C48" w:rsidRDefault="00F36565">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68F1D466" w14:textId="77777777" w:rsidR="00C877F6" w:rsidRPr="00C83C48" w:rsidRDefault="00F36565">
      <w:pPr>
        <w:spacing w:line="360" w:lineRule="auto"/>
        <w:ind w:left="851" w:right="90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 xml:space="preserve">“Artículo 178. </w:t>
      </w:r>
      <w:r w:rsidRPr="00C83C48">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06E3069" w14:textId="30691213" w:rsidR="00C877F6" w:rsidRPr="00C83C48" w:rsidRDefault="00F36565">
      <w:pP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C83C48">
        <w:rPr>
          <w:rFonts w:ascii="Palatino Linotype" w:eastAsia="Palatino Linotype" w:hAnsi="Palatino Linotype" w:cs="Palatino Linotype"/>
          <w:b/>
          <w:sz w:val="22"/>
          <w:szCs w:val="22"/>
        </w:rPr>
        <w:t>SUJETO OBLIGADO</w:t>
      </w:r>
      <w:r w:rsidRPr="00C83C48">
        <w:rPr>
          <w:rFonts w:ascii="Palatino Linotype" w:eastAsia="Palatino Linotype" w:hAnsi="Palatino Linotype" w:cs="Palatino Linotype"/>
          <w:sz w:val="22"/>
          <w:szCs w:val="22"/>
        </w:rPr>
        <w:t xml:space="preserve"> remitió la respuesta a la solicitud de información el día </w:t>
      </w:r>
      <w:r w:rsidR="00631C21" w:rsidRPr="00C83C48">
        <w:rPr>
          <w:rFonts w:ascii="Palatino Linotype" w:eastAsia="Palatino Linotype" w:hAnsi="Palatino Linotype" w:cs="Palatino Linotype"/>
          <w:b/>
          <w:sz w:val="22"/>
          <w:szCs w:val="22"/>
        </w:rPr>
        <w:t>d</w:t>
      </w:r>
      <w:r w:rsidR="00312042" w:rsidRPr="00C83C48">
        <w:rPr>
          <w:rFonts w:ascii="Palatino Linotype" w:eastAsia="Palatino Linotype" w:hAnsi="Palatino Linotype" w:cs="Palatino Linotype"/>
          <w:b/>
          <w:sz w:val="22"/>
          <w:szCs w:val="22"/>
        </w:rPr>
        <w:t>os</w:t>
      </w:r>
      <w:r w:rsidR="00F94226" w:rsidRPr="00C83C48">
        <w:rPr>
          <w:rFonts w:ascii="Palatino Linotype" w:eastAsia="Palatino Linotype" w:hAnsi="Palatino Linotype" w:cs="Palatino Linotype"/>
          <w:b/>
          <w:sz w:val="22"/>
          <w:szCs w:val="22"/>
        </w:rPr>
        <w:t xml:space="preserve"> de </w:t>
      </w:r>
      <w:r w:rsidR="00631C21" w:rsidRPr="00C83C48">
        <w:rPr>
          <w:rFonts w:ascii="Palatino Linotype" w:eastAsia="Palatino Linotype" w:hAnsi="Palatino Linotype" w:cs="Palatino Linotype"/>
          <w:b/>
          <w:sz w:val="22"/>
          <w:szCs w:val="22"/>
        </w:rPr>
        <w:t>julio</w:t>
      </w:r>
      <w:r w:rsidR="008E4A90" w:rsidRPr="00C83C48">
        <w:rPr>
          <w:rFonts w:ascii="Palatino Linotype" w:eastAsia="Palatino Linotype" w:hAnsi="Palatino Linotype" w:cs="Palatino Linotype"/>
          <w:b/>
          <w:sz w:val="22"/>
          <w:szCs w:val="22"/>
        </w:rPr>
        <w:t xml:space="preserve"> </w:t>
      </w:r>
      <w:r w:rsidRPr="00C83C48">
        <w:rPr>
          <w:rFonts w:ascii="Palatino Linotype" w:eastAsia="Palatino Linotype" w:hAnsi="Palatino Linotype" w:cs="Palatino Linotype"/>
          <w:b/>
          <w:sz w:val="22"/>
          <w:szCs w:val="22"/>
        </w:rPr>
        <w:t xml:space="preserve">de dos mil veinticinco, </w:t>
      </w:r>
      <w:r w:rsidRPr="00C83C48">
        <w:rPr>
          <w:rFonts w:ascii="Palatino Linotype" w:eastAsia="Palatino Linotype" w:hAnsi="Palatino Linotype" w:cs="Palatino Linotype"/>
          <w:sz w:val="22"/>
          <w:szCs w:val="22"/>
        </w:rPr>
        <w:t xml:space="preserve">mientras que el recurso de revisión interpuesto por la parte </w:t>
      </w:r>
      <w:r w:rsidRPr="00C83C48">
        <w:rPr>
          <w:rFonts w:ascii="Palatino Linotype" w:eastAsia="Palatino Linotype" w:hAnsi="Palatino Linotype" w:cs="Palatino Linotype"/>
          <w:b/>
          <w:sz w:val="22"/>
          <w:szCs w:val="22"/>
        </w:rPr>
        <w:t>RECURRENTE</w:t>
      </w:r>
      <w:r w:rsidRPr="00C83C48">
        <w:rPr>
          <w:rFonts w:ascii="Palatino Linotype" w:eastAsia="Palatino Linotype" w:hAnsi="Palatino Linotype" w:cs="Palatino Linotype"/>
          <w:sz w:val="22"/>
          <w:szCs w:val="22"/>
        </w:rPr>
        <w:t xml:space="preserve">, se tuvo por presentado el </w:t>
      </w:r>
      <w:r w:rsidR="00312042" w:rsidRPr="00C83C48">
        <w:rPr>
          <w:rFonts w:ascii="Palatino Linotype" w:eastAsia="Palatino Linotype" w:hAnsi="Palatino Linotype" w:cs="Palatino Linotype"/>
          <w:b/>
          <w:sz w:val="22"/>
          <w:szCs w:val="22"/>
        </w:rPr>
        <w:t>seis</w:t>
      </w:r>
      <w:r w:rsidRPr="00C83C48">
        <w:rPr>
          <w:rFonts w:ascii="Palatino Linotype" w:eastAsia="Palatino Linotype" w:hAnsi="Palatino Linotype" w:cs="Palatino Linotype"/>
          <w:b/>
          <w:sz w:val="22"/>
          <w:szCs w:val="22"/>
        </w:rPr>
        <w:t xml:space="preserve"> de </w:t>
      </w:r>
      <w:r w:rsidR="00631C21" w:rsidRPr="00C83C48">
        <w:rPr>
          <w:rFonts w:ascii="Palatino Linotype" w:eastAsia="Palatino Linotype" w:hAnsi="Palatino Linotype" w:cs="Palatino Linotype"/>
          <w:b/>
          <w:sz w:val="22"/>
          <w:szCs w:val="22"/>
        </w:rPr>
        <w:t>agosto</w:t>
      </w:r>
      <w:r w:rsidRPr="00C83C48">
        <w:rPr>
          <w:rFonts w:ascii="Palatino Linotype" w:eastAsia="Palatino Linotype" w:hAnsi="Palatino Linotype" w:cs="Palatino Linotype"/>
          <w:b/>
          <w:sz w:val="22"/>
          <w:szCs w:val="22"/>
        </w:rPr>
        <w:t xml:space="preserve"> del año dos mil veinticinco</w:t>
      </w:r>
      <w:r w:rsidRPr="00C83C48">
        <w:rPr>
          <w:rFonts w:ascii="Palatino Linotype" w:eastAsia="Palatino Linotype" w:hAnsi="Palatino Linotype" w:cs="Palatino Linotype"/>
          <w:sz w:val="22"/>
          <w:szCs w:val="22"/>
        </w:rPr>
        <w:t xml:space="preserve">; esto es, al </w:t>
      </w:r>
      <w:r w:rsidR="00312042" w:rsidRPr="00C83C48">
        <w:rPr>
          <w:rFonts w:ascii="Palatino Linotype" w:eastAsia="Palatino Linotype" w:hAnsi="Palatino Linotype" w:cs="Palatino Linotype"/>
          <w:b/>
          <w:sz w:val="22"/>
          <w:szCs w:val="22"/>
        </w:rPr>
        <w:t>décimo quinto</w:t>
      </w:r>
      <w:r w:rsidR="00312042"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b/>
          <w:sz w:val="22"/>
          <w:szCs w:val="22"/>
        </w:rPr>
        <w:t xml:space="preserve">día hábil </w:t>
      </w:r>
      <w:r w:rsidRPr="00C83C48">
        <w:rPr>
          <w:rFonts w:ascii="Palatino Linotype" w:eastAsia="Palatino Linotype" w:hAnsi="Palatino Linotype" w:cs="Palatino Linotype"/>
          <w:sz w:val="22"/>
          <w:szCs w:val="22"/>
        </w:rPr>
        <w:t>siguiente al que se tuvo conocimiento de la respuesta respectivamente.</w:t>
      </w:r>
    </w:p>
    <w:p w14:paraId="5976AB2D" w14:textId="77777777" w:rsidR="002D25A9" w:rsidRPr="00C83C48" w:rsidRDefault="002D25A9" w:rsidP="002D25A9">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Por otro lado, es de suma importancia mencionar que, si bien la parte Recurrente no proporcionó nombre,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891BA1C" w14:textId="77777777" w:rsidR="002D25A9" w:rsidRPr="00C83C48" w:rsidRDefault="002D25A9" w:rsidP="002D25A9">
      <w:pPr>
        <w:ind w:left="426" w:right="701"/>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br/>
      </w:r>
      <w:r w:rsidRPr="00C83C48">
        <w:rPr>
          <w:rFonts w:ascii="Palatino Linotype" w:eastAsia="Palatino Linotype" w:hAnsi="Palatino Linotype" w:cs="Palatino Linotype"/>
          <w:b/>
          <w:i/>
          <w:sz w:val="22"/>
          <w:szCs w:val="22"/>
        </w:rPr>
        <w:t xml:space="preserve">"Las solicitudes anónimas, </w:t>
      </w:r>
      <w:r w:rsidRPr="00C83C48">
        <w:rPr>
          <w:rFonts w:ascii="Palatino Linotype" w:eastAsia="Palatino Linotype" w:hAnsi="Palatino Linotype" w:cs="Palatino Linotype"/>
          <w:i/>
          <w:sz w:val="22"/>
          <w:szCs w:val="22"/>
        </w:rPr>
        <w:t>con nombre incompleto o seudónimo </w:t>
      </w:r>
      <w:r w:rsidRPr="00C83C48">
        <w:rPr>
          <w:rFonts w:ascii="Palatino Linotype" w:eastAsia="Palatino Linotype" w:hAnsi="Palatino Linotype" w:cs="Palatino Linotype"/>
          <w:b/>
          <w:i/>
          <w:sz w:val="22"/>
          <w:szCs w:val="22"/>
        </w:rPr>
        <w:t>serán procedentes para su trámite por parte del sujeto obligado ante quien se presente.</w:t>
      </w:r>
      <w:r w:rsidRPr="00C83C48">
        <w:rPr>
          <w:rFonts w:ascii="Palatino Linotype" w:eastAsia="Palatino Linotype" w:hAnsi="Palatino Linotype" w:cs="Palatino Linotype"/>
          <w:i/>
          <w:sz w:val="22"/>
          <w:szCs w:val="22"/>
        </w:rPr>
        <w:t xml:space="preserve"> No podrá requerirse información adicional con motivo del nombre proporcionado por el solicitante."</w:t>
      </w:r>
    </w:p>
    <w:p w14:paraId="3E440070" w14:textId="77777777" w:rsidR="00C877F6" w:rsidRPr="00C83C48" w:rsidRDefault="00F36565">
      <w:pP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Así también, por cuanto hace a la </w:t>
      </w:r>
      <w:proofErr w:type="spellStart"/>
      <w:r w:rsidRPr="00C83C48">
        <w:rPr>
          <w:rFonts w:ascii="Palatino Linotype" w:eastAsia="Palatino Linotype" w:hAnsi="Palatino Linotype" w:cs="Palatino Linotype"/>
          <w:sz w:val="22"/>
          <w:szCs w:val="22"/>
        </w:rPr>
        <w:t>procedibilidad</w:t>
      </w:r>
      <w:proofErr w:type="spellEnd"/>
      <w:r w:rsidRPr="00C83C48">
        <w:rPr>
          <w:rFonts w:ascii="Palatino Linotype" w:eastAsia="Palatino Linotype" w:hAnsi="Palatino Linotype" w:cs="Palatino Linotype"/>
          <w:sz w:val="22"/>
          <w:szCs w:val="22"/>
        </w:rPr>
        <w:t xml:space="preserve">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CD30A84" w14:textId="1285E883" w:rsidR="00C877F6" w:rsidRPr="00C83C48" w:rsidRDefault="00F36565">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923A7C" w:rsidRPr="00C83C48">
        <w:rPr>
          <w:rFonts w:ascii="Palatino Linotype" w:eastAsia="Palatino Linotype" w:hAnsi="Palatino Linotype" w:cs="Palatino Linotype"/>
          <w:sz w:val="22"/>
          <w:szCs w:val="22"/>
        </w:rPr>
        <w:t xml:space="preserve">s en el artículo 179, fracción </w:t>
      </w:r>
      <w:r w:rsidR="00631C21" w:rsidRPr="00C83C48">
        <w:rPr>
          <w:rFonts w:ascii="Palatino Linotype" w:eastAsia="Palatino Linotype" w:hAnsi="Palatino Linotype" w:cs="Palatino Linotype"/>
          <w:sz w:val="22"/>
          <w:szCs w:val="22"/>
        </w:rPr>
        <w:t>I</w:t>
      </w:r>
      <w:r w:rsidR="00517589"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sz w:val="22"/>
          <w:szCs w:val="22"/>
        </w:rPr>
        <w:t>de la ley de la materia, que a la letra dice:</w:t>
      </w:r>
    </w:p>
    <w:p w14:paraId="47475447" w14:textId="77777777" w:rsidR="00C877F6" w:rsidRPr="00C83C48" w:rsidRDefault="00F36565">
      <w:pPr>
        <w:spacing w:line="360" w:lineRule="auto"/>
        <w:ind w:left="851" w:right="1041"/>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b/>
          <w:i/>
          <w:sz w:val="22"/>
          <w:szCs w:val="22"/>
        </w:rPr>
        <w:t xml:space="preserve">Artículo 179. </w:t>
      </w:r>
      <w:r w:rsidRPr="00C83C48">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3CAC73BD" w14:textId="0E22ABE1" w:rsidR="00631C21" w:rsidRPr="00C83C48" w:rsidRDefault="00631C21">
      <w:pPr>
        <w:spacing w:line="360" w:lineRule="auto"/>
        <w:ind w:left="851" w:right="1041"/>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 La negativa a la información solicitada</w:t>
      </w:r>
    </w:p>
    <w:p w14:paraId="1678F80B" w14:textId="3EE0E15E" w:rsidR="00C877F6" w:rsidRPr="00C83C48" w:rsidRDefault="00F36565">
      <w:pPr>
        <w:spacing w:line="360" w:lineRule="auto"/>
        <w:ind w:left="851" w:right="1041"/>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p>
    <w:p w14:paraId="1A2EB9D0" w14:textId="77777777" w:rsidR="00C877F6" w:rsidRPr="00C83C48" w:rsidRDefault="00F36565">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Tercero. Materia de la revisión. </w:t>
      </w:r>
      <w:r w:rsidRPr="00C83C48">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C83C48">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C83C48">
        <w:rPr>
          <w:rFonts w:ascii="Palatino Linotype" w:eastAsia="Palatino Linotype" w:hAnsi="Palatino Linotype" w:cs="Palatino Linotype"/>
          <w:sz w:val="22"/>
          <w:szCs w:val="22"/>
        </w:rPr>
        <w:t xml:space="preserve">de la parte </w:t>
      </w:r>
      <w:r w:rsidRPr="00C83C48">
        <w:rPr>
          <w:rFonts w:ascii="Palatino Linotype" w:eastAsia="Palatino Linotype" w:hAnsi="Palatino Linotype" w:cs="Palatino Linotype"/>
          <w:b/>
          <w:sz w:val="22"/>
          <w:szCs w:val="22"/>
        </w:rPr>
        <w:t>Recurrente</w:t>
      </w:r>
      <w:r w:rsidRPr="00C83C48">
        <w:rPr>
          <w:rFonts w:ascii="Palatino Linotype" w:eastAsia="Palatino Linotype" w:hAnsi="Palatino Linotype" w:cs="Palatino Linotype"/>
          <w:sz w:val="22"/>
          <w:szCs w:val="22"/>
        </w:rPr>
        <w:t>, o en su defecto, en caso de ser procedente, ordenar la entrega de información.</w:t>
      </w:r>
    </w:p>
    <w:p w14:paraId="0D9B22BA"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Cuarto. Estudio del asunto. </w:t>
      </w:r>
      <w:r w:rsidRPr="00C83C48">
        <w:rPr>
          <w:rFonts w:ascii="Palatino Linotype" w:eastAsia="Palatino Linotype" w:hAnsi="Palatino Linotype" w:cs="Palatino Linotype"/>
          <w:sz w:val="22"/>
          <w:szCs w:val="22"/>
        </w:rPr>
        <w:t xml:space="preserve">En principio, es conveniente analizar si la respuesta del </w:t>
      </w:r>
      <w:r w:rsidRPr="00C83C48">
        <w:rPr>
          <w:rFonts w:ascii="Palatino Linotype" w:eastAsia="Palatino Linotype" w:hAnsi="Palatino Linotype" w:cs="Palatino Linotype"/>
          <w:b/>
          <w:sz w:val="22"/>
          <w:szCs w:val="22"/>
        </w:rPr>
        <w:t>SUJETO OBLIGADO</w:t>
      </w:r>
      <w:r w:rsidRPr="00C83C48">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138FFBF6"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15C1BD4C" w14:textId="77777777" w:rsidR="00C877F6" w:rsidRPr="00C83C48" w:rsidRDefault="00F36565">
      <w:pPr>
        <w:spacing w:line="276" w:lineRule="auto"/>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b/>
          <w:i/>
          <w:sz w:val="22"/>
          <w:szCs w:val="22"/>
        </w:rPr>
        <w:t>Artículo 4</w:t>
      </w:r>
      <w:r w:rsidRPr="00C83C48">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487D78A" w14:textId="77777777" w:rsidR="00C877F6" w:rsidRPr="00C83C48" w:rsidRDefault="00F36565">
      <w:pPr>
        <w:spacing w:line="276" w:lineRule="auto"/>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C83C48">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A649530" w14:textId="77777777" w:rsidR="00C877F6" w:rsidRPr="00C83C48" w:rsidRDefault="00F36565">
      <w:pPr>
        <w:spacing w:line="276" w:lineRule="auto"/>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C83C48">
        <w:rPr>
          <w:rFonts w:ascii="Palatino Linotype" w:eastAsia="Palatino Linotype" w:hAnsi="Palatino Linotype" w:cs="Palatino Linotype"/>
          <w:i/>
          <w:sz w:val="22"/>
          <w:szCs w:val="22"/>
        </w:rPr>
        <w:t>.”</w:t>
      </w:r>
    </w:p>
    <w:p w14:paraId="6FBC13EC" w14:textId="77777777" w:rsidR="00C877F6" w:rsidRPr="00C83C48" w:rsidRDefault="00C877F6">
      <w:pPr>
        <w:spacing w:line="276" w:lineRule="auto"/>
        <w:jc w:val="both"/>
        <w:rPr>
          <w:rFonts w:ascii="Palatino Linotype" w:eastAsia="Palatino Linotype" w:hAnsi="Palatino Linotype" w:cs="Palatino Linotype"/>
          <w:sz w:val="22"/>
          <w:szCs w:val="22"/>
        </w:rPr>
      </w:pPr>
    </w:p>
    <w:p w14:paraId="1D553B80"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9D84D3A"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2A179EF6" w14:textId="77777777" w:rsidR="00C877F6" w:rsidRPr="00C83C48" w:rsidRDefault="00F36565">
      <w:pPr>
        <w:spacing w:line="276" w:lineRule="auto"/>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“Artículo 12.-</w:t>
      </w:r>
      <w:r w:rsidRPr="00C83C48">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73A04A1" w14:textId="77777777" w:rsidR="00C877F6" w:rsidRPr="00C83C48" w:rsidRDefault="00C877F6">
      <w:pPr>
        <w:spacing w:line="276" w:lineRule="auto"/>
        <w:ind w:left="567" w:right="616"/>
        <w:jc w:val="both"/>
        <w:rPr>
          <w:rFonts w:ascii="Palatino Linotype" w:eastAsia="Palatino Linotype" w:hAnsi="Palatino Linotype" w:cs="Palatino Linotype"/>
          <w:i/>
          <w:sz w:val="22"/>
          <w:szCs w:val="22"/>
        </w:rPr>
      </w:pPr>
    </w:p>
    <w:p w14:paraId="37D07658" w14:textId="77777777" w:rsidR="00C877F6" w:rsidRPr="00C83C48" w:rsidRDefault="00F36565">
      <w:pPr>
        <w:spacing w:line="276" w:lineRule="auto"/>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5358F059" w14:textId="77777777" w:rsidR="00C877F6" w:rsidRPr="00C83C48" w:rsidRDefault="00C877F6">
      <w:pPr>
        <w:spacing w:line="360" w:lineRule="auto"/>
        <w:ind w:right="-93"/>
        <w:jc w:val="both"/>
        <w:rPr>
          <w:rFonts w:ascii="Palatino Linotype" w:eastAsia="Palatino Linotype" w:hAnsi="Palatino Linotype" w:cs="Palatino Linotype"/>
          <w:sz w:val="22"/>
          <w:szCs w:val="22"/>
        </w:rPr>
      </w:pPr>
    </w:p>
    <w:p w14:paraId="16097321" w14:textId="77777777" w:rsidR="00C877F6" w:rsidRPr="00C83C48" w:rsidRDefault="00F36565">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039288F1" w14:textId="77777777" w:rsidR="00C877F6" w:rsidRPr="00C83C48" w:rsidRDefault="00C877F6">
      <w:pPr>
        <w:spacing w:line="360" w:lineRule="auto"/>
        <w:ind w:right="-93"/>
        <w:jc w:val="both"/>
        <w:rPr>
          <w:rFonts w:ascii="Palatino Linotype" w:eastAsia="Palatino Linotype" w:hAnsi="Palatino Linotype" w:cs="Palatino Linotype"/>
          <w:sz w:val="22"/>
          <w:szCs w:val="22"/>
        </w:rPr>
      </w:pPr>
    </w:p>
    <w:p w14:paraId="279C31C3" w14:textId="77777777" w:rsidR="00C877F6" w:rsidRPr="00C83C48" w:rsidRDefault="00F36565">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C83C48">
        <w:rPr>
          <w:rFonts w:ascii="Palatino Linotype" w:eastAsia="Palatino Linotype" w:hAnsi="Palatino Linotype" w:cs="Palatino Linotype"/>
          <w:b/>
          <w:sz w:val="22"/>
          <w:szCs w:val="22"/>
        </w:rPr>
        <w:t xml:space="preserve"> </w:t>
      </w:r>
    </w:p>
    <w:p w14:paraId="2E2DBFC3" w14:textId="77777777" w:rsidR="00C877F6" w:rsidRPr="00C83C48" w:rsidRDefault="00C877F6">
      <w:pPr>
        <w:spacing w:line="360" w:lineRule="auto"/>
        <w:jc w:val="both"/>
        <w:rPr>
          <w:rFonts w:ascii="Palatino Linotype" w:eastAsia="Palatino Linotype" w:hAnsi="Palatino Linotype" w:cs="Palatino Linotype"/>
          <w:b/>
          <w:sz w:val="22"/>
          <w:szCs w:val="22"/>
        </w:rPr>
      </w:pPr>
    </w:p>
    <w:p w14:paraId="2C225EFA"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b/>
          <w:i/>
          <w:sz w:val="22"/>
          <w:szCs w:val="22"/>
        </w:rPr>
        <w:t>No existe obligación de elaborar documentos ad hoc para atender las solicitudes de acceso a la información.</w:t>
      </w:r>
      <w:r w:rsidRPr="00C83C48">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DA26D12" w14:textId="77777777" w:rsidR="00C877F6" w:rsidRPr="00C83C48" w:rsidRDefault="00C877F6">
      <w:pPr>
        <w:spacing w:line="360" w:lineRule="auto"/>
        <w:ind w:right="-93"/>
        <w:jc w:val="both"/>
        <w:rPr>
          <w:rFonts w:ascii="Palatino Linotype" w:eastAsia="Palatino Linotype" w:hAnsi="Palatino Linotype" w:cs="Palatino Linotype"/>
          <w:sz w:val="22"/>
          <w:szCs w:val="22"/>
        </w:rPr>
      </w:pPr>
    </w:p>
    <w:p w14:paraId="1B3F139F"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DE08A8F"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0A307AF3" w14:textId="77777777" w:rsidR="00C877F6" w:rsidRPr="00C83C48" w:rsidRDefault="00F36565">
      <w:pPr>
        <w:spacing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0E97E71" w14:textId="77777777" w:rsidR="00C877F6" w:rsidRPr="00C83C48" w:rsidRDefault="00C877F6">
      <w:pPr>
        <w:spacing w:line="360" w:lineRule="auto"/>
        <w:ind w:right="49"/>
        <w:jc w:val="both"/>
        <w:rPr>
          <w:rFonts w:ascii="Palatino Linotype" w:eastAsia="Palatino Linotype" w:hAnsi="Palatino Linotype" w:cs="Palatino Linotype"/>
          <w:sz w:val="22"/>
          <w:szCs w:val="22"/>
        </w:rPr>
      </w:pPr>
    </w:p>
    <w:p w14:paraId="18A47771"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886DAFA" w14:textId="77777777" w:rsidR="00C877F6" w:rsidRPr="00C83C48" w:rsidRDefault="00C877F6">
      <w:pPr>
        <w:spacing w:line="360" w:lineRule="auto"/>
        <w:ind w:left="567" w:right="616"/>
        <w:jc w:val="both"/>
        <w:rPr>
          <w:rFonts w:ascii="Palatino Linotype" w:eastAsia="Palatino Linotype" w:hAnsi="Palatino Linotype" w:cs="Palatino Linotype"/>
          <w:i/>
          <w:sz w:val="22"/>
          <w:szCs w:val="22"/>
        </w:rPr>
      </w:pPr>
    </w:p>
    <w:p w14:paraId="688BA59C"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b/>
          <w:i/>
          <w:sz w:val="22"/>
          <w:szCs w:val="22"/>
        </w:rPr>
        <w:t xml:space="preserve">Artículo 3. </w:t>
      </w:r>
      <w:r w:rsidRPr="00C83C48">
        <w:rPr>
          <w:rFonts w:ascii="Palatino Linotype" w:eastAsia="Palatino Linotype" w:hAnsi="Palatino Linotype" w:cs="Palatino Linotype"/>
          <w:i/>
          <w:sz w:val="22"/>
          <w:szCs w:val="22"/>
        </w:rPr>
        <w:t>Para los efectos de la presente Ley se entenderá por:</w:t>
      </w:r>
    </w:p>
    <w:p w14:paraId="505D52C6"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p>
    <w:p w14:paraId="273D4E7F"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XI. Documento:</w:t>
      </w:r>
      <w:r w:rsidRPr="00C83C48">
        <w:rPr>
          <w:rFonts w:ascii="Palatino Linotype" w:eastAsia="Palatino Linotype" w:hAnsi="Palatino Linotype" w:cs="Palatino Linotype"/>
          <w:i/>
          <w:sz w:val="22"/>
          <w:szCs w:val="22"/>
        </w:rPr>
        <w:t xml:space="preserve"> Los expedientes, reportes, estudios, actas</w:t>
      </w:r>
      <w:r w:rsidRPr="00C83C48">
        <w:rPr>
          <w:rFonts w:ascii="Palatino Linotype" w:eastAsia="Palatino Linotype" w:hAnsi="Palatino Linotype" w:cs="Palatino Linotype"/>
          <w:b/>
          <w:i/>
          <w:sz w:val="22"/>
          <w:szCs w:val="22"/>
        </w:rPr>
        <w:t>,</w:t>
      </w:r>
      <w:r w:rsidRPr="00C83C48">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5F92C6F" w14:textId="77777777" w:rsidR="00C877F6" w:rsidRPr="00C83C48" w:rsidRDefault="00C877F6">
      <w:pPr>
        <w:spacing w:line="360" w:lineRule="auto"/>
        <w:ind w:left="851" w:right="899"/>
        <w:jc w:val="both"/>
        <w:rPr>
          <w:rFonts w:ascii="Palatino Linotype" w:eastAsia="Palatino Linotype" w:hAnsi="Palatino Linotype" w:cs="Palatino Linotype"/>
          <w:sz w:val="22"/>
          <w:szCs w:val="22"/>
        </w:rPr>
      </w:pPr>
    </w:p>
    <w:p w14:paraId="732A9768"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3FF5F00"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36EC6455" w14:textId="77777777" w:rsidR="00C877F6" w:rsidRPr="00C83C48" w:rsidRDefault="00F36565">
      <w:pPr>
        <w:ind w:left="567" w:right="616"/>
        <w:jc w:val="both"/>
        <w:rPr>
          <w:rFonts w:ascii="Palatino Linotype" w:eastAsia="Palatino Linotype" w:hAnsi="Palatino Linotype" w:cs="Palatino Linotype"/>
          <w:b/>
          <w:i/>
          <w:sz w:val="22"/>
          <w:szCs w:val="22"/>
        </w:rPr>
      </w:pPr>
      <w:r w:rsidRPr="00C83C48">
        <w:rPr>
          <w:rFonts w:ascii="Palatino Linotype" w:eastAsia="Palatino Linotype" w:hAnsi="Palatino Linotype" w:cs="Palatino Linotype"/>
          <w:b/>
          <w:sz w:val="22"/>
          <w:szCs w:val="22"/>
        </w:rPr>
        <w:t>“</w:t>
      </w:r>
      <w:r w:rsidRPr="00C83C48">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C83C48">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5D1E8D9"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En </w:t>
      </w:r>
      <w:proofErr w:type="gramStart"/>
      <w:r w:rsidRPr="00C83C48">
        <w:rPr>
          <w:rFonts w:ascii="Palatino Linotype" w:eastAsia="Palatino Linotype" w:hAnsi="Palatino Linotype" w:cs="Palatino Linotype"/>
          <w:i/>
          <w:sz w:val="22"/>
          <w:szCs w:val="22"/>
        </w:rPr>
        <w:t>consecuencia</w:t>
      </w:r>
      <w:proofErr w:type="gramEnd"/>
      <w:r w:rsidRPr="00C83C48">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00DE89C1"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1) Que se trate de información registrada en cualquier soporte documental, </w:t>
      </w:r>
      <w:proofErr w:type="gramStart"/>
      <w:r w:rsidRPr="00C83C48">
        <w:rPr>
          <w:rFonts w:ascii="Palatino Linotype" w:eastAsia="Palatino Linotype" w:hAnsi="Palatino Linotype" w:cs="Palatino Linotype"/>
          <w:i/>
          <w:sz w:val="22"/>
          <w:szCs w:val="22"/>
        </w:rPr>
        <w:t>que</w:t>
      </w:r>
      <w:proofErr w:type="gramEnd"/>
      <w:r w:rsidRPr="00C83C48">
        <w:rPr>
          <w:rFonts w:ascii="Palatino Linotype" w:eastAsia="Palatino Linotype" w:hAnsi="Palatino Linotype" w:cs="Palatino Linotype"/>
          <w:i/>
          <w:sz w:val="22"/>
          <w:szCs w:val="22"/>
        </w:rPr>
        <w:t xml:space="preserve"> en ejercicio de las atribuciones conferidas, sea generada por los Sujetos Obligados;</w:t>
      </w:r>
    </w:p>
    <w:p w14:paraId="74575813" w14:textId="77777777" w:rsidR="00C877F6" w:rsidRPr="00C83C48" w:rsidRDefault="00F36565">
      <w:pPr>
        <w:ind w:left="567" w:right="616"/>
        <w:jc w:val="both"/>
        <w:rPr>
          <w:rFonts w:ascii="Palatino Linotype" w:eastAsia="Palatino Linotype" w:hAnsi="Palatino Linotype" w:cs="Palatino Linotype"/>
          <w:b/>
          <w:i/>
          <w:sz w:val="22"/>
          <w:szCs w:val="22"/>
        </w:rPr>
      </w:pPr>
      <w:r w:rsidRPr="00C83C48">
        <w:rPr>
          <w:rFonts w:ascii="Palatino Linotype" w:eastAsia="Palatino Linotype" w:hAnsi="Palatino Linotype" w:cs="Palatino Linotype"/>
          <w:b/>
          <w:i/>
          <w:sz w:val="22"/>
          <w:szCs w:val="22"/>
        </w:rPr>
        <w:t xml:space="preserve">2) Que se trate de información registrada en cualquier soporte documental, </w:t>
      </w:r>
      <w:proofErr w:type="gramStart"/>
      <w:r w:rsidRPr="00C83C48">
        <w:rPr>
          <w:rFonts w:ascii="Palatino Linotype" w:eastAsia="Palatino Linotype" w:hAnsi="Palatino Linotype" w:cs="Palatino Linotype"/>
          <w:b/>
          <w:i/>
          <w:sz w:val="22"/>
          <w:szCs w:val="22"/>
        </w:rPr>
        <w:t>que</w:t>
      </w:r>
      <w:proofErr w:type="gramEnd"/>
      <w:r w:rsidRPr="00C83C48">
        <w:rPr>
          <w:rFonts w:ascii="Palatino Linotype" w:eastAsia="Palatino Linotype" w:hAnsi="Palatino Linotype" w:cs="Palatino Linotype"/>
          <w:b/>
          <w:i/>
          <w:sz w:val="22"/>
          <w:szCs w:val="22"/>
        </w:rPr>
        <w:t xml:space="preserve"> en ejercicio de las atribuciones conferidas, sea administrada por los Sujetos Obligados, y</w:t>
      </w:r>
    </w:p>
    <w:p w14:paraId="55DABC20" w14:textId="77777777" w:rsidR="00C877F6" w:rsidRPr="00C83C48" w:rsidRDefault="00F36565">
      <w:pPr>
        <w:ind w:left="567" w:right="616"/>
        <w:jc w:val="both"/>
        <w:rPr>
          <w:rFonts w:ascii="Palatino Linotype" w:eastAsia="Palatino Linotype" w:hAnsi="Palatino Linotype" w:cs="Palatino Linotype"/>
          <w:b/>
          <w:i/>
          <w:sz w:val="22"/>
          <w:szCs w:val="22"/>
        </w:rPr>
      </w:pPr>
      <w:r w:rsidRPr="00C83C48">
        <w:rPr>
          <w:rFonts w:ascii="Palatino Linotype" w:eastAsia="Palatino Linotype" w:hAnsi="Palatino Linotype" w:cs="Palatino Linotype"/>
          <w:b/>
          <w:i/>
          <w:sz w:val="22"/>
          <w:szCs w:val="22"/>
        </w:rPr>
        <w:t xml:space="preserve">3) Que se trate de información registrada en cualquier soporte documental, </w:t>
      </w:r>
      <w:proofErr w:type="gramStart"/>
      <w:r w:rsidRPr="00C83C48">
        <w:rPr>
          <w:rFonts w:ascii="Palatino Linotype" w:eastAsia="Palatino Linotype" w:hAnsi="Palatino Linotype" w:cs="Palatino Linotype"/>
          <w:b/>
          <w:i/>
          <w:sz w:val="22"/>
          <w:szCs w:val="22"/>
        </w:rPr>
        <w:t>que</w:t>
      </w:r>
      <w:proofErr w:type="gramEnd"/>
      <w:r w:rsidRPr="00C83C48">
        <w:rPr>
          <w:rFonts w:ascii="Palatino Linotype" w:eastAsia="Palatino Linotype" w:hAnsi="Palatino Linotype" w:cs="Palatino Linotype"/>
          <w:b/>
          <w:i/>
          <w:sz w:val="22"/>
          <w:szCs w:val="22"/>
        </w:rPr>
        <w:t xml:space="preserve"> en ejercicio de las atribuciones conferidas, se encuentre en posesión de los Sujetos Obligados.” </w:t>
      </w:r>
    </w:p>
    <w:p w14:paraId="436FFA4E" w14:textId="77777777" w:rsidR="00C877F6" w:rsidRPr="00C83C48" w:rsidRDefault="00C877F6">
      <w:pPr>
        <w:tabs>
          <w:tab w:val="left" w:pos="8647"/>
        </w:tabs>
        <w:spacing w:line="360" w:lineRule="auto"/>
        <w:jc w:val="both"/>
        <w:rPr>
          <w:rFonts w:ascii="Palatino Linotype" w:eastAsia="Palatino Linotype" w:hAnsi="Palatino Linotype" w:cs="Palatino Linotype"/>
          <w:b/>
          <w:sz w:val="22"/>
          <w:szCs w:val="22"/>
        </w:rPr>
      </w:pPr>
    </w:p>
    <w:p w14:paraId="65DAE01B" w14:textId="18F7835F" w:rsidR="00ED1C6A" w:rsidRPr="00C83C48" w:rsidRDefault="00F36565">
      <w:pPr>
        <w:spacing w:after="240" w:line="360" w:lineRule="auto"/>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sz w:val="22"/>
          <w:szCs w:val="22"/>
        </w:rPr>
        <w:t xml:space="preserve">Del análisis de la solicitud de información motivo del recurso de revisión que ahora se resuelve, </w:t>
      </w:r>
      <w:r w:rsidR="008E4A90" w:rsidRPr="00C83C48">
        <w:rPr>
          <w:rFonts w:ascii="Palatino Linotype" w:eastAsia="Palatino Linotype" w:hAnsi="Palatino Linotype" w:cs="Palatino Linotype"/>
          <w:sz w:val="22"/>
          <w:szCs w:val="22"/>
        </w:rPr>
        <w:t xml:space="preserve">se tiene que el Recurrente solicitó al </w:t>
      </w:r>
      <w:r w:rsidR="000C6DFE" w:rsidRPr="00C83C48">
        <w:rPr>
          <w:rFonts w:ascii="Palatino Linotype" w:eastAsia="Palatino Linotype" w:hAnsi="Palatino Linotype" w:cs="Palatino Linotype"/>
          <w:b/>
          <w:sz w:val="22"/>
          <w:szCs w:val="22"/>
        </w:rPr>
        <w:t>Ayuntamiento de Toluca</w:t>
      </w:r>
      <w:r w:rsidR="00ED1C6A" w:rsidRPr="00C83C48">
        <w:rPr>
          <w:rFonts w:ascii="Palatino Linotype" w:eastAsia="Palatino Linotype" w:hAnsi="Palatino Linotype" w:cs="Palatino Linotype"/>
          <w:b/>
          <w:sz w:val="22"/>
          <w:szCs w:val="22"/>
        </w:rPr>
        <w:t xml:space="preserve"> información relativa a la obra pública de</w:t>
      </w:r>
      <w:r w:rsidR="00CF65B8" w:rsidRPr="00C83C48">
        <w:rPr>
          <w:rFonts w:ascii="Palatino Linotype" w:eastAsia="Palatino Linotype" w:hAnsi="Palatino Linotype" w:cs="Palatino Linotype"/>
          <w:b/>
          <w:sz w:val="22"/>
          <w:szCs w:val="22"/>
        </w:rPr>
        <w:t xml:space="preserve"> </w:t>
      </w:r>
      <w:r w:rsidR="00ED1C6A" w:rsidRPr="00C83C48">
        <w:rPr>
          <w:rFonts w:ascii="Palatino Linotype" w:eastAsia="Palatino Linotype" w:hAnsi="Palatino Linotype" w:cs="Palatino Linotype"/>
          <w:b/>
          <w:sz w:val="22"/>
          <w:szCs w:val="22"/>
        </w:rPr>
        <w:t>l</w:t>
      </w:r>
      <w:r w:rsidR="00CF65B8" w:rsidRPr="00C83C48">
        <w:rPr>
          <w:rFonts w:ascii="Palatino Linotype" w:eastAsia="Palatino Linotype" w:hAnsi="Palatino Linotype" w:cs="Palatino Linotype"/>
          <w:b/>
          <w:sz w:val="22"/>
          <w:szCs w:val="22"/>
        </w:rPr>
        <w:t>os</w:t>
      </w:r>
      <w:r w:rsidR="00ED1C6A" w:rsidRPr="00C83C48">
        <w:rPr>
          <w:rFonts w:ascii="Palatino Linotype" w:eastAsia="Palatino Linotype" w:hAnsi="Palatino Linotype" w:cs="Palatino Linotype"/>
          <w:b/>
          <w:sz w:val="22"/>
          <w:szCs w:val="22"/>
        </w:rPr>
        <w:t xml:space="preserve"> ejercicio</w:t>
      </w:r>
      <w:r w:rsidR="00CF65B8" w:rsidRPr="00C83C48">
        <w:rPr>
          <w:rFonts w:ascii="Palatino Linotype" w:eastAsia="Palatino Linotype" w:hAnsi="Palatino Linotype" w:cs="Palatino Linotype"/>
          <w:b/>
          <w:sz w:val="22"/>
          <w:szCs w:val="22"/>
        </w:rPr>
        <w:t>s</w:t>
      </w:r>
      <w:r w:rsidR="00ED1C6A" w:rsidRPr="00C83C48">
        <w:rPr>
          <w:rFonts w:ascii="Palatino Linotype" w:eastAsia="Palatino Linotype" w:hAnsi="Palatino Linotype" w:cs="Palatino Linotype"/>
          <w:b/>
          <w:sz w:val="22"/>
          <w:szCs w:val="22"/>
        </w:rPr>
        <w:t xml:space="preserve"> fiscal</w:t>
      </w:r>
      <w:r w:rsidR="00CF65B8" w:rsidRPr="00C83C48">
        <w:rPr>
          <w:rFonts w:ascii="Palatino Linotype" w:eastAsia="Palatino Linotype" w:hAnsi="Palatino Linotype" w:cs="Palatino Linotype"/>
          <w:b/>
          <w:sz w:val="22"/>
          <w:szCs w:val="22"/>
        </w:rPr>
        <w:t>es</w:t>
      </w:r>
      <w:r w:rsidR="00ED1C6A" w:rsidRPr="00C83C48">
        <w:rPr>
          <w:rFonts w:ascii="Palatino Linotype" w:eastAsia="Palatino Linotype" w:hAnsi="Palatino Linotype" w:cs="Palatino Linotype"/>
          <w:b/>
          <w:sz w:val="22"/>
          <w:szCs w:val="22"/>
        </w:rPr>
        <w:t xml:space="preserve"> 2024 y 2025.</w:t>
      </w:r>
    </w:p>
    <w:p w14:paraId="716CCF54" w14:textId="0A64FCD7" w:rsidR="00ED1C6A" w:rsidRPr="00C83C48" w:rsidRDefault="00CF65B8" w:rsidP="00ED1C6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D</w:t>
      </w:r>
      <w:r w:rsidR="00ED1C6A" w:rsidRPr="00C83C48">
        <w:rPr>
          <w:rFonts w:ascii="Palatino Linotype" w:eastAsia="Palatino Linotype" w:hAnsi="Palatino Linotype" w:cs="Palatino Linotype"/>
          <w:sz w:val="22"/>
          <w:szCs w:val="22"/>
        </w:rPr>
        <w:t xml:space="preserve">erivado de la naturaleza de la información, es oportuno hacer alusión al Libro Décimo Segundo. De la obra pública, del Código Administrativo del Estado de México, el cual, de conformidad con el artículo 12.1, regular los actos relativos a la planeación, programación, </w:t>
      </w:r>
      <w:proofErr w:type="spellStart"/>
      <w:r w:rsidR="00ED1C6A" w:rsidRPr="00C83C48">
        <w:rPr>
          <w:rFonts w:ascii="Palatino Linotype" w:eastAsia="Palatino Linotype" w:hAnsi="Palatino Linotype" w:cs="Palatino Linotype"/>
          <w:sz w:val="22"/>
          <w:szCs w:val="22"/>
        </w:rPr>
        <w:t>presupuestación</w:t>
      </w:r>
      <w:proofErr w:type="spellEnd"/>
      <w:r w:rsidR="00ED1C6A" w:rsidRPr="00C83C48">
        <w:rPr>
          <w:rFonts w:ascii="Palatino Linotype" w:eastAsia="Palatino Linotype" w:hAnsi="Palatino Linotype" w:cs="Palatino Linotype"/>
          <w:sz w:val="22"/>
          <w:szCs w:val="22"/>
        </w:rPr>
        <w:t xml:space="preserve">, adjudicación, contratación, ejecución y control de la obra pública, así como los servicios relacionados con la misma que, por sí o por conducto de terceros, realicen las secretarías y unidades administrativas del Poder Ejecutivo del Estado; la Fiscalía General de Justicia; </w:t>
      </w:r>
      <w:r w:rsidR="00ED1C6A" w:rsidRPr="00C83C48">
        <w:rPr>
          <w:rFonts w:ascii="Palatino Linotype" w:eastAsia="Palatino Linotype" w:hAnsi="Palatino Linotype" w:cs="Palatino Linotype"/>
          <w:b/>
          <w:sz w:val="22"/>
          <w:szCs w:val="22"/>
          <w:u w:val="single"/>
        </w:rPr>
        <w:t>los ayuntamientos de los municipios del Estado</w:t>
      </w:r>
      <w:r w:rsidR="00ED1C6A" w:rsidRPr="00C83C48">
        <w:rPr>
          <w:rFonts w:ascii="Palatino Linotype" w:eastAsia="Palatino Linotype" w:hAnsi="Palatino Linotype" w:cs="Palatino Linotype"/>
          <w:sz w:val="22"/>
          <w:szCs w:val="22"/>
        </w:rPr>
        <w:t>; los organismos auxiliares y fideicomisos públicos del Estado y municipios; y los tribunales administrativos.</w:t>
      </w:r>
    </w:p>
    <w:p w14:paraId="765AB3E9" w14:textId="77777777" w:rsidR="00ED1C6A" w:rsidRPr="00C83C48" w:rsidRDefault="00ED1C6A" w:rsidP="00ED1C6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En este tenor, de conformidad con el artículo 12.4 del Libro Décimo Segundo del referido Código, </w:t>
      </w:r>
      <w:r w:rsidRPr="00C83C48">
        <w:rPr>
          <w:rFonts w:ascii="Palatino Linotype" w:eastAsia="Palatino Linotype" w:hAnsi="Palatino Linotype" w:cs="Palatino Linotype"/>
          <w:b/>
          <w:sz w:val="22"/>
          <w:szCs w:val="22"/>
        </w:rPr>
        <w:t xml:space="preserve">se considera obra pública todo trabajo que tenga por objeto principal construir, instalar, ampliar, adecuar, remodelar, restaurar, conservar, mantener, modificar o demoler </w:t>
      </w:r>
      <w:r w:rsidRPr="00C83C48">
        <w:rPr>
          <w:rFonts w:ascii="Palatino Linotype" w:eastAsia="Palatino Linotype" w:hAnsi="Palatino Linotype" w:cs="Palatino Linotype"/>
          <w:b/>
          <w:sz w:val="22"/>
          <w:szCs w:val="22"/>
          <w:u w:val="single"/>
        </w:rPr>
        <w:t>bienes inmuebles propiedad</w:t>
      </w:r>
      <w:r w:rsidRPr="00C83C48">
        <w:rPr>
          <w:rFonts w:ascii="Palatino Linotype" w:eastAsia="Palatino Linotype" w:hAnsi="Palatino Linotype" w:cs="Palatino Linotype"/>
          <w:b/>
          <w:sz w:val="22"/>
          <w:szCs w:val="22"/>
        </w:rPr>
        <w:t xml:space="preserve"> </w:t>
      </w:r>
      <w:r w:rsidRPr="00C83C48">
        <w:rPr>
          <w:rFonts w:ascii="Palatino Linotype" w:eastAsia="Palatino Linotype" w:hAnsi="Palatino Linotype" w:cs="Palatino Linotype"/>
          <w:sz w:val="22"/>
          <w:szCs w:val="22"/>
        </w:rPr>
        <w:t xml:space="preserve">del Estado, de sus dependencias y entidades y </w:t>
      </w:r>
      <w:r w:rsidRPr="00C83C48">
        <w:rPr>
          <w:rFonts w:ascii="Palatino Linotype" w:eastAsia="Palatino Linotype" w:hAnsi="Palatino Linotype" w:cs="Palatino Linotype"/>
          <w:b/>
          <w:sz w:val="22"/>
          <w:szCs w:val="22"/>
          <w:u w:val="single"/>
        </w:rPr>
        <w:t>de los municipios</w:t>
      </w:r>
      <w:r w:rsidRPr="00C83C48">
        <w:rPr>
          <w:rFonts w:ascii="Palatino Linotype" w:eastAsia="Palatino Linotype" w:hAnsi="Palatino Linotype" w:cs="Palatino Linotype"/>
          <w:sz w:val="22"/>
          <w:szCs w:val="22"/>
        </w:rPr>
        <w:t xml:space="preserve"> y sus organismos </w:t>
      </w:r>
      <w:r w:rsidRPr="00C83C48">
        <w:rPr>
          <w:rFonts w:ascii="Palatino Linotype" w:eastAsia="Palatino Linotype" w:hAnsi="Palatino Linotype" w:cs="Palatino Linotype"/>
          <w:b/>
          <w:sz w:val="22"/>
          <w:szCs w:val="22"/>
        </w:rPr>
        <w:t xml:space="preserve">con cargo a recursos públicos estatales o municipales, </w:t>
      </w:r>
      <w:r w:rsidRPr="00C83C48">
        <w:rPr>
          <w:rFonts w:ascii="Palatino Linotype" w:eastAsia="Palatino Linotype" w:hAnsi="Palatino Linotype" w:cs="Palatino Linotype"/>
          <w:sz w:val="22"/>
          <w:szCs w:val="22"/>
        </w:rPr>
        <w:t>quedando comprendidos dentro de la obra pública: </w:t>
      </w:r>
    </w:p>
    <w:p w14:paraId="10B4EF27" w14:textId="77777777" w:rsidR="00ED1C6A" w:rsidRPr="00C83C48" w:rsidRDefault="00ED1C6A" w:rsidP="00ED1C6A">
      <w:pPr>
        <w:pBdr>
          <w:top w:val="nil"/>
          <w:left w:val="nil"/>
          <w:bottom w:val="nil"/>
          <w:right w:val="nil"/>
          <w:between w:val="nil"/>
        </w:pBdr>
        <w:spacing w:before="240" w:after="240" w:line="360" w:lineRule="auto"/>
        <w:ind w:left="284"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 El mantenimiento, restauración, desmantelamiento o remoción de bienes muebles incorporados o adheridos a un inmueble; </w:t>
      </w:r>
    </w:p>
    <w:p w14:paraId="0847683D" w14:textId="77777777" w:rsidR="00ED1C6A" w:rsidRPr="00C83C48" w:rsidRDefault="00ED1C6A" w:rsidP="00ED1C6A">
      <w:pPr>
        <w:pBdr>
          <w:top w:val="nil"/>
          <w:left w:val="nil"/>
          <w:bottom w:val="nil"/>
          <w:right w:val="nil"/>
          <w:between w:val="nil"/>
        </w:pBdr>
        <w:spacing w:before="240" w:after="240" w:line="360" w:lineRule="auto"/>
        <w:ind w:left="284"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 Los proyectos integrales o comúnmente denominados llave en mano, en los cuales el contratista se obliga desde el diseño de la obra hasta su terminación total, incluyéndose, cuando se requiera, la transferencia de tecnología; </w:t>
      </w:r>
    </w:p>
    <w:p w14:paraId="3676A10F" w14:textId="77777777" w:rsidR="00ED1C6A" w:rsidRPr="00C83C48" w:rsidRDefault="00ED1C6A" w:rsidP="00ED1C6A">
      <w:pPr>
        <w:pBdr>
          <w:top w:val="nil"/>
          <w:left w:val="nil"/>
          <w:bottom w:val="nil"/>
          <w:right w:val="nil"/>
          <w:between w:val="nil"/>
        </w:pBdr>
        <w:spacing w:before="240" w:after="240" w:line="360" w:lineRule="auto"/>
        <w:ind w:left="284"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III. Los trabajos de exploración, localización y perforación; mejoramiento del suelo y/o subsuelo; desmontes y extracción y aquellos similares que tengan por objeto la explotación y desarrollo de los recursos naturales que se encuentran en el suelo y/o subsuelo; </w:t>
      </w:r>
    </w:p>
    <w:p w14:paraId="000D9F6F" w14:textId="77777777" w:rsidR="00ED1C6A" w:rsidRPr="00C83C48" w:rsidRDefault="00ED1C6A" w:rsidP="00ED1C6A">
      <w:pPr>
        <w:pBdr>
          <w:top w:val="nil"/>
          <w:left w:val="nil"/>
          <w:bottom w:val="nil"/>
          <w:right w:val="nil"/>
          <w:between w:val="nil"/>
        </w:pBdr>
        <w:spacing w:before="240" w:after="240" w:line="360" w:lineRule="auto"/>
        <w:ind w:left="284"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IV. Los trabajos de infraestructura agropecuaria e </w:t>
      </w:r>
      <w:proofErr w:type="spellStart"/>
      <w:r w:rsidRPr="00C83C48">
        <w:rPr>
          <w:rFonts w:ascii="Palatino Linotype" w:eastAsia="Palatino Linotype" w:hAnsi="Palatino Linotype" w:cs="Palatino Linotype"/>
          <w:i/>
          <w:sz w:val="22"/>
          <w:szCs w:val="22"/>
        </w:rPr>
        <w:t>hidroagrícola</w:t>
      </w:r>
      <w:proofErr w:type="spellEnd"/>
      <w:r w:rsidRPr="00C83C48">
        <w:rPr>
          <w:rFonts w:ascii="Palatino Linotype" w:eastAsia="Palatino Linotype" w:hAnsi="Palatino Linotype" w:cs="Palatino Linotype"/>
          <w:i/>
          <w:sz w:val="22"/>
          <w:szCs w:val="22"/>
        </w:rPr>
        <w:t>: </w:t>
      </w:r>
    </w:p>
    <w:p w14:paraId="25AA16C7" w14:textId="77777777" w:rsidR="00ED1C6A" w:rsidRPr="00C83C48" w:rsidRDefault="00ED1C6A" w:rsidP="00ED1C6A">
      <w:pPr>
        <w:pBdr>
          <w:top w:val="nil"/>
          <w:left w:val="nil"/>
          <w:bottom w:val="nil"/>
          <w:right w:val="nil"/>
          <w:between w:val="nil"/>
        </w:pBdr>
        <w:spacing w:before="240" w:after="240" w:line="360" w:lineRule="auto"/>
        <w:ind w:left="284"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V. La instalación, montaje, colocación y/o aplicación, incluyendo las pruebas de operación de bienes muebles que deban incorporarse, adherirse o destinarse a un inmueble, siempre que dichos muebles sean proporcionados por la convocante al contratista o bien, cuando su adquisición esté incluida en los trabajos que se contraten y su precio sea menor al de estos últimos; </w:t>
      </w:r>
    </w:p>
    <w:p w14:paraId="0938A5A4" w14:textId="77777777" w:rsidR="00ED1C6A" w:rsidRPr="00C83C48" w:rsidRDefault="00ED1C6A" w:rsidP="00ED1C6A">
      <w:pPr>
        <w:pBdr>
          <w:top w:val="nil"/>
          <w:left w:val="nil"/>
          <w:bottom w:val="nil"/>
          <w:right w:val="nil"/>
          <w:between w:val="nil"/>
        </w:pBdr>
        <w:spacing w:before="240" w:after="240" w:line="360" w:lineRule="auto"/>
        <w:ind w:left="284"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VI. Los demás que tengan por objeto principal alguno de los conceptos a que se refiere el párrafo primero de este artículo, excluyéndose expresamente los trabajos regulados por el Libro Décimo Sexto del Código.</w:t>
      </w:r>
    </w:p>
    <w:p w14:paraId="5D37416B" w14:textId="77777777" w:rsidR="00ED1C6A" w:rsidRPr="00C83C48" w:rsidRDefault="00ED1C6A" w:rsidP="00ED1C6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Mientras que el artículo 12.5 del Libro Décimo Segundo, señala que </w:t>
      </w:r>
      <w:r w:rsidRPr="00C83C48">
        <w:rPr>
          <w:rFonts w:ascii="Palatino Linotype" w:eastAsia="Palatino Linotype" w:hAnsi="Palatino Linotype" w:cs="Palatino Linotype"/>
          <w:b/>
          <w:sz w:val="22"/>
          <w:szCs w:val="22"/>
        </w:rPr>
        <w:t xml:space="preserve">se consideran servicios relacionados con la obra pública, los trabajos que tengan por objeto concebir, diseñar y calcular los elementos que integran </w:t>
      </w:r>
      <w:r w:rsidRPr="00C83C48">
        <w:rPr>
          <w:rFonts w:ascii="Palatino Linotype" w:eastAsia="Palatino Linotype" w:hAnsi="Palatino Linotype" w:cs="Palatino Linotype"/>
          <w:b/>
          <w:sz w:val="22"/>
          <w:szCs w:val="22"/>
          <w:u w:val="single"/>
        </w:rPr>
        <w:t>un proyecto de obra pública</w:t>
      </w:r>
      <w:r w:rsidRPr="00C83C48">
        <w:rPr>
          <w:rFonts w:ascii="Palatino Linotype" w:eastAsia="Palatino Linotype" w:hAnsi="Palatino Linotype" w:cs="Palatino Linotype"/>
          <w:sz w:val="22"/>
          <w:szCs w:val="22"/>
        </w:rPr>
        <w:t xml:space="preserve">; </w:t>
      </w:r>
      <w:r w:rsidRPr="00C83C48">
        <w:rPr>
          <w:rFonts w:ascii="Palatino Linotype" w:eastAsia="Palatino Linotype" w:hAnsi="Palatino Linotype" w:cs="Palatino Linotype"/>
          <w:b/>
          <w:sz w:val="22"/>
          <w:szCs w:val="22"/>
        </w:rPr>
        <w:t xml:space="preserve">las investigaciones, estudios, asesorías y consultorías que </w:t>
      </w:r>
      <w:r w:rsidRPr="00C83C48">
        <w:rPr>
          <w:rFonts w:ascii="Palatino Linotype" w:eastAsia="Palatino Linotype" w:hAnsi="Palatino Linotype" w:cs="Palatino Linotype"/>
          <w:b/>
          <w:sz w:val="22"/>
          <w:szCs w:val="22"/>
          <w:u w:val="single"/>
        </w:rPr>
        <w:t>se vinculen con los actos que regula el Libro Décimo Segundo</w:t>
      </w:r>
      <w:r w:rsidRPr="00C83C48">
        <w:rPr>
          <w:rFonts w:ascii="Palatino Linotype" w:eastAsia="Palatino Linotype" w:hAnsi="Palatino Linotype" w:cs="Palatino Linotype"/>
          <w:sz w:val="22"/>
          <w:szCs w:val="22"/>
        </w:rPr>
        <w:t>; la dirección y supervisión de la ejecución de las obras y los estudios que tengan por objeto principal rehabilitar, corregir o incrementar la eficiencia de las instalaciones con excepción de los trabajos regulados por el Libro Décimo Sexto del Código, quedando comprendidos dentro de los servicios relacionados con la obra pública:</w:t>
      </w:r>
    </w:p>
    <w:p w14:paraId="2BD59298"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xml:space="preserve"> La planeación, incluyendo los trabajos que tengan por objeto concebir, diseñar, proyectar y calcular los elementos que integran un proyecto de ingeniería básica, estructural de instalaciones, de infraestructura, industrial, electromecánica y de cualquier otra especialidad de la ingeniería que se requiera para integrar un proyecto ejecutivo de obra pública; </w:t>
      </w:r>
    </w:p>
    <w:p w14:paraId="3B659A33"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La planeación, incluyendo los trabajos que tengan por objeto concebir, diseñar, proyectar y calcular los elementos que integran un proyecto urbanístico, arquitectónico, de diseño gráfico o artístico y de cualquier otra especialidad del diseño, la arquitectura y el urbanismo, que se requiera para integrar un proyecto ejecutivo de obra pública, así como los estudios inherentes al desarrollo urbano en el Estado; </w:t>
      </w:r>
    </w:p>
    <w:p w14:paraId="43D96D38"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Los estudios técnicos de agrología y desarrollo pecuario, hidrología, mecánica de suelos, sismología, topografía, geología, geodesia, geofísica, geotermia, meteorología, aerofotogrametría, ambientales, ecológicos y de ingeniería de tránsito; </w:t>
      </w:r>
    </w:p>
    <w:p w14:paraId="073FDD41"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xml:space="preserve">. Los estudios económicos y de planeación de </w:t>
      </w:r>
      <w:proofErr w:type="spellStart"/>
      <w:r w:rsidRPr="00C83C48">
        <w:rPr>
          <w:rFonts w:ascii="Palatino Linotype" w:eastAsia="Palatino Linotype" w:hAnsi="Palatino Linotype" w:cs="Palatino Linotype"/>
          <w:i/>
          <w:sz w:val="22"/>
          <w:szCs w:val="22"/>
        </w:rPr>
        <w:t>preinversión</w:t>
      </w:r>
      <w:proofErr w:type="spellEnd"/>
      <w:r w:rsidRPr="00C83C48">
        <w:rPr>
          <w:rFonts w:ascii="Palatino Linotype" w:eastAsia="Palatino Linotype" w:hAnsi="Palatino Linotype" w:cs="Palatino Linotype"/>
          <w:i/>
          <w:sz w:val="22"/>
          <w:szCs w:val="22"/>
        </w:rPr>
        <w:t>, factibilidad técnico económica, ecológica o social, de evaluación, adaptación, tenencia de la tierra, financieros, de desarrollo y restitución de la eficiencia de las instalaciones; </w:t>
      </w:r>
    </w:p>
    <w:p w14:paraId="3817CD45"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xml:space="preserve"> Los trabajos de coordinación, supervisión y control de obra; de laboratorio de análisis y control de calidad; de laboratorio de geotecnia, de resistencia de materiales y radiografías industriales; de preparación de especificaciones de construcción, </w:t>
      </w:r>
      <w:proofErr w:type="spellStart"/>
      <w:r w:rsidRPr="00C83C48">
        <w:rPr>
          <w:rFonts w:ascii="Palatino Linotype" w:eastAsia="Palatino Linotype" w:hAnsi="Palatino Linotype" w:cs="Palatino Linotype"/>
          <w:i/>
          <w:sz w:val="22"/>
          <w:szCs w:val="22"/>
        </w:rPr>
        <w:t>presupuestación</w:t>
      </w:r>
      <w:proofErr w:type="spellEnd"/>
      <w:r w:rsidRPr="00C83C48">
        <w:rPr>
          <w:rFonts w:ascii="Palatino Linotype" w:eastAsia="Palatino Linotype" w:hAnsi="Palatino Linotype" w:cs="Palatino Linotype"/>
          <w:i/>
          <w:sz w:val="22"/>
          <w:szCs w:val="22"/>
        </w:rPr>
        <w:t xml:space="preserve"> o la elaboración de cualquier otro documento o trabajo para la adjudicación del contrato de obra correspondiente; </w:t>
      </w:r>
    </w:p>
    <w:p w14:paraId="042AB4ED"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xml:space="preserve"> Los trabajos de organización, informática, comunicaciones, cibernética y sistemas aplicados a las materias que regulan este Libro; </w:t>
      </w:r>
    </w:p>
    <w:p w14:paraId="756B87F0"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VII.</w:t>
      </w:r>
      <w:r w:rsidRPr="00C83C48">
        <w:rPr>
          <w:rFonts w:ascii="Palatino Linotype" w:eastAsia="Palatino Linotype" w:hAnsi="Palatino Linotype" w:cs="Palatino Linotype"/>
          <w:i/>
          <w:sz w:val="22"/>
          <w:szCs w:val="22"/>
        </w:rPr>
        <w:t xml:space="preserve"> Los dictámenes, peritajes, avalúos y auditorías técnico normativas, y estudios aplicables a la obra pública; </w:t>
      </w:r>
    </w:p>
    <w:p w14:paraId="394B09F5"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VIII.</w:t>
      </w:r>
      <w:r w:rsidRPr="00C83C48">
        <w:rPr>
          <w:rFonts w:ascii="Palatino Linotype" w:eastAsia="Palatino Linotype" w:hAnsi="Palatino Linotype" w:cs="Palatino Linotype"/>
          <w:i/>
          <w:sz w:val="22"/>
          <w:szCs w:val="22"/>
        </w:rPr>
        <w:t xml:space="preserve"> Los estudios que tengan por objeto rehabilitar, corregir, sustituir o incrementar la eficiencia de las instalaciones en un bien inmueble; </w:t>
      </w:r>
    </w:p>
    <w:p w14:paraId="0EC9DAF1"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IX.</w:t>
      </w:r>
      <w:r w:rsidRPr="00C83C48">
        <w:rPr>
          <w:rFonts w:ascii="Palatino Linotype" w:eastAsia="Palatino Linotype" w:hAnsi="Palatino Linotype" w:cs="Palatino Linotype"/>
          <w:i/>
          <w:sz w:val="22"/>
          <w:szCs w:val="22"/>
        </w:rPr>
        <w:t xml:space="preserve"> Los estudios de apoyo tecnológico, incluyendo los de desarrollo y transferencia de tecnología, entre otros; </w:t>
      </w:r>
    </w:p>
    <w:p w14:paraId="70E10858" w14:textId="77777777" w:rsidR="00ED1C6A" w:rsidRPr="00C83C48" w:rsidRDefault="00ED1C6A" w:rsidP="00ED1C6A">
      <w:pPr>
        <w:pBdr>
          <w:top w:val="nil"/>
          <w:left w:val="nil"/>
          <w:bottom w:val="nil"/>
          <w:right w:val="nil"/>
          <w:between w:val="nil"/>
        </w:pBdr>
        <w:spacing w:before="240" w:after="240"/>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X.</w:t>
      </w:r>
      <w:r w:rsidRPr="00C83C48">
        <w:rPr>
          <w:rFonts w:ascii="Palatino Linotype" w:eastAsia="Palatino Linotype" w:hAnsi="Palatino Linotype" w:cs="Palatino Linotype"/>
          <w:i/>
          <w:sz w:val="22"/>
          <w:szCs w:val="22"/>
        </w:rPr>
        <w:t xml:space="preserve"> Los demás que tengan por objeto alguno de los conceptos a que se refiere el párrafo primero de este artículo.</w:t>
      </w:r>
    </w:p>
    <w:p w14:paraId="040A0C09" w14:textId="77777777" w:rsidR="00ED1C6A" w:rsidRPr="00C83C48" w:rsidRDefault="00ED1C6A" w:rsidP="00ED1C6A">
      <w:pPr>
        <w:pBdr>
          <w:top w:val="nil"/>
          <w:left w:val="nil"/>
          <w:bottom w:val="nil"/>
          <w:right w:val="nil"/>
          <w:between w:val="nil"/>
        </w:pBd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El artículo 12.12 del Libro Décimo Segundo, señala que en la planeación de la obra pública o de los servicios relacionados con la misma, las dependencias, entidades y ayuntamientos en lo que les corresponda, deberán, entre otras previsiones, considerar la disponibilidad de recursos financieros.</w:t>
      </w:r>
    </w:p>
    <w:p w14:paraId="107C76AF" w14:textId="77777777" w:rsidR="00ED1C6A" w:rsidRPr="00C83C48" w:rsidRDefault="00ED1C6A" w:rsidP="00ED1C6A">
      <w:pPr>
        <w:pBdr>
          <w:top w:val="nil"/>
          <w:left w:val="nil"/>
          <w:bottom w:val="nil"/>
          <w:right w:val="nil"/>
          <w:between w:val="nil"/>
        </w:pBd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Por lo que se refiere al procedimiento de adjudicación, el Capítulo Tercero del Libro Décimo Segundo del Código Administrativo del Estado de México, dispone lo siguiente:</w:t>
      </w:r>
    </w:p>
    <w:p w14:paraId="11E1E102"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12.20</w:t>
      </w:r>
      <w:r w:rsidRPr="00C83C48">
        <w:rPr>
          <w:rFonts w:ascii="Palatino Linotype" w:eastAsia="Palatino Linotype" w:hAnsi="Palatino Linotype" w:cs="Palatino Linotype"/>
          <w:i/>
          <w:sz w:val="22"/>
          <w:szCs w:val="22"/>
        </w:rPr>
        <w:t xml:space="preserve">.- Los contratos a que se refiere este Libro, </w:t>
      </w:r>
      <w:r w:rsidRPr="00C83C48">
        <w:rPr>
          <w:rFonts w:ascii="Palatino Linotype" w:eastAsia="Palatino Linotype" w:hAnsi="Palatino Linotype" w:cs="Palatino Linotype"/>
          <w:b/>
          <w:i/>
          <w:sz w:val="22"/>
          <w:szCs w:val="22"/>
        </w:rPr>
        <w:t xml:space="preserve">se adjudicarán a través de </w:t>
      </w:r>
      <w:r w:rsidRPr="00C83C48">
        <w:rPr>
          <w:rFonts w:ascii="Palatino Linotype" w:eastAsia="Palatino Linotype" w:hAnsi="Palatino Linotype" w:cs="Palatino Linotype"/>
          <w:b/>
          <w:i/>
          <w:sz w:val="22"/>
          <w:szCs w:val="22"/>
          <w:u w:val="single"/>
        </w:rPr>
        <w:t>licitaciones públicas</w:t>
      </w:r>
      <w:r w:rsidRPr="00C83C48">
        <w:rPr>
          <w:rFonts w:ascii="Palatino Linotype" w:eastAsia="Palatino Linotype" w:hAnsi="Palatino Linotype" w:cs="Palatino Linotype"/>
          <w:b/>
          <w:i/>
          <w:sz w:val="22"/>
          <w:szCs w:val="22"/>
        </w:rPr>
        <w:t>, mediante convocatoria pública.</w:t>
      </w:r>
      <w:r w:rsidRPr="00C83C48">
        <w:rPr>
          <w:rFonts w:ascii="Palatino Linotype" w:eastAsia="Palatino Linotype" w:hAnsi="Palatino Linotype" w:cs="Palatino Linotype"/>
          <w:i/>
          <w:sz w:val="22"/>
          <w:szCs w:val="22"/>
        </w:rPr>
        <w:t> </w:t>
      </w:r>
    </w:p>
    <w:p w14:paraId="2181BD81"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12.21</w:t>
      </w:r>
      <w:r w:rsidRPr="00C83C48">
        <w:rPr>
          <w:rFonts w:ascii="Palatino Linotype" w:eastAsia="Palatino Linotype" w:hAnsi="Palatino Linotype" w:cs="Palatino Linotype"/>
          <w:i/>
          <w:sz w:val="22"/>
          <w:szCs w:val="22"/>
        </w:rPr>
        <w:t xml:space="preserve">.- Las dependencias, entidades y ayuntamientos podrán adjudicar contratos para la ejecución de obra pública o servicios relacionados con la misma. </w:t>
      </w:r>
      <w:r w:rsidRPr="00C83C48">
        <w:rPr>
          <w:rFonts w:ascii="Palatino Linotype" w:eastAsia="Palatino Linotype" w:hAnsi="Palatino Linotype" w:cs="Palatino Linotype"/>
          <w:b/>
          <w:i/>
          <w:sz w:val="22"/>
          <w:szCs w:val="22"/>
        </w:rPr>
        <w:t>mediante las excepciones al procedimiento de licitación</w:t>
      </w:r>
      <w:r w:rsidRPr="00C83C48">
        <w:rPr>
          <w:rFonts w:ascii="Palatino Linotype" w:eastAsia="Palatino Linotype" w:hAnsi="Palatino Linotype" w:cs="Palatino Linotype"/>
          <w:i/>
          <w:sz w:val="22"/>
          <w:szCs w:val="22"/>
        </w:rPr>
        <w:t xml:space="preserve"> siguientes: </w:t>
      </w:r>
    </w:p>
    <w:p w14:paraId="094FC50C" w14:textId="77777777" w:rsidR="00ED1C6A" w:rsidRPr="00C83C48" w:rsidRDefault="00ED1C6A" w:rsidP="00ED1C6A">
      <w:pPr>
        <w:pBdr>
          <w:top w:val="nil"/>
          <w:left w:val="nil"/>
          <w:bottom w:val="nil"/>
          <w:right w:val="nil"/>
          <w:between w:val="nil"/>
        </w:pBdr>
        <w:spacing w:before="120" w:after="120"/>
        <w:ind w:left="1134"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Invitación restringida</w:t>
      </w:r>
      <w:r w:rsidRPr="00C83C48">
        <w:rPr>
          <w:rFonts w:ascii="Palatino Linotype" w:eastAsia="Palatino Linotype" w:hAnsi="Palatino Linotype" w:cs="Palatino Linotype"/>
          <w:i/>
          <w:sz w:val="22"/>
          <w:szCs w:val="22"/>
        </w:rPr>
        <w:t>; </w:t>
      </w:r>
    </w:p>
    <w:p w14:paraId="54472644" w14:textId="77777777" w:rsidR="00ED1C6A" w:rsidRPr="00C83C48" w:rsidRDefault="00ED1C6A" w:rsidP="00ED1C6A">
      <w:pPr>
        <w:pBdr>
          <w:top w:val="nil"/>
          <w:left w:val="nil"/>
          <w:bottom w:val="nil"/>
          <w:right w:val="nil"/>
          <w:between w:val="nil"/>
        </w:pBdr>
        <w:spacing w:before="120" w:after="120"/>
        <w:ind w:left="1134"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Adjudicación directa.”</w:t>
      </w:r>
    </w:p>
    <w:p w14:paraId="4893CE6D" w14:textId="77777777" w:rsidR="00ED1C6A" w:rsidRPr="00C83C48" w:rsidRDefault="00ED1C6A" w:rsidP="00ED1C6A">
      <w:pPr>
        <w:pBdr>
          <w:top w:val="nil"/>
          <w:left w:val="nil"/>
          <w:bottom w:val="nil"/>
          <w:right w:val="nil"/>
          <w:between w:val="nil"/>
        </w:pBd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Como se advierte, la normativa contempla como modalidades para la adjudicación de contratos de obra pública y servicios relacionados con la misma la licitación pública, y de manera excepcional a través de invitación restringida y </w:t>
      </w:r>
      <w:r w:rsidRPr="00C83C48">
        <w:rPr>
          <w:rFonts w:ascii="Palatino Linotype" w:eastAsia="Palatino Linotype" w:hAnsi="Palatino Linotype" w:cs="Palatino Linotype"/>
          <w:b/>
          <w:sz w:val="22"/>
          <w:szCs w:val="22"/>
        </w:rPr>
        <w:t>adjudicación directa</w:t>
      </w:r>
      <w:r w:rsidRPr="00C83C48">
        <w:rPr>
          <w:rFonts w:ascii="Palatino Linotype" w:eastAsia="Palatino Linotype" w:hAnsi="Palatino Linotype" w:cs="Palatino Linotype"/>
          <w:sz w:val="22"/>
          <w:szCs w:val="22"/>
        </w:rPr>
        <w:t>, cuyas formalidades se encuentran previstas en el Reglamento del Libro Décimo Segundo del Código Administrativo del Estado de México, que en su parte conducente dispone lo siguiente:</w:t>
      </w:r>
    </w:p>
    <w:p w14:paraId="69630FA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b/>
          <w:i/>
          <w:sz w:val="22"/>
          <w:szCs w:val="22"/>
        </w:rPr>
        <w:t>Artículo 26</w:t>
      </w:r>
      <w:r w:rsidRPr="00C83C48">
        <w:rPr>
          <w:rFonts w:ascii="Palatino Linotype" w:eastAsia="Palatino Linotype" w:hAnsi="Palatino Linotype" w:cs="Palatino Linotype"/>
          <w:i/>
          <w:sz w:val="22"/>
          <w:szCs w:val="22"/>
        </w:rPr>
        <w:t>.- La licitación pública es el procedimiento de adjudicación de una obra pública o de un servicio por convocatoria pública. Tiene por objeto asegurar la participación abierta de todos los interesados en igualdad de condiciones y la selección fundamentada y transparente de la propuesta más conveniente para las dependencias, entidades y ayuntamientos.</w:t>
      </w:r>
    </w:p>
    <w:p w14:paraId="185B59C6"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w:t>
      </w:r>
    </w:p>
    <w:p w14:paraId="038FC2F2"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28.-</w:t>
      </w:r>
      <w:r w:rsidRPr="00C83C48">
        <w:rPr>
          <w:rFonts w:ascii="Palatino Linotype" w:eastAsia="Palatino Linotype" w:hAnsi="Palatino Linotype" w:cs="Palatino Linotype"/>
          <w:i/>
          <w:sz w:val="22"/>
          <w:szCs w:val="22"/>
        </w:rPr>
        <w:t xml:space="preserve"> Las dependencias y entidades podrán convocar a licitación pública, adjudicar y contratar obra pública y servicios sólo cuando la Secretaría del Ramo se los haya autorizado por contar con elementos propios y organización necesarios para realizarlas. Esta autorización deberá estar publicada en la Gaceta del Gobierno del Estado de México.</w:t>
      </w:r>
    </w:p>
    <w:p w14:paraId="3D36725D"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Los ayuntamientos, que realicen obras o servicios con cargo parcial o total a recursos estatales, deberán solicitar la autorización preferentemente al inicio de su periodo de gestión, la que deberá estar publicada en la Gaceta del Gobierno del Estado de México.</w:t>
      </w:r>
    </w:p>
    <w:p w14:paraId="6CCE395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p>
    <w:p w14:paraId="3E79C8F8"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Articulo 30</w:t>
      </w:r>
      <w:r w:rsidRPr="00C83C48">
        <w:rPr>
          <w:rFonts w:ascii="Palatino Linotype" w:eastAsia="Palatino Linotype" w:hAnsi="Palatino Linotype" w:cs="Palatino Linotype"/>
          <w:i/>
          <w:sz w:val="22"/>
          <w:szCs w:val="22"/>
        </w:rPr>
        <w:t>.- El procedimiento de licitación pública inicia con la publicación de la convocatoria y concluye con el fallo y adjudicación. Cubrirá las etapas siguientes: </w:t>
      </w:r>
    </w:p>
    <w:p w14:paraId="611FA556"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w:t>
      </w:r>
    </w:p>
    <w:p w14:paraId="1616CCE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xml:space="preserve"> La presentación y apertura de propuestas; </w:t>
      </w:r>
    </w:p>
    <w:p w14:paraId="03BE982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u w:val="single"/>
        </w:rPr>
        <w:t>VII. La evaluación de propuestas</w:t>
      </w:r>
      <w:r w:rsidRPr="00C83C48">
        <w:rPr>
          <w:rFonts w:ascii="Palatino Linotype" w:eastAsia="Palatino Linotype" w:hAnsi="Palatino Linotype" w:cs="Palatino Linotype"/>
          <w:i/>
          <w:sz w:val="22"/>
          <w:szCs w:val="22"/>
        </w:rPr>
        <w:t>; y </w:t>
      </w:r>
    </w:p>
    <w:p w14:paraId="41DFBD6D"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VIII.</w:t>
      </w:r>
      <w:r w:rsidRPr="00C83C48">
        <w:rPr>
          <w:rFonts w:ascii="Palatino Linotype" w:eastAsia="Palatino Linotype" w:hAnsi="Palatino Linotype" w:cs="Palatino Linotype"/>
          <w:i/>
          <w:sz w:val="22"/>
          <w:szCs w:val="22"/>
        </w:rPr>
        <w:t xml:space="preserve"> El fallo y adjudicación.</w:t>
      </w:r>
    </w:p>
    <w:p w14:paraId="3F72CD5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p>
    <w:p w14:paraId="323CA58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43</w:t>
      </w:r>
      <w:r w:rsidRPr="00C83C48">
        <w:rPr>
          <w:rFonts w:ascii="Palatino Linotype" w:eastAsia="Palatino Linotype" w:hAnsi="Palatino Linotype" w:cs="Palatino Linotype"/>
          <w:i/>
          <w:sz w:val="22"/>
          <w:szCs w:val="22"/>
        </w:rPr>
        <w:t>.- La propuesta es el conjunto de documentos que presenta el licitante en un proceso de licitación pública. Con la propuesta, el convocante determina: si el licitante cumple con los requisitos establecidos en las bases de licitación; y si su opción es la más conveniente para llevar a cabo una obra o servicio.</w:t>
      </w:r>
    </w:p>
    <w:p w14:paraId="5BA5F4F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44</w:t>
      </w:r>
      <w:r w:rsidRPr="00C83C48">
        <w:rPr>
          <w:rFonts w:ascii="Palatino Linotype" w:eastAsia="Palatino Linotype" w:hAnsi="Palatino Linotype" w:cs="Palatino Linotype"/>
          <w:i/>
          <w:sz w:val="22"/>
          <w:szCs w:val="22"/>
        </w:rPr>
        <w:t>.- En la propuesta, el licitante acreditará documentalmente: su existencia legal; su experiencia profesional; su capacidad técnica y financiera para revisar y/o formular: los análisis de conceptos, volúmenes, precios unitarios y programas de obra; y su compromiso para realizar en tiempo, forma y precio, la obra pública o servicio.</w:t>
      </w:r>
    </w:p>
    <w:p w14:paraId="08B497C8"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w:t>
      </w:r>
    </w:p>
    <w:p w14:paraId="132F8F8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49</w:t>
      </w:r>
      <w:r w:rsidRPr="00C83C48">
        <w:rPr>
          <w:rFonts w:ascii="Palatino Linotype" w:eastAsia="Palatino Linotype" w:hAnsi="Palatino Linotype" w:cs="Palatino Linotype"/>
          <w:i/>
          <w:sz w:val="22"/>
          <w:szCs w:val="22"/>
        </w:rPr>
        <w:t>.- Los licitantes son los únicos responsables de que sus propuestas sean entregadas en tiempo y forma en el acto de presentación y apertura de propuestas. Todos los documentos de la propuesta deberán estar foliados y firmados por el licitante o su representante legal, se entregarán en un sobre cerrado que contendrá:</w:t>
      </w:r>
    </w:p>
    <w:p w14:paraId="22A1E68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I. La documentación legal y administrativa; </w:t>
      </w:r>
    </w:p>
    <w:p w14:paraId="38161453"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u w:val="single"/>
        </w:rPr>
        <w:t>II. La propuesta y económica</w:t>
      </w:r>
      <w:r w:rsidRPr="00C83C48">
        <w:rPr>
          <w:rFonts w:ascii="Palatino Linotype" w:eastAsia="Palatino Linotype" w:hAnsi="Palatino Linotype" w:cs="Palatino Linotype"/>
          <w:i/>
          <w:sz w:val="22"/>
          <w:szCs w:val="22"/>
        </w:rPr>
        <w:t>. </w:t>
      </w:r>
    </w:p>
    <w:p w14:paraId="421685F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El licitante deberá identificar los sobres con el nombre de la dependencia, entidad o ayuntamiento; número y denominación de la licitación, la fecha, nombre o razón social del licitante y el contenido del sobre.</w:t>
      </w:r>
    </w:p>
    <w:p w14:paraId="751E88C8"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p>
    <w:p w14:paraId="2F724D0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52.-</w:t>
      </w:r>
      <w:r w:rsidRPr="00C83C48">
        <w:rPr>
          <w:rFonts w:ascii="Palatino Linotype" w:eastAsia="Palatino Linotype" w:hAnsi="Palatino Linotype" w:cs="Palatino Linotype"/>
          <w:i/>
          <w:sz w:val="22"/>
          <w:szCs w:val="22"/>
        </w:rPr>
        <w:t xml:space="preserve"> El acto de recepción y apertura de propuestas se desarrollará en el orden siguiente: </w:t>
      </w:r>
    </w:p>
    <w:p w14:paraId="4F00EC04"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El servidor público que preside el acto tomará lista de los licitantes presentes; </w:t>
      </w:r>
    </w:p>
    <w:p w14:paraId="716B2852"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Al ser nombrados, los licitantes entregarán su propuesta en sobre cerrado; </w:t>
      </w:r>
    </w:p>
    <w:p w14:paraId="36F6CDF2"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xml:space="preserve">. El servidor público abrirá el sobre que contiene la propuesta de cada licitante y hará la revisión cuantitativa de los documentos. </w:t>
      </w:r>
      <w:r w:rsidRPr="00C83C48">
        <w:rPr>
          <w:rFonts w:ascii="Palatino Linotype" w:eastAsia="Palatino Linotype" w:hAnsi="Palatino Linotype" w:cs="Palatino Linotype"/>
          <w:b/>
          <w:i/>
          <w:sz w:val="22"/>
          <w:szCs w:val="22"/>
        </w:rPr>
        <w:t>Leerá en voz alta cuando menos el importe total de cada una de las propuestas admitidas. </w:t>
      </w:r>
    </w:p>
    <w:p w14:paraId="3547960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Serán rechazadas las propuestas que no cumplan con todos los requisitos contenidos en las bases de licitación, debiéndose establecer con toda precisión la causa del incumplimiento</w:t>
      </w:r>
      <w:r w:rsidRPr="00C83C48">
        <w:rPr>
          <w:rFonts w:ascii="Palatino Linotype" w:eastAsia="Palatino Linotype" w:hAnsi="Palatino Linotype" w:cs="Palatino Linotype"/>
          <w:i/>
          <w:sz w:val="22"/>
          <w:szCs w:val="22"/>
        </w:rPr>
        <w:t>. Se entregará recibo de la garantía otorgada por los licitantes cuyas propuestas sean admitidas; </w:t>
      </w:r>
    </w:p>
    <w:p w14:paraId="16527D15"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a) Los documentos de las propuestas en que se señalen los precios y el importe total de los trabajos serán rubricados por todos los participantes. En los contratos a precio alzado, se firmará el programa de ejecución de los trabajos y el presupuesto de obra; en los contratos mixtos, el programa y presupuesto de la parte a precios unitarios y el programa y presupuesto de obra de la parte a precio alzado;</w:t>
      </w:r>
    </w:p>
    <w:p w14:paraId="7595448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b) Se informará a los licitantes fecha y hora de la realización del acto del fallo.</w:t>
      </w:r>
    </w:p>
    <w:p w14:paraId="7A71D35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53</w:t>
      </w:r>
      <w:r w:rsidRPr="00C83C48">
        <w:rPr>
          <w:rFonts w:ascii="Palatino Linotype" w:eastAsia="Palatino Linotype" w:hAnsi="Palatino Linotype" w:cs="Palatino Linotype"/>
          <w:i/>
          <w:sz w:val="22"/>
          <w:szCs w:val="22"/>
        </w:rPr>
        <w:t>.- El servidor público designado por el convocante para presidir los actos será la única persona facultada para aceptar o desechar las propuestas y, en general, para tomar todas las decisiones durante la realización del acto, debiendo permanecer durante su desarrollo. Declarará desierta la licitación si no se recibe propuesta alguna o si las presentadas fueren desechadas, lo que se asentará en el acta correspondiente. </w:t>
      </w:r>
    </w:p>
    <w:p w14:paraId="7BC59FB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54.-</w:t>
      </w:r>
      <w:r w:rsidRPr="00C83C48">
        <w:rPr>
          <w:rFonts w:ascii="Palatino Linotype" w:eastAsia="Palatino Linotype" w:hAnsi="Palatino Linotype" w:cs="Palatino Linotype"/>
          <w:i/>
          <w:sz w:val="22"/>
          <w:szCs w:val="22"/>
        </w:rPr>
        <w:t xml:space="preserve"> Al concluir el acto de recepción y entrega de propuestas, se levantará un acta que contendrá como mínimo: </w:t>
      </w:r>
    </w:p>
    <w:p w14:paraId="678D646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xml:space="preserve"> Fecha, lugar y hora en que se llevó a cabo;</w:t>
      </w:r>
    </w:p>
    <w:p w14:paraId="3652C34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Nombre del servidor público encargado de presidir el acto y de los demás servidores públicos participantes; </w:t>
      </w:r>
    </w:p>
    <w:p w14:paraId="201A432D"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Nombre de los licitantes cuyas propuestas fueron desechadas, así como las causas que lo motivaron</w:t>
      </w:r>
      <w:r w:rsidRPr="00C83C48">
        <w:rPr>
          <w:rFonts w:ascii="Palatino Linotype" w:eastAsia="Palatino Linotype" w:hAnsi="Palatino Linotype" w:cs="Palatino Linotype"/>
          <w:i/>
          <w:sz w:val="22"/>
          <w:szCs w:val="22"/>
        </w:rPr>
        <w:t>; </w:t>
      </w:r>
    </w:p>
    <w:p w14:paraId="2A8FDAA8"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 xml:space="preserve">Nombre de los licitantes </w:t>
      </w:r>
      <w:r w:rsidRPr="00C83C48">
        <w:rPr>
          <w:rFonts w:ascii="Palatino Linotype" w:eastAsia="Palatino Linotype" w:hAnsi="Palatino Linotype" w:cs="Palatino Linotype"/>
          <w:b/>
          <w:i/>
          <w:sz w:val="22"/>
          <w:szCs w:val="22"/>
          <w:u w:val="single"/>
        </w:rPr>
        <w:t>cuyas propuestas fueron aceptadas para su análisis cualitativo</w:t>
      </w:r>
      <w:r w:rsidRPr="00C83C48">
        <w:rPr>
          <w:rFonts w:ascii="Palatino Linotype" w:eastAsia="Palatino Linotype" w:hAnsi="Palatino Linotype" w:cs="Palatino Linotype"/>
          <w:i/>
          <w:sz w:val="22"/>
          <w:szCs w:val="22"/>
          <w:u w:val="single"/>
        </w:rPr>
        <w:t>; </w:t>
      </w:r>
    </w:p>
    <w:p w14:paraId="6BC4398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Lugar, fecha y hora en que se llevará a cabo el acto de fallo y adjudicación; y </w:t>
      </w:r>
    </w:p>
    <w:p w14:paraId="61E07385"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xml:space="preserve"> Firma de los participantes. </w:t>
      </w:r>
    </w:p>
    <w:p w14:paraId="7ABC900D"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A cada uno de los participantes, se entregará copia del acta.</w:t>
      </w:r>
    </w:p>
    <w:p w14:paraId="2EEF41A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55.-</w:t>
      </w:r>
      <w:r w:rsidRPr="00C83C48">
        <w:rPr>
          <w:rFonts w:ascii="Palatino Linotype" w:eastAsia="Palatino Linotype" w:hAnsi="Palatino Linotype" w:cs="Palatino Linotype"/>
          <w:i/>
          <w:sz w:val="22"/>
          <w:szCs w:val="22"/>
        </w:rPr>
        <w:t xml:space="preserve"> La evaluación de las propuestas deberá considerar mínimo: </w:t>
      </w:r>
    </w:p>
    <w:p w14:paraId="2BB6721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La verificación de que los documentos cumplen, sin excepción, con los requisitos y contienen toda la información solicitada; </w:t>
      </w:r>
    </w:p>
    <w:p w14:paraId="1144C98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La suficiente experiencia y capacidad de los profesionales y técnicos para la adecuada dirección y administración de los trabajos. Al realizar la evaluación, se tomará en cuenta: </w:t>
      </w:r>
    </w:p>
    <w:p w14:paraId="16F5329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w:t>
      </w:r>
      <w:r w:rsidRPr="00C83C48">
        <w:rPr>
          <w:rFonts w:ascii="Palatino Linotype" w:eastAsia="Palatino Linotype" w:hAnsi="Palatino Linotype" w:cs="Palatino Linotype"/>
          <w:i/>
          <w:sz w:val="22"/>
          <w:szCs w:val="22"/>
        </w:rPr>
        <w:t xml:space="preserve"> El grado académico y las certificaciones necesarias; </w:t>
      </w:r>
    </w:p>
    <w:p w14:paraId="57A1A05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b</w:t>
      </w:r>
      <w:r w:rsidRPr="00C83C48">
        <w:rPr>
          <w:rFonts w:ascii="Palatino Linotype" w:eastAsia="Palatino Linotype" w:hAnsi="Palatino Linotype" w:cs="Palatino Linotype"/>
          <w:i/>
          <w:sz w:val="22"/>
          <w:szCs w:val="22"/>
        </w:rPr>
        <w:t>. La experiencia en obras similares; c. La capacidad profesional o técnica de las personas físicas responsables de la ejecución de los trabajos. </w:t>
      </w:r>
    </w:p>
    <w:p w14:paraId="6E9033B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Lo suficiente y adecuado de la maquinaria y equipo de construcción para desarrollar los trabajos que se convocan, sea arrendado o propiedad del licitante; </w:t>
      </w:r>
    </w:p>
    <w:p w14:paraId="2D1DE494"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La congruencia entre la planeación propuesta por el licitante para el desarrollo y organización de los trabajos y las características, complejidad y magnitud de los mismos; </w:t>
      </w:r>
    </w:p>
    <w:p w14:paraId="6ED6D29C"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La adecuada selección del procedimiento constructivo por el licitante y su congruencia con el programa de ejecución considerado en su propuesta; </w:t>
      </w:r>
    </w:p>
    <w:p w14:paraId="425AAA8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La evaluación de la capacidad financiera del licitante. Al revisar la declaración fiscal anual o estados financieros dictaminados por contador público certificado independiente, se verificará entre otros: </w:t>
      </w:r>
    </w:p>
    <w:p w14:paraId="2B4BC5D8"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w:t>
      </w:r>
      <w:r w:rsidRPr="00C83C48">
        <w:rPr>
          <w:rFonts w:ascii="Palatino Linotype" w:eastAsia="Palatino Linotype" w:hAnsi="Palatino Linotype" w:cs="Palatino Linotype"/>
          <w:i/>
          <w:sz w:val="22"/>
          <w:szCs w:val="22"/>
        </w:rPr>
        <w:t xml:space="preserve"> La suficiencia del capital de trabajo para sustentar los requerimientos financieros de los trabajos a realizar; </w:t>
      </w:r>
    </w:p>
    <w:p w14:paraId="14F1C50A"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b.</w:t>
      </w:r>
      <w:r w:rsidRPr="00C83C48">
        <w:rPr>
          <w:rFonts w:ascii="Palatino Linotype" w:eastAsia="Palatino Linotype" w:hAnsi="Palatino Linotype" w:cs="Palatino Linotype"/>
          <w:i/>
          <w:sz w:val="22"/>
          <w:szCs w:val="22"/>
        </w:rPr>
        <w:t xml:space="preserve"> La capacidad para cumplir sus obligaciones de pago; y </w:t>
      </w:r>
    </w:p>
    <w:p w14:paraId="1A20D4B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c</w:t>
      </w:r>
      <w:r w:rsidRPr="00C83C48">
        <w:rPr>
          <w:rFonts w:ascii="Palatino Linotype" w:eastAsia="Palatino Linotype" w:hAnsi="Palatino Linotype" w:cs="Palatino Linotype"/>
          <w:i/>
          <w:sz w:val="22"/>
          <w:szCs w:val="22"/>
        </w:rPr>
        <w:t>. La rentabilidad financiera de la empresa.</w:t>
      </w:r>
    </w:p>
    <w:p w14:paraId="788E5B2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p>
    <w:p w14:paraId="084B069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57</w:t>
      </w:r>
      <w:r w:rsidRPr="00C83C48">
        <w:rPr>
          <w:rFonts w:ascii="Palatino Linotype" w:eastAsia="Palatino Linotype" w:hAnsi="Palatino Linotype" w:cs="Palatino Linotype"/>
          <w:i/>
          <w:sz w:val="22"/>
          <w:szCs w:val="22"/>
        </w:rPr>
        <w:t>.- Para la evaluación de los aspectos económicos se debe verificar que los documentos contengan la información solicitada, realizar el análisis comparativo del presupuesto base contra las propuestas, verificar que los precios sean aceptables en lo individual y en el total de la propuesta y que sean acordes según corresponda con la situación vigente en el mercado internacional, en el nacional o en el de la zona o región en donde se ejecutarán los trabajos.</w:t>
      </w:r>
    </w:p>
    <w:p w14:paraId="41487D3D"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58.-</w:t>
      </w:r>
      <w:r w:rsidRPr="00C83C48">
        <w:rPr>
          <w:rFonts w:ascii="Palatino Linotype" w:eastAsia="Palatino Linotype" w:hAnsi="Palatino Linotype" w:cs="Palatino Linotype"/>
          <w:i/>
          <w:sz w:val="22"/>
          <w:szCs w:val="22"/>
        </w:rPr>
        <w:t xml:space="preserve"> El convocante deberá verificar en las propuestas que consideren precios unitarios, que </w:t>
      </w:r>
    </w:p>
    <w:p w14:paraId="14F9515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w:t>
      </w:r>
      <w:r w:rsidRPr="00C83C48">
        <w:rPr>
          <w:rFonts w:ascii="Palatino Linotype" w:eastAsia="Palatino Linotype" w:hAnsi="Palatino Linotype" w:cs="Palatino Linotype"/>
          <w:i/>
          <w:sz w:val="22"/>
          <w:szCs w:val="22"/>
        </w:rPr>
        <w:t xml:space="preserve"> En el presupuesto de obra: </w:t>
      </w:r>
    </w:p>
    <w:p w14:paraId="3BB2820C"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xml:space="preserve"> Cada uno de los conceptos señale el importe del precio unitario;</w:t>
      </w:r>
    </w:p>
    <w:p w14:paraId="4A33E17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El importe del precio unitario esté anotado con número y letra y que éstos sean coincidentes entre sí. En caso de diferencia prevalecerá el que coincida con la integración del precio unitario o, cuando no se tenga, el escrito con letra, y </w:t>
      </w:r>
    </w:p>
    <w:p w14:paraId="435DB40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Las operaciones aritméticas estén correctas. Cuando una o más operaciones estén equivocadas, se harán las correcciones correspondientes. El monto correcto será el considerado para el análisis comparativo de las propuestas. </w:t>
      </w:r>
    </w:p>
    <w:p w14:paraId="7CCF440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B</w:t>
      </w:r>
      <w:r w:rsidRPr="00C83C48">
        <w:rPr>
          <w:rFonts w:ascii="Palatino Linotype" w:eastAsia="Palatino Linotype" w:hAnsi="Palatino Linotype" w:cs="Palatino Linotype"/>
          <w:i/>
          <w:sz w:val="22"/>
          <w:szCs w:val="22"/>
        </w:rPr>
        <w:t>. El análisis, cálculo e integración de los precios unitarios se haya realizado de acuerdo con lo establecido en este Reglamento y que: </w:t>
      </w:r>
    </w:p>
    <w:p w14:paraId="3672C80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xml:space="preserve"> Los análisis de los precios unitarios se integren con costos directos, indirectos, de financiamiento, cargo por utilidad y cargos adicionales; </w:t>
      </w:r>
    </w:p>
    <w:p w14:paraId="6C712AA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Los costos directos comprendan los correspondientes a materiales, mano de obra, maquinaria y equipo de construcción;</w:t>
      </w:r>
    </w:p>
    <w:p w14:paraId="4C7F498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Los precios de adquisición de los materiales estén dentro de los parámetros de precios de mercado; </w:t>
      </w:r>
    </w:p>
    <w:p w14:paraId="4A3389B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Los costos de la mano de obra se hayan obtenido aplicando los factores de salario integrado a los sueldos y salarios del personal, conforme a lo previsto en este Reglamento; </w:t>
      </w:r>
    </w:p>
    <w:p w14:paraId="36381A7C"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El cargo por el uso de herramienta menor esté incluido; </w:t>
      </w:r>
    </w:p>
    <w:p w14:paraId="215CE66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xml:space="preserve"> Los costos horarios por la utilización de la maquinaria y equipo de construcción estén determinados por hora efectiva de trabajo, calculados para cada máquina o equipo; considerando, cuando sea el caso, los accesorios integrados; </w:t>
      </w:r>
    </w:p>
    <w:p w14:paraId="0400EC92"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C</w:t>
      </w:r>
      <w:r w:rsidRPr="00C83C48">
        <w:rPr>
          <w:rFonts w:ascii="Palatino Linotype" w:eastAsia="Palatino Linotype" w:hAnsi="Palatino Linotype" w:cs="Palatino Linotype"/>
          <w:i/>
          <w:sz w:val="22"/>
          <w:szCs w:val="22"/>
        </w:rPr>
        <w:t>. Los costos directos de los precios unitarios se hayan estructurado y determinado de acuerdo con lo previsto en este Reglamento y que: </w:t>
      </w:r>
    </w:p>
    <w:p w14:paraId="32805204"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Los costos de los materiales considerados por el licitante sean coincidentes con la relación de los costos y cumplan las normas de calidad señaladas en las bases de la licitación; </w:t>
      </w:r>
    </w:p>
    <w:p w14:paraId="7FD7270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Los costos de mano de obra considerados por el licitante sean coincidentes con el tabulador de salarios y con los costos que prevalezcan en la zona donde se ejecutarán los trabajos; y</w:t>
      </w:r>
    </w:p>
    <w:p w14:paraId="7C017E53"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Los costos horarios de la maquinaria y equipo de construcción estén determinados con base en el precio y rendimientos máximos de unidades nuevas, tomados de los manuales de los fabricantes y que consideraron las características ambientales de la zona donde vayan a realizarse los trabajos. </w:t>
      </w:r>
    </w:p>
    <w:p w14:paraId="6058324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D</w:t>
      </w:r>
      <w:r w:rsidRPr="00C83C48">
        <w:rPr>
          <w:rFonts w:ascii="Palatino Linotype" w:eastAsia="Palatino Linotype" w:hAnsi="Palatino Linotype" w:cs="Palatino Linotype"/>
          <w:i/>
          <w:sz w:val="22"/>
          <w:szCs w:val="22"/>
        </w:rPr>
        <w:t>. Los costos indirectos de los precios unitarios estén integrados de acuerdo con lo previsto en este Reglamento y que: </w:t>
      </w:r>
    </w:p>
    <w:p w14:paraId="328ED9CA"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xml:space="preserve"> Estén calculados por conceptos con sus importes, determinándose el monto total y su porcentaje sobre el monto del costo directo;</w:t>
      </w:r>
    </w:p>
    <w:p w14:paraId="2D45F31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Los costos indirectos de las oficinas centrales del licitante sean únicamente los necesarios para el apoyo técnico y administrativo a la superintendencia de la obra encargada directamente de los trabajos, así como los de campo necesarios para la dirección, supervisión y administración de la obra; y </w:t>
      </w:r>
    </w:p>
    <w:p w14:paraId="6F8BE25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No se incluyan cargos que, por sus características o conforme a las bases de la licitación, deban formen parte de un precio unitario. </w:t>
      </w:r>
    </w:p>
    <w:p w14:paraId="64762E44"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E.</w:t>
      </w:r>
      <w:r w:rsidRPr="00C83C48">
        <w:rPr>
          <w:rFonts w:ascii="Palatino Linotype" w:eastAsia="Palatino Linotype" w:hAnsi="Palatino Linotype" w:cs="Palatino Linotype"/>
          <w:i/>
          <w:sz w:val="22"/>
          <w:szCs w:val="22"/>
        </w:rPr>
        <w:t xml:space="preserve"> El costo financiero de los precios unitarios se haya estructurado y determinado conforme a lo señalado en este Reglamento y que:</w:t>
      </w:r>
    </w:p>
    <w:p w14:paraId="24D9D5D3"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Los ingresos consideren la periodicidad y el plazo de trámite y el pago del o los anticipos y las estimaciones y que éstas incluyan la amortización de los anticipos; </w:t>
      </w:r>
    </w:p>
    <w:p w14:paraId="53ECC17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El costo del financiamiento esté representado por un porcentaje de la suma de los costos directos e indirectos; </w:t>
      </w:r>
    </w:p>
    <w:p w14:paraId="3CC5D1F6"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La tasa de interés aplicable esté definida con base en un indicador económico específico; </w:t>
      </w:r>
    </w:p>
    <w:p w14:paraId="0C148FE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El costo del financiamiento sea congruente con el programa de ejecución valorizado con montos mensuales; y </w:t>
      </w:r>
    </w:p>
    <w:p w14:paraId="0BE159FA"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El procedimiento para el cálculo del costo por financiamiento aplicado por el licitante corresponda con el de las bases de la licitación. </w:t>
      </w:r>
    </w:p>
    <w:p w14:paraId="5F45831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F</w:t>
      </w:r>
      <w:r w:rsidRPr="00C83C48">
        <w:rPr>
          <w:rFonts w:ascii="Palatino Linotype" w:eastAsia="Palatino Linotype" w:hAnsi="Palatino Linotype" w:cs="Palatino Linotype"/>
          <w:i/>
          <w:sz w:val="22"/>
          <w:szCs w:val="22"/>
        </w:rPr>
        <w:t>. El cálculo del cargo por utilidad de los precios unitarios considere la utilidad que el contratista estima debe percibir y las deducciones e impuestos correspondientes, no siendo necesario su desglose. </w:t>
      </w:r>
    </w:p>
    <w:p w14:paraId="08C3F1B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G.</w:t>
      </w:r>
      <w:r w:rsidRPr="00C83C48">
        <w:rPr>
          <w:rFonts w:ascii="Palatino Linotype" w:eastAsia="Palatino Linotype" w:hAnsi="Palatino Linotype" w:cs="Palatino Linotype"/>
          <w:i/>
          <w:sz w:val="22"/>
          <w:szCs w:val="22"/>
        </w:rPr>
        <w:t xml:space="preserve"> El importe total de la propuesta a precios unitarios sea coincidente con el total del programa general de erogaciones de ejecución de los trabajos y con la suma de los importes de los programas específicos de erogaciones de materiales, mano de obra y maquinaria y equipo de construcción. </w:t>
      </w:r>
    </w:p>
    <w:p w14:paraId="601BB3F8"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El servidor público responsable de revisar la correcta formulación de los precios unitarios deberá contar con la certificación de conocimientos y habilidades en la materia.</w:t>
      </w:r>
    </w:p>
    <w:p w14:paraId="21D4126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p>
    <w:p w14:paraId="5FD3B79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62.-</w:t>
      </w:r>
      <w:r w:rsidRPr="00C83C48">
        <w:rPr>
          <w:rFonts w:ascii="Palatino Linotype" w:eastAsia="Palatino Linotype" w:hAnsi="Palatino Linotype" w:cs="Palatino Linotype"/>
          <w:i/>
          <w:sz w:val="22"/>
          <w:szCs w:val="22"/>
        </w:rPr>
        <w:t xml:space="preserve"> Realizada la evaluación de las propuestas, el convocante emitirá el dictamen que servirá de base para el fallo. El dictamen deberá contener: </w:t>
      </w:r>
    </w:p>
    <w:p w14:paraId="5835F29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La relación sucinta y cronológica de los actos del procedimiento; </w:t>
      </w:r>
    </w:p>
    <w:p w14:paraId="28A87E8C"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Los criterios utilizados para la evaluación de las propuestas;</w:t>
      </w:r>
    </w:p>
    <w:p w14:paraId="630B85B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 xml:space="preserve">III. </w:t>
      </w:r>
      <w:r w:rsidRPr="00C83C48">
        <w:rPr>
          <w:rFonts w:ascii="Palatino Linotype" w:eastAsia="Palatino Linotype" w:hAnsi="Palatino Linotype" w:cs="Palatino Linotype"/>
          <w:b/>
          <w:i/>
          <w:sz w:val="22"/>
          <w:szCs w:val="22"/>
          <w:u w:val="single"/>
        </w:rPr>
        <w:t>Las razones por las cuales se aceptan o desechan las propuestas presentadas por los licitantes;</w:t>
      </w:r>
    </w:p>
    <w:p w14:paraId="4C15BAE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El nombre de los licitantes cuyas propuestas fueron aceptadas por haber cumplido con los requerimientos exigidos;</w:t>
      </w:r>
    </w:p>
    <w:p w14:paraId="78B05907"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El nombre de los licitantes cuyas propuestas hayan sido desechadas como resultado del análisis de las mismas; </w:t>
      </w:r>
    </w:p>
    <w:p w14:paraId="20546053"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La relación de los licitantes cuyas propuestas se calificaron como solventes, ubicándolas de menor a mayor, de acuerdo con sus montos; </w:t>
      </w:r>
    </w:p>
    <w:p w14:paraId="60001084"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w:t>
      </w:r>
      <w:r w:rsidRPr="00C83C48">
        <w:rPr>
          <w:rFonts w:ascii="Palatino Linotype" w:eastAsia="Palatino Linotype" w:hAnsi="Palatino Linotype" w:cs="Palatino Linotype"/>
          <w:i/>
          <w:sz w:val="22"/>
          <w:szCs w:val="22"/>
        </w:rPr>
        <w:t>. La fecha y lugar de elaboración, y </w:t>
      </w:r>
    </w:p>
    <w:p w14:paraId="7D8672EA"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VIII.</w:t>
      </w:r>
      <w:r w:rsidRPr="00C83C48">
        <w:rPr>
          <w:rFonts w:ascii="Palatino Linotype" w:eastAsia="Palatino Linotype" w:hAnsi="Palatino Linotype" w:cs="Palatino Linotype"/>
          <w:i/>
          <w:sz w:val="22"/>
          <w:szCs w:val="22"/>
        </w:rPr>
        <w:t xml:space="preserve"> El nombre, firma y cargo de los servidores públicos encargados de su elaboración y aprobación.</w:t>
      </w:r>
    </w:p>
    <w:p w14:paraId="29F3687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p>
    <w:p w14:paraId="79FBF8B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69</w:t>
      </w:r>
      <w:r w:rsidRPr="00C83C48">
        <w:rPr>
          <w:rFonts w:ascii="Palatino Linotype" w:eastAsia="Palatino Linotype" w:hAnsi="Palatino Linotype" w:cs="Palatino Linotype"/>
          <w:i/>
          <w:sz w:val="22"/>
          <w:szCs w:val="22"/>
        </w:rPr>
        <w:t>.- Cuando las dependencias, entidades y ayuntamientos determinen optar por las modalidades de invitación restringida o adjudicación directa, deberán respaldar su determinación en un estudio que fundamente su conveniencia por ofrecer mejores condiciones para el Estado de México, tomando en cuenta los siguientes criterios: </w:t>
      </w:r>
    </w:p>
    <w:p w14:paraId="52809F7A"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 xml:space="preserve">I. </w:t>
      </w:r>
      <w:r w:rsidRPr="00C83C48">
        <w:rPr>
          <w:rFonts w:ascii="Palatino Linotype" w:eastAsia="Palatino Linotype" w:hAnsi="Palatino Linotype" w:cs="Palatino Linotype"/>
          <w:i/>
          <w:sz w:val="22"/>
          <w:szCs w:val="22"/>
        </w:rPr>
        <w:t>Economía, que signifique un menor costo de la obra o servicio; </w:t>
      </w:r>
    </w:p>
    <w:p w14:paraId="2B72EAD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Oportunidad, que permita satisfacer la necesidad que se atiende con la obra pública o servicio en el menor lapso posible; </w:t>
      </w:r>
    </w:p>
    <w:p w14:paraId="72A89DBC"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xml:space="preserve"> Eficacia, que la obra o servicio satisfaga la necesidad que la origina; </w:t>
      </w:r>
    </w:p>
    <w:p w14:paraId="49B82EC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Eficiencia, que se dé el máximo aprovechamiento de los recursos que la dependencia, entidad o ayuntamiento asigne a la obra o servicio; </w:t>
      </w:r>
    </w:p>
    <w:p w14:paraId="39E68CE3"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Imparcialidad, que la adjudicación de la obra o servicio se realice sin favorecer a ninguno de los interesados; </w:t>
      </w:r>
    </w:p>
    <w:p w14:paraId="5CB7B415"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xml:space="preserve">. Honradez, que </w:t>
      </w:r>
      <w:proofErr w:type="gramStart"/>
      <w:r w:rsidRPr="00C83C48">
        <w:rPr>
          <w:rFonts w:ascii="Palatino Linotype" w:eastAsia="Palatino Linotype" w:hAnsi="Palatino Linotype" w:cs="Palatino Linotype"/>
          <w:i/>
          <w:sz w:val="22"/>
          <w:szCs w:val="22"/>
        </w:rPr>
        <w:t>garantice</w:t>
      </w:r>
      <w:proofErr w:type="gramEnd"/>
      <w:r w:rsidRPr="00C83C48">
        <w:rPr>
          <w:rFonts w:ascii="Palatino Linotype" w:eastAsia="Palatino Linotype" w:hAnsi="Palatino Linotype" w:cs="Palatino Linotype"/>
          <w:i/>
          <w:sz w:val="22"/>
          <w:szCs w:val="22"/>
        </w:rPr>
        <w:t xml:space="preserve"> una justa prestación para las partes involucradas; </w:t>
      </w:r>
    </w:p>
    <w:p w14:paraId="0E847EB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w:t>
      </w:r>
      <w:r w:rsidRPr="00C83C48">
        <w:rPr>
          <w:rFonts w:ascii="Palatino Linotype" w:eastAsia="Palatino Linotype" w:hAnsi="Palatino Linotype" w:cs="Palatino Linotype"/>
          <w:i/>
          <w:sz w:val="22"/>
          <w:szCs w:val="22"/>
        </w:rPr>
        <w:t>. Transparencia, que se respeten escrupulosamente en la adjudicación de la obra o servicio los procedimientos establecidos en el Libro y en este Reglamento.</w:t>
      </w:r>
    </w:p>
    <w:p w14:paraId="0BFF1532"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w:t>
      </w:r>
    </w:p>
    <w:p w14:paraId="53DCCE4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85</w:t>
      </w:r>
      <w:r w:rsidRPr="00C83C48">
        <w:rPr>
          <w:rFonts w:ascii="Palatino Linotype" w:eastAsia="Palatino Linotype" w:hAnsi="Palatino Linotype" w:cs="Palatino Linotype"/>
          <w:i/>
          <w:sz w:val="22"/>
          <w:szCs w:val="22"/>
        </w:rPr>
        <w:t>.- En caso de declararse desierto un procedimiento de licitación, la dependencia, entidad o ayuntamiento que cuente con Comité Interno de Obra Pública solicitará el dictamen de procedencia del procedimiento de invitación restringida a ese órgano colegiado; para ello, la unidad ejecutora de obra pública integrará y presentará el caso, que contendrá: </w:t>
      </w:r>
    </w:p>
    <w:p w14:paraId="58E2F6C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xml:space="preserve"> La descripción general de la obra o servicio; </w:t>
      </w:r>
    </w:p>
    <w:p w14:paraId="162105FC"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El informe del procedimiento de licitación pública que fue declarado desierto; </w:t>
      </w:r>
    </w:p>
    <w:p w14:paraId="0BEF4D0C"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I. La fecha probable de inicio de los trabajos y el plazo de ejecución de los mismos; </w:t>
      </w:r>
    </w:p>
    <w:p w14:paraId="766B772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El presupuesto base; </w:t>
      </w:r>
    </w:p>
    <w:p w14:paraId="13C83E43"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La autorización presupuestal;</w:t>
      </w:r>
    </w:p>
    <w:p w14:paraId="0409514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El nombre y firma del titular del área responsable de la ejecución de los trabajos; y </w:t>
      </w:r>
    </w:p>
    <w:p w14:paraId="7480E35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w:t>
      </w:r>
      <w:r w:rsidRPr="00C83C48">
        <w:rPr>
          <w:rFonts w:ascii="Palatino Linotype" w:eastAsia="Palatino Linotype" w:hAnsi="Palatino Linotype" w:cs="Palatino Linotype"/>
          <w:i/>
          <w:sz w:val="22"/>
          <w:szCs w:val="22"/>
        </w:rPr>
        <w:t>. El formato de caso para el dictamen de procedencia de excepción. </w:t>
      </w:r>
    </w:p>
    <w:p w14:paraId="0F9D8D4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Cuando la dependencia, entidad o ayuntamiento no cuente con Comité Interno de Obra Pública, la unidad ejecutora de obra pública deberá integrar el caso que someterá a la autorización del titular. </w:t>
      </w:r>
    </w:p>
    <w:p w14:paraId="2A423B42"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En ambos procedimientos, el titular de la dependencia, entidad o ayuntamiento emitirá un acuerdo en el que autorice el procedimiento de invitación restringida por excepción a la licitación pública. En este acuerdo, se determinarán los plazos en que se realizarán cada una de las etapas. </w:t>
      </w:r>
    </w:p>
    <w:p w14:paraId="49E8119E"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Articulo 86.-</w:t>
      </w:r>
      <w:r w:rsidRPr="00C83C48">
        <w:rPr>
          <w:rFonts w:ascii="Palatino Linotype" w:eastAsia="Palatino Linotype" w:hAnsi="Palatino Linotype" w:cs="Palatino Linotype"/>
          <w:i/>
          <w:sz w:val="22"/>
          <w:szCs w:val="22"/>
        </w:rPr>
        <w:t xml:space="preserve"> En función de las características de los trabajos a realizar y a sus requerimientos de ejecución, las dependencias, entidades o ayuntamientos determinarán las características de experiencia, capacidad técnica y solvencia que deben reunir las personas que se invitarán al procedimiento de adjudicación.</w:t>
      </w:r>
    </w:p>
    <w:p w14:paraId="66F8AE8A"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Las dependencias, entidades y ayuntamientos seleccionarán del catálogo de contratistas, que opere la Secretaría del Ramo, a cuando menos tres personas que serán invitadas a presentar propuestas; asimismo, formularán los oficios de invitación que contendrán: </w:t>
      </w:r>
    </w:p>
    <w:p w14:paraId="6D4CE3A9"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El nombre del convocante; </w:t>
      </w:r>
    </w:p>
    <w:p w14:paraId="39C6AA14"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El nombre y la ubicación de la obra o servicio; </w:t>
      </w:r>
    </w:p>
    <w:p w14:paraId="15779976"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xml:space="preserve"> El nombre y domicilio del invitado y la referencia a su clave de registro en el catálogo de contratistas; </w:t>
      </w:r>
    </w:p>
    <w:p w14:paraId="2846EF54"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La invitación expresa y el señalamiento de las fechas previstas para las etapas del procedimiento; </w:t>
      </w:r>
    </w:p>
    <w:p w14:paraId="44582A7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La indicación de que se anexan las bases de la invitación; </w:t>
      </w:r>
    </w:p>
    <w:p w14:paraId="056276AC"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Nombre y firma del servidor público responsable del proceso; </w:t>
      </w:r>
    </w:p>
    <w:p w14:paraId="2D6F4AA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w:t>
      </w:r>
      <w:r w:rsidRPr="00C83C48">
        <w:rPr>
          <w:rFonts w:ascii="Palatino Linotype" w:eastAsia="Palatino Linotype" w:hAnsi="Palatino Linotype" w:cs="Palatino Linotype"/>
          <w:i/>
          <w:sz w:val="22"/>
          <w:szCs w:val="22"/>
        </w:rPr>
        <w:t>. El origen de los recursos para la realización de la obra o servicio; y </w:t>
      </w:r>
    </w:p>
    <w:p w14:paraId="218EA11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VIII.</w:t>
      </w:r>
      <w:r w:rsidRPr="00C83C48">
        <w:rPr>
          <w:rFonts w:ascii="Palatino Linotype" w:eastAsia="Palatino Linotype" w:hAnsi="Palatino Linotype" w:cs="Palatino Linotype"/>
          <w:i/>
          <w:sz w:val="22"/>
          <w:szCs w:val="22"/>
        </w:rPr>
        <w:t xml:space="preserve"> El plazo de ejecución de los trabajos, indicando la fecha estimada de inicio de los mismos. </w:t>
      </w:r>
    </w:p>
    <w:p w14:paraId="77C59A7B"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Articulo 87.-</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El procedimiento de invitación restringida seguirá los mismos pasos que el de licitación pública salvo la publicación de la convocatoria</w:t>
      </w:r>
      <w:r w:rsidRPr="00C83C48">
        <w:rPr>
          <w:rFonts w:ascii="Palatino Linotype" w:eastAsia="Palatino Linotype" w:hAnsi="Palatino Linotype" w:cs="Palatino Linotype"/>
          <w:i/>
          <w:sz w:val="22"/>
          <w:szCs w:val="22"/>
        </w:rPr>
        <w:t>, misma que se sustituye por la invitación señalada en el artículo anterior.</w:t>
      </w:r>
    </w:p>
    <w:p w14:paraId="72C45F4F"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88.-</w:t>
      </w:r>
      <w:r w:rsidRPr="00C83C48">
        <w:rPr>
          <w:rFonts w:ascii="Palatino Linotype" w:eastAsia="Palatino Linotype" w:hAnsi="Palatino Linotype" w:cs="Palatino Linotype"/>
          <w:i/>
          <w:sz w:val="22"/>
          <w:szCs w:val="22"/>
        </w:rPr>
        <w:t xml:space="preserve"> Si la dependencia, entidad o ayuntamiento necesita llevar a cabo un procedimiento de adjudicación directa, salvo que las obras o servicios a contratar no rebasen los montos establecidos por el Presupuesto de Egresos del Gobierno del Estado de México del ejercicio correspondiente y cuenta con Comité Interno de Obra Pública, se solicitará a ese órgano colegiado el dictamen de procedencia del procedimiento de adjudicación directa; para ello, la unidad ejecutora de obra pública o servicio integrará y presentará el caso conforme se </w:t>
      </w:r>
      <w:proofErr w:type="spellStart"/>
      <w:r w:rsidRPr="00C83C48">
        <w:rPr>
          <w:rFonts w:ascii="Palatino Linotype" w:eastAsia="Palatino Linotype" w:hAnsi="Palatino Linotype" w:cs="Palatino Linotype"/>
          <w:i/>
          <w:sz w:val="22"/>
          <w:szCs w:val="22"/>
        </w:rPr>
        <w:t>señalo</w:t>
      </w:r>
      <w:proofErr w:type="spellEnd"/>
      <w:r w:rsidRPr="00C83C48">
        <w:rPr>
          <w:rFonts w:ascii="Palatino Linotype" w:eastAsia="Palatino Linotype" w:hAnsi="Palatino Linotype" w:cs="Palatino Linotype"/>
          <w:i/>
          <w:sz w:val="22"/>
          <w:szCs w:val="22"/>
        </w:rPr>
        <w:t xml:space="preserve"> en el procedimiento de invitación restringida. </w:t>
      </w:r>
    </w:p>
    <w:p w14:paraId="72895900"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Cuando la dependencia, entidad o ayuntamiento no cuente con Comité Interno de Obra Pública, la unidad ejecutora de obra pública deberá integrar el caso que someterá a la autorización del titular. </w:t>
      </w:r>
    </w:p>
    <w:p w14:paraId="1A284638"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89.</w:t>
      </w:r>
      <w:r w:rsidRPr="00C83C48">
        <w:rPr>
          <w:rFonts w:ascii="Palatino Linotype" w:eastAsia="Palatino Linotype" w:hAnsi="Palatino Linotype" w:cs="Palatino Linotype"/>
          <w:i/>
          <w:sz w:val="22"/>
          <w:szCs w:val="22"/>
        </w:rPr>
        <w:t>- El titular de la dependencia, entidad o ayuntamiento emitirá un acuerdo en el que autorice el procedimiento de adjudicación directa.</w:t>
      </w:r>
    </w:p>
    <w:p w14:paraId="161A978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p>
    <w:p w14:paraId="1532FC71" w14:textId="77777777" w:rsidR="00ED1C6A" w:rsidRPr="00C83C48" w:rsidRDefault="00ED1C6A" w:rsidP="00CF65B8">
      <w:pPr>
        <w:pBdr>
          <w:top w:val="nil"/>
          <w:left w:val="nil"/>
          <w:bottom w:val="nil"/>
          <w:right w:val="nil"/>
          <w:between w:val="nil"/>
        </w:pBdr>
        <w:spacing w:before="120" w:after="120"/>
        <w:ind w:left="567" w:right="90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Articulo 91</w:t>
      </w:r>
      <w:r w:rsidRPr="00C83C48">
        <w:rPr>
          <w:rFonts w:ascii="Palatino Linotype" w:eastAsia="Palatino Linotype" w:hAnsi="Palatino Linotype" w:cs="Palatino Linotype"/>
          <w:i/>
          <w:sz w:val="22"/>
          <w:szCs w:val="22"/>
        </w:rPr>
        <w:t>.- El convocante recibirá de la persona invitada la documentación de su propuesta para su evaluación la revisará y, en su caso, procederá a formular el contrato correspondiente.”</w:t>
      </w:r>
    </w:p>
    <w:p w14:paraId="600B46F4" w14:textId="77777777" w:rsidR="00ED1C6A" w:rsidRPr="00C83C48" w:rsidRDefault="00ED1C6A" w:rsidP="00ED1C6A">
      <w:pPr>
        <w:pBdr>
          <w:top w:val="nil"/>
          <w:left w:val="nil"/>
          <w:bottom w:val="nil"/>
          <w:right w:val="nil"/>
          <w:between w:val="nil"/>
        </w:pBd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Por cuanto hace a la contratación, el artículo 12.38 del Libro Décimo Segundo del Código Administrativo de la entidad, dispone que la adjudicación de la obra o servicios relacionados con la misma obligará a la dependencia, entidad o ayuntamiento y a la persona en que hubiere recaído, a </w:t>
      </w:r>
      <w:r w:rsidRPr="00C83C48">
        <w:rPr>
          <w:rFonts w:ascii="Palatino Linotype" w:eastAsia="Palatino Linotype" w:hAnsi="Palatino Linotype" w:cs="Palatino Linotype"/>
          <w:b/>
          <w:sz w:val="22"/>
          <w:szCs w:val="22"/>
        </w:rPr>
        <w:t>suscribir el contrato respectivo dentro de los diez días hábiles siguientes al de la notificación del fallo</w:t>
      </w:r>
      <w:r w:rsidRPr="00C83C48">
        <w:rPr>
          <w:rFonts w:ascii="Palatino Linotype" w:eastAsia="Palatino Linotype" w:hAnsi="Palatino Linotype" w:cs="Palatino Linotype"/>
          <w:sz w:val="22"/>
          <w:szCs w:val="22"/>
        </w:rPr>
        <w:t>.</w:t>
      </w:r>
    </w:p>
    <w:p w14:paraId="2BADD88E" w14:textId="77777777" w:rsidR="00ED1C6A" w:rsidRPr="00C83C48" w:rsidRDefault="00ED1C6A" w:rsidP="00ED1C6A">
      <w:pPr>
        <w:pBdr>
          <w:top w:val="nil"/>
          <w:left w:val="nil"/>
          <w:bottom w:val="nil"/>
          <w:right w:val="nil"/>
          <w:between w:val="nil"/>
        </w:pBd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En este tenor, los contratos de obra pública y servicios relacionados con la misma, deben contener, como mínimo los requisitos que establece el artículo 104 del Reglamento del Libro Décimo Segundo del Código Administrativo, a saber:</w:t>
      </w:r>
    </w:p>
    <w:p w14:paraId="4759983A"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La autorización presupuestal</w:t>
      </w:r>
      <w:r w:rsidRPr="00C83C48">
        <w:rPr>
          <w:rFonts w:ascii="Palatino Linotype" w:eastAsia="Palatino Linotype" w:hAnsi="Palatino Linotype" w:cs="Palatino Linotype"/>
          <w:i/>
          <w:sz w:val="22"/>
          <w:szCs w:val="22"/>
        </w:rPr>
        <w:t xml:space="preserve"> para cubrir el compromiso derivado del contrato y sus anexos; </w:t>
      </w:r>
    </w:p>
    <w:p w14:paraId="5331BE56"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La indicación del procedimiento</w:t>
      </w:r>
      <w:r w:rsidRPr="00C83C48">
        <w:rPr>
          <w:rFonts w:ascii="Palatino Linotype" w:eastAsia="Palatino Linotype" w:hAnsi="Palatino Linotype" w:cs="Palatino Linotype"/>
          <w:i/>
          <w:sz w:val="22"/>
          <w:szCs w:val="22"/>
        </w:rPr>
        <w:t xml:space="preserve"> conforme al cual se adjudicó el contrato;</w:t>
      </w:r>
    </w:p>
    <w:p w14:paraId="365FDE35"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xml:space="preserve"> La descripción pormenorizada de los trabajos que se deban ejecutar, debiendo acompañar los proyectos, planos, especificaciones, programas y presupuestos como parte integrante del contrato en el caso de las obras; tratándose de servicios, los términos de referencia; </w:t>
      </w:r>
    </w:p>
    <w:p w14:paraId="16DC5F7D"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El precio a pagar por los trabajos objeto del contrato. En el caso de contratos mixtos, la parte y el monto que se cubrirá sobre la base de precios unitarios y la correspondiente a precio alzado; </w:t>
      </w:r>
    </w:p>
    <w:p w14:paraId="1F47F5C9"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El plazo de ejecución de los trabajos determinado en días naturales, indicando la fecha de inicio y término de los mismos, así como el plazo para la recepción física de los trabajos y la elaboración del finiquito, los cuales deben ser establecidos de acuerdo con las características, complejidad y magnitud de los trabajos; </w:t>
      </w:r>
    </w:p>
    <w:p w14:paraId="26ACDC6A"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Porcentajes, número y fechas de las exhibiciones y amortización de los anticipos que se otorguen; </w:t>
      </w:r>
    </w:p>
    <w:p w14:paraId="5090916B"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VII. Forma y términos de garantizar la correcta inversión de los anticipos y el cumplimiento del contrato;</w:t>
      </w:r>
    </w:p>
    <w:p w14:paraId="55279794"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VIII</w:t>
      </w:r>
      <w:r w:rsidRPr="00C83C48">
        <w:rPr>
          <w:rFonts w:ascii="Palatino Linotype" w:eastAsia="Palatino Linotype" w:hAnsi="Palatino Linotype" w:cs="Palatino Linotype"/>
          <w:i/>
          <w:sz w:val="22"/>
          <w:szCs w:val="22"/>
        </w:rPr>
        <w:t>. Plazos, forma y lugar de pago de las estimaciones de trabajos ejecutados y, cuando corresponda, de los ajustes de costos; </w:t>
      </w:r>
    </w:p>
    <w:p w14:paraId="6AEEDD35"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IX.</w:t>
      </w:r>
      <w:r w:rsidRPr="00C83C48">
        <w:rPr>
          <w:rFonts w:ascii="Palatino Linotype" w:eastAsia="Palatino Linotype" w:hAnsi="Palatino Linotype" w:cs="Palatino Linotype"/>
          <w:i/>
          <w:sz w:val="22"/>
          <w:szCs w:val="22"/>
        </w:rPr>
        <w:t xml:space="preserve"> Penas convencionales por atraso en la ejecución de los trabajos por causas imputables a los contratistas, determinadas únicamente en función del incumplimiento al programa convenido, las que en ningún caso podrán ser superiores, en su conjunto, al monto de la garantía de cumplimiento. El contratante deberá establecer los términos, forma y porcentajes para aplicar las penas convencionales; </w:t>
      </w:r>
    </w:p>
    <w:p w14:paraId="68A92F4A"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X</w:t>
      </w:r>
      <w:r w:rsidRPr="00C83C48">
        <w:rPr>
          <w:rFonts w:ascii="Palatino Linotype" w:eastAsia="Palatino Linotype" w:hAnsi="Palatino Linotype" w:cs="Palatino Linotype"/>
          <w:i/>
          <w:sz w:val="22"/>
          <w:szCs w:val="22"/>
        </w:rPr>
        <w:t>. Términos en que el contratista, en su caso, reintegrará las cantidades que hubiere recibido en exceso por la contratación o durante la ejecución de los trabajos, para lo cual se utilizará el procedimiento que se establezca; </w:t>
      </w:r>
    </w:p>
    <w:p w14:paraId="3D881F98"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XI</w:t>
      </w:r>
      <w:r w:rsidRPr="00C83C48">
        <w:rPr>
          <w:rFonts w:ascii="Palatino Linotype" w:eastAsia="Palatino Linotype" w:hAnsi="Palatino Linotype" w:cs="Palatino Linotype"/>
          <w:i/>
          <w:sz w:val="22"/>
          <w:szCs w:val="22"/>
        </w:rPr>
        <w:t>. Procedimiento de ajuste de costos que deberá ser el determinado desde las bases de la licitación por el convocante, el cual deberá regir durante la vigencia del contrato; </w:t>
      </w:r>
    </w:p>
    <w:p w14:paraId="2A30F1C5"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XII</w:t>
      </w:r>
      <w:r w:rsidRPr="00C83C48">
        <w:rPr>
          <w:rFonts w:ascii="Palatino Linotype" w:eastAsia="Palatino Linotype" w:hAnsi="Palatino Linotype" w:cs="Palatino Linotype"/>
          <w:i/>
          <w:sz w:val="22"/>
          <w:szCs w:val="22"/>
        </w:rPr>
        <w:t>. Causales y procedimiento mediante los cuales el contratante podrá dar por rescindido el contrato en los términos de este Reglamento; </w:t>
      </w:r>
    </w:p>
    <w:p w14:paraId="32B7ED75"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 xml:space="preserve">XIII. </w:t>
      </w:r>
      <w:r w:rsidRPr="00C83C48">
        <w:rPr>
          <w:rFonts w:ascii="Palatino Linotype" w:eastAsia="Palatino Linotype" w:hAnsi="Palatino Linotype" w:cs="Palatino Linotype"/>
          <w:i/>
          <w:sz w:val="22"/>
          <w:szCs w:val="22"/>
        </w:rPr>
        <w:t>Los procedimientos mediante los cuales las partes resolverán, entre sí, las discrepancias futuras y previsibles sobre problemas específicos de carácter técnico y administrativo;</w:t>
      </w:r>
    </w:p>
    <w:p w14:paraId="551D61A4"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XIV</w:t>
      </w:r>
      <w:r w:rsidRPr="00C83C48">
        <w:rPr>
          <w:rFonts w:ascii="Palatino Linotype" w:eastAsia="Palatino Linotype" w:hAnsi="Palatino Linotype" w:cs="Palatino Linotype"/>
          <w:i/>
          <w:sz w:val="22"/>
          <w:szCs w:val="22"/>
        </w:rPr>
        <w:t>. Señalamiento del domicilio en el Estado para oír y recibir notificaciones; y </w:t>
      </w:r>
    </w:p>
    <w:p w14:paraId="6337BCFF"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 xml:space="preserve">XV. </w:t>
      </w:r>
      <w:r w:rsidRPr="00C83C48">
        <w:rPr>
          <w:rFonts w:ascii="Palatino Linotype" w:eastAsia="Palatino Linotype" w:hAnsi="Palatino Linotype" w:cs="Palatino Linotype"/>
          <w:i/>
          <w:sz w:val="22"/>
          <w:szCs w:val="22"/>
        </w:rPr>
        <w:t>Manifestación de renuncia expresa al fuero que les pudiera corresponder en función de su domicilio presente o futuro en el caso de que no se encuentre en el Estado de México. </w:t>
      </w:r>
    </w:p>
    <w:p w14:paraId="6C5A7C78"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El contrato deberá firmarse dentro de los diez días hábiles siguientes a la notificación del fallo. Se deberá entregar al contratista una copia del contrato firmado. </w:t>
      </w:r>
    </w:p>
    <w:p w14:paraId="6665EEC5"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Para los efectos del Libro y este Reglamento, el contrato, sus anexos y la bitácora son los instrumentos que establecen los derechos y obligaciones de las partes. </w:t>
      </w:r>
    </w:p>
    <w:p w14:paraId="6F85DA0C" w14:textId="77777777" w:rsidR="00ED1C6A" w:rsidRPr="00C83C48" w:rsidRDefault="00ED1C6A" w:rsidP="00ED1C6A">
      <w:pPr>
        <w:pBdr>
          <w:top w:val="nil"/>
          <w:left w:val="nil"/>
          <w:bottom w:val="nil"/>
          <w:right w:val="nil"/>
          <w:between w:val="nil"/>
        </w:pBdr>
        <w:spacing w:before="240" w:after="240"/>
        <w:ind w:left="426"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El contratante enviará a la Secretaría del Ramo y a la Contraloría un informe de los contratos formalizados por excepción a la licitación pública durante el mes inmediato anterior, dentro de los cinco primeros días hábiles de cada mes. De la misma manera, lo harán los ayuntamientos que en esas modalidades contraten obra pública o servicios con cargo total o parcial a los recursos estatales.</w:t>
      </w:r>
    </w:p>
    <w:p w14:paraId="7D0B006E" w14:textId="77777777" w:rsidR="00ED1C6A" w:rsidRPr="00C83C48" w:rsidRDefault="00ED1C6A" w:rsidP="00ED1C6A">
      <w:pPr>
        <w:pBdr>
          <w:top w:val="nil"/>
          <w:left w:val="nil"/>
          <w:bottom w:val="nil"/>
          <w:right w:val="nil"/>
          <w:between w:val="nil"/>
        </w:pBd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Por lo que se refiere a la bitácora, los artículos 222 y 223 del Reglamento del Libro Décimo Segundo del Código Administrativo disponen lo siguiente:</w:t>
      </w:r>
    </w:p>
    <w:p w14:paraId="2A1C88C1"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222.</w:t>
      </w:r>
      <w:r w:rsidRPr="00C83C48">
        <w:rPr>
          <w:rFonts w:ascii="Palatino Linotype" w:eastAsia="Palatino Linotype" w:hAnsi="Palatino Linotype" w:cs="Palatino Linotype"/>
          <w:i/>
          <w:sz w:val="22"/>
          <w:szCs w:val="22"/>
        </w:rPr>
        <w:t>- La bitácora deberá permanecer en la residencia de obra y bajo la custodia del residente de obra o, en su caso, del supervisor, a fin de que las consultas necesarias se realicen, de ser posible, en el sitio de los trabajos, siendo obligatorio su uso en todos los contratos de obras y servicios. </w:t>
      </w:r>
    </w:p>
    <w:p w14:paraId="23B71348"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223</w:t>
      </w:r>
      <w:r w:rsidRPr="00C83C48">
        <w:rPr>
          <w:rFonts w:ascii="Palatino Linotype" w:eastAsia="Palatino Linotype" w:hAnsi="Palatino Linotype" w:cs="Palatino Linotype"/>
          <w:i/>
          <w:sz w:val="22"/>
          <w:szCs w:val="22"/>
        </w:rPr>
        <w:t>.- La bitácora se ajustará a las necesidades de cada dependencia, entidad o ayuntamiento. Deberá considerar mínimo: </w:t>
      </w:r>
    </w:p>
    <w:p w14:paraId="416B695A"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Todas las hojas, originales y copias, deben estar foliadas y referidas al contrato de que se trate; </w:t>
      </w:r>
    </w:p>
    <w:p w14:paraId="50B58460"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Contar con un original para el contratante y, al menos, dos copias: una para el contratista y otra para la residencia de obra o, en su caso, la supervisión; </w:t>
      </w:r>
    </w:p>
    <w:p w14:paraId="5EA4392E"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Las hojas originales no deberán ser desprendibles; las copias sí; </w:t>
      </w:r>
    </w:p>
    <w:p w14:paraId="5D327F89"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El contenido de cada nota deberá precisar, según las circunstancias de cada caso: número, clasificación, fecha, descripción y ubicación del asunto; causa, solución, prevención, consecuencia económica, responsabilidad si la hubiere; y fecha programada de atención; en su caso, la referencia a la nota que se contesta; y nombre y firma de los que intervinieron.”</w:t>
      </w:r>
    </w:p>
    <w:p w14:paraId="7553A533" w14:textId="77777777" w:rsidR="00ED1C6A" w:rsidRPr="00C83C48" w:rsidRDefault="00ED1C6A" w:rsidP="00ED1C6A">
      <w:pPr>
        <w:pBdr>
          <w:top w:val="nil"/>
          <w:left w:val="nil"/>
          <w:bottom w:val="nil"/>
          <w:right w:val="nil"/>
          <w:between w:val="nil"/>
        </w:pBd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Finalmente, por lo que se refiere a la recepción de los trabajos, los artículos 230, 231, 232, 233 y 234 del Reglamento del Libro Décimo Segundo del Código Administrativo disponen lo siguiente:</w:t>
      </w:r>
    </w:p>
    <w:p w14:paraId="24F58E17"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230.-</w:t>
      </w:r>
      <w:r w:rsidRPr="00C83C48">
        <w:rPr>
          <w:rFonts w:ascii="Palatino Linotype" w:eastAsia="Palatino Linotype" w:hAnsi="Palatino Linotype" w:cs="Palatino Linotype"/>
          <w:i/>
          <w:sz w:val="22"/>
          <w:szCs w:val="22"/>
        </w:rPr>
        <w:t xml:space="preserve"> Para iniciar el procedimiento de recepción de los trabajos, el contratista deberá notificar al contratante la terminación de los mismos mediante la bitácora y por escrito, anexando los documentos de soporte que incluye una relación de las estimaciones o de gastos aprobados, monto ejercido y créditos a favor o en contra. Artículo 231.- Si, durante la verificación de los trabajos, el contratante observa deficiencias, deberá solicitar al contratista que realice las correcciones o reparaciones conforme a lo establecido en el contrato. En este caso, el plazo de verificación de los trabajos, pactado en el contrato, se podrá ampliar por el periodo que acuerden las partes para la reparación de las deficiencias. Lo anterior, sin perjuicio de que el contratante opte por la rescisión del contrato. </w:t>
      </w:r>
    </w:p>
    <w:p w14:paraId="7B58C5DE"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232</w:t>
      </w:r>
      <w:r w:rsidRPr="00C83C48">
        <w:rPr>
          <w:rFonts w:ascii="Palatino Linotype" w:eastAsia="Palatino Linotype" w:hAnsi="Palatino Linotype" w:cs="Palatino Linotype"/>
          <w:i/>
          <w:sz w:val="22"/>
          <w:szCs w:val="22"/>
        </w:rPr>
        <w:t>.- En la fecha señalada, el contratante recibirá físicamente los trabajos y levantará el acta correspondiente, que contendrá: </w:t>
      </w:r>
    </w:p>
    <w:p w14:paraId="17ABDAB9"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w:t>
      </w:r>
      <w:r w:rsidRPr="00C83C48">
        <w:rPr>
          <w:rFonts w:ascii="Palatino Linotype" w:eastAsia="Palatino Linotype" w:hAnsi="Palatino Linotype" w:cs="Palatino Linotype"/>
          <w:i/>
          <w:sz w:val="22"/>
          <w:szCs w:val="22"/>
        </w:rPr>
        <w:t>. Lugar, fecha y hora en que se levante; </w:t>
      </w:r>
    </w:p>
    <w:p w14:paraId="36F2B576"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w:t>
      </w:r>
      <w:r w:rsidRPr="00C83C48">
        <w:rPr>
          <w:rFonts w:ascii="Palatino Linotype" w:eastAsia="Palatino Linotype" w:hAnsi="Palatino Linotype" w:cs="Palatino Linotype"/>
          <w:i/>
          <w:sz w:val="22"/>
          <w:szCs w:val="22"/>
        </w:rPr>
        <w:t>. Nombre y firma del residente de obra y, en su caso, del supervisor de los trabajos y del superintendente de construcción; </w:t>
      </w:r>
    </w:p>
    <w:p w14:paraId="182849EF"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III</w:t>
      </w:r>
      <w:r w:rsidRPr="00C83C48">
        <w:rPr>
          <w:rFonts w:ascii="Palatino Linotype" w:eastAsia="Palatino Linotype" w:hAnsi="Palatino Linotype" w:cs="Palatino Linotype"/>
          <w:i/>
          <w:sz w:val="22"/>
          <w:szCs w:val="22"/>
        </w:rPr>
        <w:t>. Nombre y firma de los representantes de las Secretarías del Ramo y de Finanzas, de la Contraloría y del área responsable de operar la obra pública que se recibe; </w:t>
      </w:r>
    </w:p>
    <w:p w14:paraId="5CA91609"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IV</w:t>
      </w:r>
      <w:r w:rsidRPr="00C83C48">
        <w:rPr>
          <w:rFonts w:ascii="Palatino Linotype" w:eastAsia="Palatino Linotype" w:hAnsi="Palatino Linotype" w:cs="Palatino Linotype"/>
          <w:i/>
          <w:sz w:val="22"/>
          <w:szCs w:val="22"/>
        </w:rPr>
        <w:t>. Descripción de los trabajos que se reciben; </w:t>
      </w:r>
    </w:p>
    <w:p w14:paraId="5DBF4AA8"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w:t>
      </w:r>
      <w:r w:rsidRPr="00C83C48">
        <w:rPr>
          <w:rFonts w:ascii="Palatino Linotype" w:eastAsia="Palatino Linotype" w:hAnsi="Palatino Linotype" w:cs="Palatino Linotype"/>
          <w:i/>
          <w:sz w:val="22"/>
          <w:szCs w:val="22"/>
        </w:rPr>
        <w:t>. Importe contractual, incluyendo el de los convenios modificatorios; </w:t>
      </w:r>
    </w:p>
    <w:p w14:paraId="0EA004BF"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w:t>
      </w:r>
      <w:r w:rsidRPr="00C83C48">
        <w:rPr>
          <w:rFonts w:ascii="Palatino Linotype" w:eastAsia="Palatino Linotype" w:hAnsi="Palatino Linotype" w:cs="Palatino Linotype"/>
          <w:i/>
          <w:sz w:val="22"/>
          <w:szCs w:val="22"/>
        </w:rPr>
        <w:t>. Periodo de ejecución de los trabajos, precisando las fechas de inicio y terminación contractual y el plazo en que realmente se ejecutaron, incluyendo los convenios; </w:t>
      </w:r>
    </w:p>
    <w:p w14:paraId="2BE2D493"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w:t>
      </w:r>
      <w:r w:rsidRPr="00C83C48">
        <w:rPr>
          <w:rFonts w:ascii="Palatino Linotype" w:eastAsia="Palatino Linotype" w:hAnsi="Palatino Linotype" w:cs="Palatino Linotype"/>
          <w:i/>
          <w:sz w:val="22"/>
          <w:szCs w:val="22"/>
        </w:rPr>
        <w:t>. Relación de las estimaciones pagadas y por pagar;</w:t>
      </w:r>
    </w:p>
    <w:p w14:paraId="3801E64B"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VIII</w:t>
      </w:r>
      <w:r w:rsidRPr="00C83C48">
        <w:rPr>
          <w:rFonts w:ascii="Palatino Linotype" w:eastAsia="Palatino Linotype" w:hAnsi="Palatino Linotype" w:cs="Palatino Linotype"/>
          <w:i/>
          <w:sz w:val="22"/>
          <w:szCs w:val="22"/>
        </w:rPr>
        <w:t>. Declaración de las partes en que conste la entrega de los planos actualizados de la construcción final, así como los manuales e instructivos de operación y mantenimiento y los certificados de garantía de calidad y de servicio de los bienes instalados; y </w:t>
      </w:r>
    </w:p>
    <w:p w14:paraId="3BEC8B63"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IX</w:t>
      </w:r>
      <w:r w:rsidRPr="00C83C48">
        <w:rPr>
          <w:rFonts w:ascii="Palatino Linotype" w:eastAsia="Palatino Linotype" w:hAnsi="Palatino Linotype" w:cs="Palatino Linotype"/>
          <w:i/>
          <w:sz w:val="22"/>
          <w:szCs w:val="22"/>
        </w:rPr>
        <w:t>. Constancia de que el archivo de documentos derivados de la realización de los trabajos fue entregado a la residencia de obra o a la supervisión por parte del contratista.</w:t>
      </w:r>
    </w:p>
    <w:p w14:paraId="7CAC1B05"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233.-</w:t>
      </w:r>
      <w:r w:rsidRPr="00C83C48">
        <w:rPr>
          <w:rFonts w:ascii="Palatino Linotype" w:eastAsia="Palatino Linotype" w:hAnsi="Palatino Linotype" w:cs="Palatino Linotype"/>
          <w:i/>
          <w:sz w:val="22"/>
          <w:szCs w:val="22"/>
        </w:rPr>
        <w:t xml:space="preserve"> El contratante podrá efectuar recepciones parciales de los trabajos sin estar concluida la totalidad de la obra, cuando considere que hay trabajos terminados cuyos espacios pueden utilizarse y requieren conservación. Para ello, levantará un acta que se apegará a lo previsto en el artículo anterior.</w:t>
      </w:r>
    </w:p>
    <w:p w14:paraId="719588A6"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Artículo 234.-</w:t>
      </w:r>
      <w:r w:rsidRPr="00C83C48">
        <w:rPr>
          <w:rFonts w:ascii="Palatino Linotype" w:eastAsia="Palatino Linotype" w:hAnsi="Palatino Linotype" w:cs="Palatino Linotype"/>
          <w:i/>
          <w:sz w:val="22"/>
          <w:szCs w:val="22"/>
        </w:rPr>
        <w:t xml:space="preserve"> Para dar por terminados, parcial o totalmente, los derechos y obligaciones asumidos por las partes en un contrato de obras o servicios, el contratante deberá elaborar el finiquito correspondiente, </w:t>
      </w:r>
      <w:r w:rsidRPr="00C83C48">
        <w:rPr>
          <w:rFonts w:ascii="Palatino Linotype" w:eastAsia="Palatino Linotype" w:hAnsi="Palatino Linotype" w:cs="Palatino Linotype"/>
          <w:b/>
          <w:i/>
          <w:sz w:val="22"/>
          <w:szCs w:val="22"/>
        </w:rPr>
        <w:t>anexando el acta de recepción física de los trabajos</w:t>
      </w:r>
      <w:r w:rsidRPr="00C83C48">
        <w:rPr>
          <w:rFonts w:ascii="Palatino Linotype" w:eastAsia="Palatino Linotype" w:hAnsi="Palatino Linotype" w:cs="Palatino Linotype"/>
          <w:i/>
          <w:sz w:val="22"/>
          <w:szCs w:val="22"/>
        </w:rPr>
        <w:t>. </w:t>
      </w:r>
    </w:p>
    <w:p w14:paraId="10A82FA2" w14:textId="77777777" w:rsidR="00ED1C6A" w:rsidRPr="00C83C48" w:rsidRDefault="00ED1C6A" w:rsidP="00ED1C6A">
      <w:pPr>
        <w:pBdr>
          <w:top w:val="nil"/>
          <w:left w:val="nil"/>
          <w:bottom w:val="nil"/>
          <w:right w:val="nil"/>
          <w:between w:val="nil"/>
        </w:pBdr>
        <w:spacing w:before="120" w:after="120"/>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Elaborado este finiquito, el contratante dará por terminado el contrato, quedando subsistentes las acciones que se deriven del finiquito y la garantía de defectos y vicios ocultos señalada en el libro en el capítulo quinto de la ejecución Después de su formalización, el contratista no podrá presentar reclamación alguna de pago.”</w:t>
      </w:r>
    </w:p>
    <w:p w14:paraId="43BF83FC" w14:textId="77777777" w:rsidR="00ED1C6A" w:rsidRPr="00C83C48" w:rsidRDefault="00ED1C6A" w:rsidP="00ED1C6A">
      <w:pPr>
        <w:pBdr>
          <w:top w:val="nil"/>
          <w:left w:val="nil"/>
          <w:bottom w:val="nil"/>
          <w:right w:val="nil"/>
          <w:between w:val="nil"/>
        </w:pBdr>
        <w:spacing w:before="240" w:after="240" w:line="360" w:lineRule="auto"/>
        <w:ind w:right="4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Además de lo anterior, no debe perderse de vista que el artículo 92, fracción XIX de la Ley de Transparencia y Acceso a la Información Pública del Estado de México y Municipios, , los Sujetos Obligados deben poner a disposición del público de manera constante y actualizada, de forma sencilla, precisa y entendible, en los respectivos medios electrónicos, información relativa a los procesos y resultados sobre procedimientos de adjudicación directa, invitación restringida, y licitación de cualquier naturaleza, incluyendo la versión pública del expediente respectivo y de los contratos celebrados, por tratarse de una obligación de transparencia, a saber: </w:t>
      </w:r>
    </w:p>
    <w:p w14:paraId="2537367C" w14:textId="77777777" w:rsidR="00ED1C6A" w:rsidRPr="00C83C48" w:rsidRDefault="00ED1C6A" w:rsidP="00ED1C6A">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b/>
          <w:i/>
          <w:sz w:val="22"/>
          <w:szCs w:val="22"/>
        </w:rPr>
        <w:t>Artículo 92</w:t>
      </w:r>
      <w:r w:rsidRPr="00C83C48">
        <w:rPr>
          <w:rFonts w:ascii="Palatino Linotype" w:eastAsia="Palatino Linotype" w:hAnsi="Palatino Linotype" w:cs="Palatino Linotype"/>
          <w:i/>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2320804" w14:textId="77777777" w:rsidR="00ED1C6A" w:rsidRPr="00C83C48" w:rsidRDefault="00ED1C6A" w:rsidP="00ED1C6A">
      <w:pPr>
        <w:pBdr>
          <w:top w:val="nil"/>
          <w:left w:val="nil"/>
          <w:bottom w:val="nil"/>
          <w:right w:val="nil"/>
          <w:between w:val="nil"/>
        </w:pBdr>
        <w:spacing w:before="120" w:after="120"/>
        <w:ind w:left="1134"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i/>
          <w:sz w:val="22"/>
          <w:szCs w:val="22"/>
        </w:rPr>
        <w:t>(…)</w:t>
      </w:r>
    </w:p>
    <w:p w14:paraId="646A5A8A" w14:textId="77777777" w:rsidR="00ED1C6A" w:rsidRPr="00C83C48" w:rsidRDefault="00ED1C6A" w:rsidP="00ED1C6A">
      <w:pPr>
        <w:pBdr>
          <w:top w:val="nil"/>
          <w:left w:val="nil"/>
          <w:bottom w:val="nil"/>
          <w:right w:val="nil"/>
          <w:between w:val="nil"/>
        </w:pBdr>
        <w:spacing w:before="120" w:after="120"/>
        <w:ind w:left="1134"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XXIX.</w:t>
      </w:r>
      <w:r w:rsidRPr="00C83C48">
        <w:rPr>
          <w:rFonts w:ascii="Palatino Linotype" w:eastAsia="Palatino Linotype" w:hAnsi="Palatino Linotype" w:cs="Palatino Linotype"/>
          <w:i/>
          <w:sz w:val="22"/>
          <w:szCs w:val="22"/>
        </w:rPr>
        <w:t xml:space="preserve"> La </w:t>
      </w:r>
      <w:r w:rsidRPr="00C83C48">
        <w:rPr>
          <w:rFonts w:ascii="Palatino Linotype" w:eastAsia="Palatino Linotype" w:hAnsi="Palatino Linotype" w:cs="Palatino Linotype"/>
          <w:b/>
          <w:i/>
          <w:sz w:val="22"/>
          <w:szCs w:val="22"/>
        </w:rPr>
        <w:t xml:space="preserve">información sobre los procesos y resultados </w:t>
      </w:r>
      <w:r w:rsidRPr="00C83C48">
        <w:rPr>
          <w:rFonts w:ascii="Palatino Linotype" w:eastAsia="Palatino Linotype" w:hAnsi="Palatino Linotype" w:cs="Palatino Linotype"/>
          <w:b/>
          <w:i/>
          <w:sz w:val="22"/>
          <w:szCs w:val="22"/>
          <w:u w:val="single"/>
        </w:rPr>
        <w:t>sobre procedimientos de adjudicación directa, invitación restringida y licitación de cualquier naturaleza</w:t>
      </w:r>
      <w:r w:rsidRPr="00C83C48">
        <w:rPr>
          <w:rFonts w:ascii="Palatino Linotype" w:eastAsia="Palatino Linotype" w:hAnsi="Palatino Linotype" w:cs="Palatino Linotype"/>
          <w:i/>
          <w:sz w:val="22"/>
          <w:szCs w:val="22"/>
          <w:u w:val="single"/>
        </w:rPr>
        <w:t xml:space="preserve">, </w:t>
      </w:r>
      <w:r w:rsidRPr="00C83C48">
        <w:rPr>
          <w:rFonts w:ascii="Palatino Linotype" w:eastAsia="Palatino Linotype" w:hAnsi="Palatino Linotype" w:cs="Palatino Linotype"/>
          <w:b/>
          <w:i/>
          <w:sz w:val="22"/>
          <w:szCs w:val="22"/>
        </w:rPr>
        <w:t>incluyendo la versión pública</w:t>
      </w:r>
      <w:r w:rsidRPr="00C83C48">
        <w:rPr>
          <w:rFonts w:ascii="Palatino Linotype" w:eastAsia="Palatino Linotype" w:hAnsi="Palatino Linotype" w:cs="Palatino Linotype"/>
          <w:i/>
          <w:sz w:val="22"/>
          <w:szCs w:val="22"/>
        </w:rPr>
        <w:t xml:space="preserve"> del expediente respectivo y </w:t>
      </w:r>
      <w:r w:rsidRPr="00C83C48">
        <w:rPr>
          <w:rFonts w:ascii="Palatino Linotype" w:eastAsia="Palatino Linotype" w:hAnsi="Palatino Linotype" w:cs="Palatino Linotype"/>
          <w:b/>
          <w:i/>
          <w:sz w:val="22"/>
          <w:szCs w:val="22"/>
        </w:rPr>
        <w:t>de los contratos celebrados</w:t>
      </w:r>
      <w:r w:rsidRPr="00C83C48">
        <w:rPr>
          <w:rFonts w:ascii="Palatino Linotype" w:eastAsia="Palatino Linotype" w:hAnsi="Palatino Linotype" w:cs="Palatino Linotype"/>
          <w:i/>
          <w:sz w:val="22"/>
          <w:szCs w:val="22"/>
        </w:rPr>
        <w:t>, que deberán contener, por los menos, lo siguiente:</w:t>
      </w:r>
    </w:p>
    <w:p w14:paraId="5F205F36" w14:textId="77777777" w:rsidR="00ED1C6A" w:rsidRPr="00C83C48" w:rsidRDefault="00ED1C6A" w:rsidP="00ED1C6A">
      <w:pPr>
        <w:pBdr>
          <w:top w:val="nil"/>
          <w:left w:val="nil"/>
          <w:bottom w:val="nil"/>
          <w:right w:val="nil"/>
          <w:between w:val="nil"/>
        </w:pBdr>
        <w:spacing w:before="120" w:after="120"/>
        <w:ind w:left="1418"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a) De licitaciones públicas o procedimientos de invitación restringida:</w:t>
      </w:r>
    </w:p>
    <w:p w14:paraId="77F176DA"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1)</w:t>
      </w:r>
      <w:r w:rsidRPr="00C83C48">
        <w:rPr>
          <w:rFonts w:ascii="Palatino Linotype" w:eastAsia="Palatino Linotype" w:hAnsi="Palatino Linotype" w:cs="Palatino Linotype"/>
          <w:i/>
          <w:sz w:val="22"/>
          <w:szCs w:val="22"/>
        </w:rPr>
        <w:t xml:space="preserve"> La convocatoria o invitación emitida, así como los fundamentos legales aplicados para llevarla a cabo;</w:t>
      </w:r>
    </w:p>
    <w:p w14:paraId="05697A0B"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2)</w:t>
      </w:r>
      <w:r w:rsidRPr="00C83C48">
        <w:rPr>
          <w:rFonts w:ascii="Palatino Linotype" w:eastAsia="Palatino Linotype" w:hAnsi="Palatino Linotype" w:cs="Palatino Linotype"/>
          <w:i/>
          <w:sz w:val="22"/>
          <w:szCs w:val="22"/>
        </w:rPr>
        <w:t xml:space="preserve"> Los nombres de los participantes o invitados;</w:t>
      </w:r>
    </w:p>
    <w:p w14:paraId="3A7B9A64"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3)</w:t>
      </w:r>
      <w:r w:rsidRPr="00C83C48">
        <w:rPr>
          <w:rFonts w:ascii="Palatino Linotype" w:eastAsia="Palatino Linotype" w:hAnsi="Palatino Linotype" w:cs="Palatino Linotype"/>
          <w:i/>
          <w:sz w:val="22"/>
          <w:szCs w:val="22"/>
        </w:rPr>
        <w:t xml:space="preserve"> El nombre del ganador y las razones que lo justifican;</w:t>
      </w:r>
    </w:p>
    <w:p w14:paraId="32DEB01E"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4)</w:t>
      </w:r>
      <w:r w:rsidRPr="00C83C48">
        <w:rPr>
          <w:rFonts w:ascii="Palatino Linotype" w:eastAsia="Palatino Linotype" w:hAnsi="Palatino Linotype" w:cs="Palatino Linotype"/>
          <w:i/>
          <w:sz w:val="22"/>
          <w:szCs w:val="22"/>
        </w:rPr>
        <w:t xml:space="preserve"> El área solicitante y la responsable de su ejecución;</w:t>
      </w:r>
    </w:p>
    <w:p w14:paraId="241734CF"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5)</w:t>
      </w:r>
      <w:r w:rsidRPr="00C83C48">
        <w:rPr>
          <w:rFonts w:ascii="Palatino Linotype" w:eastAsia="Palatino Linotype" w:hAnsi="Palatino Linotype" w:cs="Palatino Linotype"/>
          <w:i/>
          <w:sz w:val="22"/>
          <w:szCs w:val="22"/>
        </w:rPr>
        <w:t xml:space="preserve"> Las convocatorias e invitaciones emitidas; </w:t>
      </w:r>
    </w:p>
    <w:p w14:paraId="2951AEBC"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6)</w:t>
      </w:r>
      <w:r w:rsidRPr="00C83C48">
        <w:rPr>
          <w:rFonts w:ascii="Palatino Linotype" w:eastAsia="Palatino Linotype" w:hAnsi="Palatino Linotype" w:cs="Palatino Linotype"/>
          <w:i/>
          <w:sz w:val="22"/>
          <w:szCs w:val="22"/>
        </w:rPr>
        <w:t xml:space="preserve"> Los dictámenes y fallo de adjudicación;</w:t>
      </w:r>
    </w:p>
    <w:p w14:paraId="3DA92B5A"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7) El contrato y, en su caso, sus anexos; </w:t>
      </w:r>
    </w:p>
    <w:p w14:paraId="1DF0F95C"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8)</w:t>
      </w:r>
      <w:r w:rsidRPr="00C83C48">
        <w:rPr>
          <w:rFonts w:ascii="Palatino Linotype" w:eastAsia="Palatino Linotype" w:hAnsi="Palatino Linotype" w:cs="Palatino Linotype"/>
          <w:i/>
          <w:sz w:val="22"/>
          <w:szCs w:val="22"/>
        </w:rPr>
        <w:t xml:space="preserve"> Los mecanismos de vigilancia y supervisión, incluyendo en su caso, los estudios de impacto urbano y ambiental, según corresponda;</w:t>
      </w:r>
    </w:p>
    <w:p w14:paraId="409AF3D9"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9)</w:t>
      </w:r>
      <w:r w:rsidRPr="00C83C48">
        <w:rPr>
          <w:rFonts w:ascii="Palatino Linotype" w:eastAsia="Palatino Linotype" w:hAnsi="Palatino Linotype" w:cs="Palatino Linotype"/>
          <w:i/>
          <w:sz w:val="22"/>
          <w:szCs w:val="22"/>
        </w:rPr>
        <w:t xml:space="preserve"> La partida presupuestal, de conformidad con el clasificador por objeto del gasto, en el caso de ser aplicable; </w:t>
      </w:r>
    </w:p>
    <w:p w14:paraId="138992DE"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10)</w:t>
      </w:r>
      <w:r w:rsidRPr="00C83C48">
        <w:rPr>
          <w:rFonts w:ascii="Palatino Linotype" w:eastAsia="Palatino Linotype" w:hAnsi="Palatino Linotype" w:cs="Palatino Linotype"/>
          <w:i/>
          <w:sz w:val="22"/>
          <w:szCs w:val="22"/>
        </w:rPr>
        <w:t xml:space="preserve"> Origen de los recursos especificando si son federales, estatales o municipales, así como el tipo de fondo de participación o aportación respectiva;</w:t>
      </w:r>
    </w:p>
    <w:p w14:paraId="1FD4099F"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11)</w:t>
      </w:r>
      <w:r w:rsidRPr="00C83C48">
        <w:rPr>
          <w:rFonts w:ascii="Palatino Linotype" w:eastAsia="Palatino Linotype" w:hAnsi="Palatino Linotype" w:cs="Palatino Linotype"/>
          <w:i/>
          <w:sz w:val="22"/>
          <w:szCs w:val="22"/>
        </w:rPr>
        <w:t xml:space="preserve"> Los convenios modificatorios que, en su caso, sean firmados, precisando el objeto y la fecha de celebración;</w:t>
      </w:r>
    </w:p>
    <w:p w14:paraId="2481CA5E"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i/>
          <w:sz w:val="22"/>
          <w:szCs w:val="22"/>
        </w:rPr>
        <w:t>12) Los informes de avance físico y financiero sobre las obras o servicios contratados; </w:t>
      </w:r>
    </w:p>
    <w:p w14:paraId="223D3511"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13)</w:t>
      </w:r>
      <w:r w:rsidRPr="00C83C48">
        <w:rPr>
          <w:rFonts w:ascii="Palatino Linotype" w:eastAsia="Palatino Linotype" w:hAnsi="Palatino Linotype" w:cs="Palatino Linotype"/>
          <w:i/>
          <w:sz w:val="22"/>
          <w:szCs w:val="22"/>
        </w:rPr>
        <w:t xml:space="preserve"> El convenio de terminación; </w:t>
      </w:r>
    </w:p>
    <w:p w14:paraId="21299A81"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14)</w:t>
      </w:r>
      <w:r w:rsidRPr="00C83C48">
        <w:rPr>
          <w:rFonts w:ascii="Palatino Linotype" w:eastAsia="Palatino Linotype" w:hAnsi="Palatino Linotype" w:cs="Palatino Linotype"/>
          <w:i/>
          <w:sz w:val="22"/>
          <w:szCs w:val="22"/>
        </w:rPr>
        <w:t xml:space="preserve"> El finiquito.</w:t>
      </w:r>
    </w:p>
    <w:p w14:paraId="54190BB9" w14:textId="77777777" w:rsidR="00ED1C6A" w:rsidRPr="00C83C48" w:rsidRDefault="00ED1C6A" w:rsidP="00ED1C6A">
      <w:pPr>
        <w:pBdr>
          <w:top w:val="nil"/>
          <w:left w:val="nil"/>
          <w:bottom w:val="nil"/>
          <w:right w:val="nil"/>
          <w:between w:val="nil"/>
        </w:pBdr>
        <w:spacing w:before="120" w:after="120"/>
        <w:ind w:left="1418"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b) De las adjudicaciones directas: </w:t>
      </w:r>
    </w:p>
    <w:p w14:paraId="5FE38F46"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1)</w:t>
      </w:r>
      <w:r w:rsidRPr="00C83C48">
        <w:rPr>
          <w:rFonts w:ascii="Palatino Linotype" w:eastAsia="Palatino Linotype" w:hAnsi="Palatino Linotype" w:cs="Palatino Linotype"/>
          <w:i/>
          <w:sz w:val="22"/>
          <w:szCs w:val="22"/>
        </w:rPr>
        <w:t xml:space="preserve"> La propuesta enviada por el participante; </w:t>
      </w:r>
    </w:p>
    <w:p w14:paraId="37FC4CD1"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2)</w:t>
      </w:r>
      <w:r w:rsidRPr="00C83C48">
        <w:rPr>
          <w:rFonts w:ascii="Palatino Linotype" w:eastAsia="Palatino Linotype" w:hAnsi="Palatino Linotype" w:cs="Palatino Linotype"/>
          <w:i/>
          <w:sz w:val="22"/>
          <w:szCs w:val="22"/>
        </w:rPr>
        <w:t xml:space="preserve"> Los motivos y fundamentos legales aplicados para llevarla a cabo;</w:t>
      </w:r>
    </w:p>
    <w:p w14:paraId="651BC657"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3)</w:t>
      </w:r>
      <w:r w:rsidRPr="00C83C48">
        <w:rPr>
          <w:rFonts w:ascii="Palatino Linotype" w:eastAsia="Palatino Linotype" w:hAnsi="Palatino Linotype" w:cs="Palatino Linotype"/>
          <w:i/>
          <w:sz w:val="22"/>
          <w:szCs w:val="22"/>
        </w:rPr>
        <w:t xml:space="preserve"> La autorización del ejercicio de la opción; </w:t>
      </w:r>
    </w:p>
    <w:p w14:paraId="7594DE54"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 xml:space="preserve">4) </w:t>
      </w:r>
      <w:r w:rsidRPr="00C83C48">
        <w:rPr>
          <w:rFonts w:ascii="Palatino Linotype" w:eastAsia="Palatino Linotype" w:hAnsi="Palatino Linotype" w:cs="Palatino Linotype"/>
          <w:i/>
          <w:sz w:val="22"/>
          <w:szCs w:val="22"/>
        </w:rPr>
        <w:t>En su caso, las cotizaciones consideradas, especificando los nombres de los proveedores y sus montos;</w:t>
      </w:r>
      <w:r w:rsidRPr="00C83C48">
        <w:rPr>
          <w:rFonts w:ascii="Palatino Linotype" w:eastAsia="Palatino Linotype" w:hAnsi="Palatino Linotype" w:cs="Palatino Linotype"/>
          <w:b/>
          <w:i/>
          <w:sz w:val="22"/>
          <w:szCs w:val="22"/>
        </w:rPr>
        <w:t> </w:t>
      </w:r>
    </w:p>
    <w:p w14:paraId="6B223DD7"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5)</w:t>
      </w:r>
      <w:r w:rsidRPr="00C83C48">
        <w:rPr>
          <w:rFonts w:ascii="Palatino Linotype" w:eastAsia="Palatino Linotype" w:hAnsi="Palatino Linotype" w:cs="Palatino Linotype"/>
          <w:i/>
          <w:sz w:val="22"/>
          <w:szCs w:val="22"/>
        </w:rPr>
        <w:t xml:space="preserve"> El nombre de la persona física o jurídica colectiva adjudicada; </w:t>
      </w:r>
    </w:p>
    <w:p w14:paraId="1BAB4EBA"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6)</w:t>
      </w:r>
      <w:r w:rsidRPr="00C83C48">
        <w:rPr>
          <w:rFonts w:ascii="Palatino Linotype" w:eastAsia="Palatino Linotype" w:hAnsi="Palatino Linotype" w:cs="Palatino Linotype"/>
          <w:i/>
          <w:sz w:val="22"/>
          <w:szCs w:val="22"/>
        </w:rPr>
        <w:t xml:space="preserve"> La unidad administrativa solicitante y la responsable de su ejecución; </w:t>
      </w:r>
    </w:p>
    <w:p w14:paraId="15F80586"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7) El número, fecha, el monto del contrato y el plazo de entrega o de ejecución de los servicios u obra; </w:t>
      </w:r>
    </w:p>
    <w:p w14:paraId="66F891E3"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8)</w:t>
      </w:r>
      <w:r w:rsidRPr="00C83C48">
        <w:rPr>
          <w:rFonts w:ascii="Palatino Linotype" w:eastAsia="Palatino Linotype" w:hAnsi="Palatino Linotype" w:cs="Palatino Linotype"/>
          <w:i/>
          <w:sz w:val="22"/>
          <w:szCs w:val="22"/>
        </w:rPr>
        <w:t xml:space="preserve"> Los mecanismos de vigilancia y supervisión, incluyendo, en su caso, los estudios de impacto urbano y ambiental, según corresponda; </w:t>
      </w:r>
    </w:p>
    <w:p w14:paraId="690191BF"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9)</w:t>
      </w:r>
      <w:r w:rsidRPr="00C83C48">
        <w:rPr>
          <w:rFonts w:ascii="Palatino Linotype" w:eastAsia="Palatino Linotype" w:hAnsi="Palatino Linotype" w:cs="Palatino Linotype"/>
          <w:i/>
          <w:sz w:val="22"/>
          <w:szCs w:val="22"/>
        </w:rPr>
        <w:t xml:space="preserve"> Los informes de avance sobre las obras o servicios contratados; </w:t>
      </w:r>
    </w:p>
    <w:p w14:paraId="7C4135E2"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10)</w:t>
      </w:r>
      <w:r w:rsidRPr="00C83C48">
        <w:rPr>
          <w:rFonts w:ascii="Palatino Linotype" w:eastAsia="Palatino Linotype" w:hAnsi="Palatino Linotype" w:cs="Palatino Linotype"/>
          <w:i/>
          <w:sz w:val="22"/>
          <w:szCs w:val="22"/>
        </w:rPr>
        <w:t xml:space="preserve"> El convenio de terminación; y </w:t>
      </w:r>
    </w:p>
    <w:p w14:paraId="6CBD15B6" w14:textId="77777777" w:rsidR="00ED1C6A" w:rsidRPr="00C83C48" w:rsidRDefault="00ED1C6A" w:rsidP="00ED1C6A">
      <w:pPr>
        <w:pBdr>
          <w:top w:val="nil"/>
          <w:left w:val="nil"/>
          <w:bottom w:val="nil"/>
          <w:right w:val="nil"/>
          <w:between w:val="nil"/>
        </w:pBdr>
        <w:spacing w:before="120" w:after="120"/>
        <w:ind w:left="1701" w:right="902"/>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i/>
          <w:sz w:val="22"/>
          <w:szCs w:val="22"/>
        </w:rPr>
        <w:t>11)</w:t>
      </w:r>
      <w:r w:rsidRPr="00C83C48">
        <w:rPr>
          <w:rFonts w:ascii="Palatino Linotype" w:eastAsia="Palatino Linotype" w:hAnsi="Palatino Linotype" w:cs="Palatino Linotype"/>
          <w:i/>
          <w:sz w:val="22"/>
          <w:szCs w:val="22"/>
        </w:rPr>
        <w:t xml:space="preserve"> El finiquito;”</w:t>
      </w:r>
    </w:p>
    <w:p w14:paraId="2CF6D5A3" w14:textId="77777777" w:rsidR="00ED1C6A" w:rsidRPr="00C83C48" w:rsidRDefault="00ED1C6A" w:rsidP="00ED1C6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A partir de lo anterior, se considera que ha quedado acreditada la competencia del </w:t>
      </w:r>
      <w:r w:rsidRPr="00C83C48">
        <w:rPr>
          <w:rFonts w:ascii="Palatino Linotype" w:eastAsia="Palatino Linotype" w:hAnsi="Palatino Linotype" w:cs="Palatino Linotype"/>
          <w:b/>
          <w:sz w:val="22"/>
          <w:szCs w:val="22"/>
        </w:rPr>
        <w:t>Sujeto Obligado</w:t>
      </w:r>
      <w:r w:rsidRPr="00C83C48">
        <w:rPr>
          <w:rFonts w:ascii="Palatino Linotype" w:eastAsia="Palatino Linotype" w:hAnsi="Palatino Linotype" w:cs="Palatino Linotype"/>
          <w:sz w:val="22"/>
          <w:szCs w:val="22"/>
        </w:rPr>
        <w:t xml:space="preserve"> para conocer la información que es del interés de la persona solicitante respecto a las obras públicas y la información que se deriva de ellas y que se debe integrar al expediente correspondiente, en sus tres modalidades de contratación.</w:t>
      </w:r>
    </w:p>
    <w:p w14:paraId="146EA50F" w14:textId="75B70EAD" w:rsidR="00ED1C6A" w:rsidRPr="00C83C48" w:rsidRDefault="00ED1C6A" w:rsidP="00ED1C6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Ahora bien, no pasa desapercibido que, quien se pronunció es el Director </w:t>
      </w:r>
      <w:r w:rsidR="00CF65B8" w:rsidRPr="00C83C48">
        <w:rPr>
          <w:rFonts w:ascii="Palatino Linotype" w:eastAsia="Palatino Linotype" w:hAnsi="Palatino Linotype" w:cs="Palatino Linotype"/>
          <w:sz w:val="22"/>
          <w:szCs w:val="22"/>
        </w:rPr>
        <w:t xml:space="preserve">General </w:t>
      </w:r>
      <w:r w:rsidRPr="00C83C48">
        <w:rPr>
          <w:rFonts w:ascii="Palatino Linotype" w:eastAsia="Palatino Linotype" w:hAnsi="Palatino Linotype" w:cs="Palatino Linotype"/>
          <w:sz w:val="22"/>
          <w:szCs w:val="22"/>
        </w:rPr>
        <w:t xml:space="preserve">de Obras Públicas, por lo que se tiene que se siguió con ello el procedimiento para la atención a las solicitudes de acceso a la información, establecido en los artículos 151, 160, 162, 163, 164, 165 y 166, de la Ley de Transparencia y Acceso a la Información Pública del Estado de México y Municipios:  </w:t>
      </w:r>
    </w:p>
    <w:p w14:paraId="73BEF7EE" w14:textId="77777777" w:rsidR="00ED1C6A" w:rsidRPr="00C83C48" w:rsidRDefault="00ED1C6A" w:rsidP="00ED1C6A">
      <w:pPr>
        <w:spacing w:after="240" w:line="360" w:lineRule="auto"/>
        <w:ind w:left="284"/>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 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003A4A3E" w14:textId="77777777" w:rsidR="00ED1C6A" w:rsidRPr="00C83C48" w:rsidRDefault="00ED1C6A" w:rsidP="00ED1C6A">
      <w:pPr>
        <w:spacing w:after="240" w:line="360" w:lineRule="auto"/>
        <w:ind w:left="284"/>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 La respuesta a los requerimientos informativos, deberá notificarse al interesado en el menor tiempo posible, que no podrá exceder de quince días hábiles, contados a partir del día siguiente a la presentación de esta.  </w:t>
      </w:r>
    </w:p>
    <w:p w14:paraId="573EEBD6" w14:textId="77777777" w:rsidR="00ED1C6A" w:rsidRPr="00C83C48" w:rsidRDefault="00ED1C6A" w:rsidP="00ED1C6A">
      <w:pPr>
        <w:spacing w:after="240" w:line="360" w:lineRule="auto"/>
        <w:ind w:left="284"/>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Excepcionalmente, el plazo referido podrá ampliarse por siete días hábiles más, cuando existan razones fundadas y motivadas, a través del Comité de Transparencia; </w:t>
      </w:r>
    </w:p>
    <w:p w14:paraId="23EA5D3E" w14:textId="77777777" w:rsidR="00ED1C6A" w:rsidRPr="00C83C48" w:rsidRDefault="00ED1C6A" w:rsidP="00ED1C6A">
      <w:pPr>
        <w:spacing w:after="240" w:line="360" w:lineRule="auto"/>
        <w:ind w:left="284"/>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7107D5FB" w14:textId="77777777" w:rsidR="00ED1C6A" w:rsidRPr="00C83C48" w:rsidRDefault="00ED1C6A" w:rsidP="00ED1C6A">
      <w:pPr>
        <w:spacing w:after="240" w:line="360" w:lineRule="auto"/>
        <w:ind w:left="284"/>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54A902CE" w14:textId="77777777" w:rsidR="00ED1C6A" w:rsidRPr="00C83C48" w:rsidRDefault="00ED1C6A" w:rsidP="00ED1C6A">
      <w:pPr>
        <w:spacing w:after="240" w:line="360" w:lineRule="auto"/>
        <w:ind w:left="284"/>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 </w:t>
      </w:r>
    </w:p>
    <w:p w14:paraId="72DD8627" w14:textId="40BF1F9C" w:rsidR="00ED1C6A" w:rsidRPr="00C83C48" w:rsidRDefault="00ED1C6A" w:rsidP="00ED1C6A">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En este orden de ideas, se reitera que la Dirección </w:t>
      </w:r>
      <w:r w:rsidR="00CF65B8" w:rsidRPr="00C83C48">
        <w:rPr>
          <w:rFonts w:ascii="Palatino Linotype" w:eastAsia="Palatino Linotype" w:hAnsi="Palatino Linotype" w:cs="Palatino Linotype"/>
          <w:sz w:val="22"/>
          <w:szCs w:val="22"/>
        </w:rPr>
        <w:t xml:space="preserve">General </w:t>
      </w:r>
      <w:r w:rsidRPr="00C83C48">
        <w:rPr>
          <w:rFonts w:ascii="Palatino Linotype" w:eastAsia="Palatino Linotype" w:hAnsi="Palatino Linotype" w:cs="Palatino Linotype"/>
          <w:sz w:val="22"/>
          <w:szCs w:val="22"/>
        </w:rPr>
        <w:t>de Obras Públicas es el área que cuenta con atribuciones para generar, administrar o poseer la información requerida; con lo que se acreditó que se realizó una correcta búsqueda exhaustiva y razonable de la información.</w:t>
      </w:r>
    </w:p>
    <w:p w14:paraId="704C32ED" w14:textId="77777777" w:rsidR="00CA4651" w:rsidRPr="00C83C48" w:rsidRDefault="00CA4651">
      <w:pPr>
        <w:spacing w:after="240" w:line="360" w:lineRule="auto"/>
        <w:jc w:val="both"/>
        <w:rPr>
          <w:rFonts w:ascii="Palatino Linotype" w:eastAsia="Palatino Linotype" w:hAnsi="Palatino Linotype" w:cs="Palatino Linotype"/>
          <w:b/>
          <w:sz w:val="22"/>
          <w:szCs w:val="22"/>
        </w:rPr>
      </w:pPr>
    </w:p>
    <w:p w14:paraId="0A12C638" w14:textId="04B6C230" w:rsidR="00ED1C6A" w:rsidRPr="00C83C48" w:rsidRDefault="00CF65B8">
      <w:pPr>
        <w:spacing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Ahora bien, a efecto de verificar si se colmó el derecho de acceso a la información pública es necesario realizar el siguiente cuadro comparativo:</w:t>
      </w:r>
    </w:p>
    <w:tbl>
      <w:tblPr>
        <w:tblStyle w:val="Tablaconcuadrcula"/>
        <w:tblW w:w="0" w:type="auto"/>
        <w:jc w:val="center"/>
        <w:tblLook w:val="04A0" w:firstRow="1" w:lastRow="0" w:firstColumn="1" w:lastColumn="0" w:noHBand="0" w:noVBand="1"/>
      </w:tblPr>
      <w:tblGrid>
        <w:gridCol w:w="4957"/>
        <w:gridCol w:w="2409"/>
        <w:gridCol w:w="1472"/>
      </w:tblGrid>
      <w:tr w:rsidR="00C83C48" w:rsidRPr="00C83C48" w14:paraId="4CB29C66" w14:textId="77777777" w:rsidTr="00CA4651">
        <w:trPr>
          <w:jc w:val="center"/>
        </w:trPr>
        <w:tc>
          <w:tcPr>
            <w:tcW w:w="4957" w:type="dxa"/>
            <w:shd w:val="clear" w:color="auto" w:fill="E7E6E6" w:themeFill="background2"/>
          </w:tcPr>
          <w:p w14:paraId="6A7C524B" w14:textId="2B855244" w:rsidR="00CF65B8" w:rsidRPr="00C83C48" w:rsidRDefault="00CF65B8" w:rsidP="00CF65B8">
            <w:pPr>
              <w:spacing w:after="240" w:line="360" w:lineRule="auto"/>
              <w:jc w:val="center"/>
              <w:rPr>
                <w:rFonts w:ascii="Palatino Linotype" w:eastAsia="Palatino Linotype" w:hAnsi="Palatino Linotype" w:cs="Palatino Linotype"/>
                <w:b/>
                <w:sz w:val="20"/>
                <w:szCs w:val="22"/>
              </w:rPr>
            </w:pPr>
            <w:r w:rsidRPr="00C83C48">
              <w:rPr>
                <w:rFonts w:ascii="Palatino Linotype" w:eastAsia="Palatino Linotype" w:hAnsi="Palatino Linotype" w:cs="Palatino Linotype"/>
                <w:b/>
                <w:sz w:val="20"/>
                <w:szCs w:val="22"/>
              </w:rPr>
              <w:t>Requerimiento</w:t>
            </w:r>
          </w:p>
        </w:tc>
        <w:tc>
          <w:tcPr>
            <w:tcW w:w="2409" w:type="dxa"/>
            <w:shd w:val="clear" w:color="auto" w:fill="E7E6E6" w:themeFill="background2"/>
          </w:tcPr>
          <w:p w14:paraId="3E6DE714" w14:textId="056B8620" w:rsidR="00CF65B8" w:rsidRPr="00C83C48" w:rsidRDefault="00CF65B8" w:rsidP="00CF65B8">
            <w:pPr>
              <w:spacing w:after="240" w:line="360" w:lineRule="auto"/>
              <w:jc w:val="center"/>
              <w:rPr>
                <w:rFonts w:ascii="Palatino Linotype" w:eastAsia="Palatino Linotype" w:hAnsi="Palatino Linotype" w:cs="Palatino Linotype"/>
                <w:b/>
                <w:sz w:val="20"/>
                <w:szCs w:val="22"/>
              </w:rPr>
            </w:pPr>
            <w:r w:rsidRPr="00C83C48">
              <w:rPr>
                <w:rFonts w:ascii="Palatino Linotype" w:eastAsia="Palatino Linotype" w:hAnsi="Palatino Linotype" w:cs="Palatino Linotype"/>
                <w:b/>
                <w:sz w:val="20"/>
                <w:szCs w:val="22"/>
              </w:rPr>
              <w:t>Respuesta</w:t>
            </w:r>
          </w:p>
        </w:tc>
        <w:tc>
          <w:tcPr>
            <w:tcW w:w="1472" w:type="dxa"/>
            <w:shd w:val="clear" w:color="auto" w:fill="E7E6E6" w:themeFill="background2"/>
          </w:tcPr>
          <w:p w14:paraId="1946D052" w14:textId="0E8B46C3" w:rsidR="00CF65B8" w:rsidRPr="00C83C48" w:rsidRDefault="00CF65B8" w:rsidP="00CF65B8">
            <w:pPr>
              <w:spacing w:after="240" w:line="360" w:lineRule="auto"/>
              <w:jc w:val="center"/>
              <w:rPr>
                <w:rFonts w:ascii="Palatino Linotype" w:eastAsia="Palatino Linotype" w:hAnsi="Palatino Linotype" w:cs="Palatino Linotype"/>
                <w:b/>
                <w:sz w:val="20"/>
                <w:szCs w:val="22"/>
              </w:rPr>
            </w:pPr>
            <w:r w:rsidRPr="00C83C48">
              <w:rPr>
                <w:rFonts w:ascii="Palatino Linotype" w:eastAsia="Palatino Linotype" w:hAnsi="Palatino Linotype" w:cs="Palatino Linotype"/>
                <w:b/>
                <w:sz w:val="20"/>
                <w:szCs w:val="22"/>
              </w:rPr>
              <w:t>¿Colma?</w:t>
            </w:r>
          </w:p>
        </w:tc>
      </w:tr>
      <w:tr w:rsidR="00C83C48" w:rsidRPr="00C83C48" w14:paraId="7A5CCF9E" w14:textId="77777777" w:rsidTr="00CA4651">
        <w:trPr>
          <w:jc w:val="center"/>
        </w:trPr>
        <w:tc>
          <w:tcPr>
            <w:tcW w:w="4957" w:type="dxa"/>
          </w:tcPr>
          <w:p w14:paraId="7B26E13F" w14:textId="6350EE4E" w:rsidR="00CF65B8" w:rsidRPr="00C83C48" w:rsidRDefault="00CF65B8">
            <w:pPr>
              <w:spacing w:after="240" w:line="360" w:lineRule="auto"/>
              <w:jc w:val="both"/>
              <w:rPr>
                <w:rFonts w:ascii="Palatino Linotype" w:eastAsia="Palatino Linotype" w:hAnsi="Palatino Linotype" w:cs="Palatino Linotype"/>
                <w:sz w:val="20"/>
                <w:szCs w:val="22"/>
              </w:rPr>
            </w:pPr>
            <w:r w:rsidRPr="00C83C48">
              <w:rPr>
                <w:rFonts w:ascii="Palatino Linotype" w:eastAsia="Palatino Linotype" w:hAnsi="Palatino Linotype" w:cs="Palatino Linotype"/>
                <w:sz w:val="20"/>
                <w:szCs w:val="22"/>
              </w:rPr>
              <w:t>Programa de obras o cualquier o cualquier otro en el que aparezcan las obras aprobadas en sesión pública por el h. ayuntamiento.</w:t>
            </w:r>
          </w:p>
        </w:tc>
        <w:tc>
          <w:tcPr>
            <w:tcW w:w="2409" w:type="dxa"/>
          </w:tcPr>
          <w:p w14:paraId="1D9C392E" w14:textId="0AFCF4FE" w:rsidR="00CF65B8" w:rsidRPr="00C83C48" w:rsidRDefault="00CF65B8">
            <w:pPr>
              <w:spacing w:after="240" w:line="360" w:lineRule="auto"/>
              <w:jc w:val="both"/>
              <w:rPr>
                <w:rFonts w:ascii="Palatino Linotype" w:eastAsia="Palatino Linotype" w:hAnsi="Palatino Linotype" w:cs="Palatino Linotype"/>
                <w:sz w:val="20"/>
                <w:szCs w:val="22"/>
              </w:rPr>
            </w:pPr>
            <w:r w:rsidRPr="00C83C48">
              <w:rPr>
                <w:rFonts w:ascii="Palatino Linotype" w:eastAsia="Palatino Linotype" w:hAnsi="Palatino Linotype" w:cs="Palatino Linotype"/>
                <w:sz w:val="20"/>
                <w:szCs w:val="22"/>
              </w:rPr>
              <w:t>Entregó el programa anual de obra del ejercicio fiscal 2024.</w:t>
            </w:r>
          </w:p>
        </w:tc>
        <w:tc>
          <w:tcPr>
            <w:tcW w:w="1472" w:type="dxa"/>
          </w:tcPr>
          <w:p w14:paraId="0D4A66F7" w14:textId="7DB95332" w:rsidR="00CF65B8" w:rsidRPr="00C83C48" w:rsidRDefault="00CF65B8" w:rsidP="00CA4651">
            <w:pPr>
              <w:spacing w:after="240" w:line="360" w:lineRule="auto"/>
              <w:jc w:val="center"/>
              <w:rPr>
                <w:rFonts w:ascii="Palatino Linotype" w:eastAsia="Palatino Linotype" w:hAnsi="Palatino Linotype" w:cs="Palatino Linotype"/>
                <w:b/>
                <w:sz w:val="20"/>
                <w:szCs w:val="22"/>
              </w:rPr>
            </w:pPr>
            <w:r w:rsidRPr="00C83C48">
              <w:rPr>
                <w:rFonts w:ascii="Palatino Linotype" w:eastAsia="Palatino Linotype" w:hAnsi="Palatino Linotype" w:cs="Palatino Linotype"/>
                <w:b/>
                <w:sz w:val="20"/>
                <w:szCs w:val="22"/>
              </w:rPr>
              <w:t>Si colma</w:t>
            </w:r>
          </w:p>
        </w:tc>
      </w:tr>
      <w:tr w:rsidR="00C83C48" w:rsidRPr="00C83C48" w14:paraId="1A24FC27" w14:textId="77777777" w:rsidTr="00CA4651">
        <w:trPr>
          <w:jc w:val="center"/>
        </w:trPr>
        <w:tc>
          <w:tcPr>
            <w:tcW w:w="4957" w:type="dxa"/>
          </w:tcPr>
          <w:p w14:paraId="5595E1F3" w14:textId="6FB113FF" w:rsidR="00CF65B8" w:rsidRPr="00C83C48" w:rsidRDefault="00CF65B8" w:rsidP="00CF65B8">
            <w:pPr>
              <w:spacing w:after="240" w:line="360" w:lineRule="auto"/>
              <w:jc w:val="both"/>
              <w:rPr>
                <w:rFonts w:ascii="Palatino Linotype" w:eastAsia="Palatino Linotype" w:hAnsi="Palatino Linotype" w:cs="Palatino Linotype"/>
                <w:b/>
                <w:sz w:val="20"/>
                <w:szCs w:val="22"/>
              </w:rPr>
            </w:pPr>
            <w:r w:rsidRPr="00C83C48">
              <w:rPr>
                <w:rFonts w:ascii="Palatino Linotype" w:eastAsia="Palatino Linotype" w:hAnsi="Palatino Linotype" w:cs="Palatino Linotype"/>
                <w:sz w:val="20"/>
                <w:szCs w:val="22"/>
              </w:rPr>
              <w:t>Listado de contratos en materia de obra pública, que hayan sido celebrados por ese ayuntamiento durante el ejercicio fiscal 2024, así como el nombre de las personas físicas o jurídicas colectivas, que se hayan contratado.</w:t>
            </w:r>
          </w:p>
        </w:tc>
        <w:tc>
          <w:tcPr>
            <w:tcW w:w="2409" w:type="dxa"/>
          </w:tcPr>
          <w:p w14:paraId="720A035D" w14:textId="42CB8209" w:rsidR="00CF65B8" w:rsidRPr="00C83C48" w:rsidRDefault="00CA4651">
            <w:pPr>
              <w:spacing w:after="240" w:line="360" w:lineRule="auto"/>
              <w:jc w:val="both"/>
              <w:rPr>
                <w:rFonts w:ascii="Palatino Linotype" w:eastAsia="Palatino Linotype" w:hAnsi="Palatino Linotype" w:cs="Palatino Linotype"/>
                <w:sz w:val="20"/>
                <w:szCs w:val="22"/>
              </w:rPr>
            </w:pPr>
            <w:r w:rsidRPr="00C83C48">
              <w:rPr>
                <w:rFonts w:ascii="Palatino Linotype" w:eastAsia="Palatino Linotype" w:hAnsi="Palatino Linotype" w:cs="Palatino Linotype"/>
                <w:sz w:val="20"/>
                <w:szCs w:val="22"/>
              </w:rPr>
              <w:t>Listado de contratos de obra pública del ejercicio fiscal 2024.</w:t>
            </w:r>
          </w:p>
        </w:tc>
        <w:tc>
          <w:tcPr>
            <w:tcW w:w="1472" w:type="dxa"/>
          </w:tcPr>
          <w:p w14:paraId="052FE9B2" w14:textId="2F82168C" w:rsidR="00CF65B8" w:rsidRPr="00C83C48" w:rsidRDefault="00CA4651" w:rsidP="00CA4651">
            <w:pPr>
              <w:spacing w:after="240" w:line="360" w:lineRule="auto"/>
              <w:jc w:val="center"/>
              <w:rPr>
                <w:rFonts w:ascii="Palatino Linotype" w:eastAsia="Palatino Linotype" w:hAnsi="Palatino Linotype" w:cs="Palatino Linotype"/>
                <w:b/>
                <w:sz w:val="20"/>
                <w:szCs w:val="22"/>
              </w:rPr>
            </w:pPr>
            <w:r w:rsidRPr="00C83C48">
              <w:rPr>
                <w:rFonts w:ascii="Palatino Linotype" w:eastAsia="Palatino Linotype" w:hAnsi="Palatino Linotype" w:cs="Palatino Linotype"/>
                <w:b/>
                <w:sz w:val="20"/>
                <w:szCs w:val="22"/>
              </w:rPr>
              <w:t>Si colma</w:t>
            </w:r>
          </w:p>
        </w:tc>
      </w:tr>
      <w:tr w:rsidR="00C83C48" w:rsidRPr="00C83C48" w14:paraId="58BA08CF" w14:textId="77777777" w:rsidTr="00CA4651">
        <w:trPr>
          <w:jc w:val="center"/>
        </w:trPr>
        <w:tc>
          <w:tcPr>
            <w:tcW w:w="4957" w:type="dxa"/>
          </w:tcPr>
          <w:p w14:paraId="17EA1746" w14:textId="16E03A7C" w:rsidR="00CF65B8" w:rsidRPr="00C83C48" w:rsidRDefault="00CF65B8" w:rsidP="00CF65B8">
            <w:pPr>
              <w:spacing w:after="240" w:line="360" w:lineRule="auto"/>
              <w:jc w:val="both"/>
              <w:rPr>
                <w:rFonts w:ascii="Palatino Linotype" w:eastAsia="Palatino Linotype" w:hAnsi="Palatino Linotype" w:cs="Palatino Linotype"/>
                <w:sz w:val="20"/>
                <w:szCs w:val="22"/>
              </w:rPr>
            </w:pPr>
            <w:r w:rsidRPr="00C83C48">
              <w:rPr>
                <w:rFonts w:ascii="Palatino Linotype" w:eastAsia="Palatino Linotype" w:hAnsi="Palatino Linotype" w:cs="Palatino Linotype"/>
                <w:sz w:val="20"/>
                <w:szCs w:val="22"/>
              </w:rPr>
              <w:t xml:space="preserve">Estado administrativo, legal, financiero y físico (si se encuentra concluida o no su ejecución) de las contratadas durante el ejercicio 2024. </w:t>
            </w:r>
            <w:r w:rsidR="00C13B84" w:rsidRPr="00C83C48">
              <w:rPr>
                <w:rFonts w:ascii="Palatino Linotype" w:eastAsia="Palatino Linotype" w:hAnsi="Palatino Linotype" w:cs="Palatino Linotype"/>
                <w:sz w:val="20"/>
                <w:szCs w:val="22"/>
              </w:rPr>
              <w:t xml:space="preserve"> </w:t>
            </w:r>
          </w:p>
        </w:tc>
        <w:tc>
          <w:tcPr>
            <w:tcW w:w="2409" w:type="dxa"/>
          </w:tcPr>
          <w:p w14:paraId="0A8B8743" w14:textId="10B305C4" w:rsidR="00CF65B8" w:rsidRPr="00C83C48" w:rsidRDefault="00CA4651">
            <w:pPr>
              <w:spacing w:after="240" w:line="360" w:lineRule="auto"/>
              <w:jc w:val="both"/>
              <w:rPr>
                <w:rFonts w:ascii="Palatino Linotype" w:eastAsia="Palatino Linotype" w:hAnsi="Palatino Linotype" w:cs="Palatino Linotype"/>
                <w:sz w:val="20"/>
                <w:szCs w:val="22"/>
              </w:rPr>
            </w:pPr>
            <w:r w:rsidRPr="00C83C48">
              <w:rPr>
                <w:rFonts w:ascii="Palatino Linotype" w:eastAsia="Palatino Linotype" w:hAnsi="Palatino Linotype" w:cs="Palatino Linotype"/>
                <w:sz w:val="20"/>
                <w:szCs w:val="22"/>
              </w:rPr>
              <w:t>No hay pronunciamiento.</w:t>
            </w:r>
          </w:p>
        </w:tc>
        <w:tc>
          <w:tcPr>
            <w:tcW w:w="1472" w:type="dxa"/>
          </w:tcPr>
          <w:p w14:paraId="25D0DCF9" w14:textId="105295C2" w:rsidR="00CF65B8" w:rsidRPr="00C83C48" w:rsidRDefault="00CA4651" w:rsidP="00CA4651">
            <w:pPr>
              <w:spacing w:after="240" w:line="360" w:lineRule="auto"/>
              <w:jc w:val="center"/>
              <w:rPr>
                <w:rFonts w:ascii="Palatino Linotype" w:eastAsia="Palatino Linotype" w:hAnsi="Palatino Linotype" w:cs="Palatino Linotype"/>
                <w:b/>
                <w:sz w:val="20"/>
                <w:szCs w:val="22"/>
              </w:rPr>
            </w:pPr>
            <w:r w:rsidRPr="00C83C48">
              <w:rPr>
                <w:rFonts w:ascii="Palatino Linotype" w:eastAsia="Palatino Linotype" w:hAnsi="Palatino Linotype" w:cs="Palatino Linotype"/>
                <w:b/>
                <w:sz w:val="20"/>
                <w:szCs w:val="22"/>
              </w:rPr>
              <w:t>No colma</w:t>
            </w:r>
          </w:p>
        </w:tc>
      </w:tr>
      <w:tr w:rsidR="00CF65B8" w:rsidRPr="00C83C48" w14:paraId="55A48845" w14:textId="77777777" w:rsidTr="00CA4651">
        <w:trPr>
          <w:jc w:val="center"/>
        </w:trPr>
        <w:tc>
          <w:tcPr>
            <w:tcW w:w="4957" w:type="dxa"/>
          </w:tcPr>
          <w:p w14:paraId="73F0CA8F" w14:textId="1C7C9A7B" w:rsidR="00CF65B8" w:rsidRPr="00C83C48" w:rsidRDefault="00CF65B8">
            <w:pPr>
              <w:spacing w:after="240" w:line="360" w:lineRule="auto"/>
              <w:jc w:val="both"/>
              <w:rPr>
                <w:rFonts w:ascii="Palatino Linotype" w:eastAsia="Palatino Linotype" w:hAnsi="Palatino Linotype" w:cs="Palatino Linotype"/>
                <w:b/>
                <w:sz w:val="20"/>
                <w:szCs w:val="22"/>
              </w:rPr>
            </w:pPr>
            <w:r w:rsidRPr="00C83C48">
              <w:rPr>
                <w:rFonts w:ascii="Palatino Linotype" w:eastAsia="Palatino Linotype" w:hAnsi="Palatino Linotype" w:cs="Palatino Linotype"/>
                <w:sz w:val="20"/>
                <w:szCs w:val="22"/>
              </w:rPr>
              <w:t>Lista de contratos en materia de obra pública celebrados durante el ejercicio 2025, así como el nombre de las personas físicas o jurídicas colectivas, que se hayan contratado.</w:t>
            </w:r>
          </w:p>
        </w:tc>
        <w:tc>
          <w:tcPr>
            <w:tcW w:w="2409" w:type="dxa"/>
          </w:tcPr>
          <w:p w14:paraId="7797B639" w14:textId="34FA93AF" w:rsidR="00CF65B8" w:rsidRPr="00C83C48" w:rsidRDefault="00CA4651">
            <w:pPr>
              <w:spacing w:after="240" w:line="360" w:lineRule="auto"/>
              <w:jc w:val="both"/>
              <w:rPr>
                <w:rFonts w:ascii="Palatino Linotype" w:eastAsia="Palatino Linotype" w:hAnsi="Palatino Linotype" w:cs="Palatino Linotype"/>
                <w:sz w:val="20"/>
                <w:szCs w:val="22"/>
              </w:rPr>
            </w:pPr>
            <w:r w:rsidRPr="00C83C48">
              <w:rPr>
                <w:rFonts w:ascii="Palatino Linotype" w:eastAsia="Palatino Linotype" w:hAnsi="Palatino Linotype" w:cs="Palatino Linotype"/>
                <w:sz w:val="20"/>
                <w:szCs w:val="22"/>
              </w:rPr>
              <w:t>En el ejercicio fiscal 2025 no se han realizado procedimientos de contratación de obras públicas, por lo que no se han generado contratos.</w:t>
            </w:r>
          </w:p>
        </w:tc>
        <w:tc>
          <w:tcPr>
            <w:tcW w:w="1472" w:type="dxa"/>
          </w:tcPr>
          <w:p w14:paraId="1236A6AA" w14:textId="635781DA" w:rsidR="00CF65B8" w:rsidRPr="00C83C48" w:rsidRDefault="00AC6ADE" w:rsidP="00CA4651">
            <w:pPr>
              <w:spacing w:after="240" w:line="360" w:lineRule="auto"/>
              <w:jc w:val="center"/>
              <w:rPr>
                <w:rFonts w:ascii="Palatino Linotype" w:eastAsia="Palatino Linotype" w:hAnsi="Palatino Linotype" w:cs="Palatino Linotype"/>
                <w:b/>
                <w:sz w:val="20"/>
                <w:szCs w:val="22"/>
              </w:rPr>
            </w:pPr>
            <w:r w:rsidRPr="00C83C48">
              <w:rPr>
                <w:rFonts w:ascii="Palatino Linotype" w:eastAsia="Palatino Linotype" w:hAnsi="Palatino Linotype" w:cs="Palatino Linotype"/>
                <w:b/>
                <w:sz w:val="20"/>
                <w:szCs w:val="22"/>
              </w:rPr>
              <w:t>No colma</w:t>
            </w:r>
          </w:p>
        </w:tc>
      </w:tr>
    </w:tbl>
    <w:p w14:paraId="46446E4C" w14:textId="77777777" w:rsidR="00CF65B8" w:rsidRPr="00C83C48" w:rsidRDefault="00CF65B8">
      <w:pPr>
        <w:spacing w:after="240" w:line="360" w:lineRule="auto"/>
        <w:jc w:val="both"/>
        <w:rPr>
          <w:rFonts w:ascii="Palatino Linotype" w:eastAsia="Palatino Linotype" w:hAnsi="Palatino Linotype" w:cs="Palatino Linotype"/>
          <w:b/>
          <w:sz w:val="22"/>
          <w:szCs w:val="22"/>
        </w:rPr>
      </w:pPr>
    </w:p>
    <w:p w14:paraId="0D4B0D51" w14:textId="2067A4AB" w:rsidR="00ED1C6A" w:rsidRPr="00C83C48" w:rsidRDefault="00CA4651">
      <w:pPr>
        <w:spacing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Para sustentar lo anterior, es necesario precisar lo anterior, respecto al programa de obras, el Sujeto Obligado entregó la siguiente información:</w:t>
      </w:r>
    </w:p>
    <w:p w14:paraId="134A8E08" w14:textId="30B9E830" w:rsidR="00ED1C6A" w:rsidRPr="00C83C48" w:rsidRDefault="00CA4651">
      <w:pPr>
        <w:spacing w:after="240" w:line="360" w:lineRule="auto"/>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noProof/>
          <w:sz w:val="22"/>
          <w:szCs w:val="22"/>
        </w:rPr>
        <w:drawing>
          <wp:inline distT="0" distB="0" distL="0" distR="0" wp14:anchorId="670D4A83" wp14:editId="40189CBD">
            <wp:extent cx="5756275" cy="31851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3185160"/>
                    </a:xfrm>
                    <a:prstGeom prst="rect">
                      <a:avLst/>
                    </a:prstGeom>
                  </pic:spPr>
                </pic:pic>
              </a:graphicData>
            </a:graphic>
          </wp:inline>
        </w:drawing>
      </w:r>
    </w:p>
    <w:p w14:paraId="0B41E40B" w14:textId="0A79EAEF" w:rsidR="00CA4651" w:rsidRPr="00C83C48" w:rsidRDefault="00CA4651">
      <w:pPr>
        <w:spacing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Tal y como se advierte, el listado contiene el número consecutivo, nombre de la obra, la localidad y el monto presupuestado, con lo que se colma lo requerido en el primer requerimiento. </w:t>
      </w:r>
    </w:p>
    <w:p w14:paraId="0C68F7C9" w14:textId="2CDD418A" w:rsidR="00CA4651" w:rsidRPr="00C83C48" w:rsidRDefault="00CA4651">
      <w:pPr>
        <w:spacing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Respecto al listado de contratos, el Sujeto Obligado entregó la siguiente información:</w:t>
      </w:r>
    </w:p>
    <w:p w14:paraId="3F2806B4" w14:textId="637990F9" w:rsidR="00CA4651" w:rsidRPr="00C83C48" w:rsidRDefault="00CA4651">
      <w:pPr>
        <w:spacing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noProof/>
          <w:sz w:val="22"/>
          <w:szCs w:val="22"/>
        </w:rPr>
        <w:drawing>
          <wp:inline distT="0" distB="0" distL="0" distR="0" wp14:anchorId="49BB8D41" wp14:editId="5D0C9319">
            <wp:extent cx="5756275" cy="62871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6287135"/>
                    </a:xfrm>
                    <a:prstGeom prst="rect">
                      <a:avLst/>
                    </a:prstGeom>
                  </pic:spPr>
                </pic:pic>
              </a:graphicData>
            </a:graphic>
          </wp:inline>
        </w:drawing>
      </w:r>
    </w:p>
    <w:p w14:paraId="2315BCFB" w14:textId="476CB035" w:rsidR="00ED1C6A" w:rsidRPr="00C83C48" w:rsidRDefault="00CA4651">
      <w:pPr>
        <w:spacing w:after="240" w:line="360" w:lineRule="auto"/>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La información entregada co</w:t>
      </w:r>
      <w:r w:rsidR="001F64EA" w:rsidRPr="00C83C48">
        <w:rPr>
          <w:rFonts w:ascii="Palatino Linotype" w:eastAsia="Palatino Linotype" w:hAnsi="Palatino Linotype" w:cs="Palatino Linotype"/>
          <w:b/>
          <w:sz w:val="22"/>
          <w:szCs w:val="22"/>
        </w:rPr>
        <w:t>ntiene el listado de contratos, el nombre de empresas y el nombre de la obra pública, con lo que se satisface el requerimiento del particular.</w:t>
      </w:r>
    </w:p>
    <w:p w14:paraId="1D75C7D4" w14:textId="5AAC396C" w:rsidR="004B4C42" w:rsidRPr="00C83C48" w:rsidRDefault="004B4C42" w:rsidP="004B4C42">
      <w:pPr>
        <w:spacing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Respecto al listado de contratos celebrados en el ejercicio fiscal de 2025, el Director General de Obras Públicas indicó que e</w:t>
      </w:r>
      <w:r w:rsidRPr="00C83C48">
        <w:rPr>
          <w:rFonts w:ascii="Palatino Linotype" w:eastAsia="Palatino Linotype" w:hAnsi="Palatino Linotype" w:cs="Palatino Linotype"/>
          <w:sz w:val="22"/>
          <w:szCs w:val="22"/>
        </w:rPr>
        <w:t>n el ejercicio fiscal 2025 no se han realizado procedimientos de contratación de obras públicas, por lo que no se han generado contratos.</w:t>
      </w:r>
    </w:p>
    <w:p w14:paraId="7173275E" w14:textId="32E520FE" w:rsidR="009230B9" w:rsidRPr="00C83C48" w:rsidRDefault="009230B9" w:rsidP="00E96213">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Este Organismo Garante localizó la nota informativa 218/2025 del Ayuntamiento de </w:t>
      </w:r>
      <w:proofErr w:type="gramStart"/>
      <w:r w:rsidRPr="00C83C48">
        <w:rPr>
          <w:rFonts w:ascii="Palatino Linotype" w:eastAsia="Palatino Linotype" w:hAnsi="Palatino Linotype" w:cs="Palatino Linotype"/>
          <w:sz w:val="22"/>
          <w:szCs w:val="22"/>
        </w:rPr>
        <w:t>Toluca  de</w:t>
      </w:r>
      <w:proofErr w:type="gramEnd"/>
      <w:r w:rsidRPr="00C83C48">
        <w:rPr>
          <w:rFonts w:ascii="Palatino Linotype" w:eastAsia="Palatino Linotype" w:hAnsi="Palatino Linotype" w:cs="Palatino Linotype"/>
          <w:sz w:val="22"/>
          <w:szCs w:val="22"/>
        </w:rPr>
        <w:t xml:space="preserve"> fecha veintiocho de febrero de dos mil veinticinco con el título “Toluca se pone guapa con pavimentación, bacheo y mantenimiento de calles</w:t>
      </w:r>
      <w:r w:rsidR="00E96213" w:rsidRPr="00C83C48">
        <w:rPr>
          <w:rFonts w:ascii="Palatino Linotype" w:eastAsia="Palatino Linotype" w:hAnsi="Palatino Linotype" w:cs="Palatino Linotype"/>
          <w:sz w:val="22"/>
          <w:szCs w:val="22"/>
        </w:rPr>
        <w:t>”, donde se menciona lo siguiente:</w:t>
      </w:r>
    </w:p>
    <w:p w14:paraId="69BA3B21" w14:textId="7C41DBC1" w:rsidR="009230B9" w:rsidRPr="00C83C48" w:rsidRDefault="00E96213" w:rsidP="009230B9">
      <w:pPr>
        <w:spacing w:line="360" w:lineRule="auto"/>
        <w:jc w:val="center"/>
        <w:rPr>
          <w:rFonts w:ascii="Palatino Linotype" w:eastAsia="Palatino Linotype" w:hAnsi="Palatino Linotype" w:cs="Palatino Linotype"/>
          <w:sz w:val="22"/>
          <w:szCs w:val="22"/>
        </w:rPr>
      </w:pPr>
      <w:r w:rsidRPr="00C83C48">
        <w:rPr>
          <w:rFonts w:ascii="Palatino Linotype" w:eastAsia="Palatino Linotype" w:hAnsi="Palatino Linotype" w:cs="Palatino Linotype"/>
          <w:noProof/>
          <w:sz w:val="22"/>
          <w:szCs w:val="22"/>
        </w:rPr>
        <w:drawing>
          <wp:inline distT="0" distB="0" distL="0" distR="0" wp14:anchorId="059865D1" wp14:editId="039AC533">
            <wp:extent cx="5412789" cy="53435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7602" cy="5377893"/>
                    </a:xfrm>
                    <a:prstGeom prst="rect">
                      <a:avLst/>
                    </a:prstGeom>
                  </pic:spPr>
                </pic:pic>
              </a:graphicData>
            </a:graphic>
          </wp:inline>
        </w:drawing>
      </w:r>
    </w:p>
    <w:p w14:paraId="3D7E98D8" w14:textId="13DA3D69" w:rsidR="00E96213" w:rsidRPr="00C83C48" w:rsidRDefault="00E96213" w:rsidP="00E96213">
      <w:pPr>
        <w:spacing w:line="360" w:lineRule="auto"/>
        <w:rPr>
          <w:rFonts w:ascii="Palatino Linotype" w:eastAsia="Palatino Linotype" w:hAnsi="Palatino Linotype" w:cs="Palatino Linotype"/>
          <w:sz w:val="22"/>
          <w:szCs w:val="22"/>
        </w:rPr>
      </w:pPr>
      <w:r w:rsidRPr="00C83C48">
        <w:rPr>
          <w:rFonts w:ascii="Palatino Linotype" w:eastAsia="Palatino Linotype" w:hAnsi="Palatino Linotype" w:cs="Palatino Linotype"/>
          <w:noProof/>
          <w:sz w:val="22"/>
          <w:szCs w:val="22"/>
        </w:rPr>
        <w:drawing>
          <wp:inline distT="0" distB="0" distL="0" distR="0" wp14:anchorId="3672A822" wp14:editId="56B906E3">
            <wp:extent cx="5756275" cy="64230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275" cy="6423025"/>
                    </a:xfrm>
                    <a:prstGeom prst="rect">
                      <a:avLst/>
                    </a:prstGeom>
                  </pic:spPr>
                </pic:pic>
              </a:graphicData>
            </a:graphic>
          </wp:inline>
        </w:drawing>
      </w:r>
    </w:p>
    <w:p w14:paraId="287B561A" w14:textId="77777777" w:rsidR="009230B9" w:rsidRPr="00C83C48" w:rsidRDefault="009230B9" w:rsidP="009230B9">
      <w:pPr>
        <w:spacing w:line="360" w:lineRule="auto"/>
        <w:jc w:val="both"/>
        <w:rPr>
          <w:rFonts w:ascii="Palatino Linotype" w:eastAsia="Palatino Linotype" w:hAnsi="Palatino Linotype" w:cs="Palatino Linotype"/>
          <w:sz w:val="22"/>
          <w:szCs w:val="22"/>
        </w:rPr>
      </w:pPr>
    </w:p>
    <w:p w14:paraId="4ACED364" w14:textId="02A191D0" w:rsidR="00E96213" w:rsidRPr="00C83C48" w:rsidRDefault="009230B9" w:rsidP="009230B9">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Tal y como se advierte, el Ayuntamiento de Toluca ha realizado </w:t>
      </w:r>
      <w:r w:rsidR="00E96213" w:rsidRPr="00C83C48">
        <w:rPr>
          <w:rFonts w:ascii="Palatino Linotype" w:eastAsia="Palatino Linotype" w:hAnsi="Palatino Linotype" w:cs="Palatino Linotype"/>
          <w:sz w:val="22"/>
          <w:szCs w:val="22"/>
        </w:rPr>
        <w:t>trabajos de bacheo, pavimentación y mantenimiento de calles, los cuales corresponden a obra pública, además, en diversa nota informativa 1266/2025 del quince de octubre el alcalde destacó lo siguiente:</w:t>
      </w:r>
    </w:p>
    <w:p w14:paraId="0B63829A" w14:textId="77777777" w:rsidR="00E96213" w:rsidRPr="00C83C48" w:rsidRDefault="00E96213" w:rsidP="009230B9">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p>
    <w:p w14:paraId="086E3003" w14:textId="77777777" w:rsidR="00E96213" w:rsidRPr="00C83C48" w:rsidRDefault="00E96213" w:rsidP="00E96213">
      <w:pPr>
        <w:pBdr>
          <w:top w:val="nil"/>
          <w:left w:val="nil"/>
          <w:bottom w:val="nil"/>
          <w:right w:val="nil"/>
          <w:between w:val="nil"/>
        </w:pBdr>
        <w:spacing w:line="360" w:lineRule="auto"/>
        <w:ind w:left="567" w:right="843"/>
        <w:jc w:val="both"/>
        <w:rPr>
          <w:rFonts w:ascii="Palatino Linotype" w:eastAsia="Palatino Linotype" w:hAnsi="Palatino Linotype" w:cs="Palatino Linotype"/>
          <w:b/>
          <w:i/>
          <w:sz w:val="22"/>
          <w:szCs w:val="22"/>
        </w:rPr>
      </w:pPr>
      <w:r w:rsidRPr="00C83C48">
        <w:rPr>
          <w:rFonts w:ascii="Palatino Linotype" w:eastAsia="Palatino Linotype" w:hAnsi="Palatino Linotype" w:cs="Palatino Linotype"/>
          <w:b/>
          <w:i/>
          <w:sz w:val="22"/>
          <w:szCs w:val="22"/>
        </w:rPr>
        <w:t>El alcalde destacó que los contratos que hacen posible este programa fueron licitados públicamente, con la participación de testigos sociales y sin adjudicaciones directas.</w:t>
      </w:r>
    </w:p>
    <w:p w14:paraId="06349BBD" w14:textId="77777777" w:rsidR="00E96213" w:rsidRPr="00C83C48" w:rsidRDefault="00E96213" w:rsidP="00E96213">
      <w:pPr>
        <w:pBdr>
          <w:top w:val="nil"/>
          <w:left w:val="nil"/>
          <w:bottom w:val="nil"/>
          <w:right w:val="nil"/>
          <w:between w:val="nil"/>
        </w:pBdr>
        <w:spacing w:line="360" w:lineRule="auto"/>
        <w:ind w:left="567" w:right="843"/>
        <w:jc w:val="both"/>
        <w:rPr>
          <w:rFonts w:ascii="Palatino Linotype" w:eastAsia="Palatino Linotype" w:hAnsi="Palatino Linotype" w:cs="Palatino Linotype"/>
          <w:i/>
          <w:sz w:val="22"/>
          <w:szCs w:val="22"/>
        </w:rPr>
      </w:pPr>
    </w:p>
    <w:p w14:paraId="0395FD9B" w14:textId="2B47616D" w:rsidR="00E96213" w:rsidRPr="00C83C48" w:rsidRDefault="00E96213" w:rsidP="00E96213">
      <w:pPr>
        <w:pBdr>
          <w:top w:val="nil"/>
          <w:left w:val="nil"/>
          <w:bottom w:val="nil"/>
          <w:right w:val="nil"/>
          <w:between w:val="nil"/>
        </w:pBdr>
        <w:spacing w:line="360" w:lineRule="auto"/>
        <w:ind w:left="567" w:right="843"/>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El arranque del programa se llevó a cabo de manera simultánea en las 48 delegaciones y para constatar el inicio de los trabajos, se realizaron enlaces en vivo vía zoom con cuadrillas que operan en puntos como en La Maquinita, </w:t>
      </w:r>
      <w:proofErr w:type="spellStart"/>
      <w:r w:rsidRPr="00C83C48">
        <w:rPr>
          <w:rFonts w:ascii="Palatino Linotype" w:eastAsia="Palatino Linotype" w:hAnsi="Palatino Linotype" w:cs="Palatino Linotype"/>
          <w:i/>
          <w:sz w:val="22"/>
          <w:szCs w:val="22"/>
        </w:rPr>
        <w:t>Calixtlahuaca</w:t>
      </w:r>
      <w:proofErr w:type="spellEnd"/>
      <w:r w:rsidRPr="00C83C48">
        <w:rPr>
          <w:rFonts w:ascii="Palatino Linotype" w:eastAsia="Palatino Linotype" w:hAnsi="Palatino Linotype" w:cs="Palatino Linotype"/>
          <w:i/>
          <w:sz w:val="22"/>
          <w:szCs w:val="22"/>
        </w:rPr>
        <w:t xml:space="preserve">, San Buenaventura, San Lorenzo </w:t>
      </w:r>
      <w:proofErr w:type="spellStart"/>
      <w:r w:rsidRPr="00C83C48">
        <w:rPr>
          <w:rFonts w:ascii="Palatino Linotype" w:eastAsia="Palatino Linotype" w:hAnsi="Palatino Linotype" w:cs="Palatino Linotype"/>
          <w:i/>
          <w:sz w:val="22"/>
          <w:szCs w:val="22"/>
        </w:rPr>
        <w:t>Tepaltitlán</w:t>
      </w:r>
      <w:proofErr w:type="spellEnd"/>
      <w:r w:rsidRPr="00C83C48">
        <w:rPr>
          <w:rFonts w:ascii="Palatino Linotype" w:eastAsia="Palatino Linotype" w:hAnsi="Palatino Linotype" w:cs="Palatino Linotype"/>
          <w:i/>
          <w:sz w:val="22"/>
          <w:szCs w:val="22"/>
        </w:rPr>
        <w:t xml:space="preserve">, San Mateo </w:t>
      </w:r>
      <w:proofErr w:type="spellStart"/>
      <w:r w:rsidRPr="00C83C48">
        <w:rPr>
          <w:rFonts w:ascii="Palatino Linotype" w:eastAsia="Palatino Linotype" w:hAnsi="Palatino Linotype" w:cs="Palatino Linotype"/>
          <w:i/>
          <w:sz w:val="22"/>
          <w:szCs w:val="22"/>
        </w:rPr>
        <w:t>Otzacatipan</w:t>
      </w:r>
      <w:proofErr w:type="spellEnd"/>
      <w:r w:rsidRPr="00C83C48">
        <w:rPr>
          <w:rFonts w:ascii="Palatino Linotype" w:eastAsia="Palatino Linotype" w:hAnsi="Palatino Linotype" w:cs="Palatino Linotype"/>
          <w:i/>
          <w:sz w:val="22"/>
          <w:szCs w:val="22"/>
        </w:rPr>
        <w:t xml:space="preserve">, Ciudad Universitaria, Morelos, </w:t>
      </w:r>
      <w:proofErr w:type="spellStart"/>
      <w:r w:rsidRPr="00C83C48">
        <w:rPr>
          <w:rFonts w:ascii="Palatino Linotype" w:eastAsia="Palatino Linotype" w:hAnsi="Palatino Linotype" w:cs="Palatino Linotype"/>
          <w:i/>
          <w:sz w:val="22"/>
          <w:szCs w:val="22"/>
        </w:rPr>
        <w:t>Capultitlán</w:t>
      </w:r>
      <w:proofErr w:type="spellEnd"/>
      <w:r w:rsidRPr="00C83C48">
        <w:rPr>
          <w:rFonts w:ascii="Palatino Linotype" w:eastAsia="Palatino Linotype" w:hAnsi="Palatino Linotype" w:cs="Palatino Linotype"/>
          <w:i/>
          <w:sz w:val="22"/>
          <w:szCs w:val="22"/>
        </w:rPr>
        <w:t xml:space="preserve">, Seminario, Santa Ana </w:t>
      </w:r>
      <w:proofErr w:type="spellStart"/>
      <w:r w:rsidRPr="00C83C48">
        <w:rPr>
          <w:rFonts w:ascii="Palatino Linotype" w:eastAsia="Palatino Linotype" w:hAnsi="Palatino Linotype" w:cs="Palatino Linotype"/>
          <w:i/>
          <w:sz w:val="22"/>
          <w:szCs w:val="22"/>
        </w:rPr>
        <w:t>Tlapaltitlán</w:t>
      </w:r>
      <w:proofErr w:type="spellEnd"/>
      <w:r w:rsidRPr="00C83C48">
        <w:rPr>
          <w:rFonts w:ascii="Palatino Linotype" w:eastAsia="Palatino Linotype" w:hAnsi="Palatino Linotype" w:cs="Palatino Linotype"/>
          <w:i/>
          <w:sz w:val="22"/>
          <w:szCs w:val="22"/>
        </w:rPr>
        <w:t xml:space="preserve"> y Del Parque.</w:t>
      </w:r>
    </w:p>
    <w:p w14:paraId="71412ABD" w14:textId="77777777" w:rsidR="00E96213" w:rsidRPr="00C83C48" w:rsidRDefault="00E96213" w:rsidP="009230B9">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p>
    <w:p w14:paraId="1EA2F99D" w14:textId="595B0186" w:rsidR="009230B9" w:rsidRPr="00C83C48" w:rsidRDefault="00E96213" w:rsidP="009230B9">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Tal y como se advierte, se precisa que el Ayuntamiento de Toluca ha celebrado contratos para realizar obras públicas relacionadas con bacheo, pavimentación y mantenimiento de calles, lo que se advierte </w:t>
      </w:r>
      <w:r w:rsidR="009230B9" w:rsidRPr="00C83C48">
        <w:rPr>
          <w:rFonts w:ascii="Palatino Linotype" w:hAnsi="Palatino Linotype"/>
          <w:sz w:val="22"/>
          <w:szCs w:val="22"/>
        </w:rPr>
        <w:t>que estamos en presencia lo un hecho notorio, el cual se sustenta conforme a las siguientes tesis jurisprudenciales:</w:t>
      </w:r>
    </w:p>
    <w:p w14:paraId="6D4ED187" w14:textId="77777777" w:rsidR="009230B9" w:rsidRPr="00C83C48" w:rsidRDefault="009230B9" w:rsidP="009230B9">
      <w:pPr>
        <w:pStyle w:val="NormalWeb"/>
        <w:spacing w:before="120" w:beforeAutospacing="0" w:after="120" w:afterAutospacing="0" w:line="360" w:lineRule="auto"/>
        <w:ind w:left="851" w:right="902"/>
        <w:jc w:val="both"/>
        <w:rPr>
          <w:rFonts w:ascii="Palatino Linotype" w:hAnsi="Palatino Linotype"/>
          <w:sz w:val="22"/>
          <w:szCs w:val="22"/>
        </w:rPr>
      </w:pPr>
      <w:r w:rsidRPr="00C83C48">
        <w:rPr>
          <w:rFonts w:ascii="Palatino Linotype" w:hAnsi="Palatino Linotype"/>
          <w:b/>
          <w:bCs/>
          <w:i/>
          <w:iCs/>
          <w:sz w:val="22"/>
          <w:szCs w:val="22"/>
        </w:rPr>
        <w:t xml:space="preserve">“HECHOS NOTORIOS. CONCEPTOS GENERAL Y JURÍDICO. Conforme al artículo 88 del Código Federal de Procedimientos Civiles los tribunales pueden invocar hechos </w:t>
      </w:r>
      <w:proofErr w:type="gramStart"/>
      <w:r w:rsidRPr="00C83C48">
        <w:rPr>
          <w:rFonts w:ascii="Palatino Linotype" w:hAnsi="Palatino Linotype"/>
          <w:b/>
          <w:bCs/>
          <w:i/>
          <w:iCs/>
          <w:sz w:val="22"/>
          <w:szCs w:val="22"/>
        </w:rPr>
        <w:t>notorios</w:t>
      </w:r>
      <w:proofErr w:type="gramEnd"/>
      <w:r w:rsidRPr="00C83C48">
        <w:rPr>
          <w:rFonts w:ascii="Palatino Linotype" w:hAnsi="Palatino Linotype"/>
          <w:b/>
          <w:bCs/>
          <w:i/>
          <w:iCs/>
          <w:sz w:val="22"/>
          <w:szCs w:val="22"/>
        </w:rPr>
        <w:t xml:space="preserve"> aunque no hayan sido alegados ni probados por las partes.</w:t>
      </w:r>
      <w:r w:rsidRPr="00C83C48">
        <w:rPr>
          <w:rFonts w:ascii="Palatino Linotype" w:hAnsi="Palatino Linotype"/>
          <w:i/>
          <w:iCs/>
          <w:sz w:val="22"/>
          <w:szCs w:val="22"/>
        </w:rPr>
        <w:t xml:space="preserve"> Por hechos notorios deben entenderse, en general, aquellos que por el conocimiento humano se consideran ciertos e indiscutibles, ya sea que pertenezcan a la historia, a la ciencia, a la naturaleza</w:t>
      </w:r>
      <w:r w:rsidRPr="00C83C48">
        <w:rPr>
          <w:rFonts w:ascii="Palatino Linotype" w:hAnsi="Palatino Linotype"/>
          <w:b/>
          <w:bCs/>
          <w:i/>
          <w:iCs/>
          <w:sz w:val="22"/>
          <w:szCs w:val="22"/>
        </w:rPr>
        <w:t>, a las vicisitudes de la vida pública actual o a circunstancias comúnmente conocidas en un determinado lugar</w:t>
      </w:r>
      <w:r w:rsidRPr="00C83C48">
        <w:rPr>
          <w:rFonts w:ascii="Palatino Linotype" w:hAnsi="Palatino Linotype"/>
          <w:i/>
          <w:iCs/>
          <w:sz w:val="22"/>
          <w:szCs w:val="22"/>
        </w:rPr>
        <w:t xml:space="preserve">, </w:t>
      </w:r>
      <w:r w:rsidRPr="00C83C48">
        <w:rPr>
          <w:rFonts w:ascii="Palatino Linotype" w:hAnsi="Palatino Linotype"/>
          <w:b/>
          <w:bCs/>
          <w:i/>
          <w:iCs/>
          <w:sz w:val="22"/>
          <w:szCs w:val="22"/>
        </w:rPr>
        <w:t>de modo que toda persona de ese medio esté en condiciones de saberlo</w:t>
      </w:r>
      <w:r w:rsidRPr="00C83C48">
        <w:rPr>
          <w:rFonts w:ascii="Palatino Linotype" w:hAnsi="Palatino Linotype"/>
          <w:i/>
          <w:iCs/>
          <w:sz w:val="22"/>
          <w:szCs w:val="22"/>
        </w:rPr>
        <w:t>;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03C90B8D" w14:textId="77777777" w:rsidR="009230B9" w:rsidRPr="00C83C48" w:rsidRDefault="009230B9" w:rsidP="009230B9">
      <w:pPr>
        <w:pStyle w:val="NormalWeb"/>
        <w:spacing w:before="120" w:beforeAutospacing="0" w:after="120" w:afterAutospacing="0" w:line="360" w:lineRule="auto"/>
        <w:ind w:left="851" w:right="902"/>
        <w:jc w:val="both"/>
        <w:rPr>
          <w:rFonts w:ascii="Palatino Linotype" w:hAnsi="Palatino Linotype"/>
          <w:sz w:val="22"/>
          <w:szCs w:val="22"/>
        </w:rPr>
      </w:pPr>
      <w:r w:rsidRPr="00C83C48">
        <w:rPr>
          <w:rFonts w:ascii="Palatino Linotype" w:hAnsi="Palatino Linotype"/>
          <w:i/>
          <w:iCs/>
          <w:sz w:val="22"/>
          <w:szCs w:val="22"/>
        </w:rPr>
        <w:t>“</w:t>
      </w:r>
      <w:r w:rsidRPr="00C83C48">
        <w:rPr>
          <w:rFonts w:ascii="Palatino Linotype" w:hAnsi="Palatino Linotype"/>
          <w:b/>
          <w:bCs/>
          <w:i/>
          <w:iCs/>
          <w:sz w:val="22"/>
          <w:szCs w:val="22"/>
        </w:rPr>
        <w:t>PÁGINAS WEB O ELECTRÓNICAS. SU CONTENIDO ES UN HECHO NOTORIO Y SUSCEPTIBLE DE SER VALORADO EN UNA DECISIÓN JUDICIAL.</w:t>
      </w:r>
      <w:r w:rsidRPr="00C83C48">
        <w:rPr>
          <w:rFonts w:ascii="Palatino Linotype" w:hAnsi="Palatino Linotype"/>
          <w:i/>
          <w:iCs/>
          <w:sz w:val="22"/>
          <w:szCs w:val="22"/>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w:t>
      </w:r>
    </w:p>
    <w:p w14:paraId="52CCDC17" w14:textId="77777777" w:rsidR="009230B9" w:rsidRPr="00C83C48" w:rsidRDefault="009230B9" w:rsidP="009230B9">
      <w:pPr>
        <w:pStyle w:val="NormalWeb"/>
        <w:spacing w:before="120" w:beforeAutospacing="0" w:after="120" w:afterAutospacing="0" w:line="360" w:lineRule="auto"/>
        <w:ind w:left="851" w:right="902"/>
        <w:jc w:val="both"/>
        <w:rPr>
          <w:rFonts w:ascii="Palatino Linotype" w:hAnsi="Palatino Linotype"/>
          <w:sz w:val="22"/>
          <w:szCs w:val="22"/>
        </w:rPr>
      </w:pPr>
      <w:r w:rsidRPr="00C83C48">
        <w:rPr>
          <w:rFonts w:ascii="Palatino Linotype" w:hAnsi="Palatino Linotype"/>
          <w:i/>
          <w:iCs/>
          <w:sz w:val="22"/>
          <w:szCs w:val="22"/>
        </w:rPr>
        <w:t>“</w:t>
      </w:r>
      <w:r w:rsidRPr="00C83C48">
        <w:rPr>
          <w:rFonts w:ascii="Palatino Linotype" w:hAnsi="Palatino Linotype"/>
          <w:b/>
          <w:bCs/>
          <w:i/>
          <w:iCs/>
          <w:sz w:val="22"/>
          <w:szCs w:val="22"/>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sidRPr="00C83C48">
        <w:rPr>
          <w:rFonts w:ascii="Palatino Linotype" w:hAnsi="Palatino Linotype"/>
          <w:i/>
          <w:iCs/>
          <w:sz w:val="22"/>
          <w:szCs w:val="22"/>
        </w:rPr>
        <w:t>. Los datos que aparecen en las páginas electrónicas oficiales que los órganos de gobierno utilizan para poner a disposición del público, entre otros servicios, la descripción de sus plazas, el directorio de sus empleados o el estado que guardan sus expedientes, constituyen un hecho notorio que puede invocarse por los tribunales, en términos del artículo 88 del Código Federal de Procedimientos Civiles, de aplicación supletoria a la Ley de Amparo; porque la información generada o comunicada por esa vía forma parte del sistema mundial de diseminación y obtención de datos denominada "internet", del cual puede obtenerse, por ejemplo, el nombre de un servidor público, el organigrama de una institución, así como el sentido de sus resoluciones; de ahí que sea válido que los órganos jurisdiccionales invoquen de oficio lo publicado en ese medio para resolver un asunto en particular.”</w:t>
      </w:r>
    </w:p>
    <w:p w14:paraId="18243D38" w14:textId="77777777" w:rsidR="009230B9" w:rsidRPr="00C83C48" w:rsidRDefault="009230B9" w:rsidP="009230B9">
      <w:pPr>
        <w:spacing w:line="360" w:lineRule="auto"/>
        <w:jc w:val="both"/>
        <w:rPr>
          <w:rFonts w:ascii="Palatino Linotype" w:eastAsia="Palatino Linotype" w:hAnsi="Palatino Linotype" w:cs="Palatino Linotype"/>
          <w:sz w:val="22"/>
          <w:szCs w:val="22"/>
        </w:rPr>
      </w:pPr>
    </w:p>
    <w:p w14:paraId="4982D8B8" w14:textId="2F3FBB91" w:rsidR="00E96213" w:rsidRPr="00C83C48" w:rsidRDefault="009230B9" w:rsidP="009230B9">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De lo anteriormente expuesto, se observa la existencia de la información que desea conocer la parte </w:t>
      </w:r>
      <w:r w:rsidRPr="00C83C48">
        <w:rPr>
          <w:rFonts w:ascii="Palatino Linotype" w:eastAsia="Palatino Linotype" w:hAnsi="Palatino Linotype" w:cs="Palatino Linotype"/>
          <w:b/>
          <w:sz w:val="22"/>
          <w:szCs w:val="22"/>
        </w:rPr>
        <w:t>Recurrente</w:t>
      </w:r>
      <w:r w:rsidRPr="00C83C48">
        <w:rPr>
          <w:rFonts w:ascii="Palatino Linotype" w:eastAsia="Palatino Linotype" w:hAnsi="Palatino Linotype" w:cs="Palatino Linotype"/>
          <w:sz w:val="22"/>
          <w:szCs w:val="22"/>
        </w:rPr>
        <w:t xml:space="preserve">, por lo que, resulta procedente ordenar </w:t>
      </w:r>
      <w:r w:rsidR="006370B0" w:rsidRPr="00C83C48">
        <w:rPr>
          <w:rFonts w:ascii="Palatino Linotype" w:eastAsia="Palatino Linotype" w:hAnsi="Palatino Linotype" w:cs="Palatino Linotype"/>
          <w:sz w:val="22"/>
          <w:szCs w:val="22"/>
        </w:rPr>
        <w:t>una nueva</w:t>
      </w:r>
      <w:r w:rsidRPr="00C83C48">
        <w:rPr>
          <w:rFonts w:ascii="Palatino Linotype" w:eastAsia="Palatino Linotype" w:hAnsi="Palatino Linotype" w:cs="Palatino Linotype"/>
          <w:sz w:val="22"/>
          <w:szCs w:val="22"/>
        </w:rPr>
        <w:t xml:space="preserve"> b</w:t>
      </w:r>
      <w:r w:rsidR="006370B0" w:rsidRPr="00C83C48">
        <w:rPr>
          <w:rFonts w:ascii="Palatino Linotype" w:eastAsia="Palatino Linotype" w:hAnsi="Palatino Linotype" w:cs="Palatino Linotype"/>
          <w:sz w:val="22"/>
          <w:szCs w:val="22"/>
        </w:rPr>
        <w:t xml:space="preserve">úsqueda exhaustiva y razonable para localizar y poner a disposición en </w:t>
      </w:r>
      <w:r w:rsidRPr="00C83C48">
        <w:rPr>
          <w:rFonts w:ascii="Palatino Linotype" w:eastAsia="Palatino Linotype" w:hAnsi="Palatino Linotype" w:cs="Palatino Linotype"/>
          <w:sz w:val="22"/>
          <w:szCs w:val="22"/>
        </w:rPr>
        <w:t xml:space="preserve">versión pública, </w:t>
      </w:r>
      <w:r w:rsidR="00E96213" w:rsidRPr="00C83C48">
        <w:rPr>
          <w:rFonts w:ascii="Palatino Linotype" w:eastAsia="Palatino Linotype" w:hAnsi="Palatino Linotype" w:cs="Palatino Linotype"/>
          <w:sz w:val="22"/>
          <w:szCs w:val="22"/>
        </w:rPr>
        <w:t xml:space="preserve">de los contratos </w:t>
      </w:r>
      <w:r w:rsidR="00AC6ADE" w:rsidRPr="00C83C48">
        <w:rPr>
          <w:rFonts w:ascii="Palatino Linotype" w:eastAsia="Palatino Linotype" w:hAnsi="Palatino Linotype" w:cs="Palatino Linotype"/>
          <w:sz w:val="22"/>
          <w:szCs w:val="22"/>
        </w:rPr>
        <w:t>en materia de obra pública celebrados del uno de enero al once de junio de dos mil veinticinco.</w:t>
      </w:r>
    </w:p>
    <w:p w14:paraId="45754119" w14:textId="2DD0B408" w:rsidR="004876E1" w:rsidRPr="00C83C48" w:rsidRDefault="00AD0FB6" w:rsidP="004B4C42">
      <w:pPr>
        <w:spacing w:line="360" w:lineRule="auto"/>
        <w:jc w:val="both"/>
        <w:rPr>
          <w:rFonts w:ascii="Palatino Linotype" w:hAnsi="Palatino Linotype"/>
          <w:sz w:val="22"/>
          <w:szCs w:val="22"/>
        </w:rPr>
      </w:pPr>
      <w:r w:rsidRPr="00C83C48">
        <w:rPr>
          <w:rFonts w:ascii="Palatino Linotype" w:hAnsi="Palatino Linotype"/>
          <w:sz w:val="22"/>
          <w:szCs w:val="22"/>
        </w:rPr>
        <w:t xml:space="preserve">Ahora bien, por lo que corresponde al estado administrativo físico, legal, financiero y físico, referente a que si las obras se encuentran concluidas o en ejecución las obras públicas del ejercicio fiscal dos mil veinticuatro, el Sujeto Obligado </w:t>
      </w:r>
      <w:r w:rsidR="000D7D67" w:rsidRPr="00C83C48">
        <w:rPr>
          <w:rFonts w:ascii="Palatino Linotype" w:hAnsi="Palatino Linotype"/>
          <w:sz w:val="22"/>
          <w:szCs w:val="22"/>
        </w:rPr>
        <w:t xml:space="preserve">no emitió pronunciamiento; sin embargo, es de recordar </w:t>
      </w:r>
      <w:r w:rsidR="00E306C0" w:rsidRPr="00C83C48">
        <w:rPr>
          <w:rFonts w:ascii="Palatino Linotype" w:hAnsi="Palatino Linotype"/>
          <w:sz w:val="22"/>
          <w:szCs w:val="22"/>
        </w:rPr>
        <w:t>que la Ley de Transparencia y Acceso a la Información Pública del Estado de México, establece como una obligación de transparencia común, de los procedimientos de adquisición de bienes y servicios, los informes de avance físico y financiero, convenios de terminación, finiquitos, documentos que de manera enunciativa más no limitativa pueden colmar la pretensión del Recurrente respecto a las obras referidas en respuesta.</w:t>
      </w:r>
    </w:p>
    <w:p w14:paraId="3A976CC6" w14:textId="77777777" w:rsidR="00E306C0" w:rsidRPr="00C83C48" w:rsidRDefault="00E306C0" w:rsidP="004B4C42">
      <w:pPr>
        <w:spacing w:line="360" w:lineRule="auto"/>
        <w:jc w:val="both"/>
        <w:rPr>
          <w:rFonts w:ascii="Palatino Linotype" w:hAnsi="Palatino Linotype"/>
          <w:sz w:val="22"/>
          <w:szCs w:val="22"/>
        </w:rPr>
      </w:pPr>
    </w:p>
    <w:p w14:paraId="5E34C7E9" w14:textId="2CF21A77" w:rsidR="00E306C0" w:rsidRPr="00C83C48" w:rsidRDefault="00E306C0" w:rsidP="004B4C42">
      <w:pPr>
        <w:spacing w:line="360" w:lineRule="auto"/>
        <w:jc w:val="both"/>
        <w:rPr>
          <w:rFonts w:ascii="Palatino Linotype" w:hAnsi="Palatino Linotype"/>
          <w:sz w:val="22"/>
          <w:szCs w:val="22"/>
        </w:rPr>
      </w:pPr>
      <w:r w:rsidRPr="00C83C48">
        <w:rPr>
          <w:rFonts w:ascii="Palatino Linotype" w:hAnsi="Palatino Linotype"/>
          <w:sz w:val="22"/>
          <w:szCs w:val="22"/>
        </w:rPr>
        <w:t>En consecuencia, se ORDENA al Sujeto Obligado entreg</w:t>
      </w:r>
      <w:r w:rsidR="003C5329" w:rsidRPr="00C83C48">
        <w:rPr>
          <w:rFonts w:ascii="Palatino Linotype" w:hAnsi="Palatino Linotype"/>
          <w:sz w:val="22"/>
          <w:szCs w:val="22"/>
        </w:rPr>
        <w:t>ar los documentos donde conste el estatus de las obras públicas referidas en respuesta al once de junio de dos mil veinticinco.</w:t>
      </w:r>
    </w:p>
    <w:p w14:paraId="5EEE226B" w14:textId="77777777" w:rsidR="003C5329" w:rsidRPr="00C83C48" w:rsidRDefault="003C5329" w:rsidP="004B4C42">
      <w:pPr>
        <w:spacing w:line="360" w:lineRule="auto"/>
        <w:jc w:val="both"/>
        <w:rPr>
          <w:rFonts w:ascii="Palatino Linotype" w:hAnsi="Palatino Linotype"/>
          <w:sz w:val="22"/>
          <w:szCs w:val="22"/>
        </w:rPr>
      </w:pPr>
    </w:p>
    <w:p w14:paraId="55A79E4A" w14:textId="40860362" w:rsidR="002D4381" w:rsidRPr="00C83C48" w:rsidRDefault="004876E1" w:rsidP="0092733C">
      <w:pPr>
        <w:spacing w:line="360" w:lineRule="auto"/>
        <w:jc w:val="both"/>
        <w:rPr>
          <w:rFonts w:ascii="Palatino Linotype" w:hAnsi="Palatino Linotype"/>
          <w:sz w:val="22"/>
          <w:szCs w:val="22"/>
        </w:rPr>
      </w:pPr>
      <w:r w:rsidRPr="00C83C48">
        <w:rPr>
          <w:rFonts w:ascii="Palatino Linotype" w:hAnsi="Palatino Linotype"/>
          <w:sz w:val="22"/>
          <w:szCs w:val="22"/>
        </w:rPr>
        <w:t>De ser el caso de que contengan datos personales susceptibles de clasificarse como confidenciales, el Sujeto Obligado estará a lo dispuesto en el Considerando Quinto de la presente resolución.</w:t>
      </w:r>
    </w:p>
    <w:p w14:paraId="289AA6D0" w14:textId="77777777" w:rsidR="00BE2BA1" w:rsidRPr="00C83C48" w:rsidRDefault="00BE2BA1" w:rsidP="0092733C">
      <w:pPr>
        <w:spacing w:line="360" w:lineRule="auto"/>
        <w:jc w:val="both"/>
        <w:rPr>
          <w:rFonts w:ascii="Palatino Linotype" w:hAnsi="Palatino Linotype"/>
          <w:sz w:val="22"/>
          <w:szCs w:val="22"/>
        </w:rPr>
      </w:pPr>
    </w:p>
    <w:p w14:paraId="4FFE3521" w14:textId="18527AF4" w:rsidR="00BE2BA1" w:rsidRPr="00C83C48" w:rsidRDefault="00BE2BA1" w:rsidP="0092733C">
      <w:pPr>
        <w:spacing w:line="360" w:lineRule="auto"/>
        <w:jc w:val="both"/>
        <w:rPr>
          <w:rFonts w:ascii="Palatino Linotype" w:hAnsi="Palatino Linotype"/>
          <w:sz w:val="22"/>
          <w:szCs w:val="22"/>
        </w:rPr>
      </w:pPr>
      <w:r w:rsidRPr="00C83C48">
        <w:rPr>
          <w:rFonts w:ascii="Palatino Linotype" w:hAnsi="Palatino Linotype"/>
          <w:sz w:val="22"/>
          <w:szCs w:val="22"/>
        </w:rPr>
        <w:t xml:space="preserve">Por último y no menos importante, es necesario mencionar </w:t>
      </w:r>
      <w:proofErr w:type="gramStart"/>
      <w:r w:rsidRPr="00C83C48">
        <w:rPr>
          <w:rFonts w:ascii="Palatino Linotype" w:hAnsi="Palatino Linotype"/>
          <w:sz w:val="22"/>
          <w:szCs w:val="22"/>
        </w:rPr>
        <w:t>que</w:t>
      </w:r>
      <w:proofErr w:type="gramEnd"/>
      <w:r w:rsidRPr="00C83C48">
        <w:rPr>
          <w:rFonts w:ascii="Palatino Linotype" w:hAnsi="Palatino Linotype"/>
          <w:sz w:val="22"/>
          <w:szCs w:val="22"/>
        </w:rPr>
        <w:t xml:space="preserve"> si bien el Sujeto Obligado entregó el acta de la Quincuagésima Cuarta Sesión Extraordinaria de cabildo del año dos mil veinticuatro</w:t>
      </w:r>
      <w:r w:rsidR="008F719B" w:rsidRPr="00C83C48">
        <w:rPr>
          <w:rFonts w:ascii="Palatino Linotype" w:hAnsi="Palatino Linotype"/>
          <w:sz w:val="22"/>
          <w:szCs w:val="22"/>
        </w:rPr>
        <w:t xml:space="preserve"> </w:t>
      </w:r>
      <w:r w:rsidR="00E12FFC" w:rsidRPr="00C83C48">
        <w:rPr>
          <w:rFonts w:ascii="Palatino Linotype" w:hAnsi="Palatino Linotype"/>
          <w:sz w:val="22"/>
          <w:szCs w:val="22"/>
        </w:rPr>
        <w:t xml:space="preserve">en versión pública, clasificando el nombre de particulares, a los cuales se aprobó el arrendamiento de inmuebles propiedad del Ayuntamiento, </w:t>
      </w:r>
      <w:r w:rsidR="002518F3" w:rsidRPr="00C83C48">
        <w:rPr>
          <w:rFonts w:ascii="Palatino Linotype" w:hAnsi="Palatino Linotype"/>
          <w:sz w:val="22"/>
          <w:szCs w:val="22"/>
        </w:rPr>
        <w:t xml:space="preserve">así como la autorización de licencias de funcionamiento. </w:t>
      </w:r>
      <w:r w:rsidR="001348C7" w:rsidRPr="00C83C48">
        <w:rPr>
          <w:rFonts w:ascii="Palatino Linotype" w:hAnsi="Palatino Linotype"/>
          <w:sz w:val="22"/>
          <w:szCs w:val="22"/>
        </w:rPr>
        <w:t xml:space="preserve"> </w:t>
      </w:r>
    </w:p>
    <w:p w14:paraId="42F5548E" w14:textId="77777777" w:rsidR="001348C7" w:rsidRPr="00C83C48" w:rsidRDefault="001348C7" w:rsidP="0092733C">
      <w:pPr>
        <w:spacing w:line="360" w:lineRule="auto"/>
        <w:jc w:val="both"/>
        <w:rPr>
          <w:rFonts w:ascii="Palatino Linotype" w:hAnsi="Palatino Linotype"/>
          <w:sz w:val="22"/>
          <w:szCs w:val="22"/>
        </w:rPr>
      </w:pPr>
    </w:p>
    <w:p w14:paraId="626B0177" w14:textId="5E6E8B93" w:rsidR="007227CA" w:rsidRPr="00C83C48" w:rsidRDefault="007227CA" w:rsidP="007227CA">
      <w:pPr>
        <w:spacing w:line="360" w:lineRule="auto"/>
        <w:jc w:val="both"/>
        <w:rPr>
          <w:rFonts w:ascii="Palatino Linotype" w:hAnsi="Palatino Linotype"/>
          <w:sz w:val="22"/>
          <w:szCs w:val="22"/>
        </w:rPr>
      </w:pPr>
      <w:r w:rsidRPr="00C83C48">
        <w:rPr>
          <w:rFonts w:ascii="Palatino Linotype" w:hAnsi="Palatino Linotype"/>
          <w:sz w:val="22"/>
          <w:szCs w:val="22"/>
        </w:rPr>
        <w:t>Al respecto, es de mencionar que el nombre es</w:t>
      </w:r>
      <w:r w:rsidRPr="00C83C48">
        <w:rPr>
          <w:rFonts w:ascii="Palatino Linotype" w:eastAsia="Palatino Linotype" w:hAnsi="Palatino Linotype" w:cs="Palatino Linotype"/>
          <w:sz w:val="22"/>
          <w:szCs w:val="22"/>
        </w:rPr>
        <w:t xml:space="preserve"> la personalidad y atributo de las personas, en términos del artículo 2.3 del Código Civil del Estado de México, de tal suerte, el nombre </w:t>
      </w:r>
      <w:r w:rsidRPr="00C83C48">
        <w:rPr>
          <w:rFonts w:ascii="Palatino Linotype" w:eastAsia="Palatino Linotype" w:hAnsi="Palatino Linotype" w:cs="Palatino Linotype"/>
          <w:i/>
          <w:sz w:val="22"/>
          <w:szCs w:val="22"/>
        </w:rPr>
        <w:t>per se</w:t>
      </w:r>
      <w:r w:rsidRPr="00C83C48">
        <w:rPr>
          <w:rFonts w:ascii="Palatino Linotype" w:eastAsia="Palatino Linotype" w:hAnsi="Palatino Linotype" w:cs="Palatino Linotype"/>
          <w:sz w:val="22"/>
          <w:szCs w:val="22"/>
        </w:rPr>
        <w:t xml:space="preserve"> es un elemento que hace a una persona física identificada o identificable, por lo que, </w:t>
      </w:r>
      <w:r w:rsidRPr="00C83C48">
        <w:rPr>
          <w:rFonts w:ascii="Palatino Linotype" w:eastAsia="Palatino Linotype" w:hAnsi="Palatino Linotype" w:cs="Palatino Linotype"/>
          <w:b/>
          <w:sz w:val="22"/>
          <w:szCs w:val="22"/>
        </w:rPr>
        <w:t>se considera un dato personal.</w:t>
      </w:r>
    </w:p>
    <w:p w14:paraId="3E240D6B" w14:textId="77777777" w:rsidR="007227CA" w:rsidRPr="00C83C48" w:rsidRDefault="007227CA" w:rsidP="007227CA">
      <w:pPr>
        <w:spacing w:line="360" w:lineRule="auto"/>
        <w:ind w:right="-93"/>
        <w:jc w:val="both"/>
        <w:rPr>
          <w:rFonts w:ascii="Palatino Linotype" w:eastAsia="Palatino Linotype" w:hAnsi="Palatino Linotype" w:cs="Palatino Linotype"/>
          <w:b/>
          <w:sz w:val="22"/>
          <w:szCs w:val="22"/>
        </w:rPr>
      </w:pPr>
    </w:p>
    <w:p w14:paraId="08239DE3" w14:textId="77777777" w:rsidR="007227CA" w:rsidRPr="00C83C48" w:rsidRDefault="007227CA" w:rsidP="007227CA">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Sobre el tema, se tiene presente que este Instituto emitió el Criterio Relevante 01/18, de la Segunda Época de este Instituto, que establece que el nombre del titular de una licencia (persona física), como en el caso que nos ocupa, es información confidencial, cuando no involucra aprovechamiento de recursos públicos.</w:t>
      </w:r>
    </w:p>
    <w:p w14:paraId="596CC30A" w14:textId="77777777" w:rsidR="007227CA" w:rsidRPr="00C83C48" w:rsidRDefault="007227CA" w:rsidP="007227CA">
      <w:pPr>
        <w:spacing w:line="360" w:lineRule="auto"/>
        <w:jc w:val="both"/>
        <w:rPr>
          <w:rFonts w:ascii="Palatino Linotype" w:eastAsia="Palatino Linotype" w:hAnsi="Palatino Linotype" w:cs="Palatino Linotype"/>
          <w:sz w:val="22"/>
          <w:szCs w:val="22"/>
        </w:rPr>
      </w:pPr>
    </w:p>
    <w:p w14:paraId="3C832B9A" w14:textId="77777777" w:rsidR="007227CA" w:rsidRPr="00C83C48" w:rsidRDefault="007227CA" w:rsidP="007227CA">
      <w:pPr>
        <w:ind w:left="851" w:right="567"/>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“Nombre del titular de una licencia que no involucre el aprovechamiento de bienes, servicios y/o recursos públicos, constituye un dato personal susceptible de clasificar como confidencial.</w:t>
      </w:r>
      <w:r w:rsidRPr="00C83C48">
        <w:rPr>
          <w:rFonts w:ascii="Palatino Linotype" w:eastAsia="Palatino Linotype" w:hAnsi="Palatino Linotype" w:cs="Palatino Linotype"/>
          <w:i/>
          <w:sz w:val="22"/>
          <w:szCs w:val="22"/>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0F2C8C0A"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p>
    <w:p w14:paraId="3B050DFC"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4BF658C8"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p>
    <w:p w14:paraId="44B8E180"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No obstante, se considera que el nombre localizado en una licencia de funcionamiento, guarda cierto interés público, dado que cualquier actividad comercial, industrial o económica, es regulada por el Municipio dentro de su circunscripción territorial, pues ayuda a transparentar la gestión pública.</w:t>
      </w:r>
    </w:p>
    <w:p w14:paraId="03AFB41C"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p>
    <w:p w14:paraId="069D4A07"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Al respecto, cabe puntualizar que las licencias, tal como se estableció en párrafos anteriores, se refiere a los documentos que contienen la autorización por parte del Ayuntamiento, a través de la Dirección de Desarrollo Económico, para que un particular o persona jurídica colectiva pueda realizar una actividad económica, comercial o industrial, regulada por las Leyes respectivas.</w:t>
      </w:r>
    </w:p>
    <w:p w14:paraId="51ED761F"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p>
    <w:p w14:paraId="7EECFFA9"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En ese sentido, de acuerdo con el artículo 92, fracción XXXII de la Ley en cita, el legislador contempló como información de interés público y que debe estar disponible para consulta, aquellas licencias otorgadas, especificando </w:t>
      </w:r>
      <w:r w:rsidRPr="00C83C48">
        <w:rPr>
          <w:rFonts w:ascii="Palatino Linotype" w:eastAsia="Palatino Linotype" w:hAnsi="Palatino Linotype" w:cs="Palatino Linotype"/>
          <w:b/>
          <w:sz w:val="22"/>
          <w:szCs w:val="22"/>
        </w:rPr>
        <w:t>el nombre de su titular</w:t>
      </w:r>
      <w:r w:rsidRPr="00C83C48">
        <w:rPr>
          <w:rFonts w:ascii="Palatino Linotype" w:eastAsia="Palatino Linotype" w:hAnsi="Palatino Linotype" w:cs="Palatino Linotype"/>
          <w:sz w:val="22"/>
          <w:szCs w:val="22"/>
        </w:rPr>
        <w:t xml:space="preserve"> y las características principales. Lo anterior, en concordancia a lo establecido en la Ley General de Transparencia y Acceso a la Información Pública. </w:t>
      </w:r>
    </w:p>
    <w:p w14:paraId="6518ECDB"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p>
    <w:p w14:paraId="08436E25" w14:textId="77777777" w:rsidR="007227CA" w:rsidRPr="00C83C48" w:rsidRDefault="007227CA" w:rsidP="007227CA">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Ello, con la finalidad de asegurar su mayor difusión, que permita a los ciudadanos evaluar de manera permanente los indicadores más importantes de la gestión pública, como lo son, la autorización de licencias de funcionamiento, pues es facultad exclusiva de los Municipios, ver las cuestiones relacionadas con el tema en cuestión. Además, se incluyó el deber para los sujetos obligados de proporcionar, en la medida de lo posible, esta información con valor agregado, a efecto de facilitar su uso, comprensión y permitir evaluar su calidad, confiabilidad, oportunidad y veracidad.</w:t>
      </w:r>
    </w:p>
    <w:p w14:paraId="4C0A0E32" w14:textId="77777777" w:rsidR="002C52D1" w:rsidRPr="00C83C48" w:rsidRDefault="002C52D1" w:rsidP="007227CA">
      <w:pPr>
        <w:spacing w:line="360" w:lineRule="auto"/>
        <w:ind w:right="-93"/>
        <w:jc w:val="both"/>
        <w:rPr>
          <w:rFonts w:ascii="Palatino Linotype" w:eastAsia="Palatino Linotype" w:hAnsi="Palatino Linotype" w:cs="Palatino Linotype"/>
          <w:sz w:val="22"/>
          <w:szCs w:val="22"/>
        </w:rPr>
      </w:pPr>
    </w:p>
    <w:p w14:paraId="085FF22D" w14:textId="77777777" w:rsidR="002C52D1" w:rsidRPr="00C83C48" w:rsidRDefault="002C52D1" w:rsidP="002C52D1">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La misma suerte corre para los contratos de arrendamiento, pues al establecer una relación contractual con un ente público para la utilización de un bien público, se considera que es información de interés colectivo, por lo que la versión pública es excesiva, al clasificar como información confidencial el nombre de los particulares.</w:t>
      </w:r>
    </w:p>
    <w:p w14:paraId="38CF6B9B" w14:textId="77777777" w:rsidR="002C52D1" w:rsidRPr="00C83C48" w:rsidRDefault="002C52D1" w:rsidP="007227CA">
      <w:pPr>
        <w:spacing w:line="360" w:lineRule="auto"/>
        <w:ind w:right="-93"/>
        <w:jc w:val="both"/>
        <w:rPr>
          <w:rFonts w:ascii="Palatino Linotype" w:eastAsia="Palatino Linotype" w:hAnsi="Palatino Linotype" w:cs="Palatino Linotype"/>
          <w:sz w:val="22"/>
          <w:szCs w:val="22"/>
        </w:rPr>
      </w:pPr>
    </w:p>
    <w:p w14:paraId="63DA6C28" w14:textId="236399DE" w:rsidR="002C52D1" w:rsidRPr="00C83C48" w:rsidRDefault="002C52D1" w:rsidP="007227CA">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En consecuencia, se ORDENA entregar de nueva cuenta el acta de cabildo antes referida en una correcta versión pública, en términos del Considerando Quinto de la presente resolución</w:t>
      </w:r>
      <w:r w:rsidR="00D420E8" w:rsidRPr="00C83C48">
        <w:rPr>
          <w:rFonts w:ascii="Palatino Linotype" w:eastAsia="Palatino Linotype" w:hAnsi="Palatino Linotype" w:cs="Palatino Linotype"/>
          <w:sz w:val="22"/>
          <w:szCs w:val="22"/>
        </w:rPr>
        <w:t>.</w:t>
      </w:r>
    </w:p>
    <w:p w14:paraId="5A34E845" w14:textId="77777777" w:rsidR="007227CA" w:rsidRPr="00C83C48" w:rsidRDefault="007227CA" w:rsidP="0092733C">
      <w:pPr>
        <w:spacing w:line="360" w:lineRule="auto"/>
        <w:jc w:val="both"/>
        <w:rPr>
          <w:rFonts w:ascii="Palatino Linotype" w:hAnsi="Palatino Linotype"/>
          <w:sz w:val="22"/>
          <w:szCs w:val="22"/>
        </w:rPr>
      </w:pPr>
    </w:p>
    <w:p w14:paraId="2246F67C"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Quinto. Versión Pública. </w:t>
      </w:r>
      <w:r w:rsidRPr="00C83C48">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176AC7A5"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7679BB30"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 </w:t>
      </w:r>
    </w:p>
    <w:p w14:paraId="370F0DC2"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578FA5EA" w14:textId="77777777" w:rsidR="00C877F6" w:rsidRPr="00C83C48" w:rsidRDefault="00F36565">
      <w:pPr>
        <w:spacing w:line="360" w:lineRule="auto"/>
        <w:ind w:right="50"/>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Lo anterior, de conformidad con lo que señalan los artículos 3 fracciones IX, XX, XXI y XLV, 91, 132 fracciones II y III, y 143 de la Ley de Transparencia y Acceso a la Información Pública del Estado de México y Municipios que establecen: </w:t>
      </w:r>
    </w:p>
    <w:p w14:paraId="3CDCE510" w14:textId="77777777" w:rsidR="00C877F6" w:rsidRPr="00C83C48" w:rsidRDefault="00C877F6">
      <w:pPr>
        <w:spacing w:line="360" w:lineRule="auto"/>
        <w:ind w:right="50"/>
        <w:jc w:val="both"/>
        <w:rPr>
          <w:rFonts w:ascii="Palatino Linotype" w:eastAsia="Palatino Linotype" w:hAnsi="Palatino Linotype" w:cs="Palatino Linotype"/>
          <w:sz w:val="22"/>
          <w:szCs w:val="22"/>
        </w:rPr>
      </w:pPr>
    </w:p>
    <w:p w14:paraId="014C759A"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b/>
          <w:i/>
          <w:sz w:val="22"/>
          <w:szCs w:val="22"/>
        </w:rPr>
        <w:t>Artículo 3.</w:t>
      </w:r>
      <w:r w:rsidRPr="00C83C48">
        <w:rPr>
          <w:rFonts w:ascii="Palatino Linotype" w:eastAsia="Palatino Linotype" w:hAnsi="Palatino Linotype" w:cs="Palatino Linotype"/>
          <w:i/>
          <w:sz w:val="22"/>
          <w:szCs w:val="22"/>
        </w:rPr>
        <w:t xml:space="preserve"> Para los efectos de la presente Ley se entenderá por:</w:t>
      </w:r>
    </w:p>
    <w:p w14:paraId="6D483FCD"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p>
    <w:p w14:paraId="07C497C9"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IX. Datos personales: La información concerniente a una persona, identificada o identificable según lo dispuesto por la Ley de Protección de Datos Personales del Estado de México; </w:t>
      </w:r>
    </w:p>
    <w:p w14:paraId="1BFF9FDC"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XX. Información clasificada: Aquella considerada por la presente Ley como reservada o confidencial;</w:t>
      </w:r>
    </w:p>
    <w:p w14:paraId="38A48A59"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B5C407E"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XLV. Versión pública: Documento en el que se elimine, suprime o borra la información clasificada como reservada o confidencial para permitir su acceso.</w:t>
      </w:r>
    </w:p>
    <w:p w14:paraId="3D22D22D"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p>
    <w:p w14:paraId="7BE5EF39"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Artículo 91.</w:t>
      </w:r>
      <w:r w:rsidRPr="00C83C48">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p>
    <w:p w14:paraId="3F17469B"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Artículo 132.</w:t>
      </w:r>
      <w:r w:rsidRPr="00C83C48">
        <w:rPr>
          <w:rFonts w:ascii="Palatino Linotype" w:eastAsia="Palatino Linotype" w:hAnsi="Palatino Linotype" w:cs="Palatino Linotype"/>
          <w:i/>
          <w:sz w:val="22"/>
          <w:szCs w:val="22"/>
        </w:rPr>
        <w:t xml:space="preserve"> La clasificación de la información se llevará a cabo en el momento en que:</w:t>
      </w:r>
    </w:p>
    <w:p w14:paraId="7AFC8D89" w14:textId="77777777" w:rsidR="00C877F6" w:rsidRPr="00C83C48" w:rsidRDefault="00F36565">
      <w:pPr>
        <w:tabs>
          <w:tab w:val="left" w:pos="1134"/>
        </w:tabs>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 Se reciba una solicitud de acceso a la información;</w:t>
      </w:r>
    </w:p>
    <w:p w14:paraId="45CEA9D2" w14:textId="77777777" w:rsidR="00C877F6" w:rsidRPr="00C83C48" w:rsidRDefault="00F36565">
      <w:pPr>
        <w:tabs>
          <w:tab w:val="left" w:pos="1134"/>
        </w:tabs>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 Se determine mediante resolución de autoridad competente; o</w:t>
      </w:r>
    </w:p>
    <w:p w14:paraId="2455AA3E" w14:textId="77777777" w:rsidR="00C877F6" w:rsidRPr="00C83C48" w:rsidRDefault="00F36565">
      <w:pPr>
        <w:tabs>
          <w:tab w:val="left" w:pos="1134"/>
        </w:tabs>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III. Se generen versiones públicas para dar cumplimiento a las obligaciones de transparencia previstas en esta Ley.</w:t>
      </w:r>
    </w:p>
    <w:p w14:paraId="0570D4E8"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p>
    <w:p w14:paraId="54A48D97"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Artículo 143</w:t>
      </w:r>
      <w:r w:rsidRPr="00C83C48">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47D8B45E"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 Se refiera a la información privada y los datos personales concernientes a una persona física o jurídico colectiva identificada o identificable;</w:t>
      </w:r>
    </w:p>
    <w:p w14:paraId="5F8C642C"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27EBC6A6"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III. La que presenten los particulares a los sujetos obligados, de conformidad con lo dispuesto por las leyes o los tratados internacionales.</w:t>
      </w:r>
    </w:p>
    <w:p w14:paraId="1B309FE7"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33733357"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658562F3" w14:textId="77777777" w:rsidR="00C877F6" w:rsidRPr="00C83C48" w:rsidRDefault="00C877F6">
      <w:pPr>
        <w:ind w:left="567" w:right="616"/>
        <w:jc w:val="both"/>
        <w:rPr>
          <w:rFonts w:ascii="Palatino Linotype" w:eastAsia="Palatino Linotype" w:hAnsi="Palatino Linotype" w:cs="Palatino Linotype"/>
          <w:i/>
          <w:sz w:val="22"/>
          <w:szCs w:val="22"/>
        </w:rPr>
      </w:pPr>
    </w:p>
    <w:p w14:paraId="4931F605" w14:textId="12F467C1"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r w:rsidR="0083209D" w:rsidRPr="00C83C48">
        <w:rPr>
          <w:rFonts w:ascii="Palatino Linotype" w:eastAsia="Palatino Linotype" w:hAnsi="Palatino Linotype" w:cs="Palatino Linotype"/>
          <w:sz w:val="22"/>
          <w:szCs w:val="22"/>
        </w:rPr>
        <w:t xml:space="preserve"> </w:t>
      </w:r>
    </w:p>
    <w:p w14:paraId="04BE5618" w14:textId="77777777" w:rsidR="009A3CFC" w:rsidRPr="00C83C48" w:rsidRDefault="009A3CFC">
      <w:pPr>
        <w:spacing w:line="360" w:lineRule="auto"/>
        <w:jc w:val="both"/>
        <w:rPr>
          <w:rFonts w:ascii="Palatino Linotype" w:eastAsia="Palatino Linotype" w:hAnsi="Palatino Linotype" w:cs="Palatino Linotype"/>
          <w:sz w:val="22"/>
          <w:szCs w:val="22"/>
        </w:rPr>
      </w:pPr>
    </w:p>
    <w:p w14:paraId="57180B8D"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507FF2DE"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579515E6"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 “</w:t>
      </w:r>
      <w:r w:rsidRPr="00C83C48">
        <w:rPr>
          <w:rFonts w:ascii="Palatino Linotype" w:eastAsia="Palatino Linotype" w:hAnsi="Palatino Linotype" w:cs="Palatino Linotype"/>
          <w:b/>
          <w:i/>
          <w:sz w:val="22"/>
          <w:szCs w:val="22"/>
        </w:rPr>
        <w:t>Quincuagésimo</w:t>
      </w:r>
      <w:r w:rsidRPr="00C83C48">
        <w:rPr>
          <w:rFonts w:ascii="Palatino Linotype" w:eastAsia="Palatino Linotype" w:hAnsi="Palatino Linotype" w:cs="Palatino Linotype"/>
          <w:i/>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D75FDF0"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Quincuagésimo primero.</w:t>
      </w:r>
      <w:r w:rsidRPr="00C83C48">
        <w:rPr>
          <w:rFonts w:ascii="Palatino Linotype" w:eastAsia="Palatino Linotype" w:hAnsi="Palatino Linotype" w:cs="Palatino Linotype"/>
          <w:i/>
          <w:sz w:val="22"/>
          <w:szCs w:val="22"/>
        </w:rPr>
        <w:t xml:space="preserve"> Toda acta del Comité de Transparencia deberá contener: </w:t>
      </w:r>
    </w:p>
    <w:p w14:paraId="029B8A73"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 El número de sesión y fecha; </w:t>
      </w:r>
    </w:p>
    <w:p w14:paraId="241B2257"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II. El nombre del área que solicitó la clasificación de información; </w:t>
      </w:r>
    </w:p>
    <w:p w14:paraId="40011ECD"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III. La fundamentación legal y motivación correspondiente; </w:t>
      </w:r>
    </w:p>
    <w:p w14:paraId="06077BFD"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IV. La resolución o resoluciones aprobadas; y </w:t>
      </w:r>
    </w:p>
    <w:p w14:paraId="682C4065"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V. La rúbrica o firma digital de cada integrante del Comité de Transparencia. </w:t>
      </w:r>
    </w:p>
    <w:p w14:paraId="04AF5855"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55DC6F19"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 Los motivos y razonamientos que sustenten la confirmación o modificación de la prueba de daño;</w:t>
      </w:r>
    </w:p>
    <w:p w14:paraId="049EF118"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II. Descripción de las partes o secciones reservadas, en caso de clasificación parcial; </w:t>
      </w:r>
    </w:p>
    <w:p w14:paraId="6093E57B"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III. El periodo por el que mantendrá su clasificación y fecha de expiración; y </w:t>
      </w:r>
    </w:p>
    <w:p w14:paraId="24D78FA1"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IV. El nombre del titular y área encargada de realizar la versión pública del documento, en su caso. </w:t>
      </w:r>
    </w:p>
    <w:p w14:paraId="7CADD532"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33D8EAD5"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3B5B709"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Quincuagésimo segundo.</w:t>
      </w:r>
      <w:r w:rsidRPr="00C83C48">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C83C48">
        <w:rPr>
          <w:rFonts w:ascii="Palatino Linotype" w:eastAsia="Palatino Linotype" w:hAnsi="Palatino Linotype" w:cs="Palatino Linotype"/>
          <w:i/>
          <w:sz w:val="22"/>
          <w:szCs w:val="22"/>
        </w:rPr>
        <w:t>sobreposición</w:t>
      </w:r>
      <w:proofErr w:type="spellEnd"/>
      <w:r w:rsidRPr="00C83C48">
        <w:rPr>
          <w:rFonts w:ascii="Palatino Linotype" w:eastAsia="Palatino Linotype" w:hAnsi="Palatino Linotype" w:cs="Palatino Linotype"/>
          <w:i/>
          <w:sz w:val="22"/>
          <w:szCs w:val="22"/>
        </w:rPr>
        <w:t xml:space="preserve"> de contenido distinto al autorizado por el Comité.</w:t>
      </w:r>
    </w:p>
    <w:p w14:paraId="0D3B9CF4"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4300F776"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172233E6"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162DC3B7"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III. Señalar las personas o instancias autorizadas a acceder a la información clasificada.</w:t>
      </w:r>
    </w:p>
    <w:p w14:paraId="74BA100E"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2106DB5B"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1F19E5B0"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De igual forma, deberá observar los Lineamientos Quincuagésimo cuarto, Quincuagésimo quinto, Quincuagésimo séptimo y Quincuagésimo octavo, vigentes a la fecha de la solicitud de información establecen lo siguiente: </w:t>
      </w:r>
    </w:p>
    <w:p w14:paraId="3F8D4A2F" w14:textId="77777777" w:rsidR="00C877F6" w:rsidRPr="00C83C48" w:rsidRDefault="00C877F6">
      <w:pPr>
        <w:spacing w:line="360" w:lineRule="auto"/>
        <w:jc w:val="both"/>
        <w:rPr>
          <w:rFonts w:ascii="Palatino Linotype" w:eastAsia="Palatino Linotype" w:hAnsi="Palatino Linotype" w:cs="Palatino Linotype"/>
          <w:sz w:val="22"/>
          <w:szCs w:val="22"/>
        </w:rPr>
      </w:pPr>
    </w:p>
    <w:p w14:paraId="2A63BE39" w14:textId="77777777" w:rsidR="00C877F6" w:rsidRPr="00C83C48"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r w:rsidRPr="00C83C48">
        <w:rPr>
          <w:rFonts w:ascii="Palatino Linotype" w:eastAsia="Palatino Linotype" w:hAnsi="Palatino Linotype" w:cs="Palatino Linotype"/>
          <w:b/>
          <w:i/>
          <w:sz w:val="22"/>
          <w:szCs w:val="22"/>
        </w:rPr>
        <w:t>Quincuagésimo cuarto.</w:t>
      </w:r>
      <w:r w:rsidRPr="00C83C48">
        <w:rPr>
          <w:rFonts w:ascii="Palatino Linotype" w:eastAsia="Palatino Linotype" w:hAnsi="Palatino Linotype" w:cs="Palatino Linotype"/>
          <w:i/>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4F855FAE"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Quincuagésimo quinto.</w:t>
      </w:r>
      <w:r w:rsidRPr="00C83C48">
        <w:rPr>
          <w:rFonts w:ascii="Palatino Linotype" w:eastAsia="Palatino Linotype" w:hAnsi="Palatino Linotype" w:cs="Palatino Linotype"/>
          <w:i/>
          <w:sz w:val="22"/>
          <w:szCs w:val="22"/>
        </w:rPr>
        <w:t xml:space="preserve"> Cada área del sujeto obligado podrá designar formalmente a una o más personas como responsables del </w:t>
      </w:r>
      <w:proofErr w:type="spellStart"/>
      <w:r w:rsidRPr="00C83C48">
        <w:rPr>
          <w:rFonts w:ascii="Palatino Linotype" w:eastAsia="Palatino Linotype" w:hAnsi="Palatino Linotype" w:cs="Palatino Linotype"/>
          <w:i/>
          <w:sz w:val="22"/>
          <w:szCs w:val="22"/>
        </w:rPr>
        <w:t>testado</w:t>
      </w:r>
      <w:proofErr w:type="spellEnd"/>
      <w:r w:rsidRPr="00C83C48">
        <w:rPr>
          <w:rFonts w:ascii="Palatino Linotype" w:eastAsia="Palatino Linotype" w:hAnsi="Palatino Linotype" w:cs="Palatino Linotype"/>
          <w:i/>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AB48148"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w:t>
      </w:r>
    </w:p>
    <w:p w14:paraId="09D096A7"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b/>
          <w:i/>
          <w:sz w:val="22"/>
          <w:szCs w:val="22"/>
        </w:rPr>
        <w:t>Quincuagésimo séptimo.</w:t>
      </w:r>
      <w:r w:rsidRPr="00C83C48">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23042EF"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3084A27E"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II. El nombre de los integrantes de los sujetos obligados en los documentos, y sus firmas autógrafas o digitales, cuando sean utilizados en el ejercicio de las facultades conferidas para el desempeño del servicio público, y</w:t>
      </w:r>
    </w:p>
    <w:p w14:paraId="6B5A832E"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A675986"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9E22D0A" w14:textId="77777777" w:rsidR="00C877F6" w:rsidRPr="00C83C48" w:rsidRDefault="00F36565">
      <w:pPr>
        <w:ind w:left="567" w:right="616"/>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34E6BDC9" w14:textId="77777777" w:rsidR="00C877F6" w:rsidRPr="00C83C48" w:rsidRDefault="00C877F6">
      <w:pPr>
        <w:spacing w:line="360" w:lineRule="auto"/>
        <w:ind w:left="567" w:right="616"/>
        <w:jc w:val="both"/>
        <w:rPr>
          <w:rFonts w:ascii="Palatino Linotype" w:eastAsia="Palatino Linotype" w:hAnsi="Palatino Linotype" w:cs="Palatino Linotype"/>
          <w:i/>
          <w:sz w:val="22"/>
          <w:szCs w:val="22"/>
        </w:rPr>
      </w:pPr>
    </w:p>
    <w:p w14:paraId="130BAA1B" w14:textId="77777777" w:rsidR="00C877F6" w:rsidRPr="00C83C48" w:rsidRDefault="00F36565">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126872BB" w14:textId="77777777" w:rsidR="003E62A8" w:rsidRPr="00C83C48" w:rsidRDefault="003E62A8">
      <w:pPr>
        <w:spacing w:line="360" w:lineRule="auto"/>
        <w:jc w:val="both"/>
        <w:rPr>
          <w:rFonts w:ascii="Palatino Linotype" w:eastAsia="Palatino Linotype" w:hAnsi="Palatino Linotype" w:cs="Palatino Linotype"/>
          <w:sz w:val="22"/>
          <w:szCs w:val="22"/>
        </w:rPr>
      </w:pPr>
    </w:p>
    <w:p w14:paraId="091B9B14" w14:textId="77777777" w:rsidR="003E62A8" w:rsidRPr="00C83C48" w:rsidRDefault="003E62A8" w:rsidP="003E62A8">
      <w:pPr>
        <w:spacing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4189785E" w14:textId="77777777" w:rsidR="00C877F6" w:rsidRPr="00C83C48" w:rsidRDefault="00F36565">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III de la Ley de Transparencia y Acceso a la Información Pública del Estado de México y Municipios, este Pleno:</w:t>
      </w:r>
    </w:p>
    <w:p w14:paraId="51DB8E95" w14:textId="77777777" w:rsidR="00C877F6" w:rsidRPr="00C83C48" w:rsidRDefault="00F36565">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R E S U E L V E:</w:t>
      </w:r>
    </w:p>
    <w:p w14:paraId="6EF9BB33" w14:textId="57CB12D4" w:rsidR="00C877F6" w:rsidRPr="00C83C48" w:rsidRDefault="00F36565">
      <w:pPr>
        <w:spacing w:before="240" w:after="240" w:line="360" w:lineRule="auto"/>
        <w:jc w:val="both"/>
        <w:rPr>
          <w:rFonts w:ascii="Palatino Linotype" w:eastAsia="Palatino Linotype" w:hAnsi="Palatino Linotype" w:cs="Palatino Linotype"/>
          <w:b/>
          <w:sz w:val="22"/>
          <w:szCs w:val="22"/>
        </w:rPr>
      </w:pPr>
      <w:r w:rsidRPr="00C83C48">
        <w:rPr>
          <w:rFonts w:ascii="Palatino Linotype" w:eastAsia="Palatino Linotype" w:hAnsi="Palatino Linotype" w:cs="Palatino Linotype"/>
          <w:b/>
          <w:sz w:val="22"/>
          <w:szCs w:val="22"/>
        </w:rPr>
        <w:t xml:space="preserve">Primero. </w:t>
      </w:r>
      <w:r w:rsidRPr="00C83C48">
        <w:rPr>
          <w:rFonts w:ascii="Palatino Linotype" w:eastAsia="Palatino Linotype" w:hAnsi="Palatino Linotype" w:cs="Palatino Linotype"/>
          <w:sz w:val="22"/>
          <w:szCs w:val="22"/>
        </w:rPr>
        <w:t>Resultan</w:t>
      </w:r>
      <w:r w:rsidRPr="00C83C48">
        <w:rPr>
          <w:rFonts w:ascii="Palatino Linotype" w:eastAsia="Palatino Linotype" w:hAnsi="Palatino Linotype" w:cs="Palatino Linotype"/>
          <w:b/>
          <w:sz w:val="22"/>
          <w:szCs w:val="22"/>
        </w:rPr>
        <w:t xml:space="preserve"> </w:t>
      </w:r>
      <w:r w:rsidR="006370B0" w:rsidRPr="00C83C48">
        <w:rPr>
          <w:rFonts w:ascii="Palatino Linotype" w:eastAsia="Palatino Linotype" w:hAnsi="Palatino Linotype" w:cs="Palatino Linotype"/>
          <w:b/>
          <w:sz w:val="22"/>
          <w:szCs w:val="22"/>
        </w:rPr>
        <w:t xml:space="preserve">parcialmente </w:t>
      </w:r>
      <w:r w:rsidRPr="00C83C48">
        <w:rPr>
          <w:rFonts w:ascii="Palatino Linotype" w:eastAsia="Palatino Linotype" w:hAnsi="Palatino Linotype" w:cs="Palatino Linotype"/>
          <w:b/>
          <w:sz w:val="22"/>
          <w:szCs w:val="22"/>
        </w:rPr>
        <w:t xml:space="preserve">fundados </w:t>
      </w:r>
      <w:r w:rsidRPr="00C83C48">
        <w:rPr>
          <w:rFonts w:ascii="Palatino Linotype" w:eastAsia="Palatino Linotype" w:hAnsi="Palatino Linotype" w:cs="Palatino Linotype"/>
          <w:sz w:val="22"/>
          <w:szCs w:val="22"/>
        </w:rPr>
        <w:t xml:space="preserve">los motivos de inconformidad hechos valer por </w:t>
      </w:r>
      <w:r w:rsidRPr="00C83C48">
        <w:rPr>
          <w:rFonts w:ascii="Palatino Linotype" w:eastAsia="Palatino Linotype" w:hAnsi="Palatino Linotype" w:cs="Palatino Linotype"/>
          <w:b/>
          <w:sz w:val="22"/>
          <w:szCs w:val="22"/>
        </w:rPr>
        <w:t>la parte Recurrente</w:t>
      </w:r>
      <w:r w:rsidRPr="00C83C48">
        <w:rPr>
          <w:rFonts w:ascii="Palatino Linotype" w:eastAsia="Palatino Linotype" w:hAnsi="Palatino Linotype" w:cs="Palatino Linotype"/>
          <w:sz w:val="22"/>
          <w:szCs w:val="22"/>
        </w:rPr>
        <w:t xml:space="preserve"> en el Recurso de Revisión</w:t>
      </w:r>
      <w:r w:rsidRPr="00C83C48">
        <w:rPr>
          <w:rFonts w:ascii="Palatino Linotype" w:eastAsia="Palatino Linotype" w:hAnsi="Palatino Linotype" w:cs="Palatino Linotype"/>
          <w:b/>
          <w:sz w:val="22"/>
          <w:szCs w:val="22"/>
        </w:rPr>
        <w:t xml:space="preserve"> </w:t>
      </w:r>
      <w:r w:rsidR="001F05E3" w:rsidRPr="00C83C48">
        <w:rPr>
          <w:rFonts w:ascii="Palatino Linotype" w:eastAsia="Palatino Linotype" w:hAnsi="Palatino Linotype" w:cs="Palatino Linotype"/>
          <w:b/>
          <w:sz w:val="22"/>
          <w:szCs w:val="22"/>
        </w:rPr>
        <w:t>09214/INFOEM/IP/RR/2025</w:t>
      </w:r>
      <w:r w:rsidRPr="00C83C48">
        <w:rPr>
          <w:rFonts w:ascii="Palatino Linotype" w:eastAsia="Palatino Linotype" w:hAnsi="Palatino Linotype" w:cs="Palatino Linotype"/>
          <w:b/>
          <w:sz w:val="22"/>
          <w:szCs w:val="22"/>
        </w:rPr>
        <w:t xml:space="preserve">, </w:t>
      </w:r>
      <w:r w:rsidRPr="00C83C48">
        <w:rPr>
          <w:rFonts w:ascii="Palatino Linotype" w:eastAsia="Palatino Linotype" w:hAnsi="Palatino Linotype" w:cs="Palatino Linotype"/>
          <w:sz w:val="22"/>
          <w:szCs w:val="22"/>
        </w:rPr>
        <w:t>por lo que</w:t>
      </w:r>
      <w:r w:rsidRPr="00C83C48">
        <w:rPr>
          <w:rFonts w:ascii="Palatino Linotype" w:eastAsia="Palatino Linotype" w:hAnsi="Palatino Linotype" w:cs="Palatino Linotype"/>
          <w:b/>
          <w:sz w:val="22"/>
          <w:szCs w:val="22"/>
        </w:rPr>
        <w:t xml:space="preserve">, en términos del Considerando Cuarto </w:t>
      </w:r>
      <w:r w:rsidRPr="00C83C48">
        <w:rPr>
          <w:rFonts w:ascii="Palatino Linotype" w:eastAsia="Palatino Linotype" w:hAnsi="Palatino Linotype" w:cs="Palatino Linotype"/>
          <w:sz w:val="22"/>
          <w:szCs w:val="22"/>
        </w:rPr>
        <w:t>de la presente resolución</w:t>
      </w:r>
      <w:r w:rsidRPr="00C83C48">
        <w:rPr>
          <w:rFonts w:ascii="Palatino Linotype" w:eastAsia="Palatino Linotype" w:hAnsi="Palatino Linotype" w:cs="Palatino Linotype"/>
          <w:b/>
          <w:sz w:val="22"/>
          <w:szCs w:val="22"/>
        </w:rPr>
        <w:t xml:space="preserve">, se </w:t>
      </w:r>
      <w:r w:rsidR="002C3E8F" w:rsidRPr="00C83C48">
        <w:rPr>
          <w:rFonts w:ascii="Palatino Linotype" w:eastAsia="Palatino Linotype" w:hAnsi="Palatino Linotype" w:cs="Palatino Linotype"/>
          <w:b/>
          <w:sz w:val="22"/>
          <w:szCs w:val="22"/>
        </w:rPr>
        <w:t>MODIFICA</w:t>
      </w:r>
      <w:r w:rsidRPr="00C83C48">
        <w:rPr>
          <w:rFonts w:ascii="Palatino Linotype" w:eastAsia="Palatino Linotype" w:hAnsi="Palatino Linotype" w:cs="Palatino Linotype"/>
          <w:b/>
          <w:sz w:val="22"/>
          <w:szCs w:val="22"/>
        </w:rPr>
        <w:t xml:space="preserve"> l</w:t>
      </w:r>
      <w:r w:rsidRPr="00C83C48">
        <w:rPr>
          <w:rFonts w:ascii="Palatino Linotype" w:eastAsia="Palatino Linotype" w:hAnsi="Palatino Linotype" w:cs="Palatino Linotype"/>
          <w:sz w:val="22"/>
          <w:szCs w:val="22"/>
        </w:rPr>
        <w:t>a respuesta del</w:t>
      </w:r>
      <w:r w:rsidRPr="00C83C48">
        <w:rPr>
          <w:rFonts w:ascii="Palatino Linotype" w:eastAsia="Palatino Linotype" w:hAnsi="Palatino Linotype" w:cs="Palatino Linotype"/>
          <w:b/>
          <w:sz w:val="22"/>
          <w:szCs w:val="22"/>
        </w:rPr>
        <w:t xml:space="preserve"> Sujeto Obligado.</w:t>
      </w:r>
    </w:p>
    <w:p w14:paraId="7D8F81E5" w14:textId="3874F680" w:rsidR="00C877F6" w:rsidRPr="00C83C48" w:rsidRDefault="00F36565">
      <w:pPr>
        <w:spacing w:before="240" w:after="240" w:line="360" w:lineRule="auto"/>
        <w:jc w:val="both"/>
        <w:rPr>
          <w:rFonts w:ascii="Palatino Linotype" w:eastAsia="Palatino Linotype" w:hAnsi="Palatino Linotype" w:cs="Palatino Linotype"/>
          <w:b/>
          <w:sz w:val="22"/>
          <w:szCs w:val="22"/>
        </w:rPr>
      </w:pPr>
      <w:bookmarkStart w:id="2" w:name="_heading=h.j3ppyxwlb1s2" w:colFirst="0" w:colLast="0"/>
      <w:bookmarkEnd w:id="2"/>
      <w:r w:rsidRPr="00C83C48">
        <w:rPr>
          <w:rFonts w:ascii="Palatino Linotype" w:eastAsia="Palatino Linotype" w:hAnsi="Palatino Linotype" w:cs="Palatino Linotype"/>
          <w:b/>
          <w:sz w:val="22"/>
          <w:szCs w:val="22"/>
        </w:rPr>
        <w:t xml:space="preserve">Segundo. Se Ordena al Sujeto Obligado </w:t>
      </w:r>
      <w:proofErr w:type="gramStart"/>
      <w:r w:rsidRPr="00C83C48">
        <w:rPr>
          <w:rFonts w:ascii="Palatino Linotype" w:eastAsia="Palatino Linotype" w:hAnsi="Palatino Linotype" w:cs="Palatino Linotype"/>
          <w:sz w:val="22"/>
          <w:szCs w:val="22"/>
        </w:rPr>
        <w:t>que</w:t>
      </w:r>
      <w:proofErr w:type="gramEnd"/>
      <w:r w:rsidRPr="00C83C48">
        <w:rPr>
          <w:rFonts w:ascii="Palatino Linotype" w:eastAsia="Palatino Linotype" w:hAnsi="Palatino Linotype" w:cs="Palatino Linotype"/>
          <w:sz w:val="22"/>
          <w:szCs w:val="22"/>
        </w:rPr>
        <w:t xml:space="preserve"> en términos de los</w:t>
      </w:r>
      <w:r w:rsidRPr="00C83C48">
        <w:rPr>
          <w:rFonts w:ascii="Palatino Linotype" w:eastAsia="Palatino Linotype" w:hAnsi="Palatino Linotype" w:cs="Palatino Linotype"/>
          <w:b/>
          <w:sz w:val="22"/>
          <w:szCs w:val="22"/>
        </w:rPr>
        <w:t xml:space="preserve"> Considerandos Cuarto y Quinto </w:t>
      </w:r>
      <w:r w:rsidRPr="00C83C48">
        <w:rPr>
          <w:rFonts w:ascii="Palatino Linotype" w:eastAsia="Palatino Linotype" w:hAnsi="Palatino Linotype" w:cs="Palatino Linotype"/>
          <w:sz w:val="22"/>
          <w:szCs w:val="22"/>
        </w:rPr>
        <w:t xml:space="preserve">de esta resolución, haga entrega a </w:t>
      </w:r>
      <w:r w:rsidRPr="00C83C48">
        <w:rPr>
          <w:rFonts w:ascii="Palatino Linotype" w:eastAsia="Palatino Linotype" w:hAnsi="Palatino Linotype" w:cs="Palatino Linotype"/>
          <w:b/>
          <w:sz w:val="22"/>
          <w:szCs w:val="22"/>
        </w:rPr>
        <w:t xml:space="preserve">la parte Recurrente a través del SAIMEX, </w:t>
      </w:r>
      <w:r w:rsidR="002C3E8F" w:rsidRPr="00C83C48">
        <w:rPr>
          <w:rFonts w:ascii="Palatino Linotype" w:eastAsia="Palatino Linotype" w:hAnsi="Palatino Linotype" w:cs="Palatino Linotype"/>
          <w:b/>
          <w:sz w:val="22"/>
          <w:szCs w:val="22"/>
        </w:rPr>
        <w:t xml:space="preserve">de ser el caso </w:t>
      </w:r>
      <w:r w:rsidR="00D35935" w:rsidRPr="00C83C48">
        <w:rPr>
          <w:rFonts w:ascii="Palatino Linotype" w:eastAsia="Palatino Linotype" w:hAnsi="Palatino Linotype" w:cs="Palatino Linotype"/>
          <w:b/>
          <w:sz w:val="22"/>
          <w:szCs w:val="22"/>
        </w:rPr>
        <w:t xml:space="preserve">en versión pública, </w:t>
      </w:r>
      <w:r w:rsidR="002C3E8F" w:rsidRPr="00C83C48">
        <w:rPr>
          <w:rFonts w:ascii="Palatino Linotype" w:eastAsia="Palatino Linotype" w:hAnsi="Palatino Linotype" w:cs="Palatino Linotype"/>
          <w:b/>
          <w:sz w:val="22"/>
          <w:szCs w:val="22"/>
        </w:rPr>
        <w:t xml:space="preserve">los documentos donde conste </w:t>
      </w:r>
      <w:r w:rsidRPr="00C83C48">
        <w:rPr>
          <w:rFonts w:ascii="Palatino Linotype" w:eastAsia="Palatino Linotype" w:hAnsi="Palatino Linotype" w:cs="Palatino Linotype"/>
          <w:sz w:val="22"/>
          <w:szCs w:val="22"/>
        </w:rPr>
        <w:t>la siguiente información:</w:t>
      </w:r>
    </w:p>
    <w:p w14:paraId="7A214F7C" w14:textId="2767AC03" w:rsidR="002C3E8F" w:rsidRPr="00C83C48" w:rsidRDefault="002C3E8F" w:rsidP="00600B46">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C83C48">
        <w:rPr>
          <w:rFonts w:ascii="Palatino Linotype" w:hAnsi="Palatino Linotype"/>
          <w:b/>
          <w:sz w:val="22"/>
          <w:szCs w:val="22"/>
        </w:rPr>
        <w:t xml:space="preserve">El estatus de las obras públicas referidas en respuesta al once </w:t>
      </w:r>
      <w:r w:rsidR="00981DDA" w:rsidRPr="00C83C48">
        <w:rPr>
          <w:rFonts w:ascii="Palatino Linotype" w:hAnsi="Palatino Linotype"/>
          <w:b/>
          <w:sz w:val="22"/>
          <w:szCs w:val="22"/>
        </w:rPr>
        <w:t>de junio de dos mil veinticinco;</w:t>
      </w:r>
    </w:p>
    <w:p w14:paraId="0B1E9815" w14:textId="4910028A" w:rsidR="00BE2BA1" w:rsidRPr="00C83C48" w:rsidRDefault="00BE2BA1" w:rsidP="00600B46">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C83C48">
        <w:rPr>
          <w:rFonts w:ascii="Palatino Linotype" w:hAnsi="Palatino Linotype"/>
          <w:b/>
          <w:sz w:val="22"/>
          <w:szCs w:val="22"/>
        </w:rPr>
        <w:t>Quincuagésima Cuarta Sesión Extraordinaria de Cabildo del año dos mil veinticuatro emitida en respues</w:t>
      </w:r>
      <w:r w:rsidR="00981DDA" w:rsidRPr="00C83C48">
        <w:rPr>
          <w:rFonts w:ascii="Palatino Linotype" w:hAnsi="Palatino Linotype"/>
          <w:b/>
          <w:sz w:val="22"/>
          <w:szCs w:val="22"/>
        </w:rPr>
        <w:t>ta, en correcta versión pública; y,</w:t>
      </w:r>
    </w:p>
    <w:p w14:paraId="27EC6080" w14:textId="0E6F5601" w:rsidR="006370B0" w:rsidRPr="00C83C48" w:rsidRDefault="006370B0" w:rsidP="006370B0">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C83C48">
        <w:rPr>
          <w:rFonts w:ascii="Palatino Linotype" w:hAnsi="Palatino Linotype"/>
          <w:b/>
          <w:sz w:val="22"/>
          <w:szCs w:val="22"/>
        </w:rPr>
        <w:t xml:space="preserve">Lista o relación de contratos </w:t>
      </w:r>
      <w:r w:rsidRPr="00C83C48">
        <w:rPr>
          <w:rFonts w:ascii="Palatino Linotype" w:eastAsia="Palatino Linotype" w:hAnsi="Palatino Linotype" w:cs="Palatino Linotype"/>
          <w:b/>
          <w:sz w:val="22"/>
          <w:szCs w:val="22"/>
        </w:rPr>
        <w:t>en materia de obra pública celebrados del uno de enero al once de junio de dos mil veinticinco.</w:t>
      </w:r>
    </w:p>
    <w:p w14:paraId="09EFB991" w14:textId="77777777" w:rsidR="00602DB8" w:rsidRPr="00C83C48" w:rsidRDefault="00F36565" w:rsidP="00602DB8">
      <w:pPr>
        <w:pBdr>
          <w:top w:val="nil"/>
          <w:left w:val="nil"/>
          <w:bottom w:val="nil"/>
          <w:right w:val="nil"/>
          <w:between w:val="nil"/>
        </w:pBdr>
        <w:spacing w:line="360" w:lineRule="auto"/>
        <w:ind w:left="284" w:right="560"/>
        <w:jc w:val="both"/>
        <w:rPr>
          <w:rFonts w:ascii="Palatino Linotype" w:eastAsia="Palatino Linotype" w:hAnsi="Palatino Linotype" w:cs="Palatino Linotype"/>
          <w:i/>
          <w:sz w:val="22"/>
          <w:szCs w:val="22"/>
        </w:rPr>
      </w:pPr>
      <w:r w:rsidRPr="00C83C48">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la parte Recurrente. </w:t>
      </w:r>
    </w:p>
    <w:p w14:paraId="2ABA00F7" w14:textId="77777777" w:rsidR="00C877F6" w:rsidRPr="00C83C48" w:rsidRDefault="00F36565">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Tercero.  Notifíquese vía SAIMEX, </w:t>
      </w:r>
      <w:r w:rsidRPr="00C83C48">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C3DB06" w14:textId="77777777" w:rsidR="00C877F6" w:rsidRPr="00C83C48" w:rsidRDefault="00F36565">
      <w:pPr>
        <w:spacing w:before="240" w:after="240" w:line="360" w:lineRule="auto"/>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b/>
          <w:sz w:val="22"/>
          <w:szCs w:val="22"/>
        </w:rPr>
        <w:t xml:space="preserve">Cuarto. </w:t>
      </w:r>
      <w:r w:rsidRPr="00C83C48">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C83C48">
        <w:rPr>
          <w:rFonts w:ascii="Palatino Linotype" w:eastAsia="Palatino Linotype" w:hAnsi="Palatino Linotype" w:cs="Palatino Linotype"/>
          <w:b/>
          <w:sz w:val="22"/>
          <w:szCs w:val="22"/>
        </w:rPr>
        <w:t>Sujeto Obligado</w:t>
      </w:r>
      <w:r w:rsidRPr="00C83C48">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40B6401C" w14:textId="77777777" w:rsidR="00C877F6" w:rsidRPr="00C83C48" w:rsidRDefault="00F36565">
      <w:pPr>
        <w:spacing w:line="360" w:lineRule="auto"/>
        <w:jc w:val="both"/>
        <w:rPr>
          <w:rFonts w:ascii="Palatino Linotype" w:eastAsia="Palatino Linotype" w:hAnsi="Palatino Linotype" w:cs="Palatino Linotype"/>
          <w:sz w:val="22"/>
          <w:szCs w:val="22"/>
        </w:rPr>
      </w:pPr>
      <w:bookmarkStart w:id="3" w:name="_heading=h.tyjcwt" w:colFirst="0" w:colLast="0"/>
      <w:bookmarkEnd w:id="3"/>
      <w:r w:rsidRPr="00C83C48">
        <w:rPr>
          <w:rFonts w:ascii="Palatino Linotype" w:eastAsia="Palatino Linotype" w:hAnsi="Palatino Linotype" w:cs="Palatino Linotype"/>
          <w:b/>
          <w:sz w:val="22"/>
          <w:szCs w:val="22"/>
        </w:rPr>
        <w:t xml:space="preserve">Quinto. Notifíquese vía SAIMEX, </w:t>
      </w:r>
      <w:r w:rsidRPr="00C83C48">
        <w:rPr>
          <w:rFonts w:ascii="Palatino Linotype" w:eastAsia="Palatino Linotype" w:hAnsi="Palatino Linotype" w:cs="Palatino Linotype"/>
          <w:sz w:val="22"/>
          <w:szCs w:val="22"/>
        </w:rPr>
        <w:t>a</w:t>
      </w:r>
      <w:r w:rsidRPr="00C83C48">
        <w:rPr>
          <w:rFonts w:ascii="Palatino Linotype" w:eastAsia="Palatino Linotype" w:hAnsi="Palatino Linotype" w:cs="Palatino Linotype"/>
          <w:b/>
          <w:sz w:val="22"/>
          <w:szCs w:val="22"/>
        </w:rPr>
        <w:t xml:space="preserve"> la parte Recurrente</w:t>
      </w:r>
      <w:r w:rsidRPr="00C83C48">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14:paraId="04B27B0A" w14:textId="77777777" w:rsidR="005509CC" w:rsidRPr="00C83C48" w:rsidRDefault="005509CC">
      <w:pPr>
        <w:spacing w:line="360" w:lineRule="auto"/>
        <w:ind w:right="-93"/>
        <w:jc w:val="both"/>
        <w:rPr>
          <w:rFonts w:ascii="Palatino Linotype" w:eastAsia="Palatino Linotype" w:hAnsi="Palatino Linotype" w:cs="Palatino Linotype"/>
          <w:sz w:val="22"/>
          <w:szCs w:val="22"/>
        </w:rPr>
      </w:pPr>
      <w:bookmarkStart w:id="4" w:name="_heading=h.jl0dlasot4f" w:colFirst="0" w:colLast="0"/>
      <w:bookmarkEnd w:id="4"/>
    </w:p>
    <w:p w14:paraId="124DF890" w14:textId="686CA9AF" w:rsidR="00C877F6" w:rsidRPr="00C83C48" w:rsidRDefault="00F36565">
      <w:pPr>
        <w:spacing w:line="360" w:lineRule="auto"/>
        <w:ind w:right="-93"/>
        <w:jc w:val="both"/>
        <w:rPr>
          <w:rFonts w:ascii="Palatino Linotype" w:eastAsia="Palatino Linotype" w:hAnsi="Palatino Linotype" w:cs="Palatino Linotype"/>
          <w:sz w:val="22"/>
          <w:szCs w:val="22"/>
        </w:rPr>
      </w:pPr>
      <w:r w:rsidRPr="00C83C48">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403AAA" w:rsidRPr="00C83C48">
        <w:rPr>
          <w:rFonts w:ascii="Palatino Linotype" w:eastAsia="Palatino Linotype" w:hAnsi="Palatino Linotype" w:cs="Palatino Linotype"/>
          <w:sz w:val="22"/>
          <w:szCs w:val="22"/>
        </w:rPr>
        <w:t>OCTAVA</w:t>
      </w:r>
      <w:r w:rsidRPr="00C83C48">
        <w:rPr>
          <w:rFonts w:ascii="Palatino Linotype" w:eastAsia="Palatino Linotype" w:hAnsi="Palatino Linotype" w:cs="Palatino Linotype"/>
          <w:sz w:val="22"/>
          <w:szCs w:val="22"/>
        </w:rPr>
        <w:t xml:space="preserve"> S</w:t>
      </w:r>
      <w:r w:rsidR="001244B6" w:rsidRPr="00C83C48">
        <w:rPr>
          <w:rFonts w:ascii="Palatino Linotype" w:eastAsia="Palatino Linotype" w:hAnsi="Palatino Linotype" w:cs="Palatino Linotype"/>
          <w:sz w:val="22"/>
          <w:szCs w:val="22"/>
        </w:rPr>
        <w:t xml:space="preserve">ESIÓN ORDINARIA CELEBRADA EL </w:t>
      </w:r>
      <w:r w:rsidR="00403AAA" w:rsidRPr="00C83C48">
        <w:rPr>
          <w:rFonts w:ascii="Palatino Linotype" w:eastAsia="Palatino Linotype" w:hAnsi="Palatino Linotype" w:cs="Palatino Linotype"/>
          <w:sz w:val="22"/>
          <w:szCs w:val="22"/>
        </w:rPr>
        <w:t xml:space="preserve">CINCO </w:t>
      </w:r>
      <w:r w:rsidRPr="00C83C48">
        <w:rPr>
          <w:rFonts w:ascii="Palatino Linotype" w:eastAsia="Palatino Linotype" w:hAnsi="Palatino Linotype" w:cs="Palatino Linotype"/>
          <w:sz w:val="22"/>
          <w:szCs w:val="22"/>
        </w:rPr>
        <w:t xml:space="preserve">DE </w:t>
      </w:r>
      <w:r w:rsidR="00403AAA" w:rsidRPr="00C83C48">
        <w:rPr>
          <w:rFonts w:ascii="Palatino Linotype" w:eastAsia="Palatino Linotype" w:hAnsi="Palatino Linotype" w:cs="Palatino Linotype"/>
          <w:sz w:val="22"/>
          <w:szCs w:val="22"/>
        </w:rPr>
        <w:t>MARZO</w:t>
      </w:r>
      <w:r w:rsidRPr="00C83C48">
        <w:rPr>
          <w:rFonts w:ascii="Palatino Linotype" w:eastAsia="Palatino Linotype" w:hAnsi="Palatino Linotype" w:cs="Palatino Linotype"/>
          <w:sz w:val="22"/>
          <w:szCs w:val="22"/>
        </w:rPr>
        <w:t xml:space="preserve"> DE DOS MIL VEINTI</w:t>
      </w:r>
      <w:r w:rsidR="000C6DFE" w:rsidRPr="00C83C48">
        <w:rPr>
          <w:rFonts w:ascii="Palatino Linotype" w:eastAsia="Palatino Linotype" w:hAnsi="Palatino Linotype" w:cs="Palatino Linotype"/>
          <w:sz w:val="22"/>
          <w:szCs w:val="22"/>
        </w:rPr>
        <w:t>SÉIS</w:t>
      </w:r>
      <w:r w:rsidRPr="00C83C48">
        <w:rPr>
          <w:rFonts w:ascii="Palatino Linotype" w:eastAsia="Palatino Linotype" w:hAnsi="Palatino Linotype" w:cs="Palatino Linotype"/>
          <w:sz w:val="22"/>
          <w:szCs w:val="22"/>
        </w:rPr>
        <w:t>, ANTE EL SECRETARIO TÉCNICO DEL PLENO ALEXIS TAPIA RAMÍREZ.</w:t>
      </w:r>
    </w:p>
    <w:p w14:paraId="54455659" w14:textId="77777777" w:rsidR="00C877F6" w:rsidRPr="00C83C48" w:rsidRDefault="00C877F6">
      <w:pPr>
        <w:spacing w:line="360" w:lineRule="auto"/>
        <w:ind w:right="-93"/>
        <w:jc w:val="both"/>
        <w:rPr>
          <w:rFonts w:ascii="Palatino Linotype" w:eastAsia="Palatino Linotype" w:hAnsi="Palatino Linotype" w:cs="Palatino Linotype"/>
          <w:sz w:val="22"/>
          <w:szCs w:val="22"/>
        </w:rPr>
      </w:pPr>
    </w:p>
    <w:p w14:paraId="030E6A5B" w14:textId="77777777" w:rsidR="00C877F6" w:rsidRPr="00C83C48" w:rsidRDefault="00C877F6">
      <w:pPr>
        <w:spacing w:line="360" w:lineRule="auto"/>
        <w:ind w:right="-93"/>
        <w:jc w:val="both"/>
        <w:rPr>
          <w:rFonts w:ascii="Palatino Linotype" w:eastAsia="Palatino Linotype" w:hAnsi="Palatino Linotype" w:cs="Palatino Linotype"/>
          <w:sz w:val="22"/>
          <w:szCs w:val="22"/>
        </w:rPr>
      </w:pPr>
    </w:p>
    <w:p w14:paraId="5B12C640" w14:textId="77777777" w:rsidR="00C877F6" w:rsidRPr="00C83C48" w:rsidRDefault="00C877F6">
      <w:pPr>
        <w:spacing w:line="360" w:lineRule="auto"/>
        <w:ind w:right="-93"/>
        <w:jc w:val="both"/>
        <w:rPr>
          <w:rFonts w:ascii="Palatino Linotype" w:eastAsia="Palatino Linotype" w:hAnsi="Palatino Linotype" w:cs="Palatino Linotype"/>
          <w:sz w:val="22"/>
          <w:szCs w:val="22"/>
        </w:rPr>
      </w:pPr>
    </w:p>
    <w:p w14:paraId="7A4C70FF" w14:textId="77777777" w:rsidR="00C877F6" w:rsidRPr="00C83C48" w:rsidRDefault="00C877F6">
      <w:pPr>
        <w:spacing w:line="360" w:lineRule="auto"/>
        <w:ind w:right="-93"/>
        <w:jc w:val="both"/>
        <w:rPr>
          <w:rFonts w:ascii="Palatino Linotype" w:eastAsia="Palatino Linotype" w:hAnsi="Palatino Linotype" w:cs="Palatino Linotype"/>
          <w:sz w:val="22"/>
          <w:szCs w:val="22"/>
        </w:rPr>
      </w:pPr>
    </w:p>
    <w:p w14:paraId="6197DF1F" w14:textId="77777777" w:rsidR="00C877F6" w:rsidRPr="00C83C48" w:rsidRDefault="00C877F6">
      <w:pPr>
        <w:spacing w:line="360" w:lineRule="auto"/>
        <w:ind w:right="-93"/>
        <w:jc w:val="both"/>
        <w:rPr>
          <w:rFonts w:ascii="Palatino Linotype" w:eastAsia="Palatino Linotype" w:hAnsi="Palatino Linotype" w:cs="Palatino Linotype"/>
          <w:sz w:val="22"/>
          <w:szCs w:val="22"/>
        </w:rPr>
      </w:pPr>
    </w:p>
    <w:p w14:paraId="1A57851A" w14:textId="77777777" w:rsidR="00C877F6" w:rsidRPr="00C83C48" w:rsidRDefault="00C877F6">
      <w:pPr>
        <w:spacing w:line="360" w:lineRule="auto"/>
        <w:ind w:right="49"/>
        <w:jc w:val="both"/>
        <w:rPr>
          <w:rFonts w:ascii="Palatino Linotype" w:eastAsia="Palatino Linotype" w:hAnsi="Palatino Linotype" w:cs="Palatino Linotype"/>
          <w:sz w:val="22"/>
          <w:szCs w:val="22"/>
        </w:rPr>
      </w:pPr>
    </w:p>
    <w:p w14:paraId="72F4DA74"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366D8CED"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23C43272"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38D00ACB"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203ADD3F"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0D468904"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66030ABC"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1DBFB58D"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5EA4A13C"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p w14:paraId="6CCA71C8" w14:textId="77777777" w:rsidR="00C83C48" w:rsidRPr="00C83C48" w:rsidRDefault="00C83C48">
      <w:pPr>
        <w:spacing w:line="360" w:lineRule="auto"/>
        <w:ind w:right="49"/>
        <w:jc w:val="both"/>
        <w:rPr>
          <w:rFonts w:ascii="Palatino Linotype" w:eastAsia="Palatino Linotype" w:hAnsi="Palatino Linotype" w:cs="Palatino Linotype"/>
          <w:sz w:val="22"/>
          <w:szCs w:val="22"/>
        </w:rPr>
      </w:pPr>
    </w:p>
    <w:sectPr w:rsidR="00C83C48" w:rsidRPr="00C83C48">
      <w:headerReference w:type="default" r:id="rId12"/>
      <w:footerReference w:type="default" r:id="rId13"/>
      <w:headerReference w:type="first" r:id="rId14"/>
      <w:footerReference w:type="first" r:id="rId15"/>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02F6D" w14:textId="77777777" w:rsidR="00CC5D69" w:rsidRDefault="00CC5D69">
      <w:r>
        <w:separator/>
      </w:r>
    </w:p>
  </w:endnote>
  <w:endnote w:type="continuationSeparator" w:id="0">
    <w:p w14:paraId="4AD07E85" w14:textId="77777777" w:rsidR="00CC5D69" w:rsidRDefault="00CC5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embedRegular r:id="rId1" w:fontKey="{8BA2C9B3-4E1F-4182-AEB0-0ADBCA2B2FAE}"/>
    <w:embedBold r:id="rId2" w:fontKey="{2260A066-69C7-4F65-B709-9F29C3762312}"/>
    <w:embedItalic r:id="rId3" w:fontKey="{1FACA2F5-4C97-4C6E-AC1E-06FD8D1FC23F}"/>
    <w:embedBoldItalic r:id="rId4" w:fontKey="{506DBCFF-EC15-468B-BF5D-166D76115F4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embedRegular r:id="rId5" w:fontKey="{08D05399-1A18-4C67-828E-1D2D74C47930}"/>
    <w:embedBold r:id="rId6" w:fontKey="{8325B998-8B5C-404E-B4DD-51F75988D817}"/>
  </w:font>
  <w:font w:name="Tahoma">
    <w:panose1 w:val="020B0604030504040204"/>
    <w:charset w:val="00"/>
    <w:family w:val="swiss"/>
    <w:pitch w:val="variable"/>
    <w:sig w:usb0="E1002EFF" w:usb1="C000605B" w:usb2="00000029" w:usb3="00000000" w:csb0="000101FF" w:csb1="00000000"/>
    <w:embedRegular r:id="rId7" w:fontKey="{5F0CCBCB-D925-49FC-B118-9C93F78579F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49937DA7-0DCC-428C-8F2B-6152321D7D90}"/>
    <w:embedBold r:id="rId9" w:fontKey="{0803D6F3-F116-4D22-BD92-4000256B65FE}"/>
    <w:embedItalic r:id="rId10" w:fontKey="{3C152506-C1C2-4B36-A032-041A1928267A}"/>
  </w:font>
  <w:font w:name="Georgia">
    <w:panose1 w:val="02040502050405020303"/>
    <w:charset w:val="00"/>
    <w:family w:val="roman"/>
    <w:pitch w:val="variable"/>
    <w:sig w:usb0="00000287" w:usb1="00000000" w:usb2="00000000" w:usb3="00000000" w:csb0="0000009F" w:csb1="00000000"/>
    <w:embedRegular r:id="rId11" w:fontKey="{5D5AC64F-EAE8-4F3F-93C5-D7101D8EC2A6}"/>
    <w:embedItalic r:id="rId12" w:fontKey="{83BD4EC5-5BF7-40CA-83A8-06A545ACA8CE}"/>
  </w:font>
  <w:font w:name="Calibri Light">
    <w:panose1 w:val="020F0302020204030204"/>
    <w:charset w:val="00"/>
    <w:family w:val="swiss"/>
    <w:pitch w:val="variable"/>
    <w:sig w:usb0="E4002EFF" w:usb1="C200247B" w:usb2="00000009" w:usb3="00000000" w:csb0="000001FF" w:csb1="00000000"/>
    <w:embedRegular r:id="rId13" w:fontKey="{43BD1A06-C82F-4C9E-8AC9-3B640F5FC4F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7024" w14:textId="52F271CD" w:rsidR="009230B9" w:rsidRDefault="009230B9">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F65BCC">
      <w:rPr>
        <w:b/>
        <w:noProof/>
        <w:color w:val="000000"/>
      </w:rPr>
      <w:t>20</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F65BCC">
      <w:rPr>
        <w:b/>
        <w:noProof/>
        <w:color w:val="000000"/>
      </w:rPr>
      <w:t>52</w:t>
    </w:r>
    <w:r>
      <w:rPr>
        <w:b/>
        <w:color w:val="000000"/>
      </w:rPr>
      <w:fldChar w:fldCharType="end"/>
    </w:r>
  </w:p>
  <w:p w14:paraId="7AE4EEFD" w14:textId="77777777" w:rsidR="009230B9" w:rsidRDefault="009230B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1E332" w14:textId="06FE4C1B" w:rsidR="009230B9" w:rsidRDefault="009230B9">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F65BCC">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F65BCC">
      <w:rPr>
        <w:b/>
        <w:noProof/>
        <w:color w:val="000000"/>
      </w:rPr>
      <w:t>52</w:t>
    </w:r>
    <w:r>
      <w:rPr>
        <w:b/>
        <w:color w:val="000000"/>
      </w:rPr>
      <w:fldChar w:fldCharType="end"/>
    </w:r>
  </w:p>
  <w:p w14:paraId="6675DA9D" w14:textId="77777777" w:rsidR="009230B9" w:rsidRDefault="009230B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058D1" w14:textId="77777777" w:rsidR="00CC5D69" w:rsidRDefault="00CC5D69">
      <w:r>
        <w:separator/>
      </w:r>
    </w:p>
  </w:footnote>
  <w:footnote w:type="continuationSeparator" w:id="0">
    <w:p w14:paraId="693C52AA" w14:textId="77777777" w:rsidR="00CC5D69" w:rsidRDefault="00CC5D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457D" w14:textId="77777777" w:rsidR="009230B9" w:rsidRDefault="009230B9">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93A9E0D" wp14:editId="28CE1BC9">
          <wp:simplePos x="0" y="0"/>
          <wp:positionH relativeFrom="column">
            <wp:posOffset>0</wp:posOffset>
          </wp:positionH>
          <wp:positionV relativeFrom="paragraph">
            <wp:posOffset>-401953</wp:posOffset>
          </wp:positionV>
          <wp:extent cx="7809876" cy="10165823"/>
          <wp:effectExtent l="0" t="0" r="0" b="0"/>
          <wp:wrapNone/>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6"/>
      <w:tblW w:w="5603" w:type="dxa"/>
      <w:tblInd w:w="3611" w:type="dxa"/>
      <w:tblLayout w:type="fixed"/>
      <w:tblLook w:val="0400" w:firstRow="0" w:lastRow="0" w:firstColumn="0" w:lastColumn="0" w:noHBand="0" w:noVBand="1"/>
    </w:tblPr>
    <w:tblGrid>
      <w:gridCol w:w="2551"/>
      <w:gridCol w:w="3052"/>
    </w:tblGrid>
    <w:tr w:rsidR="009230B9" w14:paraId="3DE1F927" w14:textId="77777777">
      <w:tc>
        <w:tcPr>
          <w:tcW w:w="2551" w:type="dxa"/>
          <w:vAlign w:val="center"/>
        </w:tcPr>
        <w:p w14:paraId="27218DF9"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p w14:paraId="4D5060D3"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1F9F508D" w14:textId="7E2A851F" w:rsidR="009230B9" w:rsidRDefault="009230B9" w:rsidP="00F9422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09214</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 xml:space="preserve">/IP/RR/2025  </w:t>
          </w:r>
        </w:p>
      </w:tc>
    </w:tr>
    <w:tr w:rsidR="009230B9" w14:paraId="6E2D1273" w14:textId="77777777">
      <w:trPr>
        <w:trHeight w:val="217"/>
      </w:trPr>
      <w:tc>
        <w:tcPr>
          <w:tcW w:w="2551" w:type="dxa"/>
          <w:vAlign w:val="center"/>
        </w:tcPr>
        <w:p w14:paraId="21203565"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6BAD3091" w14:textId="31A6824B" w:rsidR="009230B9" w:rsidRDefault="009230B9" w:rsidP="00287278">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Ayuntamiento de Toluca</w:t>
          </w:r>
        </w:p>
      </w:tc>
    </w:tr>
    <w:tr w:rsidR="009230B9" w14:paraId="651D01A7" w14:textId="77777777">
      <w:tc>
        <w:tcPr>
          <w:tcW w:w="2551" w:type="dxa"/>
          <w:vAlign w:val="center"/>
        </w:tcPr>
        <w:p w14:paraId="5229B5A5"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252A5C20"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24D54F31" w14:textId="77777777" w:rsidR="009230B9" w:rsidRDefault="009230B9">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C5A" w14:textId="77777777" w:rsidR="009230B9" w:rsidRDefault="009230B9">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60CB74E" wp14:editId="30E0D12D">
          <wp:simplePos x="0" y="0"/>
          <wp:positionH relativeFrom="column">
            <wp:posOffset>-929004</wp:posOffset>
          </wp:positionH>
          <wp:positionV relativeFrom="paragraph">
            <wp:posOffset>-644524</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461" w:type="dxa"/>
      <w:tblInd w:w="3611" w:type="dxa"/>
      <w:tblLayout w:type="fixed"/>
      <w:tblLook w:val="0400" w:firstRow="0" w:lastRow="0" w:firstColumn="0" w:lastColumn="0" w:noHBand="0" w:noVBand="1"/>
    </w:tblPr>
    <w:tblGrid>
      <w:gridCol w:w="2343"/>
      <w:gridCol w:w="3118"/>
    </w:tblGrid>
    <w:tr w:rsidR="009230B9" w14:paraId="1419E4B9" w14:textId="77777777">
      <w:tc>
        <w:tcPr>
          <w:tcW w:w="2343" w:type="dxa"/>
          <w:vAlign w:val="center"/>
        </w:tcPr>
        <w:p w14:paraId="0A4DAE44"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p w14:paraId="61232AD0"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1D2E4BAD" w14:textId="6C803691" w:rsidR="009230B9" w:rsidRDefault="009230B9" w:rsidP="001F05E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sz w:val="22"/>
              <w:szCs w:val="22"/>
            </w:rPr>
            <w:t>09214</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9230B9" w14:paraId="5406FED2" w14:textId="77777777">
      <w:tc>
        <w:tcPr>
          <w:tcW w:w="2343" w:type="dxa"/>
          <w:vAlign w:val="center"/>
        </w:tcPr>
        <w:p w14:paraId="40683B83"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118" w:type="dxa"/>
          <w:vAlign w:val="center"/>
        </w:tcPr>
        <w:p w14:paraId="79BFF42B" w14:textId="34E43315"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r>
    <w:tr w:rsidR="009230B9" w14:paraId="0CE2BEAE" w14:textId="77777777">
      <w:trPr>
        <w:trHeight w:val="152"/>
      </w:trPr>
      <w:tc>
        <w:tcPr>
          <w:tcW w:w="2343" w:type="dxa"/>
          <w:vAlign w:val="center"/>
        </w:tcPr>
        <w:p w14:paraId="2B6A9907" w14:textId="77777777" w:rsidR="009230B9" w:rsidRDefault="009230B9">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337D7A1C" w14:textId="77777777" w:rsidR="009230B9" w:rsidRDefault="009230B9">
          <w:pP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6FC25278" w14:textId="55A72DC7" w:rsidR="009230B9" w:rsidRDefault="009230B9" w:rsidP="000C6DFE">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2"/>
            </w:rPr>
            <w:t>Ayuntamiento de Toluca</w:t>
          </w:r>
        </w:p>
      </w:tc>
    </w:tr>
    <w:tr w:rsidR="009230B9" w14:paraId="1EF4B579" w14:textId="77777777">
      <w:tc>
        <w:tcPr>
          <w:tcW w:w="2343" w:type="dxa"/>
          <w:vAlign w:val="center"/>
        </w:tcPr>
        <w:p w14:paraId="71B9E111"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118" w:type="dxa"/>
          <w:vAlign w:val="center"/>
        </w:tcPr>
        <w:p w14:paraId="02FC2A70" w14:textId="77777777" w:rsidR="009230B9" w:rsidRDefault="009230B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2CE2B1EF" w14:textId="77777777" w:rsidR="009230B9" w:rsidRDefault="009230B9">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2D9"/>
    <w:multiLevelType w:val="hybridMultilevel"/>
    <w:tmpl w:val="40626B42"/>
    <w:lvl w:ilvl="0" w:tplc="3C3C5B4E">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D8054D"/>
    <w:multiLevelType w:val="multilevel"/>
    <w:tmpl w:val="F534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801CE9"/>
    <w:multiLevelType w:val="multilevel"/>
    <w:tmpl w:val="96B62F4E"/>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A433EBA"/>
    <w:multiLevelType w:val="multilevel"/>
    <w:tmpl w:val="4D760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861DC7"/>
    <w:multiLevelType w:val="hybridMultilevel"/>
    <w:tmpl w:val="DD661264"/>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1C1C17CE"/>
    <w:multiLevelType w:val="hybridMultilevel"/>
    <w:tmpl w:val="E3B29E8A"/>
    <w:lvl w:ilvl="0" w:tplc="AC00FD0C">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0E1769"/>
    <w:multiLevelType w:val="hybridMultilevel"/>
    <w:tmpl w:val="7C1CCCF2"/>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BA60E1"/>
    <w:multiLevelType w:val="hybridMultilevel"/>
    <w:tmpl w:val="833C01C6"/>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7DD64BD"/>
    <w:multiLevelType w:val="hybridMultilevel"/>
    <w:tmpl w:val="D1B48FD6"/>
    <w:lvl w:ilvl="0" w:tplc="70C24986">
      <w:start w:val="1"/>
      <w:numFmt w:val="lowerLetter"/>
      <w:lvlText w:val="%1)"/>
      <w:lvlJc w:val="left"/>
      <w:pPr>
        <w:ind w:left="720" w:hanging="360"/>
      </w:pPr>
      <w:rPr>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EB73296"/>
    <w:multiLevelType w:val="hybridMultilevel"/>
    <w:tmpl w:val="CB8C69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5F05287"/>
    <w:multiLevelType w:val="hybridMultilevel"/>
    <w:tmpl w:val="883039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6B12C71"/>
    <w:multiLevelType w:val="hybridMultilevel"/>
    <w:tmpl w:val="270EA23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99D408D"/>
    <w:multiLevelType w:val="hybridMultilevel"/>
    <w:tmpl w:val="5372B9D2"/>
    <w:lvl w:ilvl="0" w:tplc="080A000F">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7" w15:restartNumberingAfterBreak="0">
    <w:nsid w:val="50691881"/>
    <w:multiLevelType w:val="multilevel"/>
    <w:tmpl w:val="9208DD3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2B53A72"/>
    <w:multiLevelType w:val="hybridMultilevel"/>
    <w:tmpl w:val="B0647A12"/>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19" w15:restartNumberingAfterBreak="0">
    <w:nsid w:val="53BF1D10"/>
    <w:multiLevelType w:val="hybridMultilevel"/>
    <w:tmpl w:val="290E673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5A7573AA"/>
    <w:multiLevelType w:val="hybridMultilevel"/>
    <w:tmpl w:val="2A2C282C"/>
    <w:lvl w:ilvl="0" w:tplc="080A0011">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65070C84"/>
    <w:multiLevelType w:val="multilevel"/>
    <w:tmpl w:val="8A2A1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F345B31"/>
    <w:multiLevelType w:val="multilevel"/>
    <w:tmpl w:val="6B2C040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B083A9B"/>
    <w:multiLevelType w:val="multilevel"/>
    <w:tmpl w:val="01A0AE9C"/>
    <w:lvl w:ilvl="0">
      <w:start w:val="2"/>
      <w:numFmt w:val="bullet"/>
      <w:pStyle w:val="Listaconvietas"/>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7" w15:restartNumberingAfterBreak="0">
    <w:nsid w:val="7B2C08A8"/>
    <w:multiLevelType w:val="hybridMultilevel"/>
    <w:tmpl w:val="708873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
  </w:num>
  <w:num w:numId="3">
    <w:abstractNumId w:val="26"/>
  </w:num>
  <w:num w:numId="4">
    <w:abstractNumId w:val="13"/>
  </w:num>
  <w:num w:numId="5">
    <w:abstractNumId w:val="5"/>
  </w:num>
  <w:num w:numId="6">
    <w:abstractNumId w:val="14"/>
  </w:num>
  <w:num w:numId="7">
    <w:abstractNumId w:val="2"/>
  </w:num>
  <w:num w:numId="8">
    <w:abstractNumId w:val="4"/>
  </w:num>
  <w:num w:numId="9">
    <w:abstractNumId w:val="6"/>
  </w:num>
  <w:num w:numId="10">
    <w:abstractNumId w:val="27"/>
  </w:num>
  <w:num w:numId="11">
    <w:abstractNumId w:val="8"/>
  </w:num>
  <w:num w:numId="12">
    <w:abstractNumId w:val="15"/>
  </w:num>
  <w:num w:numId="13">
    <w:abstractNumId w:val="11"/>
  </w:num>
  <w:num w:numId="14">
    <w:abstractNumId w:val="16"/>
  </w:num>
  <w:num w:numId="15">
    <w:abstractNumId w:val="20"/>
  </w:num>
  <w:num w:numId="16">
    <w:abstractNumId w:val="21"/>
  </w:num>
  <w:num w:numId="17">
    <w:abstractNumId w:val="3"/>
  </w:num>
  <w:num w:numId="18">
    <w:abstractNumId w:val="9"/>
  </w:num>
  <w:num w:numId="19">
    <w:abstractNumId w:val="25"/>
  </w:num>
  <w:num w:numId="20">
    <w:abstractNumId w:val="23"/>
  </w:num>
  <w:num w:numId="21">
    <w:abstractNumId w:val="10"/>
  </w:num>
  <w:num w:numId="22">
    <w:abstractNumId w:val="22"/>
  </w:num>
  <w:num w:numId="23">
    <w:abstractNumId w:val="0"/>
  </w:num>
  <w:num w:numId="24">
    <w:abstractNumId w:val="7"/>
  </w:num>
  <w:num w:numId="25">
    <w:abstractNumId w:val="18"/>
  </w:num>
  <w:num w:numId="26">
    <w:abstractNumId w:val="19"/>
  </w:num>
  <w:num w:numId="27">
    <w:abstractNumId w:val="12"/>
  </w:num>
  <w:num w:numId="2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6"/>
    <w:rsid w:val="00003CC0"/>
    <w:rsid w:val="00011BB7"/>
    <w:rsid w:val="000140E9"/>
    <w:rsid w:val="00022FF0"/>
    <w:rsid w:val="00035362"/>
    <w:rsid w:val="0004101C"/>
    <w:rsid w:val="000414EC"/>
    <w:rsid w:val="000472DB"/>
    <w:rsid w:val="000505A2"/>
    <w:rsid w:val="00050C84"/>
    <w:rsid w:val="00085E1F"/>
    <w:rsid w:val="0009354C"/>
    <w:rsid w:val="000C2D35"/>
    <w:rsid w:val="000C6DFE"/>
    <w:rsid w:val="000D0009"/>
    <w:rsid w:val="000D6BF4"/>
    <w:rsid w:val="000D7D67"/>
    <w:rsid w:val="000E264E"/>
    <w:rsid w:val="000F3A18"/>
    <w:rsid w:val="000F461B"/>
    <w:rsid w:val="00102B00"/>
    <w:rsid w:val="00104A39"/>
    <w:rsid w:val="00106A63"/>
    <w:rsid w:val="00106CF0"/>
    <w:rsid w:val="0010766B"/>
    <w:rsid w:val="00111CC6"/>
    <w:rsid w:val="0011572F"/>
    <w:rsid w:val="00115C81"/>
    <w:rsid w:val="0012241A"/>
    <w:rsid w:val="001244B6"/>
    <w:rsid w:val="0012725B"/>
    <w:rsid w:val="001348C7"/>
    <w:rsid w:val="00137C81"/>
    <w:rsid w:val="00167CFB"/>
    <w:rsid w:val="00177120"/>
    <w:rsid w:val="001775F5"/>
    <w:rsid w:val="00195613"/>
    <w:rsid w:val="001A2C55"/>
    <w:rsid w:val="001C7C5B"/>
    <w:rsid w:val="001D56E0"/>
    <w:rsid w:val="001F05E3"/>
    <w:rsid w:val="001F52E8"/>
    <w:rsid w:val="001F64EA"/>
    <w:rsid w:val="00215433"/>
    <w:rsid w:val="00220962"/>
    <w:rsid w:val="0022312E"/>
    <w:rsid w:val="00240A2A"/>
    <w:rsid w:val="00240D02"/>
    <w:rsid w:val="00241C45"/>
    <w:rsid w:val="00244C94"/>
    <w:rsid w:val="002460CA"/>
    <w:rsid w:val="00251552"/>
    <w:rsid w:val="002518F3"/>
    <w:rsid w:val="00261424"/>
    <w:rsid w:val="00271603"/>
    <w:rsid w:val="00272A31"/>
    <w:rsid w:val="00282A93"/>
    <w:rsid w:val="00283C9F"/>
    <w:rsid w:val="00287278"/>
    <w:rsid w:val="00294BBE"/>
    <w:rsid w:val="002A38A5"/>
    <w:rsid w:val="002A4A12"/>
    <w:rsid w:val="002A642E"/>
    <w:rsid w:val="002A7958"/>
    <w:rsid w:val="002B39AC"/>
    <w:rsid w:val="002B423B"/>
    <w:rsid w:val="002B4667"/>
    <w:rsid w:val="002C3E8F"/>
    <w:rsid w:val="002C4916"/>
    <w:rsid w:val="002C52D1"/>
    <w:rsid w:val="002C63CA"/>
    <w:rsid w:val="002D25A9"/>
    <w:rsid w:val="002D4381"/>
    <w:rsid w:val="002E51A0"/>
    <w:rsid w:val="002F289C"/>
    <w:rsid w:val="00301A49"/>
    <w:rsid w:val="00312042"/>
    <w:rsid w:val="00336C8D"/>
    <w:rsid w:val="003412FF"/>
    <w:rsid w:val="00351E01"/>
    <w:rsid w:val="003535F7"/>
    <w:rsid w:val="00357E62"/>
    <w:rsid w:val="003610C8"/>
    <w:rsid w:val="00374863"/>
    <w:rsid w:val="00376C8E"/>
    <w:rsid w:val="00381615"/>
    <w:rsid w:val="00382B63"/>
    <w:rsid w:val="003A539C"/>
    <w:rsid w:val="003B746B"/>
    <w:rsid w:val="003C0D60"/>
    <w:rsid w:val="003C5329"/>
    <w:rsid w:val="003D17CE"/>
    <w:rsid w:val="003E151E"/>
    <w:rsid w:val="003E62A8"/>
    <w:rsid w:val="003F5A8F"/>
    <w:rsid w:val="003F6A2A"/>
    <w:rsid w:val="00402094"/>
    <w:rsid w:val="00403AAA"/>
    <w:rsid w:val="00405804"/>
    <w:rsid w:val="004066C2"/>
    <w:rsid w:val="00407432"/>
    <w:rsid w:val="00413D80"/>
    <w:rsid w:val="00420E52"/>
    <w:rsid w:val="00421C3A"/>
    <w:rsid w:val="00422637"/>
    <w:rsid w:val="00431AFC"/>
    <w:rsid w:val="004422C9"/>
    <w:rsid w:val="00443D93"/>
    <w:rsid w:val="0045016F"/>
    <w:rsid w:val="004554A0"/>
    <w:rsid w:val="00477E95"/>
    <w:rsid w:val="004876E1"/>
    <w:rsid w:val="004A240F"/>
    <w:rsid w:val="004A4D59"/>
    <w:rsid w:val="004B37BF"/>
    <w:rsid w:val="004B4C42"/>
    <w:rsid w:val="004B699A"/>
    <w:rsid w:val="004C6A5F"/>
    <w:rsid w:val="004D64F1"/>
    <w:rsid w:val="004E38BF"/>
    <w:rsid w:val="004F40D3"/>
    <w:rsid w:val="00505EBC"/>
    <w:rsid w:val="00507CDE"/>
    <w:rsid w:val="005116B7"/>
    <w:rsid w:val="00515B2C"/>
    <w:rsid w:val="00517589"/>
    <w:rsid w:val="00521904"/>
    <w:rsid w:val="00524582"/>
    <w:rsid w:val="0053486A"/>
    <w:rsid w:val="00541989"/>
    <w:rsid w:val="005509CC"/>
    <w:rsid w:val="005644E2"/>
    <w:rsid w:val="00571BF7"/>
    <w:rsid w:val="005764D6"/>
    <w:rsid w:val="0058244A"/>
    <w:rsid w:val="00590594"/>
    <w:rsid w:val="005957F2"/>
    <w:rsid w:val="00596404"/>
    <w:rsid w:val="0059705D"/>
    <w:rsid w:val="005A4875"/>
    <w:rsid w:val="005A668A"/>
    <w:rsid w:val="005B15F7"/>
    <w:rsid w:val="005B4F46"/>
    <w:rsid w:val="005B79A1"/>
    <w:rsid w:val="005C06FC"/>
    <w:rsid w:val="005C2ED1"/>
    <w:rsid w:val="005C3FA2"/>
    <w:rsid w:val="005C74CB"/>
    <w:rsid w:val="005D08E7"/>
    <w:rsid w:val="005D28FA"/>
    <w:rsid w:val="005D6395"/>
    <w:rsid w:val="005E009A"/>
    <w:rsid w:val="005F460A"/>
    <w:rsid w:val="005F6923"/>
    <w:rsid w:val="00600B46"/>
    <w:rsid w:val="00602DB8"/>
    <w:rsid w:val="0060454F"/>
    <w:rsid w:val="00605693"/>
    <w:rsid w:val="00605991"/>
    <w:rsid w:val="00607DE9"/>
    <w:rsid w:val="00612CCA"/>
    <w:rsid w:val="00617B63"/>
    <w:rsid w:val="00631C21"/>
    <w:rsid w:val="006370B0"/>
    <w:rsid w:val="00641C48"/>
    <w:rsid w:val="0065110C"/>
    <w:rsid w:val="0067251B"/>
    <w:rsid w:val="006949BC"/>
    <w:rsid w:val="00697BED"/>
    <w:rsid w:val="006B413C"/>
    <w:rsid w:val="006C5268"/>
    <w:rsid w:val="006D2F09"/>
    <w:rsid w:val="006D4025"/>
    <w:rsid w:val="006D4A7D"/>
    <w:rsid w:val="006D6DBC"/>
    <w:rsid w:val="006E19B5"/>
    <w:rsid w:val="00707E5B"/>
    <w:rsid w:val="0071796C"/>
    <w:rsid w:val="007227CA"/>
    <w:rsid w:val="00730751"/>
    <w:rsid w:val="00737A90"/>
    <w:rsid w:val="00740429"/>
    <w:rsid w:val="007425E8"/>
    <w:rsid w:val="00745DF3"/>
    <w:rsid w:val="007668BD"/>
    <w:rsid w:val="007671AC"/>
    <w:rsid w:val="00776154"/>
    <w:rsid w:val="00783979"/>
    <w:rsid w:val="007861D5"/>
    <w:rsid w:val="007A250C"/>
    <w:rsid w:val="007A4352"/>
    <w:rsid w:val="007A6122"/>
    <w:rsid w:val="007B023D"/>
    <w:rsid w:val="007C365E"/>
    <w:rsid w:val="008012C6"/>
    <w:rsid w:val="008120F9"/>
    <w:rsid w:val="00816709"/>
    <w:rsid w:val="00822722"/>
    <w:rsid w:val="00822FC6"/>
    <w:rsid w:val="0083209D"/>
    <w:rsid w:val="008360A2"/>
    <w:rsid w:val="00843597"/>
    <w:rsid w:val="00847CD8"/>
    <w:rsid w:val="00850987"/>
    <w:rsid w:val="0085476E"/>
    <w:rsid w:val="008626D6"/>
    <w:rsid w:val="008655BD"/>
    <w:rsid w:val="00874AC1"/>
    <w:rsid w:val="008903B9"/>
    <w:rsid w:val="0089595B"/>
    <w:rsid w:val="008A3B54"/>
    <w:rsid w:val="008D57B1"/>
    <w:rsid w:val="008D5D61"/>
    <w:rsid w:val="008D6E2B"/>
    <w:rsid w:val="008E4A90"/>
    <w:rsid w:val="008E5996"/>
    <w:rsid w:val="008E5C4C"/>
    <w:rsid w:val="008F719B"/>
    <w:rsid w:val="0090790A"/>
    <w:rsid w:val="009230B9"/>
    <w:rsid w:val="00923A7C"/>
    <w:rsid w:val="0092733C"/>
    <w:rsid w:val="00943813"/>
    <w:rsid w:val="00943908"/>
    <w:rsid w:val="00944A08"/>
    <w:rsid w:val="009456FA"/>
    <w:rsid w:val="009653D4"/>
    <w:rsid w:val="00980F4D"/>
    <w:rsid w:val="00981DDA"/>
    <w:rsid w:val="00992177"/>
    <w:rsid w:val="00992C9D"/>
    <w:rsid w:val="009A113E"/>
    <w:rsid w:val="009A3CFC"/>
    <w:rsid w:val="009C5423"/>
    <w:rsid w:val="009D0B8C"/>
    <w:rsid w:val="009D1375"/>
    <w:rsid w:val="009D625A"/>
    <w:rsid w:val="009D7455"/>
    <w:rsid w:val="009E3BCC"/>
    <w:rsid w:val="009E6D1D"/>
    <w:rsid w:val="00A04074"/>
    <w:rsid w:val="00A06A0C"/>
    <w:rsid w:val="00A3291F"/>
    <w:rsid w:val="00A330C2"/>
    <w:rsid w:val="00A91027"/>
    <w:rsid w:val="00AA08AE"/>
    <w:rsid w:val="00AA5D5B"/>
    <w:rsid w:val="00AB4893"/>
    <w:rsid w:val="00AB6007"/>
    <w:rsid w:val="00AC3FEF"/>
    <w:rsid w:val="00AC6ADE"/>
    <w:rsid w:val="00AD0FB6"/>
    <w:rsid w:val="00AD35BC"/>
    <w:rsid w:val="00AD391C"/>
    <w:rsid w:val="00AE1500"/>
    <w:rsid w:val="00AE181D"/>
    <w:rsid w:val="00AE34F4"/>
    <w:rsid w:val="00AE4C99"/>
    <w:rsid w:val="00AE6C8D"/>
    <w:rsid w:val="00AF516B"/>
    <w:rsid w:val="00AF6459"/>
    <w:rsid w:val="00AF6A93"/>
    <w:rsid w:val="00AF6DAF"/>
    <w:rsid w:val="00B01B4E"/>
    <w:rsid w:val="00B01F31"/>
    <w:rsid w:val="00B0784B"/>
    <w:rsid w:val="00B11D16"/>
    <w:rsid w:val="00B21479"/>
    <w:rsid w:val="00B2209C"/>
    <w:rsid w:val="00B230A4"/>
    <w:rsid w:val="00B27D30"/>
    <w:rsid w:val="00B41FE3"/>
    <w:rsid w:val="00B4317F"/>
    <w:rsid w:val="00B50137"/>
    <w:rsid w:val="00B5111D"/>
    <w:rsid w:val="00B64821"/>
    <w:rsid w:val="00B67B0F"/>
    <w:rsid w:val="00B705EB"/>
    <w:rsid w:val="00B8230E"/>
    <w:rsid w:val="00B96097"/>
    <w:rsid w:val="00BA12AE"/>
    <w:rsid w:val="00BE2BA1"/>
    <w:rsid w:val="00BF7077"/>
    <w:rsid w:val="00C13B84"/>
    <w:rsid w:val="00C2248A"/>
    <w:rsid w:val="00C2497E"/>
    <w:rsid w:val="00C26595"/>
    <w:rsid w:val="00C36B10"/>
    <w:rsid w:val="00C4295C"/>
    <w:rsid w:val="00C5418E"/>
    <w:rsid w:val="00C64701"/>
    <w:rsid w:val="00C83C48"/>
    <w:rsid w:val="00C877F6"/>
    <w:rsid w:val="00C93CB2"/>
    <w:rsid w:val="00C94A83"/>
    <w:rsid w:val="00C975DF"/>
    <w:rsid w:val="00C9792E"/>
    <w:rsid w:val="00CA0CC9"/>
    <w:rsid w:val="00CA4651"/>
    <w:rsid w:val="00CB4251"/>
    <w:rsid w:val="00CC4BBA"/>
    <w:rsid w:val="00CC5D69"/>
    <w:rsid w:val="00CC63A3"/>
    <w:rsid w:val="00CD4BE9"/>
    <w:rsid w:val="00CF57A2"/>
    <w:rsid w:val="00CF6480"/>
    <w:rsid w:val="00CF65B8"/>
    <w:rsid w:val="00CF7200"/>
    <w:rsid w:val="00D06EB7"/>
    <w:rsid w:val="00D261B6"/>
    <w:rsid w:val="00D3382D"/>
    <w:rsid w:val="00D35935"/>
    <w:rsid w:val="00D420E8"/>
    <w:rsid w:val="00D42C47"/>
    <w:rsid w:val="00D47A86"/>
    <w:rsid w:val="00D501D9"/>
    <w:rsid w:val="00D503A7"/>
    <w:rsid w:val="00D5108C"/>
    <w:rsid w:val="00D52078"/>
    <w:rsid w:val="00D548D9"/>
    <w:rsid w:val="00D561F5"/>
    <w:rsid w:val="00D632AD"/>
    <w:rsid w:val="00D63364"/>
    <w:rsid w:val="00D71419"/>
    <w:rsid w:val="00D86E05"/>
    <w:rsid w:val="00DA22DE"/>
    <w:rsid w:val="00DA6825"/>
    <w:rsid w:val="00DB08DD"/>
    <w:rsid w:val="00DB20F5"/>
    <w:rsid w:val="00DB2ED8"/>
    <w:rsid w:val="00DB3E69"/>
    <w:rsid w:val="00DC2CE2"/>
    <w:rsid w:val="00DC5898"/>
    <w:rsid w:val="00DF2ABD"/>
    <w:rsid w:val="00DF4BF2"/>
    <w:rsid w:val="00DF7C85"/>
    <w:rsid w:val="00E111DF"/>
    <w:rsid w:val="00E12FFC"/>
    <w:rsid w:val="00E218CB"/>
    <w:rsid w:val="00E21C9B"/>
    <w:rsid w:val="00E21FDE"/>
    <w:rsid w:val="00E26AFB"/>
    <w:rsid w:val="00E306C0"/>
    <w:rsid w:val="00E3411D"/>
    <w:rsid w:val="00E34B63"/>
    <w:rsid w:val="00E36FCB"/>
    <w:rsid w:val="00E40539"/>
    <w:rsid w:val="00E41166"/>
    <w:rsid w:val="00E45568"/>
    <w:rsid w:val="00E53604"/>
    <w:rsid w:val="00E542DD"/>
    <w:rsid w:val="00E649BA"/>
    <w:rsid w:val="00E67408"/>
    <w:rsid w:val="00E70C81"/>
    <w:rsid w:val="00E90A7F"/>
    <w:rsid w:val="00E96213"/>
    <w:rsid w:val="00E97AD5"/>
    <w:rsid w:val="00EA2D40"/>
    <w:rsid w:val="00EB1F6C"/>
    <w:rsid w:val="00EB6FCF"/>
    <w:rsid w:val="00EC1F60"/>
    <w:rsid w:val="00EC3DA1"/>
    <w:rsid w:val="00EC7027"/>
    <w:rsid w:val="00ED1C6A"/>
    <w:rsid w:val="00ED1F46"/>
    <w:rsid w:val="00EE30D8"/>
    <w:rsid w:val="00F0001E"/>
    <w:rsid w:val="00F0041B"/>
    <w:rsid w:val="00F11903"/>
    <w:rsid w:val="00F2348E"/>
    <w:rsid w:val="00F36565"/>
    <w:rsid w:val="00F60B31"/>
    <w:rsid w:val="00F63FA8"/>
    <w:rsid w:val="00F65BCC"/>
    <w:rsid w:val="00F6784D"/>
    <w:rsid w:val="00F80CD2"/>
    <w:rsid w:val="00F834EE"/>
    <w:rsid w:val="00F90408"/>
    <w:rsid w:val="00F94226"/>
    <w:rsid w:val="00FA6C9F"/>
    <w:rsid w:val="00FB389B"/>
    <w:rsid w:val="00FD3CB6"/>
    <w:rsid w:val="00FD743F"/>
    <w:rsid w:val="00FF1AD9"/>
    <w:rsid w:val="00FF4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3C616"/>
  <w15:docId w15:val="{9B6F5DC6-6478-4D7C-BEBD-2CE441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top w:w="15" w:type="dxa"/>
        <w:left w:w="115" w:type="dxa"/>
        <w:bottom w:w="15" w:type="dxa"/>
        <w:right w:w="115" w:type="dxa"/>
      </w:tblCellMar>
    </w:tblPr>
  </w:style>
  <w:style w:type="table" w:customStyle="1" w:styleId="aa">
    <w:basedOn w:val="TableNormal3"/>
    <w:tblPr>
      <w:tblStyleRowBandSize w:val="1"/>
      <w:tblStyleColBandSize w:val="1"/>
      <w:tblCellMar>
        <w:top w:w="15" w:type="dxa"/>
        <w:left w:w="115" w:type="dxa"/>
        <w:bottom w:w="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15" w:type="dxa"/>
        <w:bottom w:w="15" w:type="dxa"/>
        <w:right w:w="115" w:type="dxa"/>
      </w:tblCellMar>
    </w:tblPr>
  </w:style>
  <w:style w:type="table" w:customStyle="1" w:styleId="af2">
    <w:basedOn w:val="TableNormal2"/>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table" w:customStyle="1" w:styleId="af5">
    <w:basedOn w:val="TableNormal1"/>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customStyle="1" w:styleId="UnresolvedMention">
    <w:name w:val="Unresolved Mention"/>
    <w:basedOn w:val="Fuentedeprrafopredeter"/>
    <w:uiPriority w:val="99"/>
    <w:semiHidden/>
    <w:unhideWhenUsed/>
    <w:rsid w:val="00B41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859">
      <w:bodyDiv w:val="1"/>
      <w:marLeft w:val="0"/>
      <w:marRight w:val="0"/>
      <w:marTop w:val="0"/>
      <w:marBottom w:val="0"/>
      <w:divBdr>
        <w:top w:val="none" w:sz="0" w:space="0" w:color="auto"/>
        <w:left w:val="none" w:sz="0" w:space="0" w:color="auto"/>
        <w:bottom w:val="none" w:sz="0" w:space="0" w:color="auto"/>
        <w:right w:val="none" w:sz="0" w:space="0" w:color="auto"/>
      </w:divBdr>
    </w:div>
    <w:div w:id="65151976">
      <w:bodyDiv w:val="1"/>
      <w:marLeft w:val="0"/>
      <w:marRight w:val="0"/>
      <w:marTop w:val="0"/>
      <w:marBottom w:val="0"/>
      <w:divBdr>
        <w:top w:val="none" w:sz="0" w:space="0" w:color="auto"/>
        <w:left w:val="none" w:sz="0" w:space="0" w:color="auto"/>
        <w:bottom w:val="none" w:sz="0" w:space="0" w:color="auto"/>
        <w:right w:val="none" w:sz="0" w:space="0" w:color="auto"/>
      </w:divBdr>
    </w:div>
    <w:div w:id="85078891">
      <w:bodyDiv w:val="1"/>
      <w:marLeft w:val="0"/>
      <w:marRight w:val="0"/>
      <w:marTop w:val="0"/>
      <w:marBottom w:val="0"/>
      <w:divBdr>
        <w:top w:val="none" w:sz="0" w:space="0" w:color="auto"/>
        <w:left w:val="none" w:sz="0" w:space="0" w:color="auto"/>
        <w:bottom w:val="none" w:sz="0" w:space="0" w:color="auto"/>
        <w:right w:val="none" w:sz="0" w:space="0" w:color="auto"/>
      </w:divBdr>
    </w:div>
    <w:div w:id="155191324">
      <w:bodyDiv w:val="1"/>
      <w:marLeft w:val="0"/>
      <w:marRight w:val="0"/>
      <w:marTop w:val="0"/>
      <w:marBottom w:val="0"/>
      <w:divBdr>
        <w:top w:val="none" w:sz="0" w:space="0" w:color="auto"/>
        <w:left w:val="none" w:sz="0" w:space="0" w:color="auto"/>
        <w:bottom w:val="none" w:sz="0" w:space="0" w:color="auto"/>
        <w:right w:val="none" w:sz="0" w:space="0" w:color="auto"/>
      </w:divBdr>
    </w:div>
    <w:div w:id="177890315">
      <w:bodyDiv w:val="1"/>
      <w:marLeft w:val="0"/>
      <w:marRight w:val="0"/>
      <w:marTop w:val="0"/>
      <w:marBottom w:val="0"/>
      <w:divBdr>
        <w:top w:val="none" w:sz="0" w:space="0" w:color="auto"/>
        <w:left w:val="none" w:sz="0" w:space="0" w:color="auto"/>
        <w:bottom w:val="none" w:sz="0" w:space="0" w:color="auto"/>
        <w:right w:val="none" w:sz="0" w:space="0" w:color="auto"/>
      </w:divBdr>
    </w:div>
    <w:div w:id="202131205">
      <w:bodyDiv w:val="1"/>
      <w:marLeft w:val="0"/>
      <w:marRight w:val="0"/>
      <w:marTop w:val="0"/>
      <w:marBottom w:val="0"/>
      <w:divBdr>
        <w:top w:val="none" w:sz="0" w:space="0" w:color="auto"/>
        <w:left w:val="none" w:sz="0" w:space="0" w:color="auto"/>
        <w:bottom w:val="none" w:sz="0" w:space="0" w:color="auto"/>
        <w:right w:val="none" w:sz="0" w:space="0" w:color="auto"/>
      </w:divBdr>
    </w:div>
    <w:div w:id="306394412">
      <w:bodyDiv w:val="1"/>
      <w:marLeft w:val="0"/>
      <w:marRight w:val="0"/>
      <w:marTop w:val="0"/>
      <w:marBottom w:val="0"/>
      <w:divBdr>
        <w:top w:val="none" w:sz="0" w:space="0" w:color="auto"/>
        <w:left w:val="none" w:sz="0" w:space="0" w:color="auto"/>
        <w:bottom w:val="none" w:sz="0" w:space="0" w:color="auto"/>
        <w:right w:val="none" w:sz="0" w:space="0" w:color="auto"/>
      </w:divBdr>
    </w:div>
    <w:div w:id="325672825">
      <w:bodyDiv w:val="1"/>
      <w:marLeft w:val="0"/>
      <w:marRight w:val="0"/>
      <w:marTop w:val="0"/>
      <w:marBottom w:val="0"/>
      <w:divBdr>
        <w:top w:val="none" w:sz="0" w:space="0" w:color="auto"/>
        <w:left w:val="none" w:sz="0" w:space="0" w:color="auto"/>
        <w:bottom w:val="none" w:sz="0" w:space="0" w:color="auto"/>
        <w:right w:val="none" w:sz="0" w:space="0" w:color="auto"/>
      </w:divBdr>
    </w:div>
    <w:div w:id="352848492">
      <w:bodyDiv w:val="1"/>
      <w:marLeft w:val="0"/>
      <w:marRight w:val="0"/>
      <w:marTop w:val="0"/>
      <w:marBottom w:val="0"/>
      <w:divBdr>
        <w:top w:val="none" w:sz="0" w:space="0" w:color="auto"/>
        <w:left w:val="none" w:sz="0" w:space="0" w:color="auto"/>
        <w:bottom w:val="none" w:sz="0" w:space="0" w:color="auto"/>
        <w:right w:val="none" w:sz="0" w:space="0" w:color="auto"/>
      </w:divBdr>
    </w:div>
    <w:div w:id="372192082">
      <w:bodyDiv w:val="1"/>
      <w:marLeft w:val="0"/>
      <w:marRight w:val="0"/>
      <w:marTop w:val="0"/>
      <w:marBottom w:val="0"/>
      <w:divBdr>
        <w:top w:val="none" w:sz="0" w:space="0" w:color="auto"/>
        <w:left w:val="none" w:sz="0" w:space="0" w:color="auto"/>
        <w:bottom w:val="none" w:sz="0" w:space="0" w:color="auto"/>
        <w:right w:val="none" w:sz="0" w:space="0" w:color="auto"/>
      </w:divBdr>
    </w:div>
    <w:div w:id="387192999">
      <w:bodyDiv w:val="1"/>
      <w:marLeft w:val="0"/>
      <w:marRight w:val="0"/>
      <w:marTop w:val="0"/>
      <w:marBottom w:val="0"/>
      <w:divBdr>
        <w:top w:val="none" w:sz="0" w:space="0" w:color="auto"/>
        <w:left w:val="none" w:sz="0" w:space="0" w:color="auto"/>
        <w:bottom w:val="none" w:sz="0" w:space="0" w:color="auto"/>
        <w:right w:val="none" w:sz="0" w:space="0" w:color="auto"/>
      </w:divBdr>
    </w:div>
    <w:div w:id="423452016">
      <w:bodyDiv w:val="1"/>
      <w:marLeft w:val="0"/>
      <w:marRight w:val="0"/>
      <w:marTop w:val="0"/>
      <w:marBottom w:val="0"/>
      <w:divBdr>
        <w:top w:val="none" w:sz="0" w:space="0" w:color="auto"/>
        <w:left w:val="none" w:sz="0" w:space="0" w:color="auto"/>
        <w:bottom w:val="none" w:sz="0" w:space="0" w:color="auto"/>
        <w:right w:val="none" w:sz="0" w:space="0" w:color="auto"/>
      </w:divBdr>
    </w:div>
    <w:div w:id="424571006">
      <w:bodyDiv w:val="1"/>
      <w:marLeft w:val="0"/>
      <w:marRight w:val="0"/>
      <w:marTop w:val="0"/>
      <w:marBottom w:val="0"/>
      <w:divBdr>
        <w:top w:val="none" w:sz="0" w:space="0" w:color="auto"/>
        <w:left w:val="none" w:sz="0" w:space="0" w:color="auto"/>
        <w:bottom w:val="none" w:sz="0" w:space="0" w:color="auto"/>
        <w:right w:val="none" w:sz="0" w:space="0" w:color="auto"/>
      </w:divBdr>
    </w:div>
    <w:div w:id="435564847">
      <w:bodyDiv w:val="1"/>
      <w:marLeft w:val="0"/>
      <w:marRight w:val="0"/>
      <w:marTop w:val="0"/>
      <w:marBottom w:val="0"/>
      <w:divBdr>
        <w:top w:val="none" w:sz="0" w:space="0" w:color="auto"/>
        <w:left w:val="none" w:sz="0" w:space="0" w:color="auto"/>
        <w:bottom w:val="none" w:sz="0" w:space="0" w:color="auto"/>
        <w:right w:val="none" w:sz="0" w:space="0" w:color="auto"/>
      </w:divBdr>
    </w:div>
    <w:div w:id="453137758">
      <w:bodyDiv w:val="1"/>
      <w:marLeft w:val="0"/>
      <w:marRight w:val="0"/>
      <w:marTop w:val="0"/>
      <w:marBottom w:val="0"/>
      <w:divBdr>
        <w:top w:val="none" w:sz="0" w:space="0" w:color="auto"/>
        <w:left w:val="none" w:sz="0" w:space="0" w:color="auto"/>
        <w:bottom w:val="none" w:sz="0" w:space="0" w:color="auto"/>
        <w:right w:val="none" w:sz="0" w:space="0" w:color="auto"/>
      </w:divBdr>
    </w:div>
    <w:div w:id="475949336">
      <w:bodyDiv w:val="1"/>
      <w:marLeft w:val="0"/>
      <w:marRight w:val="0"/>
      <w:marTop w:val="0"/>
      <w:marBottom w:val="0"/>
      <w:divBdr>
        <w:top w:val="none" w:sz="0" w:space="0" w:color="auto"/>
        <w:left w:val="none" w:sz="0" w:space="0" w:color="auto"/>
        <w:bottom w:val="none" w:sz="0" w:space="0" w:color="auto"/>
        <w:right w:val="none" w:sz="0" w:space="0" w:color="auto"/>
      </w:divBdr>
    </w:div>
    <w:div w:id="493766585">
      <w:bodyDiv w:val="1"/>
      <w:marLeft w:val="0"/>
      <w:marRight w:val="0"/>
      <w:marTop w:val="0"/>
      <w:marBottom w:val="0"/>
      <w:divBdr>
        <w:top w:val="none" w:sz="0" w:space="0" w:color="auto"/>
        <w:left w:val="none" w:sz="0" w:space="0" w:color="auto"/>
        <w:bottom w:val="none" w:sz="0" w:space="0" w:color="auto"/>
        <w:right w:val="none" w:sz="0" w:space="0" w:color="auto"/>
      </w:divBdr>
    </w:div>
    <w:div w:id="544413487">
      <w:bodyDiv w:val="1"/>
      <w:marLeft w:val="0"/>
      <w:marRight w:val="0"/>
      <w:marTop w:val="0"/>
      <w:marBottom w:val="0"/>
      <w:divBdr>
        <w:top w:val="none" w:sz="0" w:space="0" w:color="auto"/>
        <w:left w:val="none" w:sz="0" w:space="0" w:color="auto"/>
        <w:bottom w:val="none" w:sz="0" w:space="0" w:color="auto"/>
        <w:right w:val="none" w:sz="0" w:space="0" w:color="auto"/>
      </w:divBdr>
    </w:div>
    <w:div w:id="603733679">
      <w:bodyDiv w:val="1"/>
      <w:marLeft w:val="0"/>
      <w:marRight w:val="0"/>
      <w:marTop w:val="0"/>
      <w:marBottom w:val="0"/>
      <w:divBdr>
        <w:top w:val="none" w:sz="0" w:space="0" w:color="auto"/>
        <w:left w:val="none" w:sz="0" w:space="0" w:color="auto"/>
        <w:bottom w:val="none" w:sz="0" w:space="0" w:color="auto"/>
        <w:right w:val="none" w:sz="0" w:space="0" w:color="auto"/>
      </w:divBdr>
    </w:div>
    <w:div w:id="607197001">
      <w:bodyDiv w:val="1"/>
      <w:marLeft w:val="0"/>
      <w:marRight w:val="0"/>
      <w:marTop w:val="0"/>
      <w:marBottom w:val="0"/>
      <w:divBdr>
        <w:top w:val="none" w:sz="0" w:space="0" w:color="auto"/>
        <w:left w:val="none" w:sz="0" w:space="0" w:color="auto"/>
        <w:bottom w:val="none" w:sz="0" w:space="0" w:color="auto"/>
        <w:right w:val="none" w:sz="0" w:space="0" w:color="auto"/>
      </w:divBdr>
    </w:div>
    <w:div w:id="652173721">
      <w:bodyDiv w:val="1"/>
      <w:marLeft w:val="0"/>
      <w:marRight w:val="0"/>
      <w:marTop w:val="0"/>
      <w:marBottom w:val="0"/>
      <w:divBdr>
        <w:top w:val="none" w:sz="0" w:space="0" w:color="auto"/>
        <w:left w:val="none" w:sz="0" w:space="0" w:color="auto"/>
        <w:bottom w:val="none" w:sz="0" w:space="0" w:color="auto"/>
        <w:right w:val="none" w:sz="0" w:space="0" w:color="auto"/>
      </w:divBdr>
    </w:div>
    <w:div w:id="673535569">
      <w:bodyDiv w:val="1"/>
      <w:marLeft w:val="0"/>
      <w:marRight w:val="0"/>
      <w:marTop w:val="0"/>
      <w:marBottom w:val="0"/>
      <w:divBdr>
        <w:top w:val="none" w:sz="0" w:space="0" w:color="auto"/>
        <w:left w:val="none" w:sz="0" w:space="0" w:color="auto"/>
        <w:bottom w:val="none" w:sz="0" w:space="0" w:color="auto"/>
        <w:right w:val="none" w:sz="0" w:space="0" w:color="auto"/>
      </w:divBdr>
    </w:div>
    <w:div w:id="688719378">
      <w:bodyDiv w:val="1"/>
      <w:marLeft w:val="0"/>
      <w:marRight w:val="0"/>
      <w:marTop w:val="0"/>
      <w:marBottom w:val="0"/>
      <w:divBdr>
        <w:top w:val="none" w:sz="0" w:space="0" w:color="auto"/>
        <w:left w:val="none" w:sz="0" w:space="0" w:color="auto"/>
        <w:bottom w:val="none" w:sz="0" w:space="0" w:color="auto"/>
        <w:right w:val="none" w:sz="0" w:space="0" w:color="auto"/>
      </w:divBdr>
    </w:div>
    <w:div w:id="690185658">
      <w:bodyDiv w:val="1"/>
      <w:marLeft w:val="0"/>
      <w:marRight w:val="0"/>
      <w:marTop w:val="0"/>
      <w:marBottom w:val="0"/>
      <w:divBdr>
        <w:top w:val="none" w:sz="0" w:space="0" w:color="auto"/>
        <w:left w:val="none" w:sz="0" w:space="0" w:color="auto"/>
        <w:bottom w:val="none" w:sz="0" w:space="0" w:color="auto"/>
        <w:right w:val="none" w:sz="0" w:space="0" w:color="auto"/>
      </w:divBdr>
    </w:div>
    <w:div w:id="718289741">
      <w:bodyDiv w:val="1"/>
      <w:marLeft w:val="0"/>
      <w:marRight w:val="0"/>
      <w:marTop w:val="0"/>
      <w:marBottom w:val="0"/>
      <w:divBdr>
        <w:top w:val="none" w:sz="0" w:space="0" w:color="auto"/>
        <w:left w:val="none" w:sz="0" w:space="0" w:color="auto"/>
        <w:bottom w:val="none" w:sz="0" w:space="0" w:color="auto"/>
        <w:right w:val="none" w:sz="0" w:space="0" w:color="auto"/>
      </w:divBdr>
    </w:div>
    <w:div w:id="787360933">
      <w:bodyDiv w:val="1"/>
      <w:marLeft w:val="0"/>
      <w:marRight w:val="0"/>
      <w:marTop w:val="0"/>
      <w:marBottom w:val="0"/>
      <w:divBdr>
        <w:top w:val="none" w:sz="0" w:space="0" w:color="auto"/>
        <w:left w:val="none" w:sz="0" w:space="0" w:color="auto"/>
        <w:bottom w:val="none" w:sz="0" w:space="0" w:color="auto"/>
        <w:right w:val="none" w:sz="0" w:space="0" w:color="auto"/>
      </w:divBdr>
    </w:div>
    <w:div w:id="789513238">
      <w:bodyDiv w:val="1"/>
      <w:marLeft w:val="0"/>
      <w:marRight w:val="0"/>
      <w:marTop w:val="0"/>
      <w:marBottom w:val="0"/>
      <w:divBdr>
        <w:top w:val="none" w:sz="0" w:space="0" w:color="auto"/>
        <w:left w:val="none" w:sz="0" w:space="0" w:color="auto"/>
        <w:bottom w:val="none" w:sz="0" w:space="0" w:color="auto"/>
        <w:right w:val="none" w:sz="0" w:space="0" w:color="auto"/>
      </w:divBdr>
    </w:div>
    <w:div w:id="873923322">
      <w:bodyDiv w:val="1"/>
      <w:marLeft w:val="0"/>
      <w:marRight w:val="0"/>
      <w:marTop w:val="0"/>
      <w:marBottom w:val="0"/>
      <w:divBdr>
        <w:top w:val="none" w:sz="0" w:space="0" w:color="auto"/>
        <w:left w:val="none" w:sz="0" w:space="0" w:color="auto"/>
        <w:bottom w:val="none" w:sz="0" w:space="0" w:color="auto"/>
        <w:right w:val="none" w:sz="0" w:space="0" w:color="auto"/>
      </w:divBdr>
    </w:div>
    <w:div w:id="920993389">
      <w:bodyDiv w:val="1"/>
      <w:marLeft w:val="0"/>
      <w:marRight w:val="0"/>
      <w:marTop w:val="0"/>
      <w:marBottom w:val="0"/>
      <w:divBdr>
        <w:top w:val="none" w:sz="0" w:space="0" w:color="auto"/>
        <w:left w:val="none" w:sz="0" w:space="0" w:color="auto"/>
        <w:bottom w:val="none" w:sz="0" w:space="0" w:color="auto"/>
        <w:right w:val="none" w:sz="0" w:space="0" w:color="auto"/>
      </w:divBdr>
    </w:div>
    <w:div w:id="942223247">
      <w:bodyDiv w:val="1"/>
      <w:marLeft w:val="0"/>
      <w:marRight w:val="0"/>
      <w:marTop w:val="0"/>
      <w:marBottom w:val="0"/>
      <w:divBdr>
        <w:top w:val="none" w:sz="0" w:space="0" w:color="auto"/>
        <w:left w:val="none" w:sz="0" w:space="0" w:color="auto"/>
        <w:bottom w:val="none" w:sz="0" w:space="0" w:color="auto"/>
        <w:right w:val="none" w:sz="0" w:space="0" w:color="auto"/>
      </w:divBdr>
    </w:div>
    <w:div w:id="967009993">
      <w:bodyDiv w:val="1"/>
      <w:marLeft w:val="0"/>
      <w:marRight w:val="0"/>
      <w:marTop w:val="0"/>
      <w:marBottom w:val="0"/>
      <w:divBdr>
        <w:top w:val="none" w:sz="0" w:space="0" w:color="auto"/>
        <w:left w:val="none" w:sz="0" w:space="0" w:color="auto"/>
        <w:bottom w:val="none" w:sz="0" w:space="0" w:color="auto"/>
        <w:right w:val="none" w:sz="0" w:space="0" w:color="auto"/>
      </w:divBdr>
    </w:div>
    <w:div w:id="1034767035">
      <w:bodyDiv w:val="1"/>
      <w:marLeft w:val="0"/>
      <w:marRight w:val="0"/>
      <w:marTop w:val="0"/>
      <w:marBottom w:val="0"/>
      <w:divBdr>
        <w:top w:val="none" w:sz="0" w:space="0" w:color="auto"/>
        <w:left w:val="none" w:sz="0" w:space="0" w:color="auto"/>
        <w:bottom w:val="none" w:sz="0" w:space="0" w:color="auto"/>
        <w:right w:val="none" w:sz="0" w:space="0" w:color="auto"/>
      </w:divBdr>
    </w:div>
    <w:div w:id="1051925407">
      <w:bodyDiv w:val="1"/>
      <w:marLeft w:val="0"/>
      <w:marRight w:val="0"/>
      <w:marTop w:val="0"/>
      <w:marBottom w:val="0"/>
      <w:divBdr>
        <w:top w:val="none" w:sz="0" w:space="0" w:color="auto"/>
        <w:left w:val="none" w:sz="0" w:space="0" w:color="auto"/>
        <w:bottom w:val="none" w:sz="0" w:space="0" w:color="auto"/>
        <w:right w:val="none" w:sz="0" w:space="0" w:color="auto"/>
      </w:divBdr>
    </w:div>
    <w:div w:id="1055548714">
      <w:bodyDiv w:val="1"/>
      <w:marLeft w:val="0"/>
      <w:marRight w:val="0"/>
      <w:marTop w:val="0"/>
      <w:marBottom w:val="0"/>
      <w:divBdr>
        <w:top w:val="none" w:sz="0" w:space="0" w:color="auto"/>
        <w:left w:val="none" w:sz="0" w:space="0" w:color="auto"/>
        <w:bottom w:val="none" w:sz="0" w:space="0" w:color="auto"/>
        <w:right w:val="none" w:sz="0" w:space="0" w:color="auto"/>
      </w:divBdr>
    </w:div>
    <w:div w:id="1073239938">
      <w:bodyDiv w:val="1"/>
      <w:marLeft w:val="0"/>
      <w:marRight w:val="0"/>
      <w:marTop w:val="0"/>
      <w:marBottom w:val="0"/>
      <w:divBdr>
        <w:top w:val="none" w:sz="0" w:space="0" w:color="auto"/>
        <w:left w:val="none" w:sz="0" w:space="0" w:color="auto"/>
        <w:bottom w:val="none" w:sz="0" w:space="0" w:color="auto"/>
        <w:right w:val="none" w:sz="0" w:space="0" w:color="auto"/>
      </w:divBdr>
    </w:div>
    <w:div w:id="1119957017">
      <w:bodyDiv w:val="1"/>
      <w:marLeft w:val="0"/>
      <w:marRight w:val="0"/>
      <w:marTop w:val="0"/>
      <w:marBottom w:val="0"/>
      <w:divBdr>
        <w:top w:val="none" w:sz="0" w:space="0" w:color="auto"/>
        <w:left w:val="none" w:sz="0" w:space="0" w:color="auto"/>
        <w:bottom w:val="none" w:sz="0" w:space="0" w:color="auto"/>
        <w:right w:val="none" w:sz="0" w:space="0" w:color="auto"/>
      </w:divBdr>
    </w:div>
    <w:div w:id="1159809554">
      <w:bodyDiv w:val="1"/>
      <w:marLeft w:val="0"/>
      <w:marRight w:val="0"/>
      <w:marTop w:val="0"/>
      <w:marBottom w:val="0"/>
      <w:divBdr>
        <w:top w:val="none" w:sz="0" w:space="0" w:color="auto"/>
        <w:left w:val="none" w:sz="0" w:space="0" w:color="auto"/>
        <w:bottom w:val="none" w:sz="0" w:space="0" w:color="auto"/>
        <w:right w:val="none" w:sz="0" w:space="0" w:color="auto"/>
      </w:divBdr>
    </w:div>
    <w:div w:id="1235623770">
      <w:bodyDiv w:val="1"/>
      <w:marLeft w:val="0"/>
      <w:marRight w:val="0"/>
      <w:marTop w:val="0"/>
      <w:marBottom w:val="0"/>
      <w:divBdr>
        <w:top w:val="none" w:sz="0" w:space="0" w:color="auto"/>
        <w:left w:val="none" w:sz="0" w:space="0" w:color="auto"/>
        <w:bottom w:val="none" w:sz="0" w:space="0" w:color="auto"/>
        <w:right w:val="none" w:sz="0" w:space="0" w:color="auto"/>
      </w:divBdr>
    </w:div>
    <w:div w:id="1268462703">
      <w:bodyDiv w:val="1"/>
      <w:marLeft w:val="0"/>
      <w:marRight w:val="0"/>
      <w:marTop w:val="0"/>
      <w:marBottom w:val="0"/>
      <w:divBdr>
        <w:top w:val="none" w:sz="0" w:space="0" w:color="auto"/>
        <w:left w:val="none" w:sz="0" w:space="0" w:color="auto"/>
        <w:bottom w:val="none" w:sz="0" w:space="0" w:color="auto"/>
        <w:right w:val="none" w:sz="0" w:space="0" w:color="auto"/>
      </w:divBdr>
    </w:div>
    <w:div w:id="1271425973">
      <w:bodyDiv w:val="1"/>
      <w:marLeft w:val="0"/>
      <w:marRight w:val="0"/>
      <w:marTop w:val="0"/>
      <w:marBottom w:val="0"/>
      <w:divBdr>
        <w:top w:val="none" w:sz="0" w:space="0" w:color="auto"/>
        <w:left w:val="none" w:sz="0" w:space="0" w:color="auto"/>
        <w:bottom w:val="none" w:sz="0" w:space="0" w:color="auto"/>
        <w:right w:val="none" w:sz="0" w:space="0" w:color="auto"/>
      </w:divBdr>
    </w:div>
    <w:div w:id="1338843004">
      <w:bodyDiv w:val="1"/>
      <w:marLeft w:val="0"/>
      <w:marRight w:val="0"/>
      <w:marTop w:val="0"/>
      <w:marBottom w:val="0"/>
      <w:divBdr>
        <w:top w:val="none" w:sz="0" w:space="0" w:color="auto"/>
        <w:left w:val="none" w:sz="0" w:space="0" w:color="auto"/>
        <w:bottom w:val="none" w:sz="0" w:space="0" w:color="auto"/>
        <w:right w:val="none" w:sz="0" w:space="0" w:color="auto"/>
      </w:divBdr>
    </w:div>
    <w:div w:id="1416324621">
      <w:bodyDiv w:val="1"/>
      <w:marLeft w:val="0"/>
      <w:marRight w:val="0"/>
      <w:marTop w:val="0"/>
      <w:marBottom w:val="0"/>
      <w:divBdr>
        <w:top w:val="none" w:sz="0" w:space="0" w:color="auto"/>
        <w:left w:val="none" w:sz="0" w:space="0" w:color="auto"/>
        <w:bottom w:val="none" w:sz="0" w:space="0" w:color="auto"/>
        <w:right w:val="none" w:sz="0" w:space="0" w:color="auto"/>
      </w:divBdr>
    </w:div>
    <w:div w:id="1461847975">
      <w:bodyDiv w:val="1"/>
      <w:marLeft w:val="0"/>
      <w:marRight w:val="0"/>
      <w:marTop w:val="0"/>
      <w:marBottom w:val="0"/>
      <w:divBdr>
        <w:top w:val="none" w:sz="0" w:space="0" w:color="auto"/>
        <w:left w:val="none" w:sz="0" w:space="0" w:color="auto"/>
        <w:bottom w:val="none" w:sz="0" w:space="0" w:color="auto"/>
        <w:right w:val="none" w:sz="0" w:space="0" w:color="auto"/>
      </w:divBdr>
    </w:div>
    <w:div w:id="1473593885">
      <w:bodyDiv w:val="1"/>
      <w:marLeft w:val="0"/>
      <w:marRight w:val="0"/>
      <w:marTop w:val="0"/>
      <w:marBottom w:val="0"/>
      <w:divBdr>
        <w:top w:val="none" w:sz="0" w:space="0" w:color="auto"/>
        <w:left w:val="none" w:sz="0" w:space="0" w:color="auto"/>
        <w:bottom w:val="none" w:sz="0" w:space="0" w:color="auto"/>
        <w:right w:val="none" w:sz="0" w:space="0" w:color="auto"/>
      </w:divBdr>
    </w:div>
    <w:div w:id="1513911030">
      <w:bodyDiv w:val="1"/>
      <w:marLeft w:val="0"/>
      <w:marRight w:val="0"/>
      <w:marTop w:val="0"/>
      <w:marBottom w:val="0"/>
      <w:divBdr>
        <w:top w:val="none" w:sz="0" w:space="0" w:color="auto"/>
        <w:left w:val="none" w:sz="0" w:space="0" w:color="auto"/>
        <w:bottom w:val="none" w:sz="0" w:space="0" w:color="auto"/>
        <w:right w:val="none" w:sz="0" w:space="0" w:color="auto"/>
      </w:divBdr>
    </w:div>
    <w:div w:id="1527255343">
      <w:bodyDiv w:val="1"/>
      <w:marLeft w:val="0"/>
      <w:marRight w:val="0"/>
      <w:marTop w:val="0"/>
      <w:marBottom w:val="0"/>
      <w:divBdr>
        <w:top w:val="none" w:sz="0" w:space="0" w:color="auto"/>
        <w:left w:val="none" w:sz="0" w:space="0" w:color="auto"/>
        <w:bottom w:val="none" w:sz="0" w:space="0" w:color="auto"/>
        <w:right w:val="none" w:sz="0" w:space="0" w:color="auto"/>
      </w:divBdr>
    </w:div>
    <w:div w:id="1571765742">
      <w:bodyDiv w:val="1"/>
      <w:marLeft w:val="0"/>
      <w:marRight w:val="0"/>
      <w:marTop w:val="0"/>
      <w:marBottom w:val="0"/>
      <w:divBdr>
        <w:top w:val="none" w:sz="0" w:space="0" w:color="auto"/>
        <w:left w:val="none" w:sz="0" w:space="0" w:color="auto"/>
        <w:bottom w:val="none" w:sz="0" w:space="0" w:color="auto"/>
        <w:right w:val="none" w:sz="0" w:space="0" w:color="auto"/>
      </w:divBdr>
    </w:div>
    <w:div w:id="1597059607">
      <w:bodyDiv w:val="1"/>
      <w:marLeft w:val="0"/>
      <w:marRight w:val="0"/>
      <w:marTop w:val="0"/>
      <w:marBottom w:val="0"/>
      <w:divBdr>
        <w:top w:val="none" w:sz="0" w:space="0" w:color="auto"/>
        <w:left w:val="none" w:sz="0" w:space="0" w:color="auto"/>
        <w:bottom w:val="none" w:sz="0" w:space="0" w:color="auto"/>
        <w:right w:val="none" w:sz="0" w:space="0" w:color="auto"/>
      </w:divBdr>
    </w:div>
    <w:div w:id="1600870388">
      <w:bodyDiv w:val="1"/>
      <w:marLeft w:val="0"/>
      <w:marRight w:val="0"/>
      <w:marTop w:val="0"/>
      <w:marBottom w:val="0"/>
      <w:divBdr>
        <w:top w:val="none" w:sz="0" w:space="0" w:color="auto"/>
        <w:left w:val="none" w:sz="0" w:space="0" w:color="auto"/>
        <w:bottom w:val="none" w:sz="0" w:space="0" w:color="auto"/>
        <w:right w:val="none" w:sz="0" w:space="0" w:color="auto"/>
      </w:divBdr>
    </w:div>
    <w:div w:id="1832330758">
      <w:bodyDiv w:val="1"/>
      <w:marLeft w:val="0"/>
      <w:marRight w:val="0"/>
      <w:marTop w:val="0"/>
      <w:marBottom w:val="0"/>
      <w:divBdr>
        <w:top w:val="none" w:sz="0" w:space="0" w:color="auto"/>
        <w:left w:val="none" w:sz="0" w:space="0" w:color="auto"/>
        <w:bottom w:val="none" w:sz="0" w:space="0" w:color="auto"/>
        <w:right w:val="none" w:sz="0" w:space="0" w:color="auto"/>
      </w:divBdr>
    </w:div>
    <w:div w:id="1925145090">
      <w:bodyDiv w:val="1"/>
      <w:marLeft w:val="0"/>
      <w:marRight w:val="0"/>
      <w:marTop w:val="0"/>
      <w:marBottom w:val="0"/>
      <w:divBdr>
        <w:top w:val="none" w:sz="0" w:space="0" w:color="auto"/>
        <w:left w:val="none" w:sz="0" w:space="0" w:color="auto"/>
        <w:bottom w:val="none" w:sz="0" w:space="0" w:color="auto"/>
        <w:right w:val="none" w:sz="0" w:space="0" w:color="auto"/>
      </w:divBdr>
    </w:div>
    <w:div w:id="1965841684">
      <w:bodyDiv w:val="1"/>
      <w:marLeft w:val="0"/>
      <w:marRight w:val="0"/>
      <w:marTop w:val="0"/>
      <w:marBottom w:val="0"/>
      <w:divBdr>
        <w:top w:val="none" w:sz="0" w:space="0" w:color="auto"/>
        <w:left w:val="none" w:sz="0" w:space="0" w:color="auto"/>
        <w:bottom w:val="none" w:sz="0" w:space="0" w:color="auto"/>
        <w:right w:val="none" w:sz="0" w:space="0" w:color="auto"/>
      </w:divBdr>
    </w:div>
    <w:div w:id="2013333216">
      <w:bodyDiv w:val="1"/>
      <w:marLeft w:val="0"/>
      <w:marRight w:val="0"/>
      <w:marTop w:val="0"/>
      <w:marBottom w:val="0"/>
      <w:divBdr>
        <w:top w:val="none" w:sz="0" w:space="0" w:color="auto"/>
        <w:left w:val="none" w:sz="0" w:space="0" w:color="auto"/>
        <w:bottom w:val="none" w:sz="0" w:space="0" w:color="auto"/>
        <w:right w:val="none" w:sz="0" w:space="0" w:color="auto"/>
      </w:divBdr>
    </w:div>
    <w:div w:id="2029284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BLDjWTp6p2cViPwAICSzCfqg==">CgMxLjAyCWguM3pueXNoNzIOaC55aGJmdjc1Njc2bXQyDmguajNwcHl4d2xiMXMyMghoLnR5amN3dDINaC5qbDBkbGFzb3Q0ZjgAciExT2VTcXNycWJ5dV9lUFpCNllQZmpuS1pnTFpXX0ZnbnM=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14181</Words>
  <Characters>77998</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2026-04-07T18:10:00Z</dcterms:created>
  <dcterms:modified xsi:type="dcterms:W3CDTF">2026-04-07T18:10:00Z</dcterms:modified>
</cp:coreProperties>
</file>