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BA8F4" w14:textId="214FF958" w:rsidR="00785E98" w:rsidRPr="00BF5949" w:rsidRDefault="005D216E">
      <w:pPr>
        <w:shd w:val="clear" w:color="auto" w:fill="FFFFFF"/>
        <w:spacing w:line="360" w:lineRule="auto"/>
        <w:jc w:val="both"/>
        <w:rPr>
          <w:rFonts w:ascii="Palatino Linotype" w:eastAsia="Palatino Linotype" w:hAnsi="Palatino Linotype" w:cs="Palatino Linotype"/>
          <w:color w:val="000000"/>
        </w:rPr>
      </w:pPr>
      <w:r w:rsidRPr="00BF5949">
        <w:rPr>
          <w:rFonts w:ascii="Palatino Linotype" w:eastAsia="Palatino Linotype" w:hAnsi="Palatino Linotype" w:cs="Palatino Linotype"/>
          <w:color w:val="000000"/>
        </w:rPr>
        <w:t>Resolución del Pleno del Instituto de Transparencia, Acceso a la Información Pública y Protección de Datos Personales del Estado de México y Municipios, con domicilio en Metepec, Estado</w:t>
      </w:r>
      <w:r w:rsidR="00B451BA" w:rsidRPr="00BF5949">
        <w:rPr>
          <w:rFonts w:ascii="Palatino Linotype" w:eastAsia="Palatino Linotype" w:hAnsi="Palatino Linotype" w:cs="Palatino Linotype"/>
          <w:color w:val="000000"/>
        </w:rPr>
        <w:t xml:space="preserve"> de México, a </w:t>
      </w:r>
      <w:r w:rsidR="00354E07" w:rsidRPr="00BF5949">
        <w:rPr>
          <w:rFonts w:ascii="Palatino Linotype" w:eastAsia="Palatino Linotype" w:hAnsi="Palatino Linotype" w:cs="Palatino Linotype"/>
          <w:color w:val="000000"/>
        </w:rPr>
        <w:t>veintiocho</w:t>
      </w:r>
      <w:r w:rsidR="00835C60" w:rsidRPr="00BF5949">
        <w:rPr>
          <w:rFonts w:ascii="Palatino Linotype" w:eastAsia="Palatino Linotype" w:hAnsi="Palatino Linotype" w:cs="Palatino Linotype"/>
          <w:color w:val="000000"/>
        </w:rPr>
        <w:t xml:space="preserve"> de abril</w:t>
      </w:r>
      <w:r w:rsidR="00C06409" w:rsidRPr="00BF5949">
        <w:rPr>
          <w:rFonts w:ascii="Palatino Linotype" w:eastAsia="Palatino Linotype" w:hAnsi="Palatino Linotype" w:cs="Palatino Linotype"/>
          <w:color w:val="000000"/>
        </w:rPr>
        <w:t xml:space="preserve"> de dos mil veintiséis</w:t>
      </w:r>
      <w:r w:rsidRPr="00BF5949">
        <w:rPr>
          <w:rFonts w:ascii="Palatino Linotype" w:eastAsia="Palatino Linotype" w:hAnsi="Palatino Linotype" w:cs="Palatino Linotype"/>
          <w:color w:val="000000"/>
        </w:rPr>
        <w:t>.</w:t>
      </w:r>
    </w:p>
    <w:p w14:paraId="007E9478" w14:textId="77777777" w:rsidR="00CD4761" w:rsidRPr="00BF5949" w:rsidRDefault="00CD4761" w:rsidP="00CD4761">
      <w:pPr>
        <w:spacing w:line="360" w:lineRule="auto"/>
        <w:contextualSpacing/>
        <w:jc w:val="both"/>
        <w:rPr>
          <w:rFonts w:ascii="Palatino Linotype" w:hAnsi="Palatino Linotype" w:cs="Palatino Linotype"/>
          <w:b/>
          <w:bCs/>
          <w:color w:val="000000"/>
          <w:szCs w:val="22"/>
        </w:rPr>
      </w:pPr>
    </w:p>
    <w:p w14:paraId="7A1FA10D" w14:textId="09F62B4B" w:rsidR="00CD4761" w:rsidRPr="00BF5949" w:rsidRDefault="00CD4761" w:rsidP="00CD4761">
      <w:pPr>
        <w:spacing w:line="360" w:lineRule="auto"/>
        <w:contextualSpacing/>
        <w:jc w:val="both"/>
        <w:rPr>
          <w:rFonts w:ascii="Palatino Linotype" w:hAnsi="Palatino Linotype" w:cs="Palatino Linotype"/>
          <w:b/>
          <w:bCs/>
          <w:color w:val="000000"/>
          <w:szCs w:val="22"/>
        </w:rPr>
      </w:pPr>
      <w:r w:rsidRPr="00BF5949">
        <w:rPr>
          <w:rFonts w:ascii="Palatino Linotype" w:hAnsi="Palatino Linotype" w:cs="Palatino Linotype"/>
          <w:b/>
          <w:bCs/>
          <w:color w:val="000000"/>
          <w:szCs w:val="22"/>
        </w:rPr>
        <w:t>VISTO</w:t>
      </w:r>
      <w:r w:rsidRPr="00BF5949">
        <w:rPr>
          <w:rFonts w:ascii="Palatino Linotype" w:hAnsi="Palatino Linotype" w:cs="Palatino Linotype"/>
          <w:color w:val="000000"/>
          <w:szCs w:val="22"/>
        </w:rPr>
        <w:t xml:space="preserve"> el expediente electrónico formado con motivo del recurso de revisión número </w:t>
      </w:r>
      <w:bookmarkStart w:id="0" w:name="_GoBack"/>
      <w:r w:rsidR="00354E07" w:rsidRPr="00BF5949">
        <w:rPr>
          <w:rFonts w:ascii="Palatino Linotype" w:hAnsi="Palatino Linotype" w:cs="Palatino Linotype"/>
          <w:b/>
          <w:bCs/>
          <w:color w:val="000000"/>
          <w:szCs w:val="22"/>
          <w:lang w:val="es-ES_tradnl"/>
        </w:rPr>
        <w:t>03550/INFOEM/IP/RR/2026</w:t>
      </w:r>
      <w:bookmarkEnd w:id="0"/>
      <w:r w:rsidRPr="00BF5949">
        <w:rPr>
          <w:rFonts w:ascii="Palatino Linotype" w:hAnsi="Palatino Linotype" w:cs="Palatino Linotype"/>
          <w:color w:val="000000"/>
          <w:szCs w:val="22"/>
        </w:rPr>
        <w:t xml:space="preserve">, </w:t>
      </w:r>
      <w:r w:rsidR="00D2417F" w:rsidRPr="00BF5949">
        <w:rPr>
          <w:rFonts w:ascii="Palatino Linotype" w:hAnsi="Palatino Linotype" w:cs="Arial"/>
          <w:lang w:val="es-ES_tradnl"/>
        </w:rPr>
        <w:t xml:space="preserve">interpuesto por </w:t>
      </w:r>
      <w:r w:rsidR="006B4129" w:rsidRPr="00BF5949">
        <w:rPr>
          <w:rFonts w:ascii="Palatino Linotype" w:hAnsi="Palatino Linotype" w:cs="Arial"/>
          <w:lang w:val="es-ES_tradnl"/>
        </w:rPr>
        <w:t>la</w:t>
      </w:r>
      <w:r w:rsidR="009E0B8A" w:rsidRPr="00BF5949">
        <w:rPr>
          <w:rFonts w:ascii="Palatino Linotype" w:hAnsi="Palatino Linotype" w:cs="Arial"/>
          <w:lang w:val="es-ES_tradnl"/>
        </w:rPr>
        <w:t xml:space="preserve"> C. </w:t>
      </w:r>
      <w:r w:rsidR="002051AA">
        <w:rPr>
          <w:rFonts w:ascii="Palatino Linotype" w:hAnsi="Palatino Linotype" w:cs="Arial"/>
          <w:b/>
          <w:bCs/>
          <w:lang w:val="es-ES_tradnl"/>
        </w:rPr>
        <w:t>XXXXXXXXXXXXXXXXXXX</w:t>
      </w:r>
      <w:r w:rsidR="00D2417F" w:rsidRPr="00BF5949">
        <w:rPr>
          <w:rFonts w:ascii="Palatino Linotype" w:hAnsi="Palatino Linotype" w:cs="Arial"/>
          <w:lang w:val="es-ES_tradnl"/>
        </w:rPr>
        <w:t>,</w:t>
      </w:r>
      <w:r w:rsidR="00D2417F" w:rsidRPr="00BF5949">
        <w:rPr>
          <w:rFonts w:ascii="Palatino Linotype" w:hAnsi="Palatino Linotype" w:cs="Arial"/>
          <w:b/>
          <w:lang w:val="es-ES_tradnl"/>
        </w:rPr>
        <w:t xml:space="preserve"> </w:t>
      </w:r>
      <w:r w:rsidR="00D2417F" w:rsidRPr="00BF5949">
        <w:rPr>
          <w:rFonts w:ascii="Palatino Linotype" w:hAnsi="Palatino Linotype" w:cs="Arial"/>
          <w:lang w:val="es-ES_tradnl"/>
        </w:rPr>
        <w:t xml:space="preserve">en lo sucesivo </w:t>
      </w:r>
      <w:r w:rsidR="006B4129" w:rsidRPr="00BF5949">
        <w:rPr>
          <w:rFonts w:ascii="Palatino Linotype" w:hAnsi="Palatino Linotype" w:cs="Arial"/>
          <w:bCs/>
          <w:lang w:val="es-ES_tradnl"/>
        </w:rPr>
        <w:t>la parte</w:t>
      </w:r>
      <w:r w:rsidR="00D2417F" w:rsidRPr="00BF5949">
        <w:rPr>
          <w:rFonts w:ascii="Palatino Linotype" w:hAnsi="Palatino Linotype" w:cs="Arial"/>
          <w:b/>
          <w:lang w:val="es-ES_tradnl"/>
        </w:rPr>
        <w:t xml:space="preserve"> Recurrente</w:t>
      </w:r>
      <w:r w:rsidRPr="00BF5949">
        <w:rPr>
          <w:rFonts w:ascii="Palatino Linotype" w:hAnsi="Palatino Linotype" w:cs="Palatino Linotype"/>
          <w:color w:val="000000"/>
          <w:szCs w:val="22"/>
        </w:rPr>
        <w:t xml:space="preserve">, en contra de la falta de respuesta del </w:t>
      </w:r>
      <w:r w:rsidR="006B4129" w:rsidRPr="00BF5949">
        <w:rPr>
          <w:rFonts w:ascii="Palatino Linotype" w:hAnsi="Palatino Linotype" w:cs="Palatino Linotype"/>
          <w:b/>
          <w:bCs/>
          <w:color w:val="000000"/>
          <w:szCs w:val="22"/>
          <w:lang w:val="es-ES_tradnl"/>
        </w:rPr>
        <w:t>Ayuntamiento de Tepotzotlán</w:t>
      </w:r>
      <w:r w:rsidRPr="00BF5949">
        <w:rPr>
          <w:rFonts w:ascii="Palatino Linotype" w:hAnsi="Palatino Linotype" w:cs="Palatino Linotype"/>
          <w:color w:val="000000"/>
          <w:szCs w:val="22"/>
        </w:rPr>
        <w:t>, en lo subsecuente</w:t>
      </w:r>
      <w:r w:rsidRPr="00BF5949">
        <w:rPr>
          <w:rFonts w:ascii="Palatino Linotype" w:hAnsi="Palatino Linotype" w:cs="Palatino Linotype"/>
          <w:b/>
          <w:bCs/>
          <w:color w:val="000000"/>
          <w:szCs w:val="22"/>
        </w:rPr>
        <w:t xml:space="preserve"> </w:t>
      </w:r>
      <w:r w:rsidRPr="00BF5949">
        <w:rPr>
          <w:rFonts w:ascii="Palatino Linotype" w:hAnsi="Palatino Linotype" w:cs="Palatino Linotype"/>
          <w:color w:val="000000"/>
          <w:szCs w:val="22"/>
        </w:rPr>
        <w:t>el</w:t>
      </w:r>
      <w:r w:rsidRPr="00BF5949">
        <w:rPr>
          <w:rFonts w:ascii="Palatino Linotype" w:hAnsi="Palatino Linotype" w:cs="Palatino Linotype"/>
          <w:b/>
          <w:bCs/>
          <w:color w:val="000000"/>
          <w:szCs w:val="22"/>
        </w:rPr>
        <w:t xml:space="preserve"> Sujeto Obligado, </w:t>
      </w:r>
      <w:r w:rsidRPr="00BF5949">
        <w:rPr>
          <w:rFonts w:ascii="Palatino Linotype" w:hAnsi="Palatino Linotype" w:cs="Palatino Linotype"/>
          <w:color w:val="000000"/>
          <w:szCs w:val="22"/>
        </w:rPr>
        <w:t>se procede a dictar la presente resolución.</w:t>
      </w:r>
    </w:p>
    <w:p w14:paraId="65569AD6" w14:textId="156FB92D" w:rsidR="00785E98" w:rsidRPr="00BF5949" w:rsidRDefault="00785E98">
      <w:pPr>
        <w:shd w:val="clear" w:color="auto" w:fill="FFFFFF"/>
        <w:spacing w:line="360" w:lineRule="auto"/>
        <w:jc w:val="both"/>
        <w:rPr>
          <w:rFonts w:ascii="Palatino Linotype" w:eastAsia="Palatino Linotype" w:hAnsi="Palatino Linotype" w:cs="Palatino Linotype"/>
        </w:rPr>
      </w:pPr>
    </w:p>
    <w:p w14:paraId="467EE154" w14:textId="77777777" w:rsidR="00785E98" w:rsidRPr="00BF5949" w:rsidRDefault="00785E98">
      <w:pPr>
        <w:shd w:val="clear" w:color="auto" w:fill="FFFFFF"/>
        <w:spacing w:line="360" w:lineRule="auto"/>
        <w:jc w:val="both"/>
        <w:rPr>
          <w:rFonts w:ascii="Palatino Linotype" w:eastAsia="Palatino Linotype" w:hAnsi="Palatino Linotype" w:cs="Palatino Linotype"/>
          <w:color w:val="000000"/>
        </w:rPr>
      </w:pPr>
    </w:p>
    <w:p w14:paraId="0C972857" w14:textId="77777777" w:rsidR="00785E98" w:rsidRPr="00BF5949" w:rsidRDefault="005D216E">
      <w:pPr>
        <w:spacing w:line="360" w:lineRule="auto"/>
        <w:jc w:val="center"/>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A N T E C E D E N T E S   D E L   A S U N T O</w:t>
      </w:r>
    </w:p>
    <w:p w14:paraId="1DF33666" w14:textId="77777777" w:rsidR="00785E98" w:rsidRPr="00BF5949" w:rsidRDefault="00785E98">
      <w:pPr>
        <w:pBdr>
          <w:top w:val="nil"/>
          <w:left w:val="nil"/>
          <w:bottom w:val="nil"/>
          <w:right w:val="nil"/>
          <w:between w:val="nil"/>
        </w:pBdr>
        <w:rPr>
          <w:color w:val="000000"/>
        </w:rPr>
      </w:pPr>
    </w:p>
    <w:p w14:paraId="167AA1A7"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PRIMERO.</w:t>
      </w:r>
      <w:r w:rsidRPr="00BF5949">
        <w:rPr>
          <w:rFonts w:ascii="Palatino Linotype" w:eastAsia="Palatino Linotype" w:hAnsi="Palatino Linotype" w:cs="Palatino Linotype"/>
        </w:rPr>
        <w:t xml:space="preserve"> </w:t>
      </w:r>
      <w:r w:rsidR="00693587" w:rsidRPr="00BF5949">
        <w:rPr>
          <w:rFonts w:ascii="Palatino Linotype" w:eastAsia="Palatino Linotype" w:hAnsi="Palatino Linotype" w:cs="Palatino Linotype"/>
          <w:b/>
          <w:sz w:val="28"/>
          <w:szCs w:val="28"/>
        </w:rPr>
        <w:t>De la</w:t>
      </w:r>
      <w:r w:rsidRPr="00BF5949">
        <w:rPr>
          <w:rFonts w:ascii="Palatino Linotype" w:eastAsia="Palatino Linotype" w:hAnsi="Palatino Linotype" w:cs="Palatino Linotype"/>
          <w:b/>
          <w:sz w:val="28"/>
          <w:szCs w:val="28"/>
        </w:rPr>
        <w:t xml:space="preserve"> Solic</w:t>
      </w:r>
      <w:r w:rsidR="00693587" w:rsidRPr="00BF5949">
        <w:rPr>
          <w:rFonts w:ascii="Palatino Linotype" w:eastAsia="Palatino Linotype" w:hAnsi="Palatino Linotype" w:cs="Palatino Linotype"/>
          <w:b/>
          <w:sz w:val="28"/>
          <w:szCs w:val="28"/>
        </w:rPr>
        <w:t>itud</w:t>
      </w:r>
      <w:r w:rsidRPr="00BF5949">
        <w:rPr>
          <w:rFonts w:ascii="Palatino Linotype" w:eastAsia="Palatino Linotype" w:hAnsi="Palatino Linotype" w:cs="Palatino Linotype"/>
          <w:b/>
          <w:sz w:val="28"/>
          <w:szCs w:val="28"/>
        </w:rPr>
        <w:t xml:space="preserve"> de Información.</w:t>
      </w:r>
    </w:p>
    <w:p w14:paraId="799838CA" w14:textId="22226EE8"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Con fecha </w:t>
      </w:r>
      <w:r w:rsidR="00354E07" w:rsidRPr="00BF5949">
        <w:rPr>
          <w:rFonts w:ascii="Palatino Linotype" w:eastAsia="Palatino Linotype" w:hAnsi="Palatino Linotype" w:cs="Palatino Linotype"/>
        </w:rPr>
        <w:t>veintiséis</w:t>
      </w:r>
      <w:r w:rsidR="00835C60" w:rsidRPr="00BF5949">
        <w:rPr>
          <w:rFonts w:ascii="Palatino Linotype" w:eastAsia="Palatino Linotype" w:hAnsi="Palatino Linotype" w:cs="Palatino Linotype"/>
        </w:rPr>
        <w:t xml:space="preserve"> de febrero</w:t>
      </w:r>
      <w:r w:rsidR="00344EE1" w:rsidRPr="00BF5949">
        <w:rPr>
          <w:rFonts w:ascii="Palatino Linotype" w:eastAsia="Palatino Linotype" w:hAnsi="Palatino Linotype" w:cs="Palatino Linotype"/>
        </w:rPr>
        <w:t xml:space="preserve"> de dos mil veintiséis</w:t>
      </w:r>
      <w:r w:rsidRPr="00BF5949">
        <w:rPr>
          <w:rFonts w:ascii="Palatino Linotype" w:eastAsia="Palatino Linotype" w:hAnsi="Palatino Linotype" w:cs="Palatino Linotype"/>
        </w:rPr>
        <w:t>,</w:t>
      </w:r>
      <w:r w:rsidR="00693587" w:rsidRPr="00BF5949">
        <w:rPr>
          <w:rFonts w:ascii="Palatino Linotype" w:eastAsia="Palatino Linotype" w:hAnsi="Palatino Linotype" w:cs="Palatino Linotype"/>
        </w:rPr>
        <w:t xml:space="preserve"> la parte </w:t>
      </w:r>
      <w:r w:rsidRPr="00BF5949">
        <w:rPr>
          <w:rFonts w:ascii="Palatino Linotype" w:eastAsia="Palatino Linotype" w:hAnsi="Palatino Linotype" w:cs="Palatino Linotype"/>
          <w:b/>
        </w:rPr>
        <w:t xml:space="preserve">Recurrente, </w:t>
      </w:r>
      <w:r w:rsidRPr="00BF5949">
        <w:rPr>
          <w:rFonts w:ascii="Palatino Linotype" w:eastAsia="Palatino Linotype" w:hAnsi="Palatino Linotype" w:cs="Palatino Linotype"/>
        </w:rPr>
        <w:t xml:space="preserve">presentó a través del Sistema de Acceso a la Información Mexiquense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ante</w:t>
      </w:r>
      <w:r w:rsidR="00693587" w:rsidRPr="00BF5949">
        <w:rPr>
          <w:rFonts w:ascii="Palatino Linotype" w:eastAsia="Palatino Linotype" w:hAnsi="Palatino Linotype" w:cs="Palatino Linotype"/>
        </w:rPr>
        <w:t xml:space="preserve"> el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w:t>
      </w:r>
      <w:r w:rsidR="00693587" w:rsidRPr="00BF5949">
        <w:rPr>
          <w:rFonts w:ascii="Palatino Linotype" w:eastAsia="Palatino Linotype" w:hAnsi="Palatino Linotype" w:cs="Palatino Linotype"/>
        </w:rPr>
        <w:t xml:space="preserve">la </w:t>
      </w:r>
      <w:r w:rsidRPr="00BF5949">
        <w:rPr>
          <w:rFonts w:ascii="Palatino Linotype" w:eastAsia="Palatino Linotype" w:hAnsi="Palatino Linotype" w:cs="Palatino Linotype"/>
        </w:rPr>
        <w:t xml:space="preserve">solicitud de acceso a la información pública, registrada bajo </w:t>
      </w:r>
      <w:r w:rsidR="00693587" w:rsidRPr="00BF5949">
        <w:rPr>
          <w:rFonts w:ascii="Palatino Linotype" w:eastAsia="Palatino Linotype" w:hAnsi="Palatino Linotype" w:cs="Palatino Linotype"/>
        </w:rPr>
        <w:t>el número de expediente</w:t>
      </w:r>
      <w:r w:rsidRPr="00BF5949">
        <w:rPr>
          <w:rFonts w:ascii="Palatino Linotype" w:eastAsia="Palatino Linotype" w:hAnsi="Palatino Linotype" w:cs="Palatino Linotype"/>
        </w:rPr>
        <w:t xml:space="preserve"> </w:t>
      </w:r>
      <w:r w:rsidR="00354E07" w:rsidRPr="00BF5949">
        <w:rPr>
          <w:rFonts w:ascii="Palatino Linotype" w:eastAsia="Palatino Linotype" w:hAnsi="Palatino Linotype" w:cs="Palatino Linotype"/>
          <w:b/>
        </w:rPr>
        <w:t>00776/TEPOTZOT/IP/2026</w:t>
      </w:r>
      <w:r w:rsidRPr="00BF5949">
        <w:rPr>
          <w:rFonts w:ascii="Palatino Linotype" w:eastAsia="Palatino Linotype" w:hAnsi="Palatino Linotype" w:cs="Palatino Linotype"/>
        </w:rPr>
        <w:t>,</w:t>
      </w:r>
      <w:r w:rsidRPr="00BF5949">
        <w:rPr>
          <w:rFonts w:ascii="Palatino Linotype" w:eastAsia="Palatino Linotype" w:hAnsi="Palatino Linotype" w:cs="Palatino Linotype"/>
          <w:b/>
        </w:rPr>
        <w:t xml:space="preserve"> </w:t>
      </w:r>
      <w:r w:rsidR="00693587" w:rsidRPr="00BF5949">
        <w:rPr>
          <w:rFonts w:ascii="Palatino Linotype" w:eastAsia="Palatino Linotype" w:hAnsi="Palatino Linotype" w:cs="Palatino Linotype"/>
        </w:rPr>
        <w:t>mediante la cual</w:t>
      </w:r>
      <w:r w:rsidRPr="00BF5949">
        <w:rPr>
          <w:rFonts w:ascii="Palatino Linotype" w:eastAsia="Palatino Linotype" w:hAnsi="Palatino Linotype" w:cs="Palatino Linotype"/>
        </w:rPr>
        <w:t xml:space="preserve"> solicitó lo siguiente: </w:t>
      </w:r>
    </w:p>
    <w:p w14:paraId="02E8BA14" w14:textId="77777777" w:rsidR="00CA47DE" w:rsidRPr="00BF5949" w:rsidRDefault="00CA47DE">
      <w:pPr>
        <w:spacing w:line="360" w:lineRule="auto"/>
        <w:jc w:val="both"/>
        <w:rPr>
          <w:rStyle w:val="Ttulodellibro"/>
          <w:rFonts w:eastAsia="Palatino Linotype"/>
          <w:sz w:val="20"/>
          <w:szCs w:val="20"/>
        </w:rPr>
      </w:pPr>
    </w:p>
    <w:p w14:paraId="3A32F5DD" w14:textId="6F2DB69F" w:rsidR="009E0B8A" w:rsidRPr="00BF5949" w:rsidRDefault="00AD714B" w:rsidP="00FA2A43">
      <w:pPr>
        <w:spacing w:line="276" w:lineRule="auto"/>
        <w:ind w:left="567" w:right="474"/>
        <w:jc w:val="both"/>
        <w:rPr>
          <w:rFonts w:ascii="Palatino Linotype" w:eastAsia="Palatino Linotype" w:hAnsi="Palatino Linotype" w:cs="Palatino Linotype"/>
          <w:i/>
        </w:rPr>
      </w:pPr>
      <w:r w:rsidRPr="00BF5949">
        <w:rPr>
          <w:rFonts w:ascii="Palatino Linotype" w:eastAsia="Palatino Linotype" w:hAnsi="Palatino Linotype" w:cs="Palatino Linotype"/>
          <w:i/>
        </w:rPr>
        <w:t>“</w:t>
      </w:r>
      <w:r w:rsidR="00B664C3" w:rsidRPr="00BF5949">
        <w:rPr>
          <w:rFonts w:ascii="Palatino Linotype" w:eastAsia="Palatino Linotype" w:hAnsi="Palatino Linotype" w:cs="Palatino Linotype"/>
          <w:i/>
        </w:rPr>
        <w:t>S</w:t>
      </w:r>
      <w:r w:rsidR="00354E07" w:rsidRPr="00BF5949">
        <w:rPr>
          <w:rFonts w:ascii="Palatino Linotype" w:eastAsia="Palatino Linotype" w:hAnsi="Palatino Linotype" w:cs="Palatino Linotype"/>
          <w:i/>
        </w:rPr>
        <w:t xml:space="preserve">olicito copia certificada o digital, íntegra y legible, de toda la documentación técnica, jurídica, administrativa y catastral que acredite que la vialidad denominada 2da </w:t>
      </w:r>
      <w:proofErr w:type="spellStart"/>
      <w:r w:rsidR="00354E07" w:rsidRPr="00BF5949">
        <w:rPr>
          <w:rFonts w:ascii="Palatino Linotype" w:eastAsia="Palatino Linotype" w:hAnsi="Palatino Linotype" w:cs="Palatino Linotype"/>
          <w:i/>
        </w:rPr>
        <w:t>Cda</w:t>
      </w:r>
      <w:proofErr w:type="spellEnd"/>
      <w:r w:rsidR="00354E07" w:rsidRPr="00BF5949">
        <w:rPr>
          <w:rFonts w:ascii="Palatino Linotype" w:eastAsia="Palatino Linotype" w:hAnsi="Palatino Linotype" w:cs="Palatino Linotype"/>
          <w:i/>
        </w:rPr>
        <w:t xml:space="preserve">. Jazmín, Santa Cruz Tepotzotlán, es vía pública municipal y que sustente cualquier determinación de invasión o demolición respecto de bardas o construcciones colindantes, incluyendo de manera enunciativa </w:t>
      </w:r>
      <w:proofErr w:type="gramStart"/>
      <w:r w:rsidR="00354E07" w:rsidRPr="00BF5949">
        <w:rPr>
          <w:rFonts w:ascii="Palatino Linotype" w:eastAsia="Palatino Linotype" w:hAnsi="Palatino Linotype" w:cs="Palatino Linotype"/>
          <w:i/>
        </w:rPr>
        <w:t>mas</w:t>
      </w:r>
      <w:proofErr w:type="gramEnd"/>
      <w:r w:rsidR="00354E07" w:rsidRPr="00BF5949">
        <w:rPr>
          <w:rFonts w:ascii="Palatino Linotype" w:eastAsia="Palatino Linotype" w:hAnsi="Palatino Linotype" w:cs="Palatino Linotype"/>
          <w:i/>
        </w:rPr>
        <w:t xml:space="preserve"> no limitativa: • Plano oficial de trazo y lotificación aprobado por el Ayuntamiento. • Acta de Cabildo donde se haya autorizado la municipalización o incorporación al dominio público de dicha vialidad. </w:t>
      </w:r>
      <w:r w:rsidR="00354E07" w:rsidRPr="00BF5949">
        <w:rPr>
          <w:rFonts w:ascii="Palatino Linotype" w:eastAsia="Palatino Linotype" w:hAnsi="Palatino Linotype" w:cs="Palatino Linotype"/>
          <w:i/>
        </w:rPr>
        <w:lastRenderedPageBreak/>
        <w:t>• Decreto, acuerdo administrativo o instrumento jurídico correspondiente. • Plano catastral actualizado de la zona. • Clave catastral de la vialidad y fecha de alta en Catastro. • Dictamen técnico topográfico georreferenciado que determine el ancho oficial de la calle, firmado por perito responsable. • Dictamen de alineamiento y número oficial del predio colindante. • Licencias de construcción colindantes que afecten dicha vialidad. • Convenios de cesión de vialidades, donaciones o municipalización del fraccionamiento o colonia. • Actas de entrega-recepción de infraestructura urbana. • Orden de inspección, actas circunstanciadas y resoluciones administrativas relacionadas con la supuesta invasión. • Notificaciones formales realizadas al propietario. • Orden escrita de demolición o retiro de barda, con fundamento legal. • Nombre, cargo y firma del servidor público responsable del dictamen. • Publicaciones en Gaceta Municipal o avisos a vecinos sobre modificación o apertura de la vialidad. • Denuncias vecinales, solicitudes o expedientes relacionados. • Procedimientos administrativos internos derivados del caso. En caso de que alguno de los documentos solicitados no exista, solicito se indique expresamente dicha circunstancia, señalando el fundamento administrativo o normativo por el cual no se generó la información y el servidor público responsable de su omisión. La determinación de invasión a vía pública requiere soporte técnico topográfico, acuerdo formal de Cabildo y procedimiento administrativo fundado y motivado; la inexistencia de dichos documentos implicaría la ilegalidad del acto conforme a los artículos 14 y 16 constitucionales, la Ley Orgánica Municipal del Estado de México y la legislación aplicable en materia de desarrollo urbano y transparencia.</w:t>
      </w:r>
      <w:r w:rsidR="00693587" w:rsidRPr="00BF5949">
        <w:rPr>
          <w:rFonts w:ascii="Palatino Linotype" w:eastAsia="Palatino Linotype" w:hAnsi="Palatino Linotype" w:cs="Palatino Linotype"/>
          <w:i/>
        </w:rPr>
        <w:t xml:space="preserve">” (Sic). </w:t>
      </w:r>
    </w:p>
    <w:p w14:paraId="23527BFF" w14:textId="77777777" w:rsidR="009E0B8A" w:rsidRPr="00BF5949" w:rsidRDefault="009E0B8A">
      <w:pPr>
        <w:spacing w:line="360" w:lineRule="auto"/>
        <w:ind w:right="850"/>
        <w:jc w:val="both"/>
        <w:rPr>
          <w:rFonts w:ascii="Palatino Linotype" w:eastAsia="Palatino Linotype" w:hAnsi="Palatino Linotype" w:cs="Palatino Linotype"/>
          <w:b/>
        </w:rPr>
      </w:pPr>
    </w:p>
    <w:p w14:paraId="3A03524D" w14:textId="09C08820" w:rsidR="006B41E2" w:rsidRPr="00BF5949" w:rsidRDefault="005D216E">
      <w:pPr>
        <w:spacing w:line="360" w:lineRule="auto"/>
        <w:ind w:right="850"/>
        <w:jc w:val="both"/>
        <w:rPr>
          <w:rFonts w:ascii="Palatino Linotype" w:eastAsia="Palatino Linotype" w:hAnsi="Palatino Linotype" w:cs="Palatino Linotype"/>
        </w:rPr>
      </w:pPr>
      <w:r w:rsidRPr="00BF5949">
        <w:rPr>
          <w:rFonts w:ascii="Palatino Linotype" w:eastAsia="Palatino Linotype" w:hAnsi="Palatino Linotype" w:cs="Palatino Linotype"/>
          <w:b/>
        </w:rPr>
        <w:t>MODALIDAD DE ENTREGA:</w:t>
      </w:r>
      <w:r w:rsidRPr="00BF5949">
        <w:rPr>
          <w:rFonts w:ascii="Palatino Linotype" w:eastAsia="Palatino Linotype" w:hAnsi="Palatino Linotype" w:cs="Palatino Linotype"/>
        </w:rPr>
        <w:t xml:space="preserve"> A través del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xml:space="preserve">. </w:t>
      </w:r>
    </w:p>
    <w:p w14:paraId="570CF309" w14:textId="77777777" w:rsidR="00FA2A43" w:rsidRPr="00BF5949" w:rsidRDefault="00FA2A43">
      <w:pPr>
        <w:spacing w:line="360" w:lineRule="auto"/>
        <w:jc w:val="both"/>
        <w:rPr>
          <w:rFonts w:ascii="Palatino Linotype" w:eastAsia="Palatino Linotype" w:hAnsi="Palatino Linotype" w:cs="Palatino Linotype"/>
          <w:b/>
          <w:sz w:val="28"/>
          <w:szCs w:val="28"/>
        </w:rPr>
      </w:pPr>
    </w:p>
    <w:p w14:paraId="6E7FFE41" w14:textId="01834D1A" w:rsidR="00785E98" w:rsidRPr="00BF5949" w:rsidRDefault="0088410D">
      <w:pPr>
        <w:spacing w:line="360" w:lineRule="auto"/>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SEGUNDO</w:t>
      </w:r>
      <w:r w:rsidR="005D216E" w:rsidRPr="00BF5949">
        <w:rPr>
          <w:rFonts w:ascii="Palatino Linotype" w:eastAsia="Palatino Linotype" w:hAnsi="Palatino Linotype" w:cs="Palatino Linotype"/>
          <w:b/>
          <w:sz w:val="28"/>
          <w:szCs w:val="28"/>
        </w:rPr>
        <w:t>. De la respuesta del Sujeto Obligado.</w:t>
      </w:r>
    </w:p>
    <w:p w14:paraId="3F49FAC0"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En el expediente electrónico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se aprecia que</w:t>
      </w:r>
      <w:r w:rsidR="00693587" w:rsidRPr="00BF5949">
        <w:rPr>
          <w:rFonts w:ascii="Palatino Linotype" w:eastAsia="Palatino Linotype" w:hAnsi="Palatino Linotype" w:cs="Palatino Linotype"/>
        </w:rPr>
        <w:t xml:space="preserve"> el </w:t>
      </w:r>
      <w:r w:rsidRPr="00BF5949">
        <w:rPr>
          <w:rFonts w:ascii="Palatino Linotype" w:eastAsia="Palatino Linotype" w:hAnsi="Palatino Linotype" w:cs="Palatino Linotype"/>
          <w:b/>
        </w:rPr>
        <w:t xml:space="preserve">Sujeto Obligado </w:t>
      </w:r>
      <w:r w:rsidR="00693587" w:rsidRPr="00BF5949">
        <w:rPr>
          <w:rFonts w:ascii="Palatino Linotype" w:eastAsia="Palatino Linotype" w:hAnsi="Palatino Linotype" w:cs="Palatino Linotype"/>
        </w:rPr>
        <w:t>fue omiso en dar respuesta a la solicitud de información presentada</w:t>
      </w:r>
      <w:r w:rsidRPr="00BF5949">
        <w:rPr>
          <w:rFonts w:ascii="Palatino Linotype" w:eastAsia="Palatino Linotype" w:hAnsi="Palatino Linotype" w:cs="Palatino Linotype"/>
        </w:rPr>
        <w:t xml:space="preserve"> por</w:t>
      </w:r>
      <w:r w:rsidR="00693587" w:rsidRPr="00BF5949">
        <w:rPr>
          <w:rFonts w:ascii="Palatino Linotype" w:eastAsia="Palatino Linotype" w:hAnsi="Palatino Linotype" w:cs="Palatino Linotype"/>
        </w:rPr>
        <w:t xml:space="preserve"> el</w:t>
      </w:r>
      <w:r w:rsidR="00CA19C9" w:rsidRPr="00BF5949">
        <w:rPr>
          <w:rFonts w:ascii="Palatino Linotype" w:eastAsia="Palatino Linotype" w:hAnsi="Palatino Linotype" w:cs="Palatino Linotype"/>
        </w:rPr>
        <w:t xml:space="preserve"> particular</w:t>
      </w:r>
      <w:r w:rsidRPr="00BF5949">
        <w:rPr>
          <w:rFonts w:ascii="Palatino Linotype" w:eastAsia="Palatino Linotype" w:hAnsi="Palatino Linotype" w:cs="Palatino Linotype"/>
        </w:rPr>
        <w:t>.</w:t>
      </w:r>
      <w:r w:rsidRPr="00BF5949">
        <w:rPr>
          <w:rFonts w:ascii="Palatino Linotype" w:eastAsia="Palatino Linotype" w:hAnsi="Palatino Linotype" w:cs="Palatino Linotype"/>
          <w:b/>
        </w:rPr>
        <w:t xml:space="preserve"> </w:t>
      </w:r>
      <w:r w:rsidRPr="00BF5949">
        <w:rPr>
          <w:rFonts w:ascii="Palatino Linotype" w:eastAsia="Palatino Linotype" w:hAnsi="Palatino Linotype" w:cs="Palatino Linotype"/>
        </w:rPr>
        <w:t xml:space="preserve">Derivado de lo anterior, se constituye la figura de la </w:t>
      </w:r>
      <w:r w:rsidRPr="00BF5949">
        <w:rPr>
          <w:rFonts w:ascii="Palatino Linotype" w:eastAsia="Palatino Linotype" w:hAnsi="Palatino Linotype" w:cs="Palatino Linotype"/>
          <w:b/>
          <w:i/>
        </w:rPr>
        <w:t>Negativa Ficta</w:t>
      </w:r>
      <w:r w:rsidRPr="00BF5949">
        <w:rPr>
          <w:rFonts w:ascii="Palatino Linotype" w:eastAsia="Palatino Linotype" w:hAnsi="Palatino Linotype" w:cs="Palatino Linotype"/>
        </w:rPr>
        <w:t xml:space="preserve">, cuya esencia consiste en atribuir </w:t>
      </w:r>
      <w:r w:rsidRPr="00BF5949">
        <w:rPr>
          <w:rFonts w:ascii="Palatino Linotype" w:eastAsia="Palatino Linotype" w:hAnsi="Palatino Linotype" w:cs="Palatino Linotype"/>
        </w:rPr>
        <w:lastRenderedPageBreak/>
        <w:t xml:space="preserve">un efecto negativo de la autoridad administrativa frente a las instancias y solicitudes que hagan los particulares. </w:t>
      </w:r>
    </w:p>
    <w:p w14:paraId="14256A66" w14:textId="77777777" w:rsidR="00785E98" w:rsidRPr="00BF5949" w:rsidRDefault="00785E98">
      <w:pPr>
        <w:spacing w:line="360" w:lineRule="auto"/>
        <w:jc w:val="both"/>
        <w:rPr>
          <w:rFonts w:ascii="Palatino Linotype" w:eastAsia="Palatino Linotype" w:hAnsi="Palatino Linotype" w:cs="Palatino Linotype"/>
        </w:rPr>
      </w:pPr>
    </w:p>
    <w:p w14:paraId="7A6F8BF0" w14:textId="14C301DE" w:rsidR="00785E98" w:rsidRPr="00BF5949" w:rsidRDefault="0088410D">
      <w:pPr>
        <w:spacing w:line="360" w:lineRule="auto"/>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TERCERO</w:t>
      </w:r>
      <w:r w:rsidR="005D216E" w:rsidRPr="00BF5949">
        <w:rPr>
          <w:rFonts w:ascii="Palatino Linotype" w:eastAsia="Palatino Linotype" w:hAnsi="Palatino Linotype" w:cs="Palatino Linotype"/>
          <w:b/>
          <w:sz w:val="28"/>
          <w:szCs w:val="28"/>
        </w:rPr>
        <w:t>. Del recurso de revisión.</w:t>
      </w:r>
    </w:p>
    <w:p w14:paraId="727D5828" w14:textId="2488BBB9" w:rsidR="00785E98" w:rsidRPr="00BF5949" w:rsidRDefault="005D216E" w:rsidP="00E94B1F">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Inconforme con la falta de respuesta por </w:t>
      </w:r>
      <w:r w:rsidR="00CA19C9" w:rsidRPr="00BF5949">
        <w:rPr>
          <w:rFonts w:ascii="Palatino Linotype" w:eastAsia="Palatino Linotype" w:hAnsi="Palatino Linotype" w:cs="Palatino Linotype"/>
        </w:rPr>
        <w:t>parte d</w:t>
      </w:r>
      <w:r w:rsidR="00693587" w:rsidRPr="00BF5949">
        <w:rPr>
          <w:rFonts w:ascii="Palatino Linotype" w:eastAsia="Palatino Linotype" w:hAnsi="Palatino Linotype" w:cs="Palatino Linotype"/>
        </w:rPr>
        <w:t>el</w:t>
      </w:r>
      <w:r w:rsidRPr="00BF5949">
        <w:rPr>
          <w:rFonts w:ascii="Palatino Linotype" w:eastAsia="Palatino Linotype" w:hAnsi="Palatino Linotype" w:cs="Palatino Linotype"/>
          <w:b/>
        </w:rPr>
        <w:t xml:space="preserve"> Sujeto Obligado</w:t>
      </w:r>
      <w:r w:rsidRPr="00BF5949">
        <w:rPr>
          <w:rFonts w:ascii="Palatino Linotype" w:eastAsia="Palatino Linotype" w:hAnsi="Palatino Linotype" w:cs="Palatino Linotype"/>
        </w:rPr>
        <w:t>,</w:t>
      </w:r>
      <w:r w:rsidRPr="00BF5949">
        <w:rPr>
          <w:rFonts w:ascii="Palatino Linotype" w:eastAsia="Palatino Linotype" w:hAnsi="Palatino Linotype" w:cs="Palatino Linotype"/>
          <w:b/>
        </w:rPr>
        <w:t xml:space="preserve"> </w:t>
      </w:r>
      <w:r w:rsidR="00ED1996" w:rsidRPr="00BF5949">
        <w:rPr>
          <w:rFonts w:ascii="Palatino Linotype" w:eastAsia="Palatino Linotype" w:hAnsi="Palatino Linotype" w:cs="Palatino Linotype"/>
        </w:rPr>
        <w:t>el</w:t>
      </w:r>
      <w:r w:rsidR="00CA19C9" w:rsidRPr="00BF5949">
        <w:rPr>
          <w:rFonts w:ascii="Palatino Linotype" w:eastAsia="Palatino Linotype" w:hAnsi="Palatino Linotype" w:cs="Palatino Linotype"/>
        </w:rPr>
        <w:t xml:space="preserve"> ahora</w:t>
      </w:r>
      <w:r w:rsidR="00693587" w:rsidRPr="00BF5949">
        <w:rPr>
          <w:rFonts w:ascii="Palatino Linotype" w:eastAsia="Palatino Linotype" w:hAnsi="Palatino Linotype" w:cs="Palatino Linotype"/>
        </w:rPr>
        <w:t xml:space="preserve"> </w:t>
      </w:r>
      <w:r w:rsidRPr="00BF5949">
        <w:rPr>
          <w:rFonts w:ascii="Palatino Linotype" w:eastAsia="Palatino Linotype" w:hAnsi="Palatino Linotype" w:cs="Palatino Linotype"/>
          <w:b/>
        </w:rPr>
        <w:t xml:space="preserve">Recurrente </w:t>
      </w:r>
      <w:r w:rsidRPr="00BF5949">
        <w:rPr>
          <w:rFonts w:ascii="Palatino Linotype" w:eastAsia="Palatino Linotype" w:hAnsi="Palatino Linotype" w:cs="Palatino Linotype"/>
        </w:rPr>
        <w:t xml:space="preserve">interpuso </w:t>
      </w:r>
      <w:r w:rsidR="00693587" w:rsidRPr="00BF5949">
        <w:rPr>
          <w:rFonts w:ascii="Palatino Linotype" w:eastAsia="Palatino Linotype" w:hAnsi="Palatino Linotype" w:cs="Palatino Linotype"/>
        </w:rPr>
        <w:t>el presente recurso</w:t>
      </w:r>
      <w:r w:rsidRPr="00BF5949">
        <w:rPr>
          <w:rFonts w:ascii="Palatino Linotype" w:eastAsia="Palatino Linotype" w:hAnsi="Palatino Linotype" w:cs="Palatino Linotype"/>
        </w:rPr>
        <w:t xml:space="preserve"> de revisión, en fecha </w:t>
      </w:r>
      <w:r w:rsidR="00354E07" w:rsidRPr="00BF5949">
        <w:rPr>
          <w:rFonts w:ascii="Palatino Linotype" w:eastAsia="Palatino Linotype" w:hAnsi="Palatino Linotype" w:cs="Palatino Linotype"/>
        </w:rPr>
        <w:t>veinticinco</w:t>
      </w:r>
      <w:r w:rsidR="00835C60" w:rsidRPr="00BF5949">
        <w:rPr>
          <w:rFonts w:ascii="Palatino Linotype" w:eastAsia="Palatino Linotype" w:hAnsi="Palatino Linotype" w:cs="Palatino Linotype"/>
        </w:rPr>
        <w:t xml:space="preserve"> de marzo</w:t>
      </w:r>
      <w:r w:rsidR="00437B61" w:rsidRPr="00BF5949">
        <w:rPr>
          <w:rFonts w:ascii="Palatino Linotype" w:eastAsia="Palatino Linotype" w:hAnsi="Palatino Linotype" w:cs="Palatino Linotype"/>
        </w:rPr>
        <w:t xml:space="preserve"> de dos mil veintiséis</w:t>
      </w:r>
      <w:r w:rsidRPr="00BF5949">
        <w:rPr>
          <w:rFonts w:ascii="Palatino Linotype" w:eastAsia="Palatino Linotype" w:hAnsi="Palatino Linotype" w:cs="Palatino Linotype"/>
        </w:rPr>
        <w:t xml:space="preserve">, </w:t>
      </w:r>
      <w:r w:rsidR="00693587" w:rsidRPr="00BF5949">
        <w:rPr>
          <w:rFonts w:ascii="Palatino Linotype" w:eastAsia="Palatino Linotype" w:hAnsi="Palatino Linotype" w:cs="Palatino Linotype"/>
        </w:rPr>
        <w:t>el cual fue registrado</w:t>
      </w:r>
      <w:r w:rsidRPr="00BF5949">
        <w:rPr>
          <w:rFonts w:ascii="Palatino Linotype" w:eastAsia="Palatino Linotype" w:hAnsi="Palatino Linotype" w:cs="Palatino Linotype"/>
        </w:rPr>
        <w:t xml:space="preserve"> con </w:t>
      </w:r>
      <w:r w:rsidR="00693587" w:rsidRPr="00BF5949">
        <w:rPr>
          <w:rFonts w:ascii="Palatino Linotype" w:eastAsia="Palatino Linotype" w:hAnsi="Palatino Linotype" w:cs="Palatino Linotype"/>
        </w:rPr>
        <w:t>el expediente</w:t>
      </w:r>
      <w:r w:rsidRPr="00BF5949">
        <w:rPr>
          <w:rFonts w:ascii="Palatino Linotype" w:eastAsia="Palatino Linotype" w:hAnsi="Palatino Linotype" w:cs="Palatino Linotype"/>
        </w:rPr>
        <w:t xml:space="preserve"> número </w:t>
      </w:r>
      <w:r w:rsidR="00354E07" w:rsidRPr="00BF5949">
        <w:rPr>
          <w:rFonts w:ascii="Palatino Linotype" w:eastAsia="Palatino Linotype" w:hAnsi="Palatino Linotype" w:cs="Palatino Linotype"/>
          <w:b/>
          <w:sz w:val="23"/>
          <w:szCs w:val="23"/>
        </w:rPr>
        <w:t>03550/INFOEM/IP/RR/2026</w:t>
      </w:r>
      <w:r w:rsidRPr="00BF5949">
        <w:rPr>
          <w:rFonts w:ascii="Palatino Linotype" w:eastAsia="Palatino Linotype" w:hAnsi="Palatino Linotype" w:cs="Palatino Linotype"/>
        </w:rPr>
        <w:t>,</w:t>
      </w:r>
      <w:r w:rsidRPr="00BF5949">
        <w:rPr>
          <w:rFonts w:ascii="Palatino Linotype" w:eastAsia="Palatino Linotype" w:hAnsi="Palatino Linotype" w:cs="Palatino Linotype"/>
          <w:b/>
        </w:rPr>
        <w:t xml:space="preserve"> </w:t>
      </w:r>
      <w:r w:rsidRPr="00BF5949">
        <w:rPr>
          <w:rFonts w:ascii="Palatino Linotype" w:eastAsia="Palatino Linotype" w:hAnsi="Palatino Linotype" w:cs="Palatino Linotype"/>
        </w:rPr>
        <w:t xml:space="preserve">en el cual arguye, las siguientes manifestaciones: </w:t>
      </w:r>
    </w:p>
    <w:p w14:paraId="0B590D79" w14:textId="77777777" w:rsidR="00E94B1F" w:rsidRPr="00BF5949" w:rsidRDefault="00E94B1F" w:rsidP="00E94B1F">
      <w:pPr>
        <w:spacing w:line="360" w:lineRule="auto"/>
        <w:jc w:val="both"/>
        <w:rPr>
          <w:rFonts w:ascii="Palatino Linotype" w:eastAsia="Palatino Linotype" w:hAnsi="Palatino Linotype" w:cs="Palatino Linotype"/>
        </w:rPr>
      </w:pPr>
    </w:p>
    <w:p w14:paraId="4DABE86C" w14:textId="05F979B7" w:rsidR="00785E98" w:rsidRPr="00BF5949" w:rsidRDefault="00693587" w:rsidP="005456CC">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BF5949">
        <w:rPr>
          <w:rFonts w:ascii="Palatino Linotype" w:eastAsia="Palatino Linotype" w:hAnsi="Palatino Linotype" w:cs="Palatino Linotype"/>
          <w:b/>
          <w:color w:val="000000"/>
        </w:rPr>
        <w:t>Acto impugnado:</w:t>
      </w:r>
      <w:r w:rsidRPr="00BF5949">
        <w:rPr>
          <w:rFonts w:ascii="Palatino Linotype" w:eastAsia="Palatino Linotype" w:hAnsi="Palatino Linotype" w:cs="Palatino Linotype"/>
          <w:color w:val="000000"/>
        </w:rPr>
        <w:t xml:space="preserve"> </w:t>
      </w:r>
      <w:r w:rsidR="00AD714B" w:rsidRPr="00BF5949">
        <w:rPr>
          <w:rFonts w:ascii="Palatino Linotype" w:eastAsia="Palatino Linotype" w:hAnsi="Palatino Linotype" w:cs="Palatino Linotype"/>
          <w:color w:val="000000"/>
        </w:rPr>
        <w:t>“</w:t>
      </w:r>
      <w:r w:rsidR="00354E07" w:rsidRPr="00BF5949">
        <w:rPr>
          <w:rFonts w:ascii="Palatino Linotype" w:eastAsia="Palatino Linotype" w:hAnsi="Palatino Linotype" w:cs="Palatino Linotype"/>
          <w:i/>
          <w:iCs/>
          <w:color w:val="000000"/>
        </w:rPr>
        <w:t xml:space="preserve">Solicito copia certificada o digital, íntegra y legible, de toda la documentación técnica, jurídica, administrativa y catastral que acredite que la vialidad denominada 2da </w:t>
      </w:r>
      <w:proofErr w:type="spellStart"/>
      <w:r w:rsidR="00354E07" w:rsidRPr="00BF5949">
        <w:rPr>
          <w:rFonts w:ascii="Palatino Linotype" w:eastAsia="Palatino Linotype" w:hAnsi="Palatino Linotype" w:cs="Palatino Linotype"/>
          <w:i/>
          <w:iCs/>
          <w:color w:val="000000"/>
        </w:rPr>
        <w:t>Cda</w:t>
      </w:r>
      <w:proofErr w:type="spellEnd"/>
      <w:r w:rsidR="00354E07" w:rsidRPr="00BF5949">
        <w:rPr>
          <w:rFonts w:ascii="Palatino Linotype" w:eastAsia="Palatino Linotype" w:hAnsi="Palatino Linotype" w:cs="Palatino Linotype"/>
          <w:i/>
          <w:iCs/>
          <w:color w:val="000000"/>
        </w:rPr>
        <w:t xml:space="preserve">. Jazmín, Santa Cruz Tepotzotlán, es vía pública municipal y que sustente cualquier determinación de invasión o demolición respecto de bardas o construcciones colindantes, incluyendo de manera enunciativa </w:t>
      </w:r>
      <w:proofErr w:type="gramStart"/>
      <w:r w:rsidR="00354E07" w:rsidRPr="00BF5949">
        <w:rPr>
          <w:rFonts w:ascii="Palatino Linotype" w:eastAsia="Palatino Linotype" w:hAnsi="Palatino Linotype" w:cs="Palatino Linotype"/>
          <w:i/>
          <w:iCs/>
          <w:color w:val="000000"/>
        </w:rPr>
        <w:t>mas</w:t>
      </w:r>
      <w:proofErr w:type="gramEnd"/>
      <w:r w:rsidR="00354E07" w:rsidRPr="00BF5949">
        <w:rPr>
          <w:rFonts w:ascii="Palatino Linotype" w:eastAsia="Palatino Linotype" w:hAnsi="Palatino Linotype" w:cs="Palatino Linotype"/>
          <w:i/>
          <w:iCs/>
          <w:color w:val="000000"/>
        </w:rPr>
        <w:t xml:space="preserve"> no limitativa: • Plano oficial de trazo y lotificación aprobado por el Ayuntamiento. • Acta de Cabildo donde se haya autorizado la municipalización o incorporación al dominio público de dicha vialidad. • Decreto, acuerdo administrativo o instrumento jurídico correspondiente. • Plano catastral actualizado de la zona. • Clave catastral de la vialidad y fecha de alta en Catastro. • Dictamen técnico topográfico georreferenciado que determine el ancho oficial de la calle, firmado por perito responsable. • Dictamen de alineamiento y número oficial del predio colindante. • Licencias de construcción colindantes que afecten dicha vialidad. • Convenios de cesión de vialidades, donaciones o municipalización del fraccionamiento o colonia. • Actas de entrega-recepción de infraestructura urbana. • Orden de inspección, actas circunstanciadas y resoluciones administrativas relacionadas con la supuesta invasión. • Notificaciones formales realizadas al propietario. • Orden escrita de demolición o retiro de barda, con fundamento legal. • Nombre, cargo y firma del servidor público responsable del dictamen. • Publicaciones en Gaceta Municipal o avisos a vecinos sobre modificación o apertura de la vialidad. • Denuncias vecinales, solicitudes o expedientes relacionados. • Procedimientos administrativos internos derivados del caso. En caso de que alguno de los documentos solicitados no exista, solicito se indique expresamente dicha circunstancia, señalando el fundamento administrativo o normativo por el cual no se </w:t>
      </w:r>
      <w:r w:rsidR="00354E07" w:rsidRPr="00BF5949">
        <w:rPr>
          <w:rFonts w:ascii="Palatino Linotype" w:eastAsia="Palatino Linotype" w:hAnsi="Palatino Linotype" w:cs="Palatino Linotype"/>
          <w:i/>
          <w:iCs/>
          <w:color w:val="000000"/>
        </w:rPr>
        <w:lastRenderedPageBreak/>
        <w:t>generó la información y el servidor público responsable de su omisión. La determinación de invasión a vía pública requiere soporte técnico topográfico, acuerdo formal de Cabildo y procedimiento administrativo fundado y motivado; la inexistencia de dichos documentos implicaría la ilegalidad del acto conforme a los artículos 14 y 16 constitucionales, la Ley Orgánica Municipal del Estado de México y la legislación aplicable en materia de desarrollo urbano y transparencia.</w:t>
      </w:r>
      <w:r w:rsidRPr="00BF5949">
        <w:rPr>
          <w:rFonts w:ascii="Palatino Linotype" w:eastAsia="Palatino Linotype" w:hAnsi="Palatino Linotype" w:cs="Palatino Linotype"/>
          <w:i/>
          <w:color w:val="000000"/>
        </w:rPr>
        <w:t>” (Sic).</w:t>
      </w:r>
    </w:p>
    <w:p w14:paraId="570054AB" w14:textId="77777777" w:rsidR="00693587" w:rsidRPr="00BF5949" w:rsidRDefault="00693587" w:rsidP="005456CC">
      <w:pPr>
        <w:pStyle w:val="Prrafodelista"/>
        <w:pBdr>
          <w:top w:val="nil"/>
          <w:left w:val="nil"/>
          <w:bottom w:val="nil"/>
          <w:right w:val="nil"/>
          <w:between w:val="nil"/>
        </w:pBdr>
        <w:jc w:val="both"/>
        <w:rPr>
          <w:rFonts w:ascii="Palatino Linotype" w:eastAsia="Palatino Linotype" w:hAnsi="Palatino Linotype" w:cs="Palatino Linotype"/>
          <w:color w:val="000000"/>
        </w:rPr>
      </w:pPr>
    </w:p>
    <w:p w14:paraId="4C994022" w14:textId="4337CFF0" w:rsidR="00416361" w:rsidRPr="00BF5949" w:rsidRDefault="00693587" w:rsidP="00835C60">
      <w:pPr>
        <w:pStyle w:val="Prrafodelista"/>
        <w:numPr>
          <w:ilvl w:val="0"/>
          <w:numId w:val="2"/>
        </w:numPr>
        <w:pBdr>
          <w:top w:val="nil"/>
          <w:left w:val="nil"/>
          <w:bottom w:val="nil"/>
          <w:right w:val="nil"/>
          <w:between w:val="nil"/>
        </w:pBdr>
        <w:jc w:val="both"/>
        <w:rPr>
          <w:rFonts w:ascii="Palatino Linotype" w:eastAsia="Palatino Linotype" w:hAnsi="Palatino Linotype" w:cs="Palatino Linotype"/>
          <w:i/>
          <w:color w:val="000000"/>
        </w:rPr>
      </w:pPr>
      <w:r w:rsidRPr="00BF5949">
        <w:rPr>
          <w:rFonts w:ascii="Palatino Linotype" w:eastAsia="Palatino Linotype" w:hAnsi="Palatino Linotype" w:cs="Palatino Linotype"/>
          <w:b/>
          <w:color w:val="000000"/>
        </w:rPr>
        <w:t>Razones o motivos de la inconformidad:</w:t>
      </w:r>
      <w:r w:rsidRPr="00BF5949">
        <w:rPr>
          <w:rFonts w:ascii="Palatino Linotype" w:eastAsia="Palatino Linotype" w:hAnsi="Palatino Linotype" w:cs="Palatino Linotype"/>
          <w:color w:val="000000"/>
        </w:rPr>
        <w:t xml:space="preserve"> </w:t>
      </w:r>
      <w:r w:rsidRPr="00BF5949">
        <w:rPr>
          <w:rFonts w:ascii="Palatino Linotype" w:eastAsia="Palatino Linotype" w:hAnsi="Palatino Linotype" w:cs="Palatino Linotype"/>
          <w:i/>
          <w:color w:val="000000"/>
        </w:rPr>
        <w:t>“</w:t>
      </w:r>
      <w:r w:rsidR="00354E07" w:rsidRPr="00BF5949">
        <w:rPr>
          <w:rFonts w:ascii="Palatino Linotype" w:eastAsia="Palatino Linotype" w:hAnsi="Palatino Linotype" w:cs="Palatino Linotype"/>
          <w:i/>
          <w:color w:val="000000"/>
        </w:rPr>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w:t>
      </w:r>
      <w:r w:rsidR="00354E07" w:rsidRPr="00BF5949">
        <w:rPr>
          <w:rFonts w:ascii="Palatino Linotype" w:eastAsia="Palatino Linotype" w:hAnsi="Palatino Linotype" w:cs="Palatino Linotype"/>
          <w:i/>
          <w:color w:val="000000"/>
        </w:rPr>
        <w:lastRenderedPageBreak/>
        <w:t>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BF5949">
        <w:rPr>
          <w:rFonts w:ascii="Palatino Linotype" w:eastAsia="Palatino Linotype" w:hAnsi="Palatino Linotype" w:cs="Palatino Linotype"/>
          <w:i/>
          <w:color w:val="000000"/>
        </w:rPr>
        <w:t xml:space="preserve">” (Sic). </w:t>
      </w:r>
    </w:p>
    <w:p w14:paraId="274BE884" w14:textId="77777777" w:rsidR="00354E07" w:rsidRPr="00BF5949"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22643F55" w14:textId="77777777" w:rsidR="00354E07" w:rsidRPr="00BF5949"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433861CB" w14:textId="77777777" w:rsidR="00354E07" w:rsidRPr="00BF5949" w:rsidRDefault="00354E07" w:rsidP="00354E07">
      <w:pPr>
        <w:pBdr>
          <w:top w:val="nil"/>
          <w:left w:val="nil"/>
          <w:bottom w:val="nil"/>
          <w:right w:val="nil"/>
          <w:between w:val="nil"/>
        </w:pBdr>
        <w:jc w:val="both"/>
        <w:rPr>
          <w:rFonts w:ascii="Palatino Linotype" w:eastAsia="Palatino Linotype" w:hAnsi="Palatino Linotype" w:cs="Palatino Linotype"/>
          <w:i/>
          <w:color w:val="000000"/>
        </w:rPr>
      </w:pPr>
    </w:p>
    <w:p w14:paraId="649132A0" w14:textId="77777777" w:rsidR="00CA47DE" w:rsidRPr="00BF5949" w:rsidRDefault="00CA47DE">
      <w:pPr>
        <w:pBdr>
          <w:top w:val="nil"/>
          <w:left w:val="nil"/>
          <w:bottom w:val="nil"/>
          <w:right w:val="nil"/>
          <w:between w:val="nil"/>
        </w:pBdr>
        <w:rPr>
          <w:rFonts w:ascii="Palatino Linotype" w:eastAsia="Palatino Linotype" w:hAnsi="Palatino Linotype" w:cs="Palatino Linotype"/>
          <w:color w:val="000000"/>
          <w:sz w:val="18"/>
          <w:szCs w:val="18"/>
        </w:rPr>
      </w:pPr>
    </w:p>
    <w:p w14:paraId="1D7DB2B5" w14:textId="544C2436" w:rsidR="00785E98" w:rsidRPr="00BF5949" w:rsidRDefault="0088410D">
      <w:pPr>
        <w:spacing w:line="360" w:lineRule="auto"/>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lastRenderedPageBreak/>
        <w:t>CUARTO</w:t>
      </w:r>
      <w:r w:rsidR="005D216E" w:rsidRPr="00BF5949">
        <w:rPr>
          <w:rFonts w:ascii="Palatino Linotype" w:eastAsia="Palatino Linotype" w:hAnsi="Palatino Linotype" w:cs="Palatino Linotype"/>
          <w:b/>
        </w:rPr>
        <w:t xml:space="preserve">. </w:t>
      </w:r>
      <w:r w:rsidR="005D216E" w:rsidRPr="00BF5949">
        <w:rPr>
          <w:rFonts w:ascii="Palatino Linotype" w:eastAsia="Palatino Linotype" w:hAnsi="Palatino Linotype" w:cs="Palatino Linotype"/>
          <w:b/>
          <w:sz w:val="28"/>
          <w:szCs w:val="28"/>
        </w:rPr>
        <w:t>Del turno del recurso de revisión.</w:t>
      </w:r>
    </w:p>
    <w:p w14:paraId="72E4B7EF" w14:textId="1AF48782" w:rsidR="00AD714B" w:rsidRPr="00BF5949" w:rsidRDefault="00CA19C9">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Medio de impugnación que le fue turnado al Comisionado Presidente</w:t>
      </w:r>
      <w:r w:rsidR="005D216E" w:rsidRPr="00BF5949">
        <w:rPr>
          <w:rFonts w:ascii="Palatino Linotype" w:eastAsia="Palatino Linotype" w:hAnsi="Palatino Linotype" w:cs="Palatino Linotype"/>
        </w:rPr>
        <w:t xml:space="preserve"> </w:t>
      </w:r>
      <w:r w:rsidR="005D216E" w:rsidRPr="00BF5949">
        <w:rPr>
          <w:rFonts w:ascii="Palatino Linotype" w:eastAsia="Palatino Linotype" w:hAnsi="Palatino Linotype" w:cs="Palatino Linotype"/>
          <w:b/>
        </w:rPr>
        <w:t>José Martínez Vilchis</w:t>
      </w:r>
      <w:r w:rsidR="005D216E" w:rsidRPr="00BF5949">
        <w:rPr>
          <w:rFonts w:ascii="Palatino Linotype" w:eastAsia="Palatino Linotype" w:hAnsi="Palatino Linotype" w:cs="Palatino Linotype"/>
        </w:rPr>
        <w:t>, por medio del sistema electrónico en términos del arábigo 185, fracción I, de la Ley de Transparencia y Acceso a la información Pública del Es</w:t>
      </w:r>
      <w:r w:rsidRPr="00BF5949">
        <w:rPr>
          <w:rFonts w:ascii="Palatino Linotype" w:eastAsia="Palatino Linotype" w:hAnsi="Palatino Linotype" w:cs="Palatino Linotype"/>
        </w:rPr>
        <w:t>tado de México y Municipios, del cual recayó acuerdo</w:t>
      </w:r>
      <w:r w:rsidR="005D216E" w:rsidRPr="00BF5949">
        <w:rPr>
          <w:rFonts w:ascii="Palatino Linotype" w:eastAsia="Palatino Linotype" w:hAnsi="Palatino Linotype" w:cs="Palatino Linotype"/>
        </w:rPr>
        <w:t xml:space="preserve"> de admisión en fecha </w:t>
      </w:r>
      <w:r w:rsidR="00354E07" w:rsidRPr="00BF5949">
        <w:rPr>
          <w:rFonts w:ascii="Palatino Linotype" w:eastAsia="Palatino Linotype" w:hAnsi="Palatino Linotype" w:cs="Palatino Linotype"/>
        </w:rPr>
        <w:t>siete de abril</w:t>
      </w:r>
      <w:r w:rsidR="00437B61" w:rsidRPr="00BF5949">
        <w:rPr>
          <w:rFonts w:ascii="Palatino Linotype" w:eastAsia="Palatino Linotype" w:hAnsi="Palatino Linotype" w:cs="Palatino Linotype"/>
        </w:rPr>
        <w:t xml:space="preserve"> de dos mil veintiséis</w:t>
      </w:r>
      <w:r w:rsidRPr="00BF5949">
        <w:rPr>
          <w:rFonts w:ascii="Palatino Linotype" w:eastAsia="Palatino Linotype" w:hAnsi="Palatino Linotype" w:cs="Palatino Linotype"/>
        </w:rPr>
        <w:t>, determinándose en él</w:t>
      </w:r>
      <w:r w:rsidR="005D216E" w:rsidRPr="00BF5949">
        <w:rPr>
          <w:rFonts w:ascii="Palatino Linotype" w:eastAsia="Palatino Linotype" w:hAnsi="Palatino Linotype" w:cs="Palatino Linotype"/>
        </w:rPr>
        <w:t>, un plazo de siete días para que las partes manifestaran lo que a su derecho corresponda en términos del numeral ya citado.</w:t>
      </w:r>
    </w:p>
    <w:p w14:paraId="08E6D663" w14:textId="77777777" w:rsidR="00437B61" w:rsidRPr="00BF5949" w:rsidRDefault="00437B61">
      <w:pPr>
        <w:spacing w:line="360" w:lineRule="auto"/>
        <w:jc w:val="both"/>
        <w:rPr>
          <w:rFonts w:ascii="Palatino Linotype" w:eastAsia="Palatino Linotype" w:hAnsi="Palatino Linotype" w:cs="Palatino Linotype"/>
        </w:rPr>
      </w:pPr>
    </w:p>
    <w:p w14:paraId="2547831B" w14:textId="4AEAA23A" w:rsidR="00785E98" w:rsidRPr="00BF5949" w:rsidRDefault="0088410D">
      <w:pPr>
        <w:spacing w:line="360" w:lineRule="auto"/>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QUINTO</w:t>
      </w:r>
      <w:r w:rsidR="005D216E" w:rsidRPr="00BF5949">
        <w:rPr>
          <w:rFonts w:ascii="Palatino Linotype" w:eastAsia="Palatino Linotype" w:hAnsi="Palatino Linotype" w:cs="Palatino Linotype"/>
          <w:b/>
        </w:rPr>
        <w:t xml:space="preserve">. </w:t>
      </w:r>
      <w:r w:rsidR="005D216E" w:rsidRPr="00BF5949">
        <w:rPr>
          <w:rFonts w:ascii="Palatino Linotype" w:eastAsia="Palatino Linotype" w:hAnsi="Palatino Linotype" w:cs="Palatino Linotype"/>
          <w:b/>
          <w:sz w:val="28"/>
          <w:szCs w:val="28"/>
        </w:rPr>
        <w:t>De la etapa de instrucción.</w:t>
      </w:r>
    </w:p>
    <w:p w14:paraId="3D71DD04" w14:textId="672EE8B8" w:rsidR="00CA19C9"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Así, una vez transcurrido el término legal referido,</w:t>
      </w:r>
      <w:r w:rsidR="00CA19C9" w:rsidRPr="00BF5949">
        <w:rPr>
          <w:rFonts w:ascii="Palatino Linotype" w:eastAsia="Palatino Linotype" w:hAnsi="Palatino Linotype" w:cs="Palatino Linotype"/>
        </w:rPr>
        <w:t xml:space="preserve"> el </w:t>
      </w:r>
      <w:r w:rsidRPr="00BF5949">
        <w:rPr>
          <w:rFonts w:ascii="Palatino Linotype" w:eastAsia="Palatino Linotype" w:hAnsi="Palatino Linotype" w:cs="Palatino Linotype"/>
          <w:b/>
        </w:rPr>
        <w:t xml:space="preserve">Sujeto Obligado </w:t>
      </w:r>
      <w:r w:rsidRPr="00BF5949">
        <w:rPr>
          <w:rFonts w:ascii="Palatino Linotype" w:eastAsia="Palatino Linotype" w:hAnsi="Palatino Linotype" w:cs="Palatino Linotype"/>
        </w:rPr>
        <w:t xml:space="preserve">fue omiso en remitir su informe justificado; asimismo, se aprecia que la parte </w:t>
      </w:r>
      <w:r w:rsidRPr="00BF5949">
        <w:rPr>
          <w:rFonts w:ascii="Palatino Linotype" w:eastAsia="Palatino Linotype" w:hAnsi="Palatino Linotype" w:cs="Palatino Linotype"/>
          <w:b/>
        </w:rPr>
        <w:t>Recurrente</w:t>
      </w:r>
      <w:r w:rsidRPr="00BF5949">
        <w:rPr>
          <w:rFonts w:ascii="Palatino Linotype" w:eastAsia="Palatino Linotype" w:hAnsi="Palatino Linotype" w:cs="Palatino Linotype"/>
        </w:rPr>
        <w:t>,</w:t>
      </w:r>
      <w:r w:rsidR="00CA19C9" w:rsidRPr="00BF5949">
        <w:rPr>
          <w:rFonts w:ascii="Palatino Linotype" w:eastAsia="Palatino Linotype" w:hAnsi="Palatino Linotype" w:cs="Palatino Linotype"/>
        </w:rPr>
        <w:t xml:space="preserve"> tampoco rindió manifestaciones</w:t>
      </w:r>
      <w:r w:rsidR="00E94B1F" w:rsidRPr="00BF5949">
        <w:rPr>
          <w:rFonts w:ascii="Palatino Linotype" w:eastAsia="Palatino Linotype" w:hAnsi="Palatino Linotype" w:cs="Palatino Linotype"/>
        </w:rPr>
        <w:t>.</w:t>
      </w:r>
    </w:p>
    <w:p w14:paraId="75465ACA" w14:textId="77777777" w:rsidR="00E94B1F" w:rsidRPr="00BF5949" w:rsidRDefault="00E94B1F">
      <w:pPr>
        <w:spacing w:line="360" w:lineRule="auto"/>
        <w:jc w:val="both"/>
        <w:rPr>
          <w:rFonts w:ascii="Palatino Linotype" w:eastAsia="Palatino Linotype" w:hAnsi="Palatino Linotype" w:cs="Palatino Linotype"/>
        </w:rPr>
      </w:pPr>
    </w:p>
    <w:p w14:paraId="5438B373" w14:textId="1775AB87" w:rsidR="00785E98" w:rsidRPr="00BF5949" w:rsidRDefault="0088410D">
      <w:pPr>
        <w:spacing w:line="360" w:lineRule="auto"/>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SEXTO</w:t>
      </w:r>
      <w:r w:rsidR="005D216E" w:rsidRPr="00BF5949">
        <w:rPr>
          <w:rFonts w:ascii="Palatino Linotype" w:eastAsia="Palatino Linotype" w:hAnsi="Palatino Linotype" w:cs="Palatino Linotype"/>
          <w:b/>
        </w:rPr>
        <w:t xml:space="preserve">. </w:t>
      </w:r>
      <w:r w:rsidR="005D216E" w:rsidRPr="00BF5949">
        <w:rPr>
          <w:rFonts w:ascii="Palatino Linotype" w:eastAsia="Palatino Linotype" w:hAnsi="Palatino Linotype" w:cs="Palatino Linotype"/>
          <w:b/>
          <w:sz w:val="28"/>
          <w:szCs w:val="28"/>
        </w:rPr>
        <w:t>Del Cierre de la Etapa de Instrucción.</w:t>
      </w:r>
    </w:p>
    <w:p w14:paraId="1E492A2E" w14:textId="3BAC94A2"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En fecha </w:t>
      </w:r>
      <w:r w:rsidR="00354E07" w:rsidRPr="00BF5949">
        <w:rPr>
          <w:rFonts w:ascii="Palatino Linotype" w:eastAsia="Palatino Linotype" w:hAnsi="Palatino Linotype" w:cs="Palatino Linotype"/>
        </w:rPr>
        <w:t xml:space="preserve">diecisiete </w:t>
      </w:r>
      <w:r w:rsidR="00835C60" w:rsidRPr="00BF5949">
        <w:rPr>
          <w:rFonts w:ascii="Palatino Linotype" w:eastAsia="Palatino Linotype" w:hAnsi="Palatino Linotype" w:cs="Palatino Linotype"/>
        </w:rPr>
        <w:t>de abril</w:t>
      </w:r>
      <w:r w:rsidR="00CC4621" w:rsidRPr="00BF5949">
        <w:rPr>
          <w:rFonts w:ascii="Palatino Linotype" w:eastAsia="Palatino Linotype" w:hAnsi="Palatino Linotype" w:cs="Palatino Linotype"/>
        </w:rPr>
        <w:t xml:space="preserve"> de dos mil veintiséis</w:t>
      </w:r>
      <w:r w:rsidRPr="00BF5949">
        <w:rPr>
          <w:rFonts w:ascii="Palatino Linotype" w:eastAsia="Palatino Linotype" w:hAnsi="Palatino Linotype" w:cs="Palatino Linotype"/>
        </w:rPr>
        <w:t>, en términos del artículo 185, fracción VI, de la Ley de Transparencia y Acceso a la Información Pública del Estado de México y Municipios, se decretó el cierre de instrucción, iniciando el término legal para dictar resolución definitiva del asunto.</w:t>
      </w:r>
    </w:p>
    <w:p w14:paraId="001524BC" w14:textId="77777777" w:rsidR="00835C60" w:rsidRPr="00BF5949" w:rsidRDefault="00835C60">
      <w:pPr>
        <w:spacing w:line="360" w:lineRule="auto"/>
        <w:jc w:val="both"/>
        <w:rPr>
          <w:rFonts w:ascii="Palatino Linotype" w:eastAsia="Palatino Linotype" w:hAnsi="Palatino Linotype" w:cs="Palatino Linotype"/>
        </w:rPr>
      </w:pPr>
    </w:p>
    <w:p w14:paraId="7F078923" w14:textId="77777777" w:rsidR="00785E98" w:rsidRPr="00BF5949" w:rsidRDefault="005D216E">
      <w:pPr>
        <w:spacing w:line="360" w:lineRule="auto"/>
        <w:jc w:val="center"/>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 xml:space="preserve">C O N S I D E R A N D O </w:t>
      </w:r>
    </w:p>
    <w:p w14:paraId="5F24EF89" w14:textId="77777777" w:rsidR="00785E98" w:rsidRPr="00BF5949" w:rsidRDefault="00785E98">
      <w:pPr>
        <w:spacing w:line="360" w:lineRule="auto"/>
        <w:jc w:val="center"/>
        <w:rPr>
          <w:rFonts w:ascii="Palatino Linotype" w:eastAsia="Palatino Linotype" w:hAnsi="Palatino Linotype" w:cs="Palatino Linotype"/>
          <w:b/>
          <w:sz w:val="22"/>
          <w:szCs w:val="22"/>
        </w:rPr>
      </w:pPr>
    </w:p>
    <w:p w14:paraId="2706434C"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PRIMERO.</w:t>
      </w:r>
      <w:r w:rsidRPr="00BF5949">
        <w:rPr>
          <w:rFonts w:ascii="Palatino Linotype" w:eastAsia="Palatino Linotype" w:hAnsi="Palatino Linotype" w:cs="Palatino Linotype"/>
          <w:b/>
        </w:rPr>
        <w:t xml:space="preserve"> </w:t>
      </w:r>
      <w:r w:rsidRPr="00BF5949">
        <w:rPr>
          <w:rFonts w:ascii="Palatino Linotype" w:eastAsia="Palatino Linotype" w:hAnsi="Palatino Linotype" w:cs="Palatino Linotype"/>
          <w:b/>
          <w:sz w:val="28"/>
          <w:szCs w:val="28"/>
        </w:rPr>
        <w:t>De la competencia</w:t>
      </w:r>
      <w:r w:rsidRPr="00BF5949">
        <w:rPr>
          <w:rFonts w:ascii="Palatino Linotype" w:eastAsia="Palatino Linotype" w:hAnsi="Palatino Linotype" w:cs="Palatino Linotype"/>
          <w:sz w:val="28"/>
          <w:szCs w:val="28"/>
        </w:rPr>
        <w:t>.</w:t>
      </w:r>
    </w:p>
    <w:p w14:paraId="48D819EE" w14:textId="6272D0B1" w:rsidR="00785E98" w:rsidRPr="00BF5949" w:rsidRDefault="004454B4">
      <w:pPr>
        <w:pBdr>
          <w:top w:val="nil"/>
          <w:left w:val="nil"/>
          <w:bottom w:val="nil"/>
          <w:right w:val="nil"/>
          <w:between w:val="nil"/>
        </w:pBdr>
        <w:spacing w:line="360" w:lineRule="auto"/>
        <w:jc w:val="both"/>
        <w:rPr>
          <w:rFonts w:ascii="Palatino Linotype" w:eastAsia="Palatino Linotype" w:hAnsi="Palatino Linotype" w:cs="Palatino Linotype"/>
          <w:color w:val="222222"/>
        </w:rPr>
      </w:pPr>
      <w:r w:rsidRPr="00BF5949">
        <w:rPr>
          <w:rFonts w:ascii="Palatino Linotype" w:eastAsia="Palatino Linotype" w:hAnsi="Palatino Linotype" w:cs="Palatino Linotype"/>
          <w:color w:val="222222"/>
        </w:rPr>
        <w:t xml:space="preserve">Este Instituto de Transparencia, Acceso a la Información Pública y Protección de Datos Personales del Estado de México y Municipios es competente para conocer y resolver </w:t>
      </w:r>
      <w:r w:rsidRPr="00BF5949">
        <w:rPr>
          <w:rFonts w:ascii="Palatino Linotype" w:eastAsia="Palatino Linotype" w:hAnsi="Palatino Linotype" w:cs="Palatino Linotype"/>
          <w:color w:val="222222"/>
        </w:rPr>
        <w:lastRenderedPageBreak/>
        <w:t>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D5D303" w14:textId="77777777" w:rsidR="00A64AF0" w:rsidRPr="00BF5949" w:rsidRDefault="00A64AF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14:paraId="25678A64" w14:textId="77777777" w:rsidR="00785E98" w:rsidRPr="00BF5949" w:rsidRDefault="005D216E">
      <w:pPr>
        <w:pBdr>
          <w:top w:val="nil"/>
          <w:left w:val="nil"/>
          <w:bottom w:val="nil"/>
          <w:right w:val="nil"/>
          <w:between w:val="nil"/>
        </w:pBdr>
        <w:spacing w:line="360" w:lineRule="auto"/>
        <w:jc w:val="both"/>
        <w:rPr>
          <w:rFonts w:ascii="Palatino Linotype" w:eastAsia="Palatino Linotype" w:hAnsi="Palatino Linotype" w:cs="Palatino Linotype"/>
          <w:b/>
          <w:color w:val="000000"/>
        </w:rPr>
      </w:pPr>
      <w:r w:rsidRPr="00BF5949">
        <w:rPr>
          <w:rFonts w:ascii="Palatino Linotype" w:eastAsia="Palatino Linotype" w:hAnsi="Palatino Linotype" w:cs="Palatino Linotype"/>
          <w:b/>
          <w:color w:val="000000"/>
          <w:sz w:val="28"/>
          <w:szCs w:val="28"/>
        </w:rPr>
        <w:t>SEGUNDO</w:t>
      </w:r>
      <w:r w:rsidRPr="00BF5949">
        <w:rPr>
          <w:rFonts w:ascii="Palatino Linotype" w:eastAsia="Palatino Linotype" w:hAnsi="Palatino Linotype" w:cs="Palatino Linotype"/>
          <w:b/>
          <w:color w:val="000000"/>
        </w:rPr>
        <w:t xml:space="preserve">. </w:t>
      </w:r>
      <w:r w:rsidRPr="00BF5949">
        <w:rPr>
          <w:rFonts w:ascii="Palatino Linotype" w:eastAsia="Palatino Linotype" w:hAnsi="Palatino Linotype" w:cs="Palatino Linotype"/>
          <w:b/>
          <w:color w:val="000000"/>
          <w:sz w:val="28"/>
          <w:szCs w:val="28"/>
        </w:rPr>
        <w:t>Sobre los alcances del recurso de revisión.</w:t>
      </w:r>
      <w:r w:rsidRPr="00BF5949">
        <w:rPr>
          <w:rFonts w:ascii="Palatino Linotype" w:eastAsia="Palatino Linotype" w:hAnsi="Palatino Linotype" w:cs="Palatino Linotype"/>
          <w:b/>
          <w:color w:val="000000"/>
        </w:rPr>
        <w:t xml:space="preserve"> </w:t>
      </w:r>
    </w:p>
    <w:p w14:paraId="1034EA62" w14:textId="77777777" w:rsidR="00785E98" w:rsidRPr="00BF594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F5949">
        <w:rPr>
          <w:rFonts w:ascii="Palatino Linotype" w:eastAsia="Palatino Linotype" w:hAnsi="Palatino Linotype" w:cs="Palatino Linotype"/>
          <w:color w:val="000000"/>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59107316" w14:textId="77777777" w:rsidR="00785E98" w:rsidRPr="00BF5949" w:rsidRDefault="00785E98">
      <w:pPr>
        <w:spacing w:line="360" w:lineRule="auto"/>
        <w:jc w:val="both"/>
        <w:rPr>
          <w:rFonts w:ascii="Palatino Linotype" w:eastAsia="Palatino Linotype" w:hAnsi="Palatino Linotype" w:cs="Palatino Linotype"/>
        </w:rPr>
      </w:pPr>
    </w:p>
    <w:p w14:paraId="671C09C0"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Es de precisar que la Ley de Transparencia y Acceso a la Información Pública del Estado de México y Municipios, describe el mecanismo de procedencia de los recursos de revisión, en ese sentido en su artículo 163, se indica lo siguiente:</w:t>
      </w:r>
    </w:p>
    <w:p w14:paraId="39AF0722" w14:textId="77777777" w:rsidR="00785E98" w:rsidRPr="00BF5949" w:rsidRDefault="00785E98">
      <w:pPr>
        <w:pBdr>
          <w:top w:val="nil"/>
          <w:left w:val="nil"/>
          <w:bottom w:val="nil"/>
          <w:right w:val="nil"/>
          <w:between w:val="nil"/>
        </w:pBdr>
        <w:rPr>
          <w:rFonts w:ascii="Palatino Linotype" w:eastAsia="Palatino Linotype" w:hAnsi="Palatino Linotype" w:cs="Palatino Linotype"/>
          <w:color w:val="000000"/>
        </w:rPr>
      </w:pPr>
    </w:p>
    <w:p w14:paraId="0AB16AE9" w14:textId="77777777" w:rsidR="00785E98" w:rsidRPr="00BF594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w:t>
      </w:r>
      <w:r w:rsidRPr="00BF5949">
        <w:rPr>
          <w:rFonts w:ascii="Palatino Linotype" w:eastAsia="Palatino Linotype" w:hAnsi="Palatino Linotype" w:cs="Palatino Linotype"/>
          <w:b/>
          <w:i/>
          <w:color w:val="000000"/>
          <w:sz w:val="22"/>
          <w:szCs w:val="22"/>
        </w:rPr>
        <w:t>Artículo 163.</w:t>
      </w:r>
      <w:r w:rsidRPr="00BF5949">
        <w:rPr>
          <w:rFonts w:ascii="Palatino Linotype" w:eastAsia="Palatino Linotype" w:hAnsi="Palatino Linotype" w:cs="Palatino Linotype"/>
          <w:i/>
          <w:color w:val="000000"/>
          <w:sz w:val="22"/>
          <w:szCs w:val="22"/>
        </w:rPr>
        <w:t xml:space="preserve"> La Unidad de Transparencia deberá notificar la respuesta a la solicitud al interesado en el menor tiempo posible, que no podrá exceder de quince días hábiles, contados a partir del día siguiente a la presentación de aquélla.</w:t>
      </w:r>
    </w:p>
    <w:p w14:paraId="535F3207" w14:textId="77777777" w:rsidR="00785E98" w:rsidRPr="00BF594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060F1807" w14:textId="77777777" w:rsidR="00785E98" w:rsidRPr="00BF594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0C198416" w14:textId="77777777" w:rsidR="00785E98" w:rsidRPr="00BF5949" w:rsidRDefault="005D216E">
      <w:pPr>
        <w:pBdr>
          <w:top w:val="nil"/>
          <w:left w:val="nil"/>
          <w:bottom w:val="nil"/>
          <w:right w:val="nil"/>
          <w:between w:val="nil"/>
        </w:pBdr>
        <w:ind w:left="567" w:right="567"/>
        <w:jc w:val="right"/>
        <w:rPr>
          <w:rFonts w:ascii="Palatino Linotype" w:eastAsia="Palatino Linotype" w:hAnsi="Palatino Linotype" w:cs="Palatino Linotype"/>
          <w:i/>
          <w:color w:val="000000"/>
          <w:sz w:val="20"/>
          <w:szCs w:val="20"/>
        </w:rPr>
      </w:pPr>
      <w:r w:rsidRPr="00BF5949">
        <w:rPr>
          <w:rFonts w:ascii="Palatino Linotype" w:eastAsia="Palatino Linotype" w:hAnsi="Palatino Linotype" w:cs="Palatino Linotype"/>
          <w:i/>
          <w:color w:val="000000"/>
          <w:sz w:val="20"/>
          <w:szCs w:val="20"/>
        </w:rPr>
        <w:t>(Énfasis añadido)</w:t>
      </w:r>
    </w:p>
    <w:p w14:paraId="49ECF4AB" w14:textId="77777777" w:rsidR="00785E98" w:rsidRPr="00BF5949" w:rsidRDefault="00785E98">
      <w:pPr>
        <w:spacing w:line="360" w:lineRule="auto"/>
        <w:jc w:val="both"/>
        <w:rPr>
          <w:rFonts w:ascii="Palatino Linotype" w:eastAsia="Palatino Linotype" w:hAnsi="Palatino Linotype" w:cs="Palatino Linotype"/>
        </w:rPr>
      </w:pPr>
    </w:p>
    <w:p w14:paraId="22731233"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De la interpretación al precepto legal inserto, se advierte que el plazo que les asiste a los Sujetos Obligados para notificar la respuesta a una solicitud de información pública, es de quince días hábiles posteriores a la presentación de ésta.</w:t>
      </w:r>
    </w:p>
    <w:p w14:paraId="338DEC58" w14:textId="77777777" w:rsidR="00785E98" w:rsidRPr="00BF5949" w:rsidRDefault="00785E98">
      <w:pPr>
        <w:spacing w:line="360" w:lineRule="auto"/>
        <w:jc w:val="both"/>
        <w:rPr>
          <w:rFonts w:ascii="Palatino Linotype" w:eastAsia="Palatino Linotype" w:hAnsi="Palatino Linotype" w:cs="Palatino Linotype"/>
        </w:rPr>
      </w:pPr>
    </w:p>
    <w:p w14:paraId="66B0C030"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En esa tesitura, en aquellos casos en que transcurra el referido plazo de quince días hábiles, sin que los Sujetos Obligados entreguen la respuesta a la solicitud de información, ésta debe considerarse como negada; por lo que al solicitante le asiste el derecho para poder presentar el recurso de revisión correspondiente. Derivado de lo anterior, se constituye la figura jurídica de la </w:t>
      </w:r>
      <w:r w:rsidRPr="00BF5949">
        <w:rPr>
          <w:rFonts w:ascii="Palatino Linotype" w:eastAsia="Palatino Linotype" w:hAnsi="Palatino Linotype" w:cs="Palatino Linotype"/>
          <w:b/>
          <w:i/>
        </w:rPr>
        <w:t>Negativa Ficta</w:t>
      </w:r>
      <w:r w:rsidRPr="00BF5949">
        <w:rPr>
          <w:rFonts w:ascii="Palatino Linotype" w:eastAsia="Palatino Linotype" w:hAnsi="Palatino Linotype" w:cs="Palatino Linotype"/>
        </w:rPr>
        <w:t>, cuya esencia consiste en atribuir un efecto negativo al silencio de la autoridad administrativa frente a las instancias y solicitudes que hagan los particulares.</w:t>
      </w:r>
    </w:p>
    <w:p w14:paraId="25C9D193" w14:textId="77777777" w:rsidR="00785E98" w:rsidRPr="00BF5949" w:rsidRDefault="00785E98">
      <w:pPr>
        <w:pBdr>
          <w:top w:val="nil"/>
          <w:left w:val="nil"/>
          <w:bottom w:val="nil"/>
          <w:right w:val="nil"/>
          <w:between w:val="nil"/>
        </w:pBdr>
        <w:rPr>
          <w:rFonts w:ascii="Palatino Linotype" w:eastAsia="Palatino Linotype" w:hAnsi="Palatino Linotype" w:cs="Palatino Linotype"/>
          <w:color w:val="000000"/>
        </w:rPr>
      </w:pPr>
    </w:p>
    <w:p w14:paraId="4A79A99A" w14:textId="77777777" w:rsidR="00785E98" w:rsidRPr="00BF594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F5949">
        <w:rPr>
          <w:rFonts w:ascii="Palatino Linotype" w:eastAsia="Palatino Linotype" w:hAnsi="Palatino Linotype" w:cs="Palatino Linotype"/>
          <w:color w:val="000000"/>
        </w:rPr>
        <w:t>Por su parte el artículo 178, de la Ley de Transparencia y Acceso a la Información Pública del Estado de México y Municipios, establece:</w:t>
      </w:r>
    </w:p>
    <w:p w14:paraId="386C5170" w14:textId="77777777" w:rsidR="00785E98" w:rsidRPr="00BF5949" w:rsidRDefault="00785E98">
      <w:pPr>
        <w:pBdr>
          <w:top w:val="nil"/>
          <w:left w:val="nil"/>
          <w:bottom w:val="nil"/>
          <w:right w:val="nil"/>
          <w:between w:val="nil"/>
        </w:pBdr>
        <w:rPr>
          <w:color w:val="000000"/>
        </w:rPr>
      </w:pPr>
    </w:p>
    <w:p w14:paraId="2E7CFD05" w14:textId="77777777" w:rsidR="00785E98" w:rsidRPr="00BF594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w:t>
      </w:r>
      <w:r w:rsidRPr="00BF5949">
        <w:rPr>
          <w:rFonts w:ascii="Palatino Linotype" w:eastAsia="Palatino Linotype" w:hAnsi="Palatino Linotype" w:cs="Palatino Linotype"/>
          <w:b/>
          <w:i/>
          <w:color w:val="000000"/>
          <w:sz w:val="22"/>
          <w:szCs w:val="22"/>
        </w:rPr>
        <w:t>Artículo 178.</w:t>
      </w:r>
      <w:r w:rsidRPr="00BF5949">
        <w:rPr>
          <w:rFonts w:ascii="Palatino Linotype" w:eastAsia="Palatino Linotype" w:hAnsi="Palatino Linotype" w:cs="Palatino Linotype"/>
          <w:i/>
          <w:color w:val="000000"/>
          <w:sz w:val="22"/>
          <w:szCs w:val="22"/>
        </w:rPr>
        <w:t xml:space="preserve"> 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p>
    <w:p w14:paraId="0C037FA9" w14:textId="77777777" w:rsidR="00785E98" w:rsidRPr="00BF594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7D453DDF" w14:textId="77777777" w:rsidR="00785E98" w:rsidRPr="00BF594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b/>
          <w:i/>
          <w:color w:val="000000"/>
          <w:sz w:val="22"/>
          <w:szCs w:val="22"/>
        </w:rPr>
        <w:t xml:space="preserve">A falta de respuesta del sujeto obligado, dentro de los plazos establecidos en esta Ley, a una solicitud de acceso a la información pública, el recurso podrá ser </w:t>
      </w:r>
      <w:r w:rsidRPr="00BF5949">
        <w:rPr>
          <w:rFonts w:ascii="Palatino Linotype" w:eastAsia="Palatino Linotype" w:hAnsi="Palatino Linotype" w:cs="Palatino Linotype"/>
          <w:b/>
          <w:i/>
          <w:color w:val="000000"/>
          <w:sz w:val="22"/>
          <w:szCs w:val="22"/>
        </w:rPr>
        <w:lastRenderedPageBreak/>
        <w:t>interpuesto en cualquier momento</w:t>
      </w:r>
      <w:r w:rsidRPr="00BF5949">
        <w:rPr>
          <w:rFonts w:ascii="Palatino Linotype" w:eastAsia="Palatino Linotype" w:hAnsi="Palatino Linotype" w:cs="Palatino Linotype"/>
          <w:i/>
          <w:color w:val="000000"/>
          <w:sz w:val="22"/>
          <w:szCs w:val="22"/>
        </w:rPr>
        <w:t>, acompañado con el documento que pruebe la fecha en que presentó la solicitud.</w:t>
      </w:r>
    </w:p>
    <w:p w14:paraId="64639F27" w14:textId="77777777" w:rsidR="00785E98" w:rsidRPr="00BF5949" w:rsidRDefault="00785E98">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p>
    <w:p w14:paraId="5CDD80D8" w14:textId="77777777" w:rsidR="00785E98" w:rsidRPr="00BF5949" w:rsidRDefault="005D216E">
      <w:pPr>
        <w:pBdr>
          <w:top w:val="nil"/>
          <w:left w:val="nil"/>
          <w:bottom w:val="nil"/>
          <w:right w:val="nil"/>
          <w:between w:val="nil"/>
        </w:pBdr>
        <w:ind w:left="567" w:right="567"/>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En el caso de que se interponga ante la Unidad de Transparencia, ésta deberá remitir el recurso de revisión al Instituto a más tardar al día siguiente de haberlo recibido.”</w:t>
      </w:r>
    </w:p>
    <w:p w14:paraId="38A4CAF7" w14:textId="77777777" w:rsidR="00785E98" w:rsidRPr="00BF594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50B402C" w14:textId="77777777" w:rsidR="00785E98" w:rsidRPr="00BF594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F5949">
        <w:rPr>
          <w:rFonts w:ascii="Palatino Linotype" w:eastAsia="Palatino Linotype" w:hAnsi="Palatino Linotype" w:cs="Palatino Linotype"/>
          <w:color w:val="000000"/>
        </w:rPr>
        <w:t xml:space="preserve">De lo anterior, se advierte que si el recurso de revisión se ha de interponer dentro del plazo de quince días hábiles, contados a partir del día siguiente al de aquel, en que el particular tuvo conocimiento de la resolución respectiva; sin embargo, tratándose de una negativa ficta, evidentemente no existió respuesta a la solicitud de información por parte del </w:t>
      </w:r>
      <w:r w:rsidRPr="00BF5949">
        <w:rPr>
          <w:rFonts w:ascii="Palatino Linotype" w:eastAsia="Palatino Linotype" w:hAnsi="Palatino Linotype" w:cs="Palatino Linotype"/>
          <w:b/>
          <w:color w:val="000000"/>
        </w:rPr>
        <w:t>Sujeto Obligado</w:t>
      </w:r>
      <w:r w:rsidRPr="00BF5949">
        <w:rPr>
          <w:rFonts w:ascii="Palatino Linotype" w:eastAsia="Palatino Linotype" w:hAnsi="Palatino Linotype" w:cs="Palatino Linotype"/>
          <w:color w:val="000000"/>
        </w:rPr>
        <w:t>, a partir de la cual pudiera computarse dicho plazo, por tal motivo es pertinente establecer que no existe plazo específico para la interposición del recurso de revisión, y este puede ser presentado en cualquier momento. Por lo que la interposición del presente recurso de revisión resulta oportuna.</w:t>
      </w:r>
    </w:p>
    <w:p w14:paraId="3BA994AD" w14:textId="77777777" w:rsidR="00785E98" w:rsidRPr="00BF5949" w:rsidRDefault="00785E98">
      <w:pPr>
        <w:spacing w:line="360" w:lineRule="auto"/>
        <w:jc w:val="both"/>
        <w:rPr>
          <w:rFonts w:ascii="Palatino Linotype" w:eastAsia="Palatino Linotype" w:hAnsi="Palatino Linotype" w:cs="Palatino Linotype"/>
        </w:rPr>
      </w:pPr>
    </w:p>
    <w:p w14:paraId="73B98FA1" w14:textId="4D6FF429" w:rsidR="00785E98" w:rsidRPr="00BF5949" w:rsidRDefault="004454B4">
      <w:pPr>
        <w:spacing w:line="360" w:lineRule="auto"/>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TERCERO</w:t>
      </w:r>
      <w:r w:rsidR="005D216E" w:rsidRPr="00BF5949">
        <w:rPr>
          <w:rFonts w:ascii="Palatino Linotype" w:eastAsia="Palatino Linotype" w:hAnsi="Palatino Linotype" w:cs="Palatino Linotype"/>
          <w:b/>
          <w:sz w:val="28"/>
          <w:szCs w:val="28"/>
        </w:rPr>
        <w:t xml:space="preserve">. Del estudio de las causas de improcedencia. </w:t>
      </w:r>
    </w:p>
    <w:p w14:paraId="30C80B13"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El estudio de las causas de improcedencia que se hagan valer por las partes o que se advierta de oficio por este </w:t>
      </w:r>
      <w:proofErr w:type="spellStart"/>
      <w:r w:rsidRPr="00BF5949">
        <w:rPr>
          <w:rFonts w:ascii="Palatino Linotype" w:eastAsia="Palatino Linotype" w:hAnsi="Palatino Linotype" w:cs="Palatino Linotype"/>
        </w:rPr>
        <w:t>Resolutor</w:t>
      </w:r>
      <w:proofErr w:type="spellEnd"/>
      <w:r w:rsidRPr="00BF5949">
        <w:rPr>
          <w:rFonts w:ascii="Palatino Linotype" w:eastAsia="Palatino Linotype" w:hAnsi="Palatino Linotype" w:cs="Palatino Linotype"/>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p>
    <w:p w14:paraId="055DADD9" w14:textId="77777777" w:rsidR="00785E98" w:rsidRPr="00BF5949" w:rsidRDefault="00785E98">
      <w:pPr>
        <w:pBdr>
          <w:top w:val="nil"/>
          <w:left w:val="nil"/>
          <w:bottom w:val="nil"/>
          <w:right w:val="nil"/>
          <w:between w:val="nil"/>
        </w:pBdr>
        <w:rPr>
          <w:color w:val="000000"/>
        </w:rPr>
      </w:pPr>
    </w:p>
    <w:p w14:paraId="75E31E6B" w14:textId="77777777" w:rsidR="00785E98" w:rsidRPr="00BF5949" w:rsidRDefault="005D216E">
      <w:pPr>
        <w:ind w:left="567" w:right="616"/>
        <w:jc w:val="both"/>
        <w:rPr>
          <w:rFonts w:ascii="Palatino Linotype" w:eastAsia="Palatino Linotype" w:hAnsi="Palatino Linotype" w:cs="Palatino Linotype"/>
          <w:b/>
          <w:i/>
          <w:sz w:val="22"/>
          <w:szCs w:val="22"/>
        </w:rPr>
      </w:pPr>
      <w:r w:rsidRPr="00BF5949">
        <w:rPr>
          <w:rFonts w:ascii="Palatino Linotype" w:eastAsia="Palatino Linotype" w:hAnsi="Palatino Linotype" w:cs="Palatino Linotype"/>
          <w:b/>
          <w:i/>
          <w:sz w:val="22"/>
          <w:szCs w:val="22"/>
        </w:rPr>
        <w:lastRenderedPageBreak/>
        <w:t>IMPROCEDENCIA Y SOBRESEIMIENTO EN EL JUICIO DE AMPARO. LAS CAUSAS PREVISTAS EN LOS ARTÍCULOS 73 Y 74 DE LA LEY DE LA MATERIA, RESPECTIVAMENTE, NO SON INCOMPATIBLES CON EL ARTÍCULO 25.1 DE LA CONVENCIÓN AMERICANA SOBRE DERECHOS HUMANOS.</w:t>
      </w:r>
    </w:p>
    <w:p w14:paraId="2512DEBE" w14:textId="77777777" w:rsidR="00785E98" w:rsidRPr="00BF5949" w:rsidRDefault="00785E98">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p>
    <w:p w14:paraId="5FF7D9D7"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color w:val="000000"/>
          <w:sz w:val="22"/>
          <w:szCs w:val="22"/>
        </w:rPr>
      </w:pPr>
      <w:r w:rsidRPr="00BF5949">
        <w:rPr>
          <w:rFonts w:ascii="Palatino Linotype" w:eastAsia="Palatino Linotype" w:hAnsi="Palatino Linotype" w:cs="Palatino Linotype"/>
          <w:i/>
          <w:color w:val="000000"/>
          <w:sz w:val="22"/>
          <w:szCs w:val="22"/>
        </w:rPr>
        <w:t>Del examen de compatibilidad de los artículos </w:t>
      </w:r>
      <w:hyperlink r:id="rId7">
        <w:r w:rsidRPr="00BF5949">
          <w:rPr>
            <w:rFonts w:ascii="Palatino Linotype" w:eastAsia="Palatino Linotype" w:hAnsi="Palatino Linotype" w:cs="Palatino Linotype"/>
            <w:i/>
            <w:color w:val="0563C1"/>
            <w:sz w:val="22"/>
            <w:szCs w:val="22"/>
            <w:u w:val="single"/>
          </w:rPr>
          <w:t>73 y 74 de la Ley de Amparo</w:t>
        </w:r>
      </w:hyperlink>
      <w:r w:rsidRPr="00BF5949">
        <w:rPr>
          <w:rFonts w:ascii="Palatino Linotype" w:eastAsia="Palatino Linotype" w:hAnsi="Palatino Linotype" w:cs="Palatino Linotype"/>
          <w:i/>
          <w:color w:val="000000"/>
          <w:sz w:val="22"/>
          <w:szCs w:val="22"/>
        </w:rPr>
        <w:t> con el artículo </w:t>
      </w:r>
      <w:hyperlink r:id="rId8">
        <w:r w:rsidRPr="00BF5949">
          <w:rPr>
            <w:rFonts w:ascii="Palatino Linotype" w:eastAsia="Palatino Linotype" w:hAnsi="Palatino Linotype" w:cs="Palatino Linotype"/>
            <w:i/>
            <w:color w:val="0563C1"/>
            <w:sz w:val="22"/>
            <w:szCs w:val="22"/>
            <w:u w:val="single"/>
          </w:rPr>
          <w:t>25.1 de la Convención Americana sobre Derechos Humanos</w:t>
        </w:r>
      </w:hyperlink>
      <w:r w:rsidRPr="00BF5949">
        <w:rPr>
          <w:rFonts w:ascii="Palatino Linotype" w:eastAsia="Palatino Linotype" w:hAnsi="Palatino Linotype" w:cs="Palatino Linotype"/>
          <w:i/>
          <w:color w:val="000000"/>
          <w:sz w:val="22"/>
          <w:szCs w:val="22"/>
        </w:rPr>
        <w:t> </w:t>
      </w:r>
      <w:r w:rsidRPr="00BF5949">
        <w:rPr>
          <w:rFonts w:ascii="Palatino Linotype" w:eastAsia="Palatino Linotype" w:hAnsi="Palatino Linotype" w:cs="Palatino Linotype"/>
          <w:b/>
          <w:i/>
          <w:color w:val="000000"/>
          <w:sz w:val="22"/>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BF5949">
        <w:rPr>
          <w:rFonts w:ascii="Palatino Linotype" w:eastAsia="Palatino Linotype" w:hAnsi="Palatino Linotype" w:cs="Palatino Linotype"/>
          <w:i/>
          <w:color w:val="000000"/>
          <w:sz w:val="22"/>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BF5949">
        <w:rPr>
          <w:rFonts w:ascii="Palatino Linotype" w:eastAsia="Palatino Linotype" w:hAnsi="Palatino Linotype" w:cs="Palatino Linotype"/>
          <w:i/>
          <w:color w:val="000000"/>
          <w:sz w:val="22"/>
          <w:szCs w:val="22"/>
        </w:rPr>
        <w:t>concesoria</w:t>
      </w:r>
      <w:proofErr w:type="spellEnd"/>
      <w:r w:rsidRPr="00BF5949">
        <w:rPr>
          <w:rFonts w:ascii="Palatino Linotype" w:eastAsia="Palatino Linotype" w:hAnsi="Palatino Linotype" w:cs="Palatino Linotype"/>
          <w:i/>
          <w:color w:val="000000"/>
          <w:sz w:val="22"/>
          <w:szCs w:val="22"/>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426CFD80" w14:textId="77777777" w:rsidR="00785E98" w:rsidRPr="00BF594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6A45DCA8"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Por lo que una vez que se analizó el expediente en estudio se cae en la cuenta de que no se actualiza ninguna de las casuales a continuación transcritas:</w:t>
      </w:r>
    </w:p>
    <w:p w14:paraId="152F0BF9" w14:textId="77777777" w:rsidR="00785E98" w:rsidRPr="00BF5949" w:rsidRDefault="00785E98">
      <w:pPr>
        <w:pBdr>
          <w:top w:val="nil"/>
          <w:left w:val="nil"/>
          <w:bottom w:val="nil"/>
          <w:right w:val="nil"/>
          <w:between w:val="nil"/>
        </w:pBdr>
        <w:rPr>
          <w:color w:val="000000"/>
        </w:rPr>
      </w:pPr>
    </w:p>
    <w:p w14:paraId="48EB1B5C"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w:t>
      </w:r>
      <w:r w:rsidRPr="00BF5949">
        <w:rPr>
          <w:rFonts w:ascii="Palatino Linotype" w:eastAsia="Palatino Linotype" w:hAnsi="Palatino Linotype" w:cs="Palatino Linotype"/>
          <w:b/>
          <w:i/>
          <w:color w:val="000000"/>
          <w:sz w:val="22"/>
          <w:szCs w:val="22"/>
        </w:rPr>
        <w:t>Artículo 191.</w:t>
      </w:r>
      <w:r w:rsidRPr="00BF5949">
        <w:rPr>
          <w:rFonts w:ascii="Palatino Linotype" w:eastAsia="Palatino Linotype" w:hAnsi="Palatino Linotype" w:cs="Palatino Linotype"/>
          <w:i/>
          <w:color w:val="000000"/>
          <w:sz w:val="22"/>
          <w:szCs w:val="22"/>
        </w:rPr>
        <w:t xml:space="preserve"> El recurso será desechado por improcedente cuando:  </w:t>
      </w:r>
    </w:p>
    <w:p w14:paraId="7E857255"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 xml:space="preserve">I. Sea extemporáneo por haber transcurrido el plazo establecido en la presente Ley, a partir de la respuesta;  </w:t>
      </w:r>
    </w:p>
    <w:p w14:paraId="608025E1"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 xml:space="preserve">II. Se esté tramitando ante el Poder Judicial de la Federación algún recurso o medio de defensa interpuesto por el recurrente;  </w:t>
      </w:r>
    </w:p>
    <w:p w14:paraId="2F3A2472"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 xml:space="preserve">III. No actualice alguno de los supuestos previstos en la presente Ley;  </w:t>
      </w:r>
    </w:p>
    <w:p w14:paraId="6494FEFB"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IV. No se haya desahogado la prevención en los términos establecidos en la presente Ley;</w:t>
      </w:r>
    </w:p>
    <w:p w14:paraId="4306CDA8"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 xml:space="preserve">V. Se impugne la veracidad de la información proporcionada;  </w:t>
      </w:r>
    </w:p>
    <w:p w14:paraId="770C8423"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 xml:space="preserve">VI. Se trate de una consulta, o trámite en específico; y  </w:t>
      </w:r>
    </w:p>
    <w:p w14:paraId="36363850" w14:textId="77777777" w:rsidR="00785E98" w:rsidRPr="00BF5949" w:rsidRDefault="005D216E">
      <w:pPr>
        <w:pBdr>
          <w:top w:val="nil"/>
          <w:left w:val="nil"/>
          <w:bottom w:val="nil"/>
          <w:right w:val="nil"/>
          <w:between w:val="nil"/>
        </w:pBdr>
        <w:ind w:left="567" w:right="616"/>
        <w:jc w:val="both"/>
        <w:rPr>
          <w:rFonts w:ascii="Palatino Linotype" w:eastAsia="Palatino Linotype" w:hAnsi="Palatino Linotype" w:cs="Palatino Linotype"/>
          <w:i/>
          <w:color w:val="000000"/>
          <w:sz w:val="22"/>
          <w:szCs w:val="22"/>
        </w:rPr>
      </w:pPr>
      <w:r w:rsidRPr="00BF5949">
        <w:rPr>
          <w:rFonts w:ascii="Palatino Linotype" w:eastAsia="Palatino Linotype" w:hAnsi="Palatino Linotype" w:cs="Palatino Linotype"/>
          <w:i/>
          <w:color w:val="000000"/>
          <w:sz w:val="22"/>
          <w:szCs w:val="22"/>
        </w:rPr>
        <w:t>VII. El recurrente amplíe su solicitud en el recurso de revisión, únicamente respecto de los nuevos contenidos.”</w:t>
      </w:r>
    </w:p>
    <w:p w14:paraId="591B29CE" w14:textId="77777777" w:rsidR="00785E98" w:rsidRPr="00BF5949" w:rsidRDefault="00785E98">
      <w:pPr>
        <w:spacing w:line="360" w:lineRule="auto"/>
        <w:jc w:val="both"/>
        <w:rPr>
          <w:rFonts w:ascii="Palatino Linotype" w:eastAsia="Palatino Linotype" w:hAnsi="Palatino Linotype" w:cs="Palatino Linotype"/>
        </w:rPr>
      </w:pPr>
    </w:p>
    <w:p w14:paraId="021FAE63"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Ya que no fue interpuesto de forma extemporánea, no se está tramitando ante el Poder Judicial Federal, no es una consulta, o trámite en específico, ni tampoco se advierte que el recurrente amplíe su solicitud en el recurso de revisión, por lo que al no existir causas de improcedencia invocadas por las partes ni advertidas de oficio, este Órgano Garante de la Transparencia se avoca al análisis del fondo del asunto que nos ocupa.</w:t>
      </w:r>
    </w:p>
    <w:p w14:paraId="6B1B1710" w14:textId="77777777" w:rsidR="005456CC" w:rsidRPr="00BF5949" w:rsidRDefault="005456CC">
      <w:pPr>
        <w:spacing w:line="360" w:lineRule="auto"/>
        <w:jc w:val="both"/>
        <w:rPr>
          <w:rFonts w:ascii="Palatino Linotype" w:eastAsia="Palatino Linotype" w:hAnsi="Palatino Linotype" w:cs="Palatino Linotype"/>
        </w:rPr>
      </w:pPr>
    </w:p>
    <w:p w14:paraId="6C795053" w14:textId="77777777" w:rsidR="00785E98" w:rsidRPr="00BF5949" w:rsidRDefault="005D216E">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BF5949">
        <w:rPr>
          <w:rFonts w:ascii="Palatino Linotype" w:eastAsia="Palatino Linotype" w:hAnsi="Palatino Linotype" w:cs="Palatino Linotype"/>
          <w:color w:val="000000"/>
        </w:rPr>
        <w:t xml:space="preserve">Así las cosas, al no existir causas de improcedencia invocadas por las partes ni advertidas de oficio por este </w:t>
      </w:r>
      <w:proofErr w:type="spellStart"/>
      <w:r w:rsidRPr="00BF5949">
        <w:rPr>
          <w:rFonts w:ascii="Palatino Linotype" w:eastAsia="Palatino Linotype" w:hAnsi="Palatino Linotype" w:cs="Palatino Linotype"/>
          <w:color w:val="000000"/>
        </w:rPr>
        <w:t>Resolutor</w:t>
      </w:r>
      <w:proofErr w:type="spellEnd"/>
      <w:r w:rsidRPr="00BF5949">
        <w:rPr>
          <w:rFonts w:ascii="Palatino Linotype" w:eastAsia="Palatino Linotype" w:hAnsi="Palatino Linotype" w:cs="Palatino Linotype"/>
          <w:color w:val="000000"/>
        </w:rPr>
        <w:t>, se proceden al análisis del fondo de los asuntos en los siguientes términos.</w:t>
      </w:r>
    </w:p>
    <w:p w14:paraId="050B6C34" w14:textId="77777777" w:rsidR="00785E98" w:rsidRPr="00BF5949" w:rsidRDefault="00785E98">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2242B7AC" w14:textId="06666843" w:rsidR="00785E98" w:rsidRPr="00BF5949" w:rsidRDefault="004454B4">
      <w:pPr>
        <w:tabs>
          <w:tab w:val="left" w:pos="709"/>
        </w:tabs>
        <w:spacing w:line="360" w:lineRule="auto"/>
        <w:ind w:right="51"/>
        <w:jc w:val="both"/>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t>CUARTO</w:t>
      </w:r>
      <w:r w:rsidR="005D216E" w:rsidRPr="00BF5949">
        <w:rPr>
          <w:rFonts w:ascii="Palatino Linotype" w:eastAsia="Palatino Linotype" w:hAnsi="Palatino Linotype" w:cs="Palatino Linotype"/>
          <w:b/>
          <w:sz w:val="28"/>
          <w:szCs w:val="28"/>
        </w:rPr>
        <w:t xml:space="preserve">. Estudio y resolución del asunto </w:t>
      </w:r>
    </w:p>
    <w:p w14:paraId="748CFE79" w14:textId="77777777" w:rsidR="00785E98" w:rsidRPr="00BF5949" w:rsidRDefault="005D216E">
      <w:pPr>
        <w:spacing w:line="360" w:lineRule="auto"/>
        <w:jc w:val="both"/>
        <w:rPr>
          <w:rFonts w:ascii="Palatino Linotype" w:eastAsia="Palatino Linotype" w:hAnsi="Palatino Linotype" w:cs="Palatino Linotype"/>
          <w:color w:val="000000"/>
        </w:rPr>
      </w:pPr>
      <w:r w:rsidRPr="00BF5949">
        <w:rPr>
          <w:rFonts w:ascii="Palatino Linotype" w:eastAsia="Palatino Linotype" w:hAnsi="Palatino Linotype" w:cs="Palatino Linotype"/>
        </w:rPr>
        <w:t xml:space="preserve">El derecho de acceso a la información pública es un </w:t>
      </w:r>
      <w:r w:rsidRPr="00BF5949">
        <w:rPr>
          <w:rFonts w:ascii="Palatino Linotype" w:eastAsia="Palatino Linotype" w:hAnsi="Palatino Linotype" w:cs="Palatino Linotype"/>
          <w:color w:val="000000"/>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600B629D" w14:textId="77777777" w:rsidR="00785E98" w:rsidRPr="00BF5949" w:rsidRDefault="00785E98">
      <w:pPr>
        <w:spacing w:line="360" w:lineRule="auto"/>
        <w:jc w:val="both"/>
        <w:rPr>
          <w:rFonts w:ascii="Palatino Linotype" w:eastAsia="Palatino Linotype" w:hAnsi="Palatino Linotype" w:cs="Palatino Linotype"/>
          <w:color w:val="000000"/>
        </w:rPr>
      </w:pPr>
    </w:p>
    <w:p w14:paraId="2FD30836"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Por lo que en cumplimiento a las obligaciones que establece nuestra Carta Magna, la Constitución Estatal y la Ley de la materia le imponen, el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está constreñido a dar atención a las solicitudes de información que a través del </w:t>
      </w:r>
      <w:r w:rsidRPr="00BF5949">
        <w:rPr>
          <w:rFonts w:ascii="Palatino Linotype" w:eastAsia="Palatino Linotype" w:hAnsi="Palatino Linotype" w:cs="Palatino Linotype"/>
          <w:b/>
        </w:rPr>
        <w:t xml:space="preserve">SAIMEX </w:t>
      </w:r>
      <w:r w:rsidRPr="00BF5949">
        <w:rPr>
          <w:rFonts w:ascii="Palatino Linotype" w:eastAsia="Palatino Linotype" w:hAnsi="Palatino Linotype" w:cs="Palatino Linotype"/>
        </w:rPr>
        <w:t xml:space="preserve">o de vía directa le sean presentadas en ejercicio del derecho humano de acceso a la información pública, lo cual, en el caso no aconteció, pues tal y como se ha acreditado </w:t>
      </w:r>
      <w:r w:rsidRPr="00BF5949">
        <w:rPr>
          <w:rFonts w:ascii="Palatino Linotype" w:eastAsia="Palatino Linotype" w:hAnsi="Palatino Linotype" w:cs="Palatino Linotype"/>
        </w:rPr>
        <w:lastRenderedPageBreak/>
        <w:t xml:space="preserve">de la revisión del expediente electrónico formado de las constancias que obran en el sistema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xml:space="preserve">, el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fue omiso en dar respuesta a la solicitud de información dentro de los plazos establecidos en la Ley de Transparencia Loca</w:t>
      </w:r>
      <w:r w:rsidR="00CA19C9" w:rsidRPr="00BF5949">
        <w:rPr>
          <w:rFonts w:ascii="Palatino Linotype" w:eastAsia="Palatino Linotype" w:hAnsi="Palatino Linotype" w:cs="Palatino Linotype"/>
        </w:rPr>
        <w:t>l</w:t>
      </w:r>
      <w:r w:rsidRPr="00BF5949">
        <w:rPr>
          <w:rFonts w:ascii="Palatino Linotype" w:eastAsia="Palatino Linotype" w:hAnsi="Palatino Linotype" w:cs="Palatino Linotype"/>
        </w:rPr>
        <w:t>.</w:t>
      </w:r>
    </w:p>
    <w:p w14:paraId="4DEEDE07" w14:textId="77777777" w:rsidR="00785E98" w:rsidRPr="00BF5949" w:rsidRDefault="00785E98">
      <w:pPr>
        <w:spacing w:line="360" w:lineRule="auto"/>
        <w:jc w:val="both"/>
        <w:rPr>
          <w:rFonts w:ascii="Palatino Linotype" w:eastAsia="Palatino Linotype" w:hAnsi="Palatino Linotype" w:cs="Palatino Linotype"/>
        </w:rPr>
      </w:pPr>
    </w:p>
    <w:p w14:paraId="5FC88749"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Asimismo, los motivos o razones de inconformidad expuestos por la parte </w:t>
      </w:r>
      <w:r w:rsidRPr="00BF5949">
        <w:rPr>
          <w:rFonts w:ascii="Palatino Linotype" w:eastAsia="Palatino Linotype" w:hAnsi="Palatino Linotype" w:cs="Palatino Linotype"/>
          <w:b/>
        </w:rPr>
        <w:t xml:space="preserve">Recurrente </w:t>
      </w:r>
      <w:r w:rsidRPr="00BF5949">
        <w:rPr>
          <w:rFonts w:ascii="Palatino Linotype" w:eastAsia="Palatino Linotype" w:hAnsi="Palatino Linotype" w:cs="Palatino Linotype"/>
        </w:rPr>
        <w:t xml:space="preserve">se adolece de la falta de respuesta a la solicitud de acceso a la información formulada, por lo que se actualiza la causal de procedencia establecida </w:t>
      </w:r>
      <w:r w:rsidRPr="00BF5949">
        <w:rPr>
          <w:rFonts w:ascii="Palatino Linotype" w:eastAsia="Palatino Linotype" w:hAnsi="Palatino Linotype" w:cs="Palatino Linotype"/>
          <w:color w:val="000000"/>
        </w:rPr>
        <w:t>en la fracción VII, del artículo 179, de la Ley de Transparencia y Acceso a la Información Pública del Estado de México y Municipios,</w:t>
      </w:r>
      <w:r w:rsidRPr="00BF5949">
        <w:rPr>
          <w:rFonts w:ascii="Palatino Linotype" w:eastAsia="Palatino Linotype" w:hAnsi="Palatino Linotype" w:cs="Palatino Linotype"/>
          <w:b/>
          <w:color w:val="000000"/>
        </w:rPr>
        <w:t xml:space="preserve"> </w:t>
      </w:r>
      <w:r w:rsidRPr="00BF5949">
        <w:rPr>
          <w:rFonts w:ascii="Palatino Linotype" w:eastAsia="Palatino Linotype" w:hAnsi="Palatino Linotype" w:cs="Palatino Linotype"/>
          <w:color w:val="000000"/>
        </w:rPr>
        <w:t>y</w:t>
      </w:r>
      <w:r w:rsidRPr="00BF5949">
        <w:rPr>
          <w:rFonts w:ascii="Palatino Linotype" w:eastAsia="Palatino Linotype" w:hAnsi="Palatino Linotype" w:cs="Palatino Linotype"/>
          <w:b/>
          <w:color w:val="000000"/>
        </w:rPr>
        <w:t xml:space="preserve"> </w:t>
      </w:r>
      <w:r w:rsidRPr="00BF5949">
        <w:rPr>
          <w:rFonts w:ascii="Palatino Linotype" w:eastAsia="Palatino Linotype" w:hAnsi="Palatino Linotype" w:cs="Palatino Linotype"/>
        </w:rPr>
        <w:t>por tanto, procedente la interposición del recurso de revisión.</w:t>
      </w:r>
    </w:p>
    <w:p w14:paraId="2AFAE612" w14:textId="77777777" w:rsidR="00785E98" w:rsidRPr="00BF5949" w:rsidRDefault="00785E98">
      <w:pPr>
        <w:spacing w:line="360" w:lineRule="auto"/>
        <w:jc w:val="both"/>
        <w:rPr>
          <w:rFonts w:ascii="Palatino Linotype" w:eastAsia="Palatino Linotype" w:hAnsi="Palatino Linotype" w:cs="Palatino Linotype"/>
        </w:rPr>
      </w:pPr>
    </w:p>
    <w:p w14:paraId="7658FF40"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En consecuencia, las razones o motivos de inconformidad hechos valer, resultan </w:t>
      </w:r>
      <w:r w:rsidRPr="00BF5949">
        <w:rPr>
          <w:rFonts w:ascii="Palatino Linotype" w:eastAsia="Palatino Linotype" w:hAnsi="Palatino Linotype" w:cs="Palatino Linotype"/>
          <w:b/>
        </w:rPr>
        <w:t>fundadas y procedentes</w:t>
      </w:r>
      <w:r w:rsidRPr="00BF5949">
        <w:rPr>
          <w:rFonts w:ascii="Palatino Linotype" w:eastAsia="Palatino Linotype" w:hAnsi="Palatino Linotype" w:cs="Palatino Linotype"/>
        </w:rPr>
        <w:t xml:space="preserve">, en virtud de las constancias que obran en los expedientes electrónicos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xml:space="preserve">, se acredita que el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fue omiso en responder las solicitudes de información hecha por la parte </w:t>
      </w:r>
      <w:r w:rsidRPr="00BF5949">
        <w:rPr>
          <w:rFonts w:ascii="Palatino Linotype" w:eastAsia="Palatino Linotype" w:hAnsi="Palatino Linotype" w:cs="Palatino Linotype"/>
          <w:b/>
        </w:rPr>
        <w:t>Recurrente</w:t>
      </w:r>
      <w:r w:rsidRPr="00BF5949">
        <w:rPr>
          <w:rFonts w:ascii="Palatino Linotype" w:eastAsia="Palatino Linotype" w:hAnsi="Palatino Linotype" w:cs="Palatino Linotype"/>
        </w:rPr>
        <w:t xml:space="preserve">, es decir, incumplió las obligaciones que se le imponen como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de conformidad con lo establecido en los artículos 4, 12, 23 fracción IV, 24 último párrafo y 160 de la Ley de Transparencia y Acceso a la Información Pública del Estado de México y Municipios.</w:t>
      </w:r>
    </w:p>
    <w:p w14:paraId="4F453BBA" w14:textId="77777777" w:rsidR="00785E98" w:rsidRPr="00BF5949" w:rsidRDefault="00785E98">
      <w:pPr>
        <w:spacing w:line="360" w:lineRule="auto"/>
        <w:jc w:val="both"/>
        <w:rPr>
          <w:rFonts w:ascii="Palatino Linotype" w:eastAsia="Palatino Linotype" w:hAnsi="Palatino Linotype" w:cs="Palatino Linotype"/>
        </w:rPr>
      </w:pPr>
    </w:p>
    <w:p w14:paraId="2E11239E" w14:textId="77777777" w:rsidR="00785E98" w:rsidRPr="00BF5949" w:rsidRDefault="005D216E">
      <w:pPr>
        <w:widowControl w:val="0"/>
        <w:tabs>
          <w:tab w:val="left" w:pos="1276"/>
        </w:tabs>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w:t>
      </w:r>
      <w:r w:rsidRPr="00BF5949">
        <w:rPr>
          <w:rFonts w:ascii="Palatino Linotype" w:eastAsia="Palatino Linotype" w:hAnsi="Palatino Linotype" w:cs="Palatino Linotype"/>
        </w:rPr>
        <w:lastRenderedPageBreak/>
        <w:t xml:space="preserve">encargada de tramitar internamente las solicitudes de información y tiene la responsabilidad de verificar, en cada caso, que la información no tenga el carácter de confidencial o reservada. </w:t>
      </w:r>
    </w:p>
    <w:p w14:paraId="62901E17" w14:textId="77777777" w:rsidR="00785E98" w:rsidRPr="00BF5949" w:rsidRDefault="00785E98">
      <w:pPr>
        <w:widowControl w:val="0"/>
        <w:tabs>
          <w:tab w:val="left" w:pos="1276"/>
        </w:tabs>
        <w:spacing w:line="360" w:lineRule="auto"/>
        <w:jc w:val="both"/>
        <w:rPr>
          <w:rFonts w:ascii="Palatino Linotype" w:eastAsia="Palatino Linotype" w:hAnsi="Palatino Linotype" w:cs="Palatino Linotype"/>
        </w:rPr>
      </w:pPr>
    </w:p>
    <w:p w14:paraId="4DDF5350" w14:textId="77777777" w:rsidR="00785E98" w:rsidRPr="00BF5949" w:rsidRDefault="005D216E">
      <w:pPr>
        <w:widowControl w:val="0"/>
        <w:tabs>
          <w:tab w:val="left" w:pos="1276"/>
        </w:tabs>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B8C00AD" w14:textId="77777777" w:rsidR="00785E98" w:rsidRPr="00BF5949" w:rsidRDefault="00785E98">
      <w:pPr>
        <w:widowControl w:val="0"/>
        <w:tabs>
          <w:tab w:val="left" w:pos="1276"/>
        </w:tabs>
        <w:spacing w:line="360" w:lineRule="auto"/>
        <w:jc w:val="both"/>
        <w:rPr>
          <w:rFonts w:ascii="Palatino Linotype" w:eastAsia="Palatino Linotype" w:hAnsi="Palatino Linotype" w:cs="Palatino Linotype"/>
        </w:rPr>
      </w:pPr>
    </w:p>
    <w:p w14:paraId="1502B3CF"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3B8C034" w14:textId="77777777" w:rsidR="00785E98" w:rsidRPr="00BF5949" w:rsidRDefault="00785E98">
      <w:pPr>
        <w:spacing w:line="360" w:lineRule="auto"/>
        <w:jc w:val="both"/>
        <w:rPr>
          <w:rFonts w:ascii="Palatino Linotype" w:eastAsia="Palatino Linotype" w:hAnsi="Palatino Linotype" w:cs="Palatino Linotype"/>
        </w:rPr>
      </w:pPr>
    </w:p>
    <w:p w14:paraId="01B2409E"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En consecuencia, según lo dispuesto por el artículo 150 de la Ley de Transparencia y Acceso a la Información Pública del Estado de México y Municipios, el </w:t>
      </w:r>
      <w:r w:rsidRPr="00BF5949">
        <w:rPr>
          <w:rFonts w:ascii="Palatino Linotype" w:eastAsia="Palatino Linotype" w:hAnsi="Palatino Linotype" w:cs="Palatino Linotype"/>
          <w:i/>
        </w:rPr>
        <w:t xml:space="preserve">procedimiento de acceso a la información es la garantía primaria del derecho en cuestión, </w:t>
      </w:r>
      <w:r w:rsidRPr="00BF5949">
        <w:rPr>
          <w:rFonts w:ascii="Palatino Linotype" w:eastAsia="Palatino Linotype" w:hAnsi="Palatino Linotype" w:cs="Palatino Linotype"/>
        </w:rPr>
        <w:t xml:space="preserve">por lo tanto, la falta de respuesta a una solicitud de acceso a la información constituye un incumplimiento </w:t>
      </w:r>
      <w:r w:rsidRPr="00BF5949">
        <w:rPr>
          <w:rFonts w:ascii="Palatino Linotype" w:eastAsia="Palatino Linotype" w:hAnsi="Palatino Linotype" w:cs="Palatino Linotype"/>
        </w:rPr>
        <w:lastRenderedPageBreak/>
        <w:t xml:space="preserve">del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a su deber de garantizar el derecho, lo que constituye una vulneración al mismo.</w:t>
      </w:r>
    </w:p>
    <w:p w14:paraId="61428337" w14:textId="77777777" w:rsidR="00E94B1F" w:rsidRPr="00BF5949" w:rsidRDefault="00E94B1F">
      <w:pPr>
        <w:spacing w:line="360" w:lineRule="auto"/>
        <w:jc w:val="both"/>
        <w:rPr>
          <w:rFonts w:ascii="Palatino Linotype" w:eastAsia="Palatino Linotype" w:hAnsi="Palatino Linotype" w:cs="Palatino Linotype"/>
          <w:i/>
        </w:rPr>
      </w:pPr>
    </w:p>
    <w:p w14:paraId="340E6064" w14:textId="578F02E6" w:rsidR="006B41E2"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Por lo que, en cumplimiento a esta resolución, el </w:t>
      </w:r>
      <w:r w:rsidRPr="00BF5949">
        <w:rPr>
          <w:rFonts w:ascii="Palatino Linotype" w:eastAsia="Palatino Linotype" w:hAnsi="Palatino Linotype" w:cs="Palatino Linotype"/>
          <w:b/>
        </w:rPr>
        <w:t xml:space="preserve">Sujeto Obligado </w:t>
      </w:r>
      <w:r w:rsidRPr="00BF5949">
        <w:rPr>
          <w:rFonts w:ascii="Palatino Linotype" w:eastAsia="Palatino Linotype" w:hAnsi="Palatino Linotype" w:cs="Palatino Linotype"/>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2694ADB4" w14:textId="77777777" w:rsidR="006B41E2" w:rsidRPr="00BF5949" w:rsidRDefault="006B41E2">
      <w:pPr>
        <w:spacing w:line="360" w:lineRule="auto"/>
        <w:jc w:val="both"/>
        <w:rPr>
          <w:rFonts w:ascii="Palatino Linotype" w:eastAsia="Palatino Linotype" w:hAnsi="Palatino Linotype" w:cs="Palatino Linotype"/>
        </w:rPr>
      </w:pPr>
    </w:p>
    <w:p w14:paraId="4EFCC0CE" w14:textId="77777777" w:rsidR="00785E98" w:rsidRPr="00BF5949" w:rsidRDefault="005D216E" w:rsidP="00D413D3">
      <w:pPr>
        <w:numPr>
          <w:ilvl w:val="0"/>
          <w:numId w:val="1"/>
        </w:numPr>
        <w:pBdr>
          <w:top w:val="nil"/>
          <w:left w:val="nil"/>
          <w:bottom w:val="nil"/>
          <w:right w:val="nil"/>
          <w:between w:val="nil"/>
        </w:pBdr>
        <w:spacing w:line="360" w:lineRule="auto"/>
        <w:jc w:val="both"/>
        <w:rPr>
          <w:b/>
          <w:color w:val="000000"/>
          <w:sz w:val="28"/>
          <w:szCs w:val="28"/>
        </w:rPr>
      </w:pPr>
      <w:r w:rsidRPr="00BF5949">
        <w:rPr>
          <w:rFonts w:ascii="Palatino Linotype" w:eastAsia="Palatino Linotype" w:hAnsi="Palatino Linotype" w:cs="Palatino Linotype"/>
          <w:b/>
          <w:color w:val="000000"/>
          <w:sz w:val="28"/>
          <w:szCs w:val="28"/>
        </w:rPr>
        <w:t>De la clasificación de la información</w:t>
      </w:r>
    </w:p>
    <w:p w14:paraId="517D8DA7" w14:textId="77777777" w:rsidR="00785E98" w:rsidRPr="00BF5949" w:rsidRDefault="005D216E" w:rsidP="00D413D3">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58B0324F" w14:textId="77777777" w:rsidR="00785E98" w:rsidRPr="00BF5949" w:rsidRDefault="00785E98">
      <w:pPr>
        <w:spacing w:after="160" w:line="360" w:lineRule="auto"/>
        <w:jc w:val="both"/>
        <w:rPr>
          <w:rFonts w:ascii="Palatino Linotype" w:eastAsia="Palatino Linotype" w:hAnsi="Palatino Linotype" w:cs="Palatino Linotype"/>
        </w:rPr>
      </w:pPr>
    </w:p>
    <w:p w14:paraId="7A86D717"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rPr>
        <w:t>La Ley de Transparencia y Acceso a la Información Pública del Estado de México y Municipios, en sus artículos 140 y 143 prevé los siguientes supuestos para clasificar la información como reservada o confidencial.</w:t>
      </w:r>
    </w:p>
    <w:p w14:paraId="2E4325FE" w14:textId="77777777" w:rsidR="00CD4761" w:rsidRPr="00BF5949" w:rsidRDefault="00CD4761">
      <w:pPr>
        <w:tabs>
          <w:tab w:val="left" w:pos="8647"/>
        </w:tabs>
        <w:spacing w:line="360" w:lineRule="auto"/>
        <w:ind w:right="51"/>
        <w:jc w:val="both"/>
        <w:rPr>
          <w:rFonts w:ascii="Palatino Linotype" w:eastAsia="Palatino Linotype" w:hAnsi="Palatino Linotype" w:cs="Palatino Linotype"/>
        </w:rPr>
      </w:pPr>
    </w:p>
    <w:p w14:paraId="075CFE42"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Por lo que para dar atención a la solicitud de información, si el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1592E6F9" w14:textId="77777777" w:rsidR="00785E98" w:rsidRPr="00BF5949" w:rsidRDefault="00785E98">
      <w:pPr>
        <w:spacing w:line="360" w:lineRule="auto"/>
        <w:jc w:val="both"/>
        <w:rPr>
          <w:rFonts w:ascii="Palatino Linotype" w:eastAsia="Palatino Linotype" w:hAnsi="Palatino Linotype" w:cs="Palatino Linotype"/>
        </w:rPr>
      </w:pPr>
    </w:p>
    <w:p w14:paraId="3FB38C63"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661D9910" w14:textId="77777777" w:rsidR="00785E98" w:rsidRPr="00BF5949" w:rsidRDefault="00785E98">
      <w:pPr>
        <w:tabs>
          <w:tab w:val="left" w:pos="8647"/>
        </w:tabs>
        <w:spacing w:line="360" w:lineRule="auto"/>
        <w:ind w:right="51"/>
        <w:jc w:val="both"/>
        <w:rPr>
          <w:rFonts w:ascii="Palatino Linotype" w:eastAsia="Palatino Linotype" w:hAnsi="Palatino Linotype" w:cs="Palatino Linotype"/>
        </w:rPr>
      </w:pPr>
    </w:p>
    <w:p w14:paraId="1885F89F"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9F9E43" w14:textId="77777777" w:rsidR="00785E98" w:rsidRPr="00BF5949" w:rsidRDefault="00785E98">
      <w:pPr>
        <w:tabs>
          <w:tab w:val="left" w:pos="8647"/>
        </w:tabs>
        <w:spacing w:line="360" w:lineRule="auto"/>
        <w:ind w:right="51"/>
        <w:jc w:val="both"/>
        <w:rPr>
          <w:rFonts w:ascii="Palatino Linotype" w:eastAsia="Palatino Linotype" w:hAnsi="Palatino Linotype" w:cs="Palatino Linotype"/>
        </w:rPr>
      </w:pPr>
    </w:p>
    <w:p w14:paraId="14875A84"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BF5949">
        <w:rPr>
          <w:rFonts w:ascii="Palatino Linotype" w:eastAsia="Palatino Linotype" w:hAnsi="Palatino Linotype" w:cs="Palatino Linotype"/>
          <w:b/>
        </w:rPr>
        <w:t>Sujeto Obligado</w:t>
      </w:r>
      <w:r w:rsidRPr="00BF5949">
        <w:rPr>
          <w:rFonts w:ascii="Palatino Linotype" w:eastAsia="Palatino Linotype" w:hAnsi="Palatino Linotype" w:cs="Palatino Linotype"/>
        </w:rPr>
        <w:t xml:space="preserve"> a concluir que, el caso particular se ajusta al supuesto previsto por la </w:t>
      </w:r>
      <w:r w:rsidRPr="00BF5949">
        <w:rPr>
          <w:rFonts w:ascii="Palatino Linotype" w:eastAsia="Palatino Linotype" w:hAnsi="Palatino Linotype" w:cs="Palatino Linotype"/>
        </w:rPr>
        <w:lastRenderedPageBreak/>
        <w:t>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7A83C31" w14:textId="77777777" w:rsidR="00785E98" w:rsidRPr="00BF5949" w:rsidRDefault="00785E98">
      <w:pPr>
        <w:tabs>
          <w:tab w:val="left" w:pos="8647"/>
        </w:tabs>
        <w:spacing w:line="360" w:lineRule="auto"/>
        <w:ind w:right="51"/>
        <w:jc w:val="both"/>
        <w:rPr>
          <w:rFonts w:ascii="Palatino Linotype" w:eastAsia="Palatino Linotype" w:hAnsi="Palatino Linotype" w:cs="Palatino Linotype"/>
        </w:rPr>
      </w:pPr>
    </w:p>
    <w:p w14:paraId="7C19ED27"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09ABEAB5" w14:textId="77777777" w:rsidR="00785E98" w:rsidRPr="00BF5949" w:rsidRDefault="00785E98">
      <w:pPr>
        <w:spacing w:line="360" w:lineRule="auto"/>
        <w:jc w:val="both"/>
        <w:rPr>
          <w:rFonts w:ascii="Palatino Linotype" w:eastAsia="Palatino Linotype" w:hAnsi="Palatino Linotype" w:cs="Palatino Linotype"/>
        </w:rPr>
      </w:pPr>
    </w:p>
    <w:p w14:paraId="2357C6D8"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97422EF" w14:textId="77777777" w:rsidR="00785E98" w:rsidRPr="00BF5949" w:rsidRDefault="00785E98">
      <w:pPr>
        <w:tabs>
          <w:tab w:val="left" w:pos="8647"/>
        </w:tabs>
        <w:spacing w:line="360" w:lineRule="auto"/>
        <w:ind w:right="51"/>
        <w:jc w:val="both"/>
        <w:rPr>
          <w:rFonts w:ascii="Palatino Linotype" w:eastAsia="Palatino Linotype" w:hAnsi="Palatino Linotype" w:cs="Palatino Linotype"/>
        </w:rPr>
      </w:pPr>
    </w:p>
    <w:p w14:paraId="776D1C30"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0AF37D9C" w14:textId="77777777" w:rsidR="00CD4761" w:rsidRPr="00BF5949" w:rsidRDefault="00CD4761">
      <w:pPr>
        <w:tabs>
          <w:tab w:val="left" w:pos="8647"/>
        </w:tabs>
        <w:spacing w:line="360" w:lineRule="auto"/>
        <w:ind w:right="51"/>
        <w:jc w:val="both"/>
        <w:rPr>
          <w:rFonts w:ascii="Palatino Linotype" w:eastAsia="Palatino Linotype" w:hAnsi="Palatino Linotype" w:cs="Palatino Linotype"/>
        </w:rPr>
      </w:pPr>
    </w:p>
    <w:p w14:paraId="261579F7"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lastRenderedPageBreak/>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BF5949">
        <w:rPr>
          <w:rFonts w:ascii="Palatino Linotype" w:eastAsia="Palatino Linotype" w:hAnsi="Palatino Linotype" w:cs="Palatino Linotype"/>
          <w:i/>
        </w:rPr>
        <w:t>.</w:t>
      </w:r>
    </w:p>
    <w:p w14:paraId="20F4CC5A" w14:textId="77777777" w:rsidR="00785E98" w:rsidRPr="00BF5949" w:rsidRDefault="00785E98">
      <w:pPr>
        <w:spacing w:line="360" w:lineRule="auto"/>
        <w:jc w:val="both"/>
        <w:rPr>
          <w:rFonts w:ascii="Palatino Linotype" w:eastAsia="Palatino Linotype" w:hAnsi="Palatino Linotype" w:cs="Palatino Linotype"/>
        </w:rPr>
      </w:pPr>
    </w:p>
    <w:p w14:paraId="6A506771" w14:textId="77777777" w:rsidR="00785E98" w:rsidRPr="00BF5949" w:rsidRDefault="005D216E" w:rsidP="00D413D3">
      <w:pPr>
        <w:numPr>
          <w:ilvl w:val="0"/>
          <w:numId w:val="1"/>
        </w:numPr>
        <w:pBdr>
          <w:top w:val="nil"/>
          <w:left w:val="nil"/>
          <w:bottom w:val="nil"/>
          <w:right w:val="nil"/>
          <w:between w:val="nil"/>
        </w:pBdr>
        <w:tabs>
          <w:tab w:val="left" w:pos="7938"/>
        </w:tabs>
        <w:spacing w:line="360" w:lineRule="auto"/>
        <w:jc w:val="both"/>
        <w:rPr>
          <w:b/>
          <w:color w:val="000000"/>
          <w:sz w:val="28"/>
          <w:szCs w:val="28"/>
        </w:rPr>
      </w:pPr>
      <w:r w:rsidRPr="00BF5949">
        <w:rPr>
          <w:rFonts w:ascii="Palatino Linotype" w:eastAsia="Palatino Linotype" w:hAnsi="Palatino Linotype" w:cs="Palatino Linotype"/>
          <w:b/>
          <w:color w:val="000000"/>
          <w:sz w:val="28"/>
          <w:szCs w:val="28"/>
        </w:rPr>
        <w:t xml:space="preserve">De la vista a los órganos de control interno competentes </w:t>
      </w:r>
    </w:p>
    <w:p w14:paraId="299D5695" w14:textId="77777777" w:rsidR="00785E98" w:rsidRPr="00BF5949" w:rsidRDefault="005D216E" w:rsidP="00D413D3">
      <w:pPr>
        <w:spacing w:line="360" w:lineRule="auto"/>
        <w:ind w:right="49"/>
        <w:jc w:val="both"/>
        <w:rPr>
          <w:rFonts w:ascii="Palatino Linotype" w:eastAsia="Palatino Linotype" w:hAnsi="Palatino Linotype" w:cs="Palatino Linotype"/>
        </w:rPr>
      </w:pPr>
      <w:r w:rsidRPr="00BF5949">
        <w:rPr>
          <w:rFonts w:ascii="Palatino Linotype" w:eastAsia="Palatino Linotype" w:hAnsi="Palatino Linotype" w:cs="Palatino Linotype"/>
        </w:rPr>
        <w:t>Como ya se mencionó el</w:t>
      </w:r>
      <w:r w:rsidRPr="00BF5949">
        <w:rPr>
          <w:rFonts w:ascii="Palatino Linotype" w:eastAsia="Palatino Linotype" w:hAnsi="Palatino Linotype" w:cs="Palatino Linotype"/>
          <w:b/>
        </w:rPr>
        <w:t xml:space="preserve"> Sujeto Obligado</w:t>
      </w:r>
      <w:r w:rsidRPr="00BF5949">
        <w:rPr>
          <w:rFonts w:ascii="Palatino Linotype" w:eastAsia="Palatino Linotype" w:hAnsi="Palatino Linotype" w:cs="Palatino Linotype"/>
        </w:rPr>
        <w:t>, no proporcionó respuesta a la solicitud de acceso a la información pública, en el término previsto en el artículo 163 de la Ley de Transparencia y Acceso a la Información Pública por lo que ordena dar vista</w:t>
      </w:r>
      <w:r w:rsidRPr="00BF5949">
        <w:rPr>
          <w:rFonts w:ascii="Palatino Linotype" w:eastAsia="Palatino Linotype" w:hAnsi="Palatino Linotype" w:cs="Palatino Linotype"/>
          <w:b/>
        </w:rPr>
        <w:t xml:space="preserve"> </w:t>
      </w:r>
      <w:r w:rsidRPr="00BF5949">
        <w:rPr>
          <w:rFonts w:ascii="Palatino Linotype" w:eastAsia="Palatino Linotype" w:hAnsi="Palatino Linotype" w:cs="Palatino Linotype"/>
        </w:rPr>
        <w:t>a la Secretaría Técnica del Pleno de este Instituto para hacer del conocimiento del Órgano Interno de Control competente la presente resolución, a fin de que de conformidad con los</w:t>
      </w:r>
      <w:r w:rsidR="00CA19C9" w:rsidRPr="00BF5949">
        <w:rPr>
          <w:rFonts w:ascii="Palatino Linotype" w:eastAsia="Palatino Linotype" w:hAnsi="Palatino Linotype" w:cs="Palatino Linotype"/>
        </w:rPr>
        <w:t xml:space="preserve"> artículos 190 y 222 </w:t>
      </w:r>
      <w:r w:rsidRPr="00BF5949">
        <w:rPr>
          <w:rFonts w:ascii="Palatino Linotype" w:eastAsia="Palatino Linotype" w:hAnsi="Palatino Linotype" w:cs="Palatino Linotype"/>
        </w:rPr>
        <w:t>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47D38419" w14:textId="77777777" w:rsidR="00E94B1F" w:rsidRPr="00BF5949" w:rsidRDefault="00E94B1F">
      <w:pPr>
        <w:spacing w:line="360" w:lineRule="auto"/>
        <w:ind w:right="49"/>
        <w:jc w:val="both"/>
        <w:rPr>
          <w:rFonts w:ascii="Palatino Linotype" w:eastAsia="Palatino Linotype" w:hAnsi="Palatino Linotype" w:cs="Palatino Linotype"/>
        </w:rPr>
      </w:pPr>
    </w:p>
    <w:p w14:paraId="57A2409E" w14:textId="680A14D7" w:rsidR="008C59FC"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 xml:space="preserve">Por lo tanto, en mérito de lo expuesto en líneas anteriores, con fundamento en la fracción IV, del artículo 186, de la Ley de Transparencia y Acceso a la Información Pública del Estado de México y Municipios, se </w:t>
      </w:r>
      <w:r w:rsidRPr="00BF5949">
        <w:rPr>
          <w:rFonts w:ascii="Palatino Linotype" w:eastAsia="Palatino Linotype" w:hAnsi="Palatino Linotype" w:cs="Palatino Linotype"/>
          <w:b/>
        </w:rPr>
        <w:t>ORDENA</w:t>
      </w:r>
      <w:r w:rsidRPr="00BF5949">
        <w:rPr>
          <w:rFonts w:ascii="Palatino Linotype" w:eastAsia="Palatino Linotype" w:hAnsi="Palatino Linotype" w:cs="Palatino Linotype"/>
        </w:rPr>
        <w:t xml:space="preserve"> al </w:t>
      </w:r>
      <w:r w:rsidRPr="00BF5949">
        <w:rPr>
          <w:rFonts w:ascii="Palatino Linotype" w:eastAsia="Palatino Linotype" w:hAnsi="Palatino Linotype" w:cs="Palatino Linotype"/>
          <w:b/>
        </w:rPr>
        <w:t>Sujeto Obligado</w:t>
      </w:r>
      <w:r w:rsidR="00CA19C9" w:rsidRPr="00BF5949">
        <w:rPr>
          <w:rFonts w:ascii="Palatino Linotype" w:eastAsia="Palatino Linotype" w:hAnsi="Palatino Linotype" w:cs="Palatino Linotype"/>
        </w:rPr>
        <w:t>, atienda la solicitud</w:t>
      </w:r>
      <w:r w:rsidRPr="00BF5949">
        <w:rPr>
          <w:rFonts w:ascii="Palatino Linotype" w:eastAsia="Palatino Linotype" w:hAnsi="Palatino Linotype" w:cs="Palatino Linotype"/>
        </w:rPr>
        <w:t xml:space="preserve"> de información </w:t>
      </w:r>
      <w:r w:rsidR="00CA19C9" w:rsidRPr="00BF5949">
        <w:rPr>
          <w:rFonts w:ascii="Palatino Linotype" w:eastAsia="Palatino Linotype" w:hAnsi="Palatino Linotype" w:cs="Palatino Linotype"/>
        </w:rPr>
        <w:t xml:space="preserve">número </w:t>
      </w:r>
      <w:r w:rsidR="00354E07" w:rsidRPr="00BF5949">
        <w:rPr>
          <w:rFonts w:ascii="Palatino Linotype" w:eastAsia="Palatino Linotype" w:hAnsi="Palatino Linotype" w:cs="Palatino Linotype"/>
          <w:b/>
        </w:rPr>
        <w:t>00776/TEPOTZOT/IP/2026</w:t>
      </w:r>
      <w:r w:rsidR="00CA19C9" w:rsidRPr="00BF5949">
        <w:rPr>
          <w:rFonts w:ascii="Palatino Linotype" w:eastAsia="Palatino Linotype" w:hAnsi="Palatino Linotype" w:cs="Palatino Linotype"/>
        </w:rPr>
        <w:t>, que ha</w:t>
      </w:r>
      <w:r w:rsidRPr="00BF5949">
        <w:rPr>
          <w:rFonts w:ascii="Palatino Linotype" w:eastAsia="Palatino Linotype" w:hAnsi="Palatino Linotype" w:cs="Palatino Linotype"/>
        </w:rPr>
        <w:t xml:space="preserve"> sido materia del presente fallo.</w:t>
      </w:r>
    </w:p>
    <w:p w14:paraId="3C3083A2" w14:textId="77777777" w:rsidR="00354E07" w:rsidRPr="00BF5949" w:rsidRDefault="00354E07">
      <w:pPr>
        <w:spacing w:line="360" w:lineRule="auto"/>
        <w:jc w:val="both"/>
        <w:rPr>
          <w:rFonts w:ascii="Palatino Linotype" w:eastAsia="Palatino Linotype" w:hAnsi="Palatino Linotype" w:cs="Palatino Linotype"/>
          <w:b/>
        </w:rPr>
      </w:pPr>
    </w:p>
    <w:p w14:paraId="62BA6CEF" w14:textId="77777777" w:rsidR="00785E98" w:rsidRPr="00BF5949" w:rsidRDefault="005D216E" w:rsidP="00CA19C9">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rPr>
        <w:t>Por lo antes expuesto y fundado es de resolverse y;</w:t>
      </w:r>
    </w:p>
    <w:p w14:paraId="246F0C2F" w14:textId="77777777" w:rsidR="0004245C" w:rsidRPr="00BF5949" w:rsidRDefault="0004245C" w:rsidP="00CA19C9">
      <w:pPr>
        <w:spacing w:line="360" w:lineRule="auto"/>
        <w:jc w:val="both"/>
        <w:rPr>
          <w:rFonts w:ascii="Palatino Linotype" w:eastAsia="Palatino Linotype" w:hAnsi="Palatino Linotype" w:cs="Palatino Linotype"/>
        </w:rPr>
      </w:pPr>
    </w:p>
    <w:p w14:paraId="67000395" w14:textId="77777777" w:rsidR="006B4129" w:rsidRPr="00BF5949" w:rsidRDefault="006B4129" w:rsidP="00CA19C9">
      <w:pPr>
        <w:spacing w:line="360" w:lineRule="auto"/>
        <w:jc w:val="both"/>
        <w:rPr>
          <w:rFonts w:ascii="Palatino Linotype" w:eastAsia="Palatino Linotype" w:hAnsi="Palatino Linotype" w:cs="Palatino Linotype"/>
        </w:rPr>
      </w:pPr>
    </w:p>
    <w:p w14:paraId="6FEB70C3" w14:textId="77777777" w:rsidR="00785E98" w:rsidRPr="00BF5949" w:rsidRDefault="005D216E">
      <w:pPr>
        <w:spacing w:line="360" w:lineRule="auto"/>
        <w:ind w:right="-234" w:firstLine="567"/>
        <w:jc w:val="center"/>
        <w:rPr>
          <w:rFonts w:ascii="Palatino Linotype" w:eastAsia="Palatino Linotype" w:hAnsi="Palatino Linotype" w:cs="Palatino Linotype"/>
          <w:b/>
          <w:sz w:val="28"/>
          <w:szCs w:val="28"/>
        </w:rPr>
      </w:pPr>
      <w:r w:rsidRPr="00BF5949">
        <w:rPr>
          <w:rFonts w:ascii="Palatino Linotype" w:eastAsia="Palatino Linotype" w:hAnsi="Palatino Linotype" w:cs="Palatino Linotype"/>
          <w:b/>
          <w:sz w:val="28"/>
          <w:szCs w:val="28"/>
        </w:rPr>
        <w:lastRenderedPageBreak/>
        <w:t>S E     R E S U E L V E</w:t>
      </w:r>
    </w:p>
    <w:p w14:paraId="3651E107" w14:textId="77777777" w:rsidR="00785E98" w:rsidRPr="00BF5949" w:rsidRDefault="00785E98">
      <w:pPr>
        <w:pBdr>
          <w:top w:val="nil"/>
          <w:left w:val="nil"/>
          <w:bottom w:val="nil"/>
          <w:right w:val="nil"/>
          <w:between w:val="nil"/>
        </w:pBdr>
        <w:rPr>
          <w:color w:val="000000"/>
        </w:rPr>
      </w:pPr>
    </w:p>
    <w:p w14:paraId="7E328A81" w14:textId="78096D31" w:rsidR="00785E98" w:rsidRPr="00BF5949" w:rsidRDefault="005D216E">
      <w:pPr>
        <w:spacing w:line="360" w:lineRule="auto"/>
        <w:ind w:right="49"/>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PRIMERO.</w:t>
      </w:r>
      <w:r w:rsidRPr="00BF5949">
        <w:rPr>
          <w:rFonts w:ascii="Palatino Linotype" w:eastAsia="Palatino Linotype" w:hAnsi="Palatino Linotype" w:cs="Palatino Linotype"/>
        </w:rPr>
        <w:t xml:space="preserve"> Resultan fundadas las razones o motivos de inconformidad hechos valer por </w:t>
      </w:r>
      <w:r w:rsidR="00CA19C9" w:rsidRPr="00BF5949">
        <w:rPr>
          <w:rFonts w:ascii="Palatino Linotype" w:eastAsia="Palatino Linotype" w:hAnsi="Palatino Linotype" w:cs="Palatino Linotype"/>
        </w:rPr>
        <w:t>la parte</w:t>
      </w:r>
      <w:r w:rsidRPr="00BF5949">
        <w:rPr>
          <w:rFonts w:ascii="Palatino Linotype" w:eastAsia="Palatino Linotype" w:hAnsi="Palatino Linotype" w:cs="Palatino Linotype"/>
        </w:rPr>
        <w:t xml:space="preserve"> </w:t>
      </w:r>
      <w:r w:rsidRPr="00BF5949">
        <w:rPr>
          <w:rFonts w:ascii="Palatino Linotype" w:eastAsia="Palatino Linotype" w:hAnsi="Palatino Linotype" w:cs="Palatino Linotype"/>
          <w:b/>
        </w:rPr>
        <w:t>Recurrente,</w:t>
      </w:r>
      <w:r w:rsidRPr="00BF5949">
        <w:rPr>
          <w:rFonts w:ascii="Palatino Linotype" w:eastAsia="Palatino Linotype" w:hAnsi="Palatino Linotype" w:cs="Palatino Linotype"/>
        </w:rPr>
        <w:t xml:space="preserve"> en términos del Considerando </w:t>
      </w:r>
      <w:r w:rsidR="004454B4" w:rsidRPr="00BF5949">
        <w:rPr>
          <w:rFonts w:ascii="Palatino Linotype" w:eastAsia="Palatino Linotype" w:hAnsi="Palatino Linotype" w:cs="Palatino Linotype"/>
          <w:b/>
        </w:rPr>
        <w:t>CUARTO</w:t>
      </w:r>
      <w:r w:rsidRPr="00BF5949">
        <w:rPr>
          <w:rFonts w:ascii="Palatino Linotype" w:eastAsia="Palatino Linotype" w:hAnsi="Palatino Linotype" w:cs="Palatino Linotype"/>
          <w:b/>
        </w:rPr>
        <w:t xml:space="preserve"> </w:t>
      </w:r>
      <w:r w:rsidRPr="00BF5949">
        <w:rPr>
          <w:rFonts w:ascii="Palatino Linotype" w:eastAsia="Palatino Linotype" w:hAnsi="Palatino Linotype" w:cs="Palatino Linotype"/>
        </w:rPr>
        <w:t>de la presente resolución.</w:t>
      </w:r>
    </w:p>
    <w:p w14:paraId="73F86335" w14:textId="77777777" w:rsidR="00785E98" w:rsidRPr="00BF5949" w:rsidRDefault="00785E98">
      <w:pPr>
        <w:spacing w:line="360" w:lineRule="auto"/>
        <w:ind w:right="49"/>
        <w:jc w:val="both"/>
        <w:rPr>
          <w:rFonts w:ascii="Palatino Linotype" w:eastAsia="Palatino Linotype" w:hAnsi="Palatino Linotype" w:cs="Palatino Linotype"/>
        </w:rPr>
      </w:pPr>
    </w:p>
    <w:p w14:paraId="1B02DB45" w14:textId="2D17F656"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SEGUNDO</w:t>
      </w:r>
      <w:r w:rsidRPr="00BF5949">
        <w:rPr>
          <w:rFonts w:ascii="Palatino Linotype" w:eastAsia="Palatino Linotype" w:hAnsi="Palatino Linotype" w:cs="Palatino Linotype"/>
          <w:sz w:val="28"/>
          <w:szCs w:val="28"/>
        </w:rPr>
        <w:t>.</w:t>
      </w:r>
      <w:r w:rsidRPr="00BF5949">
        <w:rPr>
          <w:rFonts w:ascii="Palatino Linotype" w:eastAsia="Palatino Linotype" w:hAnsi="Palatino Linotype" w:cs="Palatino Linotype"/>
        </w:rPr>
        <w:t> Se</w:t>
      </w:r>
      <w:r w:rsidRPr="00BF5949">
        <w:rPr>
          <w:rFonts w:ascii="Palatino Linotype" w:eastAsia="Palatino Linotype" w:hAnsi="Palatino Linotype" w:cs="Palatino Linotype"/>
          <w:b/>
        </w:rPr>
        <w:t> ORDENA </w:t>
      </w:r>
      <w:r w:rsidRPr="00BF5949">
        <w:rPr>
          <w:rFonts w:ascii="Palatino Linotype" w:eastAsia="Palatino Linotype" w:hAnsi="Palatino Linotype" w:cs="Palatino Linotype"/>
        </w:rPr>
        <w:t xml:space="preserve">al </w:t>
      </w:r>
      <w:r w:rsidRPr="00BF5949">
        <w:rPr>
          <w:rFonts w:ascii="Palatino Linotype" w:eastAsia="Palatino Linotype" w:hAnsi="Palatino Linotype" w:cs="Palatino Linotype"/>
          <w:b/>
        </w:rPr>
        <w:t>Sujeto Obligado</w:t>
      </w:r>
      <w:r w:rsidR="00CA19C9" w:rsidRPr="00BF5949">
        <w:rPr>
          <w:rFonts w:ascii="Palatino Linotype" w:eastAsia="Palatino Linotype" w:hAnsi="Palatino Linotype" w:cs="Palatino Linotype"/>
        </w:rPr>
        <w:t>, atienda la solicitud</w:t>
      </w:r>
      <w:r w:rsidRPr="00BF5949">
        <w:rPr>
          <w:rFonts w:ascii="Palatino Linotype" w:eastAsia="Palatino Linotype" w:hAnsi="Palatino Linotype" w:cs="Palatino Linotype"/>
        </w:rPr>
        <w:t xml:space="preserve"> de información número </w:t>
      </w:r>
      <w:r w:rsidR="00354E07" w:rsidRPr="00BF5949">
        <w:rPr>
          <w:rFonts w:ascii="Palatino Linotype" w:eastAsia="Palatino Linotype" w:hAnsi="Palatino Linotype" w:cs="Palatino Linotype"/>
          <w:b/>
        </w:rPr>
        <w:t>00776/TEPOTZOT/IP/2026</w:t>
      </w:r>
      <w:r w:rsidRPr="00BF5949">
        <w:rPr>
          <w:rFonts w:ascii="Palatino Linotype" w:eastAsia="Palatino Linotype" w:hAnsi="Palatino Linotype" w:cs="Palatino Linotype"/>
        </w:rPr>
        <w:t>,</w:t>
      </w:r>
      <w:r w:rsidR="00CA19C9" w:rsidRPr="00BF5949">
        <w:rPr>
          <w:rFonts w:ascii="Palatino Linotype" w:eastAsia="Palatino Linotype" w:hAnsi="Palatino Linotype" w:cs="Palatino Linotype"/>
          <w:b/>
        </w:rPr>
        <w:t xml:space="preserve"> </w:t>
      </w:r>
      <w:r w:rsidRPr="00BF5949">
        <w:rPr>
          <w:rFonts w:ascii="Palatino Linotype" w:eastAsia="Palatino Linotype" w:hAnsi="Palatino Linotype" w:cs="Palatino Linotype"/>
        </w:rPr>
        <w:t xml:space="preserve">en términos del Considerando </w:t>
      </w:r>
      <w:r w:rsidR="004454B4" w:rsidRPr="00BF5949">
        <w:rPr>
          <w:rFonts w:ascii="Palatino Linotype" w:eastAsia="Palatino Linotype" w:hAnsi="Palatino Linotype" w:cs="Palatino Linotype"/>
          <w:b/>
        </w:rPr>
        <w:t>CUARTO</w:t>
      </w:r>
      <w:r w:rsidRPr="00BF5949">
        <w:rPr>
          <w:rFonts w:ascii="Palatino Linotype" w:eastAsia="Palatino Linotype" w:hAnsi="Palatino Linotype" w:cs="Palatino Linotype"/>
        </w:rPr>
        <w:t xml:space="preserve"> de esta resolución, vía Sistema de Acceso a la Información Mexiquense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w:t>
      </w:r>
    </w:p>
    <w:p w14:paraId="77255B20" w14:textId="77777777" w:rsidR="0004245C" w:rsidRPr="00BF5949" w:rsidRDefault="0004245C">
      <w:pPr>
        <w:spacing w:line="360" w:lineRule="auto"/>
        <w:jc w:val="both"/>
        <w:rPr>
          <w:rFonts w:ascii="Palatino Linotype" w:eastAsia="Palatino Linotype" w:hAnsi="Palatino Linotype" w:cs="Palatino Linotype"/>
        </w:rPr>
      </w:pPr>
    </w:p>
    <w:p w14:paraId="18A084DB"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TERCERO</w:t>
      </w:r>
      <w:r w:rsidRPr="00BF5949">
        <w:rPr>
          <w:rFonts w:ascii="Palatino Linotype" w:eastAsia="Palatino Linotype" w:hAnsi="Palatino Linotype" w:cs="Palatino Linotype"/>
        </w:rPr>
        <w:t xml:space="preserve">. </w:t>
      </w:r>
      <w:r w:rsidRPr="00BF5949">
        <w:rPr>
          <w:rFonts w:ascii="Palatino Linotype" w:eastAsia="Palatino Linotype" w:hAnsi="Palatino Linotype" w:cs="Palatino Linotype"/>
          <w:b/>
        </w:rPr>
        <w:t>NOTIFÍQUESE</w:t>
      </w:r>
      <w:r w:rsidRPr="00BF5949">
        <w:rPr>
          <w:rFonts w:ascii="Palatino Linotype" w:eastAsia="Palatino Linotype" w:hAnsi="Palatino Linotype" w:cs="Palatino Linotype"/>
        </w:rPr>
        <w:t xml:space="preserve">, vía Sistema de Acceso a la Información Mexiquense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w:t>
      </w:r>
      <w:r w:rsidR="00CA19C9" w:rsidRPr="00BF5949">
        <w:rPr>
          <w:rFonts w:ascii="Palatino Linotype" w:eastAsia="Palatino Linotype" w:hAnsi="Palatino Linotype" w:cs="Palatino Linotype"/>
        </w:rPr>
        <w:t>n III; 214, 215 y 216 de la Ley</w:t>
      </w:r>
      <w:r w:rsidRPr="00BF5949">
        <w:rPr>
          <w:rFonts w:ascii="Palatino Linotype" w:eastAsia="Palatino Linotype" w:hAnsi="Palatino Linotype" w:cs="Palatino Linotype"/>
        </w:rPr>
        <w:t xml:space="preserve"> de Transparencia y Acceso a la Información Pública del Estado de México y Municipios</w:t>
      </w:r>
    </w:p>
    <w:p w14:paraId="61157416" w14:textId="77777777" w:rsidR="00785E98" w:rsidRPr="00BF5949" w:rsidRDefault="00785E98">
      <w:pPr>
        <w:spacing w:line="360" w:lineRule="auto"/>
        <w:jc w:val="both"/>
        <w:rPr>
          <w:rFonts w:ascii="Palatino Linotype" w:eastAsia="Palatino Linotype" w:hAnsi="Palatino Linotype" w:cs="Palatino Linotype"/>
        </w:rPr>
      </w:pPr>
    </w:p>
    <w:p w14:paraId="0F13687B" w14:textId="77777777" w:rsidR="00785E98" w:rsidRPr="00BF5949" w:rsidRDefault="005D216E">
      <w:pPr>
        <w:tabs>
          <w:tab w:val="left" w:pos="8647"/>
        </w:tabs>
        <w:spacing w:line="360" w:lineRule="auto"/>
        <w:ind w:right="51"/>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CUARTO</w:t>
      </w:r>
      <w:r w:rsidRPr="00BF5949">
        <w:rPr>
          <w:rFonts w:ascii="Palatino Linotype" w:eastAsia="Palatino Linotype" w:hAnsi="Palatino Linotype" w:cs="Palatino Linotype"/>
        </w:rPr>
        <w:t xml:space="preserve">. </w:t>
      </w:r>
      <w:r w:rsidRPr="00BF5949">
        <w:rPr>
          <w:rFonts w:ascii="Palatino Linotype" w:eastAsia="Palatino Linotype" w:hAnsi="Palatino Linotype" w:cs="Palatino Linotype"/>
          <w:b/>
        </w:rPr>
        <w:t>NOTIFÍQUESE</w:t>
      </w:r>
      <w:r w:rsidRPr="00BF5949">
        <w:rPr>
          <w:rFonts w:ascii="Palatino Linotype" w:eastAsia="Palatino Linotype" w:hAnsi="Palatino Linotype" w:cs="Palatino Linotype"/>
        </w:rPr>
        <w:t xml:space="preserve">, vía Sistema de Acceso a la Información Mexiquense </w:t>
      </w:r>
      <w:r w:rsidRPr="00BF5949">
        <w:rPr>
          <w:rFonts w:ascii="Palatino Linotype" w:eastAsia="Palatino Linotype" w:hAnsi="Palatino Linotype" w:cs="Palatino Linotype"/>
          <w:b/>
        </w:rPr>
        <w:t>(SAIMEX)</w:t>
      </w:r>
      <w:r w:rsidRPr="00BF5949">
        <w:rPr>
          <w:rFonts w:ascii="Palatino Linotype" w:eastAsia="Palatino Linotype" w:hAnsi="Palatino Linotype" w:cs="Palatino Linotype"/>
        </w:rPr>
        <w:t xml:space="preserve"> a la parte </w:t>
      </w:r>
      <w:r w:rsidRPr="00BF5949">
        <w:rPr>
          <w:rFonts w:ascii="Palatino Linotype" w:eastAsia="Palatino Linotype" w:hAnsi="Palatino Linotype" w:cs="Palatino Linotype"/>
          <w:b/>
        </w:rPr>
        <w:t>Recurrente</w:t>
      </w:r>
      <w:r w:rsidRPr="00BF5949">
        <w:rPr>
          <w:rFonts w:ascii="Palatino Linotype" w:eastAsia="Palatino Linotype" w:hAnsi="Palatino Linotype" w:cs="Palatino Linotype"/>
        </w:rPr>
        <w:t xml:space="preserve"> la presente resolución; así mismo, hágase de su </w:t>
      </w:r>
      <w:r w:rsidRPr="00BF5949">
        <w:rPr>
          <w:rFonts w:ascii="Palatino Linotype" w:eastAsia="Palatino Linotype" w:hAnsi="Palatino Linotype" w:cs="Palatino Linotype"/>
        </w:rPr>
        <w:lastRenderedPageBreak/>
        <w:t>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69BED27" w14:textId="77777777" w:rsidR="00785E98" w:rsidRPr="00BF5949" w:rsidRDefault="00785E98">
      <w:pPr>
        <w:spacing w:line="360" w:lineRule="auto"/>
        <w:jc w:val="both"/>
        <w:rPr>
          <w:rFonts w:ascii="Palatino Linotype" w:eastAsia="Palatino Linotype" w:hAnsi="Palatino Linotype" w:cs="Palatino Linotype"/>
        </w:rPr>
      </w:pPr>
    </w:p>
    <w:p w14:paraId="56E5F364" w14:textId="77777777"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QUINTO</w:t>
      </w:r>
      <w:r w:rsidRPr="00BF5949">
        <w:rPr>
          <w:rFonts w:ascii="Palatino Linotype" w:eastAsia="Palatino Linotype" w:hAnsi="Palatino Linotype" w:cs="Palatino Linotype"/>
        </w:rPr>
        <w:t xml:space="preserve">. Se hace del conocimiento de la parte </w:t>
      </w:r>
      <w:r w:rsidRPr="00BF5949">
        <w:rPr>
          <w:rFonts w:ascii="Palatino Linotype" w:eastAsia="Palatino Linotype" w:hAnsi="Palatino Linotype" w:cs="Palatino Linotype"/>
          <w:b/>
        </w:rPr>
        <w:t>Recurrente</w:t>
      </w:r>
      <w:r w:rsidRPr="00BF5949">
        <w:rPr>
          <w:rFonts w:ascii="Palatino Linotype" w:eastAsia="Palatino Linotype" w:hAnsi="Palatino Linotype" w:cs="Palatino Linotype"/>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573714CA" w14:textId="77777777" w:rsidR="0004245C" w:rsidRPr="00BF5949" w:rsidRDefault="0004245C">
      <w:pPr>
        <w:spacing w:line="360" w:lineRule="auto"/>
        <w:jc w:val="both"/>
        <w:rPr>
          <w:rFonts w:ascii="Palatino Linotype" w:eastAsia="Palatino Linotype" w:hAnsi="Palatino Linotype" w:cs="Palatino Linotype"/>
        </w:rPr>
      </w:pPr>
    </w:p>
    <w:p w14:paraId="65E61E40" w14:textId="6A67B60D" w:rsidR="00785E98" w:rsidRPr="00BF5949"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b/>
          <w:sz w:val="28"/>
          <w:szCs w:val="28"/>
        </w:rPr>
        <w:t>SEXTO</w:t>
      </w:r>
      <w:r w:rsidRPr="00BF5949">
        <w:rPr>
          <w:rFonts w:ascii="Palatino Linotype" w:eastAsia="Palatino Linotype" w:hAnsi="Palatino Linotype" w:cs="Palatino Linotype"/>
        </w:rPr>
        <w:t xml:space="preserve">. </w:t>
      </w:r>
      <w:r w:rsidRPr="00BF5949">
        <w:rPr>
          <w:rFonts w:ascii="Palatino Linotype" w:eastAsia="Palatino Linotype" w:hAnsi="Palatino Linotype" w:cs="Palatino Linotype"/>
          <w:b/>
        </w:rPr>
        <w:t>GÍRESE</w:t>
      </w:r>
      <w:r w:rsidRPr="00BF5949">
        <w:rPr>
          <w:rFonts w:ascii="Palatino Linotype" w:eastAsia="Palatino Linotype" w:hAnsi="Palatino Linotype" w:cs="Palatino Linotype"/>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4454B4" w:rsidRPr="00BF5949">
        <w:rPr>
          <w:rFonts w:ascii="Palatino Linotype" w:eastAsia="Palatino Linotype" w:hAnsi="Palatino Linotype" w:cs="Palatino Linotype"/>
          <w:b/>
        </w:rPr>
        <w:t>CUARTO</w:t>
      </w:r>
      <w:r w:rsidRPr="00BF5949">
        <w:rPr>
          <w:rFonts w:ascii="Palatino Linotype" w:eastAsia="Palatino Linotype" w:hAnsi="Palatino Linotype" w:cs="Palatino Linotype"/>
        </w:rPr>
        <w:t xml:space="preserve"> de la presente resolución.</w:t>
      </w:r>
    </w:p>
    <w:p w14:paraId="4EA7B864" w14:textId="77777777" w:rsidR="00CA47DE" w:rsidRPr="00BF5949" w:rsidRDefault="00CA47DE">
      <w:pPr>
        <w:spacing w:line="360" w:lineRule="auto"/>
        <w:jc w:val="both"/>
        <w:rPr>
          <w:rFonts w:ascii="Palatino Linotype" w:eastAsia="Palatino Linotype" w:hAnsi="Palatino Linotype" w:cs="Palatino Linotype"/>
        </w:rPr>
      </w:pPr>
    </w:p>
    <w:p w14:paraId="3ACA03AE" w14:textId="77777777" w:rsidR="008C59FC" w:rsidRPr="00BF5949" w:rsidRDefault="008C59FC">
      <w:pPr>
        <w:spacing w:line="360" w:lineRule="auto"/>
        <w:jc w:val="both"/>
        <w:rPr>
          <w:rFonts w:ascii="Palatino Linotype" w:eastAsia="Palatino Linotype" w:hAnsi="Palatino Linotype" w:cs="Palatino Linotype"/>
        </w:rPr>
      </w:pPr>
    </w:p>
    <w:p w14:paraId="482373B6" w14:textId="3222B926" w:rsidR="00785E98" w:rsidRPr="00BF5949" w:rsidRDefault="00BF5949">
      <w:pPr>
        <w:spacing w:line="360" w:lineRule="auto"/>
        <w:jc w:val="both"/>
        <w:rPr>
          <w:rFonts w:ascii="Palatino Linotype" w:eastAsia="Palatino Linotype" w:hAnsi="Palatino Linotype" w:cs="Palatino Linotype"/>
        </w:rPr>
      </w:pPr>
      <w:r w:rsidRPr="00BF5949">
        <w:rPr>
          <w:rFonts w:ascii="Palatino Linotype" w:eastAsiaTheme="minorHAnsi" w:hAnsi="Palatino Linotype" w:cs="Arial"/>
          <w:lang w:val="es-MX" w:eastAsia="en-US"/>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w:t>
      </w:r>
      <w:r w:rsidRPr="00BF5949">
        <w:rPr>
          <w:rFonts w:ascii="Palatino Linotype" w:eastAsiaTheme="minorHAnsi" w:hAnsi="Palatino Linotype" w:cs="Arial"/>
          <w:lang w:val="es-MX" w:eastAsia="en-US"/>
        </w:rPr>
        <w:lastRenderedPageBreak/>
        <w:t>QUINTA SESIÓN ORDINARIA CELEBRADA EL VEINTIOCHO DE ABRIL DE DOS MIL VEINTISÉIS,  ANTE EL SECRETARIO TÉCNICO DEL PLENO, ALEXIS TAPIA RAMÍREZ</w:t>
      </w:r>
      <w:r w:rsidR="005D216E" w:rsidRPr="00BF5949">
        <w:rPr>
          <w:rFonts w:ascii="Palatino Linotype" w:eastAsia="Palatino Linotype" w:hAnsi="Palatino Linotype" w:cs="Palatino Linotype"/>
        </w:rPr>
        <w:t>.---------------------------------------</w:t>
      </w:r>
      <w:r w:rsidR="008C59FC" w:rsidRPr="00BF5949">
        <w:rPr>
          <w:rFonts w:ascii="Palatino Linotype" w:eastAsia="Palatino Linotype" w:hAnsi="Palatino Linotype" w:cs="Palatino Linotype"/>
        </w:rPr>
        <w:t>----------------------------------------------------------------------------------------------------------</w:t>
      </w:r>
      <w:r w:rsidR="00B20A4B" w:rsidRPr="00BF5949">
        <w:rPr>
          <w:rFonts w:ascii="Palatino Linotype" w:eastAsia="Palatino Linotype" w:hAnsi="Palatino Linotype" w:cs="Palatino Linotype"/>
        </w:rPr>
        <w:t>--</w:t>
      </w:r>
      <w:r w:rsidR="003A111F" w:rsidRPr="00BF5949">
        <w:rPr>
          <w:rFonts w:ascii="Palatino Linotype" w:eastAsia="Palatino Linotype" w:hAnsi="Palatino Linotype" w:cs="Palatino Linotype"/>
        </w:rPr>
        <w:t>------------------------</w:t>
      </w:r>
      <w:r w:rsidR="00DB6FC1" w:rsidRPr="00BF5949">
        <w:rPr>
          <w:rFonts w:ascii="Palatino Linotype" w:eastAsiaTheme="minorEastAsia" w:hAnsi="Palatino Linotype"/>
          <w:color w:val="000000" w:themeColor="text1"/>
          <w:lang w:eastAsia="es-ES"/>
        </w:rPr>
        <w:t>------------------------------------------</w:t>
      </w:r>
      <w:r w:rsidR="008C59FC" w:rsidRPr="00BF5949">
        <w:rPr>
          <w:rFonts w:ascii="Palatino Linotype" w:eastAsia="Palatino Linotype" w:hAnsi="Palatino Linotype" w:cs="Palatino Linotype"/>
        </w:rPr>
        <w:t xml:space="preserve"> ------------------</w:t>
      </w:r>
      <w:r w:rsidR="000D724E" w:rsidRPr="00BF5949">
        <w:rPr>
          <w:rFonts w:ascii="Palatino Linotype" w:eastAsia="Palatino Linotype" w:hAnsi="Palatino Linotype" w:cs="Palatino Linotype"/>
        </w:rPr>
        <w:t>---------------</w:t>
      </w:r>
      <w:r w:rsidR="008C59FC" w:rsidRPr="00BF5949">
        <w:rPr>
          <w:rFonts w:ascii="Palatino Linotype" w:eastAsia="Palatino Linotype" w:hAnsi="Palatino Linotype" w:cs="Palatino Linotype"/>
        </w:rPr>
        <w:t>---------------------------------------</w:t>
      </w:r>
      <w:r w:rsidR="008C59FC"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7054C3" w:rsidRPr="00BF5949">
        <w:rPr>
          <w:rFonts w:ascii="Palatino Linotype" w:eastAsia="Palatino Linotype" w:hAnsi="Palatino Linotype" w:cs="Palatino Linotype"/>
        </w:rPr>
        <w:t>------------------------------------------------------------------------</w:t>
      </w:r>
      <w:r w:rsidR="007054C3" w:rsidRPr="00BF5949">
        <w:rPr>
          <w:rFonts w:ascii="Palatino Linotype" w:eastAsiaTheme="minorEastAsia" w:hAnsi="Palatino Linotype"/>
          <w:color w:val="000000" w:themeColor="text1"/>
          <w:lang w:eastAsia="es-ES"/>
        </w:rPr>
        <w:t>------------------------------------------</w:t>
      </w:r>
      <w:r w:rsidR="00354E07" w:rsidRPr="00BF5949">
        <w:rPr>
          <w:rFonts w:ascii="Palatino Linotype" w:eastAsia="Palatino Linotype" w:hAnsi="Palatino Linotype" w:cs="Palatino Linotype"/>
        </w:rPr>
        <w:t>------------------------------------------------------------------------</w:t>
      </w:r>
      <w:r w:rsidR="00354E07" w:rsidRPr="00BF5949">
        <w:rPr>
          <w:rFonts w:ascii="Palatino Linotype" w:eastAsiaTheme="minorEastAsia" w:hAnsi="Palatino Linotype"/>
          <w:color w:val="000000" w:themeColor="text1"/>
          <w:lang w:eastAsia="es-ES"/>
        </w:rPr>
        <w:t>------------------------------------------</w:t>
      </w:r>
      <w:r w:rsidR="00354E07" w:rsidRPr="00BF5949">
        <w:rPr>
          <w:rFonts w:ascii="Palatino Linotype" w:eastAsia="Palatino Linotype" w:hAnsi="Palatino Linotype" w:cs="Palatino Linotype"/>
        </w:rPr>
        <w:t>------------------------------------------------------------------------</w:t>
      </w:r>
      <w:r w:rsidR="00354E07" w:rsidRPr="00BF5949">
        <w:rPr>
          <w:rFonts w:ascii="Palatino Linotype" w:eastAsiaTheme="minorEastAsia" w:hAnsi="Palatino Linotype"/>
          <w:color w:val="000000" w:themeColor="text1"/>
          <w:lang w:eastAsia="es-ES"/>
        </w:rPr>
        <w:t>------------------------------------------</w:t>
      </w:r>
      <w:r w:rsidR="00354E07" w:rsidRPr="00BF5949">
        <w:rPr>
          <w:rFonts w:ascii="Palatino Linotype" w:eastAsia="Palatino Linotype" w:hAnsi="Palatino Linotype" w:cs="Palatino Linotype"/>
        </w:rPr>
        <w:t>------------------------------------------------------------------------</w:t>
      </w:r>
      <w:r w:rsidR="00354E07" w:rsidRPr="00BF5949">
        <w:rPr>
          <w:rFonts w:ascii="Palatino Linotype" w:eastAsiaTheme="minorEastAsia" w:hAnsi="Palatino Linotype"/>
          <w:color w:val="000000" w:themeColor="text1"/>
          <w:lang w:eastAsia="es-ES"/>
        </w:rPr>
        <w:t>------------------------------------------</w:t>
      </w:r>
    </w:p>
    <w:p w14:paraId="131AEDA1" w14:textId="7E3211AB" w:rsidR="00785E98" w:rsidRDefault="005D216E">
      <w:pPr>
        <w:spacing w:line="360" w:lineRule="auto"/>
        <w:jc w:val="both"/>
        <w:rPr>
          <w:rFonts w:ascii="Palatino Linotype" w:eastAsia="Palatino Linotype" w:hAnsi="Palatino Linotype" w:cs="Palatino Linotype"/>
        </w:rPr>
      </w:pPr>
      <w:r w:rsidRPr="00BF5949">
        <w:rPr>
          <w:rFonts w:ascii="Palatino Linotype" w:eastAsia="Palatino Linotype" w:hAnsi="Palatino Linotype" w:cs="Palatino Linotype"/>
          <w:sz w:val="16"/>
          <w:szCs w:val="16"/>
        </w:rPr>
        <w:t>JMV/CCR/</w:t>
      </w:r>
      <w:r w:rsidR="00CD4761" w:rsidRPr="00BF5949">
        <w:rPr>
          <w:rFonts w:ascii="Palatino Linotype" w:eastAsia="Palatino Linotype" w:hAnsi="Palatino Linotype" w:cs="Palatino Linotype"/>
          <w:sz w:val="16"/>
          <w:szCs w:val="16"/>
        </w:rPr>
        <w:t>EJDG</w:t>
      </w:r>
    </w:p>
    <w:p w14:paraId="0B1AEB2B" w14:textId="77777777" w:rsidR="00785E98" w:rsidRDefault="00785E98">
      <w:pPr>
        <w:spacing w:line="360" w:lineRule="auto"/>
        <w:jc w:val="both"/>
        <w:rPr>
          <w:rFonts w:ascii="Palatino Linotype" w:eastAsia="Palatino Linotype" w:hAnsi="Palatino Linotype" w:cs="Palatino Linotype"/>
          <w:sz w:val="32"/>
          <w:szCs w:val="32"/>
        </w:rPr>
      </w:pPr>
    </w:p>
    <w:p w14:paraId="22BC9482" w14:textId="77777777" w:rsidR="00785E98" w:rsidRDefault="00785E98">
      <w:pPr>
        <w:spacing w:line="360" w:lineRule="auto"/>
        <w:jc w:val="both"/>
        <w:rPr>
          <w:rFonts w:ascii="Palatino Linotype" w:eastAsia="Palatino Linotype" w:hAnsi="Palatino Linotype" w:cs="Palatino Linotype"/>
        </w:rPr>
      </w:pPr>
    </w:p>
    <w:p w14:paraId="379A086F" w14:textId="77777777" w:rsidR="00785E98" w:rsidRDefault="00785E98">
      <w:pPr>
        <w:spacing w:line="360" w:lineRule="auto"/>
        <w:jc w:val="both"/>
        <w:rPr>
          <w:rFonts w:ascii="Palatino Linotype" w:eastAsia="Palatino Linotype" w:hAnsi="Palatino Linotype" w:cs="Palatino Linotype"/>
        </w:rPr>
      </w:pPr>
    </w:p>
    <w:p w14:paraId="2B424F8F" w14:textId="77777777" w:rsidR="00785E98" w:rsidRDefault="00785E98">
      <w:pPr>
        <w:spacing w:line="360" w:lineRule="auto"/>
        <w:jc w:val="both"/>
        <w:rPr>
          <w:rFonts w:ascii="Palatino Linotype" w:eastAsia="Palatino Linotype" w:hAnsi="Palatino Linotype" w:cs="Palatino Linotype"/>
        </w:rPr>
      </w:pPr>
    </w:p>
    <w:p w14:paraId="29F2F47F" w14:textId="77777777" w:rsidR="00785E98" w:rsidRDefault="00785E98">
      <w:pPr>
        <w:spacing w:line="480" w:lineRule="auto"/>
        <w:jc w:val="both"/>
        <w:rPr>
          <w:rFonts w:ascii="Palatino Linotype" w:eastAsia="Palatino Linotype" w:hAnsi="Palatino Linotype" w:cs="Palatino Linotype"/>
        </w:rPr>
      </w:pPr>
    </w:p>
    <w:p w14:paraId="689A73EA" w14:textId="77777777" w:rsidR="00785E98" w:rsidRDefault="00785E98">
      <w:pPr>
        <w:spacing w:line="480" w:lineRule="auto"/>
        <w:jc w:val="both"/>
        <w:rPr>
          <w:rFonts w:ascii="Palatino Linotype" w:eastAsia="Palatino Linotype" w:hAnsi="Palatino Linotype" w:cs="Palatino Linotype"/>
        </w:rPr>
      </w:pPr>
    </w:p>
    <w:p w14:paraId="085DD8AA" w14:textId="77777777" w:rsidR="00785E98" w:rsidRDefault="00785E98">
      <w:pPr>
        <w:spacing w:line="480" w:lineRule="auto"/>
        <w:jc w:val="both"/>
        <w:rPr>
          <w:rFonts w:ascii="Palatino Linotype" w:eastAsia="Palatino Linotype" w:hAnsi="Palatino Linotype" w:cs="Palatino Linotype"/>
        </w:rPr>
      </w:pPr>
    </w:p>
    <w:p w14:paraId="134DA084" w14:textId="77777777" w:rsidR="00785E98" w:rsidRDefault="00785E98">
      <w:pPr>
        <w:spacing w:line="480" w:lineRule="auto"/>
        <w:jc w:val="both"/>
        <w:rPr>
          <w:rFonts w:ascii="Palatino Linotype" w:eastAsia="Palatino Linotype" w:hAnsi="Palatino Linotype" w:cs="Palatino Linotype"/>
        </w:rPr>
      </w:pPr>
    </w:p>
    <w:p w14:paraId="2413A89E" w14:textId="77777777" w:rsidR="00785E98" w:rsidRDefault="005D216E">
      <w:pPr>
        <w:spacing w:line="480" w:lineRule="auto"/>
        <w:jc w:val="both"/>
        <w:rPr>
          <w:rFonts w:ascii="Palatino Linotype" w:eastAsia="Palatino Linotype" w:hAnsi="Palatino Linotype" w:cs="Palatino Linotype"/>
        </w:rPr>
      </w:pPr>
      <w:r>
        <w:rPr>
          <w:rFonts w:ascii="Palatino Linotype" w:eastAsia="Palatino Linotype" w:hAnsi="Palatino Linotype" w:cs="Palatino Linotype"/>
        </w:rPr>
        <w:t xml:space="preserve"> </w:t>
      </w:r>
    </w:p>
    <w:p w14:paraId="213885E0" w14:textId="77777777" w:rsidR="00785E98" w:rsidRDefault="00785E98">
      <w:pPr>
        <w:spacing w:line="480" w:lineRule="auto"/>
        <w:jc w:val="both"/>
        <w:rPr>
          <w:rFonts w:ascii="Palatino Linotype" w:eastAsia="Palatino Linotype" w:hAnsi="Palatino Linotype" w:cs="Palatino Linotype"/>
        </w:rPr>
      </w:pPr>
    </w:p>
    <w:p w14:paraId="10749900" w14:textId="77777777" w:rsidR="00785E98" w:rsidRDefault="00785E98">
      <w:pPr>
        <w:spacing w:line="480" w:lineRule="auto"/>
        <w:jc w:val="center"/>
        <w:rPr>
          <w:rFonts w:ascii="Palatino Linotype" w:eastAsia="Palatino Linotype" w:hAnsi="Palatino Linotype" w:cs="Palatino Linotype"/>
        </w:rPr>
      </w:pPr>
    </w:p>
    <w:p w14:paraId="641E586F" w14:textId="77777777" w:rsidR="00785E98" w:rsidRDefault="00785E98">
      <w:pPr>
        <w:spacing w:line="480" w:lineRule="auto"/>
        <w:rPr>
          <w:rFonts w:ascii="Palatino Linotype" w:eastAsia="Palatino Linotype" w:hAnsi="Palatino Linotype" w:cs="Palatino Linotype"/>
          <w:b/>
        </w:rPr>
      </w:pPr>
    </w:p>
    <w:p w14:paraId="7B338671" w14:textId="77777777" w:rsidR="00785E98" w:rsidRDefault="00785E98">
      <w:pPr>
        <w:spacing w:line="480" w:lineRule="auto"/>
        <w:rPr>
          <w:rFonts w:ascii="Palatino Linotype" w:eastAsia="Palatino Linotype" w:hAnsi="Palatino Linotype" w:cs="Palatino Linotype"/>
          <w:b/>
        </w:rPr>
      </w:pPr>
    </w:p>
    <w:p w14:paraId="02B9A161" w14:textId="77777777" w:rsidR="00785E98" w:rsidRDefault="00785E98">
      <w:pPr>
        <w:spacing w:line="480" w:lineRule="auto"/>
        <w:rPr>
          <w:rFonts w:ascii="Palatino Linotype" w:eastAsia="Palatino Linotype" w:hAnsi="Palatino Linotype" w:cs="Palatino Linotype"/>
          <w:b/>
        </w:rPr>
      </w:pPr>
    </w:p>
    <w:p w14:paraId="2670B153" w14:textId="77777777" w:rsidR="00785E98" w:rsidRDefault="00785E98">
      <w:pPr>
        <w:spacing w:line="480" w:lineRule="auto"/>
        <w:rPr>
          <w:rFonts w:ascii="Palatino Linotype" w:eastAsia="Palatino Linotype" w:hAnsi="Palatino Linotype" w:cs="Palatino Linotype"/>
          <w:b/>
        </w:rPr>
      </w:pPr>
    </w:p>
    <w:p w14:paraId="4C4F81A4" w14:textId="77777777" w:rsidR="00785E98" w:rsidRDefault="00785E98">
      <w:pPr>
        <w:spacing w:line="480" w:lineRule="auto"/>
        <w:rPr>
          <w:rFonts w:ascii="Palatino Linotype" w:eastAsia="Palatino Linotype" w:hAnsi="Palatino Linotype" w:cs="Palatino Linotype"/>
          <w:b/>
        </w:rPr>
      </w:pPr>
    </w:p>
    <w:p w14:paraId="212D3BCF" w14:textId="77777777" w:rsidR="00785E98" w:rsidRDefault="00785E98">
      <w:pPr>
        <w:spacing w:line="480" w:lineRule="auto"/>
        <w:rPr>
          <w:rFonts w:ascii="Palatino Linotype" w:eastAsia="Palatino Linotype" w:hAnsi="Palatino Linotype" w:cs="Palatino Linotype"/>
          <w:b/>
        </w:rPr>
      </w:pPr>
    </w:p>
    <w:p w14:paraId="5F5C35C3" w14:textId="77777777" w:rsidR="00785E98" w:rsidRDefault="00785E98">
      <w:pPr>
        <w:spacing w:line="480" w:lineRule="auto"/>
        <w:rPr>
          <w:rFonts w:ascii="Palatino Linotype" w:eastAsia="Palatino Linotype" w:hAnsi="Palatino Linotype" w:cs="Palatino Linotype"/>
          <w:b/>
        </w:rPr>
      </w:pPr>
    </w:p>
    <w:p w14:paraId="6F875134" w14:textId="77777777" w:rsidR="00785E98" w:rsidRDefault="00785E98"/>
    <w:sectPr w:rsidR="00785E9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1E87B" w14:textId="77777777" w:rsidR="002406EC" w:rsidRDefault="002406EC">
      <w:r>
        <w:separator/>
      </w:r>
    </w:p>
  </w:endnote>
  <w:endnote w:type="continuationSeparator" w:id="0">
    <w:p w14:paraId="5AE157A5" w14:textId="77777777" w:rsidR="002406EC" w:rsidRDefault="002406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04E0F"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051AA">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051AA">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7D7DE" w14:textId="77777777" w:rsidR="00785E98" w:rsidRDefault="005D216E">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2051AA">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2051AA">
      <w:rPr>
        <w:rFonts w:ascii="Palatino Linotype" w:eastAsia="Palatino Linotype" w:hAnsi="Palatino Linotype" w:cs="Palatino Linotype"/>
        <w:noProof/>
        <w:color w:val="000000"/>
        <w:sz w:val="20"/>
        <w:szCs w:val="20"/>
      </w:rPr>
      <w:t>21</w:t>
    </w:r>
    <w:r>
      <w:rPr>
        <w:rFonts w:ascii="Palatino Linotype" w:eastAsia="Palatino Linotype" w:hAnsi="Palatino Linotype" w:cs="Palatino Linotype"/>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D0F4DC" w14:textId="77777777" w:rsidR="002406EC" w:rsidRDefault="002406EC">
      <w:r>
        <w:separator/>
      </w:r>
    </w:p>
  </w:footnote>
  <w:footnote w:type="continuationSeparator" w:id="0">
    <w:p w14:paraId="43B55AC6" w14:textId="77777777" w:rsidR="002406EC" w:rsidRDefault="002406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245A89" w14:textId="77777777" w:rsidR="00785E98" w:rsidRDefault="002406EC">
    <w:pPr>
      <w:pBdr>
        <w:top w:val="nil"/>
        <w:left w:val="nil"/>
        <w:bottom w:val="nil"/>
        <w:right w:val="nil"/>
        <w:between w:val="nil"/>
      </w:pBdr>
      <w:tabs>
        <w:tab w:val="center" w:pos="4252"/>
        <w:tab w:val="right" w:pos="8504"/>
      </w:tabs>
      <w:rPr>
        <w:rFonts w:ascii="Calibri" w:eastAsia="Calibri" w:hAnsi="Calibri" w:cs="Calibri"/>
        <w:color w:val="000000"/>
      </w:rPr>
    </w:pPr>
    <w:r>
      <w:rPr>
        <w:rFonts w:ascii="Calibri" w:eastAsia="Calibri" w:hAnsi="Calibri" w:cs="Calibri"/>
        <w:noProof/>
        <w:color w:val="000000"/>
      </w:rPr>
      <w:pict w14:anchorId="1E7D3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0;margin-top:0;width:609.4pt;height:793.75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1BEF21" w14:textId="77777777" w:rsidR="00785E98" w:rsidRDefault="002406EC">
    <w:pPr>
      <w:widowControl w:val="0"/>
      <w:pBdr>
        <w:top w:val="nil"/>
        <w:left w:val="nil"/>
        <w:bottom w:val="nil"/>
        <w:right w:val="nil"/>
        <w:between w:val="nil"/>
      </w:pBdr>
      <w:spacing w:line="276" w:lineRule="auto"/>
      <w:rPr>
        <w:rFonts w:ascii="Calibri" w:eastAsia="Calibri" w:hAnsi="Calibri" w:cs="Calibri"/>
        <w:color w:val="000000"/>
      </w:rPr>
    </w:pPr>
    <w:r>
      <w:rPr>
        <w:rFonts w:ascii="Palatino Linotype" w:eastAsia="Palatino Linotype" w:hAnsi="Palatino Linotype" w:cs="Palatino Linotype"/>
        <w:noProof/>
        <w:color w:val="000000"/>
        <w:sz w:val="20"/>
        <w:szCs w:val="20"/>
      </w:rPr>
      <w:pict w14:anchorId="409F1B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9.35pt;width:609.4pt;height:793.75pt;z-index:-251659776;mso-wrap-edited:f;mso-width-percent:0;mso-height-percent:0;mso-position-horizontal-relative:margin;mso-position-vertical-relative:margin;mso-width-percent:0;mso-height-percent:0">
          <v:imagedata r:id="rId1" o:title="image1"/>
          <w10:wrap anchorx="margin" anchory="margin"/>
        </v:shape>
      </w:pict>
    </w:r>
  </w:p>
  <w:tbl>
    <w:tblPr>
      <w:tblStyle w:val="2"/>
      <w:tblW w:w="6237" w:type="dxa"/>
      <w:tblInd w:w="2835" w:type="dxa"/>
      <w:tblLayout w:type="fixed"/>
      <w:tblLook w:val="0400" w:firstRow="0" w:lastRow="0" w:firstColumn="0" w:lastColumn="0" w:noHBand="0" w:noVBand="1"/>
    </w:tblPr>
    <w:tblGrid>
      <w:gridCol w:w="2552"/>
      <w:gridCol w:w="3685"/>
    </w:tblGrid>
    <w:tr w:rsidR="00785E98" w14:paraId="36F672A3" w14:textId="77777777">
      <w:tc>
        <w:tcPr>
          <w:tcW w:w="2552" w:type="dxa"/>
        </w:tcPr>
        <w:p w14:paraId="2BB1B53C"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5B827605" w14:textId="4F45D2B3" w:rsidR="00785E98" w:rsidRDefault="00354E07" w:rsidP="00A15154">
          <w:pPr>
            <w:spacing w:line="276" w:lineRule="auto"/>
            <w:jc w:val="right"/>
            <w:rPr>
              <w:rFonts w:ascii="Palatino Linotype" w:eastAsia="Palatino Linotype" w:hAnsi="Palatino Linotype" w:cs="Palatino Linotype"/>
              <w:sz w:val="22"/>
              <w:szCs w:val="22"/>
            </w:rPr>
          </w:pPr>
          <w:r w:rsidRPr="00354E07">
            <w:rPr>
              <w:rFonts w:ascii="Palatino Linotype" w:eastAsia="Palatino Linotype" w:hAnsi="Palatino Linotype" w:cs="Palatino Linotype"/>
              <w:sz w:val="22"/>
              <w:szCs w:val="22"/>
            </w:rPr>
            <w:t>03550/INFOEM/IP/RR/2026</w:t>
          </w:r>
        </w:p>
      </w:tc>
    </w:tr>
    <w:tr w:rsidR="00785E98" w14:paraId="18F7D44C" w14:textId="77777777">
      <w:tc>
        <w:tcPr>
          <w:tcW w:w="2552" w:type="dxa"/>
        </w:tcPr>
        <w:p w14:paraId="2798A25F"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2599D11C" w14:textId="30AA6318" w:rsidR="00785E98" w:rsidRDefault="006B4129">
          <w:pPr>
            <w:spacing w:line="276" w:lineRule="auto"/>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1EF6ED61" w14:textId="77777777">
      <w:trPr>
        <w:trHeight w:val="228"/>
      </w:trPr>
      <w:tc>
        <w:tcPr>
          <w:tcW w:w="2552" w:type="dxa"/>
        </w:tcPr>
        <w:p w14:paraId="76983921"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48D498CE"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01FD7437" w14:textId="77777777" w:rsidR="00543AA4" w:rsidRDefault="00543AA4">
    <w:pPr>
      <w:rPr>
        <w:rFonts w:ascii="Palatino Linotype" w:eastAsia="Palatino Linotype" w:hAnsi="Palatino Linotype" w:cs="Palatino Linotype"/>
        <w:color w:val="000000"/>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FA972" w14:textId="77777777" w:rsidR="00785E98" w:rsidRDefault="002406EC">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20"/>
        <w:szCs w:val="20"/>
      </w:rPr>
    </w:pPr>
    <w:r>
      <w:rPr>
        <w:rFonts w:ascii="Calibri" w:eastAsia="Calibri" w:hAnsi="Calibri" w:cs="Calibri"/>
        <w:noProof/>
        <w:color w:val="000000"/>
        <w:sz w:val="10"/>
        <w:szCs w:val="10"/>
      </w:rPr>
      <w:pict w14:anchorId="6B604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margin-left:-89.45pt;margin-top:-139pt;width:609.4pt;height:793.75pt;z-index:-251658752;mso-wrap-edited:f;mso-width-percent:0;mso-height-percent:0;mso-position-horizontal-relative:margin;mso-position-vertical-relative:margin;mso-width-percent:0;mso-height-percent:0">
          <v:imagedata r:id="rId1" o:title="image1"/>
          <w10:wrap anchorx="margin" anchory="margin"/>
        </v:shape>
      </w:pict>
    </w:r>
  </w:p>
  <w:tbl>
    <w:tblPr>
      <w:tblStyle w:val="1"/>
      <w:tblW w:w="6520" w:type="dxa"/>
      <w:tblInd w:w="2552" w:type="dxa"/>
      <w:tblLayout w:type="fixed"/>
      <w:tblLook w:val="0400" w:firstRow="0" w:lastRow="0" w:firstColumn="0" w:lastColumn="0" w:noHBand="0" w:noVBand="1"/>
    </w:tblPr>
    <w:tblGrid>
      <w:gridCol w:w="2835"/>
      <w:gridCol w:w="3685"/>
    </w:tblGrid>
    <w:tr w:rsidR="00785E98" w14:paraId="2B1D97A5" w14:textId="77777777">
      <w:tc>
        <w:tcPr>
          <w:tcW w:w="2835" w:type="dxa"/>
        </w:tcPr>
        <w:p w14:paraId="408478AB"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685" w:type="dxa"/>
          <w:vAlign w:val="center"/>
        </w:tcPr>
        <w:p w14:paraId="35161482" w14:textId="207A74F6" w:rsidR="00785E98" w:rsidRDefault="00354E07" w:rsidP="00A15154">
          <w:pPr>
            <w:spacing w:line="276" w:lineRule="auto"/>
            <w:jc w:val="right"/>
            <w:rPr>
              <w:rFonts w:ascii="Palatino Linotype" w:eastAsia="Palatino Linotype" w:hAnsi="Palatino Linotype" w:cs="Palatino Linotype"/>
              <w:sz w:val="22"/>
              <w:szCs w:val="22"/>
            </w:rPr>
          </w:pPr>
          <w:r w:rsidRPr="00354E07">
            <w:rPr>
              <w:rFonts w:ascii="Palatino Linotype" w:eastAsia="Palatino Linotype" w:hAnsi="Palatino Linotype" w:cs="Palatino Linotype"/>
              <w:sz w:val="22"/>
              <w:szCs w:val="22"/>
            </w:rPr>
            <w:t>03550/INFOEM/IP/RR/2026</w:t>
          </w:r>
        </w:p>
      </w:tc>
    </w:tr>
    <w:tr w:rsidR="00785E98" w14:paraId="03AF8D15" w14:textId="77777777">
      <w:tc>
        <w:tcPr>
          <w:tcW w:w="2835" w:type="dxa"/>
          <w:vAlign w:val="center"/>
        </w:tcPr>
        <w:p w14:paraId="294F554E"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685" w:type="dxa"/>
          <w:vAlign w:val="center"/>
        </w:tcPr>
        <w:p w14:paraId="63886C4C" w14:textId="25C9BE98" w:rsidR="00785E98" w:rsidRDefault="002051AA">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XXXXXXXXXXXXXXXXX</w:t>
          </w:r>
        </w:p>
      </w:tc>
    </w:tr>
    <w:tr w:rsidR="00785E98" w14:paraId="5D5F87F9" w14:textId="77777777">
      <w:trPr>
        <w:trHeight w:val="228"/>
      </w:trPr>
      <w:tc>
        <w:tcPr>
          <w:tcW w:w="2835" w:type="dxa"/>
          <w:vAlign w:val="center"/>
        </w:tcPr>
        <w:p w14:paraId="00C42092" w14:textId="77777777" w:rsidR="00785E98" w:rsidRDefault="005D216E">
          <w:pPr>
            <w:spacing w:line="276" w:lineRule="auto"/>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685" w:type="dxa"/>
          <w:vAlign w:val="center"/>
        </w:tcPr>
        <w:p w14:paraId="7F222E84" w14:textId="495AAB6E" w:rsidR="00785E98" w:rsidRDefault="006B4129">
          <w:pPr>
            <w:jc w:val="right"/>
            <w:rPr>
              <w:rFonts w:ascii="Palatino Linotype" w:eastAsia="Palatino Linotype" w:hAnsi="Palatino Linotype" w:cs="Palatino Linotype"/>
              <w:sz w:val="21"/>
              <w:szCs w:val="21"/>
            </w:rPr>
          </w:pPr>
          <w:r w:rsidRPr="006B4129">
            <w:rPr>
              <w:rFonts w:ascii="Palatino Linotype" w:eastAsia="Palatino Linotype" w:hAnsi="Palatino Linotype" w:cs="Palatino Linotype"/>
              <w:sz w:val="21"/>
              <w:szCs w:val="21"/>
            </w:rPr>
            <w:t>Ayuntamiento de Tepotzotlán</w:t>
          </w:r>
        </w:p>
      </w:tc>
    </w:tr>
    <w:tr w:rsidR="00785E98" w14:paraId="24FAB01C" w14:textId="77777777">
      <w:tc>
        <w:tcPr>
          <w:tcW w:w="2835" w:type="dxa"/>
        </w:tcPr>
        <w:p w14:paraId="34F030CD" w14:textId="77777777" w:rsidR="00785E98" w:rsidRDefault="005D216E">
          <w:pPr>
            <w:spacing w:line="276" w:lineRule="auto"/>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Comisionado Ponente:</w:t>
          </w:r>
        </w:p>
      </w:tc>
      <w:tc>
        <w:tcPr>
          <w:tcW w:w="3685" w:type="dxa"/>
        </w:tcPr>
        <w:p w14:paraId="7D8CFE0A" w14:textId="77777777" w:rsidR="00785E98" w:rsidRDefault="005D216E">
          <w:pPr>
            <w:spacing w:line="276" w:lineRule="auto"/>
            <w:jc w:val="right"/>
            <w:rPr>
              <w:rFonts w:ascii="Palatino Linotype" w:eastAsia="Palatino Linotype" w:hAnsi="Palatino Linotype" w:cs="Palatino Linotype"/>
              <w:sz w:val="22"/>
              <w:szCs w:val="22"/>
            </w:rPr>
          </w:pPr>
          <w:r>
            <w:rPr>
              <w:rFonts w:ascii="Palatino Linotype" w:eastAsia="Palatino Linotype" w:hAnsi="Palatino Linotype" w:cs="Palatino Linotype"/>
              <w:sz w:val="22"/>
              <w:szCs w:val="22"/>
            </w:rPr>
            <w:t>José Martínez Vilchis</w:t>
          </w:r>
        </w:p>
      </w:tc>
    </w:tr>
  </w:tbl>
  <w:p w14:paraId="4042D9FE" w14:textId="77777777" w:rsidR="00785E98" w:rsidRDefault="00785E98">
    <w:pPr>
      <w:pBdr>
        <w:top w:val="nil"/>
        <w:left w:val="nil"/>
        <w:bottom w:val="nil"/>
        <w:right w:val="nil"/>
        <w:between w:val="nil"/>
      </w:pBdr>
      <w:tabs>
        <w:tab w:val="center" w:pos="4252"/>
        <w:tab w:val="right" w:pos="8504"/>
      </w:tabs>
      <w:rPr>
        <w:rFonts w:ascii="Calibri" w:eastAsia="Calibri" w:hAnsi="Calibri" w:cs="Calibri"/>
        <w:color w:val="00000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D5BF3"/>
    <w:multiLevelType w:val="hybridMultilevel"/>
    <w:tmpl w:val="A7FCF658"/>
    <w:lvl w:ilvl="0" w:tplc="15A6E13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69B201B"/>
    <w:multiLevelType w:val="multilevel"/>
    <w:tmpl w:val="B2EA4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98"/>
    <w:rsid w:val="00034F03"/>
    <w:rsid w:val="0004245C"/>
    <w:rsid w:val="00045F29"/>
    <w:rsid w:val="00057AD6"/>
    <w:rsid w:val="00075943"/>
    <w:rsid w:val="00077344"/>
    <w:rsid w:val="000D724E"/>
    <w:rsid w:val="000F1ABD"/>
    <w:rsid w:val="000F72F9"/>
    <w:rsid w:val="001137CF"/>
    <w:rsid w:val="00114CEE"/>
    <w:rsid w:val="00162709"/>
    <w:rsid w:val="00182BAA"/>
    <w:rsid w:val="001866AE"/>
    <w:rsid w:val="001A7E06"/>
    <w:rsid w:val="001B2B53"/>
    <w:rsid w:val="001E5C53"/>
    <w:rsid w:val="002051AA"/>
    <w:rsid w:val="00217A05"/>
    <w:rsid w:val="00232219"/>
    <w:rsid w:val="002406EC"/>
    <w:rsid w:val="002469DE"/>
    <w:rsid w:val="00270C18"/>
    <w:rsid w:val="00272A99"/>
    <w:rsid w:val="002B6DDF"/>
    <w:rsid w:val="003007C5"/>
    <w:rsid w:val="00314967"/>
    <w:rsid w:val="0034448B"/>
    <w:rsid w:val="00344EE1"/>
    <w:rsid w:val="00354E07"/>
    <w:rsid w:val="00365385"/>
    <w:rsid w:val="003878CF"/>
    <w:rsid w:val="003A111F"/>
    <w:rsid w:val="00416361"/>
    <w:rsid w:val="004169D1"/>
    <w:rsid w:val="00437B61"/>
    <w:rsid w:val="004454B4"/>
    <w:rsid w:val="00457851"/>
    <w:rsid w:val="004C18FD"/>
    <w:rsid w:val="004F01DF"/>
    <w:rsid w:val="00520291"/>
    <w:rsid w:val="00533055"/>
    <w:rsid w:val="00543AA4"/>
    <w:rsid w:val="005456CC"/>
    <w:rsid w:val="0057337B"/>
    <w:rsid w:val="00590661"/>
    <w:rsid w:val="005D216E"/>
    <w:rsid w:val="005E481A"/>
    <w:rsid w:val="005F3450"/>
    <w:rsid w:val="00603A5B"/>
    <w:rsid w:val="00645942"/>
    <w:rsid w:val="00693587"/>
    <w:rsid w:val="006B4129"/>
    <w:rsid w:val="006B41E2"/>
    <w:rsid w:val="007054C3"/>
    <w:rsid w:val="00784677"/>
    <w:rsid w:val="00785E98"/>
    <w:rsid w:val="00790654"/>
    <w:rsid w:val="00822A2E"/>
    <w:rsid w:val="0083345F"/>
    <w:rsid w:val="00835C60"/>
    <w:rsid w:val="008515BC"/>
    <w:rsid w:val="0088410D"/>
    <w:rsid w:val="008A0AE2"/>
    <w:rsid w:val="008A0F9E"/>
    <w:rsid w:val="008C59FC"/>
    <w:rsid w:val="00995E97"/>
    <w:rsid w:val="009B46A0"/>
    <w:rsid w:val="009E0B8A"/>
    <w:rsid w:val="009E14D9"/>
    <w:rsid w:val="00A15154"/>
    <w:rsid w:val="00A209D1"/>
    <w:rsid w:val="00A27797"/>
    <w:rsid w:val="00A64AF0"/>
    <w:rsid w:val="00AB15F7"/>
    <w:rsid w:val="00AD714B"/>
    <w:rsid w:val="00AE65FD"/>
    <w:rsid w:val="00B20A4B"/>
    <w:rsid w:val="00B21A13"/>
    <w:rsid w:val="00B451BA"/>
    <w:rsid w:val="00B57227"/>
    <w:rsid w:val="00B664C3"/>
    <w:rsid w:val="00BC1CC4"/>
    <w:rsid w:val="00BE036E"/>
    <w:rsid w:val="00BF5949"/>
    <w:rsid w:val="00C06409"/>
    <w:rsid w:val="00C35C0B"/>
    <w:rsid w:val="00C63150"/>
    <w:rsid w:val="00C92ECE"/>
    <w:rsid w:val="00CA19C9"/>
    <w:rsid w:val="00CA47DE"/>
    <w:rsid w:val="00CC4621"/>
    <w:rsid w:val="00CD4761"/>
    <w:rsid w:val="00CF59DF"/>
    <w:rsid w:val="00D2417F"/>
    <w:rsid w:val="00D413D3"/>
    <w:rsid w:val="00D6786B"/>
    <w:rsid w:val="00DB6FC1"/>
    <w:rsid w:val="00DC4FAE"/>
    <w:rsid w:val="00DE5F68"/>
    <w:rsid w:val="00E25C87"/>
    <w:rsid w:val="00E26057"/>
    <w:rsid w:val="00E56997"/>
    <w:rsid w:val="00E60510"/>
    <w:rsid w:val="00E86BD8"/>
    <w:rsid w:val="00E94B1F"/>
    <w:rsid w:val="00EB1290"/>
    <w:rsid w:val="00EC0A07"/>
    <w:rsid w:val="00ED1996"/>
    <w:rsid w:val="00EE6A40"/>
    <w:rsid w:val="00F05AF5"/>
    <w:rsid w:val="00F177EC"/>
    <w:rsid w:val="00F41F5E"/>
    <w:rsid w:val="00F445D4"/>
    <w:rsid w:val="00F51907"/>
    <w:rsid w:val="00F5221D"/>
    <w:rsid w:val="00FA14F6"/>
    <w:rsid w:val="00FA2A43"/>
    <w:rsid w:val="00FB3B8B"/>
    <w:rsid w:val="00FB6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4AA61AC"/>
  <w15:docId w15:val="{B9772697-E269-4EA1-ACD8-8FF9317D7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4">
    <w:name w:val="4"/>
    <w:basedOn w:val="TableNormal"/>
    <w:tblPr>
      <w:tblStyleRowBandSize w:val="1"/>
      <w:tblStyleColBandSize w:val="1"/>
      <w:tblCellMar>
        <w:left w:w="108" w:type="dxa"/>
        <w:right w:w="108" w:type="dxa"/>
      </w:tblCellMar>
    </w:tblPr>
  </w:style>
  <w:style w:type="table" w:customStyle="1" w:styleId="3">
    <w:name w:val="3"/>
    <w:basedOn w:val="TableNormal"/>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Piedepgina">
    <w:name w:val="footer"/>
    <w:basedOn w:val="Normal"/>
    <w:link w:val="PiedepginaCar"/>
    <w:uiPriority w:val="99"/>
    <w:unhideWhenUsed/>
    <w:rsid w:val="00A15154"/>
    <w:pPr>
      <w:tabs>
        <w:tab w:val="center" w:pos="4419"/>
        <w:tab w:val="right" w:pos="8838"/>
      </w:tabs>
    </w:pPr>
  </w:style>
  <w:style w:type="character" w:customStyle="1" w:styleId="PiedepginaCar">
    <w:name w:val="Pie de página Car"/>
    <w:basedOn w:val="Fuentedeprrafopredeter"/>
    <w:link w:val="Piedepgina"/>
    <w:uiPriority w:val="99"/>
    <w:rsid w:val="00A15154"/>
  </w:style>
  <w:style w:type="paragraph" w:styleId="Prrafodelista">
    <w:name w:val="List Paragraph"/>
    <w:basedOn w:val="Normal"/>
    <w:uiPriority w:val="34"/>
    <w:qFormat/>
    <w:rsid w:val="00693587"/>
    <w:pPr>
      <w:ind w:left="720"/>
      <w:contextualSpacing/>
    </w:pPr>
  </w:style>
  <w:style w:type="character" w:styleId="Ttulodellibro">
    <w:name w:val="Book Title"/>
    <w:basedOn w:val="Fuentedeprrafopredeter"/>
    <w:uiPriority w:val="33"/>
    <w:qFormat/>
    <w:rsid w:val="00CA47DE"/>
    <w:rPr>
      <w:b/>
      <w:bCs/>
      <w:i/>
      <w:iCs/>
      <w:spacing w:val="5"/>
    </w:rPr>
  </w:style>
  <w:style w:type="paragraph" w:styleId="Sinespaciado">
    <w:name w:val="No Spacing"/>
    <w:aliases w:val="Francesa,INAI"/>
    <w:link w:val="SinespaciadoCar"/>
    <w:uiPriority w:val="1"/>
    <w:qFormat/>
    <w:rsid w:val="00D2417F"/>
    <w:rPr>
      <w:lang w:val="es-MX" w:eastAsia="es-ES"/>
    </w:rPr>
  </w:style>
  <w:style w:type="character" w:customStyle="1" w:styleId="SinespaciadoCar">
    <w:name w:val="Sin espaciado Car"/>
    <w:aliases w:val="Francesa Car,INAI Car"/>
    <w:link w:val="Sinespaciado"/>
    <w:uiPriority w:val="1"/>
    <w:locked/>
    <w:rsid w:val="00D2417F"/>
    <w:rPr>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21</Pages>
  <Words>5914</Words>
  <Characters>32527</Characters>
  <Application>Microsoft Office Word</Application>
  <DocSecurity>0</DocSecurity>
  <Lines>271</Lines>
  <Paragraphs>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38365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INFOEM423</dc:creator>
  <cp:lastModifiedBy>INFOEM557</cp:lastModifiedBy>
  <cp:revision>5</cp:revision>
  <cp:lastPrinted>2026-04-29T16:54:00Z</cp:lastPrinted>
  <dcterms:created xsi:type="dcterms:W3CDTF">2026-04-17T16:41:00Z</dcterms:created>
  <dcterms:modified xsi:type="dcterms:W3CDTF">2026-04-29T18:54:00Z</dcterms:modified>
</cp:coreProperties>
</file>