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7FE0" w:rsidRPr="00664ACF" w:rsidRDefault="00DB7533">
      <w:pPr>
        <w:pBdr>
          <w:top w:val="nil"/>
          <w:left w:val="nil"/>
          <w:bottom w:val="nil"/>
          <w:right w:val="nil"/>
          <w:between w:val="nil"/>
        </w:pBdr>
        <w:spacing w:line="360" w:lineRule="auto"/>
        <w:ind w:right="-1566"/>
        <w:jc w:val="both"/>
        <w:rPr>
          <w:rFonts w:ascii="Palatino Linotype" w:eastAsia="Palatino Linotype" w:hAnsi="Palatino Linotype" w:cs="Palatino Linotype"/>
          <w:color w:val="000000"/>
        </w:rPr>
      </w:pPr>
      <w:r w:rsidRPr="00664ACF">
        <w:rPr>
          <w:rFonts w:ascii="Palatino Linotype" w:eastAsia="Palatino Linotype" w:hAnsi="Palatino Linotype" w:cs="Palatino Linotype"/>
          <w:color w:val="000000"/>
        </w:rPr>
        <w:t xml:space="preserve">Resolución del Pleno del Instituto de Transparencia, Acceso a la Información Pública y Protección de Datos Personales del Estado de México y Municipios, con domicilio en Metepec, Estado de México; de fecha </w:t>
      </w:r>
      <w:r w:rsidRPr="00664ACF">
        <w:rPr>
          <w:rFonts w:ascii="Palatino Linotype" w:eastAsia="Palatino Linotype" w:hAnsi="Palatino Linotype" w:cs="Palatino Linotype"/>
          <w:b/>
          <w:bCs/>
        </w:rPr>
        <w:t>diez</w:t>
      </w:r>
      <w:r w:rsidRPr="00664ACF">
        <w:rPr>
          <w:rFonts w:ascii="Palatino Linotype" w:eastAsia="Palatino Linotype" w:hAnsi="Palatino Linotype" w:cs="Palatino Linotype"/>
          <w:b/>
          <w:bCs/>
          <w:color w:val="000000"/>
        </w:rPr>
        <w:t xml:space="preserve"> (</w:t>
      </w:r>
      <w:r w:rsidRPr="00664ACF">
        <w:rPr>
          <w:rFonts w:ascii="Palatino Linotype" w:eastAsia="Palatino Linotype" w:hAnsi="Palatino Linotype" w:cs="Palatino Linotype"/>
          <w:b/>
          <w:bCs/>
        </w:rPr>
        <w:t>10</w:t>
      </w:r>
      <w:r w:rsidRPr="00664ACF">
        <w:rPr>
          <w:rFonts w:ascii="Palatino Linotype" w:eastAsia="Palatino Linotype" w:hAnsi="Palatino Linotype" w:cs="Palatino Linotype"/>
          <w:b/>
          <w:bCs/>
          <w:color w:val="000000"/>
        </w:rPr>
        <w:t>) de junio de dos mil veintiséis</w:t>
      </w:r>
      <w:r w:rsidRPr="00664ACF">
        <w:rPr>
          <w:rFonts w:ascii="Palatino Linotype" w:eastAsia="Palatino Linotype" w:hAnsi="Palatino Linotype" w:cs="Palatino Linotype"/>
          <w:color w:val="000000"/>
        </w:rPr>
        <w:t>.</w:t>
      </w:r>
    </w:p>
    <w:p w:rsidR="005C7FE0" w:rsidRPr="00664ACF" w:rsidRDefault="005C7FE0">
      <w:pPr>
        <w:pBdr>
          <w:top w:val="nil"/>
          <w:left w:val="nil"/>
          <w:bottom w:val="nil"/>
          <w:right w:val="nil"/>
          <w:between w:val="nil"/>
        </w:pBdr>
        <w:spacing w:line="360" w:lineRule="auto"/>
        <w:ind w:right="-1566"/>
        <w:jc w:val="both"/>
        <w:rPr>
          <w:rFonts w:ascii="Palatino Linotype" w:eastAsia="Palatino Linotype" w:hAnsi="Palatino Linotype" w:cs="Palatino Linotype"/>
          <w:color w:val="000000"/>
        </w:rPr>
      </w:pPr>
    </w:p>
    <w:p w:rsidR="005C7FE0" w:rsidRPr="00664ACF" w:rsidRDefault="00DB7533">
      <w:pPr>
        <w:pBdr>
          <w:top w:val="nil"/>
          <w:left w:val="nil"/>
          <w:bottom w:val="nil"/>
          <w:right w:val="nil"/>
          <w:between w:val="nil"/>
        </w:pBdr>
        <w:spacing w:line="360" w:lineRule="auto"/>
        <w:ind w:right="-1566"/>
        <w:jc w:val="both"/>
        <w:rPr>
          <w:rFonts w:ascii="Palatino Linotype" w:eastAsia="Palatino Linotype" w:hAnsi="Palatino Linotype" w:cs="Palatino Linotype"/>
          <w:color w:val="000000"/>
        </w:rPr>
      </w:pPr>
      <w:bookmarkStart w:id="0" w:name="_heading=h.gjdgxs" w:colFirst="0" w:colLast="0"/>
      <w:bookmarkEnd w:id="0"/>
      <w:r w:rsidRPr="00664ACF">
        <w:rPr>
          <w:rFonts w:ascii="Palatino Linotype" w:eastAsia="Palatino Linotype" w:hAnsi="Palatino Linotype" w:cs="Palatino Linotype"/>
          <w:b/>
          <w:bCs/>
          <w:color w:val="000000"/>
        </w:rPr>
        <w:t>VISTO</w:t>
      </w:r>
      <w:r w:rsidRPr="00664ACF">
        <w:rPr>
          <w:rFonts w:ascii="Palatino Linotype" w:eastAsia="Palatino Linotype" w:hAnsi="Palatino Linotype" w:cs="Palatino Linotype"/>
          <w:color w:val="000000"/>
        </w:rPr>
        <w:t xml:space="preserve"> el expediente electrónico formado con motivo del Recursos de Revisión </w:t>
      </w:r>
      <w:r w:rsidRPr="00664ACF">
        <w:rPr>
          <w:rFonts w:ascii="Palatino Linotype" w:eastAsia="Palatino Linotype" w:hAnsi="Palatino Linotype" w:cs="Palatino Linotype"/>
          <w:b/>
          <w:bCs/>
          <w:color w:val="000000"/>
        </w:rPr>
        <w:t xml:space="preserve">01653/INFOEM/IP/RR/2026 </w:t>
      </w:r>
      <w:r w:rsidRPr="00664ACF">
        <w:rPr>
          <w:rFonts w:ascii="Palatino Linotype" w:eastAsia="Palatino Linotype" w:hAnsi="Palatino Linotype" w:cs="Palatino Linotype"/>
          <w:color w:val="000000"/>
        </w:rPr>
        <w:t xml:space="preserve">promovido por </w:t>
      </w:r>
      <w:r w:rsidR="005F49D8">
        <w:rPr>
          <w:rFonts w:ascii="Palatino Linotype" w:eastAsia="Palatino Linotype" w:hAnsi="Palatino Linotype" w:cs="Palatino Linotype"/>
          <w:b/>
          <w:bCs/>
        </w:rPr>
        <w:t>XXXX</w:t>
      </w:r>
      <w:r w:rsidRPr="00664ACF">
        <w:rPr>
          <w:rFonts w:ascii="Palatino Linotype" w:eastAsia="Palatino Linotype" w:hAnsi="Palatino Linotype" w:cs="Palatino Linotype"/>
          <w:color w:val="000000"/>
        </w:rPr>
        <w:t xml:space="preserve">, a través del Sistema de Acceso a la Información Mexiquense (SAIMEX), a quien en lo sucesivo se le </w:t>
      </w:r>
      <w:r w:rsidRPr="00664ACF">
        <w:rPr>
          <w:rFonts w:ascii="Palatino Linotype" w:eastAsia="Palatino Linotype" w:hAnsi="Palatino Linotype" w:cs="Palatino Linotype"/>
        </w:rPr>
        <w:t>denominará como</w:t>
      </w:r>
      <w:r w:rsidRPr="00664ACF">
        <w:rPr>
          <w:rFonts w:ascii="Palatino Linotype" w:eastAsia="Palatino Linotype" w:hAnsi="Palatino Linotype" w:cs="Palatino Linotype"/>
          <w:color w:val="000000"/>
        </w:rPr>
        <w:t xml:space="preserve"> </w:t>
      </w:r>
      <w:r w:rsidRPr="00664ACF">
        <w:rPr>
          <w:rFonts w:ascii="Palatino Linotype" w:eastAsia="Palatino Linotype" w:hAnsi="Palatino Linotype" w:cs="Palatino Linotype"/>
          <w:b/>
          <w:bCs/>
          <w:color w:val="000000"/>
        </w:rPr>
        <w:t>LA RECURRENTE</w:t>
      </w:r>
      <w:r w:rsidRPr="00664ACF">
        <w:rPr>
          <w:rFonts w:ascii="Palatino Linotype" w:eastAsia="Palatino Linotype" w:hAnsi="Palatino Linotype" w:cs="Palatino Linotype"/>
          <w:color w:val="000000"/>
        </w:rPr>
        <w:t xml:space="preserve">, en contra de la respuesta del </w:t>
      </w:r>
      <w:r w:rsidRPr="00664ACF">
        <w:rPr>
          <w:rFonts w:ascii="Palatino Linotype" w:eastAsia="Palatino Linotype" w:hAnsi="Palatino Linotype" w:cs="Palatino Linotype"/>
          <w:b/>
          <w:bCs/>
          <w:color w:val="000000"/>
        </w:rPr>
        <w:t>Ayuntamiento de Ayapango</w:t>
      </w:r>
      <w:r w:rsidRPr="00664ACF">
        <w:rPr>
          <w:rFonts w:ascii="Palatino Linotype" w:eastAsia="Palatino Linotype" w:hAnsi="Palatino Linotype" w:cs="Palatino Linotype"/>
          <w:color w:val="000000"/>
        </w:rPr>
        <w:t xml:space="preserve">, en </w:t>
      </w:r>
      <w:r w:rsidRPr="00664ACF">
        <w:rPr>
          <w:rFonts w:ascii="Palatino Linotype" w:eastAsia="Palatino Linotype" w:hAnsi="Palatino Linotype" w:cs="Palatino Linotype"/>
        </w:rPr>
        <w:t>adelante</w:t>
      </w:r>
      <w:r w:rsidRPr="00664ACF">
        <w:rPr>
          <w:rFonts w:ascii="Palatino Linotype" w:eastAsia="Palatino Linotype" w:hAnsi="Palatino Linotype" w:cs="Palatino Linotype"/>
          <w:color w:val="000000"/>
        </w:rPr>
        <w:t xml:space="preserve"> </w:t>
      </w:r>
      <w:r w:rsidRPr="00664ACF">
        <w:rPr>
          <w:rFonts w:ascii="Palatino Linotype" w:eastAsia="Palatino Linotype" w:hAnsi="Palatino Linotype" w:cs="Palatino Linotype"/>
          <w:b/>
          <w:bCs/>
          <w:color w:val="000000"/>
        </w:rPr>
        <w:t>EL SUJETO OBLIGADO</w:t>
      </w:r>
      <w:r w:rsidRPr="00664ACF">
        <w:rPr>
          <w:rFonts w:ascii="Palatino Linotype" w:eastAsia="Palatino Linotype" w:hAnsi="Palatino Linotype" w:cs="Palatino Linotype"/>
          <w:color w:val="000000"/>
        </w:rPr>
        <w:t>, se procede a dictar la presente resolución, con base en los siguientes:</w:t>
      </w:r>
    </w:p>
    <w:p w:rsidR="005C7FE0" w:rsidRPr="00664ACF" w:rsidRDefault="005C7FE0">
      <w:pPr>
        <w:pBdr>
          <w:top w:val="nil"/>
          <w:left w:val="nil"/>
          <w:bottom w:val="nil"/>
          <w:right w:val="nil"/>
          <w:between w:val="nil"/>
        </w:pBdr>
        <w:spacing w:line="360" w:lineRule="auto"/>
        <w:ind w:right="-1566"/>
        <w:jc w:val="both"/>
        <w:rPr>
          <w:rFonts w:ascii="Palatino Linotype" w:eastAsia="Palatino Linotype" w:hAnsi="Palatino Linotype" w:cs="Palatino Linotype"/>
          <w:color w:val="000000"/>
        </w:rPr>
      </w:pPr>
    </w:p>
    <w:p w:rsidR="005C7FE0" w:rsidRPr="00664ACF" w:rsidRDefault="00DB7533">
      <w:pPr>
        <w:pBdr>
          <w:top w:val="nil"/>
          <w:left w:val="nil"/>
          <w:bottom w:val="nil"/>
          <w:right w:val="nil"/>
          <w:between w:val="nil"/>
        </w:pBdr>
        <w:spacing w:line="360" w:lineRule="auto"/>
        <w:ind w:right="-1566"/>
        <w:jc w:val="center"/>
        <w:rPr>
          <w:rFonts w:ascii="Palatino Linotype" w:eastAsia="Palatino Linotype" w:hAnsi="Palatino Linotype" w:cs="Palatino Linotype"/>
          <w:b/>
          <w:bCs/>
          <w:color w:val="000000"/>
        </w:rPr>
      </w:pPr>
      <w:r w:rsidRPr="00664ACF">
        <w:rPr>
          <w:rFonts w:ascii="Palatino Linotype" w:eastAsia="Palatino Linotype" w:hAnsi="Palatino Linotype" w:cs="Palatino Linotype"/>
          <w:b/>
          <w:bCs/>
          <w:color w:val="000000"/>
        </w:rPr>
        <w:t>A N T E C E D E N T E S</w:t>
      </w:r>
    </w:p>
    <w:p w:rsidR="005C7FE0" w:rsidRPr="00664ACF" w:rsidRDefault="005C7FE0">
      <w:pPr>
        <w:spacing w:line="360" w:lineRule="auto"/>
        <w:ind w:right="-1566"/>
        <w:rPr>
          <w:rFonts w:ascii="Palatino Linotype" w:eastAsia="Palatino Linotype" w:hAnsi="Palatino Linotype" w:cs="Palatino Linotype"/>
        </w:rPr>
      </w:pPr>
    </w:p>
    <w:p w:rsidR="005C7FE0" w:rsidRPr="00664ACF" w:rsidRDefault="00DB7533">
      <w:pPr>
        <w:numPr>
          <w:ilvl w:val="0"/>
          <w:numId w:val="2"/>
        </w:numPr>
        <w:pBdr>
          <w:top w:val="nil"/>
          <w:left w:val="nil"/>
          <w:bottom w:val="nil"/>
          <w:right w:val="nil"/>
          <w:between w:val="nil"/>
        </w:pBdr>
        <w:spacing w:line="360" w:lineRule="auto"/>
        <w:ind w:left="0" w:right="-1566" w:firstLine="0"/>
        <w:jc w:val="both"/>
        <w:rPr>
          <w:rFonts w:ascii="Palatino Linotype" w:eastAsia="Palatino Linotype" w:hAnsi="Palatino Linotype" w:cs="Palatino Linotype"/>
          <w:color w:val="000000"/>
        </w:rPr>
      </w:pPr>
      <w:r w:rsidRPr="00664ACF">
        <w:rPr>
          <w:rFonts w:ascii="Palatino Linotype" w:eastAsia="Palatino Linotype" w:hAnsi="Palatino Linotype" w:cs="Palatino Linotype"/>
          <w:color w:val="000000"/>
        </w:rPr>
        <w:t xml:space="preserve">El </w:t>
      </w:r>
      <w:r w:rsidRPr="00664ACF">
        <w:rPr>
          <w:rFonts w:ascii="Palatino Linotype" w:eastAsia="Palatino Linotype" w:hAnsi="Palatino Linotype" w:cs="Palatino Linotype"/>
          <w:b/>
          <w:bCs/>
          <w:color w:val="000000"/>
        </w:rPr>
        <w:t xml:space="preserve">veintiuno de enero de dos mil veintiséis, </w:t>
      </w:r>
      <w:r w:rsidRPr="00664ACF">
        <w:rPr>
          <w:rFonts w:ascii="Palatino Linotype" w:eastAsia="Palatino Linotype" w:hAnsi="Palatino Linotype" w:cs="Palatino Linotype"/>
          <w:color w:val="000000"/>
        </w:rPr>
        <w:t xml:space="preserve">se presentó ante el </w:t>
      </w:r>
      <w:r w:rsidRPr="00664ACF">
        <w:rPr>
          <w:rFonts w:ascii="Palatino Linotype" w:eastAsia="Palatino Linotype" w:hAnsi="Palatino Linotype" w:cs="Palatino Linotype"/>
          <w:b/>
          <w:bCs/>
          <w:color w:val="000000"/>
        </w:rPr>
        <w:t>SUJETO OBLIGADO</w:t>
      </w:r>
      <w:r w:rsidRPr="00664ACF">
        <w:rPr>
          <w:rFonts w:ascii="Palatino Linotype" w:eastAsia="Palatino Linotype" w:hAnsi="Palatino Linotype" w:cs="Palatino Linotype"/>
          <w:color w:val="000000"/>
        </w:rPr>
        <w:t xml:space="preserve"> vía </w:t>
      </w:r>
      <w:r w:rsidRPr="00664ACF">
        <w:rPr>
          <w:rFonts w:ascii="Palatino Linotype" w:eastAsia="Palatino Linotype" w:hAnsi="Palatino Linotype" w:cs="Palatino Linotype"/>
          <w:b/>
          <w:bCs/>
          <w:color w:val="000000"/>
        </w:rPr>
        <w:t>SAIMEX</w:t>
      </w:r>
      <w:r w:rsidRPr="00664ACF">
        <w:rPr>
          <w:rFonts w:ascii="Palatino Linotype" w:eastAsia="Palatino Linotype" w:hAnsi="Palatino Linotype" w:cs="Palatino Linotype"/>
          <w:color w:val="000000"/>
        </w:rPr>
        <w:t xml:space="preserve">, la solicitud de información pública registrada con el número </w:t>
      </w:r>
      <w:r w:rsidRPr="00664ACF">
        <w:rPr>
          <w:rFonts w:ascii="Palatino Linotype" w:eastAsia="Palatino Linotype" w:hAnsi="Palatino Linotype" w:cs="Palatino Linotype"/>
          <w:b/>
          <w:bCs/>
          <w:color w:val="000000"/>
        </w:rPr>
        <w:t xml:space="preserve">00007/AYAPANGO/IP/2026, </w:t>
      </w:r>
      <w:r w:rsidRPr="00664ACF">
        <w:rPr>
          <w:rFonts w:ascii="Palatino Linotype" w:eastAsia="Palatino Linotype" w:hAnsi="Palatino Linotype" w:cs="Palatino Linotype"/>
        </w:rPr>
        <w:t xml:space="preserve">en la que </w:t>
      </w:r>
      <w:r w:rsidRPr="00664ACF">
        <w:rPr>
          <w:rFonts w:ascii="Palatino Linotype" w:eastAsia="Palatino Linotype" w:hAnsi="Palatino Linotype" w:cs="Palatino Linotype"/>
          <w:color w:val="000000"/>
        </w:rPr>
        <w:t>se solicitó la siguiente información:</w:t>
      </w:r>
    </w:p>
    <w:p w:rsidR="005C7FE0" w:rsidRPr="00664ACF" w:rsidRDefault="005C7FE0">
      <w:pPr>
        <w:ind w:right="-1566"/>
        <w:jc w:val="both"/>
        <w:rPr>
          <w:rFonts w:ascii="Palatino Linotype" w:eastAsia="Palatino Linotype" w:hAnsi="Palatino Linotype" w:cs="Palatino Linotype"/>
          <w:i/>
          <w:iCs/>
        </w:rPr>
      </w:pPr>
    </w:p>
    <w:p w:rsidR="005C7FE0" w:rsidRPr="00664ACF" w:rsidRDefault="00DB7533">
      <w:pPr>
        <w:pBdr>
          <w:top w:val="nil"/>
          <w:left w:val="nil"/>
          <w:bottom w:val="nil"/>
          <w:right w:val="nil"/>
          <w:between w:val="nil"/>
        </w:pBdr>
        <w:ind w:left="851" w:right="-290"/>
        <w:jc w:val="both"/>
        <w:rPr>
          <w:rFonts w:ascii="Palatino Linotype" w:eastAsia="Palatino Linotype" w:hAnsi="Palatino Linotype" w:cs="Palatino Linotype"/>
          <w:i/>
          <w:iCs/>
          <w:color w:val="000000"/>
        </w:rPr>
      </w:pPr>
      <w:r w:rsidRPr="00664ACF">
        <w:rPr>
          <w:rFonts w:ascii="Palatino Linotype" w:eastAsia="Palatino Linotype" w:hAnsi="Palatino Linotype" w:cs="Palatino Linotype"/>
          <w:i/>
          <w:iCs/>
          <w:color w:val="000000"/>
        </w:rPr>
        <w:t xml:space="preserve">“Ayapango, Estado de México a 21 de enero de 2026 A la atención de: A quien corresponda H. Ayuntamiento de Ayapango, Estado de México Asunto: Solicitud de información pública sobre farmacias y consultorios médicos/dentales con permisos vigentes Con fundamento en la Ley de Transparencia y Acceso a la Información Pública del Estado de México, solicito información de carácter público referente a: Listado de todas las farmacias ubicadas en toda la cabecera municipal de Ayapango que cuenten con permiso vigente de funcionamiento. Listado de todos los consultorios médicos y dentales ubicados en toda la cabecera municipal de Ayapango que cuenten con permiso vigente de funcionamiento. La información solicitada incluye, por cada establecimiento: Nombre del </w:t>
      </w:r>
      <w:r w:rsidRPr="00664ACF">
        <w:rPr>
          <w:rFonts w:ascii="Palatino Linotype" w:eastAsia="Palatino Linotype" w:hAnsi="Palatino Linotype" w:cs="Palatino Linotype"/>
          <w:i/>
          <w:iCs/>
          <w:color w:val="000000"/>
        </w:rPr>
        <w:lastRenderedPageBreak/>
        <w:t xml:space="preserve">establecimiento Tipo de establecimiento (farmacia, consultorio médico, consultorio dental) Dirección exacta (calle, número, colonia) Fecha de otorgamiento del permiso Vigencia del permiso Tipo de permiso otorgado Número de expediente o registro del permiso Observaciones legales o restricciones, si las hubiera Solicito que la información sea proporcionada en formato digital a través del medio oficial que corresponda, para efectos de registro y acuse de recibo. Sin más por el momento, agradezco la atención a la presente solicitud y quedo atenta a su respuesta. Atentamente </w:t>
      </w:r>
      <w:r w:rsidR="005F49D8">
        <w:rPr>
          <w:rFonts w:ascii="Palatino Linotype" w:eastAsia="Palatino Linotype" w:hAnsi="Palatino Linotype" w:cs="Palatino Linotype"/>
          <w:i/>
          <w:iCs/>
          <w:color w:val="000000"/>
        </w:rPr>
        <w:t>XXXX</w:t>
      </w:r>
      <w:r w:rsidRPr="00664ACF">
        <w:rPr>
          <w:rFonts w:ascii="Palatino Linotype" w:eastAsia="Palatino Linotype" w:hAnsi="Palatino Linotype" w:cs="Palatino Linotype"/>
          <w:i/>
          <w:iCs/>
          <w:color w:val="000000"/>
        </w:rPr>
        <w:t>.”</w:t>
      </w:r>
    </w:p>
    <w:p w:rsidR="005C7FE0" w:rsidRPr="00664ACF" w:rsidRDefault="005C7FE0">
      <w:pPr>
        <w:pBdr>
          <w:top w:val="nil"/>
          <w:left w:val="nil"/>
          <w:bottom w:val="nil"/>
          <w:right w:val="nil"/>
          <w:between w:val="nil"/>
        </w:pBdr>
        <w:spacing w:line="360" w:lineRule="auto"/>
        <w:ind w:left="1134" w:right="-1566"/>
        <w:jc w:val="both"/>
        <w:rPr>
          <w:rFonts w:ascii="Palatino Linotype" w:eastAsia="Palatino Linotype" w:hAnsi="Palatino Linotype" w:cs="Palatino Linotype"/>
          <w:i/>
          <w:iCs/>
        </w:rPr>
      </w:pPr>
    </w:p>
    <w:p w:rsidR="005C7FE0" w:rsidRPr="00664ACF" w:rsidRDefault="00DB7533">
      <w:pPr>
        <w:numPr>
          <w:ilvl w:val="0"/>
          <w:numId w:val="1"/>
        </w:numPr>
        <w:pBdr>
          <w:top w:val="nil"/>
          <w:left w:val="nil"/>
          <w:bottom w:val="nil"/>
          <w:right w:val="nil"/>
          <w:between w:val="nil"/>
        </w:pBdr>
        <w:spacing w:line="360" w:lineRule="auto"/>
        <w:ind w:left="0" w:right="-1566" w:firstLine="0"/>
        <w:jc w:val="both"/>
        <w:rPr>
          <w:rFonts w:ascii="Palatino Linotype" w:eastAsia="Palatino Linotype" w:hAnsi="Palatino Linotype" w:cs="Palatino Linotype"/>
          <w:color w:val="000000"/>
        </w:rPr>
      </w:pPr>
      <w:r w:rsidRPr="00664ACF">
        <w:rPr>
          <w:rFonts w:ascii="Palatino Linotype" w:eastAsia="Palatino Linotype" w:hAnsi="Palatino Linotype" w:cs="Palatino Linotype"/>
          <w:b/>
          <w:bCs/>
          <w:color w:val="000000"/>
        </w:rPr>
        <w:t>Modalidad de entrega</w:t>
      </w:r>
      <w:r w:rsidRPr="00664ACF">
        <w:rPr>
          <w:rFonts w:ascii="Palatino Linotype" w:eastAsia="Palatino Linotype" w:hAnsi="Palatino Linotype" w:cs="Palatino Linotype"/>
          <w:color w:val="000000"/>
        </w:rPr>
        <w:t>: Sistema de Acceso a la Información</w:t>
      </w:r>
    </w:p>
    <w:p w:rsidR="005C7FE0" w:rsidRPr="00664ACF" w:rsidRDefault="005C7FE0">
      <w:pPr>
        <w:pBdr>
          <w:top w:val="nil"/>
          <w:left w:val="nil"/>
          <w:bottom w:val="nil"/>
          <w:right w:val="nil"/>
          <w:between w:val="nil"/>
        </w:pBdr>
        <w:spacing w:line="360" w:lineRule="auto"/>
        <w:ind w:right="-1566"/>
        <w:jc w:val="both"/>
        <w:rPr>
          <w:rFonts w:ascii="Palatino Linotype" w:eastAsia="Palatino Linotype" w:hAnsi="Palatino Linotype" w:cs="Palatino Linotype"/>
          <w:color w:val="000000"/>
        </w:rPr>
      </w:pPr>
    </w:p>
    <w:p w:rsidR="005C7FE0" w:rsidRPr="00664ACF" w:rsidRDefault="00DB7533">
      <w:pPr>
        <w:numPr>
          <w:ilvl w:val="0"/>
          <w:numId w:val="2"/>
        </w:numPr>
        <w:pBdr>
          <w:top w:val="nil"/>
          <w:left w:val="nil"/>
          <w:bottom w:val="nil"/>
          <w:right w:val="nil"/>
          <w:between w:val="nil"/>
        </w:pBdr>
        <w:spacing w:line="360" w:lineRule="auto"/>
        <w:ind w:left="0" w:right="-1566" w:firstLine="0"/>
        <w:jc w:val="both"/>
        <w:rPr>
          <w:rFonts w:ascii="Palatino Linotype" w:eastAsia="Palatino Linotype" w:hAnsi="Palatino Linotype" w:cs="Palatino Linotype"/>
          <w:color w:val="000000"/>
        </w:rPr>
      </w:pPr>
      <w:r w:rsidRPr="00664ACF">
        <w:rPr>
          <w:rFonts w:ascii="Palatino Linotype" w:eastAsia="Palatino Linotype" w:hAnsi="Palatino Linotype" w:cs="Palatino Linotype"/>
          <w:color w:val="000000"/>
        </w:rPr>
        <w:t xml:space="preserve">El </w:t>
      </w:r>
      <w:r w:rsidRPr="00664ACF">
        <w:rPr>
          <w:rFonts w:ascii="Palatino Linotype" w:eastAsia="Palatino Linotype" w:hAnsi="Palatino Linotype" w:cs="Palatino Linotype"/>
          <w:b/>
          <w:bCs/>
          <w:color w:val="000000"/>
        </w:rPr>
        <w:t xml:space="preserve">veintisiete de enero de dos mil veintiséis, </w:t>
      </w:r>
      <w:r w:rsidRPr="00664ACF">
        <w:rPr>
          <w:rFonts w:ascii="Palatino Linotype" w:eastAsia="Palatino Linotype" w:hAnsi="Palatino Linotype" w:cs="Palatino Linotype"/>
          <w:color w:val="000000"/>
        </w:rPr>
        <w:t xml:space="preserve">el </w:t>
      </w:r>
      <w:r w:rsidRPr="00664ACF">
        <w:rPr>
          <w:rFonts w:ascii="Palatino Linotype" w:eastAsia="Palatino Linotype" w:hAnsi="Palatino Linotype" w:cs="Palatino Linotype"/>
          <w:b/>
          <w:bCs/>
          <w:color w:val="000000"/>
        </w:rPr>
        <w:t xml:space="preserve">SUJETO OBLIGADO </w:t>
      </w:r>
      <w:r w:rsidRPr="00664ACF">
        <w:rPr>
          <w:rFonts w:ascii="Palatino Linotype" w:eastAsia="Palatino Linotype" w:hAnsi="Palatino Linotype" w:cs="Palatino Linotype"/>
          <w:color w:val="000000"/>
        </w:rPr>
        <w:t xml:space="preserve">respondió mediante un archivo electrónico  en formato pdf, cuyo contenido grosso modo es el siguiente. </w:t>
      </w:r>
    </w:p>
    <w:p w:rsidR="005C7FE0" w:rsidRPr="00664ACF" w:rsidRDefault="00DB7533">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664ACF">
        <w:rPr>
          <w:rFonts w:ascii="Palatino Linotype" w:eastAsia="Palatino Linotype" w:hAnsi="Palatino Linotype" w:cs="Palatino Linotype"/>
          <w:b/>
          <w:bCs/>
          <w:i/>
          <w:iCs/>
          <w:color w:val="000000"/>
        </w:rPr>
        <w:t xml:space="preserve">00007.pdf: </w:t>
      </w:r>
      <w:r w:rsidRPr="00664ACF">
        <w:rPr>
          <w:rFonts w:ascii="Palatino Linotype" w:eastAsia="Palatino Linotype" w:hAnsi="Palatino Linotype" w:cs="Palatino Linotype"/>
          <w:i/>
          <w:iCs/>
          <w:color w:val="000000"/>
        </w:rPr>
        <w:t xml:space="preserve">oficio del Director de Desarrollo Económico, mediante el cual informa que no puede entregar la información solicitada, toda vez que implica generar un documento ad hoc. </w:t>
      </w:r>
    </w:p>
    <w:p w:rsidR="005C7FE0" w:rsidRPr="00664ACF" w:rsidRDefault="005C7FE0">
      <w:pPr>
        <w:pBdr>
          <w:top w:val="nil"/>
          <w:left w:val="nil"/>
          <w:bottom w:val="nil"/>
          <w:right w:val="nil"/>
          <w:between w:val="nil"/>
        </w:pBdr>
        <w:ind w:left="1134" w:right="277"/>
        <w:jc w:val="both"/>
        <w:rPr>
          <w:rFonts w:ascii="Palatino Linotype" w:eastAsia="Palatino Linotype" w:hAnsi="Palatino Linotype" w:cs="Palatino Linotype"/>
          <w:i/>
          <w:iCs/>
          <w:color w:val="000000"/>
        </w:rPr>
      </w:pPr>
    </w:p>
    <w:p w:rsidR="005C7FE0" w:rsidRPr="00664ACF" w:rsidRDefault="00DB7533">
      <w:pPr>
        <w:numPr>
          <w:ilvl w:val="0"/>
          <w:numId w:val="2"/>
        </w:numPr>
        <w:pBdr>
          <w:top w:val="nil"/>
          <w:left w:val="nil"/>
          <w:bottom w:val="nil"/>
          <w:right w:val="nil"/>
          <w:between w:val="nil"/>
        </w:pBdr>
        <w:spacing w:line="360" w:lineRule="auto"/>
        <w:ind w:left="0" w:right="-1566" w:firstLine="0"/>
        <w:jc w:val="both"/>
        <w:rPr>
          <w:rFonts w:ascii="Palatino Linotype" w:eastAsia="Palatino Linotype" w:hAnsi="Palatino Linotype" w:cs="Palatino Linotype"/>
          <w:color w:val="000000"/>
        </w:rPr>
      </w:pPr>
      <w:r w:rsidRPr="00664ACF">
        <w:rPr>
          <w:rFonts w:ascii="Palatino Linotype" w:eastAsia="Palatino Linotype" w:hAnsi="Palatino Linotype" w:cs="Palatino Linotype"/>
          <w:color w:val="000000"/>
        </w:rPr>
        <w:t xml:space="preserve">De la respuesta proporcionada el entonces </w:t>
      </w:r>
      <w:r w:rsidRPr="00664ACF">
        <w:rPr>
          <w:rFonts w:ascii="Palatino Linotype" w:eastAsia="Palatino Linotype" w:hAnsi="Palatino Linotype" w:cs="Palatino Linotype"/>
          <w:b/>
          <w:bCs/>
          <w:color w:val="000000"/>
        </w:rPr>
        <w:t xml:space="preserve">SOLICITANTE </w:t>
      </w:r>
      <w:r w:rsidRPr="00664ACF">
        <w:rPr>
          <w:rFonts w:ascii="Palatino Linotype" w:eastAsia="Palatino Linotype" w:hAnsi="Palatino Linotype" w:cs="Palatino Linotype"/>
          <w:color w:val="000000"/>
        </w:rPr>
        <w:t xml:space="preserve">interpuso el recurso de revisión el </w:t>
      </w:r>
      <w:r w:rsidRPr="00664ACF">
        <w:rPr>
          <w:rFonts w:ascii="Palatino Linotype" w:eastAsia="Palatino Linotype" w:hAnsi="Palatino Linotype" w:cs="Palatino Linotype"/>
          <w:b/>
          <w:bCs/>
          <w:color w:val="000000"/>
        </w:rPr>
        <w:t>seis de febrero de dos mil veintiséis</w:t>
      </w:r>
      <w:r w:rsidRPr="00664ACF">
        <w:rPr>
          <w:rFonts w:ascii="Palatino Linotype" w:eastAsia="Palatino Linotype" w:hAnsi="Palatino Linotype" w:cs="Palatino Linotype"/>
          <w:color w:val="000000"/>
        </w:rPr>
        <w:t>, señalando las siguientes razones o motivos de inconformidad:</w:t>
      </w:r>
    </w:p>
    <w:p w:rsidR="005C7FE0" w:rsidRPr="00664ACF" w:rsidRDefault="005C7FE0">
      <w:pPr>
        <w:pBdr>
          <w:top w:val="nil"/>
          <w:left w:val="nil"/>
          <w:bottom w:val="nil"/>
          <w:right w:val="nil"/>
          <w:between w:val="nil"/>
        </w:pBdr>
        <w:spacing w:line="360" w:lineRule="auto"/>
        <w:ind w:right="-1566"/>
        <w:jc w:val="both"/>
        <w:rPr>
          <w:rFonts w:ascii="Palatino Linotype" w:eastAsia="Palatino Linotype" w:hAnsi="Palatino Linotype" w:cs="Palatino Linotype"/>
          <w:color w:val="000000"/>
        </w:rPr>
      </w:pPr>
    </w:p>
    <w:p w:rsidR="005C7FE0" w:rsidRPr="00664ACF" w:rsidRDefault="00DB7533">
      <w:pPr>
        <w:numPr>
          <w:ilvl w:val="0"/>
          <w:numId w:val="4"/>
        </w:numPr>
        <w:pBdr>
          <w:top w:val="nil"/>
          <w:left w:val="nil"/>
          <w:bottom w:val="nil"/>
          <w:right w:val="nil"/>
          <w:between w:val="nil"/>
        </w:pBdr>
        <w:ind w:left="1134" w:right="277" w:firstLine="0"/>
        <w:jc w:val="both"/>
        <w:rPr>
          <w:rFonts w:ascii="Palatino Linotype" w:eastAsia="Palatino Linotype" w:hAnsi="Palatino Linotype" w:cs="Palatino Linotype"/>
          <w:color w:val="000000"/>
        </w:rPr>
      </w:pPr>
      <w:bookmarkStart w:id="1" w:name="_heading=h.1fob9te" w:colFirst="0" w:colLast="0"/>
      <w:bookmarkEnd w:id="1"/>
      <w:r w:rsidRPr="00664ACF">
        <w:rPr>
          <w:rFonts w:ascii="Palatino Linotype" w:eastAsia="Palatino Linotype" w:hAnsi="Palatino Linotype" w:cs="Palatino Linotype"/>
          <w:b/>
          <w:bCs/>
          <w:color w:val="000000"/>
        </w:rPr>
        <w:t xml:space="preserve">ACTO IMPUGNADO: </w:t>
      </w:r>
      <w:r w:rsidRPr="00664ACF">
        <w:rPr>
          <w:rFonts w:ascii="Palatino Linotype" w:eastAsia="Palatino Linotype" w:hAnsi="Palatino Linotype" w:cs="Palatino Linotype"/>
          <w:i/>
          <w:iCs/>
          <w:color w:val="000000"/>
        </w:rPr>
        <w:t>“La respuesta emitida por el sujeto obligado, por considerarse incompleta, evasiva y deficientemente fundada y motivada, al no atender de manera integral la información solicitada y limitarse a negar su entrega bajo el argumento genérico de que implicaría la generación de documentos nuevos..”</w:t>
      </w:r>
    </w:p>
    <w:p w:rsidR="005C7FE0" w:rsidRPr="00664ACF" w:rsidRDefault="005C7FE0">
      <w:pPr>
        <w:pBdr>
          <w:top w:val="nil"/>
          <w:left w:val="nil"/>
          <w:bottom w:val="nil"/>
          <w:right w:val="nil"/>
          <w:between w:val="nil"/>
        </w:pBdr>
        <w:ind w:left="1134" w:right="277"/>
        <w:jc w:val="both"/>
        <w:rPr>
          <w:rFonts w:ascii="Palatino Linotype" w:eastAsia="Palatino Linotype" w:hAnsi="Palatino Linotype" w:cs="Palatino Linotype"/>
          <w:color w:val="000000"/>
        </w:rPr>
      </w:pPr>
    </w:p>
    <w:p w:rsidR="005C7FE0" w:rsidRPr="00664ACF" w:rsidRDefault="00DB7533">
      <w:pPr>
        <w:numPr>
          <w:ilvl w:val="0"/>
          <w:numId w:val="4"/>
        </w:numPr>
        <w:pBdr>
          <w:top w:val="nil"/>
          <w:left w:val="nil"/>
          <w:bottom w:val="nil"/>
          <w:right w:val="nil"/>
          <w:between w:val="nil"/>
        </w:pBdr>
        <w:ind w:left="1134" w:right="277" w:firstLine="0"/>
        <w:jc w:val="both"/>
        <w:rPr>
          <w:rFonts w:ascii="Palatino Linotype" w:eastAsia="Palatino Linotype" w:hAnsi="Palatino Linotype" w:cs="Palatino Linotype"/>
          <w:color w:val="000000"/>
        </w:rPr>
      </w:pPr>
      <w:bookmarkStart w:id="2" w:name="_heading=h.3znysh7" w:colFirst="0" w:colLast="0"/>
      <w:bookmarkEnd w:id="2"/>
      <w:r w:rsidRPr="00664ACF">
        <w:rPr>
          <w:rFonts w:ascii="Palatino Linotype" w:eastAsia="Palatino Linotype" w:hAnsi="Palatino Linotype" w:cs="Palatino Linotype"/>
          <w:b/>
          <w:bCs/>
          <w:color w:val="000000"/>
        </w:rPr>
        <w:t xml:space="preserve">RAZONES O MOTIVOS DE INCONFORMIDAD: </w:t>
      </w:r>
      <w:r w:rsidRPr="00664ACF">
        <w:rPr>
          <w:rFonts w:ascii="Palatino Linotype" w:eastAsia="Palatino Linotype" w:hAnsi="Palatino Linotype" w:cs="Palatino Linotype"/>
          <w:i/>
          <w:iCs/>
          <w:color w:val="000000"/>
        </w:rPr>
        <w:t xml:space="preserve">“PRIMERO. RESPUESTA INCOMPLETA RESPECTO A LA INFORMACIÓN SOLICITADA La autoridad responsable no atendió </w:t>
      </w:r>
      <w:r w:rsidRPr="00664ACF">
        <w:rPr>
          <w:rFonts w:ascii="Palatino Linotype" w:eastAsia="Palatino Linotype" w:hAnsi="Palatino Linotype" w:cs="Palatino Linotype"/>
          <w:i/>
          <w:iCs/>
          <w:color w:val="000000"/>
        </w:rPr>
        <w:lastRenderedPageBreak/>
        <w:t xml:space="preserve">de fondo la solicitud de información, ya que se limitó a señalar que no es posible proporcionar la información requerida por considerar que implicaría la elaboración de un documento “ad hoc”, sin entregar ningún listado, registro o información existente relacionada con los permisos solicitados. La suscrita solicitó expresamente el listado de establecimientos con permisos vigentes, lo cual no implica la creación de información nueva, sino la entrega de información administrativa que, por su naturaleza, debe obrar en los archivos, padrones o registros del sujeto obligado, derivada de actos administrativos previamente realizados. SEGUNDO. USO INDEBIDO DEL ARGUMENTO DE NO GENERACIÓN DE NUEVOS ARCHIVOS La autoridad invoca de manera genérica que la Ley de Transparencia no la obliga a generar documentos nuevos; sin embargo, la parte solicitante no requirió la elaboración de estudios, análisis, cruces de información ni documentos nuevos, sino únicamente el acceso a información existente derivada de permisos ya otorgados. Dicho argumento resulta improcedente, pues no se solicitó información inexistente ni la creación de documentos especiales, sino la entrega de registros administrativos que necesariamente deben existir para el ejercicio de las funciones del área responsable. TERCERO. OMISIÓN DE DECLARACIÓN FORMAL DE INEXISTENCIA En ningún momento la autoridad declaró formalmente la inexistencia de la información solicitada, ni acreditó haber realizado una búsqueda exhaustiva en sus archivos, ni sometió dicha inexistencia al Comité de Transparencia. La simple afirmación de que la información no puede entregarse por supuestamente implicar la generación de documentos nuevos no equivale a una declaración formal de inexistencia ni satisface los principios de legalidad y exhaustividad. CUARTO. DEFICIENTE FUNDAMENTACIÓN Y MOTIVACIÓN DE LA RESPUESTA La respuesta impugnada se sustenta en citas legales genéricas, sin explicar de manera clara y específica por qué, en el caso concreto, no es posible entregar la información solicitada, ni justificar por qué los registros de permisos vigentes no obran en los archivos del sujeto obligado. Dicha deficiencia vulnera los principios de máxima publicidad, exhaustividad y debida motivación que rigen el derecho de acceso a la información pública. PETICIÓN Se solicita al </w:t>
      </w:r>
      <w:r w:rsidRPr="00664ACF">
        <w:rPr>
          <w:rFonts w:ascii="Palatino Linotype" w:eastAsia="Palatino Linotype" w:hAnsi="Palatino Linotype" w:cs="Palatino Linotype"/>
          <w:i/>
          <w:iCs/>
          <w:color w:val="000000"/>
        </w:rPr>
        <w:lastRenderedPageBreak/>
        <w:t>órgano garante revoque o modifique la respuesta impugnada y ordene al sujeto obligado emitir una nueva respuesta, atendiendo de manera puntual la totalidad de la información solicitada o, en su caso, fundar y motivar debidamente cualquier negativa o declarar formalmente la inexistencia conforme a la ley.”</w:t>
      </w:r>
    </w:p>
    <w:p w:rsidR="005C7FE0" w:rsidRPr="00664ACF" w:rsidRDefault="005C7FE0">
      <w:pPr>
        <w:ind w:right="-1566"/>
        <w:jc w:val="both"/>
        <w:rPr>
          <w:rFonts w:ascii="Palatino Linotype" w:eastAsia="Palatino Linotype" w:hAnsi="Palatino Linotype" w:cs="Palatino Linotype"/>
          <w:b/>
          <w:bCs/>
          <w:i/>
          <w:iCs/>
          <w:color w:val="000000"/>
        </w:rPr>
      </w:pPr>
    </w:p>
    <w:p w:rsidR="005C7FE0" w:rsidRPr="00664ACF" w:rsidRDefault="00DB7533">
      <w:pPr>
        <w:numPr>
          <w:ilvl w:val="0"/>
          <w:numId w:val="2"/>
        </w:numPr>
        <w:pBdr>
          <w:top w:val="nil"/>
          <w:left w:val="nil"/>
          <w:bottom w:val="nil"/>
          <w:right w:val="nil"/>
          <w:between w:val="nil"/>
        </w:pBdr>
        <w:spacing w:line="360" w:lineRule="auto"/>
        <w:ind w:left="0" w:right="-1566" w:firstLine="0"/>
        <w:jc w:val="both"/>
        <w:rPr>
          <w:rFonts w:ascii="Palatino Linotype" w:eastAsia="Palatino Linotype" w:hAnsi="Palatino Linotype" w:cs="Palatino Linotype"/>
          <w:color w:val="000000"/>
        </w:rPr>
      </w:pPr>
      <w:r w:rsidRPr="00664ACF">
        <w:rPr>
          <w:rFonts w:ascii="Palatino Linotype" w:eastAsia="Palatino Linotype" w:hAnsi="Palatino Linotype" w:cs="Palatino Linotype"/>
          <w:color w:val="000000"/>
        </w:rPr>
        <w:t>Consecutivamente</w:t>
      </w:r>
      <w:r w:rsidRPr="00664ACF">
        <w:rPr>
          <w:rFonts w:ascii="Palatino Linotype" w:eastAsia="Palatino Linotype" w:hAnsi="Palatino Linotype" w:cs="Palatino Linotype"/>
          <w:i/>
          <w:iCs/>
          <w:color w:val="000000"/>
        </w:rPr>
        <w:t xml:space="preserve">, </w:t>
      </w:r>
      <w:r w:rsidRPr="00664ACF">
        <w:rPr>
          <w:rFonts w:ascii="Palatino Linotype" w:eastAsia="Palatino Linotype" w:hAnsi="Palatino Linotype" w:cs="Palatino Linotype"/>
          <w:color w:val="000000"/>
        </w:rPr>
        <w:t xml:space="preserve">con fundamento en lo dispuesto por el artículo 185 fracción I de la Ley de Transparencia y Acceso a la Información Pública del Estado de México y Municipios, el recurso fue turnado a la ponencia de la </w:t>
      </w:r>
      <w:r w:rsidRPr="00664ACF">
        <w:rPr>
          <w:rFonts w:ascii="Palatino Linotype" w:eastAsia="Palatino Linotype" w:hAnsi="Palatino Linotype" w:cs="Palatino Linotype"/>
          <w:b/>
          <w:bCs/>
          <w:color w:val="000000"/>
        </w:rPr>
        <w:t>Comisionada</w:t>
      </w:r>
      <w:r w:rsidRPr="00664ACF">
        <w:rPr>
          <w:rFonts w:ascii="Palatino Linotype" w:eastAsia="Palatino Linotype" w:hAnsi="Palatino Linotype" w:cs="Palatino Linotype"/>
          <w:color w:val="000000"/>
        </w:rPr>
        <w:t xml:space="preserve"> </w:t>
      </w:r>
      <w:r w:rsidRPr="00664ACF">
        <w:rPr>
          <w:rFonts w:ascii="Palatino Linotype" w:eastAsia="Palatino Linotype" w:hAnsi="Palatino Linotype" w:cs="Palatino Linotype"/>
          <w:b/>
          <w:bCs/>
          <w:color w:val="000000"/>
        </w:rPr>
        <w:t>María del Rosario Mejía Ayala</w:t>
      </w:r>
      <w:r w:rsidRPr="00664ACF">
        <w:rPr>
          <w:rFonts w:ascii="Palatino Linotype" w:eastAsia="Palatino Linotype" w:hAnsi="Palatino Linotype" w:cs="Palatino Linotype"/>
          <w:color w:val="000000"/>
        </w:rPr>
        <w:t>,</w:t>
      </w:r>
      <w:r w:rsidRPr="00664ACF">
        <w:rPr>
          <w:rFonts w:ascii="Palatino Linotype" w:eastAsia="Palatino Linotype" w:hAnsi="Palatino Linotype" w:cs="Palatino Linotype"/>
          <w:b/>
          <w:bCs/>
          <w:color w:val="000000"/>
        </w:rPr>
        <w:t xml:space="preserve"> </w:t>
      </w:r>
      <w:r w:rsidRPr="00664ACF">
        <w:rPr>
          <w:rFonts w:ascii="Palatino Linotype" w:eastAsia="Palatino Linotype" w:hAnsi="Palatino Linotype" w:cs="Palatino Linotype"/>
          <w:color w:val="000000"/>
        </w:rPr>
        <w:t>para su análisis.</w:t>
      </w:r>
    </w:p>
    <w:p w:rsidR="005C7FE0" w:rsidRPr="00664ACF" w:rsidRDefault="005C7FE0">
      <w:pPr>
        <w:pBdr>
          <w:top w:val="nil"/>
          <w:left w:val="nil"/>
          <w:bottom w:val="nil"/>
          <w:right w:val="nil"/>
          <w:between w:val="nil"/>
        </w:pBdr>
        <w:spacing w:line="360" w:lineRule="auto"/>
        <w:ind w:right="-1566"/>
        <w:jc w:val="both"/>
        <w:rPr>
          <w:rFonts w:ascii="Palatino Linotype" w:eastAsia="Palatino Linotype" w:hAnsi="Palatino Linotype" w:cs="Palatino Linotype"/>
          <w:color w:val="000000"/>
        </w:rPr>
      </w:pPr>
    </w:p>
    <w:p w:rsidR="005C7FE0" w:rsidRPr="00664ACF" w:rsidRDefault="00DB7533">
      <w:pPr>
        <w:numPr>
          <w:ilvl w:val="0"/>
          <w:numId w:val="2"/>
        </w:numPr>
        <w:pBdr>
          <w:top w:val="nil"/>
          <w:left w:val="nil"/>
          <w:bottom w:val="nil"/>
          <w:right w:val="nil"/>
          <w:between w:val="nil"/>
        </w:pBdr>
        <w:spacing w:line="360" w:lineRule="auto"/>
        <w:ind w:left="0" w:right="-1566" w:firstLine="0"/>
        <w:jc w:val="both"/>
        <w:rPr>
          <w:rFonts w:ascii="Palatino Linotype" w:eastAsia="Palatino Linotype" w:hAnsi="Palatino Linotype" w:cs="Palatino Linotype"/>
          <w:color w:val="000000"/>
        </w:rPr>
      </w:pPr>
      <w:r w:rsidRPr="00664ACF">
        <w:rPr>
          <w:rFonts w:ascii="Palatino Linotype" w:eastAsia="Palatino Linotype" w:hAnsi="Palatino Linotype" w:cs="Palatino Linotype"/>
          <w:color w:val="000000"/>
        </w:rPr>
        <w:t xml:space="preserve">La Comisionada ponente con fundamento en lo dispuesto por el artículo 185 fracción II de la ley de la materia, a través del </w:t>
      </w:r>
      <w:r w:rsidRPr="00664ACF">
        <w:rPr>
          <w:rFonts w:ascii="Palatino Linotype" w:eastAsia="Palatino Linotype" w:hAnsi="Palatino Linotype" w:cs="Palatino Linotype"/>
          <w:b/>
          <w:bCs/>
          <w:color w:val="000000"/>
        </w:rPr>
        <w:t xml:space="preserve">acuerdo de admisión </w:t>
      </w:r>
      <w:r w:rsidRPr="00664ACF">
        <w:rPr>
          <w:rFonts w:ascii="Palatino Linotype" w:eastAsia="Palatino Linotype" w:hAnsi="Palatino Linotype" w:cs="Palatino Linotype"/>
          <w:color w:val="000000"/>
        </w:rPr>
        <w:t xml:space="preserve">del </w:t>
      </w:r>
      <w:r w:rsidRPr="00664ACF">
        <w:rPr>
          <w:rFonts w:ascii="Palatino Linotype" w:eastAsia="Palatino Linotype" w:hAnsi="Palatino Linotype" w:cs="Palatino Linotype"/>
          <w:b/>
          <w:bCs/>
          <w:color w:val="000000"/>
        </w:rPr>
        <w:t xml:space="preserve">nueve de febrero de dos mil veintiséis, </w:t>
      </w:r>
      <w:r w:rsidRPr="00664ACF">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sidRPr="00664ACF">
        <w:rPr>
          <w:rFonts w:ascii="Palatino Linotype" w:eastAsia="Palatino Linotype" w:hAnsi="Palatino Linotype" w:cs="Palatino Linotype"/>
        </w:rPr>
        <w:t>manifestara</w:t>
      </w:r>
      <w:r w:rsidRPr="00664ACF">
        <w:rPr>
          <w:rFonts w:ascii="Palatino Linotype" w:eastAsia="Palatino Linotype" w:hAnsi="Palatino Linotype" w:cs="Palatino Linotype"/>
          <w:color w:val="000000"/>
        </w:rPr>
        <w:t xml:space="preserve"> lo que a su derecho conviniera, </w:t>
      </w:r>
      <w:r w:rsidRPr="00664ACF">
        <w:rPr>
          <w:rFonts w:ascii="Palatino Linotype" w:eastAsia="Palatino Linotype" w:hAnsi="Palatino Linotype" w:cs="Palatino Linotype"/>
        </w:rPr>
        <w:t>ofreciera</w:t>
      </w:r>
      <w:r w:rsidRPr="00664ACF">
        <w:rPr>
          <w:rFonts w:ascii="Palatino Linotype" w:eastAsia="Palatino Linotype" w:hAnsi="Palatino Linotype" w:cs="Palatino Linotype"/>
          <w:color w:val="000000"/>
        </w:rPr>
        <w:t xml:space="preserve"> pruebas y alegatos según corresponda al caso concreto, de esta forma para que el </w:t>
      </w:r>
      <w:r w:rsidRPr="00664ACF">
        <w:rPr>
          <w:rFonts w:ascii="Palatino Linotype" w:eastAsia="Palatino Linotype" w:hAnsi="Palatino Linotype" w:cs="Palatino Linotype"/>
          <w:b/>
          <w:bCs/>
          <w:color w:val="000000"/>
        </w:rPr>
        <w:t xml:space="preserve">SUJETO OBLIGADO </w:t>
      </w:r>
      <w:r w:rsidRPr="00664ACF">
        <w:rPr>
          <w:rFonts w:ascii="Palatino Linotype" w:eastAsia="Palatino Linotype" w:hAnsi="Palatino Linotype" w:cs="Palatino Linotype"/>
        </w:rPr>
        <w:t>presentará</w:t>
      </w:r>
      <w:r w:rsidRPr="00664ACF">
        <w:rPr>
          <w:rFonts w:ascii="Palatino Linotype" w:eastAsia="Palatino Linotype" w:hAnsi="Palatino Linotype" w:cs="Palatino Linotype"/>
          <w:color w:val="000000"/>
        </w:rPr>
        <w:t xml:space="preserve"> el Informe Justificado procedente.</w:t>
      </w:r>
    </w:p>
    <w:p w:rsidR="005C7FE0" w:rsidRPr="00664ACF" w:rsidRDefault="005C7FE0">
      <w:pPr>
        <w:pBdr>
          <w:top w:val="nil"/>
          <w:left w:val="nil"/>
          <w:bottom w:val="nil"/>
          <w:right w:val="nil"/>
          <w:between w:val="nil"/>
        </w:pBdr>
        <w:ind w:left="708" w:right="-1566"/>
        <w:rPr>
          <w:rFonts w:ascii="Palatino Linotype" w:eastAsia="Palatino Linotype" w:hAnsi="Palatino Linotype" w:cs="Palatino Linotype"/>
          <w:color w:val="000000"/>
        </w:rPr>
      </w:pPr>
    </w:p>
    <w:p w:rsidR="005C7FE0" w:rsidRPr="00664ACF" w:rsidRDefault="00DB7533">
      <w:pPr>
        <w:numPr>
          <w:ilvl w:val="0"/>
          <w:numId w:val="2"/>
        </w:numPr>
        <w:pBdr>
          <w:top w:val="nil"/>
          <w:left w:val="nil"/>
          <w:bottom w:val="nil"/>
          <w:right w:val="nil"/>
          <w:between w:val="nil"/>
        </w:pBdr>
        <w:spacing w:line="360" w:lineRule="auto"/>
        <w:ind w:left="0" w:right="-1566" w:firstLine="0"/>
        <w:jc w:val="both"/>
        <w:rPr>
          <w:rFonts w:ascii="Palatino Linotype" w:eastAsia="Palatino Linotype" w:hAnsi="Palatino Linotype" w:cs="Palatino Linotype"/>
          <w:color w:val="000000"/>
        </w:rPr>
      </w:pPr>
      <w:r w:rsidRPr="00664ACF">
        <w:rPr>
          <w:rFonts w:ascii="Palatino Linotype" w:eastAsia="Palatino Linotype" w:hAnsi="Palatino Linotype" w:cs="Palatino Linotype"/>
          <w:color w:val="000000"/>
        </w:rPr>
        <w:t xml:space="preserve">En esa línea, tal y como se observa en el expediente electrónico el </w:t>
      </w:r>
      <w:r w:rsidRPr="00664ACF">
        <w:rPr>
          <w:rFonts w:ascii="Palatino Linotype" w:eastAsia="Palatino Linotype" w:hAnsi="Palatino Linotype" w:cs="Palatino Linotype"/>
          <w:b/>
          <w:bCs/>
          <w:color w:val="000000"/>
        </w:rPr>
        <w:t xml:space="preserve">dieciocho de febrero de dos mil veintiséis, </w:t>
      </w:r>
      <w:r w:rsidRPr="00664ACF">
        <w:rPr>
          <w:rFonts w:ascii="Palatino Linotype" w:eastAsia="Palatino Linotype" w:hAnsi="Palatino Linotype" w:cs="Palatino Linotype"/>
          <w:color w:val="000000"/>
        </w:rPr>
        <w:t xml:space="preserve">el </w:t>
      </w:r>
      <w:r w:rsidRPr="00664ACF">
        <w:rPr>
          <w:rFonts w:ascii="Palatino Linotype" w:eastAsia="Palatino Linotype" w:hAnsi="Palatino Linotype" w:cs="Palatino Linotype"/>
          <w:b/>
          <w:bCs/>
          <w:color w:val="000000"/>
        </w:rPr>
        <w:t xml:space="preserve">SUJETO OBLIGADO </w:t>
      </w:r>
      <w:r w:rsidRPr="00664ACF">
        <w:rPr>
          <w:rFonts w:ascii="Palatino Linotype" w:eastAsia="Palatino Linotype" w:hAnsi="Palatino Linotype" w:cs="Palatino Linotype"/>
        </w:rPr>
        <w:t>entregó</w:t>
      </w:r>
      <w:r w:rsidRPr="00664ACF">
        <w:rPr>
          <w:rFonts w:ascii="Palatino Linotype" w:eastAsia="Palatino Linotype" w:hAnsi="Palatino Linotype" w:cs="Palatino Linotype"/>
          <w:color w:val="000000"/>
        </w:rPr>
        <w:t xml:space="preserve"> un archivo electrónico en formato pdf, cuyo contenido grosso modo es el siguiente. </w:t>
      </w:r>
    </w:p>
    <w:p w:rsidR="005C7FE0" w:rsidRPr="00664ACF" w:rsidRDefault="00DB7533">
      <w:pPr>
        <w:pBdr>
          <w:top w:val="nil"/>
          <w:left w:val="nil"/>
          <w:bottom w:val="nil"/>
          <w:right w:val="nil"/>
          <w:between w:val="nil"/>
        </w:pBdr>
        <w:ind w:left="709" w:right="-857"/>
        <w:jc w:val="both"/>
        <w:rPr>
          <w:rFonts w:ascii="Palatino Linotype" w:eastAsia="Palatino Linotype" w:hAnsi="Palatino Linotype" w:cs="Palatino Linotype"/>
          <w:i/>
          <w:iCs/>
        </w:rPr>
      </w:pPr>
      <w:r w:rsidRPr="00664ACF">
        <w:rPr>
          <w:rFonts w:ascii="Palatino Linotype" w:eastAsia="Palatino Linotype" w:hAnsi="Palatino Linotype" w:cs="Palatino Linotype"/>
          <w:b/>
          <w:bCs/>
          <w:i/>
          <w:iCs/>
        </w:rPr>
        <w:t xml:space="preserve"> 01653 REC REV.pdf: </w:t>
      </w:r>
      <w:r w:rsidRPr="00664ACF">
        <w:rPr>
          <w:rFonts w:ascii="Palatino Linotype" w:eastAsia="Palatino Linotype" w:hAnsi="Palatino Linotype" w:cs="Palatino Linotype"/>
          <w:i/>
          <w:iCs/>
        </w:rPr>
        <w:t xml:space="preserve">oficio del Director de Desarrollo Económico, mediante el cual ratifica la respuesta inicial. </w:t>
      </w:r>
    </w:p>
    <w:p w:rsidR="005C7FE0" w:rsidRPr="00664ACF" w:rsidRDefault="005C7FE0">
      <w:pPr>
        <w:pBdr>
          <w:top w:val="nil"/>
          <w:left w:val="nil"/>
          <w:bottom w:val="nil"/>
          <w:right w:val="nil"/>
          <w:between w:val="nil"/>
        </w:pBdr>
        <w:ind w:left="1134" w:right="-1566"/>
        <w:jc w:val="both"/>
        <w:rPr>
          <w:rFonts w:ascii="Palatino Linotype" w:eastAsia="Palatino Linotype" w:hAnsi="Palatino Linotype" w:cs="Palatino Linotype"/>
          <w:i/>
          <w:iCs/>
        </w:rPr>
      </w:pPr>
    </w:p>
    <w:p w:rsidR="005C7FE0" w:rsidRPr="00664ACF" w:rsidRDefault="00DB7533">
      <w:pPr>
        <w:numPr>
          <w:ilvl w:val="0"/>
          <w:numId w:val="2"/>
        </w:numPr>
        <w:pBdr>
          <w:top w:val="nil"/>
          <w:left w:val="nil"/>
          <w:bottom w:val="nil"/>
          <w:right w:val="nil"/>
          <w:between w:val="nil"/>
        </w:pBdr>
        <w:spacing w:line="360" w:lineRule="auto"/>
        <w:ind w:left="0" w:right="-1566" w:firstLine="0"/>
        <w:jc w:val="both"/>
        <w:rPr>
          <w:rFonts w:ascii="Palatino Linotype" w:eastAsia="Palatino Linotype" w:hAnsi="Palatino Linotype" w:cs="Palatino Linotype"/>
          <w:b/>
          <w:bCs/>
          <w:color w:val="000000"/>
        </w:rPr>
      </w:pPr>
      <w:r w:rsidRPr="00664ACF">
        <w:rPr>
          <w:rFonts w:ascii="Palatino Linotype" w:eastAsia="Palatino Linotype" w:hAnsi="Palatino Linotype" w:cs="Palatino Linotype"/>
          <w:color w:val="000000"/>
        </w:rPr>
        <w:t xml:space="preserve">Por su parte el </w:t>
      </w:r>
      <w:r w:rsidRPr="00664ACF">
        <w:rPr>
          <w:rFonts w:ascii="Palatino Linotype" w:eastAsia="Palatino Linotype" w:hAnsi="Palatino Linotype" w:cs="Palatino Linotype"/>
          <w:b/>
          <w:bCs/>
          <w:color w:val="000000"/>
        </w:rPr>
        <w:t xml:space="preserve">RECURRENTE </w:t>
      </w:r>
      <w:r w:rsidRPr="00664ACF">
        <w:rPr>
          <w:rFonts w:ascii="Palatino Linotype" w:eastAsia="Palatino Linotype" w:hAnsi="Palatino Linotype" w:cs="Palatino Linotype"/>
        </w:rPr>
        <w:t>dejó de realizar manifestaciones</w:t>
      </w:r>
      <w:r w:rsidRPr="00664ACF">
        <w:rPr>
          <w:rFonts w:ascii="Palatino Linotype" w:eastAsia="Palatino Linotype" w:hAnsi="Palatino Linotype" w:cs="Palatino Linotype"/>
          <w:color w:val="000000"/>
        </w:rPr>
        <w:t xml:space="preserve"> que a su derecho conviniera y asistiera </w:t>
      </w:r>
    </w:p>
    <w:p w:rsidR="005C7FE0" w:rsidRPr="00664ACF" w:rsidRDefault="005C7FE0">
      <w:pPr>
        <w:pBdr>
          <w:top w:val="nil"/>
          <w:left w:val="nil"/>
          <w:bottom w:val="nil"/>
          <w:right w:val="nil"/>
          <w:between w:val="nil"/>
        </w:pBdr>
        <w:spacing w:line="360" w:lineRule="auto"/>
        <w:ind w:right="-1566"/>
        <w:jc w:val="both"/>
        <w:rPr>
          <w:rFonts w:ascii="Palatino Linotype" w:eastAsia="Palatino Linotype" w:hAnsi="Palatino Linotype" w:cs="Palatino Linotype"/>
          <w:b/>
          <w:bCs/>
          <w:color w:val="000000"/>
        </w:rPr>
      </w:pPr>
    </w:p>
    <w:p w:rsidR="005C7FE0" w:rsidRPr="00664ACF" w:rsidRDefault="00DB7533">
      <w:pPr>
        <w:numPr>
          <w:ilvl w:val="0"/>
          <w:numId w:val="2"/>
        </w:numPr>
        <w:pBdr>
          <w:top w:val="nil"/>
          <w:left w:val="nil"/>
          <w:bottom w:val="nil"/>
          <w:right w:val="nil"/>
          <w:between w:val="nil"/>
        </w:pBdr>
        <w:spacing w:line="360" w:lineRule="auto"/>
        <w:ind w:left="0" w:right="-1566" w:firstLine="0"/>
        <w:jc w:val="both"/>
        <w:rPr>
          <w:rFonts w:ascii="Palatino Linotype" w:eastAsia="Palatino Linotype" w:hAnsi="Palatino Linotype" w:cs="Palatino Linotype"/>
          <w:color w:val="000000"/>
        </w:rPr>
      </w:pPr>
      <w:r w:rsidRPr="00664ACF">
        <w:rPr>
          <w:rFonts w:ascii="Palatino Linotype" w:eastAsia="Palatino Linotype" w:hAnsi="Palatino Linotype" w:cs="Palatino Linotype"/>
          <w:color w:val="000000"/>
        </w:rPr>
        <w:lastRenderedPageBreak/>
        <w:t xml:space="preserve">El </w:t>
      </w:r>
      <w:r w:rsidRPr="00664ACF">
        <w:rPr>
          <w:rFonts w:ascii="Palatino Linotype" w:eastAsia="Palatino Linotype" w:hAnsi="Palatino Linotype" w:cs="Palatino Linotype"/>
          <w:b/>
          <w:bCs/>
          <w:color w:val="000000"/>
        </w:rPr>
        <w:t>cinco de marzo  de dos mil veintiséis</w:t>
      </w:r>
      <w:r w:rsidRPr="00664ACF">
        <w:rPr>
          <w:rFonts w:ascii="Palatino Linotype" w:eastAsia="Palatino Linotype" w:hAnsi="Palatino Linotype" w:cs="Palatino Linotype"/>
          <w:color w:val="000000"/>
        </w:rPr>
        <w:t xml:space="preserve">, la Comisionada ponente notificó el </w:t>
      </w:r>
      <w:r w:rsidRPr="00664ACF">
        <w:rPr>
          <w:rFonts w:ascii="Palatino Linotype" w:eastAsia="Palatino Linotype" w:hAnsi="Palatino Linotype" w:cs="Palatino Linotype"/>
          <w:b/>
          <w:bCs/>
          <w:color w:val="000000"/>
        </w:rPr>
        <w:t>acuerdo de ampliación</w:t>
      </w:r>
      <w:r w:rsidRPr="00664ACF">
        <w:rPr>
          <w:rFonts w:ascii="Palatino Linotype" w:eastAsia="Palatino Linotype" w:hAnsi="Palatino Linotype" w:cs="Palatino Linotype"/>
          <w:color w:val="000000"/>
        </w:rPr>
        <w:t xml:space="preserve"> de plazo para emitir resolución.  </w:t>
      </w:r>
    </w:p>
    <w:p w:rsidR="005C7FE0" w:rsidRPr="00664ACF" w:rsidRDefault="005C7FE0">
      <w:pPr>
        <w:pBdr>
          <w:top w:val="nil"/>
          <w:left w:val="nil"/>
          <w:bottom w:val="nil"/>
          <w:right w:val="nil"/>
          <w:between w:val="nil"/>
        </w:pBdr>
        <w:spacing w:line="360" w:lineRule="auto"/>
        <w:ind w:right="-1566"/>
        <w:jc w:val="both"/>
        <w:rPr>
          <w:rFonts w:ascii="Palatino Linotype" w:eastAsia="Palatino Linotype" w:hAnsi="Palatino Linotype" w:cs="Palatino Linotype"/>
          <w:b/>
          <w:bCs/>
          <w:color w:val="000000"/>
        </w:rPr>
      </w:pPr>
    </w:p>
    <w:p w:rsidR="005C7FE0" w:rsidRPr="00664ACF" w:rsidRDefault="00DB7533">
      <w:pPr>
        <w:numPr>
          <w:ilvl w:val="0"/>
          <w:numId w:val="2"/>
        </w:numPr>
        <w:pBdr>
          <w:top w:val="nil"/>
          <w:left w:val="nil"/>
          <w:bottom w:val="nil"/>
          <w:right w:val="nil"/>
          <w:between w:val="nil"/>
        </w:pBdr>
        <w:spacing w:line="360" w:lineRule="auto"/>
        <w:ind w:left="0" w:right="-1566" w:firstLine="0"/>
        <w:jc w:val="both"/>
        <w:rPr>
          <w:rFonts w:ascii="Palatino Linotype" w:eastAsia="Palatino Linotype" w:hAnsi="Palatino Linotype" w:cs="Palatino Linotype"/>
          <w:b/>
          <w:bCs/>
          <w:color w:val="000000"/>
        </w:rPr>
      </w:pPr>
      <w:bookmarkStart w:id="3" w:name="_heading=h.2et92p0" w:colFirst="0" w:colLast="0"/>
      <w:bookmarkEnd w:id="3"/>
      <w:r w:rsidRPr="00664ACF">
        <w:rPr>
          <w:rFonts w:ascii="Palatino Linotype" w:eastAsia="Palatino Linotype" w:hAnsi="Palatino Linotype" w:cs="Palatino Linotype"/>
          <w:color w:val="000000"/>
        </w:rPr>
        <w:t>Finalmente, la Comisionada Ponente mediante acuerdo de fecha</w:t>
      </w:r>
      <w:r w:rsidRPr="00664ACF">
        <w:rPr>
          <w:rFonts w:ascii="Palatino Linotype" w:eastAsia="Palatino Linotype" w:hAnsi="Palatino Linotype" w:cs="Palatino Linotype"/>
          <w:b/>
          <w:bCs/>
          <w:color w:val="000000"/>
        </w:rPr>
        <w:t xml:space="preserve"> </w:t>
      </w:r>
      <w:r w:rsidRPr="00664ACF">
        <w:rPr>
          <w:rFonts w:ascii="Palatino Linotype" w:eastAsia="Palatino Linotype" w:hAnsi="Palatino Linotype" w:cs="Palatino Linotype"/>
          <w:b/>
          <w:bCs/>
          <w:color w:val="000000"/>
          <w:highlight w:val="white"/>
        </w:rPr>
        <w:t xml:space="preserve"> once de marzo de dos mil veintiséis</w:t>
      </w:r>
      <w:r w:rsidRPr="00664ACF">
        <w:rPr>
          <w:rFonts w:ascii="Palatino Linotype" w:eastAsia="Palatino Linotype" w:hAnsi="Palatino Linotype" w:cs="Palatino Linotype"/>
          <w:color w:val="000000"/>
          <w:highlight w:val="white"/>
        </w:rPr>
        <w:t>, decretó el cierre de instrucción d</w:t>
      </w:r>
      <w:r w:rsidRPr="00664ACF">
        <w:rPr>
          <w:rFonts w:ascii="Palatino Linotype" w:eastAsia="Palatino Linotype" w:hAnsi="Palatino Linotype" w:cs="Palatino Linotype"/>
          <w:color w:val="000000"/>
        </w:rPr>
        <w:t>e los expedientes, por lo que no habiendo más que hacer constar, y</w:t>
      </w:r>
    </w:p>
    <w:p w:rsidR="005C7FE0" w:rsidRPr="00664ACF" w:rsidRDefault="005C7FE0">
      <w:pPr>
        <w:pBdr>
          <w:top w:val="nil"/>
          <w:left w:val="nil"/>
          <w:bottom w:val="nil"/>
          <w:right w:val="nil"/>
          <w:between w:val="nil"/>
        </w:pBdr>
        <w:spacing w:line="360" w:lineRule="auto"/>
        <w:ind w:right="-1566"/>
        <w:jc w:val="both"/>
        <w:rPr>
          <w:rFonts w:ascii="Palatino Linotype" w:eastAsia="Palatino Linotype" w:hAnsi="Palatino Linotype" w:cs="Palatino Linotype"/>
        </w:rPr>
      </w:pPr>
      <w:bookmarkStart w:id="4" w:name="_heading=h.162m1m3fkzl6" w:colFirst="0" w:colLast="0"/>
      <w:bookmarkEnd w:id="4"/>
    </w:p>
    <w:p w:rsidR="005C7FE0" w:rsidRPr="00664ACF" w:rsidRDefault="00DB7533">
      <w:pPr>
        <w:pBdr>
          <w:top w:val="nil"/>
          <w:left w:val="nil"/>
          <w:bottom w:val="nil"/>
          <w:right w:val="nil"/>
          <w:between w:val="nil"/>
        </w:pBdr>
        <w:spacing w:line="360" w:lineRule="auto"/>
        <w:ind w:right="-1566"/>
        <w:jc w:val="center"/>
        <w:rPr>
          <w:rFonts w:ascii="Palatino Linotype" w:eastAsia="Palatino Linotype" w:hAnsi="Palatino Linotype" w:cs="Palatino Linotype"/>
          <w:b/>
          <w:bCs/>
          <w:color w:val="000000"/>
        </w:rPr>
      </w:pPr>
      <w:r w:rsidRPr="00664ACF">
        <w:rPr>
          <w:rFonts w:ascii="Palatino Linotype" w:eastAsia="Palatino Linotype" w:hAnsi="Palatino Linotype" w:cs="Palatino Linotype"/>
          <w:b/>
          <w:bCs/>
          <w:color w:val="000000"/>
        </w:rPr>
        <w:t xml:space="preserve">C O N S I D E R A N D O </w:t>
      </w:r>
    </w:p>
    <w:p w:rsidR="005C7FE0" w:rsidRPr="00664ACF" w:rsidRDefault="00DB7533">
      <w:pPr>
        <w:pStyle w:val="Ttulo2"/>
        <w:spacing w:before="0" w:line="360" w:lineRule="auto"/>
        <w:ind w:right="-1566"/>
        <w:rPr>
          <w:rFonts w:ascii="Palatino Linotype" w:eastAsia="Palatino Linotype" w:hAnsi="Palatino Linotype" w:cs="Palatino Linotype"/>
          <w:b/>
          <w:bCs/>
          <w:color w:val="000000"/>
          <w:sz w:val="24"/>
          <w:szCs w:val="24"/>
        </w:rPr>
      </w:pPr>
      <w:bookmarkStart w:id="5" w:name="_heading=h.tyjcwt" w:colFirst="0" w:colLast="0"/>
      <w:bookmarkEnd w:id="5"/>
      <w:r w:rsidRPr="00664ACF">
        <w:rPr>
          <w:rFonts w:ascii="Palatino Linotype" w:eastAsia="Palatino Linotype" w:hAnsi="Palatino Linotype" w:cs="Palatino Linotype"/>
          <w:b/>
          <w:bCs/>
          <w:color w:val="000000"/>
          <w:sz w:val="24"/>
          <w:szCs w:val="24"/>
        </w:rPr>
        <w:t>PRIMERO. De la competencia</w:t>
      </w:r>
    </w:p>
    <w:p w:rsidR="005C7FE0" w:rsidRDefault="00DB7533">
      <w:pPr>
        <w:numPr>
          <w:ilvl w:val="0"/>
          <w:numId w:val="2"/>
        </w:numPr>
        <w:pBdr>
          <w:top w:val="nil"/>
          <w:left w:val="nil"/>
          <w:bottom w:val="nil"/>
          <w:right w:val="nil"/>
          <w:between w:val="nil"/>
        </w:pBdr>
        <w:spacing w:line="360" w:lineRule="auto"/>
        <w:ind w:left="0" w:right="-1566" w:firstLine="0"/>
        <w:jc w:val="both"/>
        <w:rPr>
          <w:rFonts w:ascii="Palatino Linotype" w:eastAsia="Palatino Linotype" w:hAnsi="Palatino Linotype" w:cs="Palatino Linotype"/>
          <w:color w:val="000000"/>
        </w:rPr>
      </w:pPr>
      <w:bookmarkStart w:id="6" w:name="_heading=h.3dy6vkm" w:colFirst="0" w:colLast="0"/>
      <w:bookmarkEnd w:id="6"/>
      <w:r w:rsidRPr="00664ACF">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C10C98" w:rsidRDefault="00C10C98" w:rsidP="00C10C98">
      <w:pPr>
        <w:pBdr>
          <w:top w:val="nil"/>
          <w:left w:val="nil"/>
          <w:bottom w:val="nil"/>
          <w:right w:val="nil"/>
          <w:between w:val="nil"/>
        </w:pBdr>
        <w:spacing w:line="360" w:lineRule="auto"/>
        <w:ind w:right="-1566"/>
        <w:jc w:val="both"/>
        <w:rPr>
          <w:rFonts w:ascii="Palatino Linotype" w:eastAsia="Palatino Linotype" w:hAnsi="Palatino Linotype" w:cs="Palatino Linotype"/>
          <w:color w:val="000000"/>
        </w:rPr>
      </w:pPr>
    </w:p>
    <w:p w:rsidR="005C7FE0" w:rsidRPr="00664ACF" w:rsidRDefault="00DB7533">
      <w:pPr>
        <w:pBdr>
          <w:top w:val="nil"/>
          <w:left w:val="nil"/>
          <w:bottom w:val="nil"/>
          <w:right w:val="nil"/>
          <w:between w:val="nil"/>
        </w:pBdr>
        <w:tabs>
          <w:tab w:val="left" w:pos="426"/>
        </w:tabs>
        <w:spacing w:line="360" w:lineRule="auto"/>
        <w:ind w:right="-1566"/>
        <w:jc w:val="both"/>
        <w:rPr>
          <w:rFonts w:ascii="Palatino Linotype" w:eastAsia="Palatino Linotype" w:hAnsi="Palatino Linotype" w:cs="Palatino Linotype"/>
          <w:b/>
          <w:bCs/>
          <w:color w:val="000000"/>
        </w:rPr>
      </w:pPr>
      <w:bookmarkStart w:id="7" w:name="_heading=h.1t3h5sf" w:colFirst="0" w:colLast="0"/>
      <w:bookmarkEnd w:id="7"/>
      <w:r w:rsidRPr="00664ACF">
        <w:rPr>
          <w:rFonts w:ascii="Palatino Linotype" w:eastAsia="Palatino Linotype" w:hAnsi="Palatino Linotype" w:cs="Palatino Linotype"/>
          <w:b/>
          <w:bCs/>
          <w:color w:val="000000"/>
        </w:rPr>
        <w:t>SEGUNDO. De la oportunidad y procedencia.</w:t>
      </w:r>
    </w:p>
    <w:p w:rsidR="005C7FE0" w:rsidRPr="00664ACF" w:rsidRDefault="00DB7533">
      <w:pPr>
        <w:numPr>
          <w:ilvl w:val="0"/>
          <w:numId w:val="2"/>
        </w:numPr>
        <w:pBdr>
          <w:top w:val="nil"/>
          <w:left w:val="nil"/>
          <w:bottom w:val="nil"/>
          <w:right w:val="nil"/>
          <w:between w:val="nil"/>
        </w:pBdr>
        <w:spacing w:line="360" w:lineRule="auto"/>
        <w:ind w:left="0" w:right="-1566" w:firstLine="0"/>
        <w:jc w:val="both"/>
        <w:rPr>
          <w:rFonts w:ascii="Palatino Linotype" w:eastAsia="Palatino Linotype" w:hAnsi="Palatino Linotype" w:cs="Palatino Linotype"/>
          <w:color w:val="000000"/>
        </w:rPr>
      </w:pPr>
      <w:bookmarkStart w:id="8" w:name="_heading=h.4d34og8" w:colFirst="0" w:colLast="0"/>
      <w:bookmarkEnd w:id="8"/>
      <w:r w:rsidRPr="00664ACF">
        <w:rPr>
          <w:rFonts w:ascii="Palatino Linotype" w:eastAsia="Palatino Linotype" w:hAnsi="Palatino Linotype" w:cs="Palatino Linotype"/>
          <w:color w:val="000000"/>
        </w:rPr>
        <w:t xml:space="preserve">Los medios de impugnación fueron presentados a través del SAIMEX, en el formato previamente aprobado para tal efecto y dentro del plazo legal de quince días hábiles otorgados; para el caso en particular es de señalar que el SUJETO OBLIGADO entregó su </w:t>
      </w:r>
      <w:r w:rsidRPr="00664ACF">
        <w:rPr>
          <w:rFonts w:ascii="Palatino Linotype" w:eastAsia="Palatino Linotype" w:hAnsi="Palatino Linotype" w:cs="Palatino Linotype"/>
          <w:color w:val="000000"/>
        </w:rPr>
        <w:lastRenderedPageBreak/>
        <w:t xml:space="preserve">respuesta </w:t>
      </w:r>
      <w:r w:rsidRPr="00664ACF">
        <w:rPr>
          <w:rFonts w:ascii="Palatino Linotype" w:eastAsia="Palatino Linotype" w:hAnsi="Palatino Linotype" w:cs="Palatino Linotype"/>
          <w:b/>
          <w:bCs/>
          <w:color w:val="000000"/>
        </w:rPr>
        <w:t>el veintisiete de enero de dos mil veintiséis</w:t>
      </w:r>
      <w:r w:rsidRPr="00664ACF">
        <w:rPr>
          <w:rFonts w:ascii="Palatino Linotype" w:eastAsia="Palatino Linotype" w:hAnsi="Palatino Linotype" w:cs="Palatino Linotype"/>
          <w:color w:val="000000"/>
        </w:rPr>
        <w:t xml:space="preserve">, de tal forma que el plazo para interponer el recurso de revisión transcurrió del </w:t>
      </w:r>
      <w:r w:rsidRPr="00664ACF">
        <w:rPr>
          <w:rFonts w:ascii="Palatino Linotype" w:eastAsia="Palatino Linotype" w:hAnsi="Palatino Linotype" w:cs="Palatino Linotype"/>
          <w:b/>
          <w:bCs/>
          <w:color w:val="000000"/>
        </w:rPr>
        <w:t>veintiocho de enero al dieciocho de febrero de dos mil veintiséis</w:t>
      </w:r>
      <w:r w:rsidRPr="00664ACF">
        <w:rPr>
          <w:rFonts w:ascii="Palatino Linotype" w:eastAsia="Palatino Linotype" w:hAnsi="Palatino Linotype" w:cs="Palatino Linotype"/>
          <w:color w:val="000000"/>
        </w:rPr>
        <w:t xml:space="preserve">; en consecuencia, el ahora </w:t>
      </w:r>
      <w:r w:rsidRPr="00664ACF">
        <w:rPr>
          <w:rFonts w:ascii="Palatino Linotype" w:eastAsia="Palatino Linotype" w:hAnsi="Palatino Linotype" w:cs="Palatino Linotype"/>
          <w:b/>
          <w:bCs/>
          <w:color w:val="000000"/>
        </w:rPr>
        <w:t>RECURRENTE</w:t>
      </w:r>
      <w:r w:rsidRPr="00664ACF">
        <w:rPr>
          <w:rFonts w:ascii="Palatino Linotype" w:eastAsia="Palatino Linotype" w:hAnsi="Palatino Linotype" w:cs="Palatino Linotype"/>
          <w:color w:val="000000"/>
        </w:rPr>
        <w:t xml:space="preserve"> presentó su inconformidad el </w:t>
      </w:r>
      <w:r w:rsidRPr="00664ACF">
        <w:rPr>
          <w:rFonts w:ascii="Palatino Linotype" w:eastAsia="Palatino Linotype" w:hAnsi="Palatino Linotype" w:cs="Palatino Linotype"/>
          <w:b/>
          <w:bCs/>
          <w:color w:val="000000"/>
        </w:rPr>
        <w:t>seis de febrero de dos mil veintiséis</w:t>
      </w:r>
      <w:r w:rsidRPr="00664ACF">
        <w:rPr>
          <w:rFonts w:ascii="Palatino Linotype" w:eastAsia="Palatino Linotype" w:hAnsi="Palatino Linotype" w:cs="Palatino Linotype"/>
          <w:color w:val="000000"/>
        </w:rPr>
        <w:t>; por lo que la interposición se encuentra dentro del lapso legalmente establecido para tal efecto.</w:t>
      </w:r>
    </w:p>
    <w:p w:rsidR="005C7FE0" w:rsidRPr="00664ACF" w:rsidRDefault="005C7FE0">
      <w:pPr>
        <w:pBdr>
          <w:top w:val="nil"/>
          <w:left w:val="nil"/>
          <w:bottom w:val="nil"/>
          <w:right w:val="nil"/>
          <w:between w:val="nil"/>
        </w:pBdr>
        <w:ind w:left="708" w:right="-1566"/>
        <w:rPr>
          <w:rFonts w:ascii="Palatino Linotype" w:eastAsia="Palatino Linotype" w:hAnsi="Palatino Linotype" w:cs="Palatino Linotype"/>
          <w:color w:val="000000"/>
        </w:rPr>
      </w:pPr>
    </w:p>
    <w:p w:rsidR="005C7FE0" w:rsidRPr="00664ACF" w:rsidRDefault="00DB7533">
      <w:pPr>
        <w:numPr>
          <w:ilvl w:val="0"/>
          <w:numId w:val="2"/>
        </w:numPr>
        <w:pBdr>
          <w:top w:val="nil"/>
          <w:left w:val="nil"/>
          <w:bottom w:val="nil"/>
          <w:right w:val="nil"/>
          <w:between w:val="nil"/>
        </w:pBdr>
        <w:spacing w:line="360" w:lineRule="auto"/>
        <w:ind w:left="0" w:right="-1566" w:firstLine="0"/>
        <w:jc w:val="both"/>
        <w:rPr>
          <w:rFonts w:ascii="Palatino Linotype" w:eastAsia="Palatino Linotype" w:hAnsi="Palatino Linotype" w:cs="Palatino Linotype"/>
          <w:color w:val="000000"/>
        </w:rPr>
      </w:pPr>
      <w:r w:rsidRPr="00664ACF">
        <w:rPr>
          <w:rFonts w:ascii="Palatino Linotype" w:eastAsia="Palatino Linotype" w:hAnsi="Palatino Linotype" w:cs="Palatino Linotype"/>
          <w:color w:val="000000"/>
        </w:rPr>
        <w:t>Asimismo, los escritos contienen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5C7FE0" w:rsidRPr="00664ACF" w:rsidRDefault="005C7FE0">
      <w:pPr>
        <w:pBdr>
          <w:top w:val="nil"/>
          <w:left w:val="nil"/>
          <w:bottom w:val="nil"/>
          <w:right w:val="nil"/>
          <w:between w:val="nil"/>
        </w:pBdr>
        <w:spacing w:line="360" w:lineRule="auto"/>
        <w:ind w:right="-1566"/>
        <w:jc w:val="both"/>
        <w:rPr>
          <w:rFonts w:ascii="Palatino Linotype" w:eastAsia="Palatino Linotype" w:hAnsi="Palatino Linotype" w:cs="Palatino Linotype"/>
          <w:color w:val="000000"/>
        </w:rPr>
      </w:pPr>
    </w:p>
    <w:p w:rsidR="005C7FE0" w:rsidRPr="00664ACF" w:rsidRDefault="00DB7533">
      <w:pPr>
        <w:pStyle w:val="Ttulo1"/>
        <w:spacing w:before="0" w:line="360" w:lineRule="auto"/>
        <w:ind w:right="-1566"/>
        <w:rPr>
          <w:rFonts w:ascii="Palatino Linotype" w:eastAsia="Palatino Linotype" w:hAnsi="Palatino Linotype" w:cs="Palatino Linotype"/>
          <w:b/>
          <w:bCs/>
          <w:color w:val="000000"/>
          <w:sz w:val="24"/>
          <w:szCs w:val="24"/>
        </w:rPr>
      </w:pPr>
      <w:bookmarkStart w:id="9" w:name="_heading=h.2s8eyo1" w:colFirst="0" w:colLast="0"/>
      <w:bookmarkEnd w:id="9"/>
      <w:r w:rsidRPr="00664ACF">
        <w:rPr>
          <w:rFonts w:ascii="Palatino Linotype" w:eastAsia="Palatino Linotype" w:hAnsi="Palatino Linotype" w:cs="Palatino Linotype"/>
          <w:b/>
          <w:bCs/>
          <w:color w:val="000000"/>
          <w:sz w:val="24"/>
          <w:szCs w:val="24"/>
        </w:rPr>
        <w:t xml:space="preserve">TERCERO. Del planteamiento de la </w:t>
      </w:r>
      <w:r w:rsidRPr="00664ACF">
        <w:rPr>
          <w:rFonts w:ascii="Palatino Linotype" w:eastAsia="Palatino Linotype" w:hAnsi="Palatino Linotype" w:cs="Palatino Linotype"/>
          <w:b/>
          <w:bCs/>
          <w:i/>
          <w:iCs/>
          <w:color w:val="000000"/>
          <w:sz w:val="24"/>
          <w:szCs w:val="24"/>
        </w:rPr>
        <w:t>Litis</w:t>
      </w:r>
      <w:r w:rsidRPr="00664ACF">
        <w:rPr>
          <w:rFonts w:ascii="Palatino Linotype" w:eastAsia="Palatino Linotype" w:hAnsi="Palatino Linotype" w:cs="Palatino Linotype"/>
          <w:b/>
          <w:bCs/>
          <w:color w:val="000000"/>
          <w:sz w:val="24"/>
          <w:szCs w:val="24"/>
        </w:rPr>
        <w:t>.</w:t>
      </w:r>
    </w:p>
    <w:p w:rsidR="005C7FE0" w:rsidRPr="00664ACF" w:rsidRDefault="00DB7533">
      <w:pPr>
        <w:numPr>
          <w:ilvl w:val="0"/>
          <w:numId w:val="2"/>
        </w:numPr>
        <w:pBdr>
          <w:top w:val="nil"/>
          <w:left w:val="nil"/>
          <w:bottom w:val="nil"/>
          <w:right w:val="nil"/>
          <w:between w:val="nil"/>
        </w:pBdr>
        <w:spacing w:line="360" w:lineRule="auto"/>
        <w:ind w:left="0" w:right="-1566" w:firstLine="0"/>
        <w:jc w:val="both"/>
        <w:rPr>
          <w:rFonts w:ascii="Palatino Linotype" w:eastAsia="Palatino Linotype" w:hAnsi="Palatino Linotype" w:cs="Palatino Linotype"/>
          <w:b/>
          <w:bCs/>
          <w:color w:val="000000"/>
        </w:rPr>
      </w:pPr>
      <w:r w:rsidRPr="00664ACF">
        <w:rPr>
          <w:rFonts w:ascii="Palatino Linotype" w:eastAsia="Palatino Linotype" w:hAnsi="Palatino Linotype" w:cs="Palatino Linotype"/>
          <w:color w:val="000000"/>
        </w:rPr>
        <w:t>De las constancias en el expediente al rubro indicado, se desprende que la particular solicitó la información que a continuación se desagrega:</w:t>
      </w:r>
    </w:p>
    <w:p w:rsidR="005C7FE0" w:rsidRPr="00664ACF" w:rsidRDefault="00DB7533">
      <w:pPr>
        <w:pBdr>
          <w:top w:val="nil"/>
          <w:left w:val="nil"/>
          <w:bottom w:val="nil"/>
          <w:right w:val="nil"/>
          <w:between w:val="nil"/>
        </w:pBdr>
        <w:ind w:left="1134" w:right="277"/>
        <w:jc w:val="both"/>
        <w:rPr>
          <w:rFonts w:ascii="Palatino Linotype" w:eastAsia="Palatino Linotype" w:hAnsi="Palatino Linotype" w:cs="Palatino Linotype"/>
          <w:b/>
          <w:bCs/>
          <w:i/>
          <w:iCs/>
          <w:color w:val="000000"/>
        </w:rPr>
      </w:pPr>
      <w:r w:rsidRPr="00664ACF">
        <w:rPr>
          <w:rFonts w:ascii="Palatino Linotype" w:eastAsia="Palatino Linotype" w:hAnsi="Palatino Linotype" w:cs="Palatino Linotype"/>
          <w:b/>
          <w:bCs/>
          <w:i/>
          <w:iCs/>
          <w:color w:val="000000"/>
        </w:rPr>
        <w:t>1.- Listado de todas las farmacias ubicadas en toda la cabecera municipal de Ayapango que cuenten con permiso vigente de funcionamiento, que contenga nombre del establecimiento, tipo de establecimiento, dirección exacta, fecha de otorgamiento del permiso vigencia del permiso, tipo de permiso otorgado,  número de expediente o registro del permiso, observaciones legales o restricciones.</w:t>
      </w:r>
    </w:p>
    <w:p w:rsidR="005C7FE0" w:rsidRPr="00664ACF" w:rsidRDefault="005C7FE0">
      <w:pPr>
        <w:pBdr>
          <w:top w:val="nil"/>
          <w:left w:val="nil"/>
          <w:bottom w:val="nil"/>
          <w:right w:val="nil"/>
          <w:between w:val="nil"/>
        </w:pBdr>
        <w:ind w:left="1134" w:right="277"/>
        <w:jc w:val="both"/>
        <w:rPr>
          <w:rFonts w:ascii="Palatino Linotype" w:eastAsia="Palatino Linotype" w:hAnsi="Palatino Linotype" w:cs="Palatino Linotype"/>
          <w:b/>
          <w:bCs/>
          <w:i/>
          <w:iCs/>
          <w:color w:val="000000"/>
        </w:rPr>
      </w:pPr>
    </w:p>
    <w:p w:rsidR="005C7FE0" w:rsidRPr="00664ACF" w:rsidRDefault="005C7FE0">
      <w:pPr>
        <w:pBdr>
          <w:top w:val="nil"/>
          <w:left w:val="nil"/>
          <w:bottom w:val="nil"/>
          <w:right w:val="nil"/>
          <w:between w:val="nil"/>
        </w:pBdr>
        <w:ind w:left="1134" w:right="277"/>
        <w:jc w:val="both"/>
        <w:rPr>
          <w:rFonts w:ascii="Palatino Linotype" w:eastAsia="Palatino Linotype" w:hAnsi="Palatino Linotype" w:cs="Palatino Linotype"/>
          <w:b/>
          <w:bCs/>
          <w:i/>
          <w:iCs/>
          <w:color w:val="000000"/>
        </w:rPr>
      </w:pPr>
    </w:p>
    <w:p w:rsidR="005C7FE0" w:rsidRPr="00664ACF" w:rsidRDefault="00DB7533">
      <w:pPr>
        <w:pBdr>
          <w:top w:val="nil"/>
          <w:left w:val="nil"/>
          <w:bottom w:val="nil"/>
          <w:right w:val="nil"/>
          <w:between w:val="nil"/>
        </w:pBdr>
        <w:ind w:left="1134" w:right="277"/>
        <w:jc w:val="both"/>
        <w:rPr>
          <w:rFonts w:ascii="Palatino Linotype" w:eastAsia="Palatino Linotype" w:hAnsi="Palatino Linotype" w:cs="Palatino Linotype"/>
          <w:b/>
          <w:bCs/>
          <w:i/>
          <w:iCs/>
          <w:color w:val="000000"/>
        </w:rPr>
      </w:pPr>
      <w:r w:rsidRPr="00664ACF">
        <w:rPr>
          <w:rFonts w:ascii="Palatino Linotype" w:eastAsia="Palatino Linotype" w:hAnsi="Palatino Linotype" w:cs="Palatino Linotype"/>
          <w:b/>
          <w:bCs/>
          <w:i/>
          <w:iCs/>
          <w:color w:val="000000"/>
        </w:rPr>
        <w:t xml:space="preserve">2.- Listado de todos los consultorios médicos y dentales ubicados en toda la cabecera municipal de Ayapango que cuenten con permiso vigente de funcionamiento, que contenga nombre del establecimiento, tipo de establecimiento, dirección exacta, fecha de otorgamiento del permiso vigencia del permiso, </w:t>
      </w:r>
      <w:r w:rsidRPr="00664ACF">
        <w:rPr>
          <w:rFonts w:ascii="Palatino Linotype" w:eastAsia="Palatino Linotype" w:hAnsi="Palatino Linotype" w:cs="Palatino Linotype"/>
          <w:b/>
          <w:bCs/>
          <w:i/>
          <w:iCs/>
          <w:color w:val="000000"/>
        </w:rPr>
        <w:lastRenderedPageBreak/>
        <w:t>tipo de permiso otorgado,  número de expediente o registro del permiso, observaciones legales o restricciones.</w:t>
      </w:r>
    </w:p>
    <w:p w:rsidR="005C7FE0" w:rsidRPr="00664ACF" w:rsidRDefault="005C7FE0">
      <w:pPr>
        <w:pBdr>
          <w:top w:val="nil"/>
          <w:left w:val="nil"/>
          <w:bottom w:val="nil"/>
          <w:right w:val="nil"/>
          <w:between w:val="nil"/>
        </w:pBdr>
        <w:ind w:right="-857"/>
        <w:jc w:val="both"/>
        <w:rPr>
          <w:rFonts w:ascii="Palatino Linotype" w:eastAsia="Palatino Linotype" w:hAnsi="Palatino Linotype" w:cs="Palatino Linotype"/>
          <w:b/>
          <w:bCs/>
          <w:i/>
          <w:iCs/>
          <w:color w:val="000000"/>
        </w:rPr>
      </w:pPr>
    </w:p>
    <w:p w:rsidR="005C7FE0" w:rsidRPr="00664ACF" w:rsidRDefault="00DB7533">
      <w:pPr>
        <w:numPr>
          <w:ilvl w:val="0"/>
          <w:numId w:val="2"/>
        </w:numPr>
        <w:pBdr>
          <w:top w:val="nil"/>
          <w:left w:val="nil"/>
          <w:bottom w:val="nil"/>
          <w:right w:val="nil"/>
          <w:between w:val="nil"/>
        </w:pBdr>
        <w:spacing w:line="360" w:lineRule="auto"/>
        <w:ind w:left="0" w:right="-1566" w:firstLine="0"/>
        <w:jc w:val="both"/>
        <w:rPr>
          <w:rFonts w:ascii="Palatino Linotype" w:eastAsia="Palatino Linotype" w:hAnsi="Palatino Linotype" w:cs="Palatino Linotype"/>
          <w:color w:val="000000"/>
        </w:rPr>
      </w:pPr>
      <w:r w:rsidRPr="00664ACF">
        <w:rPr>
          <w:rFonts w:ascii="Palatino Linotype" w:eastAsia="Palatino Linotype" w:hAnsi="Palatino Linotype" w:cs="Palatino Linotype"/>
          <w:color w:val="000000"/>
        </w:rPr>
        <w:t xml:space="preserve">En respuesta, el </w:t>
      </w:r>
      <w:r w:rsidRPr="00664ACF">
        <w:rPr>
          <w:rFonts w:ascii="Palatino Linotype" w:eastAsia="Palatino Linotype" w:hAnsi="Palatino Linotype" w:cs="Palatino Linotype"/>
          <w:b/>
          <w:bCs/>
          <w:color w:val="000000"/>
        </w:rPr>
        <w:t xml:space="preserve">SUJETO OBLIGADO </w:t>
      </w:r>
      <w:r w:rsidRPr="00664ACF">
        <w:rPr>
          <w:rFonts w:ascii="Palatino Linotype" w:eastAsia="Palatino Linotype" w:hAnsi="Palatino Linotype" w:cs="Palatino Linotype"/>
        </w:rPr>
        <w:t>entregó</w:t>
      </w:r>
      <w:r w:rsidRPr="00664ACF">
        <w:rPr>
          <w:rFonts w:ascii="Palatino Linotype" w:eastAsia="Palatino Linotype" w:hAnsi="Palatino Linotype" w:cs="Palatino Linotype"/>
          <w:color w:val="000000"/>
        </w:rPr>
        <w:t xml:space="preserve"> la información descrita en el párrafo dos de la presente resolución. </w:t>
      </w:r>
    </w:p>
    <w:p w:rsidR="005C7FE0" w:rsidRPr="00664ACF" w:rsidRDefault="005C7FE0">
      <w:pPr>
        <w:pBdr>
          <w:top w:val="nil"/>
          <w:left w:val="nil"/>
          <w:bottom w:val="nil"/>
          <w:right w:val="nil"/>
          <w:between w:val="nil"/>
        </w:pBdr>
        <w:spacing w:line="360" w:lineRule="auto"/>
        <w:ind w:right="-1566"/>
        <w:jc w:val="both"/>
        <w:rPr>
          <w:rFonts w:ascii="Palatino Linotype" w:eastAsia="Palatino Linotype" w:hAnsi="Palatino Linotype" w:cs="Palatino Linotype"/>
          <w:i/>
          <w:iCs/>
          <w:color w:val="000000"/>
        </w:rPr>
      </w:pPr>
    </w:p>
    <w:p w:rsidR="005C7FE0" w:rsidRPr="00664ACF" w:rsidRDefault="00DB7533">
      <w:pPr>
        <w:numPr>
          <w:ilvl w:val="0"/>
          <w:numId w:val="2"/>
        </w:numPr>
        <w:pBdr>
          <w:top w:val="nil"/>
          <w:left w:val="nil"/>
          <w:bottom w:val="nil"/>
          <w:right w:val="nil"/>
          <w:between w:val="nil"/>
        </w:pBdr>
        <w:spacing w:line="360" w:lineRule="auto"/>
        <w:ind w:left="0" w:right="-1566" w:firstLine="0"/>
        <w:jc w:val="both"/>
        <w:rPr>
          <w:rFonts w:ascii="Palatino Linotype" w:eastAsia="Palatino Linotype" w:hAnsi="Palatino Linotype" w:cs="Palatino Linotype"/>
          <w:color w:val="000000"/>
        </w:rPr>
      </w:pPr>
      <w:r w:rsidRPr="00664ACF">
        <w:rPr>
          <w:rFonts w:ascii="Palatino Linotype" w:eastAsia="Palatino Linotype" w:hAnsi="Palatino Linotype" w:cs="Palatino Linotype"/>
          <w:color w:val="000000"/>
        </w:rPr>
        <w:t xml:space="preserve">En dichas condiciones, la </w:t>
      </w:r>
      <w:r w:rsidRPr="00664ACF">
        <w:rPr>
          <w:rFonts w:ascii="Palatino Linotype" w:eastAsia="Palatino Linotype" w:hAnsi="Palatino Linotype" w:cs="Palatino Linotype"/>
          <w:i/>
          <w:iCs/>
          <w:color w:val="000000"/>
        </w:rPr>
        <w:t>Litis</w:t>
      </w:r>
      <w:r w:rsidRPr="00664ACF">
        <w:rPr>
          <w:rFonts w:ascii="Palatino Linotype" w:eastAsia="Palatino Linotype" w:hAnsi="Palatino Linotype" w:cs="Palatino Linotype"/>
          <w:color w:val="000000"/>
        </w:rPr>
        <w:t xml:space="preserve"> a resolver en estos recursos se circunscribe a determinar si se actualizan las causales de procedencia previstas en el artículo 179, </w:t>
      </w:r>
      <w:r w:rsidRPr="00664ACF">
        <w:rPr>
          <w:rFonts w:ascii="Palatino Linotype" w:eastAsia="Palatino Linotype" w:hAnsi="Palatino Linotype" w:cs="Palatino Linotype"/>
          <w:b/>
          <w:bCs/>
          <w:color w:val="000000"/>
        </w:rPr>
        <w:t xml:space="preserve">fracción V </w:t>
      </w:r>
      <w:r w:rsidRPr="00664ACF">
        <w:rPr>
          <w:rFonts w:ascii="Palatino Linotype" w:eastAsia="Palatino Linotype" w:hAnsi="Palatino Linotype" w:cs="Palatino Linotype"/>
          <w:color w:val="000000"/>
        </w:rPr>
        <w:t>de la Ley</w:t>
      </w:r>
      <w:r w:rsidRPr="00664ACF">
        <w:rPr>
          <w:rFonts w:ascii="Palatino Linotype" w:eastAsia="Palatino Linotype" w:hAnsi="Palatino Linotype" w:cs="Palatino Linotype"/>
          <w:b/>
          <w:bCs/>
          <w:color w:val="000000"/>
        </w:rPr>
        <w:t xml:space="preserve"> de Transparencia y Acceso a la Información Pública del Estado de </w:t>
      </w:r>
      <w:r w:rsidRPr="00664ACF">
        <w:rPr>
          <w:rFonts w:ascii="Palatino Linotype" w:eastAsia="Palatino Linotype" w:hAnsi="Palatino Linotype" w:cs="Palatino Linotype"/>
          <w:color w:val="000000"/>
        </w:rPr>
        <w:t>México</w:t>
      </w:r>
      <w:r w:rsidRPr="00664ACF">
        <w:rPr>
          <w:rFonts w:ascii="Palatino Linotype" w:eastAsia="Palatino Linotype" w:hAnsi="Palatino Linotype" w:cs="Palatino Linotype"/>
          <w:b/>
          <w:bCs/>
          <w:color w:val="000000"/>
        </w:rPr>
        <w:t xml:space="preserve"> y Municipios</w:t>
      </w:r>
      <w:r w:rsidRPr="00664ACF">
        <w:rPr>
          <w:rFonts w:ascii="Palatino Linotype" w:eastAsia="Palatino Linotype" w:hAnsi="Palatino Linotype" w:cs="Palatino Linotype"/>
          <w:color w:val="000000"/>
        </w:rPr>
        <w:t xml:space="preserve">; fracción que determina la hipótesis jurídica relativa a la entrega de información incompleta; contexto del cual se dolió </w:t>
      </w:r>
      <w:r w:rsidRPr="00664ACF">
        <w:rPr>
          <w:rFonts w:ascii="Palatino Linotype" w:eastAsia="Palatino Linotype" w:hAnsi="Palatino Linotype" w:cs="Palatino Linotype"/>
          <w:b/>
          <w:bCs/>
          <w:color w:val="000000"/>
        </w:rPr>
        <w:t xml:space="preserve">EL RECURRENTE </w:t>
      </w:r>
      <w:r w:rsidRPr="00664ACF">
        <w:rPr>
          <w:rFonts w:ascii="Palatino Linotype" w:eastAsia="Palatino Linotype" w:hAnsi="Palatino Linotype" w:cs="Palatino Linotype"/>
          <w:color w:val="000000"/>
        </w:rPr>
        <w:t>al momento de interponer su inconformidad.</w:t>
      </w:r>
    </w:p>
    <w:p w:rsidR="005C7FE0" w:rsidRPr="00664ACF" w:rsidRDefault="005C7FE0">
      <w:pPr>
        <w:pBdr>
          <w:top w:val="nil"/>
          <w:left w:val="nil"/>
          <w:bottom w:val="nil"/>
          <w:right w:val="nil"/>
          <w:between w:val="nil"/>
        </w:pBdr>
        <w:spacing w:line="360" w:lineRule="auto"/>
        <w:ind w:right="-1566"/>
        <w:jc w:val="both"/>
        <w:rPr>
          <w:rFonts w:ascii="Palatino Linotype" w:eastAsia="Palatino Linotype" w:hAnsi="Palatino Linotype" w:cs="Palatino Linotype"/>
          <w:color w:val="000000"/>
        </w:rPr>
      </w:pPr>
    </w:p>
    <w:p w:rsidR="005C7FE0" w:rsidRPr="00664ACF" w:rsidRDefault="00DB7533">
      <w:pPr>
        <w:numPr>
          <w:ilvl w:val="0"/>
          <w:numId w:val="2"/>
        </w:numPr>
        <w:pBdr>
          <w:top w:val="nil"/>
          <w:left w:val="nil"/>
          <w:bottom w:val="nil"/>
          <w:right w:val="nil"/>
          <w:between w:val="nil"/>
        </w:pBdr>
        <w:spacing w:line="360" w:lineRule="auto"/>
        <w:ind w:left="0" w:right="-1566" w:firstLine="0"/>
        <w:jc w:val="both"/>
        <w:rPr>
          <w:rFonts w:ascii="Palatino Linotype" w:eastAsia="Palatino Linotype" w:hAnsi="Palatino Linotype" w:cs="Palatino Linotype"/>
          <w:color w:val="000000"/>
        </w:rPr>
      </w:pPr>
      <w:r w:rsidRPr="00664ACF">
        <w:rPr>
          <w:rFonts w:ascii="Palatino Linotype" w:eastAsia="Palatino Linotype" w:hAnsi="Palatino Linotype" w:cs="Palatino Linotype"/>
          <w:color w:val="000000"/>
        </w:rPr>
        <w:t xml:space="preserve">De modo tal que el presente recurso de revisión se </w:t>
      </w:r>
      <w:r w:rsidRPr="00664ACF">
        <w:rPr>
          <w:rFonts w:ascii="Palatino Linotype" w:eastAsia="Palatino Linotype" w:hAnsi="Palatino Linotype" w:cs="Palatino Linotype"/>
        </w:rPr>
        <w:t>abocara</w:t>
      </w:r>
      <w:r w:rsidRPr="00664ACF">
        <w:rPr>
          <w:rFonts w:ascii="Palatino Linotype" w:eastAsia="Palatino Linotype" w:hAnsi="Palatino Linotype" w:cs="Palatino Linotype"/>
          <w:color w:val="000000"/>
        </w:rPr>
        <w:t xml:space="preserve"> en determinar si el </w:t>
      </w:r>
      <w:r w:rsidRPr="00664ACF">
        <w:rPr>
          <w:rFonts w:ascii="Palatino Linotype" w:eastAsia="Palatino Linotype" w:hAnsi="Palatino Linotype" w:cs="Palatino Linotype"/>
          <w:b/>
          <w:bCs/>
          <w:color w:val="000000"/>
        </w:rPr>
        <w:t>SUJETO OBLIGADO</w:t>
      </w:r>
      <w:r w:rsidRPr="00664ACF">
        <w:rPr>
          <w:rFonts w:ascii="Palatino Linotype" w:eastAsia="Palatino Linotype" w:hAnsi="Palatino Linotype" w:cs="Palatino Linotype"/>
          <w:color w:val="000000"/>
        </w:rPr>
        <w:t xml:space="preserve"> con su respuesta ciertamente actualiza la causal de procedencia</w:t>
      </w:r>
      <w:r w:rsidRPr="00664ACF">
        <w:rPr>
          <w:rFonts w:ascii="Palatino Linotype" w:eastAsia="Palatino Linotype" w:hAnsi="Palatino Linotype" w:cs="Palatino Linotype"/>
          <w:b/>
          <w:bCs/>
          <w:color w:val="000000"/>
        </w:rPr>
        <w:t xml:space="preserve"> </w:t>
      </w:r>
      <w:r w:rsidRPr="00664ACF">
        <w:rPr>
          <w:rFonts w:ascii="Palatino Linotype" w:eastAsia="Palatino Linotype" w:hAnsi="Palatino Linotype" w:cs="Palatino Linotype"/>
          <w:color w:val="000000"/>
        </w:rPr>
        <w:t>antes señalada;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rsidR="005F49D8" w:rsidRDefault="005F49D8">
      <w:pPr>
        <w:keepNext/>
        <w:keepLines/>
        <w:spacing w:line="360" w:lineRule="auto"/>
        <w:ind w:right="-1566"/>
        <w:rPr>
          <w:rFonts w:ascii="Palatino Linotype" w:eastAsia="Palatino Linotype" w:hAnsi="Palatino Linotype" w:cs="Palatino Linotype"/>
          <w:b/>
          <w:bCs/>
          <w:color w:val="000000"/>
        </w:rPr>
      </w:pPr>
    </w:p>
    <w:p w:rsidR="005C7FE0" w:rsidRPr="00664ACF" w:rsidRDefault="00DB7533">
      <w:pPr>
        <w:keepNext/>
        <w:keepLines/>
        <w:spacing w:line="360" w:lineRule="auto"/>
        <w:ind w:right="-1566"/>
        <w:rPr>
          <w:rFonts w:ascii="Palatino Linotype" w:eastAsia="Palatino Linotype" w:hAnsi="Palatino Linotype" w:cs="Palatino Linotype"/>
          <w:b/>
          <w:bCs/>
          <w:color w:val="000000"/>
        </w:rPr>
      </w:pPr>
      <w:r w:rsidRPr="00664ACF">
        <w:rPr>
          <w:rFonts w:ascii="Palatino Linotype" w:eastAsia="Palatino Linotype" w:hAnsi="Palatino Linotype" w:cs="Palatino Linotype"/>
          <w:b/>
          <w:bCs/>
          <w:color w:val="000000"/>
        </w:rPr>
        <w:t>CUARTO. Del estudio y resolución del estudio.</w:t>
      </w:r>
    </w:p>
    <w:p w:rsidR="005C7FE0" w:rsidRPr="00664ACF" w:rsidRDefault="00DB7533">
      <w:pPr>
        <w:keepNext/>
        <w:keepLines/>
        <w:numPr>
          <w:ilvl w:val="0"/>
          <w:numId w:val="3"/>
        </w:numPr>
        <w:spacing w:after="240" w:line="360" w:lineRule="auto"/>
        <w:ind w:left="786" w:right="-1566"/>
        <w:rPr>
          <w:rFonts w:ascii="Palatino Linotype" w:eastAsia="Palatino Linotype" w:hAnsi="Palatino Linotype" w:cs="Palatino Linotype"/>
          <w:b/>
          <w:bCs/>
          <w:color w:val="000000"/>
        </w:rPr>
      </w:pPr>
      <w:bookmarkStart w:id="10" w:name="_heading=h.17dp8vu" w:colFirst="0" w:colLast="0"/>
      <w:bookmarkEnd w:id="10"/>
      <w:r w:rsidRPr="00664ACF">
        <w:rPr>
          <w:rFonts w:ascii="Palatino Linotype" w:eastAsia="Palatino Linotype" w:hAnsi="Palatino Linotype" w:cs="Palatino Linotype"/>
          <w:b/>
          <w:bCs/>
          <w:color w:val="000000"/>
        </w:rPr>
        <w:t>Del derecho de acceso a la información.</w:t>
      </w:r>
    </w:p>
    <w:p w:rsidR="005C7FE0" w:rsidRPr="00664ACF" w:rsidRDefault="00DB7533">
      <w:pPr>
        <w:numPr>
          <w:ilvl w:val="0"/>
          <w:numId w:val="2"/>
        </w:numPr>
        <w:pBdr>
          <w:top w:val="nil"/>
          <w:left w:val="nil"/>
          <w:bottom w:val="nil"/>
          <w:right w:val="nil"/>
          <w:between w:val="nil"/>
        </w:pBdr>
        <w:spacing w:line="360" w:lineRule="auto"/>
        <w:ind w:left="0" w:right="-1566" w:firstLine="0"/>
        <w:jc w:val="both"/>
        <w:rPr>
          <w:rFonts w:ascii="Palatino Linotype" w:eastAsia="Palatino Linotype" w:hAnsi="Palatino Linotype" w:cs="Palatino Linotype"/>
          <w:color w:val="000000"/>
        </w:rPr>
      </w:pPr>
      <w:r w:rsidRPr="00664ACF">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w:t>
      </w:r>
      <w:r w:rsidRPr="00664ACF">
        <w:rPr>
          <w:rFonts w:ascii="Palatino Linotype" w:eastAsia="Palatino Linotype" w:hAnsi="Palatino Linotype" w:cs="Palatino Linotype"/>
          <w:color w:val="000000"/>
        </w:rPr>
        <w:lastRenderedPageBreak/>
        <w:t xml:space="preserve">Derechos Humanos en su artículo 13.1; en el artículo sexto de la Constitución Política de los Estados Unidos Mexicanos y en el artículo quinto de la Particular del Estado de México. </w:t>
      </w:r>
    </w:p>
    <w:p w:rsidR="005C7FE0" w:rsidRPr="00664ACF" w:rsidRDefault="00DB7533">
      <w:pPr>
        <w:numPr>
          <w:ilvl w:val="0"/>
          <w:numId w:val="2"/>
        </w:numPr>
        <w:spacing w:before="240" w:line="360" w:lineRule="auto"/>
        <w:ind w:left="0" w:right="-1566" w:firstLine="0"/>
        <w:jc w:val="both"/>
        <w:rPr>
          <w:rFonts w:ascii="Palatino Linotype" w:eastAsia="Palatino Linotype" w:hAnsi="Palatino Linotype" w:cs="Palatino Linotype"/>
        </w:rPr>
      </w:pPr>
      <w:r w:rsidRPr="00664ACF">
        <w:rPr>
          <w:rFonts w:ascii="Palatino Linotype" w:eastAsia="Palatino Linotype" w:hAnsi="Palatino Linotype" w:cs="Palatino Linotype"/>
        </w:rPr>
        <w:t xml:space="preserve">Definiendo el Derecho de Acceso a la Información Pública como: </w:t>
      </w:r>
      <w:r w:rsidRPr="00664ACF">
        <w:rPr>
          <w:rFonts w:ascii="Palatino Linotype" w:eastAsia="Palatino Linotype" w:hAnsi="Palatino Linotype" w:cs="Palatino Linotype"/>
          <w:i/>
          <w:iCs/>
          <w:color w:val="000000"/>
        </w:rPr>
        <w:t>La igualdad de oportunidades para recibir, buscar e impartir información</w:t>
      </w:r>
      <w:r w:rsidRPr="00664ACF">
        <w:rPr>
          <w:rFonts w:ascii="Palatino Linotype" w:eastAsia="Palatino Linotype" w:hAnsi="Palatino Linotype" w:cs="Palatino Linotype"/>
          <w:i/>
          <w:iCs/>
          <w:vertAlign w:val="superscript"/>
        </w:rPr>
        <w:footnoteReference w:id="1"/>
      </w:r>
      <w:r w:rsidRPr="00664ACF">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664ACF">
        <w:rPr>
          <w:rFonts w:ascii="Palatino Linotype" w:eastAsia="Palatino Linotype" w:hAnsi="Palatino Linotype" w:cs="Palatino Linotype"/>
          <w:i/>
          <w:iCs/>
          <w:vertAlign w:val="superscript"/>
        </w:rPr>
        <w:footnoteReference w:id="2"/>
      </w:r>
      <w:r w:rsidRPr="00664ACF">
        <w:rPr>
          <w:rFonts w:ascii="Palatino Linotype" w:eastAsia="Palatino Linotype" w:hAnsi="Palatino Linotype" w:cs="Palatino Linotype"/>
          <w:color w:val="000000"/>
        </w:rPr>
        <w:t>que se constituye como una herramienta fundamental para ejercer</w:t>
      </w:r>
      <w:r w:rsidRPr="00664ACF">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sidRPr="00664ACF">
        <w:rPr>
          <w:rFonts w:ascii="Palatino Linotype" w:eastAsia="Palatino Linotype" w:hAnsi="Palatino Linotype" w:cs="Palatino Linotype"/>
          <w:i/>
          <w:iCs/>
          <w:vertAlign w:val="superscript"/>
        </w:rPr>
        <w:footnoteReference w:id="3"/>
      </w:r>
      <w:r w:rsidRPr="00664ACF">
        <w:rPr>
          <w:rFonts w:ascii="Palatino Linotype" w:eastAsia="Palatino Linotype" w:hAnsi="Palatino Linotype" w:cs="Palatino Linotype"/>
          <w:color w:val="000000"/>
        </w:rPr>
        <w:t>fomentando</w:t>
      </w:r>
      <w:r w:rsidRPr="00664ACF">
        <w:rPr>
          <w:rFonts w:ascii="Palatino Linotype" w:eastAsia="Palatino Linotype" w:hAnsi="Palatino Linotype" w:cs="Palatino Linotype"/>
          <w:i/>
          <w:iCs/>
          <w:color w:val="000000"/>
        </w:rPr>
        <w:t xml:space="preserve"> la transparencia de las actividades estatales y </w:t>
      </w:r>
      <w:r w:rsidRPr="00664ACF">
        <w:rPr>
          <w:rFonts w:ascii="Palatino Linotype" w:eastAsia="Palatino Linotype" w:hAnsi="Palatino Linotype" w:cs="Palatino Linotype"/>
          <w:color w:val="000000"/>
        </w:rPr>
        <w:t>promoviendo</w:t>
      </w:r>
      <w:r w:rsidRPr="00664ACF">
        <w:rPr>
          <w:rFonts w:ascii="Palatino Linotype" w:eastAsia="Palatino Linotype" w:hAnsi="Palatino Linotype" w:cs="Palatino Linotype"/>
          <w:i/>
          <w:iCs/>
          <w:color w:val="000000"/>
        </w:rPr>
        <w:t xml:space="preserve"> la responsabilidad de los funcionarios sobre su gestión pública,</w:t>
      </w:r>
      <w:r w:rsidRPr="00664ACF">
        <w:rPr>
          <w:rFonts w:ascii="Palatino Linotype" w:eastAsia="Palatino Linotype" w:hAnsi="Palatino Linotype" w:cs="Palatino Linotype"/>
          <w:i/>
          <w:iCs/>
          <w:vertAlign w:val="superscript"/>
        </w:rPr>
        <w:footnoteReference w:id="4"/>
      </w:r>
      <w:r w:rsidRPr="00664ACF">
        <w:rPr>
          <w:rFonts w:ascii="Palatino Linotype" w:eastAsia="Palatino Linotype" w:hAnsi="Palatino Linotype" w:cs="Palatino Linotype"/>
          <w:color w:val="000000"/>
        </w:rPr>
        <w:t>que permite</w:t>
      </w:r>
      <w:r w:rsidRPr="00664ACF">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rsidR="005C7FE0" w:rsidRPr="00664ACF" w:rsidRDefault="005C7FE0">
      <w:pPr>
        <w:spacing w:line="360" w:lineRule="auto"/>
        <w:ind w:right="-1566"/>
        <w:jc w:val="both"/>
        <w:rPr>
          <w:rFonts w:ascii="Palatino Linotype" w:eastAsia="Palatino Linotype" w:hAnsi="Palatino Linotype" w:cs="Palatino Linotype"/>
        </w:rPr>
      </w:pPr>
    </w:p>
    <w:p w:rsidR="005C7FE0" w:rsidRPr="00664ACF" w:rsidRDefault="00DB7533">
      <w:pPr>
        <w:numPr>
          <w:ilvl w:val="0"/>
          <w:numId w:val="2"/>
        </w:numPr>
        <w:spacing w:line="360" w:lineRule="auto"/>
        <w:ind w:left="0" w:right="-1566" w:firstLine="0"/>
        <w:jc w:val="both"/>
        <w:rPr>
          <w:rFonts w:ascii="Palatino Linotype" w:eastAsia="Palatino Linotype" w:hAnsi="Palatino Linotype" w:cs="Palatino Linotype"/>
        </w:rPr>
      </w:pPr>
      <w:r w:rsidRPr="00664ACF">
        <w:rPr>
          <w:rFonts w:ascii="Palatino Linotype" w:eastAsia="Palatino Linotype" w:hAnsi="Palatino Linotype" w:cs="Palatino Linotype"/>
        </w:rPr>
        <w:t>En México, además de los derechos, están reconocidas las garantías para su protección, en ese sentido el párrafo tercero de artículo primero de la Constitución Política de los Estados Unidos Mexicanos dispone lo siguiente:</w:t>
      </w:r>
    </w:p>
    <w:p w:rsidR="005C7FE0" w:rsidRPr="00664ACF" w:rsidRDefault="00DB7533">
      <w:pPr>
        <w:ind w:left="567" w:right="-857"/>
        <w:jc w:val="both"/>
        <w:rPr>
          <w:rFonts w:ascii="Palatino Linotype" w:eastAsia="Palatino Linotype" w:hAnsi="Palatino Linotype" w:cs="Palatino Linotype"/>
          <w:i/>
          <w:iCs/>
        </w:rPr>
      </w:pPr>
      <w:r w:rsidRPr="00664ACF">
        <w:rPr>
          <w:rFonts w:ascii="Palatino Linotype" w:eastAsia="Palatino Linotype" w:hAnsi="Palatino Linotype" w:cs="Palatino Linotype"/>
          <w:i/>
          <w:iCs/>
        </w:rPr>
        <w:t>“</w:t>
      </w:r>
      <w:r w:rsidRPr="00664ACF">
        <w:rPr>
          <w:rFonts w:ascii="Palatino Linotype" w:eastAsia="Palatino Linotype" w:hAnsi="Palatino Linotype" w:cs="Palatino Linotype"/>
          <w:b/>
          <w:bCs/>
          <w:i/>
          <w:iCs/>
        </w:rPr>
        <w:t>Artículo 1.-</w:t>
      </w:r>
      <w:r w:rsidRPr="00664ACF">
        <w:rPr>
          <w:rFonts w:ascii="Palatino Linotype" w:eastAsia="Palatino Linotype" w:hAnsi="Palatino Linotype" w:cs="Palatino Linotype"/>
          <w:i/>
          <w:iCs/>
        </w:rPr>
        <w:t xml:space="preserve"> </w:t>
      </w:r>
    </w:p>
    <w:p w:rsidR="005C7FE0" w:rsidRPr="00664ACF" w:rsidRDefault="00DB7533">
      <w:pPr>
        <w:ind w:left="567" w:right="-857"/>
        <w:jc w:val="both"/>
        <w:rPr>
          <w:rFonts w:ascii="Palatino Linotype" w:eastAsia="Palatino Linotype" w:hAnsi="Palatino Linotype" w:cs="Palatino Linotype"/>
          <w:i/>
          <w:iCs/>
        </w:rPr>
      </w:pPr>
      <w:r w:rsidRPr="00664ACF">
        <w:rPr>
          <w:rFonts w:ascii="Palatino Linotype" w:eastAsia="Palatino Linotype" w:hAnsi="Palatino Linotype" w:cs="Palatino Linotype"/>
          <w:i/>
          <w:iCs/>
        </w:rPr>
        <w:t>(…)</w:t>
      </w:r>
    </w:p>
    <w:p w:rsidR="005C7FE0" w:rsidRPr="00664ACF" w:rsidRDefault="00DB7533">
      <w:pPr>
        <w:ind w:left="567" w:right="-857"/>
        <w:jc w:val="both"/>
        <w:rPr>
          <w:rFonts w:ascii="Palatino Linotype" w:eastAsia="Palatino Linotype" w:hAnsi="Palatino Linotype" w:cs="Palatino Linotype"/>
          <w:i/>
          <w:iCs/>
        </w:rPr>
      </w:pPr>
      <w:r w:rsidRPr="00664ACF">
        <w:rPr>
          <w:rFonts w:ascii="Palatino Linotype" w:eastAsia="Palatino Linotype" w:hAnsi="Palatino Linotype" w:cs="Palatino Linotype"/>
          <w:i/>
          <w:iCs/>
        </w:rPr>
        <w:t>Todas las</w:t>
      </w:r>
      <w:r w:rsidRPr="00664ACF">
        <w:rPr>
          <w:rFonts w:ascii="Palatino Linotype" w:eastAsia="Palatino Linotype" w:hAnsi="Palatino Linotype" w:cs="Palatino Linotype"/>
        </w:rPr>
        <w:t xml:space="preserve"> </w:t>
      </w:r>
      <w:r w:rsidRPr="00664ACF">
        <w:rPr>
          <w:rFonts w:ascii="Palatino Linotype" w:eastAsia="Palatino Linotype" w:hAnsi="Palatino Linotype" w:cs="Palatino Linotype"/>
          <w:i/>
          <w:iCs/>
        </w:rPr>
        <w:t xml:space="preserve">autoridades, en el ámbito de sus competencias, tienen la obligación de promover, respetar, proteger y garantizar los derechos humanos de conformidad con los principios </w:t>
      </w:r>
      <w:r w:rsidRPr="00664ACF">
        <w:rPr>
          <w:rFonts w:ascii="Palatino Linotype" w:eastAsia="Palatino Linotype" w:hAnsi="Palatino Linotype" w:cs="Palatino Linotype"/>
          <w:i/>
          <w:iCs/>
        </w:rPr>
        <w:lastRenderedPageBreak/>
        <w:t>de universalidad, interdependencia, indivisibilidad y progresividad. En consecuencia, el Estado deberá prevenir, investigar, sancionar y reparar las violaciones a los derechos humanos, en los términos que establezca la ley.</w:t>
      </w:r>
    </w:p>
    <w:p w:rsidR="005C7FE0" w:rsidRPr="00664ACF" w:rsidRDefault="00DB7533">
      <w:pPr>
        <w:ind w:left="567" w:right="-857"/>
        <w:jc w:val="both"/>
        <w:rPr>
          <w:rFonts w:ascii="Palatino Linotype" w:eastAsia="Palatino Linotype" w:hAnsi="Palatino Linotype" w:cs="Palatino Linotype"/>
        </w:rPr>
      </w:pPr>
      <w:r w:rsidRPr="00664ACF">
        <w:rPr>
          <w:rFonts w:ascii="Palatino Linotype" w:eastAsia="Palatino Linotype" w:hAnsi="Palatino Linotype" w:cs="Palatino Linotype"/>
          <w:i/>
          <w:iCs/>
        </w:rPr>
        <w:t>(…)</w:t>
      </w:r>
      <w:r w:rsidRPr="00664ACF">
        <w:rPr>
          <w:rFonts w:ascii="Palatino Linotype" w:eastAsia="Palatino Linotype" w:hAnsi="Palatino Linotype" w:cs="Palatino Linotype"/>
        </w:rPr>
        <w:t>”.</w:t>
      </w:r>
    </w:p>
    <w:p w:rsidR="005C7FE0" w:rsidRPr="00664ACF" w:rsidRDefault="005C7FE0">
      <w:pPr>
        <w:ind w:right="-1566"/>
        <w:jc w:val="both"/>
        <w:rPr>
          <w:rFonts w:ascii="Palatino Linotype" w:eastAsia="Palatino Linotype" w:hAnsi="Palatino Linotype" w:cs="Palatino Linotype"/>
          <w:b/>
          <w:bCs/>
        </w:rPr>
      </w:pPr>
    </w:p>
    <w:p w:rsidR="005C7FE0" w:rsidRPr="00664ACF" w:rsidRDefault="00DB7533">
      <w:pPr>
        <w:numPr>
          <w:ilvl w:val="0"/>
          <w:numId w:val="2"/>
        </w:numPr>
        <w:spacing w:line="360" w:lineRule="auto"/>
        <w:ind w:left="0" w:right="-1566" w:firstLine="0"/>
        <w:jc w:val="both"/>
        <w:rPr>
          <w:rFonts w:ascii="Palatino Linotype" w:eastAsia="Palatino Linotype" w:hAnsi="Palatino Linotype" w:cs="Palatino Linotype"/>
        </w:rPr>
      </w:pPr>
      <w:r w:rsidRPr="00664ACF">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5C7FE0" w:rsidRPr="00664ACF" w:rsidRDefault="005C7FE0">
      <w:pPr>
        <w:spacing w:line="360" w:lineRule="auto"/>
        <w:ind w:right="-1566"/>
        <w:jc w:val="both"/>
        <w:rPr>
          <w:rFonts w:ascii="Palatino Linotype" w:eastAsia="Palatino Linotype" w:hAnsi="Palatino Linotype" w:cs="Palatino Linotype"/>
        </w:rPr>
      </w:pPr>
    </w:p>
    <w:p w:rsidR="005C7FE0" w:rsidRPr="00664ACF" w:rsidRDefault="00DB7533">
      <w:pPr>
        <w:numPr>
          <w:ilvl w:val="0"/>
          <w:numId w:val="2"/>
        </w:numPr>
        <w:spacing w:line="360" w:lineRule="auto"/>
        <w:ind w:left="0" w:right="-1566" w:firstLine="0"/>
        <w:jc w:val="both"/>
        <w:rPr>
          <w:rFonts w:ascii="Palatino Linotype" w:eastAsia="Palatino Linotype" w:hAnsi="Palatino Linotype" w:cs="Palatino Linotype"/>
        </w:rPr>
      </w:pPr>
      <w:r w:rsidRPr="00664ACF">
        <w:rPr>
          <w:rFonts w:ascii="Palatino Linotype" w:eastAsia="Palatino Linotype" w:hAnsi="Palatino Linotype" w:cs="Palatino Linotype"/>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5C7FE0" w:rsidRPr="00664ACF" w:rsidRDefault="00DB7533">
      <w:pPr>
        <w:spacing w:after="240"/>
        <w:ind w:left="1134" w:right="277"/>
        <w:jc w:val="both"/>
        <w:rPr>
          <w:rFonts w:ascii="Palatino Linotype" w:eastAsia="Palatino Linotype" w:hAnsi="Palatino Linotype" w:cs="Palatino Linotype"/>
          <w:b/>
          <w:bCs/>
          <w:i/>
          <w:iCs/>
        </w:rPr>
      </w:pPr>
      <w:r w:rsidRPr="00664ACF">
        <w:rPr>
          <w:rFonts w:ascii="Palatino Linotype" w:eastAsia="Palatino Linotype" w:hAnsi="Palatino Linotype" w:cs="Palatino Linotype"/>
          <w:b/>
          <w:bCs/>
          <w:i/>
          <w:iCs/>
        </w:rPr>
        <w:t>Constitución Política de los Estados Unidos Mexicanos</w:t>
      </w:r>
    </w:p>
    <w:p w:rsidR="005C7FE0" w:rsidRPr="00664ACF" w:rsidRDefault="00DB7533">
      <w:pPr>
        <w:spacing w:before="240" w:after="240"/>
        <w:ind w:left="1134" w:right="277"/>
        <w:jc w:val="both"/>
        <w:rPr>
          <w:rFonts w:ascii="Palatino Linotype" w:eastAsia="Palatino Linotype" w:hAnsi="Palatino Linotype" w:cs="Palatino Linotype"/>
          <w:b/>
          <w:bCs/>
          <w:i/>
          <w:iCs/>
        </w:rPr>
      </w:pPr>
      <w:r w:rsidRPr="00664ACF">
        <w:rPr>
          <w:rFonts w:ascii="Palatino Linotype" w:eastAsia="Palatino Linotype" w:hAnsi="Palatino Linotype" w:cs="Palatino Linotype"/>
          <w:b/>
          <w:bCs/>
          <w:i/>
          <w:iCs/>
        </w:rPr>
        <w:t>“Artículo 6.</w:t>
      </w:r>
    </w:p>
    <w:p w:rsidR="005C7FE0" w:rsidRPr="00664ACF" w:rsidRDefault="00DB7533">
      <w:pPr>
        <w:spacing w:before="240" w:after="240"/>
        <w:ind w:left="1134" w:right="277"/>
        <w:jc w:val="both"/>
        <w:rPr>
          <w:rFonts w:ascii="Palatino Linotype" w:eastAsia="Palatino Linotype" w:hAnsi="Palatino Linotype" w:cs="Palatino Linotype"/>
          <w:i/>
          <w:iCs/>
        </w:rPr>
      </w:pPr>
      <w:r w:rsidRPr="00664ACF">
        <w:rPr>
          <w:rFonts w:ascii="Palatino Linotype" w:eastAsia="Palatino Linotype" w:hAnsi="Palatino Linotype" w:cs="Palatino Linotype"/>
          <w:i/>
          <w:iCs/>
        </w:rPr>
        <w:t>(…)</w:t>
      </w:r>
    </w:p>
    <w:p w:rsidR="005C7FE0" w:rsidRPr="00664ACF" w:rsidRDefault="00DB7533">
      <w:pPr>
        <w:spacing w:before="240" w:after="240"/>
        <w:ind w:left="1134" w:right="277"/>
        <w:jc w:val="both"/>
        <w:rPr>
          <w:rFonts w:ascii="Palatino Linotype" w:eastAsia="Palatino Linotype" w:hAnsi="Palatino Linotype" w:cs="Palatino Linotype"/>
          <w:i/>
          <w:iCs/>
        </w:rPr>
      </w:pPr>
      <w:r w:rsidRPr="00664ACF">
        <w:rPr>
          <w:rFonts w:ascii="Palatino Linotype" w:eastAsia="Palatino Linotype" w:hAnsi="Palatino Linotype" w:cs="Palatino Linotype"/>
          <w:i/>
          <w:iCs/>
        </w:rPr>
        <w:t>Para efectos de lo dispuesto en el presente artículo se observará lo siguiente:</w:t>
      </w:r>
    </w:p>
    <w:p w:rsidR="005C7FE0" w:rsidRPr="00664ACF" w:rsidRDefault="00DB7533">
      <w:pPr>
        <w:spacing w:before="240" w:after="240"/>
        <w:ind w:left="1134" w:right="277"/>
        <w:jc w:val="both"/>
        <w:rPr>
          <w:rFonts w:ascii="Palatino Linotype" w:eastAsia="Palatino Linotype" w:hAnsi="Palatino Linotype" w:cs="Palatino Linotype"/>
          <w:b/>
          <w:bCs/>
          <w:i/>
          <w:iCs/>
        </w:rPr>
      </w:pPr>
      <w:r w:rsidRPr="00664ACF">
        <w:rPr>
          <w:rFonts w:ascii="Palatino Linotype" w:eastAsia="Palatino Linotype" w:hAnsi="Palatino Linotype" w:cs="Palatino Linotype"/>
          <w:b/>
          <w:bCs/>
          <w:i/>
          <w:iCs/>
        </w:rPr>
        <w:t>A</w:t>
      </w:r>
      <w:r w:rsidRPr="00664ACF">
        <w:rPr>
          <w:rFonts w:ascii="Palatino Linotype" w:eastAsia="Palatino Linotype" w:hAnsi="Palatino Linotype" w:cs="Palatino Linotype"/>
          <w:i/>
          <w:iCs/>
        </w:rPr>
        <w:t xml:space="preserve">. </w:t>
      </w:r>
      <w:r w:rsidRPr="00664ACF">
        <w:rPr>
          <w:rFonts w:ascii="Palatino Linotype" w:eastAsia="Palatino Linotype" w:hAnsi="Palatino Linotype" w:cs="Palatino Linotype"/>
          <w:b/>
          <w:bCs/>
          <w:i/>
          <w:iCs/>
        </w:rPr>
        <w:t>Para el ejercicio del derecho de acceso a la información</w:t>
      </w:r>
      <w:r w:rsidRPr="00664ACF">
        <w:rPr>
          <w:rFonts w:ascii="Palatino Linotype" w:eastAsia="Palatino Linotype" w:hAnsi="Palatino Linotype" w:cs="Palatino Linotype"/>
          <w:i/>
          <w:iCs/>
        </w:rPr>
        <w:t xml:space="preserve">, la Federación y </w:t>
      </w:r>
      <w:r w:rsidRPr="00664ACF">
        <w:rPr>
          <w:rFonts w:ascii="Palatino Linotype" w:eastAsia="Palatino Linotype" w:hAnsi="Palatino Linotype" w:cs="Palatino Linotype"/>
          <w:b/>
          <w:bCs/>
          <w:i/>
          <w:iCs/>
        </w:rPr>
        <w:t>las entidades federativas, en el ámbito de sus respectivas competencias, se regirán por los siguientes principios y bases:</w:t>
      </w:r>
    </w:p>
    <w:p w:rsidR="005C7FE0" w:rsidRPr="00664ACF" w:rsidRDefault="00DB7533">
      <w:pPr>
        <w:spacing w:before="240" w:after="240"/>
        <w:ind w:left="1134" w:right="277"/>
        <w:jc w:val="both"/>
        <w:rPr>
          <w:rFonts w:ascii="Palatino Linotype" w:eastAsia="Palatino Linotype" w:hAnsi="Palatino Linotype" w:cs="Palatino Linotype"/>
          <w:i/>
          <w:iCs/>
        </w:rPr>
      </w:pPr>
      <w:r w:rsidRPr="00664ACF">
        <w:rPr>
          <w:rFonts w:ascii="Palatino Linotype" w:eastAsia="Palatino Linotype" w:hAnsi="Palatino Linotype" w:cs="Palatino Linotype"/>
          <w:b/>
          <w:bCs/>
          <w:i/>
          <w:iCs/>
        </w:rPr>
        <w:t xml:space="preserve">I. </w:t>
      </w:r>
      <w:r w:rsidRPr="00664ACF">
        <w:rPr>
          <w:rFonts w:ascii="Palatino Linotype" w:eastAsia="Palatino Linotype" w:hAnsi="Palatino Linotype" w:cs="Palatino Linotype"/>
          <w:b/>
          <w:bCs/>
          <w:i/>
          <w:iCs/>
        </w:rPr>
        <w:tab/>
        <w:t>Toda la información en posesión de cualquier</w:t>
      </w:r>
      <w:r w:rsidRPr="00664ACF">
        <w:rPr>
          <w:rFonts w:ascii="Palatino Linotype" w:eastAsia="Palatino Linotype" w:hAnsi="Palatino Linotype" w:cs="Palatino Linotype"/>
          <w:i/>
          <w:iCs/>
        </w:rPr>
        <w:t xml:space="preserve"> </w:t>
      </w:r>
      <w:r w:rsidRPr="00664ACF">
        <w:rPr>
          <w:rFonts w:ascii="Palatino Linotype" w:eastAsia="Palatino Linotype" w:hAnsi="Palatino Linotype" w:cs="Palatino Linotype"/>
          <w:b/>
          <w:bCs/>
          <w:i/>
          <w:iCs/>
        </w:rPr>
        <w:t>autoridad</w:t>
      </w:r>
      <w:r w:rsidRPr="00664ACF">
        <w:rPr>
          <w:rFonts w:ascii="Palatino Linotype" w:eastAsia="Palatino Linotype" w:hAnsi="Palatino Linotype" w:cs="Palatino Linotype"/>
          <w:i/>
          <w:iCs/>
        </w:rPr>
        <w:t xml:space="preserve">, entidad, órgano y organismo de los Poderes Ejecutivo, Legislativo y </w:t>
      </w:r>
      <w:r w:rsidRPr="00664ACF">
        <w:rPr>
          <w:rFonts w:ascii="Palatino Linotype" w:eastAsia="Palatino Linotype" w:hAnsi="Palatino Linotype" w:cs="Palatino Linotype"/>
          <w:i/>
          <w:iCs/>
        </w:rPr>
        <w:lastRenderedPageBreak/>
        <w:t xml:space="preserve">Judicial, órganos autónomos, partidos políticos, fideicomisos y fondos públicos, así como de cualquier persona física, moral o sindicato que reciba y ejerza recursos públicos o realice actos de autoridad en el ámbito federal, estatal y </w:t>
      </w:r>
      <w:r w:rsidRPr="00664ACF">
        <w:rPr>
          <w:rFonts w:ascii="Palatino Linotype" w:eastAsia="Palatino Linotype" w:hAnsi="Palatino Linotype" w:cs="Palatino Linotype"/>
          <w:b/>
          <w:bCs/>
          <w:i/>
          <w:iCs/>
        </w:rPr>
        <w:t>municipal</w:t>
      </w:r>
      <w:r w:rsidRPr="00664ACF">
        <w:rPr>
          <w:rFonts w:ascii="Palatino Linotype" w:eastAsia="Palatino Linotype" w:hAnsi="Palatino Linotype" w:cs="Palatino Linotype"/>
          <w:i/>
          <w:iCs/>
        </w:rPr>
        <w:t xml:space="preserve">, </w:t>
      </w:r>
      <w:r w:rsidRPr="00664ACF">
        <w:rPr>
          <w:rFonts w:ascii="Palatino Linotype" w:eastAsia="Palatino Linotype" w:hAnsi="Palatino Linotype" w:cs="Palatino Linotype"/>
          <w:b/>
          <w:bCs/>
          <w:i/>
          <w:iCs/>
        </w:rPr>
        <w:t>es pública</w:t>
      </w:r>
      <w:r w:rsidRPr="00664ACF">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sidRPr="00664ACF">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sidRPr="00664ACF">
        <w:rPr>
          <w:rFonts w:ascii="Palatino Linotype" w:eastAsia="Palatino Linotype" w:hAnsi="Palatino Linotype" w:cs="Palatino Linotype"/>
          <w:i/>
          <w:iCs/>
        </w:rPr>
        <w:t>, la ley determinará los supuestos específicos bajo los cuales procederá la declaración de inexistencia de la información.”</w:t>
      </w:r>
    </w:p>
    <w:p w:rsidR="005C7FE0" w:rsidRPr="00664ACF" w:rsidRDefault="00DB7533">
      <w:pPr>
        <w:spacing w:before="240" w:after="240"/>
        <w:ind w:left="1134" w:right="277"/>
        <w:jc w:val="both"/>
        <w:rPr>
          <w:rFonts w:ascii="Palatino Linotype" w:eastAsia="Palatino Linotype" w:hAnsi="Palatino Linotype" w:cs="Palatino Linotype"/>
          <w:b/>
          <w:bCs/>
          <w:i/>
          <w:iCs/>
        </w:rPr>
      </w:pPr>
      <w:r w:rsidRPr="00664ACF">
        <w:rPr>
          <w:rFonts w:ascii="Palatino Linotype" w:eastAsia="Palatino Linotype" w:hAnsi="Palatino Linotype" w:cs="Palatino Linotype"/>
          <w:b/>
          <w:bCs/>
          <w:i/>
          <w:iCs/>
        </w:rPr>
        <w:t>Constitución Política del Estado Libre y Soberano de México</w:t>
      </w:r>
    </w:p>
    <w:p w:rsidR="005C7FE0" w:rsidRPr="00664ACF" w:rsidRDefault="00DB7533">
      <w:pPr>
        <w:spacing w:before="240" w:after="240"/>
        <w:ind w:left="1134" w:right="277"/>
        <w:jc w:val="both"/>
        <w:rPr>
          <w:rFonts w:ascii="Palatino Linotype" w:eastAsia="Palatino Linotype" w:hAnsi="Palatino Linotype" w:cs="Palatino Linotype"/>
          <w:i/>
          <w:iCs/>
        </w:rPr>
      </w:pPr>
      <w:r w:rsidRPr="00664ACF">
        <w:rPr>
          <w:rFonts w:ascii="Palatino Linotype" w:eastAsia="Palatino Linotype" w:hAnsi="Palatino Linotype" w:cs="Palatino Linotype"/>
          <w:b/>
          <w:bCs/>
          <w:i/>
          <w:iCs/>
        </w:rPr>
        <w:t>“Artículo 5</w:t>
      </w:r>
      <w:r w:rsidRPr="00664ACF">
        <w:rPr>
          <w:rFonts w:ascii="Palatino Linotype" w:eastAsia="Palatino Linotype" w:hAnsi="Palatino Linotype" w:cs="Palatino Linotype"/>
          <w:i/>
          <w:iCs/>
        </w:rPr>
        <w:t xml:space="preserve">.- </w:t>
      </w:r>
    </w:p>
    <w:p w:rsidR="005C7FE0" w:rsidRPr="00664ACF" w:rsidRDefault="00DB7533">
      <w:pPr>
        <w:spacing w:before="240" w:after="240"/>
        <w:ind w:left="1134" w:right="277"/>
        <w:jc w:val="both"/>
        <w:rPr>
          <w:rFonts w:ascii="Palatino Linotype" w:eastAsia="Palatino Linotype" w:hAnsi="Palatino Linotype" w:cs="Palatino Linotype"/>
          <w:i/>
          <w:iCs/>
        </w:rPr>
      </w:pPr>
      <w:r w:rsidRPr="00664ACF">
        <w:rPr>
          <w:rFonts w:ascii="Palatino Linotype" w:eastAsia="Palatino Linotype" w:hAnsi="Palatino Linotype" w:cs="Palatino Linotype"/>
          <w:i/>
          <w:iCs/>
        </w:rPr>
        <w:t>(…)</w:t>
      </w:r>
    </w:p>
    <w:p w:rsidR="005C7FE0" w:rsidRPr="00664ACF" w:rsidRDefault="00DB7533">
      <w:pPr>
        <w:spacing w:before="240" w:after="240"/>
        <w:ind w:left="1134" w:right="277"/>
        <w:jc w:val="both"/>
        <w:rPr>
          <w:rFonts w:ascii="Palatino Linotype" w:eastAsia="Palatino Linotype" w:hAnsi="Palatino Linotype" w:cs="Palatino Linotype"/>
          <w:i/>
          <w:iCs/>
        </w:rPr>
      </w:pPr>
      <w:r w:rsidRPr="00664ACF">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sidRPr="00664ACF">
        <w:rPr>
          <w:rFonts w:ascii="Palatino Linotype" w:eastAsia="Palatino Linotype" w:hAnsi="Palatino Linotype" w:cs="Palatino Linotype"/>
          <w:i/>
          <w:iCs/>
        </w:rPr>
        <w:t>.</w:t>
      </w:r>
    </w:p>
    <w:p w:rsidR="005C7FE0" w:rsidRPr="00664ACF" w:rsidRDefault="00DB7533">
      <w:pPr>
        <w:spacing w:before="240" w:after="240"/>
        <w:ind w:left="1134" w:right="277"/>
        <w:jc w:val="both"/>
        <w:rPr>
          <w:rFonts w:ascii="Palatino Linotype" w:eastAsia="Palatino Linotype" w:hAnsi="Palatino Linotype" w:cs="Palatino Linotype"/>
          <w:i/>
          <w:iCs/>
        </w:rPr>
      </w:pPr>
      <w:r w:rsidRPr="00664ACF">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5C7FE0" w:rsidRPr="00664ACF" w:rsidRDefault="00DB7533">
      <w:pPr>
        <w:spacing w:before="240" w:after="240"/>
        <w:ind w:left="1134" w:right="277"/>
        <w:jc w:val="both"/>
        <w:rPr>
          <w:rFonts w:ascii="Palatino Linotype" w:eastAsia="Palatino Linotype" w:hAnsi="Palatino Linotype" w:cs="Palatino Linotype"/>
          <w:i/>
          <w:iCs/>
        </w:rPr>
      </w:pPr>
      <w:r w:rsidRPr="00664ACF">
        <w:rPr>
          <w:rFonts w:ascii="Palatino Linotype" w:eastAsia="Palatino Linotype" w:hAnsi="Palatino Linotype" w:cs="Palatino Linotype"/>
          <w:b/>
          <w:bCs/>
          <w:i/>
          <w:iCs/>
        </w:rPr>
        <w:t>Este derecho se regirá por los principios y bases siguientes</w:t>
      </w:r>
      <w:r w:rsidRPr="00664ACF">
        <w:rPr>
          <w:rFonts w:ascii="Palatino Linotype" w:eastAsia="Palatino Linotype" w:hAnsi="Palatino Linotype" w:cs="Palatino Linotype"/>
          <w:i/>
          <w:iCs/>
        </w:rPr>
        <w:t>:</w:t>
      </w:r>
    </w:p>
    <w:p w:rsidR="005C7FE0" w:rsidRPr="00664ACF" w:rsidRDefault="00DB7533">
      <w:pPr>
        <w:spacing w:before="240" w:after="240"/>
        <w:ind w:left="1134" w:right="277"/>
        <w:jc w:val="both"/>
        <w:rPr>
          <w:rFonts w:ascii="Palatino Linotype" w:eastAsia="Palatino Linotype" w:hAnsi="Palatino Linotype" w:cs="Palatino Linotype"/>
          <w:i/>
          <w:iCs/>
        </w:rPr>
      </w:pPr>
      <w:r w:rsidRPr="00664ACF">
        <w:rPr>
          <w:rFonts w:ascii="Palatino Linotype" w:eastAsia="Palatino Linotype" w:hAnsi="Palatino Linotype" w:cs="Palatino Linotype"/>
          <w:b/>
          <w:bCs/>
          <w:i/>
          <w:iCs/>
        </w:rPr>
        <w:t>I. Toda la información en posesión de cualquier autoridad, entidad, órgano y organismos de los</w:t>
      </w:r>
      <w:r w:rsidRPr="00664ACF">
        <w:rPr>
          <w:rFonts w:ascii="Palatino Linotype" w:eastAsia="Palatino Linotype" w:hAnsi="Palatino Linotype" w:cs="Palatino Linotype"/>
          <w:i/>
          <w:iCs/>
        </w:rPr>
        <w:t xml:space="preserve"> Poderes Ejecutivo, Legislativo y Judicial, órganos autónomos, partidos políticos, fideicomisos y fondos públicos estatales y </w:t>
      </w:r>
      <w:r w:rsidRPr="00664ACF">
        <w:rPr>
          <w:rFonts w:ascii="Palatino Linotype" w:eastAsia="Palatino Linotype" w:hAnsi="Palatino Linotype" w:cs="Palatino Linotype"/>
          <w:b/>
          <w:bCs/>
          <w:i/>
          <w:iCs/>
        </w:rPr>
        <w:t>municipales</w:t>
      </w:r>
      <w:r w:rsidRPr="00664ACF">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w:t>
      </w:r>
      <w:r w:rsidRPr="00664ACF">
        <w:rPr>
          <w:rFonts w:ascii="Palatino Linotype" w:eastAsia="Palatino Linotype" w:hAnsi="Palatino Linotype" w:cs="Palatino Linotype"/>
          <w:i/>
          <w:iCs/>
        </w:rPr>
        <w:lastRenderedPageBreak/>
        <w:t xml:space="preserve">estatal y municipal, </w:t>
      </w:r>
      <w:r w:rsidRPr="00664ACF">
        <w:rPr>
          <w:rFonts w:ascii="Palatino Linotype" w:eastAsia="Palatino Linotype" w:hAnsi="Palatino Linotype" w:cs="Palatino Linotype"/>
          <w:b/>
          <w:bCs/>
          <w:i/>
          <w:iCs/>
        </w:rPr>
        <w:t>es pública</w:t>
      </w:r>
      <w:r w:rsidRPr="00664ACF">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sidRPr="00664ACF">
        <w:rPr>
          <w:rFonts w:ascii="Palatino Linotype" w:eastAsia="Palatino Linotype" w:hAnsi="Palatino Linotype" w:cs="Palatino Linotype"/>
          <w:b/>
          <w:bCs/>
          <w:i/>
          <w:iCs/>
        </w:rPr>
        <w:t>En la interpretación de este derecho deberá prevalecer el principio de máxima publicidad</w:t>
      </w:r>
      <w:r w:rsidRPr="00664ACF">
        <w:rPr>
          <w:rFonts w:ascii="Palatino Linotype" w:eastAsia="Palatino Linotype" w:hAnsi="Palatino Linotype" w:cs="Palatino Linotype"/>
          <w:i/>
          <w:iCs/>
        </w:rPr>
        <w:t xml:space="preserve">. </w:t>
      </w:r>
      <w:r w:rsidRPr="00664ACF">
        <w:rPr>
          <w:rFonts w:ascii="Palatino Linotype" w:eastAsia="Palatino Linotype" w:hAnsi="Palatino Linotype" w:cs="Palatino Linotype"/>
          <w:b/>
          <w:bCs/>
          <w:i/>
          <w:iCs/>
        </w:rPr>
        <w:t>Los sujetos obligados deberán documentar todo acto que derive del ejercicio de sus facultades, competencias o funciones</w:t>
      </w:r>
      <w:r w:rsidRPr="00664ACF">
        <w:rPr>
          <w:rFonts w:ascii="Palatino Linotype" w:eastAsia="Palatino Linotype" w:hAnsi="Palatino Linotype" w:cs="Palatino Linotype"/>
          <w:i/>
          <w:iCs/>
        </w:rPr>
        <w:t>, la ley determinará los supuestos específicos bajo los cuales procederá la declaración de inexistencia de la información.”</w:t>
      </w:r>
    </w:p>
    <w:p w:rsidR="005C7FE0" w:rsidRPr="00664ACF" w:rsidRDefault="005C7FE0">
      <w:pPr>
        <w:spacing w:before="240" w:after="240"/>
        <w:ind w:left="1134" w:right="277"/>
        <w:jc w:val="both"/>
        <w:rPr>
          <w:rFonts w:ascii="Palatino Linotype" w:eastAsia="Palatino Linotype" w:hAnsi="Palatino Linotype" w:cs="Palatino Linotype"/>
          <w:i/>
          <w:iCs/>
        </w:rPr>
      </w:pPr>
    </w:p>
    <w:p w:rsidR="005C7FE0" w:rsidRPr="00664ACF" w:rsidRDefault="00DB7533">
      <w:pPr>
        <w:numPr>
          <w:ilvl w:val="0"/>
          <w:numId w:val="2"/>
        </w:numPr>
        <w:spacing w:before="240" w:line="360" w:lineRule="auto"/>
        <w:ind w:left="0" w:right="-1566" w:firstLine="0"/>
        <w:jc w:val="both"/>
        <w:rPr>
          <w:rFonts w:ascii="Palatino Linotype" w:eastAsia="Palatino Linotype" w:hAnsi="Palatino Linotype" w:cs="Palatino Linotype"/>
        </w:rPr>
      </w:pPr>
      <w:r w:rsidRPr="00664ACF">
        <w:rPr>
          <w:rFonts w:ascii="Palatino Linotype" w:eastAsia="Palatino Linotype" w:hAnsi="Palatino Linotype" w:cs="Palatino Linotype"/>
        </w:rPr>
        <w:t xml:space="preserve">Según el artículo 150 de la Ley de Transparencia del Estado, la solicitud es la garantía primaria del Derecho de Acceso a la Información, además, establece que se regirá </w:t>
      </w:r>
      <w:r w:rsidRPr="00664ACF">
        <w:rPr>
          <w:rFonts w:ascii="Palatino Linotype" w:eastAsia="Palatino Linotype" w:hAnsi="Palatino Linotype" w:cs="Palatino Linotype"/>
          <w:i/>
          <w:iCs/>
        </w:rPr>
        <w:t>por los principios de simplicidad, rapidez gratuidad del procedimiento, auxilio y orientación a los particulares</w:t>
      </w:r>
      <w:r w:rsidRPr="00664ACF">
        <w:rPr>
          <w:rFonts w:ascii="Palatino Linotype" w:eastAsia="Palatino Linotype" w:hAnsi="Palatino Linotype" w:cs="Palatino Linotype"/>
        </w:rPr>
        <w:t>, contemplando el derecho de las personas con discapacidad y hablantes de lengua indígena.</w:t>
      </w:r>
    </w:p>
    <w:p w:rsidR="005C7FE0" w:rsidRPr="00664ACF" w:rsidRDefault="005C7FE0">
      <w:pPr>
        <w:spacing w:line="360" w:lineRule="auto"/>
        <w:ind w:right="-1566"/>
        <w:jc w:val="both"/>
        <w:rPr>
          <w:rFonts w:ascii="Palatino Linotype" w:eastAsia="Palatino Linotype" w:hAnsi="Palatino Linotype" w:cs="Palatino Linotype"/>
        </w:rPr>
      </w:pPr>
    </w:p>
    <w:p w:rsidR="005C7FE0" w:rsidRPr="00664ACF" w:rsidRDefault="00DB7533">
      <w:pPr>
        <w:numPr>
          <w:ilvl w:val="0"/>
          <w:numId w:val="2"/>
        </w:numPr>
        <w:spacing w:line="360" w:lineRule="auto"/>
        <w:ind w:left="0" w:right="-1566" w:firstLine="0"/>
        <w:jc w:val="both"/>
        <w:rPr>
          <w:rFonts w:ascii="Palatino Linotype" w:eastAsia="Palatino Linotype" w:hAnsi="Palatino Linotype" w:cs="Palatino Linotype"/>
        </w:rPr>
      </w:pPr>
      <w:r w:rsidRPr="00664ACF">
        <w:rPr>
          <w:rFonts w:ascii="Palatino Linotype" w:eastAsia="Palatino Linotype" w:hAnsi="Palatino Linotype" w:cs="Palatino Linotype"/>
        </w:rPr>
        <w:t xml:space="preserve">El Derecho de Acceso a la Información se garantiza y respeta oportunamente, y según lo que dispone la Ley, las </w:t>
      </w:r>
      <w:r w:rsidRPr="00664ACF">
        <w:rPr>
          <w:rFonts w:ascii="Palatino Linotype" w:eastAsia="Palatino Linotype" w:hAnsi="Palatino Linotype" w:cs="Palatino Linotype"/>
          <w:i/>
          <w:iCs/>
        </w:rPr>
        <w:t>solicitudes de acceso a la información</w:t>
      </w:r>
      <w:r w:rsidRPr="00664ACF">
        <w:rPr>
          <w:rFonts w:ascii="Palatino Linotype" w:eastAsia="Palatino Linotype" w:hAnsi="Palatino Linotype" w:cs="Palatino Linotype"/>
        </w:rPr>
        <w:t>.</w:t>
      </w:r>
    </w:p>
    <w:p w:rsidR="005C7FE0" w:rsidRPr="00664ACF" w:rsidRDefault="005C7FE0">
      <w:pPr>
        <w:spacing w:line="360" w:lineRule="auto"/>
        <w:ind w:right="-1566"/>
        <w:jc w:val="both"/>
        <w:rPr>
          <w:rFonts w:ascii="Palatino Linotype" w:eastAsia="Palatino Linotype" w:hAnsi="Palatino Linotype" w:cs="Palatino Linotype"/>
        </w:rPr>
      </w:pPr>
    </w:p>
    <w:p w:rsidR="005C7FE0" w:rsidRPr="00664ACF" w:rsidRDefault="00DB7533">
      <w:pPr>
        <w:numPr>
          <w:ilvl w:val="0"/>
          <w:numId w:val="2"/>
        </w:numPr>
        <w:spacing w:line="360" w:lineRule="auto"/>
        <w:ind w:left="0" w:right="-1566" w:firstLine="0"/>
        <w:jc w:val="both"/>
        <w:rPr>
          <w:rFonts w:ascii="Palatino Linotype" w:eastAsia="Palatino Linotype" w:hAnsi="Palatino Linotype" w:cs="Palatino Linotype"/>
        </w:rPr>
      </w:pPr>
      <w:bookmarkStart w:id="11" w:name="_heading=h.3rdcrjn" w:colFirst="0" w:colLast="0"/>
      <w:bookmarkEnd w:id="11"/>
      <w:r w:rsidRPr="00664ACF">
        <w:rPr>
          <w:rFonts w:ascii="Palatino Linotype" w:eastAsia="Palatino Linotype" w:hAnsi="Palatino Linotype" w:cs="Palatino Linotype"/>
        </w:rPr>
        <w:t xml:space="preserve">Así entonces, se procede analizar, en primer lugar, si el </w:t>
      </w:r>
      <w:r w:rsidRPr="00664ACF">
        <w:rPr>
          <w:rFonts w:ascii="Palatino Linotype" w:eastAsia="Palatino Linotype" w:hAnsi="Palatino Linotype" w:cs="Palatino Linotype"/>
          <w:b/>
          <w:bCs/>
        </w:rPr>
        <w:t>SUJETO OBLIGADO</w:t>
      </w:r>
      <w:r w:rsidRPr="00664ACF">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5C7FE0" w:rsidRPr="00664ACF" w:rsidRDefault="005C7FE0">
      <w:pPr>
        <w:spacing w:line="360" w:lineRule="auto"/>
        <w:ind w:right="-1566"/>
        <w:jc w:val="both"/>
        <w:rPr>
          <w:rFonts w:ascii="Palatino Linotype" w:eastAsia="Palatino Linotype" w:hAnsi="Palatino Linotype" w:cs="Palatino Linotype"/>
        </w:rPr>
      </w:pPr>
    </w:p>
    <w:p w:rsidR="005C7FE0" w:rsidRPr="00664ACF" w:rsidRDefault="00DB7533">
      <w:pPr>
        <w:pStyle w:val="Ttulo1"/>
        <w:spacing w:before="0" w:after="240" w:line="360" w:lineRule="auto"/>
        <w:ind w:right="-1566"/>
        <w:rPr>
          <w:rFonts w:ascii="Palatino Linotype" w:eastAsia="Palatino Linotype" w:hAnsi="Palatino Linotype" w:cs="Palatino Linotype"/>
          <w:b/>
          <w:bCs/>
          <w:color w:val="000000"/>
          <w:sz w:val="24"/>
          <w:szCs w:val="24"/>
        </w:rPr>
      </w:pPr>
      <w:bookmarkStart w:id="12" w:name="_heading=h.26in1rg" w:colFirst="0" w:colLast="0"/>
      <w:bookmarkEnd w:id="12"/>
      <w:r w:rsidRPr="00664ACF">
        <w:rPr>
          <w:rFonts w:ascii="Palatino Linotype" w:eastAsia="Palatino Linotype" w:hAnsi="Palatino Linotype" w:cs="Palatino Linotype"/>
          <w:b/>
          <w:bCs/>
          <w:color w:val="000000"/>
          <w:sz w:val="24"/>
          <w:szCs w:val="24"/>
        </w:rPr>
        <w:lastRenderedPageBreak/>
        <w:t>II. De la información solicitada y la respuesta del SUJETO OBLIGADO</w:t>
      </w:r>
    </w:p>
    <w:p w:rsidR="005C7FE0" w:rsidRPr="00664ACF" w:rsidRDefault="00DB7533">
      <w:pPr>
        <w:numPr>
          <w:ilvl w:val="0"/>
          <w:numId w:val="2"/>
        </w:numPr>
        <w:spacing w:line="360" w:lineRule="auto"/>
        <w:ind w:left="0" w:right="-1566" w:firstLine="0"/>
        <w:jc w:val="both"/>
        <w:rPr>
          <w:rFonts w:ascii="Palatino Linotype" w:eastAsia="Palatino Linotype" w:hAnsi="Palatino Linotype" w:cs="Palatino Linotype"/>
        </w:rPr>
      </w:pPr>
      <w:r w:rsidRPr="00664ACF">
        <w:rPr>
          <w:rFonts w:ascii="Palatino Linotype" w:eastAsia="Palatino Linotype" w:hAnsi="Palatino Linotype" w:cs="Palatino Linotype"/>
          <w:color w:val="000000"/>
        </w:rPr>
        <w:t xml:space="preserve">Acotada la </w:t>
      </w:r>
      <w:r w:rsidRPr="00664ACF">
        <w:rPr>
          <w:rFonts w:ascii="Palatino Linotype" w:eastAsia="Palatino Linotype" w:hAnsi="Palatino Linotype" w:cs="Palatino Linotype"/>
          <w:i/>
          <w:iCs/>
          <w:color w:val="000000"/>
        </w:rPr>
        <w:t>Litis</w:t>
      </w:r>
      <w:r w:rsidRPr="00664ACF">
        <w:rPr>
          <w:rFonts w:ascii="Palatino Linotype" w:eastAsia="Palatino Linotype" w:hAnsi="Palatino Linotype" w:cs="Palatino Linotype"/>
          <w:color w:val="000000"/>
        </w:rPr>
        <w:t xml:space="preserve"> del presente asunto se debe de analizar mediante el siguiente cuadro si el </w:t>
      </w:r>
      <w:r w:rsidRPr="00664ACF">
        <w:rPr>
          <w:rFonts w:ascii="Palatino Linotype" w:eastAsia="Palatino Linotype" w:hAnsi="Palatino Linotype" w:cs="Palatino Linotype"/>
          <w:b/>
          <w:bCs/>
          <w:color w:val="000000"/>
        </w:rPr>
        <w:t xml:space="preserve">SUJETO OBLIGADO </w:t>
      </w:r>
      <w:r w:rsidRPr="00664ACF">
        <w:rPr>
          <w:rFonts w:ascii="Palatino Linotype" w:eastAsia="Palatino Linotype" w:hAnsi="Palatino Linotype" w:cs="Palatino Linotype"/>
          <w:color w:val="000000"/>
        </w:rPr>
        <w:t xml:space="preserve">con la información remitida en se colma el derecho de acceso a la información del </w:t>
      </w:r>
      <w:r w:rsidRPr="00664ACF">
        <w:rPr>
          <w:rFonts w:ascii="Palatino Linotype" w:eastAsia="Palatino Linotype" w:hAnsi="Palatino Linotype" w:cs="Palatino Linotype"/>
          <w:b/>
          <w:bCs/>
          <w:color w:val="000000"/>
        </w:rPr>
        <w:t xml:space="preserve">RECURRENTE. </w:t>
      </w:r>
    </w:p>
    <w:p w:rsidR="005C7FE0" w:rsidRPr="00664ACF" w:rsidRDefault="00DB7533">
      <w:pPr>
        <w:pBdr>
          <w:top w:val="nil"/>
          <w:left w:val="nil"/>
          <w:bottom w:val="nil"/>
          <w:right w:val="nil"/>
          <w:between w:val="nil"/>
        </w:pBdr>
        <w:ind w:left="360" w:right="-1566"/>
        <w:jc w:val="both"/>
        <w:rPr>
          <w:rFonts w:ascii="Palatino Linotype" w:eastAsia="Palatino Linotype" w:hAnsi="Palatino Linotype" w:cs="Palatino Linotype"/>
          <w:b/>
          <w:bCs/>
          <w:i/>
          <w:iCs/>
          <w:color w:val="000000"/>
        </w:rPr>
      </w:pPr>
      <w:r w:rsidRPr="00664ACF">
        <w:rPr>
          <w:rFonts w:ascii="Palatino Linotype" w:eastAsia="Palatino Linotype" w:hAnsi="Palatino Linotype" w:cs="Palatino Linotype"/>
          <w:b/>
          <w:bCs/>
          <w:i/>
          <w:iCs/>
          <w:color w:val="000000"/>
        </w:rPr>
        <w:t xml:space="preserve"> </w:t>
      </w:r>
    </w:p>
    <w:tbl>
      <w:tblPr>
        <w:tblStyle w:val="a"/>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2693"/>
        <w:gridCol w:w="2099"/>
        <w:gridCol w:w="2295"/>
      </w:tblGrid>
      <w:tr w:rsidR="005C7FE0" w:rsidRPr="00664ACF">
        <w:tc>
          <w:tcPr>
            <w:tcW w:w="2689" w:type="dxa"/>
          </w:tcPr>
          <w:p w:rsidR="005C7FE0" w:rsidRPr="00664ACF" w:rsidRDefault="00DB7533">
            <w:pPr>
              <w:jc w:val="center"/>
              <w:rPr>
                <w:rFonts w:ascii="Palatino Linotype" w:eastAsia="Palatino Linotype" w:hAnsi="Palatino Linotype" w:cs="Palatino Linotype"/>
                <w:b/>
                <w:bCs/>
                <w:i/>
                <w:iCs/>
              </w:rPr>
            </w:pPr>
            <w:r w:rsidRPr="00664ACF">
              <w:rPr>
                <w:rFonts w:ascii="Palatino Linotype" w:eastAsia="Palatino Linotype" w:hAnsi="Palatino Linotype" w:cs="Palatino Linotype"/>
                <w:b/>
                <w:bCs/>
                <w:i/>
                <w:iCs/>
              </w:rPr>
              <w:t>Información solicitada</w:t>
            </w:r>
          </w:p>
        </w:tc>
        <w:tc>
          <w:tcPr>
            <w:tcW w:w="2693" w:type="dxa"/>
          </w:tcPr>
          <w:p w:rsidR="005C7FE0" w:rsidRPr="00664ACF" w:rsidRDefault="00DB7533">
            <w:pPr>
              <w:jc w:val="center"/>
              <w:rPr>
                <w:rFonts w:ascii="Palatino Linotype" w:eastAsia="Palatino Linotype" w:hAnsi="Palatino Linotype" w:cs="Palatino Linotype"/>
                <w:b/>
                <w:bCs/>
                <w:i/>
                <w:iCs/>
              </w:rPr>
            </w:pPr>
            <w:r w:rsidRPr="00664ACF">
              <w:rPr>
                <w:rFonts w:ascii="Palatino Linotype" w:eastAsia="Palatino Linotype" w:hAnsi="Palatino Linotype" w:cs="Palatino Linotype"/>
                <w:b/>
                <w:bCs/>
                <w:i/>
                <w:iCs/>
              </w:rPr>
              <w:t>Respuesta inicial</w:t>
            </w:r>
          </w:p>
        </w:tc>
        <w:tc>
          <w:tcPr>
            <w:tcW w:w="2099" w:type="dxa"/>
          </w:tcPr>
          <w:p w:rsidR="005C7FE0" w:rsidRPr="00664ACF" w:rsidRDefault="00DB7533">
            <w:pPr>
              <w:ind w:right="7"/>
              <w:jc w:val="center"/>
              <w:rPr>
                <w:rFonts w:ascii="Palatino Linotype" w:eastAsia="Palatino Linotype" w:hAnsi="Palatino Linotype" w:cs="Palatino Linotype"/>
                <w:b/>
                <w:bCs/>
                <w:i/>
                <w:iCs/>
              </w:rPr>
            </w:pPr>
            <w:r w:rsidRPr="00664ACF">
              <w:rPr>
                <w:rFonts w:ascii="Palatino Linotype" w:eastAsia="Palatino Linotype" w:hAnsi="Palatino Linotype" w:cs="Palatino Linotype"/>
                <w:b/>
                <w:bCs/>
                <w:i/>
                <w:iCs/>
              </w:rPr>
              <w:t>manifestaciones</w:t>
            </w:r>
          </w:p>
        </w:tc>
        <w:tc>
          <w:tcPr>
            <w:tcW w:w="2295" w:type="dxa"/>
          </w:tcPr>
          <w:p w:rsidR="005C7FE0" w:rsidRPr="00664ACF" w:rsidRDefault="00DB7533">
            <w:pPr>
              <w:jc w:val="center"/>
              <w:rPr>
                <w:rFonts w:ascii="Palatino Linotype" w:eastAsia="Palatino Linotype" w:hAnsi="Palatino Linotype" w:cs="Palatino Linotype"/>
                <w:b/>
                <w:bCs/>
                <w:i/>
                <w:iCs/>
              </w:rPr>
            </w:pPr>
            <w:r w:rsidRPr="00664ACF">
              <w:rPr>
                <w:rFonts w:ascii="Palatino Linotype" w:eastAsia="Palatino Linotype" w:hAnsi="Palatino Linotype" w:cs="Palatino Linotype"/>
                <w:b/>
                <w:bCs/>
                <w:i/>
                <w:iCs/>
              </w:rPr>
              <w:t>Colma</w:t>
            </w:r>
          </w:p>
        </w:tc>
      </w:tr>
      <w:tr w:rsidR="005C7FE0" w:rsidRPr="00664ACF">
        <w:tc>
          <w:tcPr>
            <w:tcW w:w="2689" w:type="dxa"/>
          </w:tcPr>
          <w:p w:rsidR="005C7FE0" w:rsidRPr="00664ACF" w:rsidRDefault="00DB7533">
            <w:pPr>
              <w:pBdr>
                <w:top w:val="nil"/>
                <w:left w:val="nil"/>
                <w:bottom w:val="nil"/>
                <w:right w:val="nil"/>
                <w:between w:val="nil"/>
              </w:pBdr>
              <w:jc w:val="both"/>
              <w:rPr>
                <w:rFonts w:ascii="Palatino Linotype" w:eastAsia="Palatino Linotype" w:hAnsi="Palatino Linotype" w:cs="Palatino Linotype"/>
                <w:b/>
                <w:bCs/>
                <w:i/>
                <w:iCs/>
              </w:rPr>
            </w:pPr>
            <w:r w:rsidRPr="00664ACF">
              <w:rPr>
                <w:rFonts w:ascii="Palatino Linotype" w:eastAsia="Palatino Linotype" w:hAnsi="Palatino Linotype" w:cs="Palatino Linotype"/>
                <w:b/>
                <w:bCs/>
                <w:i/>
                <w:iCs/>
              </w:rPr>
              <w:t>1.- Listado de todas las farmacias ubicadas en toda la cabecera municipal de Ayapango que cuenten con permiso vigente de funcionamiento, que contenga nombre del establecimiento, tipo de establecimiento, dirección exacta, fecha de otorgamiento del permiso vigencia del permiso, tipo de permiso otorgado,  número de expediente o registro del permiso, observaciones legales o restricciones.</w:t>
            </w:r>
          </w:p>
        </w:tc>
        <w:tc>
          <w:tcPr>
            <w:tcW w:w="2693" w:type="dxa"/>
          </w:tcPr>
          <w:p w:rsidR="005C7FE0" w:rsidRPr="00664ACF" w:rsidRDefault="00DB7533">
            <w:pPr>
              <w:pBdr>
                <w:top w:val="nil"/>
                <w:left w:val="nil"/>
                <w:bottom w:val="nil"/>
                <w:right w:val="nil"/>
                <w:between w:val="nil"/>
              </w:pBdr>
              <w:ind w:right="277"/>
              <w:jc w:val="both"/>
              <w:rPr>
                <w:rFonts w:ascii="Palatino Linotype" w:eastAsia="Palatino Linotype" w:hAnsi="Palatino Linotype" w:cs="Palatino Linotype"/>
                <w:i/>
                <w:iCs/>
                <w:color w:val="000000"/>
              </w:rPr>
            </w:pPr>
            <w:r w:rsidRPr="00664ACF">
              <w:rPr>
                <w:rFonts w:ascii="Palatino Linotype" w:eastAsia="Palatino Linotype" w:hAnsi="Palatino Linotype" w:cs="Palatino Linotype"/>
                <w:b/>
                <w:bCs/>
                <w:i/>
                <w:iCs/>
                <w:color w:val="000000"/>
              </w:rPr>
              <w:t xml:space="preserve">00007.pdf: </w:t>
            </w:r>
            <w:r w:rsidRPr="00664ACF">
              <w:rPr>
                <w:rFonts w:ascii="Palatino Linotype" w:eastAsia="Palatino Linotype" w:hAnsi="Palatino Linotype" w:cs="Palatino Linotype"/>
                <w:i/>
                <w:iCs/>
                <w:color w:val="000000"/>
              </w:rPr>
              <w:t xml:space="preserve">oficio del Director de Desarrollo Económico, mediante el cual informa que no puede entregar la información solicitada, toda vez que implica generar un documento ad hoc. </w:t>
            </w:r>
          </w:p>
          <w:p w:rsidR="005C7FE0" w:rsidRPr="00664ACF" w:rsidRDefault="005C7FE0">
            <w:pPr>
              <w:pBdr>
                <w:top w:val="nil"/>
                <w:left w:val="nil"/>
                <w:bottom w:val="nil"/>
                <w:right w:val="nil"/>
                <w:between w:val="nil"/>
              </w:pBdr>
              <w:ind w:left="1134" w:right="277"/>
              <w:jc w:val="both"/>
              <w:rPr>
                <w:rFonts w:ascii="Palatino Linotype" w:eastAsia="Palatino Linotype" w:hAnsi="Palatino Linotype" w:cs="Palatino Linotype"/>
                <w:i/>
                <w:iCs/>
                <w:color w:val="000000"/>
              </w:rPr>
            </w:pPr>
          </w:p>
          <w:p w:rsidR="005C7FE0" w:rsidRPr="00664ACF" w:rsidRDefault="005C7FE0">
            <w:pPr>
              <w:spacing w:after="160" w:line="259" w:lineRule="auto"/>
              <w:jc w:val="both"/>
              <w:rPr>
                <w:rFonts w:ascii="Palatino Linotype" w:eastAsia="Palatino Linotype" w:hAnsi="Palatino Linotype" w:cs="Palatino Linotype"/>
                <w:i/>
                <w:iCs/>
                <w:color w:val="000000"/>
              </w:rPr>
            </w:pPr>
          </w:p>
          <w:p w:rsidR="005C7FE0" w:rsidRPr="00664ACF" w:rsidRDefault="005C7FE0">
            <w:pPr>
              <w:jc w:val="both"/>
              <w:rPr>
                <w:rFonts w:ascii="Palatino Linotype" w:eastAsia="Palatino Linotype" w:hAnsi="Palatino Linotype" w:cs="Palatino Linotype"/>
                <w:i/>
                <w:iCs/>
              </w:rPr>
            </w:pPr>
          </w:p>
        </w:tc>
        <w:tc>
          <w:tcPr>
            <w:tcW w:w="2099" w:type="dxa"/>
          </w:tcPr>
          <w:p w:rsidR="005C7FE0" w:rsidRPr="00664ACF" w:rsidRDefault="00DB7533">
            <w:pPr>
              <w:pBdr>
                <w:top w:val="nil"/>
                <w:left w:val="nil"/>
                <w:bottom w:val="nil"/>
                <w:right w:val="nil"/>
                <w:between w:val="nil"/>
              </w:pBdr>
              <w:ind w:right="7"/>
              <w:jc w:val="both"/>
              <w:rPr>
                <w:rFonts w:ascii="Palatino Linotype" w:eastAsia="Palatino Linotype" w:hAnsi="Palatino Linotype" w:cs="Palatino Linotype"/>
                <w:i/>
                <w:iCs/>
              </w:rPr>
            </w:pPr>
            <w:r w:rsidRPr="00664ACF">
              <w:rPr>
                <w:rFonts w:ascii="Palatino Linotype" w:eastAsia="Palatino Linotype" w:hAnsi="Palatino Linotype" w:cs="Palatino Linotype"/>
                <w:i/>
                <w:iCs/>
              </w:rPr>
              <w:t xml:space="preserve"> Ratifica respuesta inicial</w:t>
            </w:r>
          </w:p>
        </w:tc>
        <w:tc>
          <w:tcPr>
            <w:tcW w:w="2295" w:type="dxa"/>
          </w:tcPr>
          <w:p w:rsidR="005C7FE0" w:rsidRPr="00664ACF" w:rsidRDefault="00DB7533">
            <w:pPr>
              <w:jc w:val="both"/>
              <w:rPr>
                <w:rFonts w:ascii="Palatino Linotype" w:eastAsia="Palatino Linotype" w:hAnsi="Palatino Linotype" w:cs="Palatino Linotype"/>
                <w:i/>
                <w:iCs/>
              </w:rPr>
            </w:pPr>
            <w:r w:rsidRPr="00664ACF">
              <w:rPr>
                <w:rFonts w:ascii="Palatino Linotype" w:eastAsia="Palatino Linotype" w:hAnsi="Palatino Linotype" w:cs="Palatino Linotype"/>
                <w:i/>
                <w:iCs/>
              </w:rPr>
              <w:t xml:space="preserve">No colma, toda vez que lo solicitado guarda relación con las obligaciones de transparencia común, de conformidad con el artículo 92 fracción XXXII de la Ley de Transparencia y Acceso a la Información Pública del Estado de México y Municipios. </w:t>
            </w:r>
          </w:p>
        </w:tc>
      </w:tr>
      <w:tr w:rsidR="005C7FE0" w:rsidRPr="00664ACF">
        <w:tc>
          <w:tcPr>
            <w:tcW w:w="2689" w:type="dxa"/>
          </w:tcPr>
          <w:p w:rsidR="005C7FE0" w:rsidRPr="00664ACF" w:rsidRDefault="00DB7533">
            <w:pPr>
              <w:pBdr>
                <w:top w:val="nil"/>
                <w:left w:val="nil"/>
                <w:bottom w:val="nil"/>
                <w:right w:val="nil"/>
                <w:between w:val="nil"/>
              </w:pBdr>
              <w:jc w:val="both"/>
              <w:rPr>
                <w:rFonts w:ascii="Palatino Linotype" w:eastAsia="Palatino Linotype" w:hAnsi="Palatino Linotype" w:cs="Palatino Linotype"/>
                <w:b/>
                <w:bCs/>
                <w:i/>
                <w:iCs/>
              </w:rPr>
            </w:pPr>
            <w:r w:rsidRPr="00664ACF">
              <w:rPr>
                <w:rFonts w:ascii="Palatino Linotype" w:eastAsia="Palatino Linotype" w:hAnsi="Palatino Linotype" w:cs="Palatino Linotype"/>
                <w:b/>
                <w:bCs/>
                <w:i/>
                <w:iCs/>
              </w:rPr>
              <w:t xml:space="preserve">2.- Listado de todos los consultorios médicos y dentales ubicados en toda la cabecera municipal de Ayapango que cuenten </w:t>
            </w:r>
            <w:r w:rsidRPr="00664ACF">
              <w:rPr>
                <w:rFonts w:ascii="Palatino Linotype" w:eastAsia="Palatino Linotype" w:hAnsi="Palatino Linotype" w:cs="Palatino Linotype"/>
                <w:b/>
                <w:bCs/>
                <w:i/>
                <w:iCs/>
              </w:rPr>
              <w:lastRenderedPageBreak/>
              <w:t>con permiso vigente de funcionamiento, que contenga nombre del establecimiento, tipo de establecimiento, dirección exacta, fecha de otorgamiento del permiso vigencia del permiso, tipo de permiso otorgado,  número de expediente o registro del permiso, observaciones legales o restricciones.</w:t>
            </w:r>
          </w:p>
          <w:p w:rsidR="005C7FE0" w:rsidRPr="00664ACF" w:rsidRDefault="005C7FE0">
            <w:pPr>
              <w:pBdr>
                <w:top w:val="nil"/>
                <w:left w:val="nil"/>
                <w:bottom w:val="nil"/>
                <w:right w:val="nil"/>
                <w:between w:val="nil"/>
              </w:pBdr>
              <w:jc w:val="both"/>
              <w:rPr>
                <w:rFonts w:ascii="Palatino Linotype" w:eastAsia="Palatino Linotype" w:hAnsi="Palatino Linotype" w:cs="Palatino Linotype"/>
                <w:b/>
                <w:bCs/>
                <w:i/>
                <w:iCs/>
              </w:rPr>
            </w:pPr>
          </w:p>
        </w:tc>
        <w:tc>
          <w:tcPr>
            <w:tcW w:w="2693" w:type="dxa"/>
          </w:tcPr>
          <w:p w:rsidR="005C7FE0" w:rsidRPr="00664ACF" w:rsidRDefault="00DB7533">
            <w:pPr>
              <w:pBdr>
                <w:top w:val="nil"/>
                <w:left w:val="nil"/>
                <w:bottom w:val="nil"/>
                <w:right w:val="nil"/>
                <w:between w:val="nil"/>
              </w:pBdr>
              <w:ind w:right="277"/>
              <w:jc w:val="both"/>
              <w:rPr>
                <w:rFonts w:ascii="Palatino Linotype" w:eastAsia="Palatino Linotype" w:hAnsi="Palatino Linotype" w:cs="Palatino Linotype"/>
                <w:i/>
                <w:iCs/>
                <w:color w:val="000000"/>
              </w:rPr>
            </w:pPr>
            <w:r w:rsidRPr="00664ACF">
              <w:rPr>
                <w:rFonts w:ascii="Palatino Linotype" w:eastAsia="Palatino Linotype" w:hAnsi="Palatino Linotype" w:cs="Palatino Linotype"/>
                <w:b/>
                <w:bCs/>
                <w:i/>
                <w:iCs/>
                <w:color w:val="000000"/>
              </w:rPr>
              <w:lastRenderedPageBreak/>
              <w:t xml:space="preserve">00007.pdf: </w:t>
            </w:r>
            <w:r w:rsidRPr="00664ACF">
              <w:rPr>
                <w:rFonts w:ascii="Palatino Linotype" w:eastAsia="Palatino Linotype" w:hAnsi="Palatino Linotype" w:cs="Palatino Linotype"/>
                <w:i/>
                <w:iCs/>
                <w:color w:val="000000"/>
              </w:rPr>
              <w:t xml:space="preserve">oficio del Director de Desarrollo Económico, mediante el cual informa que no puede entregar la información solicitada, </w:t>
            </w:r>
            <w:r w:rsidRPr="00664ACF">
              <w:rPr>
                <w:rFonts w:ascii="Palatino Linotype" w:eastAsia="Palatino Linotype" w:hAnsi="Palatino Linotype" w:cs="Palatino Linotype"/>
                <w:i/>
                <w:iCs/>
                <w:color w:val="000000"/>
              </w:rPr>
              <w:lastRenderedPageBreak/>
              <w:t xml:space="preserve">toda vez que implica generar un documento ad hoc. </w:t>
            </w:r>
          </w:p>
          <w:p w:rsidR="005C7FE0" w:rsidRPr="00664ACF" w:rsidRDefault="005C7FE0">
            <w:pPr>
              <w:pBdr>
                <w:top w:val="nil"/>
                <w:left w:val="nil"/>
                <w:bottom w:val="nil"/>
                <w:right w:val="nil"/>
                <w:between w:val="nil"/>
              </w:pBdr>
              <w:ind w:left="1134" w:right="277"/>
              <w:jc w:val="both"/>
              <w:rPr>
                <w:rFonts w:ascii="Palatino Linotype" w:eastAsia="Palatino Linotype" w:hAnsi="Palatino Linotype" w:cs="Palatino Linotype"/>
                <w:i/>
                <w:iCs/>
                <w:color w:val="000000"/>
              </w:rPr>
            </w:pPr>
          </w:p>
          <w:p w:rsidR="005C7FE0" w:rsidRPr="00664ACF" w:rsidRDefault="005C7FE0">
            <w:pPr>
              <w:spacing w:after="160" w:line="259" w:lineRule="auto"/>
              <w:rPr>
                <w:rFonts w:ascii="Palatino Linotype" w:eastAsia="Palatino Linotype" w:hAnsi="Palatino Linotype" w:cs="Palatino Linotype"/>
                <w:i/>
                <w:iCs/>
                <w:color w:val="000000"/>
              </w:rPr>
            </w:pPr>
          </w:p>
          <w:p w:rsidR="005C7FE0" w:rsidRPr="00664ACF" w:rsidRDefault="005C7FE0">
            <w:pPr>
              <w:jc w:val="both"/>
              <w:rPr>
                <w:rFonts w:ascii="Palatino Linotype" w:eastAsia="Palatino Linotype" w:hAnsi="Palatino Linotype" w:cs="Palatino Linotype"/>
                <w:i/>
                <w:iCs/>
              </w:rPr>
            </w:pPr>
          </w:p>
        </w:tc>
        <w:tc>
          <w:tcPr>
            <w:tcW w:w="2099" w:type="dxa"/>
          </w:tcPr>
          <w:p w:rsidR="005C7FE0" w:rsidRPr="00664ACF" w:rsidRDefault="00DB7533">
            <w:pPr>
              <w:pBdr>
                <w:top w:val="nil"/>
                <w:left w:val="nil"/>
                <w:bottom w:val="nil"/>
                <w:right w:val="nil"/>
                <w:between w:val="nil"/>
              </w:pBdr>
              <w:ind w:right="7"/>
              <w:jc w:val="both"/>
              <w:rPr>
                <w:rFonts w:ascii="Palatino Linotype" w:eastAsia="Palatino Linotype" w:hAnsi="Palatino Linotype" w:cs="Palatino Linotype"/>
                <w:i/>
                <w:iCs/>
              </w:rPr>
            </w:pPr>
            <w:r w:rsidRPr="00664ACF">
              <w:rPr>
                <w:rFonts w:ascii="Palatino Linotype" w:eastAsia="Palatino Linotype" w:hAnsi="Palatino Linotype" w:cs="Palatino Linotype"/>
                <w:i/>
                <w:iCs/>
              </w:rPr>
              <w:lastRenderedPageBreak/>
              <w:t xml:space="preserve"> Ratifica respuesta inicial</w:t>
            </w:r>
          </w:p>
        </w:tc>
        <w:tc>
          <w:tcPr>
            <w:tcW w:w="2295" w:type="dxa"/>
          </w:tcPr>
          <w:p w:rsidR="005C7FE0" w:rsidRPr="00664ACF" w:rsidRDefault="00DB7533">
            <w:pPr>
              <w:jc w:val="both"/>
              <w:rPr>
                <w:rFonts w:ascii="Palatino Linotype" w:eastAsia="Palatino Linotype" w:hAnsi="Palatino Linotype" w:cs="Palatino Linotype"/>
                <w:i/>
                <w:iCs/>
              </w:rPr>
            </w:pPr>
            <w:r w:rsidRPr="00664ACF">
              <w:rPr>
                <w:rFonts w:ascii="Palatino Linotype" w:eastAsia="Palatino Linotype" w:hAnsi="Palatino Linotype" w:cs="Palatino Linotype"/>
                <w:i/>
                <w:iCs/>
              </w:rPr>
              <w:t xml:space="preserve">No colma, toda vez que lo solicitado guarda relación con las obligaciones de transparencia común, de </w:t>
            </w:r>
            <w:r w:rsidRPr="00664ACF">
              <w:rPr>
                <w:rFonts w:ascii="Palatino Linotype" w:eastAsia="Palatino Linotype" w:hAnsi="Palatino Linotype" w:cs="Palatino Linotype"/>
                <w:i/>
                <w:iCs/>
              </w:rPr>
              <w:lastRenderedPageBreak/>
              <w:t xml:space="preserve">conformidad con el artículo 92 fracción XXXII de la Ley de Transparencia y Acceso a la Información Pública del Estado de México y Municipios. </w:t>
            </w:r>
          </w:p>
        </w:tc>
      </w:tr>
    </w:tbl>
    <w:p w:rsidR="005C7FE0" w:rsidRPr="00664ACF" w:rsidRDefault="005C7FE0">
      <w:pPr>
        <w:spacing w:line="360" w:lineRule="auto"/>
        <w:ind w:right="-1566"/>
        <w:jc w:val="both"/>
        <w:rPr>
          <w:rFonts w:ascii="Palatino Linotype" w:eastAsia="Palatino Linotype" w:hAnsi="Palatino Linotype" w:cs="Palatino Linotype"/>
        </w:rPr>
      </w:pPr>
    </w:p>
    <w:p w:rsidR="005C7FE0" w:rsidRPr="00664ACF" w:rsidRDefault="00DB7533">
      <w:pPr>
        <w:numPr>
          <w:ilvl w:val="0"/>
          <w:numId w:val="2"/>
        </w:numPr>
        <w:pBdr>
          <w:top w:val="nil"/>
          <w:left w:val="nil"/>
          <w:bottom w:val="nil"/>
          <w:right w:val="nil"/>
          <w:between w:val="nil"/>
        </w:pBdr>
        <w:spacing w:line="360" w:lineRule="auto"/>
        <w:ind w:left="0" w:right="-1566" w:firstLine="0"/>
        <w:jc w:val="both"/>
        <w:rPr>
          <w:rFonts w:ascii="Palatino Linotype" w:eastAsia="Palatino Linotype" w:hAnsi="Palatino Linotype" w:cs="Palatino Linotype"/>
          <w:color w:val="000000"/>
        </w:rPr>
      </w:pPr>
      <w:r w:rsidRPr="00664ACF">
        <w:rPr>
          <w:rFonts w:ascii="Palatino Linotype" w:eastAsia="Palatino Linotype" w:hAnsi="Palatino Linotype" w:cs="Palatino Linotype"/>
          <w:color w:val="000000"/>
        </w:rPr>
        <w:t xml:space="preserve">De lo anterior, se tiene que el </w:t>
      </w:r>
      <w:r w:rsidRPr="00664ACF">
        <w:rPr>
          <w:rFonts w:ascii="Palatino Linotype" w:eastAsia="Palatino Linotype" w:hAnsi="Palatino Linotype" w:cs="Palatino Linotype"/>
          <w:b/>
          <w:bCs/>
          <w:color w:val="000000"/>
        </w:rPr>
        <w:t xml:space="preserve">SUJETO OBLIGADO </w:t>
      </w:r>
      <w:r w:rsidRPr="00664ACF">
        <w:rPr>
          <w:rFonts w:ascii="Palatino Linotype" w:eastAsia="Palatino Linotype" w:hAnsi="Palatino Linotype" w:cs="Palatino Linotype"/>
          <w:color w:val="000000"/>
        </w:rPr>
        <w:t xml:space="preserve">no </w:t>
      </w:r>
      <w:r w:rsidRPr="00664ACF">
        <w:rPr>
          <w:rFonts w:ascii="Palatino Linotype" w:eastAsia="Palatino Linotype" w:hAnsi="Palatino Linotype" w:cs="Palatino Linotype"/>
        </w:rPr>
        <w:t>colmó</w:t>
      </w:r>
      <w:r w:rsidRPr="00664ACF">
        <w:rPr>
          <w:rFonts w:ascii="Palatino Linotype" w:eastAsia="Palatino Linotype" w:hAnsi="Palatino Linotype" w:cs="Palatino Linotype"/>
          <w:color w:val="000000"/>
        </w:rPr>
        <w:t xml:space="preserve"> el derecho de acceso a la información del </w:t>
      </w:r>
      <w:r w:rsidRPr="00664ACF">
        <w:rPr>
          <w:rFonts w:ascii="Palatino Linotype" w:eastAsia="Palatino Linotype" w:hAnsi="Palatino Linotype" w:cs="Palatino Linotype"/>
          <w:b/>
          <w:bCs/>
          <w:color w:val="000000"/>
        </w:rPr>
        <w:t xml:space="preserve">RECURRENTE, </w:t>
      </w:r>
      <w:r w:rsidRPr="00664ACF">
        <w:rPr>
          <w:rFonts w:ascii="Palatino Linotype" w:eastAsia="Palatino Linotype" w:hAnsi="Palatino Linotype" w:cs="Palatino Linotype"/>
          <w:color w:val="000000"/>
        </w:rPr>
        <w:t>situación por la cual se hace el siguiente análisis.</w:t>
      </w:r>
    </w:p>
    <w:p w:rsidR="005C7FE0" w:rsidRPr="00664ACF" w:rsidRDefault="005C7FE0">
      <w:pPr>
        <w:pBdr>
          <w:top w:val="nil"/>
          <w:left w:val="nil"/>
          <w:bottom w:val="nil"/>
          <w:right w:val="nil"/>
          <w:between w:val="nil"/>
        </w:pBdr>
        <w:spacing w:line="360" w:lineRule="auto"/>
        <w:ind w:right="-1566"/>
        <w:jc w:val="both"/>
        <w:rPr>
          <w:rFonts w:ascii="Palatino Linotype" w:eastAsia="Palatino Linotype" w:hAnsi="Palatino Linotype" w:cs="Palatino Linotype"/>
          <w:color w:val="000000"/>
        </w:rPr>
      </w:pPr>
    </w:p>
    <w:p w:rsidR="005C7FE0" w:rsidRPr="00664ACF" w:rsidRDefault="00DB7533">
      <w:pPr>
        <w:numPr>
          <w:ilvl w:val="0"/>
          <w:numId w:val="2"/>
        </w:numPr>
        <w:pBdr>
          <w:top w:val="nil"/>
          <w:left w:val="nil"/>
          <w:bottom w:val="nil"/>
          <w:right w:val="nil"/>
          <w:between w:val="nil"/>
        </w:pBdr>
        <w:spacing w:line="360" w:lineRule="auto"/>
        <w:ind w:left="0" w:right="-1566" w:firstLine="0"/>
        <w:jc w:val="both"/>
        <w:rPr>
          <w:rFonts w:ascii="Palatino Linotype" w:eastAsia="Palatino Linotype" w:hAnsi="Palatino Linotype" w:cs="Palatino Linotype"/>
          <w:color w:val="000000"/>
        </w:rPr>
      </w:pPr>
      <w:r w:rsidRPr="00664ACF">
        <w:rPr>
          <w:rFonts w:ascii="Palatino Linotype" w:eastAsia="Palatino Linotype" w:hAnsi="Palatino Linotype" w:cs="Palatino Linotype"/>
          <w:color w:val="000000"/>
        </w:rPr>
        <w:t xml:space="preserve">En esa línea, se tiene que la Dirección de Desarrollo Económico, tiene las siguientes funciones de acuerdo con el Bando Municipal del Ayuntamiento de Ayapango. </w:t>
      </w:r>
    </w:p>
    <w:p w:rsidR="005C7FE0" w:rsidRPr="00664ACF" w:rsidRDefault="00DB7533">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664ACF">
        <w:rPr>
          <w:rFonts w:ascii="Palatino Linotype" w:eastAsia="Palatino Linotype" w:hAnsi="Palatino Linotype" w:cs="Palatino Linotype"/>
          <w:b/>
          <w:bCs/>
          <w:i/>
          <w:iCs/>
          <w:color w:val="000000"/>
        </w:rPr>
        <w:t>Artículo 153.-</w:t>
      </w:r>
      <w:r w:rsidRPr="00664ACF">
        <w:rPr>
          <w:rFonts w:ascii="Palatino Linotype" w:eastAsia="Palatino Linotype" w:hAnsi="Palatino Linotype" w:cs="Palatino Linotype"/>
          <w:i/>
          <w:iCs/>
          <w:color w:val="000000"/>
        </w:rPr>
        <w:t xml:space="preserve"> El Ayuntamiento promoverá el desarrollo económico del Municipio ejerciendo las atribuciones que dispone la Ley Orgánica Municipal del Estado de México vigente, a través de la Dirección de Desarrollo Económico. </w:t>
      </w:r>
    </w:p>
    <w:p w:rsidR="005C7FE0" w:rsidRPr="00664ACF" w:rsidRDefault="00DB7533">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664ACF">
        <w:rPr>
          <w:rFonts w:ascii="Palatino Linotype" w:eastAsia="Palatino Linotype" w:hAnsi="Palatino Linotype" w:cs="Palatino Linotype"/>
          <w:i/>
          <w:iCs/>
          <w:color w:val="000000"/>
        </w:rPr>
        <w:t xml:space="preserve">Para ello promoverá y fomentará el desarrollo de las actividades agrícolas, empresariales, comerciales, artesanales y de servicios de la creación y aprovechamiento de las fuentes de trabajo. Gestionar ante las autoridades federales y estatales, recursos que permitan la inversión en la micro, pequeña y mediana empresa operando el programa de apoyo a grandes emprendedores, a través de microcréditos. </w:t>
      </w:r>
    </w:p>
    <w:p w:rsidR="005C7FE0" w:rsidRPr="00664ACF" w:rsidRDefault="00DB7533">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664ACF">
        <w:rPr>
          <w:rFonts w:ascii="Palatino Linotype" w:eastAsia="Palatino Linotype" w:hAnsi="Palatino Linotype" w:cs="Palatino Linotype"/>
          <w:b/>
          <w:bCs/>
          <w:i/>
          <w:iCs/>
          <w:color w:val="000000"/>
        </w:rPr>
        <w:lastRenderedPageBreak/>
        <w:t>Artículo 154.-</w:t>
      </w:r>
      <w:r w:rsidRPr="00664ACF">
        <w:rPr>
          <w:rFonts w:ascii="Palatino Linotype" w:eastAsia="Palatino Linotype" w:hAnsi="Palatino Linotype" w:cs="Palatino Linotype"/>
          <w:i/>
          <w:iCs/>
          <w:color w:val="000000"/>
        </w:rPr>
        <w:t xml:space="preserve"> La Apertura y el Funcionamiento de las unidades económicas, se regirá conforme a lo dispuesto por la Ley de Competitividad y Ordenamiento Comercial del Estado de México, la Ley Orgánica Municipal y el Código Financiero del Estado de México y Municipios. </w:t>
      </w:r>
    </w:p>
    <w:p w:rsidR="005C7FE0" w:rsidRPr="00664ACF" w:rsidRDefault="00DB7533">
      <w:pPr>
        <w:pBdr>
          <w:top w:val="nil"/>
          <w:left w:val="nil"/>
          <w:bottom w:val="nil"/>
          <w:right w:val="nil"/>
          <w:between w:val="nil"/>
        </w:pBdr>
        <w:ind w:left="1134" w:right="277"/>
        <w:jc w:val="both"/>
        <w:rPr>
          <w:rFonts w:ascii="Palatino Linotype" w:eastAsia="Palatino Linotype" w:hAnsi="Palatino Linotype" w:cs="Palatino Linotype"/>
          <w:b/>
          <w:bCs/>
          <w:i/>
          <w:iCs/>
          <w:color w:val="000000"/>
        </w:rPr>
      </w:pPr>
      <w:r w:rsidRPr="00664ACF">
        <w:rPr>
          <w:rFonts w:ascii="Palatino Linotype" w:eastAsia="Palatino Linotype" w:hAnsi="Palatino Linotype" w:cs="Palatino Linotype"/>
          <w:b/>
          <w:bCs/>
          <w:i/>
          <w:iCs/>
          <w:color w:val="000000"/>
        </w:rPr>
        <w:t>Toda actividad comercial, industrial, de servicios, turística, artesanal, profesional y de eventos públicos que realicen las personas Físicas o Jurídicas-Colectivas, únicamente podrán ejercerla con el otorgamiento previo de la autorización, licencia o permiso respectivo, sujetándose a los Reglamentos y Ordenamientos Federales, Estatales y Municipales.</w:t>
      </w:r>
    </w:p>
    <w:p w:rsidR="005C7FE0" w:rsidRPr="00664ACF" w:rsidRDefault="005C7FE0">
      <w:pPr>
        <w:pBdr>
          <w:top w:val="nil"/>
          <w:left w:val="nil"/>
          <w:bottom w:val="nil"/>
          <w:right w:val="nil"/>
          <w:between w:val="nil"/>
        </w:pBdr>
        <w:ind w:left="720" w:right="-1566"/>
        <w:rPr>
          <w:rFonts w:ascii="Palatino Linotype" w:eastAsia="Palatino Linotype" w:hAnsi="Palatino Linotype" w:cs="Palatino Linotype"/>
          <w:color w:val="000000"/>
        </w:rPr>
      </w:pPr>
    </w:p>
    <w:p w:rsidR="005C7FE0" w:rsidRPr="00664ACF" w:rsidRDefault="00DB7533">
      <w:pPr>
        <w:numPr>
          <w:ilvl w:val="0"/>
          <w:numId w:val="2"/>
        </w:numPr>
        <w:pBdr>
          <w:top w:val="nil"/>
          <w:left w:val="nil"/>
          <w:bottom w:val="nil"/>
          <w:right w:val="nil"/>
          <w:between w:val="nil"/>
        </w:pBdr>
        <w:spacing w:line="360" w:lineRule="auto"/>
        <w:ind w:left="0" w:right="-1566" w:firstLine="0"/>
        <w:jc w:val="both"/>
        <w:rPr>
          <w:rFonts w:ascii="Palatino Linotype" w:eastAsia="Palatino Linotype" w:hAnsi="Palatino Linotype" w:cs="Palatino Linotype"/>
          <w:color w:val="000000"/>
        </w:rPr>
      </w:pPr>
      <w:r w:rsidRPr="00664ACF">
        <w:rPr>
          <w:rFonts w:ascii="Palatino Linotype" w:eastAsia="Palatino Linotype" w:hAnsi="Palatino Linotype" w:cs="Palatino Linotype"/>
          <w:color w:val="000000"/>
        </w:rPr>
        <w:t xml:space="preserve">De lo anterior, se tiene que la Dirección de Desarrollo Económico si es el área habilitada para conocer de la solicitud de información, sin embargo el </w:t>
      </w:r>
      <w:r w:rsidRPr="00664ACF">
        <w:rPr>
          <w:rFonts w:ascii="Palatino Linotype" w:eastAsia="Palatino Linotype" w:hAnsi="Palatino Linotype" w:cs="Palatino Linotype"/>
          <w:b/>
          <w:bCs/>
          <w:color w:val="000000"/>
        </w:rPr>
        <w:t xml:space="preserve">SUJETO OBLIGADO </w:t>
      </w:r>
      <w:r w:rsidRPr="00664ACF">
        <w:rPr>
          <w:rFonts w:ascii="Palatino Linotype" w:eastAsia="Palatino Linotype" w:hAnsi="Palatino Linotype" w:cs="Palatino Linotype"/>
          <w:color w:val="000000"/>
        </w:rPr>
        <w:t xml:space="preserve">preciso que no podía entregar la información solicitada porque no estaba obligado a entregar información conforme al intereses de la solicitante. </w:t>
      </w:r>
    </w:p>
    <w:p w:rsidR="005C7FE0" w:rsidRPr="00664ACF" w:rsidRDefault="005C7FE0">
      <w:pPr>
        <w:pBdr>
          <w:top w:val="nil"/>
          <w:left w:val="nil"/>
          <w:bottom w:val="nil"/>
          <w:right w:val="nil"/>
          <w:between w:val="nil"/>
        </w:pBdr>
        <w:spacing w:line="360" w:lineRule="auto"/>
        <w:ind w:right="-1566"/>
        <w:jc w:val="both"/>
        <w:rPr>
          <w:rFonts w:ascii="Palatino Linotype" w:eastAsia="Palatino Linotype" w:hAnsi="Palatino Linotype" w:cs="Palatino Linotype"/>
          <w:color w:val="000000"/>
        </w:rPr>
      </w:pPr>
    </w:p>
    <w:p w:rsidR="005C7FE0" w:rsidRPr="00664ACF" w:rsidRDefault="00DB7533">
      <w:pPr>
        <w:numPr>
          <w:ilvl w:val="0"/>
          <w:numId w:val="2"/>
        </w:numPr>
        <w:pBdr>
          <w:top w:val="nil"/>
          <w:left w:val="nil"/>
          <w:bottom w:val="nil"/>
          <w:right w:val="nil"/>
          <w:between w:val="nil"/>
        </w:pBdr>
        <w:spacing w:line="360" w:lineRule="auto"/>
        <w:ind w:left="0" w:right="-1566" w:firstLine="0"/>
        <w:jc w:val="both"/>
        <w:rPr>
          <w:rFonts w:ascii="Palatino Linotype" w:eastAsia="Palatino Linotype" w:hAnsi="Palatino Linotype" w:cs="Palatino Linotype"/>
          <w:color w:val="000000"/>
        </w:rPr>
      </w:pPr>
      <w:r w:rsidRPr="00664ACF">
        <w:rPr>
          <w:rFonts w:ascii="Palatino Linotype" w:eastAsia="Palatino Linotype" w:hAnsi="Palatino Linotype" w:cs="Palatino Linotype"/>
          <w:color w:val="000000"/>
        </w:rPr>
        <w:t xml:space="preserve">En esa línea, se debe de establecer que de acuerdo con el artículo 7 de la Ley de Competitividad y Ordenamiento Comercial del Estado de México, los municipios tienen las siguientes funciones. </w:t>
      </w:r>
    </w:p>
    <w:p w:rsidR="005C7FE0" w:rsidRPr="00664ACF" w:rsidRDefault="00DB7533">
      <w:pPr>
        <w:pBdr>
          <w:top w:val="nil"/>
          <w:left w:val="nil"/>
          <w:bottom w:val="nil"/>
          <w:right w:val="nil"/>
          <w:between w:val="nil"/>
        </w:pBdr>
        <w:ind w:left="1134" w:right="277"/>
        <w:jc w:val="both"/>
        <w:rPr>
          <w:rFonts w:ascii="Palatino Linotype" w:eastAsia="Palatino Linotype" w:hAnsi="Palatino Linotype" w:cs="Palatino Linotype"/>
          <w:b/>
          <w:bCs/>
          <w:i/>
          <w:iCs/>
          <w:color w:val="000000"/>
        </w:rPr>
      </w:pPr>
      <w:r w:rsidRPr="00664ACF">
        <w:rPr>
          <w:rFonts w:ascii="Palatino Linotype" w:eastAsia="Palatino Linotype" w:hAnsi="Palatino Linotype" w:cs="Palatino Linotype"/>
          <w:b/>
          <w:bCs/>
          <w:i/>
          <w:iCs/>
          <w:color w:val="000000"/>
        </w:rPr>
        <w:t xml:space="preserve">Artículo 7. Corresponde a los municipios: </w:t>
      </w:r>
    </w:p>
    <w:p w:rsidR="005C7FE0" w:rsidRPr="00664ACF" w:rsidRDefault="00DB7533">
      <w:pPr>
        <w:numPr>
          <w:ilvl w:val="0"/>
          <w:numId w:val="5"/>
        </w:numPr>
        <w:pBdr>
          <w:top w:val="nil"/>
          <w:left w:val="nil"/>
          <w:bottom w:val="nil"/>
          <w:right w:val="nil"/>
          <w:between w:val="nil"/>
        </w:pBdr>
        <w:ind w:left="1134" w:right="277" w:firstLine="0"/>
        <w:jc w:val="both"/>
        <w:rPr>
          <w:rFonts w:ascii="Palatino Linotype" w:eastAsia="Palatino Linotype" w:hAnsi="Palatino Linotype" w:cs="Palatino Linotype"/>
          <w:b/>
          <w:bCs/>
          <w:i/>
          <w:iCs/>
          <w:color w:val="000000"/>
        </w:rPr>
      </w:pPr>
      <w:r w:rsidRPr="00664ACF">
        <w:rPr>
          <w:rFonts w:ascii="Palatino Linotype" w:eastAsia="Palatino Linotype" w:hAnsi="Palatino Linotype" w:cs="Palatino Linotype"/>
          <w:b/>
          <w:bCs/>
          <w:i/>
          <w:iCs/>
          <w:color w:val="000000"/>
        </w:rPr>
        <w:t xml:space="preserve">Crear el registro municipal, donde se especifica la licencia de funcionamiento con la actividad de la unidad económica e impacto que generen, así como las demás características que se determinen. </w:t>
      </w:r>
    </w:p>
    <w:p w:rsidR="005C7FE0" w:rsidRPr="00664ACF" w:rsidRDefault="00DB7533">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664ACF">
        <w:rPr>
          <w:rFonts w:ascii="Palatino Linotype" w:eastAsia="Palatino Linotype" w:hAnsi="Palatino Linotype" w:cs="Palatino Linotype"/>
          <w:i/>
          <w:iCs/>
          <w:color w:val="000000"/>
        </w:rPr>
        <w:t xml:space="preserve">II. Integrar y operar la ventanilla única. </w:t>
      </w:r>
    </w:p>
    <w:p w:rsidR="005C7FE0" w:rsidRPr="00664ACF" w:rsidRDefault="00DB7533">
      <w:pPr>
        <w:pBdr>
          <w:top w:val="nil"/>
          <w:left w:val="nil"/>
          <w:bottom w:val="nil"/>
          <w:right w:val="nil"/>
          <w:between w:val="nil"/>
        </w:pBdr>
        <w:ind w:left="1134" w:right="277"/>
        <w:jc w:val="both"/>
        <w:rPr>
          <w:rFonts w:ascii="Palatino Linotype" w:eastAsia="Palatino Linotype" w:hAnsi="Palatino Linotype" w:cs="Palatino Linotype"/>
          <w:b/>
          <w:bCs/>
          <w:i/>
          <w:iCs/>
          <w:color w:val="000000"/>
        </w:rPr>
      </w:pPr>
      <w:r w:rsidRPr="00664ACF">
        <w:rPr>
          <w:rFonts w:ascii="Palatino Linotype" w:eastAsia="Palatino Linotype" w:hAnsi="Palatino Linotype" w:cs="Palatino Linotype"/>
          <w:b/>
          <w:bCs/>
          <w:i/>
          <w:iCs/>
          <w:color w:val="000000"/>
        </w:rPr>
        <w:t xml:space="preserve">III. Operar, digitalizar y mantener, semanalmente actualizado, el registro municipal, a través de la Dirección de Desarrollo Económico o su equivalente, que opere en su demarcación, el cual deberá publicarse en el portal de Internet del municipio. </w:t>
      </w:r>
    </w:p>
    <w:p w:rsidR="005C7FE0" w:rsidRPr="00664ACF" w:rsidRDefault="00DB7533">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664ACF">
        <w:rPr>
          <w:rFonts w:ascii="Palatino Linotype" w:eastAsia="Palatino Linotype" w:hAnsi="Palatino Linotype" w:cs="Palatino Linotype"/>
          <w:i/>
          <w:iCs/>
          <w:color w:val="000000"/>
        </w:rPr>
        <w:lastRenderedPageBreak/>
        <w:t xml:space="preserve">IV. Enviar, dentro de los cinco días hábiles siguientes de cada mes calendario la actualización de su registro municipal, el informe correspondiente a las autoridades estatales, para actualizar el registro estatal. </w:t>
      </w:r>
    </w:p>
    <w:p w:rsidR="005C7FE0" w:rsidRPr="00664ACF" w:rsidRDefault="00DB7533">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664ACF">
        <w:rPr>
          <w:rFonts w:ascii="Palatino Linotype" w:eastAsia="Palatino Linotype" w:hAnsi="Palatino Linotype" w:cs="Palatino Linotype"/>
          <w:i/>
          <w:iCs/>
          <w:color w:val="000000"/>
        </w:rPr>
        <w:t xml:space="preserve">V. Resguardar y actualizar el archivo físico y digital con los documentos requeridos por las leyes para la expedición y refrendo de las licencias correspondientes. </w:t>
      </w:r>
    </w:p>
    <w:p w:rsidR="005C7FE0" w:rsidRPr="00664ACF" w:rsidRDefault="00DB7533">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664ACF">
        <w:rPr>
          <w:rFonts w:ascii="Palatino Linotype" w:eastAsia="Palatino Linotype" w:hAnsi="Palatino Linotype" w:cs="Palatino Linotype"/>
          <w:i/>
          <w:iCs/>
          <w:color w:val="000000"/>
        </w:rPr>
        <w:t xml:space="preserve">VI. Ordenar visitas de verificación a las unidades económicas que operen en su demarcación. </w:t>
      </w:r>
    </w:p>
    <w:p w:rsidR="005C7FE0" w:rsidRPr="00664ACF" w:rsidRDefault="00DB7533">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664ACF">
        <w:rPr>
          <w:rFonts w:ascii="Palatino Linotype" w:eastAsia="Palatino Linotype" w:hAnsi="Palatino Linotype" w:cs="Palatino Linotype"/>
          <w:i/>
          <w:iCs/>
          <w:color w:val="000000"/>
        </w:rPr>
        <w:t xml:space="preserve">VII. En términos de los ordenamientos aplicables, substanciar el procedimiento de las visitas de verificación administrativa que se hayan practicado. </w:t>
      </w:r>
    </w:p>
    <w:p w:rsidR="005C7FE0" w:rsidRPr="00664ACF" w:rsidRDefault="00DB7533">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664ACF">
        <w:rPr>
          <w:rFonts w:ascii="Palatino Linotype" w:eastAsia="Palatino Linotype" w:hAnsi="Palatino Linotype" w:cs="Palatino Linotype"/>
          <w:i/>
          <w:iCs/>
          <w:color w:val="000000"/>
        </w:rPr>
        <w:t xml:space="preserve">VIII. Determinar y ordenar las medidas de seguridad e imponer las sanciones previstas en esta Ley. </w:t>
      </w:r>
    </w:p>
    <w:p w:rsidR="005C7FE0" w:rsidRPr="00664ACF" w:rsidRDefault="00DB7533">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664ACF">
        <w:rPr>
          <w:rFonts w:ascii="Palatino Linotype" w:eastAsia="Palatino Linotype" w:hAnsi="Palatino Linotype" w:cs="Palatino Linotype"/>
          <w:i/>
          <w:iCs/>
          <w:color w:val="000000"/>
        </w:rPr>
        <w:t xml:space="preserve">IX. Prevenir las adicciones, restringiendo el expendio, consumo de bebidas alcohólicas, tabaco u otras substancias que las provoquen en las distintas instalaciones recreativas y deportivas, o con motivo de la realización de festejos populares o tradicionales, conforme a las disposiciones aplicables. </w:t>
      </w:r>
    </w:p>
    <w:p w:rsidR="005C7FE0" w:rsidRPr="00664ACF" w:rsidRDefault="00DB7533">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664ACF">
        <w:rPr>
          <w:rFonts w:ascii="Palatino Linotype" w:eastAsia="Palatino Linotype" w:hAnsi="Palatino Linotype" w:cs="Palatino Linotype"/>
          <w:i/>
          <w:iCs/>
          <w:color w:val="000000"/>
        </w:rPr>
        <w:t>X. Las demás que le confieran esta Ley y otras disposiciones aplicables.</w:t>
      </w:r>
    </w:p>
    <w:p w:rsidR="005C7FE0" w:rsidRPr="00664ACF" w:rsidRDefault="005C7FE0">
      <w:pPr>
        <w:pBdr>
          <w:top w:val="nil"/>
          <w:left w:val="nil"/>
          <w:bottom w:val="nil"/>
          <w:right w:val="nil"/>
          <w:between w:val="nil"/>
        </w:pBdr>
        <w:ind w:left="720"/>
        <w:rPr>
          <w:rFonts w:ascii="Palatino Linotype" w:eastAsia="Palatino Linotype" w:hAnsi="Palatino Linotype" w:cs="Palatino Linotype"/>
          <w:color w:val="000000"/>
        </w:rPr>
      </w:pPr>
    </w:p>
    <w:p w:rsidR="005C7FE0" w:rsidRPr="00664ACF" w:rsidRDefault="00DB7533">
      <w:pPr>
        <w:numPr>
          <w:ilvl w:val="0"/>
          <w:numId w:val="2"/>
        </w:numPr>
        <w:pBdr>
          <w:top w:val="nil"/>
          <w:left w:val="nil"/>
          <w:bottom w:val="nil"/>
          <w:right w:val="nil"/>
          <w:between w:val="nil"/>
        </w:pBdr>
        <w:spacing w:line="360" w:lineRule="auto"/>
        <w:ind w:left="0" w:right="-1566" w:firstLine="0"/>
        <w:jc w:val="both"/>
        <w:rPr>
          <w:rFonts w:ascii="Palatino Linotype" w:eastAsia="Palatino Linotype" w:hAnsi="Palatino Linotype" w:cs="Palatino Linotype"/>
          <w:color w:val="000000"/>
        </w:rPr>
      </w:pPr>
      <w:r w:rsidRPr="00664ACF">
        <w:rPr>
          <w:rFonts w:ascii="Palatino Linotype" w:eastAsia="Palatino Linotype" w:hAnsi="Palatino Linotype" w:cs="Palatino Linotype"/>
          <w:color w:val="000000"/>
        </w:rPr>
        <w:t xml:space="preserve">Del artículo referido se tiene que los municipios deben crear </w:t>
      </w:r>
      <w:r w:rsidRPr="00664ACF">
        <w:rPr>
          <w:rFonts w:ascii="Palatino Linotype" w:eastAsia="Palatino Linotype" w:hAnsi="Palatino Linotype" w:cs="Palatino Linotype"/>
          <w:b/>
          <w:bCs/>
          <w:color w:val="000000"/>
        </w:rPr>
        <w:t xml:space="preserve">el registro municipal, donde se especifica la licencia de funcionamiento con la actividad de la unidad económica e impacto que generen, así como las demás características que se determinen, </w:t>
      </w:r>
      <w:r w:rsidRPr="00664ACF">
        <w:rPr>
          <w:rFonts w:ascii="Palatino Linotype" w:eastAsia="Palatino Linotype" w:hAnsi="Palatino Linotype" w:cs="Palatino Linotype"/>
          <w:color w:val="000000"/>
        </w:rPr>
        <w:t xml:space="preserve">en el caso en particular del listado de todas las farmacias y de los consultorios médicos y dentales ubicados en la cabecera municipal de Ayapango que cuenten con permiso vigente de funcionamiento. </w:t>
      </w:r>
    </w:p>
    <w:p w:rsidR="005C7FE0" w:rsidRPr="00664ACF" w:rsidRDefault="005C7FE0">
      <w:pPr>
        <w:pBdr>
          <w:top w:val="nil"/>
          <w:left w:val="nil"/>
          <w:bottom w:val="nil"/>
          <w:right w:val="nil"/>
          <w:between w:val="nil"/>
        </w:pBdr>
        <w:spacing w:line="360" w:lineRule="auto"/>
        <w:ind w:right="-1566"/>
        <w:jc w:val="both"/>
        <w:rPr>
          <w:rFonts w:ascii="Palatino Linotype" w:eastAsia="Palatino Linotype" w:hAnsi="Palatino Linotype" w:cs="Palatino Linotype"/>
          <w:color w:val="000000"/>
        </w:rPr>
      </w:pPr>
    </w:p>
    <w:p w:rsidR="005C7FE0" w:rsidRPr="00664ACF" w:rsidRDefault="00DB7533">
      <w:pPr>
        <w:numPr>
          <w:ilvl w:val="0"/>
          <w:numId w:val="2"/>
        </w:numPr>
        <w:pBdr>
          <w:top w:val="nil"/>
          <w:left w:val="nil"/>
          <w:bottom w:val="nil"/>
          <w:right w:val="nil"/>
          <w:between w:val="nil"/>
        </w:pBdr>
        <w:spacing w:line="360" w:lineRule="auto"/>
        <w:ind w:left="0" w:right="-1566" w:firstLine="0"/>
        <w:jc w:val="both"/>
        <w:rPr>
          <w:rFonts w:ascii="Palatino Linotype" w:eastAsia="Palatino Linotype" w:hAnsi="Palatino Linotype" w:cs="Palatino Linotype"/>
          <w:color w:val="000000"/>
        </w:rPr>
      </w:pPr>
      <w:r w:rsidRPr="00664ACF">
        <w:rPr>
          <w:rFonts w:ascii="Palatino Linotype" w:eastAsia="Palatino Linotype" w:hAnsi="Palatino Linotype" w:cs="Palatino Linotype"/>
          <w:color w:val="000000"/>
        </w:rPr>
        <w:t xml:space="preserve">Seguidamente, se debe de precisar que lo solicitado de acuerdo con el artículo 92 fracción XXXII de la Ley de Transparencia y Acceso a la Información Pública del Estado de México y Municipios, es una obligación de transparencia común. </w:t>
      </w:r>
    </w:p>
    <w:p w:rsidR="005C7FE0" w:rsidRPr="00664ACF" w:rsidRDefault="00DB7533">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664ACF">
        <w:rPr>
          <w:rFonts w:ascii="Palatino Linotype" w:eastAsia="Palatino Linotype" w:hAnsi="Palatino Linotype" w:cs="Palatino Linotype"/>
          <w:b/>
          <w:bCs/>
          <w:i/>
          <w:iCs/>
          <w:color w:val="000000"/>
        </w:rPr>
        <w:lastRenderedPageBreak/>
        <w:t>Artículo 92.</w:t>
      </w:r>
      <w:r w:rsidRPr="00664ACF">
        <w:rPr>
          <w:rFonts w:ascii="Palatino Linotype" w:eastAsia="Palatino Linotype" w:hAnsi="Palatino Linotype" w:cs="Palatino Linotype"/>
          <w:i/>
          <w:iCs/>
          <w:color w:val="000000"/>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 </w:t>
      </w:r>
    </w:p>
    <w:p w:rsidR="005C7FE0" w:rsidRPr="00664ACF" w:rsidRDefault="00DB7533">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664ACF">
        <w:rPr>
          <w:rFonts w:ascii="Palatino Linotype" w:eastAsia="Palatino Linotype" w:hAnsi="Palatino Linotype" w:cs="Palatino Linotype"/>
          <w:b/>
          <w:bCs/>
          <w:i/>
          <w:iCs/>
          <w:color w:val="000000"/>
        </w:rPr>
        <w:t>XXXII.</w:t>
      </w:r>
      <w:r w:rsidRPr="00664ACF">
        <w:rPr>
          <w:rFonts w:ascii="Palatino Linotype" w:eastAsia="Palatino Linotype" w:hAnsi="Palatino Linotype" w:cs="Palatino Linotype"/>
          <w:i/>
          <w:iCs/>
          <w:color w:val="000000"/>
        </w:rPr>
        <w:t xml:space="preserve"> Las concesiones, contratos, convenios, permisos, licencias o autorizaciones otorgados, especificando los titulares de aquéllos, debiendo publicarse su objeto, nombre o razón social del titular, vigencia, tipo, términos, condiciones, monto y modificaciones, así como si el procedimiento involucra el aprovechamiento de bienes, servicios y/o recursos públicos;</w:t>
      </w:r>
    </w:p>
    <w:p w:rsidR="005C7FE0" w:rsidRPr="00664ACF" w:rsidRDefault="005C7FE0">
      <w:pPr>
        <w:pBdr>
          <w:top w:val="nil"/>
          <w:left w:val="nil"/>
          <w:bottom w:val="nil"/>
          <w:right w:val="nil"/>
          <w:between w:val="nil"/>
        </w:pBdr>
        <w:ind w:left="720"/>
        <w:rPr>
          <w:rFonts w:ascii="Palatino Linotype" w:eastAsia="Palatino Linotype" w:hAnsi="Palatino Linotype" w:cs="Palatino Linotype"/>
        </w:rPr>
      </w:pPr>
    </w:p>
    <w:p w:rsidR="005C7FE0" w:rsidRPr="00664ACF" w:rsidRDefault="005C7FE0">
      <w:pPr>
        <w:pBdr>
          <w:top w:val="nil"/>
          <w:left w:val="nil"/>
          <w:bottom w:val="nil"/>
          <w:right w:val="nil"/>
          <w:between w:val="nil"/>
        </w:pBdr>
        <w:ind w:left="720"/>
        <w:rPr>
          <w:rFonts w:ascii="Palatino Linotype" w:eastAsia="Palatino Linotype" w:hAnsi="Palatino Linotype" w:cs="Palatino Linotype"/>
        </w:rPr>
      </w:pPr>
    </w:p>
    <w:p w:rsidR="005C7FE0" w:rsidRPr="00664ACF" w:rsidRDefault="00DB7533">
      <w:pPr>
        <w:numPr>
          <w:ilvl w:val="0"/>
          <w:numId w:val="2"/>
        </w:numPr>
        <w:pBdr>
          <w:top w:val="nil"/>
          <w:left w:val="nil"/>
          <w:bottom w:val="nil"/>
          <w:right w:val="nil"/>
          <w:between w:val="nil"/>
        </w:pBdr>
        <w:spacing w:line="360" w:lineRule="auto"/>
        <w:ind w:left="0" w:right="-1566" w:firstLine="0"/>
        <w:jc w:val="both"/>
        <w:rPr>
          <w:rFonts w:ascii="Palatino Linotype" w:eastAsia="Palatino Linotype" w:hAnsi="Palatino Linotype" w:cs="Palatino Linotype"/>
          <w:color w:val="000000"/>
        </w:rPr>
      </w:pPr>
      <w:r w:rsidRPr="00664ACF">
        <w:rPr>
          <w:rFonts w:ascii="Palatino Linotype" w:eastAsia="Palatino Linotype" w:hAnsi="Palatino Linotype" w:cs="Palatino Linotype"/>
          <w:color w:val="000000"/>
        </w:rPr>
        <w:t xml:space="preserve">Del párrafo anterior, se tiene que el registro de licencias debe de contener los datos de </w:t>
      </w:r>
      <w:r w:rsidRPr="00664ACF">
        <w:rPr>
          <w:rFonts w:ascii="Palatino Linotype" w:eastAsia="Palatino Linotype" w:hAnsi="Palatino Linotype" w:cs="Palatino Linotype"/>
          <w:b/>
          <w:bCs/>
          <w:color w:val="000000"/>
        </w:rPr>
        <w:t xml:space="preserve">los nombres titulares, debiendo publicarse su objeto, nombre o razón social del titular, vigencia, tipo, términos, condiciones, monto y modificaciones, así como si el procedimiento involucra el aprovechamiento de bienes, servicios y/o recursos públicos. </w:t>
      </w:r>
    </w:p>
    <w:p w:rsidR="005C7FE0" w:rsidRPr="00664ACF" w:rsidRDefault="005C7FE0">
      <w:pPr>
        <w:pBdr>
          <w:top w:val="nil"/>
          <w:left w:val="nil"/>
          <w:bottom w:val="nil"/>
          <w:right w:val="nil"/>
          <w:between w:val="nil"/>
        </w:pBdr>
        <w:spacing w:line="360" w:lineRule="auto"/>
        <w:ind w:right="-1566"/>
        <w:jc w:val="both"/>
        <w:rPr>
          <w:rFonts w:ascii="Palatino Linotype" w:eastAsia="Palatino Linotype" w:hAnsi="Palatino Linotype" w:cs="Palatino Linotype"/>
          <w:color w:val="000000"/>
        </w:rPr>
      </w:pPr>
    </w:p>
    <w:p w:rsidR="00664ACF" w:rsidRDefault="00664ACF" w:rsidP="00664ACF">
      <w:pPr>
        <w:numPr>
          <w:ilvl w:val="0"/>
          <w:numId w:val="2"/>
        </w:numPr>
        <w:pBdr>
          <w:top w:val="nil"/>
          <w:left w:val="nil"/>
          <w:bottom w:val="nil"/>
          <w:right w:val="nil"/>
          <w:between w:val="nil"/>
        </w:pBdr>
        <w:spacing w:line="360" w:lineRule="auto"/>
        <w:ind w:left="0" w:right="-1566" w:firstLine="0"/>
        <w:jc w:val="both"/>
        <w:rPr>
          <w:rFonts w:ascii="Palatino Linotype" w:eastAsia="Palatino Linotype" w:hAnsi="Palatino Linotype" w:cs="Palatino Linotype"/>
        </w:rPr>
      </w:pPr>
      <w:r w:rsidRPr="00664ACF">
        <w:rPr>
          <w:rFonts w:ascii="Palatino Linotype" w:eastAsia="Palatino Linotype" w:hAnsi="Palatino Linotype" w:cs="Palatino Linotype"/>
        </w:rPr>
        <w:t xml:space="preserve">Una vez señalada la fuente obligacional del porque el </w:t>
      </w:r>
      <w:r w:rsidRPr="00664ACF">
        <w:rPr>
          <w:rFonts w:ascii="Palatino Linotype" w:eastAsia="Palatino Linotype" w:hAnsi="Palatino Linotype" w:cs="Palatino Linotype"/>
          <w:b/>
        </w:rPr>
        <w:t xml:space="preserve">SUJETO OBLIGADO </w:t>
      </w:r>
      <w:r w:rsidRPr="00664ACF">
        <w:rPr>
          <w:rFonts w:ascii="Palatino Linotype" w:eastAsia="Palatino Linotype" w:hAnsi="Palatino Linotype" w:cs="Palatino Linotype"/>
        </w:rPr>
        <w:t>debe de contar con las licencias de funcionamiento por la operación de las unidad económicas, se debe de señalar que dicho documento cuenta con diversos datos personales de quien la solicite, datos como el nombre o razón social, denominación del establecimiento, Registro Federal de Contribuyentes, dirección del establecimiento, teléfono, correo electrónico, giro, clave catastral, superficie del establecimiento, vigencia y fecha de expedición.</w:t>
      </w:r>
    </w:p>
    <w:p w:rsidR="005F49D8" w:rsidRDefault="005F49D8" w:rsidP="005F49D8">
      <w:pPr>
        <w:pStyle w:val="Prrafodelista"/>
        <w:rPr>
          <w:rFonts w:ascii="Palatino Linotype" w:eastAsia="Palatino Linotype" w:hAnsi="Palatino Linotype" w:cs="Palatino Linotype"/>
        </w:rPr>
      </w:pPr>
    </w:p>
    <w:p w:rsidR="005F49D8" w:rsidRPr="00664ACF" w:rsidRDefault="005F49D8" w:rsidP="005F49D8">
      <w:pPr>
        <w:pBdr>
          <w:top w:val="nil"/>
          <w:left w:val="nil"/>
          <w:bottom w:val="nil"/>
          <w:right w:val="nil"/>
          <w:between w:val="nil"/>
        </w:pBdr>
        <w:spacing w:line="360" w:lineRule="auto"/>
        <w:ind w:right="-1566"/>
        <w:jc w:val="both"/>
        <w:rPr>
          <w:rFonts w:ascii="Palatino Linotype" w:eastAsia="Palatino Linotype" w:hAnsi="Palatino Linotype" w:cs="Palatino Linotype"/>
        </w:rPr>
      </w:pPr>
    </w:p>
    <w:p w:rsidR="00664ACF" w:rsidRPr="00F30E92" w:rsidRDefault="00664ACF" w:rsidP="00664ACF">
      <w:pPr>
        <w:numPr>
          <w:ilvl w:val="0"/>
          <w:numId w:val="2"/>
        </w:numPr>
        <w:pBdr>
          <w:top w:val="nil"/>
          <w:left w:val="nil"/>
          <w:bottom w:val="nil"/>
          <w:right w:val="nil"/>
          <w:between w:val="nil"/>
        </w:pBdr>
        <w:spacing w:line="360" w:lineRule="auto"/>
        <w:ind w:left="0" w:right="-1566" w:firstLine="0"/>
        <w:jc w:val="both"/>
        <w:rPr>
          <w:rFonts w:ascii="Palatino Linotype" w:eastAsia="Palatino Linotype" w:hAnsi="Palatino Linotype" w:cs="Palatino Linotype"/>
        </w:rPr>
      </w:pPr>
      <w:r w:rsidRPr="00F30E92">
        <w:rPr>
          <w:rFonts w:ascii="Palatino Linotype" w:eastAsia="Palatino Linotype" w:hAnsi="Palatino Linotype" w:cs="Palatino Linotype"/>
        </w:rPr>
        <w:lastRenderedPageBreak/>
        <w:t>Asimismo, el nombre de los titulares de las licencias es un dato de carácter público, en términos del artículo 92, fracción XXXII, de la Ley de Transparencia y Acceso a la Información Pública del Estado de México y Municipios, dicho precepto legal debe ser interpretado de manera armónica y sistemática, pues la intromisión a los datos personales de particulares únicamente se verá justificada cuando involucre el aprovechamiento de bienes, servicios o recursos públicos; por lo que constituye un dato personal, a menos que se actualice alguno de los supuestos previamente señalados.</w:t>
      </w:r>
    </w:p>
    <w:p w:rsidR="00664ACF" w:rsidRPr="00F30E92" w:rsidRDefault="00664ACF" w:rsidP="00664ACF">
      <w:pPr>
        <w:spacing w:line="360" w:lineRule="auto"/>
        <w:ind w:right="-1987"/>
        <w:jc w:val="both"/>
        <w:rPr>
          <w:rFonts w:ascii="Palatino Linotype" w:eastAsia="Palatino Linotype" w:hAnsi="Palatino Linotype" w:cs="Palatino Linotype"/>
        </w:rPr>
      </w:pPr>
    </w:p>
    <w:p w:rsidR="00664ACF" w:rsidRPr="00F30E92" w:rsidRDefault="00664ACF" w:rsidP="00664ACF">
      <w:pPr>
        <w:numPr>
          <w:ilvl w:val="0"/>
          <w:numId w:val="2"/>
        </w:numPr>
        <w:pBdr>
          <w:top w:val="nil"/>
          <w:left w:val="nil"/>
          <w:bottom w:val="nil"/>
          <w:right w:val="nil"/>
          <w:between w:val="nil"/>
        </w:pBdr>
        <w:spacing w:line="360" w:lineRule="auto"/>
        <w:ind w:left="0" w:right="-1566" w:firstLine="0"/>
        <w:jc w:val="both"/>
        <w:rPr>
          <w:rFonts w:ascii="Palatino Linotype" w:eastAsia="Palatino Linotype" w:hAnsi="Palatino Linotype" w:cs="Palatino Linotype"/>
        </w:rPr>
      </w:pPr>
      <w:r w:rsidRPr="00F30E92">
        <w:rPr>
          <w:rFonts w:ascii="Palatino Linotype" w:eastAsia="Palatino Linotype" w:hAnsi="Palatino Linotype" w:cs="Palatino Linotype"/>
        </w:rPr>
        <w:t xml:space="preserve">No obstante, se considera que el nombre localizado en una licencia de funcionamiento, guarda cierto </w:t>
      </w:r>
      <w:r w:rsidRPr="00F30E92">
        <w:rPr>
          <w:rFonts w:ascii="Palatino Linotype" w:eastAsia="Palatino Linotype" w:hAnsi="Palatino Linotype" w:cs="Palatino Linotype"/>
          <w:b/>
        </w:rPr>
        <w:t>interés público</w:t>
      </w:r>
      <w:r w:rsidRPr="00F30E92">
        <w:rPr>
          <w:rFonts w:ascii="Palatino Linotype" w:eastAsia="Palatino Linotype" w:hAnsi="Palatino Linotype" w:cs="Palatino Linotype"/>
        </w:rPr>
        <w:t xml:space="preserve">, dado que cualquier actividad comercial, industrial o económica, es regulada por  los </w:t>
      </w:r>
      <w:r w:rsidRPr="00F30E92">
        <w:rPr>
          <w:rFonts w:ascii="Palatino Linotype" w:eastAsia="Palatino Linotype" w:hAnsi="Palatino Linotype" w:cs="Palatino Linotype"/>
          <w:color w:val="000000"/>
        </w:rPr>
        <w:t>Ayuntamientos</w:t>
      </w:r>
      <w:r w:rsidRPr="00F30E92">
        <w:rPr>
          <w:rFonts w:ascii="Palatino Linotype" w:eastAsia="Palatino Linotype" w:hAnsi="Palatino Linotype" w:cs="Palatino Linotype"/>
        </w:rPr>
        <w:t xml:space="preserve"> dentro de su circunscripción territorial, pues ayuda a transparentar la gestión pública.</w:t>
      </w:r>
    </w:p>
    <w:p w:rsidR="00664ACF" w:rsidRPr="00F30E92" w:rsidRDefault="00664ACF" w:rsidP="00664ACF">
      <w:pPr>
        <w:spacing w:line="360" w:lineRule="auto"/>
        <w:ind w:right="-1987"/>
        <w:jc w:val="both"/>
        <w:rPr>
          <w:rFonts w:ascii="Palatino Linotype" w:eastAsia="Palatino Linotype" w:hAnsi="Palatino Linotype" w:cs="Palatino Linotype"/>
        </w:rPr>
      </w:pPr>
    </w:p>
    <w:p w:rsidR="00664ACF" w:rsidRPr="00F30E92" w:rsidRDefault="00664ACF" w:rsidP="00664ACF">
      <w:pPr>
        <w:numPr>
          <w:ilvl w:val="0"/>
          <w:numId w:val="2"/>
        </w:numPr>
        <w:pBdr>
          <w:top w:val="nil"/>
          <w:left w:val="nil"/>
          <w:bottom w:val="nil"/>
          <w:right w:val="nil"/>
          <w:between w:val="nil"/>
        </w:pBdr>
        <w:spacing w:line="360" w:lineRule="auto"/>
        <w:ind w:left="0" w:right="-1566" w:firstLine="0"/>
        <w:jc w:val="both"/>
        <w:rPr>
          <w:rFonts w:ascii="Palatino Linotype" w:eastAsia="Palatino Linotype" w:hAnsi="Palatino Linotype" w:cs="Palatino Linotype"/>
          <w:b/>
        </w:rPr>
      </w:pPr>
      <w:r w:rsidRPr="00F30E92">
        <w:rPr>
          <w:rFonts w:ascii="Palatino Linotype" w:eastAsia="Palatino Linotype" w:hAnsi="Palatino Linotype" w:cs="Palatino Linotype"/>
        </w:rPr>
        <w:t xml:space="preserve">En ese sentido, el artículo 92, fracción XXXII, de la Ley de Transparencia y Acceso a la Información Pública del Estado de México y Municipios, establece que los Sujetos Obligados deberán poner a disposición del público de manera permanente y actualizada de las licencias otorgadas, </w:t>
      </w:r>
      <w:r w:rsidRPr="00F30E92">
        <w:rPr>
          <w:rFonts w:ascii="Palatino Linotype" w:eastAsia="Palatino Linotype" w:hAnsi="Palatino Linotype" w:cs="Palatino Linotype"/>
          <w:b/>
        </w:rPr>
        <w:t>especificando los titulares de estas</w:t>
      </w:r>
      <w:r w:rsidRPr="00F30E92">
        <w:rPr>
          <w:rFonts w:ascii="Palatino Linotype" w:eastAsia="Palatino Linotype" w:hAnsi="Palatino Linotype" w:cs="Palatino Linotype"/>
        </w:rPr>
        <w:t xml:space="preserve">, debiendo publicarse el objeto, </w:t>
      </w:r>
      <w:r w:rsidRPr="00F30E92">
        <w:rPr>
          <w:rFonts w:ascii="Palatino Linotype" w:eastAsia="Palatino Linotype" w:hAnsi="Palatino Linotype" w:cs="Palatino Linotype"/>
          <w:b/>
          <w:i/>
        </w:rPr>
        <w:t>nombre</w:t>
      </w:r>
      <w:r w:rsidRPr="00F30E92">
        <w:rPr>
          <w:rFonts w:ascii="Palatino Linotype" w:eastAsia="Palatino Linotype" w:hAnsi="Palatino Linotype" w:cs="Palatino Linotype"/>
          <w:b/>
        </w:rPr>
        <w:t xml:space="preserve"> o razón social, vigencia, tipo, términos, condiciones, monto o modificación.</w:t>
      </w:r>
    </w:p>
    <w:p w:rsidR="00664ACF" w:rsidRPr="00F30E92" w:rsidRDefault="00664ACF" w:rsidP="00664ACF">
      <w:pPr>
        <w:spacing w:line="360" w:lineRule="auto"/>
        <w:ind w:right="-1987"/>
        <w:jc w:val="both"/>
        <w:rPr>
          <w:rFonts w:ascii="Palatino Linotype" w:eastAsia="Palatino Linotype" w:hAnsi="Palatino Linotype" w:cs="Palatino Linotype"/>
        </w:rPr>
      </w:pPr>
    </w:p>
    <w:p w:rsidR="00664ACF" w:rsidRPr="00F30E92" w:rsidRDefault="00664ACF" w:rsidP="00664ACF">
      <w:pPr>
        <w:numPr>
          <w:ilvl w:val="0"/>
          <w:numId w:val="2"/>
        </w:numPr>
        <w:pBdr>
          <w:top w:val="nil"/>
          <w:left w:val="nil"/>
          <w:bottom w:val="nil"/>
          <w:right w:val="nil"/>
          <w:between w:val="nil"/>
        </w:pBdr>
        <w:spacing w:line="360" w:lineRule="auto"/>
        <w:ind w:left="0" w:right="-1566" w:firstLine="0"/>
        <w:jc w:val="both"/>
        <w:rPr>
          <w:rFonts w:ascii="Palatino Linotype" w:eastAsia="Palatino Linotype" w:hAnsi="Palatino Linotype" w:cs="Palatino Linotype"/>
        </w:rPr>
      </w:pPr>
      <w:r w:rsidRPr="00F30E92">
        <w:rPr>
          <w:rFonts w:ascii="Palatino Linotype" w:eastAsia="Palatino Linotype" w:hAnsi="Palatino Linotype" w:cs="Palatino Linotype"/>
        </w:rPr>
        <w:t>Cabe puntualizar que la licencia, tal como se estableció en párrafos anteriores, se refiere al documento que contiene la autorización por parte de los Ayuntamientos para que un particular pueda realizar una actividad económica, comercial o industrial, regulada por las Leyes respectivas.</w:t>
      </w:r>
    </w:p>
    <w:p w:rsidR="00664ACF" w:rsidRPr="00F30E92" w:rsidRDefault="00664ACF" w:rsidP="00664ACF">
      <w:pPr>
        <w:numPr>
          <w:ilvl w:val="0"/>
          <w:numId w:val="2"/>
        </w:numPr>
        <w:pBdr>
          <w:top w:val="nil"/>
          <w:left w:val="nil"/>
          <w:bottom w:val="nil"/>
          <w:right w:val="nil"/>
          <w:between w:val="nil"/>
        </w:pBdr>
        <w:spacing w:line="360" w:lineRule="auto"/>
        <w:ind w:left="0" w:right="-1566" w:firstLine="0"/>
        <w:jc w:val="both"/>
        <w:rPr>
          <w:rFonts w:ascii="Palatino Linotype" w:eastAsia="Palatino Linotype" w:hAnsi="Palatino Linotype" w:cs="Palatino Linotype"/>
        </w:rPr>
      </w:pPr>
      <w:r w:rsidRPr="00F30E92">
        <w:rPr>
          <w:rFonts w:ascii="Palatino Linotype" w:eastAsia="Palatino Linotype" w:hAnsi="Palatino Linotype" w:cs="Palatino Linotype"/>
        </w:rPr>
        <w:lastRenderedPageBreak/>
        <w:t>Ahora bien, del contenido de la Licencia de Funcionamiento que se entreguen se debe de mencionar que puede contener datos personales  de los cuales de manera enunciativa más no limitativa pudieran ser los siguientes.</w:t>
      </w:r>
    </w:p>
    <w:p w:rsidR="00664ACF" w:rsidRPr="00F30E92" w:rsidRDefault="00664ACF" w:rsidP="00664ACF">
      <w:pPr>
        <w:pBdr>
          <w:top w:val="nil"/>
          <w:left w:val="nil"/>
          <w:bottom w:val="nil"/>
          <w:right w:val="nil"/>
          <w:between w:val="nil"/>
        </w:pBdr>
        <w:ind w:right="-1987"/>
        <w:rPr>
          <w:rFonts w:ascii="Palatino Linotype" w:eastAsia="Palatino Linotype" w:hAnsi="Palatino Linotype" w:cs="Palatino Linotype"/>
          <w:color w:val="000000"/>
        </w:rPr>
      </w:pPr>
    </w:p>
    <w:p w:rsidR="00664ACF" w:rsidRPr="00F30E92" w:rsidRDefault="00664ACF" w:rsidP="00664ACF">
      <w:pPr>
        <w:spacing w:line="360" w:lineRule="auto"/>
        <w:ind w:right="-1987"/>
        <w:jc w:val="both"/>
        <w:rPr>
          <w:rFonts w:ascii="Palatino Linotype" w:eastAsia="Palatino Linotype" w:hAnsi="Palatino Linotype" w:cs="Palatino Linotype"/>
          <w:color w:val="000000"/>
        </w:rPr>
      </w:pPr>
      <w:r w:rsidRPr="00F30E92">
        <w:rPr>
          <w:rFonts w:ascii="Palatino Linotype" w:eastAsia="Palatino Linotype" w:hAnsi="Palatino Linotype" w:cs="Palatino Linotype"/>
          <w:b/>
          <w:color w:val="000000"/>
        </w:rPr>
        <w:t>Registro Federal de Contribuyentes</w:t>
      </w:r>
      <w:r w:rsidRPr="00F30E92">
        <w:rPr>
          <w:rFonts w:ascii="Palatino Linotype" w:eastAsia="Palatino Linotype" w:hAnsi="Palatino Linotype" w:cs="Palatino Linotype"/>
          <w:color w:val="000000"/>
        </w:rPr>
        <w:t xml:space="preserve"> (RFC)</w:t>
      </w:r>
    </w:p>
    <w:p w:rsidR="00664ACF" w:rsidRPr="00F30E92" w:rsidRDefault="00664ACF" w:rsidP="00664ACF">
      <w:pPr>
        <w:numPr>
          <w:ilvl w:val="0"/>
          <w:numId w:val="2"/>
        </w:numPr>
        <w:pBdr>
          <w:top w:val="nil"/>
          <w:left w:val="nil"/>
          <w:bottom w:val="nil"/>
          <w:right w:val="nil"/>
          <w:between w:val="nil"/>
        </w:pBdr>
        <w:spacing w:line="360" w:lineRule="auto"/>
        <w:ind w:left="0" w:right="-1566" w:firstLine="0"/>
        <w:jc w:val="both"/>
        <w:rPr>
          <w:rFonts w:ascii="Palatino Linotype" w:eastAsia="Palatino Linotype" w:hAnsi="Palatino Linotype" w:cs="Palatino Linotype"/>
          <w:color w:val="000000"/>
        </w:rPr>
      </w:pPr>
      <w:r w:rsidRPr="00F30E92">
        <w:rPr>
          <w:rFonts w:ascii="Palatino Linotype" w:eastAsia="Palatino Linotype" w:hAnsi="Palatino Linotype" w:cs="Palatino Linotype"/>
        </w:rPr>
        <w:t>Las</w:t>
      </w:r>
      <w:r w:rsidRPr="00F30E92">
        <w:rPr>
          <w:rFonts w:ascii="Palatino Linotype" w:eastAsia="Palatino Linotype" w:hAnsi="Palatino Linotype" w:cs="Palatino Linotype"/>
          <w:color w:val="000000"/>
        </w:rPr>
        <w:t xml:space="preserve"> personas físicas que deban presentar declaraciones periódicas o que están obligadas a expedir comprobantes fiscales, tienen que solicitar su inscripción en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con el artículo 27 del Código Fiscal de la Federación.</w:t>
      </w:r>
    </w:p>
    <w:p w:rsidR="00664ACF" w:rsidRPr="00F30E92" w:rsidRDefault="00664ACF" w:rsidP="00664ACF">
      <w:pPr>
        <w:spacing w:line="360" w:lineRule="auto"/>
        <w:ind w:right="-1987"/>
        <w:jc w:val="both"/>
        <w:rPr>
          <w:rFonts w:ascii="Palatino Linotype" w:eastAsia="Palatino Linotype" w:hAnsi="Palatino Linotype" w:cs="Palatino Linotype"/>
          <w:color w:val="000000"/>
        </w:rPr>
      </w:pPr>
    </w:p>
    <w:p w:rsidR="00664ACF" w:rsidRPr="00F30E92" w:rsidRDefault="00664ACF" w:rsidP="00664ACF">
      <w:pPr>
        <w:numPr>
          <w:ilvl w:val="0"/>
          <w:numId w:val="2"/>
        </w:numPr>
        <w:pBdr>
          <w:top w:val="nil"/>
          <w:left w:val="nil"/>
          <w:bottom w:val="nil"/>
          <w:right w:val="nil"/>
          <w:between w:val="nil"/>
        </w:pBdr>
        <w:spacing w:line="360" w:lineRule="auto"/>
        <w:ind w:left="0" w:right="-1566" w:firstLine="0"/>
        <w:jc w:val="both"/>
        <w:rPr>
          <w:rFonts w:ascii="Palatino Linotype" w:eastAsia="Palatino Linotype" w:hAnsi="Palatino Linotype" w:cs="Palatino Linotype"/>
          <w:color w:val="000000"/>
        </w:rPr>
      </w:pPr>
      <w:r w:rsidRPr="00F30E92">
        <w:rPr>
          <w:rFonts w:ascii="Palatino Linotype" w:eastAsia="Palatino Linotype" w:hAnsi="Palatino Linotype" w:cs="Palatino Linotype"/>
          <w:color w:val="000000"/>
        </w:rPr>
        <w:t>De acuerdo con lo establecido en el artículo en comento, esta clave se compone de trece caracteres alfanuméricos, con datos obtenidos de los apellidos, nombre (s), fecha de nacimiento del titular, más una homoclave que establece el sistema automático del Servicio de Administración Tributaria.</w:t>
      </w:r>
    </w:p>
    <w:p w:rsidR="00664ACF" w:rsidRPr="00F30E92" w:rsidRDefault="00664ACF" w:rsidP="00664ACF">
      <w:pPr>
        <w:spacing w:line="360" w:lineRule="auto"/>
        <w:ind w:right="-1987"/>
        <w:jc w:val="both"/>
        <w:rPr>
          <w:rFonts w:ascii="Palatino Linotype" w:eastAsia="Palatino Linotype" w:hAnsi="Palatino Linotype" w:cs="Palatino Linotype"/>
          <w:color w:val="000000"/>
        </w:rPr>
      </w:pPr>
    </w:p>
    <w:p w:rsidR="00664ACF" w:rsidRPr="00F30E92" w:rsidRDefault="00664ACF" w:rsidP="00664ACF">
      <w:pPr>
        <w:numPr>
          <w:ilvl w:val="0"/>
          <w:numId w:val="2"/>
        </w:numPr>
        <w:pBdr>
          <w:top w:val="nil"/>
          <w:left w:val="nil"/>
          <w:bottom w:val="nil"/>
          <w:right w:val="nil"/>
          <w:between w:val="nil"/>
        </w:pBdr>
        <w:spacing w:line="360" w:lineRule="auto"/>
        <w:ind w:left="0" w:right="-1566" w:firstLine="0"/>
        <w:jc w:val="both"/>
        <w:rPr>
          <w:rFonts w:ascii="Palatino Linotype" w:eastAsia="Palatino Linotype" w:hAnsi="Palatino Linotype" w:cs="Palatino Linotype"/>
          <w:color w:val="000000"/>
        </w:rPr>
      </w:pPr>
      <w:r w:rsidRPr="00F30E92">
        <w:rPr>
          <w:rFonts w:ascii="Palatino Linotype" w:eastAsia="Palatino Linotype" w:hAnsi="Palatino Linotype" w:cs="Palatino Linotype"/>
        </w:rPr>
        <w:t>Ahora</w:t>
      </w:r>
      <w:r w:rsidRPr="00F30E92">
        <w:rPr>
          <w:rFonts w:ascii="Palatino Linotype" w:eastAsia="Palatino Linotype" w:hAnsi="Palatino Linotype" w:cs="Palatino Linotype"/>
          <w:color w:val="000000"/>
        </w:rPr>
        <w:t xml:space="preserve"> bien, la clave del Registro Federal de Contribuyentes es el medio de control que tiene la Secretaría de Hacienda y Crédito Público, a través del Servicio de Administración Tributaria, para exigir y vigilar el cumplimiento de las obligaciones fiscales de los contribuyentes; mientras que los particulares tramitan dicho dato, con el único propósito de realizar mediante esa clave de identificación, operaciones o actividades de naturaleza fiscal.</w:t>
      </w:r>
    </w:p>
    <w:p w:rsidR="00664ACF" w:rsidRPr="00F30E92" w:rsidRDefault="00664ACF" w:rsidP="00664ACF">
      <w:pPr>
        <w:spacing w:line="360" w:lineRule="auto"/>
        <w:ind w:right="-1987"/>
        <w:jc w:val="both"/>
        <w:rPr>
          <w:rFonts w:ascii="Palatino Linotype" w:eastAsia="Palatino Linotype" w:hAnsi="Palatino Linotype" w:cs="Palatino Linotype"/>
          <w:color w:val="000000"/>
        </w:rPr>
      </w:pPr>
    </w:p>
    <w:p w:rsidR="00664ACF" w:rsidRPr="00F30E92" w:rsidRDefault="00664ACF" w:rsidP="00664ACF">
      <w:pPr>
        <w:numPr>
          <w:ilvl w:val="0"/>
          <w:numId w:val="2"/>
        </w:numPr>
        <w:pBdr>
          <w:top w:val="nil"/>
          <w:left w:val="nil"/>
          <w:bottom w:val="nil"/>
          <w:right w:val="nil"/>
          <w:between w:val="nil"/>
        </w:pBdr>
        <w:spacing w:line="360" w:lineRule="auto"/>
        <w:ind w:left="0" w:right="-1566" w:firstLine="0"/>
        <w:jc w:val="both"/>
        <w:rPr>
          <w:rFonts w:ascii="Palatino Linotype" w:eastAsia="Palatino Linotype" w:hAnsi="Palatino Linotype" w:cs="Palatino Linotype"/>
          <w:color w:val="000000"/>
        </w:rPr>
      </w:pPr>
      <w:r w:rsidRPr="00F30E92">
        <w:rPr>
          <w:rFonts w:ascii="Palatino Linotype" w:eastAsia="Palatino Linotype" w:hAnsi="Palatino Linotype" w:cs="Palatino Linotype"/>
        </w:rPr>
        <w:lastRenderedPageBreak/>
        <w:t>Conforme</w:t>
      </w:r>
      <w:r w:rsidRPr="00F30E92">
        <w:rPr>
          <w:rFonts w:ascii="Palatino Linotype" w:eastAsia="Palatino Linotype" w:hAnsi="Palatino Linotype" w:cs="Palatino Linotype"/>
          <w:color w:val="000000"/>
        </w:rPr>
        <w:t xml:space="preserve"> a lo expuesto, el Registro Federal de Contribuyentes, es un dato personal, ya que hace a las personas físicas identificables, además de que las relaciona como contribuyentes de las autoridades fiscales. Es de destacar que dicho dato únicamente sirve para efectos fiscales y pago de contribuciones, por lo que se trata de un dato relevante únicamente para las personas involucradas, en el pago de estos, en el presente caso, del pago del Impuesto Sobre el Producto del Trabajo. </w:t>
      </w:r>
    </w:p>
    <w:p w:rsidR="00664ACF" w:rsidRPr="00F30E92" w:rsidRDefault="00664ACF" w:rsidP="00664ACF">
      <w:pPr>
        <w:spacing w:line="360" w:lineRule="auto"/>
        <w:ind w:right="-1987"/>
        <w:jc w:val="both"/>
        <w:rPr>
          <w:rFonts w:ascii="Palatino Linotype" w:eastAsia="Palatino Linotype" w:hAnsi="Palatino Linotype" w:cs="Palatino Linotype"/>
          <w:color w:val="000000"/>
        </w:rPr>
      </w:pPr>
    </w:p>
    <w:p w:rsidR="00664ACF" w:rsidRPr="00F30E92" w:rsidRDefault="00664ACF" w:rsidP="00664ACF">
      <w:pPr>
        <w:numPr>
          <w:ilvl w:val="0"/>
          <w:numId w:val="2"/>
        </w:numPr>
        <w:pBdr>
          <w:top w:val="nil"/>
          <w:left w:val="nil"/>
          <w:bottom w:val="nil"/>
          <w:right w:val="nil"/>
          <w:between w:val="nil"/>
        </w:pBdr>
        <w:spacing w:line="360" w:lineRule="auto"/>
        <w:ind w:left="0" w:right="-1566" w:firstLine="0"/>
        <w:jc w:val="both"/>
        <w:rPr>
          <w:rFonts w:ascii="Palatino Linotype" w:eastAsia="Palatino Linotype" w:hAnsi="Palatino Linotype" w:cs="Palatino Linotype"/>
          <w:color w:val="000000"/>
        </w:rPr>
      </w:pPr>
      <w:r w:rsidRPr="00F30E92">
        <w:rPr>
          <w:rFonts w:ascii="Palatino Linotype" w:eastAsia="Palatino Linotype" w:hAnsi="Palatino Linotype" w:cs="Palatino Linotype"/>
        </w:rPr>
        <w:t>Lo</w:t>
      </w:r>
      <w:r w:rsidRPr="00F30E92">
        <w:rPr>
          <w:rFonts w:ascii="Palatino Linotype" w:eastAsia="Palatino Linotype" w:hAnsi="Palatino Linotype" w:cs="Palatino Linotype"/>
          <w:color w:val="000000"/>
        </w:rPr>
        <w:t xml:space="preserve"> anterior, resulta congruente con el Criterio 19/17 emitido por el Instituto Nacional de Transparencia, Acceso a la Información y Protección de Datos Personales, en el cual se señala lo siguiente:</w:t>
      </w:r>
    </w:p>
    <w:p w:rsidR="00664ACF" w:rsidRPr="00F30E92" w:rsidRDefault="00664ACF" w:rsidP="00664ACF">
      <w:pPr>
        <w:ind w:left="1134" w:right="-290"/>
        <w:jc w:val="both"/>
        <w:rPr>
          <w:rFonts w:ascii="Palatino Linotype" w:eastAsia="Palatino Linotype" w:hAnsi="Palatino Linotype" w:cs="Palatino Linotype"/>
          <w:i/>
          <w:color w:val="000000"/>
        </w:rPr>
      </w:pPr>
      <w:r w:rsidRPr="00F30E92">
        <w:rPr>
          <w:rFonts w:ascii="Palatino Linotype" w:eastAsia="Palatino Linotype" w:hAnsi="Palatino Linotype" w:cs="Palatino Linotype"/>
          <w:i/>
          <w:color w:val="000000"/>
        </w:rPr>
        <w:t>“</w:t>
      </w:r>
      <w:r w:rsidRPr="00F30E92">
        <w:rPr>
          <w:rFonts w:ascii="Palatino Linotype" w:eastAsia="Palatino Linotype" w:hAnsi="Palatino Linotype" w:cs="Palatino Linotype"/>
          <w:b/>
          <w:i/>
          <w:color w:val="000000"/>
        </w:rPr>
        <w:t>Registro Federal de Contribuyentes (RFC) de personas físicas</w:t>
      </w:r>
      <w:r w:rsidRPr="00F30E92">
        <w:rPr>
          <w:rFonts w:ascii="Palatino Linotype" w:eastAsia="Palatino Linotype" w:hAnsi="Palatino Linotype" w:cs="Palatino Linotype"/>
          <w:i/>
          <w:color w:val="000000"/>
        </w:rPr>
        <w:t>. El RFC es una clave de carácter fiscal, única e irrepetible, que permite identificar al titular, su edad y fecha de nacimiento, por lo que es un dato personal de carácter confidencial.”</w:t>
      </w:r>
    </w:p>
    <w:p w:rsidR="00664ACF" w:rsidRPr="00F30E92" w:rsidRDefault="00664ACF" w:rsidP="00664ACF">
      <w:pPr>
        <w:ind w:left="1134" w:right="-1987"/>
        <w:jc w:val="both"/>
        <w:rPr>
          <w:rFonts w:ascii="Palatino Linotype" w:eastAsia="Palatino Linotype" w:hAnsi="Palatino Linotype" w:cs="Palatino Linotype"/>
          <w:color w:val="000000"/>
        </w:rPr>
      </w:pPr>
    </w:p>
    <w:p w:rsidR="00664ACF" w:rsidRPr="00F30E92" w:rsidRDefault="00664ACF" w:rsidP="00664ACF">
      <w:pPr>
        <w:numPr>
          <w:ilvl w:val="0"/>
          <w:numId w:val="2"/>
        </w:numPr>
        <w:pBdr>
          <w:top w:val="nil"/>
          <w:left w:val="nil"/>
          <w:bottom w:val="nil"/>
          <w:right w:val="nil"/>
          <w:between w:val="nil"/>
        </w:pBdr>
        <w:spacing w:line="360" w:lineRule="auto"/>
        <w:ind w:left="0" w:right="-1566" w:firstLine="0"/>
        <w:jc w:val="both"/>
        <w:rPr>
          <w:rFonts w:ascii="Palatino Linotype" w:eastAsia="Palatino Linotype" w:hAnsi="Palatino Linotype" w:cs="Palatino Linotype"/>
          <w:color w:val="000000"/>
        </w:rPr>
      </w:pPr>
      <w:r w:rsidRPr="00F30E92">
        <w:rPr>
          <w:rFonts w:ascii="Palatino Linotype" w:eastAsia="Palatino Linotype" w:hAnsi="Palatino Linotype" w:cs="Palatino Linotype"/>
        </w:rPr>
        <w:t>De</w:t>
      </w:r>
      <w:r w:rsidRPr="00F30E92">
        <w:rPr>
          <w:rFonts w:ascii="Palatino Linotype" w:eastAsia="Palatino Linotype" w:hAnsi="Palatino Linotype" w:cs="Palatino Linotype"/>
          <w:color w:val="000000"/>
        </w:rPr>
        <w:t xml:space="preserve"> tal suerte, el Registro Federal de Contribuyentes de los servidores públicos no guarda relación con la transparencia de los recursos públicos, así como tampoco con el desempeño laboral que pueda tener una persona, por lo que constituye un dato personal confidencial al actualizar el supuesto normativo del artículo 143, fracción I de la Ley de Transparencia y Acceso a la Información Pública del Estado de México y Municipios.</w:t>
      </w:r>
    </w:p>
    <w:p w:rsidR="00664ACF" w:rsidRPr="00F30E92" w:rsidRDefault="00664ACF" w:rsidP="00664ACF">
      <w:pPr>
        <w:spacing w:line="360" w:lineRule="auto"/>
        <w:ind w:right="-1987"/>
        <w:jc w:val="both"/>
        <w:rPr>
          <w:rFonts w:ascii="Palatino Linotype" w:eastAsia="Palatino Linotype" w:hAnsi="Palatino Linotype" w:cs="Palatino Linotype"/>
          <w:color w:val="000000"/>
        </w:rPr>
      </w:pPr>
    </w:p>
    <w:p w:rsidR="00664ACF" w:rsidRPr="00F30E92" w:rsidRDefault="00664ACF" w:rsidP="00664ACF">
      <w:pPr>
        <w:spacing w:line="360" w:lineRule="auto"/>
        <w:ind w:right="-1987"/>
        <w:jc w:val="both"/>
        <w:rPr>
          <w:rFonts w:ascii="Palatino Linotype" w:eastAsia="Palatino Linotype" w:hAnsi="Palatino Linotype" w:cs="Palatino Linotype"/>
          <w:b/>
          <w:color w:val="000000"/>
        </w:rPr>
      </w:pPr>
      <w:r w:rsidRPr="00F30E92">
        <w:rPr>
          <w:rFonts w:ascii="Palatino Linotype" w:eastAsia="Palatino Linotype" w:hAnsi="Palatino Linotype" w:cs="Palatino Linotype"/>
          <w:b/>
          <w:color w:val="000000"/>
        </w:rPr>
        <w:t>Clave única de Registro de Población –CURP-</w:t>
      </w:r>
    </w:p>
    <w:p w:rsidR="00664ACF" w:rsidRPr="00F30E92" w:rsidRDefault="00664ACF" w:rsidP="00664ACF">
      <w:pPr>
        <w:numPr>
          <w:ilvl w:val="0"/>
          <w:numId w:val="2"/>
        </w:numPr>
        <w:pBdr>
          <w:top w:val="nil"/>
          <w:left w:val="nil"/>
          <w:bottom w:val="nil"/>
          <w:right w:val="nil"/>
          <w:between w:val="nil"/>
        </w:pBdr>
        <w:spacing w:line="360" w:lineRule="auto"/>
        <w:ind w:left="0" w:right="-1566" w:firstLine="0"/>
        <w:jc w:val="both"/>
        <w:rPr>
          <w:rFonts w:ascii="Palatino Linotype" w:eastAsia="Palatino Linotype" w:hAnsi="Palatino Linotype" w:cs="Palatino Linotype"/>
          <w:color w:val="000000"/>
        </w:rPr>
      </w:pPr>
      <w:r w:rsidRPr="00F30E92">
        <w:rPr>
          <w:rFonts w:ascii="Palatino Linotype" w:eastAsia="Palatino Linotype" w:hAnsi="Palatino Linotype" w:cs="Palatino Linotype"/>
          <w:color w:val="000000"/>
        </w:rPr>
        <w:t xml:space="preserve">El artículo 36 de la Constitución Política de los Estados Unidos Mexicanos, dispone la obligación de los ciudadanos de inscribirse en el Registro Nacional de Ciudadanos. </w:t>
      </w:r>
    </w:p>
    <w:p w:rsidR="00664ACF" w:rsidRPr="00F30E92" w:rsidRDefault="00664ACF" w:rsidP="00664ACF">
      <w:pPr>
        <w:spacing w:line="360" w:lineRule="auto"/>
        <w:ind w:right="-1987"/>
        <w:jc w:val="both"/>
        <w:rPr>
          <w:rFonts w:ascii="Palatino Linotype" w:eastAsia="Palatino Linotype" w:hAnsi="Palatino Linotype" w:cs="Palatino Linotype"/>
          <w:color w:val="000000"/>
        </w:rPr>
      </w:pPr>
    </w:p>
    <w:p w:rsidR="00664ACF" w:rsidRPr="00F30E92" w:rsidRDefault="00664ACF" w:rsidP="00664ACF">
      <w:pPr>
        <w:numPr>
          <w:ilvl w:val="0"/>
          <w:numId w:val="2"/>
        </w:numPr>
        <w:pBdr>
          <w:top w:val="nil"/>
          <w:left w:val="nil"/>
          <w:bottom w:val="nil"/>
          <w:right w:val="nil"/>
          <w:between w:val="nil"/>
        </w:pBdr>
        <w:spacing w:line="360" w:lineRule="auto"/>
        <w:ind w:left="0" w:right="-1566" w:firstLine="0"/>
        <w:jc w:val="both"/>
        <w:rPr>
          <w:rFonts w:ascii="Palatino Linotype" w:eastAsia="Palatino Linotype" w:hAnsi="Palatino Linotype" w:cs="Palatino Linotype"/>
          <w:color w:val="000000"/>
        </w:rPr>
      </w:pPr>
      <w:r w:rsidRPr="00F30E92">
        <w:rPr>
          <w:rFonts w:ascii="Palatino Linotype" w:eastAsia="Palatino Linotype" w:hAnsi="Palatino Linotype" w:cs="Palatino Linotype"/>
          <w:color w:val="000000"/>
        </w:rPr>
        <w:lastRenderedPageBreak/>
        <w:t>El artículo 85 de la Ley General de Población, prevé que corresponde a la Secretaría de Gobernación el registro y acreditación de la identidad de todas las personas residentes en el país y de los nacionales que residan en el extranjero.</w:t>
      </w:r>
    </w:p>
    <w:p w:rsidR="00664ACF" w:rsidRPr="00F30E92" w:rsidRDefault="00664ACF" w:rsidP="00664ACF">
      <w:pPr>
        <w:spacing w:line="360" w:lineRule="auto"/>
        <w:ind w:right="-1987"/>
        <w:jc w:val="both"/>
        <w:rPr>
          <w:rFonts w:ascii="Palatino Linotype" w:eastAsia="Palatino Linotype" w:hAnsi="Palatino Linotype" w:cs="Palatino Linotype"/>
          <w:color w:val="000000"/>
        </w:rPr>
      </w:pPr>
    </w:p>
    <w:p w:rsidR="00664ACF" w:rsidRPr="00F30E92" w:rsidRDefault="00664ACF" w:rsidP="00664ACF">
      <w:pPr>
        <w:numPr>
          <w:ilvl w:val="0"/>
          <w:numId w:val="2"/>
        </w:numPr>
        <w:pBdr>
          <w:top w:val="nil"/>
          <w:left w:val="nil"/>
          <w:bottom w:val="nil"/>
          <w:right w:val="nil"/>
          <w:between w:val="nil"/>
        </w:pBdr>
        <w:spacing w:line="360" w:lineRule="auto"/>
        <w:ind w:left="0" w:right="-1566" w:firstLine="0"/>
        <w:jc w:val="both"/>
        <w:rPr>
          <w:rFonts w:ascii="Palatino Linotype" w:eastAsia="Palatino Linotype" w:hAnsi="Palatino Linotype" w:cs="Palatino Linotype"/>
          <w:color w:val="000000"/>
        </w:rPr>
      </w:pPr>
      <w:r w:rsidRPr="00F30E92">
        <w:rPr>
          <w:rFonts w:ascii="Palatino Linotype" w:eastAsia="Palatino Linotype" w:hAnsi="Palatino Linotype" w:cs="Palatino Linotype"/>
          <w:color w:val="000000"/>
        </w:rPr>
        <w:t xml:space="preserve">Acorde con lo anterior, el artículo 22 del Reglamento Interior de la Secretaría de </w:t>
      </w:r>
      <w:r w:rsidRPr="00F30E92">
        <w:rPr>
          <w:rFonts w:ascii="Palatino Linotype" w:eastAsia="Palatino Linotype" w:hAnsi="Palatino Linotype" w:cs="Palatino Linotype"/>
        </w:rPr>
        <w:t>Gobernación</w:t>
      </w:r>
      <w:r w:rsidRPr="00F30E92">
        <w:rPr>
          <w:rFonts w:ascii="Palatino Linotype" w:eastAsia="Palatino Linotype" w:hAnsi="Palatino Linotype" w:cs="Palatino Linotype"/>
          <w:color w:val="000000"/>
        </w:rPr>
        <w:t>, establece en su fracción III, que la Dirección General del Registro Nacional de Población e Identificación Personal tiene la atribución de asignar y depurar la Clave Única de Registro de Población a todas las personas residentes en el país, así como a los mexicanos que residan en el extranjero.</w:t>
      </w:r>
    </w:p>
    <w:p w:rsidR="00664ACF" w:rsidRPr="00F30E92" w:rsidRDefault="00664ACF" w:rsidP="00664ACF">
      <w:pPr>
        <w:spacing w:line="360" w:lineRule="auto"/>
        <w:ind w:right="-1987"/>
        <w:jc w:val="both"/>
        <w:rPr>
          <w:rFonts w:ascii="Palatino Linotype" w:eastAsia="Palatino Linotype" w:hAnsi="Palatino Linotype" w:cs="Palatino Linotype"/>
          <w:b/>
          <w:color w:val="000000"/>
        </w:rPr>
      </w:pPr>
    </w:p>
    <w:p w:rsidR="00664ACF" w:rsidRPr="00F30E92" w:rsidRDefault="00664ACF" w:rsidP="00664ACF">
      <w:pPr>
        <w:numPr>
          <w:ilvl w:val="0"/>
          <w:numId w:val="2"/>
        </w:numPr>
        <w:pBdr>
          <w:top w:val="nil"/>
          <w:left w:val="nil"/>
          <w:bottom w:val="nil"/>
          <w:right w:val="nil"/>
          <w:between w:val="nil"/>
        </w:pBdr>
        <w:spacing w:line="360" w:lineRule="auto"/>
        <w:ind w:left="0" w:right="-1566" w:firstLine="0"/>
        <w:jc w:val="both"/>
        <w:rPr>
          <w:rFonts w:ascii="Palatino Linotype" w:eastAsia="Palatino Linotype" w:hAnsi="Palatino Linotype" w:cs="Palatino Linotype"/>
          <w:color w:val="000000"/>
        </w:rPr>
      </w:pPr>
      <w:r w:rsidRPr="00F30E92">
        <w:rPr>
          <w:rFonts w:ascii="Palatino Linotype" w:eastAsia="Palatino Linotype" w:hAnsi="Palatino Linotype" w:cs="Palatino Linotype"/>
          <w:color w:val="000000"/>
        </w:rPr>
        <w:t xml:space="preserve">De conformidad con lo precisado por la propia Secretaría de Gobernación en la dirección </w:t>
      </w:r>
      <w:hyperlink r:id="rId8">
        <w:r w:rsidRPr="00F30E92">
          <w:rPr>
            <w:rFonts w:ascii="Palatino Linotype" w:eastAsia="Palatino Linotype" w:hAnsi="Palatino Linotype" w:cs="Palatino Linotype"/>
            <w:color w:val="0563C1"/>
            <w:u w:val="single"/>
          </w:rPr>
          <w:t>https://consultas.curp.gob.mx/CurpSP/html/informacionecurpPS.html</w:t>
        </w:r>
      </w:hyperlink>
      <w:r w:rsidRPr="00F30E92">
        <w:rPr>
          <w:rFonts w:ascii="Palatino Linotype" w:eastAsia="Palatino Linotype" w:hAnsi="Palatino Linotype" w:cs="Palatino Linotype"/>
          <w:color w:val="000000"/>
        </w:rPr>
        <w:t xml:space="preserve">, la Clave Única del Registro de Población  CURP-, es un instrumento de registro que se asigna a todas las personas que viven en el territorio nacional, así como a los mexicanos que residen en el extranjero y se compone de dieciocho elementos, representados por letras y números, que </w:t>
      </w:r>
      <w:r w:rsidRPr="00F30E92">
        <w:rPr>
          <w:rFonts w:ascii="Palatino Linotype" w:eastAsia="Palatino Linotype" w:hAnsi="Palatino Linotype" w:cs="Palatino Linotype"/>
          <w:b/>
          <w:color w:val="000000"/>
        </w:rPr>
        <w:t xml:space="preserve">se generan a partir de los datos contenidos en el documento probatorio de la identidad del interesado </w:t>
      </w:r>
      <w:r w:rsidRPr="00F30E92">
        <w:rPr>
          <w:rFonts w:ascii="Palatino Linotype" w:eastAsia="Palatino Linotype" w:hAnsi="Palatino Linotype" w:cs="Palatino Linotype"/>
          <w:color w:val="000000"/>
        </w:rPr>
        <w:t>(acta de nacimiento, carta de naturalización o documento migratorio) de la siguiente forma:</w:t>
      </w:r>
    </w:p>
    <w:p w:rsidR="00664ACF" w:rsidRPr="00F30E92" w:rsidRDefault="00664ACF" w:rsidP="00664ACF">
      <w:pPr>
        <w:spacing w:line="360" w:lineRule="auto"/>
        <w:ind w:right="-1420"/>
        <w:jc w:val="both"/>
        <w:rPr>
          <w:rFonts w:ascii="Palatino Linotype" w:eastAsia="Palatino Linotype" w:hAnsi="Palatino Linotype" w:cs="Palatino Linotype"/>
          <w:color w:val="000000"/>
        </w:rPr>
      </w:pPr>
      <w:r w:rsidRPr="00F30E92">
        <w:rPr>
          <w:rFonts w:ascii="Palatino Linotype" w:eastAsia="Palatino Linotype" w:hAnsi="Palatino Linotype" w:cs="Palatino Linotype"/>
          <w:color w:val="000000"/>
        </w:rPr>
        <w:t xml:space="preserve"> • El primero y segundo apellidos, así como al nombre de pila.</w:t>
      </w:r>
    </w:p>
    <w:p w:rsidR="00664ACF" w:rsidRPr="00F30E92" w:rsidRDefault="00664ACF" w:rsidP="00664ACF">
      <w:pPr>
        <w:spacing w:line="360" w:lineRule="auto"/>
        <w:ind w:right="-1420"/>
        <w:jc w:val="both"/>
        <w:rPr>
          <w:rFonts w:ascii="Palatino Linotype" w:eastAsia="Palatino Linotype" w:hAnsi="Palatino Linotype" w:cs="Palatino Linotype"/>
          <w:color w:val="000000"/>
        </w:rPr>
      </w:pPr>
      <w:r w:rsidRPr="00F30E92">
        <w:rPr>
          <w:rFonts w:ascii="Palatino Linotype" w:eastAsia="Palatino Linotype" w:hAnsi="Palatino Linotype" w:cs="Palatino Linotype"/>
          <w:color w:val="000000"/>
        </w:rPr>
        <w:t xml:space="preserve"> • La fecha de nacimiento.</w:t>
      </w:r>
    </w:p>
    <w:p w:rsidR="00664ACF" w:rsidRPr="00F30E92" w:rsidRDefault="00664ACF" w:rsidP="00664ACF">
      <w:pPr>
        <w:spacing w:line="360" w:lineRule="auto"/>
        <w:ind w:right="-1420"/>
        <w:jc w:val="both"/>
        <w:rPr>
          <w:rFonts w:ascii="Palatino Linotype" w:eastAsia="Palatino Linotype" w:hAnsi="Palatino Linotype" w:cs="Palatino Linotype"/>
          <w:color w:val="000000"/>
        </w:rPr>
      </w:pPr>
      <w:r w:rsidRPr="00F30E92">
        <w:rPr>
          <w:rFonts w:ascii="Palatino Linotype" w:eastAsia="Palatino Linotype" w:hAnsi="Palatino Linotype" w:cs="Palatino Linotype"/>
          <w:color w:val="000000"/>
        </w:rPr>
        <w:t xml:space="preserve"> • El sexo.</w:t>
      </w:r>
    </w:p>
    <w:p w:rsidR="00664ACF" w:rsidRPr="00F30E92" w:rsidRDefault="00664ACF" w:rsidP="00664ACF">
      <w:pPr>
        <w:spacing w:line="360" w:lineRule="auto"/>
        <w:ind w:right="-1420"/>
        <w:jc w:val="both"/>
        <w:rPr>
          <w:rFonts w:ascii="Palatino Linotype" w:eastAsia="Palatino Linotype" w:hAnsi="Palatino Linotype" w:cs="Palatino Linotype"/>
          <w:color w:val="000000"/>
        </w:rPr>
      </w:pPr>
      <w:r w:rsidRPr="00F30E92">
        <w:rPr>
          <w:rFonts w:ascii="Palatino Linotype" w:eastAsia="Palatino Linotype" w:hAnsi="Palatino Linotype" w:cs="Palatino Linotype"/>
          <w:color w:val="000000"/>
        </w:rPr>
        <w:t xml:space="preserve"> • La entidad federativa de nacimiento.</w:t>
      </w:r>
    </w:p>
    <w:p w:rsidR="00664ACF" w:rsidRPr="00F30E92" w:rsidRDefault="00664ACF" w:rsidP="00664ACF">
      <w:pPr>
        <w:spacing w:line="360" w:lineRule="auto"/>
        <w:ind w:right="-1420"/>
        <w:jc w:val="both"/>
        <w:rPr>
          <w:rFonts w:ascii="Palatino Linotype" w:eastAsia="Palatino Linotype" w:hAnsi="Palatino Linotype" w:cs="Palatino Linotype"/>
          <w:color w:val="000000"/>
        </w:rPr>
      </w:pPr>
      <w:r w:rsidRPr="00F30E92">
        <w:rPr>
          <w:rFonts w:ascii="Palatino Linotype" w:eastAsia="Palatino Linotype" w:hAnsi="Palatino Linotype" w:cs="Palatino Linotype"/>
          <w:color w:val="000000"/>
        </w:rPr>
        <w:lastRenderedPageBreak/>
        <w:t xml:space="preserve">Los dos últimos elementos de la CURP evitan la duplicidad de la </w:t>
      </w:r>
      <w:r w:rsidRPr="00F30E92">
        <w:rPr>
          <w:rFonts w:ascii="Palatino Linotype" w:eastAsia="Palatino Linotype" w:hAnsi="Palatino Linotype" w:cs="Palatino Linotype"/>
        </w:rPr>
        <w:t>clave</w:t>
      </w:r>
      <w:r w:rsidRPr="00F30E92">
        <w:rPr>
          <w:rFonts w:ascii="Palatino Linotype" w:eastAsia="Palatino Linotype" w:hAnsi="Palatino Linotype" w:cs="Palatino Linotype"/>
          <w:color w:val="000000"/>
        </w:rPr>
        <w:t xml:space="preserve"> y garantizan su correcta integración.</w:t>
      </w:r>
    </w:p>
    <w:p w:rsidR="00664ACF" w:rsidRPr="00F30E92" w:rsidRDefault="00664ACF" w:rsidP="00664ACF">
      <w:pPr>
        <w:spacing w:line="360" w:lineRule="auto"/>
        <w:ind w:right="-1987"/>
        <w:jc w:val="both"/>
        <w:rPr>
          <w:rFonts w:ascii="Palatino Linotype" w:eastAsia="Palatino Linotype" w:hAnsi="Palatino Linotype" w:cs="Palatino Linotype"/>
          <w:color w:val="000000"/>
        </w:rPr>
      </w:pPr>
    </w:p>
    <w:p w:rsidR="00664ACF" w:rsidRPr="00F30E92" w:rsidRDefault="00664ACF" w:rsidP="00664ACF">
      <w:pPr>
        <w:numPr>
          <w:ilvl w:val="0"/>
          <w:numId w:val="2"/>
        </w:numPr>
        <w:pBdr>
          <w:top w:val="nil"/>
          <w:left w:val="nil"/>
          <w:bottom w:val="nil"/>
          <w:right w:val="nil"/>
          <w:between w:val="nil"/>
        </w:pBdr>
        <w:spacing w:line="360" w:lineRule="auto"/>
        <w:ind w:left="0" w:right="-1566" w:firstLine="0"/>
        <w:jc w:val="both"/>
        <w:rPr>
          <w:rFonts w:ascii="Palatino Linotype" w:eastAsia="Palatino Linotype" w:hAnsi="Palatino Linotype" w:cs="Palatino Linotype"/>
          <w:color w:val="000000"/>
        </w:rPr>
      </w:pPr>
      <w:r w:rsidRPr="00F30E92">
        <w:rPr>
          <w:rFonts w:ascii="Palatino Linotype" w:eastAsia="Palatino Linotype" w:hAnsi="Palatino Linotype" w:cs="Palatino Linotype"/>
          <w:color w:val="000000"/>
        </w:rPr>
        <w:t>Como se desprende de lo anterior, la CURP es un dato personal confidencial, ya que por sí sola brinda información personal de su titular y lo hace identificado e identificable, motivo por el cual se aprueba su eliminación de las versiones públicas, por lo que se trata de un trámite administrativo requerido por la autoridad federal para hacer identificables a las personas.</w:t>
      </w:r>
    </w:p>
    <w:p w:rsidR="00664ACF" w:rsidRPr="00F30E92" w:rsidRDefault="00664ACF" w:rsidP="00664ACF">
      <w:pPr>
        <w:spacing w:line="360" w:lineRule="auto"/>
        <w:ind w:right="-1987"/>
        <w:jc w:val="both"/>
        <w:rPr>
          <w:rFonts w:ascii="Palatino Linotype" w:eastAsia="Palatino Linotype" w:hAnsi="Palatino Linotype" w:cs="Palatino Linotype"/>
          <w:color w:val="000000"/>
        </w:rPr>
      </w:pPr>
    </w:p>
    <w:p w:rsidR="00664ACF" w:rsidRPr="00F30E92" w:rsidRDefault="00664ACF" w:rsidP="00664ACF">
      <w:pPr>
        <w:numPr>
          <w:ilvl w:val="0"/>
          <w:numId w:val="2"/>
        </w:numPr>
        <w:pBdr>
          <w:top w:val="nil"/>
          <w:left w:val="nil"/>
          <w:bottom w:val="nil"/>
          <w:right w:val="nil"/>
          <w:between w:val="nil"/>
        </w:pBdr>
        <w:spacing w:line="360" w:lineRule="auto"/>
        <w:ind w:left="0" w:right="-1566" w:firstLine="0"/>
        <w:jc w:val="both"/>
        <w:rPr>
          <w:rFonts w:ascii="Palatino Linotype" w:eastAsia="Palatino Linotype" w:hAnsi="Palatino Linotype" w:cs="Palatino Linotype"/>
          <w:color w:val="000000"/>
        </w:rPr>
      </w:pPr>
      <w:r w:rsidRPr="00F30E92">
        <w:rPr>
          <w:rFonts w:ascii="Palatino Linotype" w:eastAsia="Palatino Linotype" w:hAnsi="Palatino Linotype" w:cs="Palatino Linotype"/>
          <w:color w:val="000000"/>
        </w:rPr>
        <w:t>Resulta aplicable en la especie, como argumento orientador, el Criterio 3/10, emitido por el INAI.</w:t>
      </w:r>
    </w:p>
    <w:p w:rsidR="00664ACF" w:rsidRPr="00F30E92" w:rsidRDefault="00664ACF" w:rsidP="00664ACF">
      <w:pPr>
        <w:ind w:left="1134" w:right="-290"/>
        <w:jc w:val="both"/>
        <w:rPr>
          <w:rFonts w:ascii="Palatino Linotype" w:eastAsia="Palatino Linotype" w:hAnsi="Palatino Linotype" w:cs="Palatino Linotype"/>
          <w:i/>
          <w:color w:val="000000"/>
        </w:rPr>
      </w:pPr>
      <w:r w:rsidRPr="00F30E92">
        <w:rPr>
          <w:rFonts w:ascii="Palatino Linotype" w:eastAsia="Palatino Linotype" w:hAnsi="Palatino Linotype" w:cs="Palatino Linotype"/>
          <w:b/>
          <w:i/>
          <w:color w:val="000000"/>
        </w:rPr>
        <w:t xml:space="preserve">Clave Única de Registro de Población (CURP) es un dato personal confidencial. </w:t>
      </w:r>
      <w:r w:rsidRPr="00F30E92">
        <w:rPr>
          <w:rFonts w:ascii="Palatino Linotype" w:eastAsia="Palatino Linotype" w:hAnsi="Palatino Linotype" w:cs="Palatino Linotype"/>
          <w:i/>
          <w:color w:val="000000"/>
        </w:rPr>
        <w:t xml:space="preserve">De conformidad con lo establecido en el artículo 3, fracción II de la Ley Federal de Transparencia y Acceso a la Información Pública Gubernamental, dato personal es toda aquella información concerniente a una persona física identificada o identificable. Por su parte, el artículo 18, fracción II de la ey considera información confidencial los datos personales que requieren el consentimiento de los individuos para su difusión, distribución o comercialización en los términos de esta Ley. En este sentido, la CURP se integra por datos personales que únicamente le conciernen a un particular como son su fecha de nacimiento, su nombre, sus apellidos y su lugar de nacimiento, y esta es información que lo distingue plenamente del resto de los habitantes, por lo que es de carácter confidencial, en términos de lo dispuesto en el artículos anteriormente señalados. </w:t>
      </w:r>
    </w:p>
    <w:p w:rsidR="00664ACF" w:rsidRPr="00F30E92" w:rsidRDefault="00664ACF" w:rsidP="00664ACF">
      <w:pPr>
        <w:ind w:left="1134" w:right="-1420"/>
        <w:jc w:val="both"/>
        <w:rPr>
          <w:rFonts w:ascii="Palatino Linotype" w:eastAsia="Palatino Linotype" w:hAnsi="Palatino Linotype" w:cs="Palatino Linotype"/>
          <w:color w:val="000000"/>
        </w:rPr>
      </w:pPr>
    </w:p>
    <w:p w:rsidR="00664ACF" w:rsidRPr="00F30E92" w:rsidRDefault="00664ACF" w:rsidP="00664ACF">
      <w:pPr>
        <w:numPr>
          <w:ilvl w:val="0"/>
          <w:numId w:val="2"/>
        </w:numPr>
        <w:pBdr>
          <w:top w:val="nil"/>
          <w:left w:val="nil"/>
          <w:bottom w:val="nil"/>
          <w:right w:val="nil"/>
          <w:between w:val="nil"/>
        </w:pBdr>
        <w:spacing w:line="360" w:lineRule="auto"/>
        <w:ind w:left="0" w:right="-1566" w:firstLine="0"/>
        <w:jc w:val="both"/>
        <w:rPr>
          <w:rFonts w:ascii="Palatino Linotype" w:eastAsia="Palatino Linotype" w:hAnsi="Palatino Linotype" w:cs="Palatino Linotype"/>
          <w:color w:val="000000"/>
        </w:rPr>
      </w:pPr>
      <w:r w:rsidRPr="00F30E92">
        <w:rPr>
          <w:rFonts w:ascii="Palatino Linotype" w:eastAsia="Palatino Linotype" w:hAnsi="Palatino Linotype" w:cs="Palatino Linotype"/>
          <w:color w:val="000000"/>
        </w:rPr>
        <w:t>De acuerdo con lo anterior, la clave CURP, es un dato personal confidencial, en términos del artículo 143, fracción I, de la Ley de Transparencia y Acceso a la Información Pública del Estado de México y Municipios.</w:t>
      </w:r>
    </w:p>
    <w:p w:rsidR="00664ACF" w:rsidRPr="00F30E92" w:rsidRDefault="00664ACF" w:rsidP="00664ACF">
      <w:pPr>
        <w:spacing w:line="360" w:lineRule="auto"/>
        <w:ind w:right="-1987"/>
        <w:jc w:val="both"/>
        <w:rPr>
          <w:rFonts w:ascii="Palatino Linotype" w:eastAsia="Palatino Linotype" w:hAnsi="Palatino Linotype" w:cs="Palatino Linotype"/>
          <w:b/>
          <w:color w:val="000000"/>
        </w:rPr>
      </w:pPr>
      <w:r w:rsidRPr="00F30E92">
        <w:rPr>
          <w:rFonts w:ascii="Palatino Linotype" w:eastAsia="Palatino Linotype" w:hAnsi="Palatino Linotype" w:cs="Palatino Linotype"/>
          <w:b/>
          <w:color w:val="000000"/>
        </w:rPr>
        <w:lastRenderedPageBreak/>
        <w:t>Domicilio de particulares</w:t>
      </w:r>
    </w:p>
    <w:p w:rsidR="00664ACF" w:rsidRPr="00F30E92" w:rsidRDefault="00664ACF" w:rsidP="00664ACF">
      <w:pPr>
        <w:numPr>
          <w:ilvl w:val="0"/>
          <w:numId w:val="2"/>
        </w:numPr>
        <w:pBdr>
          <w:top w:val="nil"/>
          <w:left w:val="nil"/>
          <w:bottom w:val="nil"/>
          <w:right w:val="nil"/>
          <w:between w:val="nil"/>
        </w:pBdr>
        <w:spacing w:line="360" w:lineRule="auto"/>
        <w:ind w:left="0" w:right="-1566" w:firstLine="0"/>
        <w:jc w:val="both"/>
        <w:rPr>
          <w:rFonts w:ascii="Palatino Linotype" w:eastAsia="Palatino Linotype" w:hAnsi="Palatino Linotype" w:cs="Palatino Linotype"/>
          <w:color w:val="000000"/>
        </w:rPr>
      </w:pPr>
      <w:r w:rsidRPr="00F30E92">
        <w:rPr>
          <w:rFonts w:ascii="Palatino Linotype" w:eastAsia="Palatino Linotype" w:hAnsi="Palatino Linotype" w:cs="Palatino Linotype"/>
          <w:color w:val="000000"/>
        </w:rPr>
        <w:t xml:space="preserve">Ahora bien, de acuerdo a lo señalado en los artículos 2.3 y 2.5, fracción V del Código Civil del Estado de México, el domicilio es un atributo de la personalidad y un derecho de las personas. Este tiene como propósito que una persona pueda establecerse temporal o permanentemente en un lugar determinado, para habitar, establecer su centro de trabajo o negocios; ahora bien, su inclusión en el nombramiento se puede decir que sólo tiene como objetivo brindar elementos que permitan conocer y hacer identificable a la persona que se designa, sin que esta información sea de relevancia para el interés público, así como tampoco tiene relevancia en el ejercicio de atribuciones de los servidores públicos. Por lo que </w:t>
      </w:r>
      <w:r w:rsidRPr="00F30E92">
        <w:rPr>
          <w:rFonts w:ascii="Palatino Linotype" w:eastAsia="Palatino Linotype" w:hAnsi="Palatino Linotype" w:cs="Palatino Linotype"/>
          <w:b/>
          <w:color w:val="000000"/>
        </w:rPr>
        <w:t>el domicilio particular</w:t>
      </w:r>
      <w:r w:rsidRPr="00F30E92">
        <w:rPr>
          <w:rFonts w:ascii="Palatino Linotype" w:eastAsia="Palatino Linotype" w:hAnsi="Palatino Linotype" w:cs="Palatino Linotype"/>
          <w:color w:val="000000"/>
        </w:rPr>
        <w:t xml:space="preserve"> es confidencial, en términos del artículo 143, fracción I de la Ley de Transparencia y Acceso a la Información Pública del Estado de México y Municipios. </w:t>
      </w:r>
    </w:p>
    <w:p w:rsidR="00664ACF" w:rsidRPr="00F30E92" w:rsidRDefault="00664ACF" w:rsidP="00664ACF">
      <w:pPr>
        <w:pBdr>
          <w:top w:val="nil"/>
          <w:left w:val="nil"/>
          <w:bottom w:val="nil"/>
          <w:right w:val="nil"/>
          <w:between w:val="nil"/>
        </w:pBdr>
        <w:ind w:right="-1987"/>
        <w:rPr>
          <w:rFonts w:ascii="Palatino Linotype" w:eastAsia="Palatino Linotype" w:hAnsi="Palatino Linotype" w:cs="Palatino Linotype"/>
          <w:color w:val="000000"/>
        </w:rPr>
      </w:pPr>
    </w:p>
    <w:p w:rsidR="00664ACF" w:rsidRPr="00F30E92" w:rsidRDefault="00664ACF" w:rsidP="00664ACF">
      <w:pPr>
        <w:spacing w:line="360" w:lineRule="auto"/>
        <w:ind w:right="-1987"/>
        <w:jc w:val="both"/>
        <w:rPr>
          <w:rFonts w:ascii="Palatino Linotype" w:eastAsia="Palatino Linotype" w:hAnsi="Palatino Linotype" w:cs="Palatino Linotype"/>
        </w:rPr>
      </w:pPr>
      <w:r w:rsidRPr="00F30E92">
        <w:rPr>
          <w:rFonts w:ascii="Palatino Linotype" w:eastAsia="Palatino Linotype" w:hAnsi="Palatino Linotype" w:cs="Palatino Linotype"/>
          <w:b/>
        </w:rPr>
        <w:t>Teléfono y celular particular.</w:t>
      </w:r>
    </w:p>
    <w:p w:rsidR="00664ACF" w:rsidRPr="00F30E92" w:rsidRDefault="00664ACF" w:rsidP="00664ACF">
      <w:pPr>
        <w:numPr>
          <w:ilvl w:val="0"/>
          <w:numId w:val="2"/>
        </w:numPr>
        <w:pBdr>
          <w:top w:val="nil"/>
          <w:left w:val="nil"/>
          <w:bottom w:val="nil"/>
          <w:right w:val="nil"/>
          <w:between w:val="nil"/>
        </w:pBdr>
        <w:spacing w:line="360" w:lineRule="auto"/>
        <w:ind w:left="0" w:right="-1566" w:firstLine="0"/>
        <w:jc w:val="both"/>
        <w:rPr>
          <w:rFonts w:ascii="Palatino Linotype" w:eastAsia="Palatino Linotype" w:hAnsi="Palatino Linotype" w:cs="Palatino Linotype"/>
        </w:rPr>
      </w:pPr>
      <w:r w:rsidRPr="00F30E92">
        <w:rPr>
          <w:rFonts w:ascii="Palatino Linotype" w:eastAsia="Palatino Linotype" w:hAnsi="Palatino Linotype" w:cs="Palatino Linotype"/>
        </w:rPr>
        <w:t xml:space="preserve">El número asignado a un teléfono particular o celular permite localizar a una persona física identificada o identificable, ya sea a través de un dispositivo móvil o bien, en un lugar como el domicilio. </w:t>
      </w:r>
    </w:p>
    <w:p w:rsidR="00664ACF" w:rsidRPr="00F30E92" w:rsidRDefault="00664ACF" w:rsidP="00664ACF">
      <w:pPr>
        <w:spacing w:line="360" w:lineRule="auto"/>
        <w:ind w:right="-1987"/>
        <w:jc w:val="both"/>
        <w:rPr>
          <w:rFonts w:ascii="Palatino Linotype" w:eastAsia="Palatino Linotype" w:hAnsi="Palatino Linotype" w:cs="Palatino Linotype"/>
        </w:rPr>
      </w:pPr>
    </w:p>
    <w:p w:rsidR="00664ACF" w:rsidRPr="00F30E92" w:rsidRDefault="00664ACF" w:rsidP="00664ACF">
      <w:pPr>
        <w:numPr>
          <w:ilvl w:val="0"/>
          <w:numId w:val="2"/>
        </w:numPr>
        <w:pBdr>
          <w:top w:val="nil"/>
          <w:left w:val="nil"/>
          <w:bottom w:val="nil"/>
          <w:right w:val="nil"/>
          <w:between w:val="nil"/>
        </w:pBdr>
        <w:spacing w:line="360" w:lineRule="auto"/>
        <w:ind w:left="0" w:right="-1566" w:firstLine="0"/>
        <w:jc w:val="both"/>
        <w:rPr>
          <w:rFonts w:ascii="Palatino Linotype" w:eastAsia="Palatino Linotype" w:hAnsi="Palatino Linotype" w:cs="Palatino Linotype"/>
        </w:rPr>
      </w:pPr>
      <w:r w:rsidRPr="00F30E92">
        <w:rPr>
          <w:rFonts w:ascii="Palatino Linotype" w:eastAsia="Palatino Linotype" w:hAnsi="Palatino Linotype" w:cs="Palatino Linotype"/>
        </w:rPr>
        <w:t xml:space="preserve">En tales consideraciones, si se localizan dichos datos personales en la información entregada, esta es susceptible de ser clasificada como confidencial, con fundamento en el artículo 143, fracción I de la Ley de </w:t>
      </w:r>
      <w:r w:rsidRPr="00F30E92">
        <w:rPr>
          <w:rFonts w:ascii="Palatino Linotype" w:eastAsia="Palatino Linotype" w:hAnsi="Palatino Linotype" w:cs="Palatino Linotype"/>
          <w:color w:val="000000"/>
        </w:rPr>
        <w:t>Transparencia</w:t>
      </w:r>
      <w:r w:rsidRPr="00F30E92">
        <w:rPr>
          <w:rFonts w:ascii="Palatino Linotype" w:eastAsia="Palatino Linotype" w:hAnsi="Palatino Linotype" w:cs="Palatino Linotype"/>
        </w:rPr>
        <w:t xml:space="preserve"> y Acceso a la Información Pública.</w:t>
      </w:r>
    </w:p>
    <w:p w:rsidR="00664ACF" w:rsidRPr="00664ACF" w:rsidRDefault="00664ACF" w:rsidP="00664ACF">
      <w:pPr>
        <w:rPr>
          <w:rFonts w:ascii="Palatino Linotype" w:eastAsia="Palatino Linotype" w:hAnsi="Palatino Linotype" w:cs="Palatino Linotype"/>
          <w:color w:val="000000"/>
        </w:rPr>
      </w:pPr>
    </w:p>
    <w:p w:rsidR="005C7FE0" w:rsidRPr="00664ACF" w:rsidRDefault="00DB7533">
      <w:pPr>
        <w:numPr>
          <w:ilvl w:val="0"/>
          <w:numId w:val="2"/>
        </w:numPr>
        <w:pBdr>
          <w:top w:val="nil"/>
          <w:left w:val="nil"/>
          <w:bottom w:val="nil"/>
          <w:right w:val="nil"/>
          <w:between w:val="nil"/>
        </w:pBdr>
        <w:spacing w:line="360" w:lineRule="auto"/>
        <w:ind w:left="0" w:right="-1566" w:firstLine="0"/>
        <w:jc w:val="both"/>
        <w:rPr>
          <w:rFonts w:ascii="Palatino Linotype" w:eastAsia="Palatino Linotype" w:hAnsi="Palatino Linotype" w:cs="Palatino Linotype"/>
          <w:color w:val="000000"/>
        </w:rPr>
      </w:pPr>
      <w:r w:rsidRPr="00664ACF">
        <w:rPr>
          <w:rFonts w:ascii="Palatino Linotype" w:eastAsia="Palatino Linotype" w:hAnsi="Palatino Linotype" w:cs="Palatino Linotype"/>
          <w:color w:val="000000"/>
        </w:rPr>
        <w:t xml:space="preserve">De lo anterior, se tiene que el </w:t>
      </w:r>
      <w:r w:rsidRPr="00664ACF">
        <w:rPr>
          <w:rFonts w:ascii="Palatino Linotype" w:eastAsia="Palatino Linotype" w:hAnsi="Palatino Linotype" w:cs="Palatino Linotype"/>
          <w:b/>
          <w:bCs/>
          <w:color w:val="000000"/>
        </w:rPr>
        <w:t xml:space="preserve">SUJETO OBLIGADO </w:t>
      </w:r>
      <w:r w:rsidRPr="00664ACF">
        <w:rPr>
          <w:rFonts w:ascii="Palatino Linotype" w:eastAsia="Palatino Linotype" w:hAnsi="Palatino Linotype" w:cs="Palatino Linotype"/>
          <w:color w:val="000000"/>
        </w:rPr>
        <w:t xml:space="preserve">si debe de contar con la información solicitada por la </w:t>
      </w:r>
      <w:r w:rsidRPr="00664ACF">
        <w:rPr>
          <w:rFonts w:ascii="Palatino Linotype" w:eastAsia="Palatino Linotype" w:hAnsi="Palatino Linotype" w:cs="Palatino Linotype"/>
          <w:b/>
          <w:bCs/>
          <w:color w:val="000000"/>
        </w:rPr>
        <w:t xml:space="preserve">RECURRENTE, </w:t>
      </w:r>
      <w:r w:rsidRPr="00664ACF">
        <w:rPr>
          <w:rFonts w:ascii="Palatino Linotype" w:eastAsia="Palatino Linotype" w:hAnsi="Palatino Linotype" w:cs="Palatino Linotype"/>
          <w:color w:val="000000"/>
        </w:rPr>
        <w:t xml:space="preserve">situación por la cual para colmar el derecho de acceso a la información deberá de entregar el listado las farmacias y consultorios médicos y </w:t>
      </w:r>
      <w:r w:rsidRPr="00664ACF">
        <w:rPr>
          <w:rFonts w:ascii="Palatino Linotype" w:eastAsia="Palatino Linotype" w:hAnsi="Palatino Linotype" w:cs="Palatino Linotype"/>
          <w:color w:val="000000"/>
        </w:rPr>
        <w:lastRenderedPageBreak/>
        <w:t xml:space="preserve">dentales, ubicados en la cabecera municipal del municipio de Ayapango, al mayor grado de desagregación posible. </w:t>
      </w:r>
    </w:p>
    <w:p w:rsidR="005C7FE0" w:rsidRPr="00664ACF" w:rsidRDefault="005C7FE0">
      <w:pPr>
        <w:pBdr>
          <w:top w:val="nil"/>
          <w:left w:val="nil"/>
          <w:bottom w:val="nil"/>
          <w:right w:val="nil"/>
          <w:between w:val="nil"/>
        </w:pBdr>
        <w:spacing w:line="360" w:lineRule="auto"/>
        <w:ind w:right="-1566"/>
        <w:jc w:val="both"/>
        <w:rPr>
          <w:rFonts w:ascii="Palatino Linotype" w:eastAsia="Palatino Linotype" w:hAnsi="Palatino Linotype" w:cs="Palatino Linotype"/>
        </w:rPr>
      </w:pPr>
    </w:p>
    <w:p w:rsidR="005C7FE0" w:rsidRPr="00664ACF" w:rsidRDefault="00DB7533">
      <w:pPr>
        <w:tabs>
          <w:tab w:val="left" w:pos="426"/>
        </w:tabs>
        <w:spacing w:line="360" w:lineRule="auto"/>
        <w:jc w:val="both"/>
        <w:rPr>
          <w:rFonts w:ascii="Palatino Linotype" w:eastAsia="Palatino Linotype" w:hAnsi="Palatino Linotype" w:cs="Palatino Linotype"/>
          <w:b/>
          <w:bCs/>
        </w:rPr>
      </w:pPr>
      <w:r w:rsidRPr="00664ACF">
        <w:rPr>
          <w:rFonts w:ascii="Palatino Linotype" w:eastAsia="Palatino Linotype" w:hAnsi="Palatino Linotype" w:cs="Palatino Linotype"/>
          <w:b/>
          <w:bCs/>
        </w:rPr>
        <w:t>QUINTO. De la versión pública.</w:t>
      </w:r>
    </w:p>
    <w:p w:rsidR="005C7FE0" w:rsidRPr="00664ACF" w:rsidRDefault="00DB7533">
      <w:pPr>
        <w:numPr>
          <w:ilvl w:val="0"/>
          <w:numId w:val="2"/>
        </w:numPr>
        <w:tabs>
          <w:tab w:val="left" w:pos="0"/>
        </w:tabs>
        <w:spacing w:line="360" w:lineRule="auto"/>
        <w:ind w:left="0" w:right="-1560" w:firstLine="0"/>
        <w:jc w:val="both"/>
        <w:rPr>
          <w:rFonts w:ascii="Palatino Linotype" w:eastAsia="Palatino Linotype" w:hAnsi="Palatino Linotype" w:cs="Palatino Linotype"/>
        </w:rPr>
      </w:pPr>
      <w:r w:rsidRPr="00664ACF">
        <w:rPr>
          <w:rFonts w:ascii="Palatino Linotype" w:eastAsia="Palatino Linotype" w:hAnsi="Palatino Linotype" w:cs="Palatino Linotype"/>
        </w:rPr>
        <w:t>Debe destacarse que, debido a la naturaleza de la información solicitada</w:t>
      </w:r>
      <w:r w:rsidRPr="00664ACF">
        <w:rPr>
          <w:rFonts w:ascii="Palatino Linotype" w:eastAsia="Palatino Linotype" w:hAnsi="Palatino Linotype" w:cs="Palatino Linotype"/>
          <w:b/>
          <w:bCs/>
        </w:rPr>
        <w:t xml:space="preserve"> </w:t>
      </w:r>
      <w:r w:rsidRPr="00664ACF">
        <w:rPr>
          <w:rFonts w:ascii="Palatino Linotype" w:eastAsia="Palatino Linotype" w:hAnsi="Palatino Linotype" w:cs="Palatino Linotype"/>
        </w:rPr>
        <w:t>eventualmente pudieran obrar datos personales susceptibles de protegerse, y toda vez que este Instituto de Transparencia, Acceso a la Información Pública y Protección de Datos Personales del Estado de México tiene el deber de velar por la protección de los datos personales aun tratándose de servidores públicos y en su caso generar la versión pública de los documentos por las consideraciones que se estimen pertinentes.</w:t>
      </w:r>
    </w:p>
    <w:p w:rsidR="005C7FE0" w:rsidRPr="00664ACF" w:rsidRDefault="005C7FE0">
      <w:pPr>
        <w:tabs>
          <w:tab w:val="left" w:pos="426"/>
        </w:tabs>
        <w:spacing w:line="360" w:lineRule="auto"/>
        <w:ind w:right="-1560"/>
        <w:jc w:val="both"/>
        <w:rPr>
          <w:rFonts w:ascii="Palatino Linotype" w:eastAsia="Palatino Linotype" w:hAnsi="Palatino Linotype" w:cs="Palatino Linotype"/>
        </w:rPr>
      </w:pPr>
    </w:p>
    <w:p w:rsidR="005C7FE0" w:rsidRPr="005F49D8" w:rsidRDefault="00DB7533" w:rsidP="005F49D8">
      <w:pPr>
        <w:pStyle w:val="Prrafodelista"/>
        <w:numPr>
          <w:ilvl w:val="0"/>
          <w:numId w:val="2"/>
        </w:numPr>
        <w:tabs>
          <w:tab w:val="left" w:pos="0"/>
        </w:tabs>
        <w:spacing w:line="360" w:lineRule="auto"/>
        <w:ind w:left="0" w:right="-1560" w:firstLine="0"/>
        <w:jc w:val="both"/>
        <w:rPr>
          <w:rFonts w:ascii="Palatino Linotype" w:eastAsia="Palatino Linotype" w:hAnsi="Palatino Linotype" w:cs="Palatino Linotype"/>
        </w:rPr>
      </w:pPr>
      <w:r w:rsidRPr="005F49D8">
        <w:rPr>
          <w:rFonts w:ascii="Palatino Linotype" w:eastAsia="Palatino Linotype" w:hAnsi="Palatino Linotype" w:cs="Palatino Linotype"/>
        </w:rPr>
        <w:t>La clasificación total o parcial de la información requerida, mediante solicitud de acceso a la información pública, constituye una restricción al derecho humano de acceso a la información, por lo que es menester reiterar los mismos:</w:t>
      </w:r>
    </w:p>
    <w:p w:rsidR="005C7FE0" w:rsidRPr="00664ACF" w:rsidRDefault="005C7FE0">
      <w:pPr>
        <w:tabs>
          <w:tab w:val="left" w:pos="426"/>
        </w:tabs>
        <w:spacing w:line="360" w:lineRule="auto"/>
        <w:jc w:val="both"/>
        <w:rPr>
          <w:rFonts w:ascii="Palatino Linotype" w:eastAsia="Palatino Linotype" w:hAnsi="Palatino Linotype" w:cs="Palatino Linotype"/>
        </w:rPr>
      </w:pPr>
    </w:p>
    <w:tbl>
      <w:tblPr>
        <w:tblStyle w:val="a0"/>
        <w:tblW w:w="9918"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2625"/>
        <w:gridCol w:w="7293"/>
      </w:tblGrid>
      <w:tr w:rsidR="005C7FE0" w:rsidRPr="00664ACF" w:rsidTr="00C10C98">
        <w:tc>
          <w:tcPr>
            <w:tcW w:w="2625" w:type="dxa"/>
          </w:tcPr>
          <w:p w:rsidR="005C7FE0" w:rsidRPr="00664ACF" w:rsidRDefault="00DB7533">
            <w:pPr>
              <w:spacing w:line="360" w:lineRule="auto"/>
              <w:rPr>
                <w:rFonts w:ascii="Palatino Linotype" w:eastAsia="Palatino Linotype" w:hAnsi="Palatino Linotype" w:cs="Palatino Linotype"/>
              </w:rPr>
            </w:pPr>
            <w:r w:rsidRPr="00664ACF">
              <w:rPr>
                <w:rFonts w:ascii="Palatino Linotype" w:eastAsia="Palatino Linotype" w:hAnsi="Palatino Linotype" w:cs="Palatino Linotype"/>
              </w:rPr>
              <w:t>a) Requisitos previos.</w:t>
            </w:r>
          </w:p>
        </w:tc>
        <w:tc>
          <w:tcPr>
            <w:tcW w:w="7293" w:type="dxa"/>
          </w:tcPr>
          <w:p w:rsidR="005C7FE0" w:rsidRPr="00664ACF" w:rsidRDefault="00DB7533">
            <w:pPr>
              <w:spacing w:line="360" w:lineRule="auto"/>
              <w:jc w:val="both"/>
              <w:rPr>
                <w:rFonts w:ascii="Palatino Linotype" w:eastAsia="Palatino Linotype" w:hAnsi="Palatino Linotype" w:cs="Palatino Linotype"/>
              </w:rPr>
            </w:pPr>
            <w:r w:rsidRPr="00664ACF">
              <w:rPr>
                <w:rFonts w:ascii="Palatino Linotype" w:eastAsia="Palatino Linotype" w:hAnsi="Palatino Linotype" w:cs="Palatino Linotype"/>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5C7FE0" w:rsidRPr="00664ACF" w:rsidRDefault="00DB7533">
            <w:pPr>
              <w:spacing w:line="360" w:lineRule="auto"/>
              <w:jc w:val="both"/>
              <w:rPr>
                <w:rFonts w:ascii="Palatino Linotype" w:eastAsia="Palatino Linotype" w:hAnsi="Palatino Linotype" w:cs="Palatino Linotype"/>
              </w:rPr>
            </w:pPr>
            <w:r w:rsidRPr="00664ACF">
              <w:rPr>
                <w:rFonts w:ascii="Palatino Linotype" w:eastAsia="Palatino Linotype" w:hAnsi="Palatino Linotype" w:cs="Palatino Linotype"/>
              </w:rPr>
              <w:t>Al hacerlo tienen que precisar de qué información se trata, señalando el supuesto de clasificación (confidencialidad o reserva).</w:t>
            </w:r>
          </w:p>
          <w:p w:rsidR="005C7FE0" w:rsidRPr="00664ACF" w:rsidRDefault="00DB7533">
            <w:pPr>
              <w:spacing w:line="360" w:lineRule="auto"/>
              <w:jc w:val="both"/>
              <w:rPr>
                <w:rFonts w:ascii="Palatino Linotype" w:eastAsia="Palatino Linotype" w:hAnsi="Palatino Linotype" w:cs="Palatino Linotype"/>
              </w:rPr>
            </w:pPr>
            <w:r w:rsidRPr="00664ACF">
              <w:rPr>
                <w:rFonts w:ascii="Palatino Linotype" w:eastAsia="Palatino Linotype" w:hAnsi="Palatino Linotype" w:cs="Palatino Linotype"/>
              </w:rPr>
              <w:lastRenderedPageBreak/>
              <w:t>Además, se debe señalar el procedimiento, de los tres que establecen los artículos 132 y 106 de la Ley Estatal y General, respectivamente.</w:t>
            </w:r>
          </w:p>
          <w:p w:rsidR="005C7FE0" w:rsidRPr="00664ACF" w:rsidRDefault="00DB7533">
            <w:pPr>
              <w:spacing w:line="360" w:lineRule="auto"/>
              <w:jc w:val="both"/>
              <w:rPr>
                <w:rFonts w:ascii="Palatino Linotype" w:eastAsia="Palatino Linotype" w:hAnsi="Palatino Linotype" w:cs="Palatino Linotype"/>
              </w:rPr>
            </w:pPr>
            <w:r w:rsidRPr="00664ACF">
              <w:rPr>
                <w:rFonts w:ascii="Palatino Linotype" w:eastAsia="Palatino Linotype" w:hAnsi="Palatino Linotype" w:cs="Palatino Linotype"/>
              </w:rPr>
              <w:t xml:space="preserve">El último de estos requisitos previos consiste en que no se pueden emitir acuerdos de carácter general ni particular, esto es, </w:t>
            </w:r>
            <w:r w:rsidRPr="00664ACF">
              <w:rPr>
                <w:rFonts w:ascii="Palatino Linotype" w:eastAsia="Palatino Linotype" w:hAnsi="Palatino Linotype" w:cs="Palatino Linotype"/>
                <w:u w:val="single"/>
              </w:rPr>
              <w:t xml:space="preserve">no se puede hacer un acuerdo para clasificar de manera general todos los documentos de un expediente o área,  </w:t>
            </w:r>
            <w:r w:rsidRPr="00664ACF">
              <w:rPr>
                <w:rFonts w:ascii="Palatino Linotype" w:eastAsia="Palatino Linotype" w:hAnsi="Palatino Linotype" w:cs="Palatino Linotype"/>
              </w:rPr>
              <w:t>sin individualizar su análisis y tampoco se puede hacer un acuerdo por cada dato que se vaya a clasificar dentro de un documento con diez datos, por ejemplo, susceptibles de ser clasificados.</w:t>
            </w:r>
          </w:p>
        </w:tc>
      </w:tr>
      <w:tr w:rsidR="005C7FE0" w:rsidRPr="00664ACF" w:rsidTr="00C10C98">
        <w:tc>
          <w:tcPr>
            <w:tcW w:w="2625" w:type="dxa"/>
          </w:tcPr>
          <w:p w:rsidR="005C7FE0" w:rsidRPr="00664ACF" w:rsidRDefault="00DB7533">
            <w:pPr>
              <w:spacing w:line="360" w:lineRule="auto"/>
              <w:rPr>
                <w:rFonts w:ascii="Palatino Linotype" w:eastAsia="Palatino Linotype" w:hAnsi="Palatino Linotype" w:cs="Palatino Linotype"/>
              </w:rPr>
            </w:pPr>
            <w:r w:rsidRPr="00664ACF">
              <w:rPr>
                <w:rFonts w:ascii="Palatino Linotype" w:eastAsia="Palatino Linotype" w:hAnsi="Palatino Linotype" w:cs="Palatino Linotype"/>
              </w:rPr>
              <w:lastRenderedPageBreak/>
              <w:t>b) Supuestos de clasificación.</w:t>
            </w:r>
          </w:p>
        </w:tc>
        <w:tc>
          <w:tcPr>
            <w:tcW w:w="7293" w:type="dxa"/>
          </w:tcPr>
          <w:p w:rsidR="005C7FE0" w:rsidRPr="00664ACF" w:rsidRDefault="00DB7533">
            <w:pPr>
              <w:spacing w:line="360" w:lineRule="auto"/>
              <w:jc w:val="both"/>
              <w:rPr>
                <w:rFonts w:ascii="Palatino Linotype" w:eastAsia="Palatino Linotype" w:hAnsi="Palatino Linotype" w:cs="Palatino Linotype"/>
              </w:rPr>
            </w:pPr>
            <w:r w:rsidRPr="00664ACF">
              <w:rPr>
                <w:rFonts w:ascii="Palatino Linotype" w:eastAsia="Palatino Linotype" w:hAnsi="Palatino Linotype" w:cs="Palatino Linotype"/>
              </w:rPr>
              <w:t>Las disposiciones constitucionales y legales en la materia establecen los dos supuestos generales para clasificar la información: por reserva y por confidencialidad.</w:t>
            </w:r>
          </w:p>
          <w:p w:rsidR="005C7FE0" w:rsidRPr="00664ACF" w:rsidRDefault="00DB7533">
            <w:pPr>
              <w:spacing w:line="360" w:lineRule="auto"/>
              <w:jc w:val="both"/>
              <w:rPr>
                <w:rFonts w:ascii="Palatino Linotype" w:eastAsia="Palatino Linotype" w:hAnsi="Palatino Linotype" w:cs="Palatino Linotype"/>
              </w:rPr>
            </w:pPr>
            <w:r w:rsidRPr="00664ACF">
              <w:rPr>
                <w:rFonts w:ascii="Palatino Linotype" w:eastAsia="Palatino Linotype" w:hAnsi="Palatino Linotype" w:cs="Palatino Linotype"/>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5C7FE0" w:rsidRPr="00664ACF" w:rsidRDefault="00DB7533">
            <w:pPr>
              <w:spacing w:line="360" w:lineRule="auto"/>
              <w:jc w:val="both"/>
              <w:rPr>
                <w:rFonts w:ascii="Palatino Linotype" w:eastAsia="Palatino Linotype" w:hAnsi="Palatino Linotype" w:cs="Palatino Linotype"/>
              </w:rPr>
            </w:pPr>
            <w:r w:rsidRPr="00664ACF">
              <w:rPr>
                <w:rFonts w:ascii="Palatino Linotype" w:eastAsia="Palatino Linotype" w:hAnsi="Palatino Linotype" w:cs="Palatino Linotype"/>
              </w:rPr>
              <w:lastRenderedPageBreak/>
              <w:t xml:space="preserve">El </w:t>
            </w:r>
            <w:r w:rsidRPr="00664ACF">
              <w:rPr>
                <w:rFonts w:ascii="Palatino Linotype" w:eastAsia="Palatino Linotype" w:hAnsi="Palatino Linotype" w:cs="Palatino Linotype"/>
                <w:b/>
                <w:bCs/>
              </w:rPr>
              <w:t>SUJETO OBLIGADO</w:t>
            </w:r>
            <w:r w:rsidRPr="00664ACF">
              <w:rPr>
                <w:rFonts w:ascii="Palatino Linotype" w:eastAsia="Palatino Linotype" w:hAnsi="Palatino Linotype" w:cs="Palatino Linotype"/>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5C7FE0" w:rsidRPr="00664ACF" w:rsidTr="00C10C98">
        <w:tc>
          <w:tcPr>
            <w:tcW w:w="2625" w:type="dxa"/>
          </w:tcPr>
          <w:p w:rsidR="005C7FE0" w:rsidRPr="00664ACF" w:rsidRDefault="00DB7533">
            <w:pPr>
              <w:spacing w:line="360" w:lineRule="auto"/>
              <w:rPr>
                <w:rFonts w:ascii="Palatino Linotype" w:eastAsia="Palatino Linotype" w:hAnsi="Palatino Linotype" w:cs="Palatino Linotype"/>
              </w:rPr>
            </w:pPr>
            <w:r w:rsidRPr="00664ACF">
              <w:rPr>
                <w:rFonts w:ascii="Palatino Linotype" w:eastAsia="Palatino Linotype" w:hAnsi="Palatino Linotype" w:cs="Palatino Linotype"/>
              </w:rPr>
              <w:lastRenderedPageBreak/>
              <w:t>c) Formalidades para emitir el acuerdo de clasificación.</w:t>
            </w:r>
          </w:p>
        </w:tc>
        <w:tc>
          <w:tcPr>
            <w:tcW w:w="7293" w:type="dxa"/>
          </w:tcPr>
          <w:p w:rsidR="005C7FE0" w:rsidRPr="00664ACF" w:rsidRDefault="00DB7533">
            <w:pPr>
              <w:spacing w:line="360" w:lineRule="auto"/>
              <w:jc w:val="both"/>
              <w:rPr>
                <w:rFonts w:ascii="Palatino Linotype" w:eastAsia="Palatino Linotype" w:hAnsi="Palatino Linotype" w:cs="Palatino Linotype"/>
              </w:rPr>
            </w:pPr>
            <w:r w:rsidRPr="00664ACF">
              <w:rPr>
                <w:rFonts w:ascii="Palatino Linotype" w:eastAsia="Palatino Linotype" w:hAnsi="Palatino Linotype" w:cs="Palatino Linotype"/>
              </w:rPr>
              <w:t xml:space="preserve">El Comité de Transparencia, según lo dispuesto en los artículos cuenta con las facultades para aprobar, modificar o revocar la clasificación de la información que haya propuesto. </w:t>
            </w:r>
          </w:p>
          <w:p w:rsidR="005C7FE0" w:rsidRPr="00664ACF" w:rsidRDefault="00DB7533">
            <w:pPr>
              <w:spacing w:line="360" w:lineRule="auto"/>
              <w:jc w:val="both"/>
              <w:rPr>
                <w:rFonts w:ascii="Palatino Linotype" w:eastAsia="Palatino Linotype" w:hAnsi="Palatino Linotype" w:cs="Palatino Linotype"/>
              </w:rPr>
            </w:pPr>
            <w:r w:rsidRPr="00664ACF">
              <w:rPr>
                <w:rFonts w:ascii="Palatino Linotype" w:eastAsia="Palatino Linotype" w:hAnsi="Palatino Linotype" w:cs="Palatino Linotype"/>
              </w:rPr>
              <w:t xml:space="preserve">Es necesario que </w:t>
            </w:r>
            <w:r w:rsidRPr="00664ACF">
              <w:rPr>
                <w:rFonts w:ascii="Palatino Linotype" w:eastAsia="Palatino Linotype" w:hAnsi="Palatino Linotype" w:cs="Palatino Linotype"/>
                <w:b/>
                <w:bCs/>
                <w:u w:val="single"/>
              </w:rPr>
              <w:t>el acto reúna con los requisitos elementales</w:t>
            </w:r>
            <w:r w:rsidRPr="00664ACF">
              <w:rPr>
                <w:rFonts w:ascii="Palatino Linotype" w:eastAsia="Palatino Linotype" w:hAnsi="Palatino Linotype" w:cs="Palatino Linotype"/>
              </w:rPr>
              <w:t>, entre ellos, que la autoridad que va a emitir el acto de autoridad sea la legalmente facultada para ello.</w:t>
            </w:r>
          </w:p>
          <w:p w:rsidR="005C7FE0" w:rsidRPr="00664ACF" w:rsidRDefault="00DB7533">
            <w:pPr>
              <w:spacing w:line="360" w:lineRule="auto"/>
              <w:jc w:val="both"/>
              <w:rPr>
                <w:rFonts w:ascii="Palatino Linotype" w:eastAsia="Palatino Linotype" w:hAnsi="Palatino Linotype" w:cs="Palatino Linotype"/>
              </w:rPr>
            </w:pPr>
            <w:r w:rsidRPr="00664ACF">
              <w:rPr>
                <w:rFonts w:ascii="Palatino Linotype" w:eastAsia="Palatino Linotype" w:hAnsi="Palatino Linotype" w:cs="Palatino Linotype"/>
              </w:rPr>
              <w:t>La decisión de aprobar, modificar o revocar la clasificación deberá de asentarse en un documento que registre la determinación a la que se llegue después de un análisis minucioso a partir de lo propuesto por el Titular del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5C7FE0" w:rsidRPr="00664ACF" w:rsidTr="00C10C98">
        <w:tc>
          <w:tcPr>
            <w:tcW w:w="2625" w:type="dxa"/>
          </w:tcPr>
          <w:p w:rsidR="005C7FE0" w:rsidRPr="00664ACF" w:rsidRDefault="005C7FE0">
            <w:pPr>
              <w:spacing w:line="360" w:lineRule="auto"/>
              <w:rPr>
                <w:rFonts w:ascii="Palatino Linotype" w:eastAsia="Palatino Linotype" w:hAnsi="Palatino Linotype" w:cs="Palatino Linotype"/>
              </w:rPr>
            </w:pPr>
          </w:p>
          <w:p w:rsidR="005C7FE0" w:rsidRPr="00664ACF" w:rsidRDefault="00DB7533">
            <w:pPr>
              <w:spacing w:line="360" w:lineRule="auto"/>
              <w:jc w:val="both"/>
              <w:rPr>
                <w:rFonts w:ascii="Palatino Linotype" w:eastAsia="Palatino Linotype" w:hAnsi="Palatino Linotype" w:cs="Palatino Linotype"/>
              </w:rPr>
            </w:pPr>
            <w:r w:rsidRPr="00664ACF">
              <w:rPr>
                <w:rFonts w:ascii="Palatino Linotype" w:eastAsia="Palatino Linotype" w:hAnsi="Palatino Linotype" w:cs="Palatino Linotype"/>
              </w:rPr>
              <w:lastRenderedPageBreak/>
              <w:t xml:space="preserve">d) Requisitos de fondo del acuerdo de clasificación. </w:t>
            </w:r>
          </w:p>
        </w:tc>
        <w:tc>
          <w:tcPr>
            <w:tcW w:w="7293" w:type="dxa"/>
          </w:tcPr>
          <w:p w:rsidR="005C7FE0" w:rsidRPr="00664ACF" w:rsidRDefault="00DB7533">
            <w:pPr>
              <w:spacing w:line="360" w:lineRule="auto"/>
              <w:jc w:val="both"/>
              <w:rPr>
                <w:rFonts w:ascii="Palatino Linotype" w:eastAsia="Palatino Linotype" w:hAnsi="Palatino Linotype" w:cs="Palatino Linotype"/>
              </w:rPr>
            </w:pPr>
            <w:r w:rsidRPr="00664ACF">
              <w:rPr>
                <w:rFonts w:ascii="Palatino Linotype" w:eastAsia="Palatino Linotype" w:hAnsi="Palatino Linotype" w:cs="Palatino Linotype"/>
              </w:rPr>
              <w:lastRenderedPageBreak/>
              <w:t xml:space="preserve">Como se ha señalado antes, al hacer el juicio de subsunción o encaje entre el supuesto de hecho y la hipótesis jurídica, se debe acreditar la estricta correspondencia entre un elemento y otro. Ahora, en esta </w:t>
            </w:r>
            <w:r w:rsidRPr="00664ACF">
              <w:rPr>
                <w:rFonts w:ascii="Palatino Linotype" w:eastAsia="Palatino Linotype" w:hAnsi="Palatino Linotype" w:cs="Palatino Linotype"/>
              </w:rPr>
              <w:lastRenderedPageBreak/>
              <w:t xml:space="preserve">parte del procedimiento, que se desahoga en sede del Comité de Transparencia, la ley señala que la carga de la prueba, para justificar las restricciones, corresponde a los </w:t>
            </w:r>
            <w:r w:rsidRPr="00664ACF">
              <w:rPr>
                <w:rFonts w:ascii="Palatino Linotype" w:eastAsia="Palatino Linotype" w:hAnsi="Palatino Linotype" w:cs="Palatino Linotype"/>
                <w:b/>
                <w:bCs/>
              </w:rPr>
              <w:t>Sujetos Obligados</w:t>
            </w:r>
            <w:r w:rsidRPr="00664ACF">
              <w:rPr>
                <w:rFonts w:ascii="Palatino Linotype" w:eastAsia="Palatino Linotype" w:hAnsi="Palatino Linotype" w:cs="Palatino Linotype"/>
              </w:rPr>
              <w:t xml:space="preserve">, por lo que deberán fundar y motivar debidamente la clasificación. </w:t>
            </w:r>
          </w:p>
          <w:p w:rsidR="005C7FE0" w:rsidRPr="00664ACF" w:rsidRDefault="00DB7533">
            <w:pPr>
              <w:spacing w:line="360" w:lineRule="auto"/>
              <w:jc w:val="both"/>
              <w:rPr>
                <w:rFonts w:ascii="Palatino Linotype" w:eastAsia="Palatino Linotype" w:hAnsi="Palatino Linotype" w:cs="Palatino Linotype"/>
              </w:rPr>
            </w:pPr>
            <w:r w:rsidRPr="00664ACF">
              <w:rPr>
                <w:rFonts w:ascii="Palatino Linotype" w:eastAsia="Palatino Linotype" w:hAnsi="Palatino Linotype" w:cs="Palatino Linotype"/>
              </w:rPr>
              <w:t xml:space="preserve">De lo anterior, se desprende que para una correcta </w:t>
            </w:r>
            <w:r w:rsidRPr="00664ACF">
              <w:rPr>
                <w:rFonts w:ascii="Palatino Linotype" w:eastAsia="Palatino Linotype" w:hAnsi="Palatino Linotype" w:cs="Palatino Linotype"/>
                <w:b/>
                <w:bCs/>
              </w:rPr>
              <w:t>clasificación total o parcial</w:t>
            </w:r>
            <w:r w:rsidRPr="00664ACF">
              <w:rPr>
                <w:rFonts w:ascii="Palatino Linotype" w:eastAsia="Palatino Linotype" w:hAnsi="Palatino Linotype" w:cs="Palatino Linotype"/>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5C7FE0" w:rsidRPr="00664ACF" w:rsidRDefault="00DB7533">
            <w:pPr>
              <w:spacing w:line="360" w:lineRule="auto"/>
              <w:jc w:val="both"/>
              <w:rPr>
                <w:rFonts w:ascii="Palatino Linotype" w:eastAsia="Palatino Linotype" w:hAnsi="Palatino Linotype" w:cs="Palatino Linotype"/>
              </w:rPr>
            </w:pPr>
            <w:r w:rsidRPr="00664ACF">
              <w:rPr>
                <w:rFonts w:ascii="Palatino Linotype" w:eastAsia="Palatino Linotype" w:hAnsi="Palatino Linotype" w:cs="Palatino Linotype"/>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5C7FE0" w:rsidRPr="00664ACF" w:rsidRDefault="00DB7533">
            <w:pPr>
              <w:spacing w:line="360" w:lineRule="auto"/>
              <w:jc w:val="both"/>
              <w:rPr>
                <w:rFonts w:ascii="Palatino Linotype" w:eastAsia="Palatino Linotype" w:hAnsi="Palatino Linotype" w:cs="Palatino Linotype"/>
              </w:rPr>
            </w:pPr>
            <w:r w:rsidRPr="00664ACF">
              <w:rPr>
                <w:rFonts w:ascii="Palatino Linotype" w:eastAsia="Palatino Linotype" w:hAnsi="Palatino Linotype" w:cs="Palatino Linotype"/>
              </w:rPr>
              <w:t>En ese mismo sentido, el numeral trigésimo tercero fracción V de los Lineamientos Generales, precisa que para motivar la clasificación se deben acreditar las circunstancias de tiempo, modo y lugar.</w:t>
            </w:r>
          </w:p>
          <w:p w:rsidR="005C7FE0" w:rsidRPr="00664ACF" w:rsidRDefault="00DB7533">
            <w:pPr>
              <w:spacing w:line="360" w:lineRule="auto"/>
              <w:jc w:val="both"/>
              <w:rPr>
                <w:rFonts w:ascii="Palatino Linotype" w:eastAsia="Palatino Linotype" w:hAnsi="Palatino Linotype" w:cs="Palatino Linotype"/>
              </w:rPr>
            </w:pPr>
            <w:r w:rsidRPr="00664ACF">
              <w:rPr>
                <w:rFonts w:ascii="Palatino Linotype" w:eastAsia="Palatino Linotype" w:hAnsi="Palatino Linotype" w:cs="Palatino Linotype"/>
              </w:rPr>
              <w:lastRenderedPageBreak/>
              <w:t xml:space="preserve">Ahora bien, </w:t>
            </w:r>
            <w:r w:rsidRPr="00664ACF">
              <w:rPr>
                <w:rFonts w:ascii="Palatino Linotype" w:eastAsia="Palatino Linotype" w:hAnsi="Palatino Linotype" w:cs="Palatino Linotype"/>
                <w:b/>
                <w:bCs/>
                <w:u w:val="single"/>
              </w:rPr>
              <w:t>para cada caso además de fundar y motivar</w:t>
            </w:r>
            <w:r w:rsidRPr="00664ACF">
              <w:rPr>
                <w:rFonts w:ascii="Palatino Linotype" w:eastAsia="Palatino Linotype" w:hAnsi="Palatino Linotype" w:cs="Palatino Linotype"/>
              </w:rPr>
              <w:t>, se debe identificar con claridad qué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5C7FE0" w:rsidRPr="00664ACF" w:rsidTr="00C10C98">
        <w:tc>
          <w:tcPr>
            <w:tcW w:w="2625" w:type="dxa"/>
          </w:tcPr>
          <w:p w:rsidR="005C7FE0" w:rsidRPr="00664ACF" w:rsidRDefault="00DB7533">
            <w:pPr>
              <w:spacing w:line="360" w:lineRule="auto"/>
              <w:jc w:val="both"/>
              <w:rPr>
                <w:rFonts w:ascii="Palatino Linotype" w:eastAsia="Palatino Linotype" w:hAnsi="Palatino Linotype" w:cs="Palatino Linotype"/>
              </w:rPr>
            </w:pPr>
            <w:r w:rsidRPr="00664ACF">
              <w:rPr>
                <w:rFonts w:ascii="Palatino Linotype" w:eastAsia="Palatino Linotype" w:hAnsi="Palatino Linotype" w:cs="Palatino Linotype"/>
              </w:rPr>
              <w:lastRenderedPageBreak/>
              <w:t xml:space="preserve">e) Condiciones especiales de la clasificación de la información como confidencial. </w:t>
            </w:r>
          </w:p>
          <w:p w:rsidR="005C7FE0" w:rsidRPr="00664ACF" w:rsidRDefault="005C7FE0">
            <w:pPr>
              <w:spacing w:line="360" w:lineRule="auto"/>
              <w:rPr>
                <w:rFonts w:ascii="Palatino Linotype" w:eastAsia="Palatino Linotype" w:hAnsi="Palatino Linotype" w:cs="Palatino Linotype"/>
              </w:rPr>
            </w:pPr>
          </w:p>
        </w:tc>
        <w:tc>
          <w:tcPr>
            <w:tcW w:w="7293" w:type="dxa"/>
          </w:tcPr>
          <w:p w:rsidR="005C7FE0" w:rsidRPr="00664ACF" w:rsidRDefault="00DB7533">
            <w:pPr>
              <w:spacing w:line="360" w:lineRule="auto"/>
              <w:jc w:val="both"/>
              <w:rPr>
                <w:rFonts w:ascii="Palatino Linotype" w:eastAsia="Palatino Linotype" w:hAnsi="Palatino Linotype" w:cs="Palatino Linotype"/>
              </w:rPr>
            </w:pPr>
            <w:r w:rsidRPr="00664ACF">
              <w:rPr>
                <w:rFonts w:ascii="Palatino Linotype" w:eastAsia="Palatino Linotype" w:hAnsi="Palatino Linotype" w:cs="Palatino Linotype"/>
              </w:rPr>
              <w:t xml:space="preserve">Los artículos 148 y 120 de la Ley Estatal y de la Ley General, respectivamente, establecen que aun tratándose de datos personales, se podrán proporcionar, incluso sin solicitar el consentimiento de su titular. </w:t>
            </w:r>
          </w:p>
          <w:p w:rsidR="005C7FE0" w:rsidRPr="00664ACF" w:rsidRDefault="00DB7533">
            <w:pPr>
              <w:spacing w:line="360" w:lineRule="auto"/>
              <w:jc w:val="both"/>
              <w:rPr>
                <w:rFonts w:ascii="Palatino Linotype" w:eastAsia="Palatino Linotype" w:hAnsi="Palatino Linotype" w:cs="Palatino Linotype"/>
              </w:rPr>
            </w:pPr>
            <w:r w:rsidRPr="00664ACF">
              <w:rPr>
                <w:rFonts w:ascii="Palatino Linotype" w:eastAsia="Palatino Linotype" w:hAnsi="Palatino Linotype" w:cs="Palatino Linotype"/>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5C7FE0" w:rsidRPr="00664ACF" w:rsidRDefault="00DB7533">
            <w:pPr>
              <w:spacing w:line="360" w:lineRule="auto"/>
              <w:rPr>
                <w:rFonts w:ascii="Palatino Linotype" w:eastAsia="Palatino Linotype" w:hAnsi="Palatino Linotype" w:cs="Palatino Linotype"/>
              </w:rPr>
            </w:pPr>
            <w:r w:rsidRPr="00664ACF">
              <w:rPr>
                <w:rFonts w:ascii="Palatino Linotype" w:eastAsia="Palatino Linotype" w:hAnsi="Palatino Linotype" w:cs="Palatino Linotype"/>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5C7FE0" w:rsidRPr="00664ACF" w:rsidRDefault="005C7FE0">
      <w:pPr>
        <w:spacing w:line="360" w:lineRule="auto"/>
        <w:ind w:right="49"/>
        <w:jc w:val="both"/>
        <w:rPr>
          <w:rFonts w:ascii="Palatino Linotype" w:eastAsia="Palatino Linotype" w:hAnsi="Palatino Linotype" w:cs="Palatino Linotype"/>
        </w:rPr>
      </w:pPr>
    </w:p>
    <w:p w:rsidR="005C7FE0" w:rsidRPr="005F49D8" w:rsidRDefault="00DB7533" w:rsidP="005F49D8">
      <w:pPr>
        <w:pStyle w:val="Prrafodelista"/>
        <w:numPr>
          <w:ilvl w:val="0"/>
          <w:numId w:val="2"/>
        </w:numPr>
        <w:spacing w:line="360" w:lineRule="auto"/>
        <w:ind w:left="0" w:right="-847" w:firstLine="0"/>
        <w:jc w:val="both"/>
        <w:rPr>
          <w:rFonts w:ascii="Palatino Linotype" w:eastAsia="Palatino Linotype" w:hAnsi="Palatino Linotype" w:cs="Palatino Linotype"/>
        </w:rPr>
      </w:pPr>
      <w:r w:rsidRPr="005F49D8">
        <w:rPr>
          <w:rFonts w:ascii="Palatino Linotype" w:eastAsia="Palatino Linotype" w:hAnsi="Palatino Linotype" w:cs="Palatino Linotype"/>
        </w:rPr>
        <w:lastRenderedPageBreak/>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rsidR="005C7FE0" w:rsidRPr="00664ACF" w:rsidRDefault="005C7FE0">
      <w:pPr>
        <w:pBdr>
          <w:top w:val="nil"/>
          <w:left w:val="nil"/>
          <w:bottom w:val="nil"/>
          <w:right w:val="nil"/>
          <w:between w:val="nil"/>
        </w:pBdr>
        <w:ind w:left="720"/>
        <w:rPr>
          <w:rFonts w:ascii="Palatino Linotype" w:eastAsia="Palatino Linotype" w:hAnsi="Palatino Linotype" w:cs="Palatino Linotype"/>
          <w:color w:val="000000"/>
        </w:rPr>
      </w:pPr>
    </w:p>
    <w:p w:rsidR="005C7FE0" w:rsidRPr="005F49D8" w:rsidRDefault="00DB7533" w:rsidP="005F49D8">
      <w:pPr>
        <w:pStyle w:val="Prrafodelista"/>
        <w:numPr>
          <w:ilvl w:val="0"/>
          <w:numId w:val="2"/>
        </w:numPr>
        <w:spacing w:line="360" w:lineRule="auto"/>
        <w:ind w:left="0" w:right="-1566" w:firstLine="0"/>
        <w:jc w:val="both"/>
        <w:rPr>
          <w:rFonts w:ascii="Palatino Linotype" w:eastAsia="Palatino Linotype" w:hAnsi="Palatino Linotype" w:cs="Palatino Linotype"/>
          <w:color w:val="000000"/>
        </w:rPr>
      </w:pPr>
      <w:r w:rsidRPr="005F49D8">
        <w:rPr>
          <w:rFonts w:ascii="Palatino Linotype" w:eastAsia="Palatino Linotype" w:hAnsi="Palatino Linotype" w:cs="Palatino Linotype"/>
        </w:rPr>
        <w:t>Por lo anteriormente expuesto, este Órgano Garante considera fundadas las razones o motivos de inconformidad que plantea el</w:t>
      </w:r>
      <w:r w:rsidRPr="005F49D8">
        <w:rPr>
          <w:rFonts w:ascii="Palatino Linotype" w:eastAsia="Palatino Linotype" w:hAnsi="Palatino Linotype" w:cs="Palatino Linotype"/>
          <w:b/>
          <w:bCs/>
        </w:rPr>
        <w:t xml:space="preserve"> RECURRENTE</w:t>
      </w:r>
      <w:r w:rsidRPr="005F49D8">
        <w:rPr>
          <w:rFonts w:ascii="Palatino Linotype" w:eastAsia="Palatino Linotype" w:hAnsi="Palatino Linotype" w:cs="Palatino Linotype"/>
        </w:rPr>
        <w:t xml:space="preserve">, determinando </w:t>
      </w:r>
      <w:r w:rsidRPr="005F49D8">
        <w:rPr>
          <w:rFonts w:ascii="Palatino Linotype" w:eastAsia="Palatino Linotype" w:hAnsi="Palatino Linotype" w:cs="Palatino Linotype"/>
          <w:b/>
          <w:bCs/>
          <w:smallCaps/>
        </w:rPr>
        <w:t xml:space="preserve">REVOCAR </w:t>
      </w:r>
      <w:r w:rsidRPr="005F49D8">
        <w:rPr>
          <w:rFonts w:ascii="Palatino Linotype" w:eastAsia="Palatino Linotype" w:hAnsi="Palatino Linotype" w:cs="Palatino Linotype"/>
        </w:rPr>
        <w:t xml:space="preserve">la respuesta del </w:t>
      </w:r>
      <w:r w:rsidRPr="005F49D8">
        <w:rPr>
          <w:rFonts w:ascii="Palatino Linotype" w:eastAsia="Palatino Linotype" w:hAnsi="Palatino Linotype" w:cs="Palatino Linotype"/>
          <w:b/>
          <w:bCs/>
        </w:rPr>
        <w:t>SUJETO OBLIGADO</w:t>
      </w:r>
      <w:r w:rsidRPr="005F49D8">
        <w:rPr>
          <w:rFonts w:ascii="Palatino Linotype" w:eastAsia="Palatino Linotype" w:hAnsi="Palatino Linotype" w:cs="Palatino Linotype"/>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w:t>
      </w:r>
      <w:r w:rsidRPr="005F49D8">
        <w:rPr>
          <w:rFonts w:ascii="Palatino Linotype" w:eastAsia="Palatino Linotype" w:hAnsi="Palatino Linotype" w:cs="Palatino Linotype"/>
          <w:color w:val="000000"/>
        </w:rPr>
        <w:t xml:space="preserve">este </w:t>
      </w:r>
      <w:r w:rsidRPr="005F49D8">
        <w:rPr>
          <w:rFonts w:ascii="Palatino Linotype" w:eastAsia="Palatino Linotype" w:hAnsi="Palatino Linotype" w:cs="Palatino Linotype"/>
          <w:b/>
          <w:bCs/>
          <w:color w:val="000000"/>
        </w:rPr>
        <w:t>ÓRGANO GARANTE</w:t>
      </w:r>
      <w:r w:rsidRPr="005F49D8">
        <w:rPr>
          <w:rFonts w:ascii="Palatino Linotype" w:eastAsia="Palatino Linotype" w:hAnsi="Palatino Linotype" w:cs="Palatino Linotype"/>
          <w:color w:val="000000"/>
        </w:rPr>
        <w:t xml:space="preserve"> emite los siguientes.</w:t>
      </w:r>
    </w:p>
    <w:p w:rsidR="005C7FE0" w:rsidRPr="00664ACF" w:rsidRDefault="005C7FE0">
      <w:pPr>
        <w:pBdr>
          <w:top w:val="nil"/>
          <w:left w:val="nil"/>
          <w:bottom w:val="nil"/>
          <w:right w:val="nil"/>
          <w:between w:val="nil"/>
        </w:pBdr>
        <w:ind w:left="720" w:right="-1566"/>
        <w:rPr>
          <w:rFonts w:ascii="Palatino Linotype" w:eastAsia="Palatino Linotype" w:hAnsi="Palatino Linotype" w:cs="Palatino Linotype"/>
          <w:color w:val="000000"/>
        </w:rPr>
      </w:pPr>
    </w:p>
    <w:p w:rsidR="005C7FE0" w:rsidRPr="00664ACF" w:rsidRDefault="005C7FE0">
      <w:pPr>
        <w:pBdr>
          <w:top w:val="nil"/>
          <w:left w:val="nil"/>
          <w:bottom w:val="nil"/>
          <w:right w:val="nil"/>
          <w:between w:val="nil"/>
        </w:pBdr>
        <w:tabs>
          <w:tab w:val="left" w:pos="426"/>
        </w:tabs>
        <w:spacing w:line="360" w:lineRule="auto"/>
        <w:ind w:right="-1566"/>
        <w:jc w:val="both"/>
        <w:rPr>
          <w:rFonts w:ascii="Palatino Linotype" w:eastAsia="Palatino Linotype" w:hAnsi="Palatino Linotype" w:cs="Palatino Linotype"/>
          <w:color w:val="000000"/>
        </w:rPr>
      </w:pPr>
    </w:p>
    <w:p w:rsidR="005C7FE0" w:rsidRPr="00664ACF" w:rsidRDefault="00DB7533">
      <w:pPr>
        <w:pStyle w:val="Ttulo1"/>
        <w:spacing w:before="0" w:line="360" w:lineRule="auto"/>
        <w:ind w:right="-1566"/>
        <w:jc w:val="center"/>
        <w:rPr>
          <w:rFonts w:ascii="Palatino Linotype" w:eastAsia="Palatino Linotype" w:hAnsi="Palatino Linotype" w:cs="Palatino Linotype"/>
          <w:b/>
          <w:bCs/>
          <w:color w:val="000000"/>
          <w:sz w:val="24"/>
          <w:szCs w:val="24"/>
        </w:rPr>
      </w:pPr>
      <w:r w:rsidRPr="00664ACF">
        <w:rPr>
          <w:rFonts w:ascii="Palatino Linotype" w:eastAsia="Palatino Linotype" w:hAnsi="Palatino Linotype" w:cs="Palatino Linotype"/>
          <w:b/>
          <w:bCs/>
          <w:color w:val="000000"/>
          <w:sz w:val="24"/>
          <w:szCs w:val="24"/>
        </w:rPr>
        <w:t>R E S O L U T I V O S</w:t>
      </w:r>
    </w:p>
    <w:p w:rsidR="005C7FE0" w:rsidRPr="00664ACF" w:rsidRDefault="005C7FE0">
      <w:pPr>
        <w:spacing w:line="360" w:lineRule="auto"/>
        <w:ind w:right="-1566"/>
        <w:rPr>
          <w:rFonts w:ascii="Palatino Linotype" w:eastAsia="Palatino Linotype" w:hAnsi="Palatino Linotype" w:cs="Palatino Linotype"/>
        </w:rPr>
      </w:pPr>
    </w:p>
    <w:p w:rsidR="005C7FE0" w:rsidRPr="00664ACF" w:rsidRDefault="00DB7533">
      <w:pPr>
        <w:spacing w:line="360" w:lineRule="auto"/>
        <w:ind w:right="-1566"/>
        <w:jc w:val="both"/>
        <w:rPr>
          <w:rFonts w:ascii="Palatino Linotype" w:eastAsia="Palatino Linotype" w:hAnsi="Palatino Linotype" w:cs="Palatino Linotype"/>
        </w:rPr>
      </w:pPr>
      <w:r w:rsidRPr="00664ACF">
        <w:rPr>
          <w:rFonts w:ascii="Palatino Linotype" w:eastAsia="Palatino Linotype" w:hAnsi="Palatino Linotype" w:cs="Palatino Linotype"/>
          <w:b/>
          <w:bCs/>
        </w:rPr>
        <w:t>PRIMERO</w:t>
      </w:r>
      <w:r w:rsidRPr="00664ACF">
        <w:rPr>
          <w:rFonts w:ascii="Palatino Linotype" w:eastAsia="Palatino Linotype" w:hAnsi="Palatino Linotype" w:cs="Palatino Linotype"/>
        </w:rPr>
        <w:t xml:space="preserve">. Resultan fundadas las razones o motivos de inconformidad hechos valer en el Recurso de Revisión </w:t>
      </w:r>
      <w:r w:rsidRPr="00664ACF">
        <w:rPr>
          <w:rFonts w:ascii="Palatino Linotype" w:eastAsia="Palatino Linotype" w:hAnsi="Palatino Linotype" w:cs="Palatino Linotype"/>
          <w:b/>
          <w:bCs/>
        </w:rPr>
        <w:t xml:space="preserve">01653/INFOEM/IP/RR/2026, </w:t>
      </w:r>
      <w:r w:rsidRPr="00664ACF">
        <w:rPr>
          <w:rFonts w:ascii="Palatino Linotype" w:eastAsia="Palatino Linotype" w:hAnsi="Palatino Linotype" w:cs="Palatino Linotype"/>
        </w:rPr>
        <w:t xml:space="preserve">en términos del Considerando </w:t>
      </w:r>
      <w:r w:rsidRPr="00664ACF">
        <w:rPr>
          <w:rFonts w:ascii="Palatino Linotype" w:eastAsia="Palatino Linotype" w:hAnsi="Palatino Linotype" w:cs="Palatino Linotype"/>
          <w:b/>
          <w:bCs/>
        </w:rPr>
        <w:t xml:space="preserve">Cuarto </w:t>
      </w:r>
      <w:r w:rsidRPr="00664ACF">
        <w:rPr>
          <w:rFonts w:ascii="Palatino Linotype" w:eastAsia="Palatino Linotype" w:hAnsi="Palatino Linotype" w:cs="Palatino Linotype"/>
        </w:rPr>
        <w:t xml:space="preserve">de la presente resolución. </w:t>
      </w:r>
    </w:p>
    <w:p w:rsidR="005C7FE0" w:rsidRPr="00664ACF" w:rsidRDefault="005C7FE0">
      <w:pPr>
        <w:spacing w:line="360" w:lineRule="auto"/>
        <w:ind w:right="-1566"/>
        <w:jc w:val="both"/>
        <w:rPr>
          <w:rFonts w:ascii="Palatino Linotype" w:eastAsia="Palatino Linotype" w:hAnsi="Palatino Linotype" w:cs="Palatino Linotype"/>
        </w:rPr>
      </w:pPr>
    </w:p>
    <w:p w:rsidR="005C7FE0" w:rsidRPr="00664ACF" w:rsidRDefault="00DB7533">
      <w:pPr>
        <w:spacing w:line="360" w:lineRule="auto"/>
        <w:ind w:right="-1566"/>
        <w:jc w:val="both"/>
        <w:rPr>
          <w:rFonts w:ascii="Palatino Linotype" w:eastAsia="Palatino Linotype" w:hAnsi="Palatino Linotype" w:cs="Palatino Linotype"/>
        </w:rPr>
      </w:pPr>
      <w:bookmarkStart w:id="13" w:name="_heading=h.1ksv4uv" w:colFirst="0" w:colLast="0"/>
      <w:bookmarkEnd w:id="13"/>
      <w:r w:rsidRPr="00664ACF">
        <w:rPr>
          <w:rFonts w:ascii="Palatino Linotype" w:eastAsia="Palatino Linotype" w:hAnsi="Palatino Linotype" w:cs="Palatino Linotype"/>
          <w:b/>
          <w:bCs/>
        </w:rPr>
        <w:t xml:space="preserve">SEGUNDO. </w:t>
      </w:r>
      <w:r w:rsidRPr="00664ACF">
        <w:rPr>
          <w:rFonts w:ascii="Palatino Linotype" w:eastAsia="Palatino Linotype" w:hAnsi="Palatino Linotype" w:cs="Palatino Linotype"/>
          <w:color w:val="000000"/>
        </w:rPr>
        <w:t xml:space="preserve">Se </w:t>
      </w:r>
      <w:r w:rsidRPr="00664ACF">
        <w:rPr>
          <w:rFonts w:ascii="Palatino Linotype" w:eastAsia="Palatino Linotype" w:hAnsi="Palatino Linotype" w:cs="Palatino Linotype"/>
          <w:b/>
          <w:bCs/>
          <w:color w:val="000000"/>
        </w:rPr>
        <w:t xml:space="preserve">REVOCA </w:t>
      </w:r>
      <w:r w:rsidRPr="00664ACF">
        <w:rPr>
          <w:rFonts w:ascii="Palatino Linotype" w:eastAsia="Palatino Linotype" w:hAnsi="Palatino Linotype" w:cs="Palatino Linotype"/>
          <w:color w:val="000000"/>
        </w:rPr>
        <w:t xml:space="preserve">la respuesta emitida por el </w:t>
      </w:r>
      <w:r w:rsidRPr="00664ACF">
        <w:rPr>
          <w:rFonts w:ascii="Palatino Linotype" w:eastAsia="Palatino Linotype" w:hAnsi="Palatino Linotype" w:cs="Palatino Linotype"/>
          <w:b/>
          <w:bCs/>
          <w:color w:val="000000"/>
        </w:rPr>
        <w:t xml:space="preserve">Ayuntamiento de Ayapango </w:t>
      </w:r>
      <w:r w:rsidRPr="00664ACF">
        <w:rPr>
          <w:rFonts w:ascii="Palatino Linotype" w:eastAsia="Palatino Linotype" w:hAnsi="Palatino Linotype" w:cs="Palatino Linotype"/>
          <w:color w:val="000000"/>
        </w:rPr>
        <w:t xml:space="preserve">y se </w:t>
      </w:r>
      <w:r w:rsidRPr="00664ACF">
        <w:rPr>
          <w:rFonts w:ascii="Palatino Linotype" w:eastAsia="Palatino Linotype" w:hAnsi="Palatino Linotype" w:cs="Palatino Linotype"/>
          <w:b/>
          <w:bCs/>
          <w:color w:val="000000"/>
        </w:rPr>
        <w:t>ORDENA</w:t>
      </w:r>
      <w:r w:rsidRPr="00664ACF">
        <w:rPr>
          <w:rFonts w:ascii="Palatino Linotype" w:eastAsia="Palatino Linotype" w:hAnsi="Palatino Linotype" w:cs="Palatino Linotype"/>
          <w:color w:val="000000"/>
        </w:rPr>
        <w:t xml:space="preserve"> entregar vía Sistema de Acceso a la Información, previa búsqueda exhaustiva y razonable, </w:t>
      </w:r>
      <w:r w:rsidRPr="00664ACF">
        <w:rPr>
          <w:rFonts w:ascii="Palatino Linotype" w:eastAsia="Palatino Linotype" w:hAnsi="Palatino Linotype" w:cs="Palatino Linotype"/>
        </w:rPr>
        <w:t xml:space="preserve">en versión pública el documento en donde conste </w:t>
      </w:r>
      <w:r w:rsidRPr="00664ACF">
        <w:rPr>
          <w:rFonts w:ascii="Palatino Linotype" w:eastAsia="Palatino Linotype" w:hAnsi="Palatino Linotype" w:cs="Palatino Linotype"/>
          <w:color w:val="000000"/>
        </w:rPr>
        <w:t>la siguiente información</w:t>
      </w:r>
      <w:r w:rsidRPr="00664ACF">
        <w:rPr>
          <w:rFonts w:ascii="Palatino Linotype" w:eastAsia="Palatino Linotype" w:hAnsi="Palatino Linotype" w:cs="Palatino Linotype"/>
        </w:rPr>
        <w:t>:</w:t>
      </w:r>
    </w:p>
    <w:p w:rsidR="005C7FE0" w:rsidRPr="00664ACF" w:rsidRDefault="005C7FE0">
      <w:pPr>
        <w:spacing w:line="360" w:lineRule="auto"/>
        <w:ind w:right="-1566"/>
        <w:jc w:val="both"/>
        <w:rPr>
          <w:rFonts w:ascii="Palatino Linotype" w:eastAsia="Palatino Linotype" w:hAnsi="Palatino Linotype" w:cs="Palatino Linotype"/>
        </w:rPr>
      </w:pPr>
      <w:bookmarkStart w:id="14" w:name="_heading=h.4w40bys4rcuk" w:colFirst="0" w:colLast="0"/>
      <w:bookmarkEnd w:id="14"/>
    </w:p>
    <w:p w:rsidR="005C7FE0" w:rsidRPr="00664ACF" w:rsidRDefault="00DB7533">
      <w:pPr>
        <w:ind w:left="1134" w:right="277"/>
        <w:jc w:val="both"/>
        <w:rPr>
          <w:rFonts w:ascii="Palatino Linotype" w:eastAsia="Palatino Linotype" w:hAnsi="Palatino Linotype" w:cs="Palatino Linotype"/>
          <w:b/>
          <w:bCs/>
          <w:i/>
          <w:iCs/>
        </w:rPr>
      </w:pPr>
      <w:r w:rsidRPr="00F30E92">
        <w:rPr>
          <w:rFonts w:ascii="Palatino Linotype" w:eastAsia="Palatino Linotype" w:hAnsi="Palatino Linotype" w:cs="Palatino Linotype"/>
          <w:b/>
          <w:bCs/>
          <w:i/>
          <w:iCs/>
        </w:rPr>
        <w:lastRenderedPageBreak/>
        <w:t xml:space="preserve">1.- </w:t>
      </w:r>
      <w:r w:rsidR="0088669A" w:rsidRPr="00F30E92">
        <w:rPr>
          <w:rFonts w:ascii="Palatino Linotype" w:eastAsia="Palatino Linotype" w:hAnsi="Palatino Linotype" w:cs="Palatino Linotype"/>
          <w:b/>
          <w:bCs/>
          <w:i/>
          <w:iCs/>
        </w:rPr>
        <w:t>Licencias de Funcionamiento de las f</w:t>
      </w:r>
      <w:r w:rsidRPr="00F30E92">
        <w:rPr>
          <w:rFonts w:ascii="Palatino Linotype" w:eastAsia="Palatino Linotype" w:hAnsi="Palatino Linotype" w:cs="Palatino Linotype"/>
          <w:b/>
          <w:bCs/>
          <w:i/>
          <w:iCs/>
        </w:rPr>
        <w:t>armacias y consultorios médicos y dentales ubicadas en la cabecera municipal de Ayapango, al mayor grado de desagregación posible, vigentes al veintiuno de enero de dos mil veintiséis.</w:t>
      </w:r>
      <w:r w:rsidRPr="00664ACF">
        <w:rPr>
          <w:rFonts w:ascii="Palatino Linotype" w:eastAsia="Palatino Linotype" w:hAnsi="Palatino Linotype" w:cs="Palatino Linotype"/>
          <w:b/>
          <w:bCs/>
          <w:i/>
          <w:iCs/>
        </w:rPr>
        <w:t xml:space="preserve"> </w:t>
      </w:r>
    </w:p>
    <w:p w:rsidR="005C7FE0" w:rsidRPr="00664ACF" w:rsidRDefault="005C7FE0">
      <w:pPr>
        <w:ind w:left="1134" w:right="277"/>
        <w:jc w:val="both"/>
        <w:rPr>
          <w:rFonts w:ascii="Palatino Linotype" w:eastAsia="Palatino Linotype" w:hAnsi="Palatino Linotype" w:cs="Palatino Linotype"/>
          <w:b/>
          <w:bCs/>
          <w:i/>
          <w:iCs/>
        </w:rPr>
      </w:pPr>
    </w:p>
    <w:p w:rsidR="005C7FE0" w:rsidRPr="00664ACF" w:rsidRDefault="00DB7533">
      <w:pPr>
        <w:tabs>
          <w:tab w:val="left" w:pos="8080"/>
        </w:tabs>
        <w:spacing w:line="360" w:lineRule="auto"/>
        <w:ind w:right="-1131"/>
        <w:jc w:val="both"/>
        <w:rPr>
          <w:rFonts w:ascii="Palatino Linotype" w:eastAsia="Palatino Linotype" w:hAnsi="Palatino Linotype" w:cs="Palatino Linotype"/>
        </w:rPr>
      </w:pPr>
      <w:r w:rsidRPr="00664ACF">
        <w:rPr>
          <w:rFonts w:ascii="Palatino Linotype" w:eastAsia="Palatino Linotype" w:hAnsi="Palatino Linotype" w:cs="Palatino Linotype"/>
        </w:rPr>
        <w:t>Para la entrega en versión pública, deberá emitir el Acuerdo del Comité de Transparencia en términos de la Ley de Transparencia y Acceso a la Información Pública del Estado de México y Municipios, en el que funde y motive las razones sobre los datos que se supriman o eliminen y se ponga a disposición de la parte</w:t>
      </w:r>
      <w:r w:rsidRPr="00664ACF">
        <w:rPr>
          <w:rFonts w:ascii="Palatino Linotype" w:eastAsia="Palatino Linotype" w:hAnsi="Palatino Linotype" w:cs="Palatino Linotype"/>
          <w:b/>
          <w:bCs/>
        </w:rPr>
        <w:t xml:space="preserve"> RECURRENTE</w:t>
      </w:r>
      <w:r w:rsidRPr="00664ACF">
        <w:rPr>
          <w:rFonts w:ascii="Palatino Linotype" w:eastAsia="Palatino Linotype" w:hAnsi="Palatino Linotype" w:cs="Palatino Linotype"/>
        </w:rPr>
        <w:t>.</w:t>
      </w:r>
    </w:p>
    <w:p w:rsidR="005C7FE0" w:rsidRPr="00664ACF" w:rsidRDefault="005C7FE0">
      <w:pPr>
        <w:ind w:left="1134" w:right="277"/>
        <w:jc w:val="both"/>
        <w:rPr>
          <w:rFonts w:ascii="Palatino Linotype" w:eastAsia="Palatino Linotype" w:hAnsi="Palatino Linotype" w:cs="Palatino Linotype"/>
          <w:b/>
          <w:bCs/>
          <w:i/>
          <w:iCs/>
        </w:rPr>
      </w:pPr>
    </w:p>
    <w:p w:rsidR="005C7FE0" w:rsidRPr="00664ACF" w:rsidRDefault="005C7FE0">
      <w:pPr>
        <w:ind w:left="1134" w:right="-1566"/>
        <w:jc w:val="both"/>
        <w:rPr>
          <w:rFonts w:ascii="Palatino Linotype" w:eastAsia="Palatino Linotype" w:hAnsi="Palatino Linotype" w:cs="Palatino Linotype"/>
          <w:b/>
          <w:bCs/>
          <w:i/>
          <w:iCs/>
        </w:rPr>
      </w:pPr>
    </w:p>
    <w:p w:rsidR="005C7FE0" w:rsidRPr="00664ACF" w:rsidRDefault="00DB7533">
      <w:pPr>
        <w:tabs>
          <w:tab w:val="left" w:pos="8080"/>
        </w:tabs>
        <w:spacing w:line="360" w:lineRule="auto"/>
        <w:ind w:right="-1566"/>
        <w:jc w:val="both"/>
        <w:rPr>
          <w:rFonts w:ascii="Palatino Linotype" w:eastAsia="Palatino Linotype" w:hAnsi="Palatino Linotype" w:cs="Palatino Linotype"/>
          <w:color w:val="222222"/>
        </w:rPr>
      </w:pPr>
      <w:r w:rsidRPr="00664ACF">
        <w:rPr>
          <w:rFonts w:ascii="Palatino Linotype" w:eastAsia="Palatino Linotype" w:hAnsi="Palatino Linotype" w:cs="Palatino Linotype"/>
          <w:b/>
          <w:bCs/>
        </w:rPr>
        <w:t xml:space="preserve">TERCERO. </w:t>
      </w:r>
      <w:r w:rsidRPr="00664ACF">
        <w:rPr>
          <w:rFonts w:ascii="Palatino Linotype" w:eastAsia="Palatino Linotype" w:hAnsi="Palatino Linotype" w:cs="Palatino Linotype"/>
          <w:b/>
          <w:bCs/>
          <w:color w:val="222222"/>
        </w:rPr>
        <w:t xml:space="preserve">NOTIFÍQUESE </w:t>
      </w:r>
      <w:r w:rsidRPr="00664ACF">
        <w:rPr>
          <w:rFonts w:ascii="Palatino Linotype" w:eastAsia="Palatino Linotype" w:hAnsi="Palatino Linotype" w:cs="Palatino Linotype"/>
          <w:color w:val="222222"/>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664ACF">
        <w:rPr>
          <w:rFonts w:ascii="Palatino Linotype" w:eastAsia="Palatino Linotype" w:hAnsi="Palatino Linotype" w:cs="Palatino Linotype"/>
          <w:b/>
          <w:bCs/>
          <w:color w:val="222222"/>
        </w:rPr>
        <w:t xml:space="preserve">dé cumplimiento a lo ordenado dentro del plazo de diez días hábiles, </w:t>
      </w:r>
      <w:r w:rsidRPr="00664ACF">
        <w:rPr>
          <w:rFonts w:ascii="Palatino Linotype" w:eastAsia="Palatino Linotype" w:hAnsi="Palatino Linotype" w:cs="Palatino Linotype"/>
          <w:color w:val="222222"/>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rsidR="005C7FE0" w:rsidRPr="00664ACF" w:rsidRDefault="005C7FE0">
      <w:pPr>
        <w:tabs>
          <w:tab w:val="left" w:pos="8080"/>
        </w:tabs>
        <w:spacing w:line="360" w:lineRule="auto"/>
        <w:ind w:right="-1566"/>
        <w:jc w:val="both"/>
        <w:rPr>
          <w:rFonts w:ascii="Palatino Linotype" w:eastAsia="Palatino Linotype" w:hAnsi="Palatino Linotype" w:cs="Palatino Linotype"/>
          <w:color w:val="222222"/>
        </w:rPr>
      </w:pPr>
    </w:p>
    <w:p w:rsidR="005C7FE0" w:rsidRPr="00664ACF" w:rsidRDefault="00DB7533">
      <w:pPr>
        <w:spacing w:line="360" w:lineRule="auto"/>
        <w:ind w:right="-1566"/>
        <w:jc w:val="both"/>
        <w:rPr>
          <w:rFonts w:ascii="Palatino Linotype" w:eastAsia="Palatino Linotype" w:hAnsi="Palatino Linotype" w:cs="Palatino Linotype"/>
        </w:rPr>
      </w:pPr>
      <w:r w:rsidRPr="00664ACF">
        <w:rPr>
          <w:rFonts w:ascii="Palatino Linotype" w:eastAsia="Palatino Linotype" w:hAnsi="Palatino Linotype" w:cs="Palatino Linotype"/>
          <w:b/>
          <w:bCs/>
        </w:rPr>
        <w:t xml:space="preserve">CUARTO. </w:t>
      </w:r>
      <w:r w:rsidRPr="00664ACF">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664ACF">
        <w:rPr>
          <w:rFonts w:ascii="Palatino Linotype" w:eastAsia="Palatino Linotype" w:hAnsi="Palatino Linotype" w:cs="Palatino Linotype"/>
          <w:b/>
          <w:bCs/>
        </w:rPr>
        <w:t>SUJETO OBLIGADO</w:t>
      </w:r>
      <w:r w:rsidRPr="00664ACF">
        <w:rPr>
          <w:rFonts w:ascii="Palatino Linotype" w:eastAsia="Palatino Linotype" w:hAnsi="Palatino Linotype" w:cs="Palatino Linotype"/>
        </w:rPr>
        <w:t xml:space="preserve"> de manera fundada y motivada, podrá solicitar una ampliación de plazo para el cumplimiento de la presente resolución.</w:t>
      </w:r>
    </w:p>
    <w:p w:rsidR="005C7FE0" w:rsidRPr="00664ACF" w:rsidRDefault="005C7FE0">
      <w:pPr>
        <w:spacing w:line="360" w:lineRule="auto"/>
        <w:ind w:right="-1566"/>
        <w:jc w:val="both"/>
        <w:rPr>
          <w:rFonts w:ascii="Palatino Linotype" w:eastAsia="Palatino Linotype" w:hAnsi="Palatino Linotype" w:cs="Palatino Linotype"/>
        </w:rPr>
      </w:pPr>
    </w:p>
    <w:p w:rsidR="005C7FE0" w:rsidRPr="00664ACF" w:rsidRDefault="00DB7533">
      <w:pPr>
        <w:shd w:val="clear" w:color="auto" w:fill="FFFFFF"/>
        <w:spacing w:line="360" w:lineRule="auto"/>
        <w:ind w:right="-1566"/>
        <w:jc w:val="both"/>
        <w:rPr>
          <w:rFonts w:ascii="Palatino Linotype" w:eastAsia="Palatino Linotype" w:hAnsi="Palatino Linotype" w:cs="Palatino Linotype"/>
        </w:rPr>
      </w:pPr>
      <w:bookmarkStart w:id="15" w:name="_heading=h.2jxsxqh" w:colFirst="0" w:colLast="0"/>
      <w:bookmarkEnd w:id="15"/>
      <w:r w:rsidRPr="00664ACF">
        <w:rPr>
          <w:rFonts w:ascii="Palatino Linotype" w:eastAsia="Palatino Linotype" w:hAnsi="Palatino Linotype" w:cs="Palatino Linotype"/>
          <w:b/>
          <w:bCs/>
        </w:rPr>
        <w:lastRenderedPageBreak/>
        <w:t xml:space="preserve">QUINTO. </w:t>
      </w:r>
      <w:r w:rsidRPr="00664ACF">
        <w:rPr>
          <w:rFonts w:ascii="Palatino Linotype" w:eastAsia="Palatino Linotype" w:hAnsi="Palatino Linotype" w:cs="Palatino Linotype"/>
        </w:rPr>
        <w:t xml:space="preserve">Notifíquese a </w:t>
      </w:r>
      <w:r w:rsidRPr="00664ACF">
        <w:rPr>
          <w:rFonts w:ascii="Palatino Linotype" w:eastAsia="Palatino Linotype" w:hAnsi="Palatino Linotype" w:cs="Palatino Linotype"/>
          <w:b/>
          <w:bCs/>
        </w:rPr>
        <w:t>EL RECURRENTE</w:t>
      </w:r>
      <w:r w:rsidRPr="00664ACF">
        <w:rPr>
          <w:rFonts w:ascii="Palatino Linotype" w:eastAsia="Palatino Linotype" w:hAnsi="Palatino Linotype" w:cs="Palatino Linotype"/>
        </w:rPr>
        <w:t xml:space="preserve"> la presente resolución, vía SAIMEX.</w:t>
      </w:r>
    </w:p>
    <w:p w:rsidR="005C7FE0" w:rsidRPr="00664ACF" w:rsidRDefault="005C7FE0">
      <w:pPr>
        <w:shd w:val="clear" w:color="auto" w:fill="FFFFFF"/>
        <w:spacing w:line="360" w:lineRule="auto"/>
        <w:ind w:right="-1566"/>
        <w:jc w:val="both"/>
        <w:rPr>
          <w:rFonts w:ascii="Palatino Linotype" w:eastAsia="Palatino Linotype" w:hAnsi="Palatino Linotype" w:cs="Palatino Linotype"/>
        </w:rPr>
      </w:pPr>
    </w:p>
    <w:p w:rsidR="005C7FE0" w:rsidRPr="00664ACF" w:rsidRDefault="00DB7533">
      <w:pPr>
        <w:shd w:val="clear" w:color="auto" w:fill="FFFFFF"/>
        <w:spacing w:line="360" w:lineRule="auto"/>
        <w:ind w:right="-1566"/>
        <w:jc w:val="both"/>
        <w:rPr>
          <w:rFonts w:ascii="Palatino Linotype" w:eastAsia="Palatino Linotype" w:hAnsi="Palatino Linotype" w:cs="Palatino Linotype"/>
        </w:rPr>
      </w:pPr>
      <w:r w:rsidRPr="00664ACF">
        <w:rPr>
          <w:rFonts w:ascii="Palatino Linotype" w:eastAsia="Palatino Linotype" w:hAnsi="Palatino Linotype" w:cs="Palatino Linotype"/>
          <w:b/>
          <w:bCs/>
        </w:rPr>
        <w:t>SEXTO.</w:t>
      </w:r>
      <w:r w:rsidRPr="00664ACF">
        <w:rPr>
          <w:rFonts w:ascii="Palatino Linotype" w:eastAsia="Palatino Linotype" w:hAnsi="Palatino Linotype" w:cs="Palatino Linotype"/>
        </w:rPr>
        <w:t xml:space="preserve"> Se hace del conocimiento de </w:t>
      </w:r>
      <w:r w:rsidRPr="00664ACF">
        <w:rPr>
          <w:rFonts w:ascii="Palatino Linotype" w:eastAsia="Palatino Linotype" w:hAnsi="Palatino Linotype" w:cs="Palatino Linotype"/>
          <w:b/>
          <w:bCs/>
        </w:rPr>
        <w:t>EL RECURRENTE</w:t>
      </w:r>
      <w:r w:rsidRPr="00664ACF">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5C7FE0" w:rsidRPr="00664ACF" w:rsidRDefault="005C7FE0">
      <w:pPr>
        <w:shd w:val="clear" w:color="auto" w:fill="FFFFFF"/>
        <w:spacing w:line="360" w:lineRule="auto"/>
        <w:ind w:right="-1566"/>
        <w:jc w:val="both"/>
        <w:rPr>
          <w:rFonts w:ascii="Palatino Linotype" w:eastAsia="Palatino Linotype" w:hAnsi="Palatino Linotype" w:cs="Palatino Linotype"/>
        </w:rPr>
      </w:pPr>
    </w:p>
    <w:p w:rsidR="008B4317" w:rsidRPr="003E2295" w:rsidRDefault="008B4317" w:rsidP="008B4317">
      <w:pPr>
        <w:spacing w:before="240" w:after="240" w:line="360" w:lineRule="auto"/>
        <w:ind w:right="-1566" w:firstLine="1"/>
        <w:jc w:val="both"/>
        <w:rPr>
          <w:rFonts w:ascii="Palatino Linotype" w:hAnsi="Palatino Linotype"/>
        </w:rPr>
      </w:pPr>
      <w:bookmarkStart w:id="16" w:name="_heading=h.k8u6ksi22vrd" w:colFirst="0" w:colLast="0"/>
      <w:bookmarkStart w:id="17" w:name="_Hlk99014733"/>
      <w:bookmarkEnd w:id="16"/>
      <w:r w:rsidRPr="003E2295">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Pr>
          <w:rFonts w:ascii="Palatino Linotype" w:hAnsi="Palatino Linotype" w:cs="Palatino Linotype"/>
        </w:rPr>
        <w:t xml:space="preserve">VIGÉSIMA PRIMERA </w:t>
      </w:r>
      <w:r w:rsidRPr="003E2295">
        <w:rPr>
          <w:rFonts w:ascii="Palatino Linotype" w:hAnsi="Palatino Linotype" w:cs="Palatino Linotype"/>
        </w:rPr>
        <w:t>SESIÓN O</w:t>
      </w:r>
      <w:r>
        <w:rPr>
          <w:rFonts w:ascii="Palatino Linotype" w:hAnsi="Palatino Linotype" w:cs="Palatino Linotype"/>
        </w:rPr>
        <w:t>RDINARIA, CELEBRADA EL DIEZ (10</w:t>
      </w:r>
      <w:r w:rsidRPr="003E2295">
        <w:rPr>
          <w:rFonts w:ascii="Palatino Linotype" w:hAnsi="Palatino Linotype" w:cs="Palatino Linotype"/>
        </w:rPr>
        <w:t xml:space="preserve">) DE </w:t>
      </w:r>
      <w:r>
        <w:rPr>
          <w:rFonts w:ascii="Palatino Linotype" w:hAnsi="Palatino Linotype" w:cs="Palatino Linotype"/>
        </w:rPr>
        <w:t>JUNIO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17"/>
    <w:p w:rsidR="005C7FE0" w:rsidRPr="00664ACF" w:rsidRDefault="005C7FE0" w:rsidP="008B4317">
      <w:pPr>
        <w:spacing w:before="240" w:after="240" w:line="360" w:lineRule="auto"/>
        <w:ind w:right="-1566"/>
        <w:jc w:val="both"/>
        <w:rPr>
          <w:rFonts w:ascii="Palatino Linotype" w:eastAsia="Palatino Linotype" w:hAnsi="Palatino Linotype" w:cs="Palatino Linotype"/>
        </w:rPr>
      </w:pPr>
    </w:p>
    <w:p w:rsidR="005C7FE0" w:rsidRPr="00664ACF" w:rsidRDefault="005C7FE0">
      <w:pPr>
        <w:spacing w:before="240" w:after="240" w:line="360" w:lineRule="auto"/>
        <w:ind w:right="-1566"/>
        <w:jc w:val="both"/>
        <w:rPr>
          <w:rFonts w:ascii="Palatino Linotype" w:eastAsia="Palatino Linotype" w:hAnsi="Palatino Linotype" w:cs="Palatino Linotype"/>
        </w:rPr>
      </w:pPr>
    </w:p>
    <w:p w:rsidR="005C7FE0" w:rsidRPr="00664ACF" w:rsidRDefault="005C7FE0">
      <w:pPr>
        <w:spacing w:before="240" w:after="240" w:line="360" w:lineRule="auto"/>
        <w:ind w:right="-1566"/>
        <w:jc w:val="both"/>
        <w:rPr>
          <w:rFonts w:ascii="Palatino Linotype" w:eastAsia="Palatino Linotype" w:hAnsi="Palatino Linotype" w:cs="Palatino Linotype"/>
        </w:rPr>
      </w:pPr>
    </w:p>
    <w:p w:rsidR="005C7FE0" w:rsidRPr="00664ACF" w:rsidRDefault="005C7FE0">
      <w:pPr>
        <w:spacing w:line="360" w:lineRule="auto"/>
        <w:ind w:right="-1566"/>
        <w:jc w:val="both"/>
        <w:rPr>
          <w:rFonts w:ascii="Palatino Linotype" w:eastAsia="Palatino Linotype" w:hAnsi="Palatino Linotype" w:cs="Palatino Linotype"/>
        </w:rPr>
      </w:pPr>
    </w:p>
    <w:p w:rsidR="005C7FE0" w:rsidRPr="00664ACF" w:rsidRDefault="005C7FE0">
      <w:pPr>
        <w:keepNext/>
        <w:keepLines/>
        <w:spacing w:after="240" w:line="360" w:lineRule="auto"/>
        <w:ind w:right="-1566"/>
        <w:rPr>
          <w:rFonts w:ascii="Palatino Linotype" w:eastAsia="Palatino Linotype" w:hAnsi="Palatino Linotype" w:cs="Palatino Linotype"/>
        </w:rPr>
      </w:pPr>
    </w:p>
    <w:p w:rsidR="005C7FE0" w:rsidRPr="00664ACF" w:rsidRDefault="005C7FE0">
      <w:pPr>
        <w:ind w:right="-1566"/>
        <w:rPr>
          <w:rFonts w:ascii="Palatino Linotype" w:eastAsia="Palatino Linotype" w:hAnsi="Palatino Linotype" w:cs="Palatino Linotype"/>
        </w:rPr>
      </w:pPr>
    </w:p>
    <w:p w:rsidR="005C7FE0" w:rsidRPr="00664ACF" w:rsidRDefault="005C7FE0">
      <w:pPr>
        <w:ind w:right="-1566"/>
        <w:rPr>
          <w:rFonts w:ascii="Palatino Linotype" w:eastAsia="Palatino Linotype" w:hAnsi="Palatino Linotype" w:cs="Palatino Linotype"/>
        </w:rPr>
      </w:pPr>
    </w:p>
    <w:p w:rsidR="005C7FE0" w:rsidRPr="00664ACF" w:rsidRDefault="005C7FE0">
      <w:pPr>
        <w:ind w:right="-1566"/>
        <w:rPr>
          <w:rFonts w:ascii="Palatino Linotype" w:eastAsia="Palatino Linotype" w:hAnsi="Palatino Linotype" w:cs="Palatino Linotype"/>
        </w:rPr>
      </w:pPr>
    </w:p>
    <w:p w:rsidR="005C7FE0" w:rsidRPr="00664ACF" w:rsidRDefault="005C7FE0">
      <w:pPr>
        <w:ind w:right="-1566"/>
        <w:rPr>
          <w:rFonts w:ascii="Palatino Linotype" w:eastAsia="Palatino Linotype" w:hAnsi="Palatino Linotype" w:cs="Palatino Linotype"/>
        </w:rPr>
      </w:pPr>
    </w:p>
    <w:p w:rsidR="005C7FE0" w:rsidRDefault="005C7FE0">
      <w:pPr>
        <w:ind w:right="-1566"/>
        <w:rPr>
          <w:rFonts w:ascii="Palatino Linotype" w:eastAsia="Palatino Linotype" w:hAnsi="Palatino Linotype" w:cs="Palatino Linotype"/>
        </w:rPr>
      </w:pPr>
    </w:p>
    <w:p w:rsidR="00F30E92" w:rsidRDefault="00F30E92">
      <w:pPr>
        <w:ind w:right="-1566"/>
        <w:rPr>
          <w:rFonts w:ascii="Palatino Linotype" w:eastAsia="Palatino Linotype" w:hAnsi="Palatino Linotype" w:cs="Palatino Linotype"/>
        </w:rPr>
      </w:pPr>
    </w:p>
    <w:p w:rsidR="00F30E92" w:rsidRDefault="00F30E92">
      <w:pPr>
        <w:ind w:right="-1566"/>
        <w:rPr>
          <w:rFonts w:ascii="Palatino Linotype" w:eastAsia="Palatino Linotype" w:hAnsi="Palatino Linotype" w:cs="Palatino Linotype"/>
        </w:rPr>
      </w:pPr>
    </w:p>
    <w:p w:rsidR="00F30E92" w:rsidRDefault="00F30E92">
      <w:pPr>
        <w:ind w:right="-1566"/>
        <w:rPr>
          <w:rFonts w:ascii="Palatino Linotype" w:eastAsia="Palatino Linotype" w:hAnsi="Palatino Linotype" w:cs="Palatino Linotype"/>
        </w:rPr>
      </w:pPr>
    </w:p>
    <w:p w:rsidR="00F30E92" w:rsidRDefault="00F30E92">
      <w:pPr>
        <w:ind w:right="-1566"/>
        <w:rPr>
          <w:rFonts w:ascii="Palatino Linotype" w:eastAsia="Palatino Linotype" w:hAnsi="Palatino Linotype" w:cs="Palatino Linotype"/>
        </w:rPr>
      </w:pPr>
    </w:p>
    <w:p w:rsidR="00F30E92" w:rsidRDefault="00F30E92">
      <w:pPr>
        <w:ind w:right="-1566"/>
        <w:rPr>
          <w:rFonts w:ascii="Palatino Linotype" w:eastAsia="Palatino Linotype" w:hAnsi="Palatino Linotype" w:cs="Palatino Linotype"/>
        </w:rPr>
      </w:pPr>
    </w:p>
    <w:p w:rsidR="00F30E92" w:rsidRDefault="00F30E92">
      <w:pPr>
        <w:ind w:right="-1566"/>
        <w:rPr>
          <w:rFonts w:ascii="Palatino Linotype" w:eastAsia="Palatino Linotype" w:hAnsi="Palatino Linotype" w:cs="Palatino Linotype"/>
        </w:rPr>
      </w:pPr>
    </w:p>
    <w:p w:rsidR="00F30E92" w:rsidRDefault="00F30E92">
      <w:pPr>
        <w:ind w:right="-1566"/>
        <w:rPr>
          <w:rFonts w:ascii="Palatino Linotype" w:eastAsia="Palatino Linotype" w:hAnsi="Palatino Linotype" w:cs="Palatino Linotype"/>
        </w:rPr>
      </w:pPr>
    </w:p>
    <w:p w:rsidR="00F30E92" w:rsidRDefault="00F30E92">
      <w:pPr>
        <w:ind w:right="-1566"/>
        <w:rPr>
          <w:rFonts w:ascii="Palatino Linotype" w:eastAsia="Palatino Linotype" w:hAnsi="Palatino Linotype" w:cs="Palatino Linotype"/>
        </w:rPr>
      </w:pPr>
    </w:p>
    <w:p w:rsidR="00F30E92" w:rsidRDefault="00F30E92">
      <w:pPr>
        <w:ind w:right="-1566"/>
        <w:rPr>
          <w:rFonts w:ascii="Palatino Linotype" w:eastAsia="Palatino Linotype" w:hAnsi="Palatino Linotype" w:cs="Palatino Linotype"/>
        </w:rPr>
      </w:pPr>
    </w:p>
    <w:p w:rsidR="00F30E92" w:rsidRDefault="00F30E92">
      <w:pPr>
        <w:ind w:right="-1566"/>
        <w:rPr>
          <w:rFonts w:ascii="Palatino Linotype" w:eastAsia="Palatino Linotype" w:hAnsi="Palatino Linotype" w:cs="Palatino Linotype"/>
        </w:rPr>
      </w:pPr>
    </w:p>
    <w:p w:rsidR="00F30E92" w:rsidRDefault="00F30E92">
      <w:pPr>
        <w:ind w:right="-1566"/>
        <w:rPr>
          <w:rFonts w:ascii="Palatino Linotype" w:eastAsia="Palatino Linotype" w:hAnsi="Palatino Linotype" w:cs="Palatino Linotype"/>
        </w:rPr>
      </w:pPr>
    </w:p>
    <w:p w:rsidR="00F30E92" w:rsidRDefault="00F30E92">
      <w:pPr>
        <w:ind w:right="-1566"/>
        <w:rPr>
          <w:rFonts w:ascii="Palatino Linotype" w:eastAsia="Palatino Linotype" w:hAnsi="Palatino Linotype" w:cs="Palatino Linotype"/>
        </w:rPr>
      </w:pPr>
    </w:p>
    <w:p w:rsidR="00F30E92" w:rsidRDefault="00F30E92">
      <w:pPr>
        <w:ind w:right="-1566"/>
        <w:rPr>
          <w:rFonts w:ascii="Palatino Linotype" w:eastAsia="Palatino Linotype" w:hAnsi="Palatino Linotype" w:cs="Palatino Linotype"/>
        </w:rPr>
      </w:pPr>
    </w:p>
    <w:p w:rsidR="00F30E92" w:rsidRDefault="00F30E92">
      <w:pPr>
        <w:ind w:right="-1566"/>
        <w:rPr>
          <w:rFonts w:ascii="Palatino Linotype" w:eastAsia="Palatino Linotype" w:hAnsi="Palatino Linotype" w:cs="Palatino Linotype"/>
        </w:rPr>
      </w:pPr>
    </w:p>
    <w:p w:rsidR="00F30E92" w:rsidRDefault="00F30E92">
      <w:pPr>
        <w:ind w:right="-1566"/>
        <w:rPr>
          <w:rFonts w:ascii="Palatino Linotype" w:eastAsia="Palatino Linotype" w:hAnsi="Palatino Linotype" w:cs="Palatino Linotype"/>
        </w:rPr>
      </w:pPr>
    </w:p>
    <w:p w:rsidR="00F30E92" w:rsidRPr="00664ACF" w:rsidRDefault="00F30E92">
      <w:pPr>
        <w:ind w:right="-1566"/>
        <w:rPr>
          <w:rFonts w:ascii="Palatino Linotype" w:eastAsia="Palatino Linotype" w:hAnsi="Palatino Linotype" w:cs="Palatino Linotype"/>
        </w:rPr>
      </w:pPr>
    </w:p>
    <w:p w:rsidR="005C7FE0" w:rsidRPr="00664ACF" w:rsidRDefault="005C7FE0">
      <w:pPr>
        <w:ind w:right="-1566"/>
        <w:rPr>
          <w:rFonts w:ascii="Palatino Linotype" w:eastAsia="Palatino Linotype" w:hAnsi="Palatino Linotype" w:cs="Palatino Linotype"/>
        </w:rPr>
      </w:pPr>
    </w:p>
    <w:p w:rsidR="005C7FE0" w:rsidRPr="00664ACF" w:rsidRDefault="005C7FE0">
      <w:pPr>
        <w:ind w:right="-1566"/>
        <w:rPr>
          <w:rFonts w:ascii="Palatino Linotype" w:eastAsia="Palatino Linotype" w:hAnsi="Palatino Linotype" w:cs="Palatino Linotype"/>
        </w:rPr>
      </w:pPr>
    </w:p>
    <w:p w:rsidR="005C7FE0" w:rsidRPr="00664ACF" w:rsidRDefault="005C7FE0">
      <w:pPr>
        <w:ind w:right="-1566"/>
        <w:rPr>
          <w:rFonts w:ascii="Palatino Linotype" w:eastAsia="Palatino Linotype" w:hAnsi="Palatino Linotype" w:cs="Palatino Linotype"/>
        </w:rPr>
      </w:pPr>
    </w:p>
    <w:p w:rsidR="005C7FE0" w:rsidRPr="00664ACF" w:rsidRDefault="005C7FE0">
      <w:pPr>
        <w:ind w:right="-1566"/>
        <w:rPr>
          <w:rFonts w:ascii="Palatino Linotype" w:eastAsia="Palatino Linotype" w:hAnsi="Palatino Linotype" w:cs="Palatino Linotype"/>
        </w:rPr>
      </w:pPr>
      <w:bookmarkStart w:id="18" w:name="_GoBack"/>
      <w:bookmarkEnd w:id="18"/>
    </w:p>
    <w:p w:rsidR="005C7FE0" w:rsidRPr="00664ACF" w:rsidRDefault="005C7FE0"/>
    <w:sectPr w:rsidR="005C7FE0" w:rsidRPr="00664ACF">
      <w:headerReference w:type="default" r:id="rId9"/>
      <w:footerReference w:type="default" r:id="rId10"/>
      <w:headerReference w:type="first" r:id="rId11"/>
      <w:footerReference w:type="first" r:id="rId12"/>
      <w:pgSz w:w="12240" w:h="15840"/>
      <w:pgMar w:top="2410" w:right="2324"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1279" w:rsidRDefault="00121279">
      <w:r>
        <w:separator/>
      </w:r>
    </w:p>
  </w:endnote>
  <w:endnote w:type="continuationSeparator" w:id="0">
    <w:p w:rsidR="00121279" w:rsidRDefault="00121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embedRegular r:id="rId1" w:fontKey="{992C7DE6-36AF-472F-A593-EA3F05289EFE}"/>
    <w:embedBold r:id="rId2" w:fontKey="{C5B1E6D7-8258-44AE-9918-EC7B28D129B6}"/>
    <w:embedItalic r:id="rId3" w:fontKey="{1296F76E-F5DB-4983-A2C6-0AA121023F6E}"/>
    <w:embedBoldItalic r:id="rId4" w:fontKey="{F6FB9A3B-A01A-4957-A39B-E952ABBE073B}"/>
  </w:font>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5" w:fontKey="{D1402CD0-0472-4086-9B44-DE3FA2E3E415}"/>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DDA2F14F-4491-447F-9762-86524F384583}"/>
  </w:font>
  <w:font w:name="Georgia">
    <w:panose1 w:val="02040502050405020303"/>
    <w:charset w:val="00"/>
    <w:family w:val="roman"/>
    <w:pitch w:val="variable"/>
    <w:sig w:usb0="00000287" w:usb1="00000000" w:usb2="00000000" w:usb3="00000000" w:csb0="0000009F" w:csb1="00000000"/>
    <w:embedItalic r:id="rId7" w:fontKey="{7BE28341-0C14-4698-BB31-A8EB1F2AD99C}"/>
  </w:font>
  <w:font w:name="Cambria">
    <w:panose1 w:val="02040503050406030204"/>
    <w:charset w:val="00"/>
    <w:family w:val="roman"/>
    <w:pitch w:val="variable"/>
    <w:sig w:usb0="E00006FF" w:usb1="420024FF" w:usb2="02000000" w:usb3="00000000" w:csb0="0000019F" w:csb1="00000000"/>
    <w:embedRegular r:id="rId8" w:fontKey="{B5806E61-17D2-46C1-A365-B9C18DC9950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7FE0" w:rsidRDefault="00DB7533">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5F49D8">
      <w:rPr>
        <w:rFonts w:ascii="Palatino Linotype" w:eastAsia="Palatino Linotype" w:hAnsi="Palatino Linotype" w:cs="Palatino Linotype"/>
        <w:noProof/>
        <w:color w:val="000000"/>
        <w:sz w:val="22"/>
        <w:szCs w:val="22"/>
      </w:rPr>
      <w:t>8</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5F49D8">
      <w:rPr>
        <w:rFonts w:ascii="Palatino Linotype" w:eastAsia="Palatino Linotype" w:hAnsi="Palatino Linotype" w:cs="Palatino Linotype"/>
        <w:noProof/>
        <w:color w:val="000000"/>
        <w:sz w:val="22"/>
        <w:szCs w:val="22"/>
      </w:rPr>
      <w:t>31</w:t>
    </w:r>
    <w:r>
      <w:rPr>
        <w:rFonts w:ascii="Palatino Linotype" w:eastAsia="Palatino Linotype" w:hAnsi="Palatino Linotype" w:cs="Palatino Linotype"/>
        <w:color w:val="000000"/>
        <w:sz w:val="22"/>
        <w:szCs w:val="22"/>
      </w:rPr>
      <w:fldChar w:fldCharType="end"/>
    </w:r>
  </w:p>
  <w:p w:rsidR="005C7FE0" w:rsidRDefault="005C7FE0">
    <w:pPr>
      <w:pBdr>
        <w:top w:val="nil"/>
        <w:left w:val="nil"/>
        <w:bottom w:val="nil"/>
        <w:right w:val="nil"/>
        <w:between w:val="nil"/>
      </w:pBdr>
      <w:tabs>
        <w:tab w:val="center" w:pos="4252"/>
        <w:tab w:val="right" w:pos="8504"/>
      </w:tabs>
      <w:rPr>
        <w:color w:val="000000"/>
      </w:rPr>
    </w:pPr>
  </w:p>
  <w:p w:rsidR="005C7FE0" w:rsidRDefault="005C7FE0">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7FE0" w:rsidRDefault="00DB7533">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5F49D8">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5F49D8">
      <w:rPr>
        <w:rFonts w:ascii="Palatino Linotype" w:eastAsia="Palatino Linotype" w:hAnsi="Palatino Linotype" w:cs="Palatino Linotype"/>
        <w:noProof/>
        <w:color w:val="000000"/>
        <w:sz w:val="22"/>
        <w:szCs w:val="22"/>
      </w:rPr>
      <w:t>31</w:t>
    </w:r>
    <w:r>
      <w:rPr>
        <w:rFonts w:ascii="Palatino Linotype" w:eastAsia="Palatino Linotype" w:hAnsi="Palatino Linotype" w:cs="Palatino Linotype"/>
        <w:color w:val="000000"/>
        <w:sz w:val="22"/>
        <w:szCs w:val="22"/>
      </w:rPr>
      <w:fldChar w:fldCharType="end"/>
    </w:r>
  </w:p>
  <w:p w:rsidR="005C7FE0" w:rsidRDefault="005C7FE0">
    <w:pPr>
      <w:pBdr>
        <w:top w:val="nil"/>
        <w:left w:val="nil"/>
        <w:bottom w:val="nil"/>
        <w:right w:val="nil"/>
        <w:between w:val="nil"/>
      </w:pBdr>
      <w:tabs>
        <w:tab w:val="center" w:pos="4252"/>
        <w:tab w:val="right" w:pos="8504"/>
      </w:tabs>
      <w:rPr>
        <w:rFonts w:ascii="Calibri" w:eastAsia="Calibri" w:hAnsi="Calibri" w:cs="Calibri"/>
        <w:color w:val="000000"/>
      </w:rPr>
    </w:pPr>
  </w:p>
  <w:p w:rsidR="005C7FE0" w:rsidRDefault="005C7FE0"/>
  <w:p w:rsidR="005C7FE0" w:rsidRDefault="005C7FE0"/>
  <w:p w:rsidR="005C7FE0" w:rsidRDefault="005C7FE0"/>
  <w:p w:rsidR="005C7FE0" w:rsidRDefault="005C7FE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1279" w:rsidRDefault="00121279">
      <w:r>
        <w:separator/>
      </w:r>
    </w:p>
  </w:footnote>
  <w:footnote w:type="continuationSeparator" w:id="0">
    <w:p w:rsidR="00121279" w:rsidRDefault="00121279">
      <w:r>
        <w:continuationSeparator/>
      </w:r>
    </w:p>
  </w:footnote>
  <w:footnote w:id="1">
    <w:p w:rsidR="005C7FE0" w:rsidRDefault="00DB753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rsidR="005C7FE0" w:rsidRDefault="00DB753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rsidR="005C7FE0" w:rsidRDefault="00DB753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Corte Interamericana de Derechos Humanos. Caso Claude Reyes y otros vs. Chile. Sentencia de 19 de septiembre de 2006. Serie C. No. 151. Párr. 86.</w:t>
      </w:r>
    </w:p>
  </w:footnote>
  <w:footnote w:id="4">
    <w:p w:rsidR="005C7FE0" w:rsidRDefault="00DB753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Ibídem. Parr.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7140" w:type="dxa"/>
      <w:tblInd w:w="3119" w:type="dxa"/>
      <w:tblLayout w:type="fixed"/>
      <w:tblLook w:val="0400" w:firstRow="0" w:lastRow="0" w:firstColumn="0" w:lastColumn="0" w:noHBand="0" w:noVBand="1"/>
    </w:tblPr>
    <w:tblGrid>
      <w:gridCol w:w="2835"/>
      <w:gridCol w:w="4305"/>
    </w:tblGrid>
    <w:tr w:rsidR="005C7FE0" w:rsidTr="00C10C98">
      <w:tc>
        <w:tcPr>
          <w:tcW w:w="2835" w:type="dxa"/>
          <w:vAlign w:val="center"/>
        </w:tcPr>
        <w:p w:rsidR="005C7FE0" w:rsidRDefault="00DB7533">
          <w:pPr>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305" w:type="dxa"/>
          <w:vAlign w:val="center"/>
        </w:tcPr>
        <w:p w:rsidR="005C7FE0" w:rsidRDefault="00DB7533">
          <w:pPr>
            <w:ind w:right="86"/>
            <w:jc w:val="both"/>
            <w:rPr>
              <w:rFonts w:ascii="Palatino Linotype" w:eastAsia="Palatino Linotype" w:hAnsi="Palatino Linotype" w:cs="Palatino Linotype"/>
            </w:rPr>
          </w:pPr>
          <w:r>
            <w:rPr>
              <w:rFonts w:ascii="Palatino Linotype" w:eastAsia="Palatino Linotype" w:hAnsi="Palatino Linotype" w:cs="Palatino Linotype"/>
            </w:rPr>
            <w:t>01653/INFOEM/IP/RR/2026</w:t>
          </w:r>
        </w:p>
      </w:tc>
    </w:tr>
    <w:tr w:rsidR="005C7FE0" w:rsidTr="00C10C98">
      <w:trPr>
        <w:trHeight w:val="228"/>
      </w:trPr>
      <w:tc>
        <w:tcPr>
          <w:tcW w:w="2835" w:type="dxa"/>
          <w:vAlign w:val="center"/>
        </w:tcPr>
        <w:p w:rsidR="005C7FE0" w:rsidRDefault="00DB7533">
          <w:pPr>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305" w:type="dxa"/>
          <w:shd w:val="clear" w:color="auto" w:fill="auto"/>
          <w:vAlign w:val="center"/>
        </w:tcPr>
        <w:p w:rsidR="005C7FE0" w:rsidRDefault="00DB7533">
          <w:pPr>
            <w:ind w:right="86"/>
            <w:rPr>
              <w:rFonts w:ascii="Palatino Linotype" w:eastAsia="Palatino Linotype" w:hAnsi="Palatino Linotype" w:cs="Palatino Linotype"/>
              <w:color w:val="000000"/>
            </w:rPr>
          </w:pPr>
          <w:r>
            <w:rPr>
              <w:rFonts w:ascii="Palatino Linotype" w:eastAsia="Palatino Linotype" w:hAnsi="Palatino Linotype" w:cs="Palatino Linotype"/>
              <w:color w:val="000000"/>
            </w:rPr>
            <w:t>Ayuntamiento de Ayapango</w:t>
          </w:r>
        </w:p>
      </w:tc>
    </w:tr>
    <w:tr w:rsidR="005C7FE0" w:rsidTr="00C10C98">
      <w:tc>
        <w:tcPr>
          <w:tcW w:w="2835" w:type="dxa"/>
          <w:vAlign w:val="center"/>
        </w:tcPr>
        <w:p w:rsidR="005C7FE0" w:rsidRDefault="00DB7533">
          <w:pPr>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305" w:type="dxa"/>
          <w:vAlign w:val="center"/>
        </w:tcPr>
        <w:p w:rsidR="005C7FE0" w:rsidRDefault="00DB7533">
          <w:pPr>
            <w:ind w:right="86"/>
            <w:jc w:val="both"/>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tc>
    </w:tr>
  </w:tbl>
  <w:p w:rsidR="005C7FE0" w:rsidRDefault="00DB7533">
    <w:pPr>
      <w:pBdr>
        <w:top w:val="nil"/>
        <w:left w:val="nil"/>
        <w:bottom w:val="nil"/>
        <w:right w:val="nil"/>
        <w:between w:val="nil"/>
      </w:pBdr>
      <w:tabs>
        <w:tab w:val="center" w:pos="4252"/>
        <w:tab w:val="right" w:pos="8504"/>
        <w:tab w:val="left" w:pos="3233"/>
      </w:tabs>
      <w:rPr>
        <w:rFonts w:ascii="Calibri" w:eastAsia="Calibri" w:hAnsi="Calibri" w:cs="Calibri"/>
        <w:color w:val="000000"/>
      </w:rPr>
    </w:pPr>
    <w:r>
      <w:rPr>
        <w:rFonts w:ascii="Calibri" w:eastAsia="Calibri" w:hAnsi="Calibri" w:cs="Calibri"/>
        <w:color w:val="000000"/>
      </w:rPr>
      <w:tab/>
    </w:r>
    <w:r>
      <w:rPr>
        <w:noProof/>
      </w:rPr>
      <w:drawing>
        <wp:anchor distT="0" distB="0" distL="0" distR="0" simplePos="0" relativeHeight="251658240" behindDoc="1" locked="0" layoutInCell="1" hidden="0" allowOverlap="1">
          <wp:simplePos x="0" y="0"/>
          <wp:positionH relativeFrom="column">
            <wp:posOffset>-1080134</wp:posOffset>
          </wp:positionH>
          <wp:positionV relativeFrom="paragraph">
            <wp:posOffset>-1210573</wp:posOffset>
          </wp:positionV>
          <wp:extent cx="7813085" cy="1017000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13085" cy="101700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6840" w:type="dxa"/>
      <w:tblInd w:w="3119" w:type="dxa"/>
      <w:tblLayout w:type="fixed"/>
      <w:tblLook w:val="0400" w:firstRow="0" w:lastRow="0" w:firstColumn="0" w:lastColumn="0" w:noHBand="0" w:noVBand="1"/>
    </w:tblPr>
    <w:tblGrid>
      <w:gridCol w:w="2799"/>
      <w:gridCol w:w="4041"/>
    </w:tblGrid>
    <w:tr w:rsidR="005C7FE0" w:rsidTr="00C10C98">
      <w:trPr>
        <w:trHeight w:val="329"/>
      </w:trPr>
      <w:tc>
        <w:tcPr>
          <w:tcW w:w="2799" w:type="dxa"/>
          <w:vAlign w:val="center"/>
        </w:tcPr>
        <w:p w:rsidR="005C7FE0" w:rsidRDefault="00DB7533">
          <w:pPr>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041" w:type="dxa"/>
          <w:vAlign w:val="center"/>
        </w:tcPr>
        <w:p w:rsidR="005C7FE0" w:rsidRDefault="00DB7533">
          <w:pPr>
            <w:ind w:right="-31"/>
            <w:jc w:val="both"/>
            <w:rPr>
              <w:rFonts w:ascii="Palatino Linotype" w:eastAsia="Palatino Linotype" w:hAnsi="Palatino Linotype" w:cs="Palatino Linotype"/>
            </w:rPr>
          </w:pPr>
          <w:r>
            <w:rPr>
              <w:rFonts w:ascii="Palatino Linotype" w:eastAsia="Palatino Linotype" w:hAnsi="Palatino Linotype" w:cs="Palatino Linotype"/>
            </w:rPr>
            <w:t>01653/INFOEM/IP/RR/2026</w:t>
          </w:r>
        </w:p>
      </w:tc>
    </w:tr>
    <w:tr w:rsidR="005C7FE0" w:rsidTr="00C10C98">
      <w:trPr>
        <w:trHeight w:val="145"/>
      </w:trPr>
      <w:tc>
        <w:tcPr>
          <w:tcW w:w="2799" w:type="dxa"/>
          <w:vAlign w:val="center"/>
        </w:tcPr>
        <w:p w:rsidR="005C7FE0" w:rsidRDefault="00DB7533">
          <w:pPr>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4041" w:type="dxa"/>
          <w:vAlign w:val="center"/>
        </w:tcPr>
        <w:p w:rsidR="005C7FE0" w:rsidRDefault="005F49D8">
          <w:pPr>
            <w:ind w:right="-31"/>
            <w:jc w:val="both"/>
            <w:rPr>
              <w:rFonts w:ascii="Palatino Linotype" w:eastAsia="Palatino Linotype" w:hAnsi="Palatino Linotype" w:cs="Palatino Linotype"/>
            </w:rPr>
          </w:pPr>
          <w:r>
            <w:rPr>
              <w:rFonts w:ascii="Palatino Linotype" w:eastAsia="Palatino Linotype" w:hAnsi="Palatino Linotype" w:cs="Palatino Linotype"/>
            </w:rPr>
            <w:t>XXXX</w:t>
          </w:r>
        </w:p>
      </w:tc>
    </w:tr>
    <w:tr w:rsidR="005C7FE0" w:rsidTr="00C10C98">
      <w:trPr>
        <w:trHeight w:val="145"/>
      </w:trPr>
      <w:tc>
        <w:tcPr>
          <w:tcW w:w="2799" w:type="dxa"/>
          <w:vAlign w:val="center"/>
        </w:tcPr>
        <w:p w:rsidR="005C7FE0" w:rsidRDefault="00DB7533">
          <w:pPr>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041" w:type="dxa"/>
          <w:vAlign w:val="center"/>
        </w:tcPr>
        <w:p w:rsidR="005C7FE0" w:rsidRDefault="00DB7533">
          <w:pPr>
            <w:ind w:right="-31"/>
            <w:jc w:val="both"/>
            <w:rPr>
              <w:rFonts w:ascii="Palatino Linotype" w:eastAsia="Palatino Linotype" w:hAnsi="Palatino Linotype" w:cs="Palatino Linotype"/>
            </w:rPr>
          </w:pPr>
          <w:r>
            <w:rPr>
              <w:rFonts w:ascii="Palatino Linotype" w:eastAsia="Palatino Linotype" w:hAnsi="Palatino Linotype" w:cs="Palatino Linotype"/>
              <w:color w:val="000000"/>
            </w:rPr>
            <w:t>Ayuntamiento de Ayapango</w:t>
          </w:r>
        </w:p>
      </w:tc>
    </w:tr>
    <w:tr w:rsidR="005C7FE0" w:rsidTr="00C10C98">
      <w:trPr>
        <w:trHeight w:val="145"/>
      </w:trPr>
      <w:tc>
        <w:tcPr>
          <w:tcW w:w="2799" w:type="dxa"/>
          <w:vAlign w:val="center"/>
        </w:tcPr>
        <w:p w:rsidR="005C7FE0" w:rsidRDefault="00DB7533">
          <w:pPr>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041" w:type="dxa"/>
          <w:vAlign w:val="center"/>
        </w:tcPr>
        <w:p w:rsidR="005C7FE0" w:rsidRDefault="00DB7533">
          <w:pPr>
            <w:ind w:right="-31"/>
            <w:jc w:val="both"/>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tc>
    </w:tr>
  </w:tbl>
  <w:p w:rsidR="005C7FE0" w:rsidRDefault="00DB7533">
    <w:pPr>
      <w:pBdr>
        <w:top w:val="nil"/>
        <w:left w:val="nil"/>
        <w:bottom w:val="nil"/>
        <w:right w:val="nil"/>
        <w:between w:val="nil"/>
      </w:pBdr>
      <w:tabs>
        <w:tab w:val="center" w:pos="4252"/>
        <w:tab w:val="right" w:pos="8504"/>
      </w:tabs>
      <w:rPr>
        <w:rFonts w:ascii="Calibri" w:eastAsia="Calibri" w:hAnsi="Calibri" w:cs="Calibri"/>
        <w:color w:val="000000"/>
      </w:rPr>
    </w:pPr>
    <w:r>
      <w:rPr>
        <w:noProof/>
      </w:rPr>
      <w:drawing>
        <wp:anchor distT="0" distB="0" distL="0" distR="0" simplePos="0" relativeHeight="251659264" behindDoc="1" locked="0" layoutInCell="1" hidden="0" allowOverlap="1">
          <wp:simplePos x="0" y="0"/>
          <wp:positionH relativeFrom="column">
            <wp:posOffset>-1027955</wp:posOffset>
          </wp:positionH>
          <wp:positionV relativeFrom="paragraph">
            <wp:posOffset>-1267675</wp:posOffset>
          </wp:positionV>
          <wp:extent cx="7813085" cy="1017000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13085" cy="10170000"/>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F3DFD"/>
    <w:multiLevelType w:val="multilevel"/>
    <w:tmpl w:val="94224814"/>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 w15:restartNumberingAfterBreak="0">
    <w:nsid w:val="049E61AC"/>
    <w:multiLevelType w:val="multilevel"/>
    <w:tmpl w:val="96C0F384"/>
    <w:lvl w:ilvl="0">
      <w:start w:val="1"/>
      <w:numFmt w:val="decimal"/>
      <w:lvlText w:val="%1."/>
      <w:lvlJc w:val="left"/>
      <w:pPr>
        <w:ind w:left="786"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164641E"/>
    <w:multiLevelType w:val="multilevel"/>
    <w:tmpl w:val="31F84CDE"/>
    <w:lvl w:ilvl="0">
      <w:start w:val="1"/>
      <w:numFmt w:val="upp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3" w15:restartNumberingAfterBreak="0">
    <w:nsid w:val="496D2018"/>
    <w:multiLevelType w:val="multilevel"/>
    <w:tmpl w:val="C4AA33D6"/>
    <w:lvl w:ilvl="0">
      <w:start w:val="1"/>
      <w:numFmt w:val="decimal"/>
      <w:lvlText w:val="%1."/>
      <w:lvlJc w:val="left"/>
      <w:pPr>
        <w:ind w:left="786"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CFC1CD7"/>
    <w:multiLevelType w:val="multilevel"/>
    <w:tmpl w:val="26B65D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E9E3906"/>
    <w:multiLevelType w:val="multilevel"/>
    <w:tmpl w:val="DA5ED9DE"/>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num w:numId="1">
    <w:abstractNumId w:val="5"/>
  </w:num>
  <w:num w:numId="2">
    <w:abstractNumId w:val="3"/>
  </w:num>
  <w:num w:numId="3">
    <w:abstractNumId w:val="0"/>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FE0"/>
    <w:rsid w:val="000371C9"/>
    <w:rsid w:val="00121279"/>
    <w:rsid w:val="004976FD"/>
    <w:rsid w:val="004F51F1"/>
    <w:rsid w:val="005C7FE0"/>
    <w:rsid w:val="005F49D8"/>
    <w:rsid w:val="00664ACF"/>
    <w:rsid w:val="007107B4"/>
    <w:rsid w:val="007C62BC"/>
    <w:rsid w:val="0088669A"/>
    <w:rsid w:val="008B4317"/>
    <w:rsid w:val="00BA1273"/>
    <w:rsid w:val="00C10C98"/>
    <w:rsid w:val="00DB7533"/>
    <w:rsid w:val="00F30E9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86022D-0269-49FF-9DFC-5304F1350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6"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ACF"/>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ACF"/>
  </w:style>
  <w:style w:type="paragraph" w:styleId="Encabezado">
    <w:name w:val="header"/>
    <w:basedOn w:val="Normal"/>
    <w:link w:val="EncabezadoCar"/>
    <w:uiPriority w:val="99"/>
    <w:unhideWhenUsed/>
    <w:rsid w:val="00C10C98"/>
    <w:pPr>
      <w:tabs>
        <w:tab w:val="center" w:pos="4419"/>
        <w:tab w:val="right" w:pos="8838"/>
      </w:tabs>
    </w:pPr>
  </w:style>
  <w:style w:type="character" w:customStyle="1" w:styleId="EncabezadoCar">
    <w:name w:val="Encabezado Car"/>
    <w:basedOn w:val="Fuentedeprrafopredeter"/>
    <w:link w:val="Encabezado"/>
    <w:uiPriority w:val="99"/>
    <w:rsid w:val="00C10C98"/>
  </w:style>
  <w:style w:type="paragraph" w:styleId="Piedepgina">
    <w:name w:val="footer"/>
    <w:basedOn w:val="Normal"/>
    <w:link w:val="PiedepginaCar"/>
    <w:uiPriority w:val="99"/>
    <w:unhideWhenUsed/>
    <w:rsid w:val="00C10C98"/>
    <w:pPr>
      <w:tabs>
        <w:tab w:val="center" w:pos="4419"/>
        <w:tab w:val="right" w:pos="8838"/>
      </w:tabs>
    </w:pPr>
  </w:style>
  <w:style w:type="character" w:customStyle="1" w:styleId="PiedepginaCar">
    <w:name w:val="Pie de página Car"/>
    <w:basedOn w:val="Fuentedeprrafopredeter"/>
    <w:link w:val="Piedepgina"/>
    <w:uiPriority w:val="99"/>
    <w:rsid w:val="00C10C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sultas.curp.gob.mx/CurpSP/html/informacionecurpPS.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VUCl2+WH3JPrXzYegcd9VeCz2A==">CgMxLjAyCGguZ2pkZ3hzMgloLjFmb2I5dGUyCWguM3pueXNoNzIJaC4yZXQ5MnAwMg5oLjE2Mm0xbTNma3psNjIIaC50eWpjd3QyCWguM2R5NnZrbTIJaC4xdDNoNXNmMgloLjRkMzRvZzgyCWguMnM4ZXlvMTIJaC4xN2RwOHZ1MgloLjNyZGNyam4yCWguMjZpbjFyZzIJaC4xa3N2NHV2Mg5oLjR3NDBieXM0cmN1azIJaC4yanhzeHFoMg5oLms4dTZrc2kyMnZyZDgAciExU0NXd2Z4eWRpTXk3Y0JDLVdPRkY0eTEtcDVFd1lzRS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31</Pages>
  <Words>7163</Words>
  <Characters>39400</Characters>
  <Application>Microsoft Office Word</Application>
  <DocSecurity>0</DocSecurity>
  <Lines>328</Lines>
  <Paragraphs>92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46471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Cuenta Microsoft</cp:lastModifiedBy>
  <cp:revision>8</cp:revision>
  <cp:lastPrinted>2026-06-12T16:55:00Z</cp:lastPrinted>
  <dcterms:created xsi:type="dcterms:W3CDTF">2026-06-08T17:35:00Z</dcterms:created>
  <dcterms:modified xsi:type="dcterms:W3CDTF">2026-06-16T19:06:00Z</dcterms:modified>
</cp:coreProperties>
</file>