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DB3" w:rsidRPr="00C51CE4" w:rsidRDefault="0084126B">
      <w:pPr>
        <w:tabs>
          <w:tab w:val="left" w:pos="3465"/>
        </w:tabs>
        <w:spacing w:line="360" w:lineRule="auto"/>
        <w:ind w:right="-574"/>
        <w:jc w:val="both"/>
        <w:rPr>
          <w:rFonts w:ascii="Palatino Linotype" w:eastAsia="Palatino Linotype" w:hAnsi="Palatino Linotype" w:cs="Palatino Linotype"/>
        </w:rPr>
      </w:pPr>
      <w:bookmarkStart w:id="0" w:name="_GoBack"/>
      <w:bookmarkEnd w:id="0"/>
      <w:r w:rsidRPr="00C51CE4">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w:t>
      </w:r>
      <w:r w:rsidR="00241183" w:rsidRPr="00C51CE4">
        <w:rPr>
          <w:rFonts w:ascii="Palatino Linotype" w:eastAsia="Palatino Linotype" w:hAnsi="Palatino Linotype" w:cs="Palatino Linotype"/>
        </w:rPr>
        <w:t>Estado de México; de fecha trece</w:t>
      </w:r>
      <w:r w:rsidR="00C51CE4" w:rsidRPr="00C51CE4">
        <w:rPr>
          <w:rFonts w:ascii="Palatino Linotype" w:eastAsia="Palatino Linotype" w:hAnsi="Palatino Linotype" w:cs="Palatino Linotype"/>
        </w:rPr>
        <w:t xml:space="preserve"> (13)</w:t>
      </w:r>
      <w:r w:rsidRPr="00C51CE4">
        <w:rPr>
          <w:rFonts w:ascii="Palatino Linotype" w:eastAsia="Palatino Linotype" w:hAnsi="Palatino Linotype" w:cs="Palatino Linotype"/>
        </w:rPr>
        <w:t xml:space="preserve"> de mayo de dos mil veintiséis.</w:t>
      </w:r>
    </w:p>
    <w:p w:rsidR="00035DB3" w:rsidRPr="00C51CE4" w:rsidRDefault="00035DB3">
      <w:pPr>
        <w:tabs>
          <w:tab w:val="left" w:pos="3465"/>
        </w:tabs>
        <w:spacing w:line="360" w:lineRule="auto"/>
        <w:ind w:right="-574"/>
        <w:jc w:val="both"/>
        <w:rPr>
          <w:rFonts w:ascii="Palatino Linotype" w:eastAsia="Palatino Linotype" w:hAnsi="Palatino Linotype" w:cs="Palatino Linotype"/>
        </w:rPr>
      </w:pPr>
    </w:p>
    <w:p w:rsidR="00035DB3" w:rsidRPr="00C51CE4" w:rsidRDefault="0084126B">
      <w:pPr>
        <w:spacing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b/>
          <w:bCs/>
        </w:rPr>
        <w:t xml:space="preserve">VISTAS </w:t>
      </w:r>
      <w:r w:rsidRPr="00C51CE4">
        <w:rPr>
          <w:rFonts w:ascii="Palatino Linotype" w:eastAsia="Palatino Linotype" w:hAnsi="Palatino Linotype" w:cs="Palatino Linotype"/>
        </w:rPr>
        <w:t xml:space="preserve">las constancias para resolver </w:t>
      </w:r>
      <w:r w:rsidRPr="00C51CE4">
        <w:rPr>
          <w:rFonts w:ascii="Palatino Linotype" w:eastAsia="Palatino Linotype" w:hAnsi="Palatino Linotype" w:cs="Palatino Linotype"/>
          <w:color w:val="000000"/>
        </w:rPr>
        <w:t xml:space="preserve">el Recurso de Revisión </w:t>
      </w:r>
      <w:r w:rsidRPr="00C51CE4">
        <w:rPr>
          <w:rFonts w:ascii="Palatino Linotype" w:eastAsia="Palatino Linotype" w:hAnsi="Palatino Linotype" w:cs="Palatino Linotype"/>
          <w:b/>
          <w:bCs/>
          <w:color w:val="000000"/>
        </w:rPr>
        <w:t>00728/INFOEM/IP/RR/2026</w:t>
      </w:r>
      <w:r w:rsidRPr="00C51CE4">
        <w:rPr>
          <w:rFonts w:ascii="Palatino Linotype" w:eastAsia="Palatino Linotype" w:hAnsi="Palatino Linotype" w:cs="Palatino Linotype"/>
          <w:color w:val="000000"/>
        </w:rPr>
        <w:t>, promovido de manera anónima,</w:t>
      </w:r>
      <w:r w:rsidRPr="00C51CE4">
        <w:rPr>
          <w:rFonts w:ascii="Palatino Linotype" w:eastAsia="Palatino Linotype" w:hAnsi="Palatino Linotype" w:cs="Palatino Linotype"/>
        </w:rPr>
        <w:t xml:space="preserve"> en lo sucesivo </w:t>
      </w:r>
      <w:r w:rsidRPr="00C51CE4">
        <w:rPr>
          <w:rFonts w:ascii="Palatino Linotype" w:eastAsia="Palatino Linotype" w:hAnsi="Palatino Linotype" w:cs="Palatino Linotype"/>
          <w:b/>
          <w:bCs/>
        </w:rPr>
        <w:t>EL RECURRENTE</w:t>
      </w:r>
      <w:r w:rsidRPr="00C51CE4">
        <w:rPr>
          <w:rFonts w:ascii="Palatino Linotype" w:eastAsia="Palatino Linotype" w:hAnsi="Palatino Linotype" w:cs="Palatino Linotype"/>
        </w:rPr>
        <w:t xml:space="preserve">, en contra de la respuesta otorgada a la solicitud de información </w:t>
      </w:r>
      <w:r w:rsidRPr="00C51CE4">
        <w:rPr>
          <w:rFonts w:ascii="Palatino Linotype" w:eastAsia="Palatino Linotype" w:hAnsi="Palatino Linotype" w:cs="Palatino Linotype"/>
          <w:b/>
          <w:bCs/>
        </w:rPr>
        <w:t>00270/CAPULHUA/IP/2025</w:t>
      </w:r>
      <w:r w:rsidRPr="00C51CE4">
        <w:rPr>
          <w:rFonts w:ascii="Palatino Linotype" w:eastAsia="Palatino Linotype" w:hAnsi="Palatino Linotype" w:cs="Palatino Linotype"/>
        </w:rPr>
        <w:t xml:space="preserve">, por parte del </w:t>
      </w:r>
      <w:r w:rsidRPr="00C51CE4">
        <w:rPr>
          <w:rFonts w:ascii="Palatino Linotype" w:eastAsia="Palatino Linotype" w:hAnsi="Palatino Linotype" w:cs="Palatino Linotype"/>
          <w:b/>
          <w:bCs/>
        </w:rPr>
        <w:t xml:space="preserve">Ayuntamiento de Capulhuac, </w:t>
      </w:r>
      <w:r w:rsidRPr="00C51CE4">
        <w:rPr>
          <w:rFonts w:ascii="Palatino Linotype" w:eastAsia="Palatino Linotype" w:hAnsi="Palatino Linotype" w:cs="Palatino Linotype"/>
        </w:rPr>
        <w:t xml:space="preserve">en adelante el </w:t>
      </w:r>
      <w:r w:rsidRPr="00C51CE4">
        <w:rPr>
          <w:rFonts w:ascii="Palatino Linotype" w:eastAsia="Palatino Linotype" w:hAnsi="Palatino Linotype" w:cs="Palatino Linotype"/>
          <w:b/>
          <w:bCs/>
        </w:rPr>
        <w:t>SUJETO OBLIGADO</w:t>
      </w:r>
      <w:r w:rsidRPr="00C51CE4">
        <w:rPr>
          <w:rFonts w:ascii="Palatino Linotype" w:eastAsia="Palatino Linotype" w:hAnsi="Palatino Linotype" w:cs="Palatino Linotype"/>
        </w:rPr>
        <w:t>, se emite la presente resolución con base en los siguientes: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pStyle w:val="Ttulo1"/>
        <w:spacing w:before="0" w:line="360" w:lineRule="auto"/>
        <w:ind w:right="-574"/>
        <w:jc w:val="center"/>
        <w:rPr>
          <w:rFonts w:ascii="Palatino Linotype" w:eastAsia="Palatino Linotype" w:hAnsi="Palatino Linotype" w:cs="Palatino Linotype"/>
          <w:b/>
          <w:bCs/>
          <w:color w:val="000000"/>
          <w:sz w:val="24"/>
          <w:szCs w:val="24"/>
        </w:rPr>
      </w:pPr>
      <w:bookmarkStart w:id="1" w:name="_heading=h.gjdgxs" w:colFirst="0" w:colLast="0"/>
      <w:bookmarkEnd w:id="1"/>
      <w:r w:rsidRPr="00C51CE4">
        <w:rPr>
          <w:rFonts w:ascii="Palatino Linotype" w:eastAsia="Palatino Linotype" w:hAnsi="Palatino Linotype" w:cs="Palatino Linotype"/>
          <w:b/>
          <w:bCs/>
          <w:color w:val="000000"/>
          <w:sz w:val="24"/>
          <w:szCs w:val="24"/>
        </w:rPr>
        <w:t>A N T E C E D E N T E S</w:t>
      </w:r>
    </w:p>
    <w:p w:rsidR="00035DB3" w:rsidRPr="00C51CE4" w:rsidRDefault="00035DB3">
      <w:pPr>
        <w:pBdr>
          <w:top w:val="nil"/>
          <w:left w:val="nil"/>
          <w:bottom w:val="nil"/>
          <w:right w:val="nil"/>
          <w:between w:val="nil"/>
        </w:pBdr>
        <w:spacing w:line="360" w:lineRule="auto"/>
        <w:ind w:left="720" w:right="-574"/>
        <w:jc w:val="both"/>
        <w:rPr>
          <w:rFonts w:ascii="Palatino Linotype" w:eastAsia="Palatino Linotype" w:hAnsi="Palatino Linotype" w:cs="Palatino Linotype"/>
          <w:b/>
          <w:bCs/>
          <w:color w:val="000000"/>
          <w:u w:val="single"/>
        </w:rPr>
      </w:pPr>
    </w:p>
    <w:p w:rsidR="00035DB3" w:rsidRPr="00C51CE4" w:rsidRDefault="0084126B">
      <w:pPr>
        <w:numPr>
          <w:ilvl w:val="0"/>
          <w:numId w:val="6"/>
        </w:numPr>
        <w:pBdr>
          <w:top w:val="nil"/>
          <w:left w:val="nil"/>
          <w:bottom w:val="nil"/>
          <w:right w:val="nil"/>
          <w:between w:val="nil"/>
        </w:pBdr>
        <w:tabs>
          <w:tab w:val="left" w:pos="0"/>
        </w:tabs>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El </w:t>
      </w:r>
      <w:r w:rsidRPr="00C51CE4">
        <w:rPr>
          <w:rFonts w:ascii="Palatino Linotype" w:eastAsia="Palatino Linotype" w:hAnsi="Palatino Linotype" w:cs="Palatino Linotype"/>
          <w:b/>
          <w:bCs/>
          <w:color w:val="000000"/>
        </w:rPr>
        <w:t>veintiséis de noviembre de dos mil veinticinco</w:t>
      </w:r>
      <w:r w:rsidRPr="00C51CE4">
        <w:rPr>
          <w:rFonts w:ascii="Palatino Linotype" w:eastAsia="Palatino Linotype" w:hAnsi="Palatino Linotype" w:cs="Palatino Linotype"/>
          <w:color w:val="000000"/>
        </w:rPr>
        <w:t>,</w:t>
      </w:r>
      <w:r w:rsidRPr="00C51CE4">
        <w:rPr>
          <w:rFonts w:ascii="Palatino Linotype" w:eastAsia="Palatino Linotype" w:hAnsi="Palatino Linotype" w:cs="Palatino Linotype"/>
          <w:b/>
          <w:bCs/>
          <w:color w:val="000000"/>
        </w:rPr>
        <w:t xml:space="preserve"> </w:t>
      </w:r>
      <w:r w:rsidRPr="00C51CE4">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C51CE4">
        <w:rPr>
          <w:rFonts w:ascii="Palatino Linotype" w:eastAsia="Palatino Linotype" w:hAnsi="Palatino Linotype" w:cs="Palatino Linotype"/>
          <w:b/>
          <w:bCs/>
          <w:color w:val="000000"/>
        </w:rPr>
        <w:t>solicitud de información pública</w:t>
      </w:r>
      <w:r w:rsidRPr="00C51CE4">
        <w:rPr>
          <w:rFonts w:ascii="Palatino Linotype" w:eastAsia="Palatino Linotype" w:hAnsi="Palatino Linotype" w:cs="Palatino Linotype"/>
          <w:color w:val="000000"/>
        </w:rPr>
        <w:t>:</w:t>
      </w:r>
    </w:p>
    <w:p w:rsidR="00035DB3" w:rsidRPr="00C51CE4" w:rsidRDefault="00035DB3">
      <w:pPr>
        <w:pBdr>
          <w:top w:val="nil"/>
          <w:left w:val="nil"/>
          <w:bottom w:val="nil"/>
          <w:right w:val="nil"/>
          <w:between w:val="nil"/>
        </w:pBdr>
        <w:ind w:right="-574"/>
        <w:jc w:val="both"/>
        <w:rPr>
          <w:rFonts w:ascii="Palatino Linotype" w:eastAsia="Palatino Linotype" w:hAnsi="Palatino Linotype" w:cs="Palatino Linotype"/>
          <w:color w:val="000000"/>
        </w:rPr>
      </w:pPr>
    </w:p>
    <w:p w:rsidR="00035DB3" w:rsidRPr="00C51CE4" w:rsidRDefault="0084126B">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 xml:space="preserve"> “Solicito el recibo de nomina del comisario de la quincena del 01 al 15 de agosto de 2025, su permiso de portación de arma de fuego, y su examen de control de confianza y también si esta aprobado o no.” (Sic)</w:t>
      </w:r>
    </w:p>
    <w:p w:rsidR="00035DB3" w:rsidRPr="00C51CE4" w:rsidRDefault="00035DB3">
      <w:pPr>
        <w:pBdr>
          <w:top w:val="nil"/>
          <w:left w:val="nil"/>
          <w:bottom w:val="nil"/>
          <w:right w:val="nil"/>
          <w:between w:val="nil"/>
        </w:pBdr>
        <w:ind w:right="-574"/>
        <w:jc w:val="both"/>
        <w:rPr>
          <w:rFonts w:ascii="Palatino Linotype" w:eastAsia="Palatino Linotype" w:hAnsi="Palatino Linotype" w:cs="Palatino Linotype"/>
          <w:i/>
          <w:iCs/>
          <w:color w:val="000000"/>
        </w:rPr>
      </w:pPr>
    </w:p>
    <w:p w:rsidR="00035DB3" w:rsidRPr="00C51CE4" w:rsidRDefault="0084126B">
      <w:pPr>
        <w:numPr>
          <w:ilvl w:val="0"/>
          <w:numId w:val="1"/>
        </w:numPr>
        <w:pBdr>
          <w:top w:val="nil"/>
          <w:left w:val="nil"/>
          <w:bottom w:val="nil"/>
          <w:right w:val="nil"/>
          <w:between w:val="nil"/>
        </w:pBdr>
        <w:tabs>
          <w:tab w:val="left" w:pos="0"/>
        </w:tabs>
        <w:spacing w:line="360" w:lineRule="auto"/>
        <w:ind w:left="709" w:right="-574"/>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Se eligió como modalidad de entrega de la información: A través del </w:t>
      </w:r>
      <w:r w:rsidRPr="00C51CE4">
        <w:rPr>
          <w:rFonts w:ascii="Palatino Linotype" w:eastAsia="Palatino Linotype" w:hAnsi="Palatino Linotype" w:cs="Palatino Linotype"/>
          <w:b/>
          <w:bCs/>
          <w:color w:val="000000"/>
        </w:rPr>
        <w:t>SAIMEX.</w:t>
      </w:r>
    </w:p>
    <w:p w:rsidR="00035DB3" w:rsidRPr="00C51CE4" w:rsidRDefault="00035DB3">
      <w:pPr>
        <w:pBdr>
          <w:top w:val="nil"/>
          <w:left w:val="nil"/>
          <w:bottom w:val="nil"/>
          <w:right w:val="nil"/>
          <w:between w:val="nil"/>
        </w:pBdr>
        <w:tabs>
          <w:tab w:val="left" w:pos="0"/>
        </w:tabs>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pBdr>
          <w:top w:val="nil"/>
          <w:left w:val="nil"/>
          <w:bottom w:val="nil"/>
          <w:right w:val="nil"/>
          <w:between w:val="nil"/>
        </w:pBdr>
        <w:tabs>
          <w:tab w:val="left" w:pos="0"/>
        </w:tabs>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El</w:t>
      </w:r>
      <w:r w:rsidRPr="00C51CE4">
        <w:rPr>
          <w:rFonts w:ascii="Palatino Linotype" w:eastAsia="Palatino Linotype" w:hAnsi="Palatino Linotype" w:cs="Palatino Linotype"/>
          <w:b/>
          <w:bCs/>
          <w:color w:val="000000"/>
        </w:rPr>
        <w:t xml:space="preserve"> diecisiete de diciembre de dos mil veinticinco</w:t>
      </w:r>
      <w:r w:rsidRPr="00C51CE4">
        <w:rPr>
          <w:rFonts w:ascii="Palatino Linotype" w:eastAsia="Palatino Linotype" w:hAnsi="Palatino Linotype" w:cs="Palatino Linotype"/>
          <w:color w:val="000000"/>
        </w:rPr>
        <w:t>, el Sujeto Obligado</w:t>
      </w:r>
      <w:r w:rsidRPr="00C51CE4">
        <w:rPr>
          <w:rFonts w:ascii="Palatino Linotype" w:eastAsia="Palatino Linotype" w:hAnsi="Palatino Linotype" w:cs="Palatino Linotype"/>
          <w:b/>
          <w:bCs/>
          <w:color w:val="000000"/>
        </w:rPr>
        <w:t>,</w:t>
      </w:r>
      <w:r w:rsidRPr="00C51CE4">
        <w:rPr>
          <w:rFonts w:ascii="Palatino Linotype" w:eastAsia="Palatino Linotype" w:hAnsi="Palatino Linotype" w:cs="Palatino Linotype"/>
          <w:color w:val="000000"/>
        </w:rPr>
        <w:t xml:space="preserve"> notificó </w:t>
      </w:r>
      <w:r w:rsidRPr="00C51CE4">
        <w:rPr>
          <w:rFonts w:ascii="Palatino Linotype" w:eastAsia="Palatino Linotype" w:hAnsi="Palatino Linotype" w:cs="Palatino Linotype"/>
          <w:b/>
          <w:bCs/>
          <w:color w:val="000000"/>
        </w:rPr>
        <w:t xml:space="preserve">prórroga </w:t>
      </w:r>
      <w:r w:rsidRPr="00C51CE4">
        <w:rPr>
          <w:rFonts w:ascii="Palatino Linotype" w:eastAsia="Palatino Linotype" w:hAnsi="Palatino Linotype" w:cs="Palatino Linotype"/>
          <w:color w:val="000000"/>
        </w:rPr>
        <w:t xml:space="preserve"> por siete días más para atender la solicitud de información.</w:t>
      </w:r>
    </w:p>
    <w:p w:rsidR="00035DB3" w:rsidRPr="00C51CE4" w:rsidRDefault="00035DB3">
      <w:pPr>
        <w:pBdr>
          <w:top w:val="nil"/>
          <w:left w:val="nil"/>
          <w:bottom w:val="nil"/>
          <w:right w:val="nil"/>
          <w:between w:val="nil"/>
        </w:pBdr>
        <w:tabs>
          <w:tab w:val="left" w:pos="0"/>
        </w:tabs>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pBdr>
          <w:top w:val="nil"/>
          <w:left w:val="nil"/>
          <w:bottom w:val="nil"/>
          <w:right w:val="nil"/>
          <w:between w:val="nil"/>
        </w:pBdr>
        <w:tabs>
          <w:tab w:val="left" w:pos="0"/>
        </w:tabs>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lastRenderedPageBreak/>
        <w:t>El</w:t>
      </w:r>
      <w:r w:rsidRPr="00C51CE4">
        <w:rPr>
          <w:rFonts w:ascii="Palatino Linotype" w:eastAsia="Palatino Linotype" w:hAnsi="Palatino Linotype" w:cs="Palatino Linotype"/>
          <w:b/>
          <w:bCs/>
          <w:color w:val="000000"/>
        </w:rPr>
        <w:t xml:space="preserve"> dieciséis de enero de dos mil veintiséis</w:t>
      </w:r>
      <w:r w:rsidRPr="00C51CE4">
        <w:rPr>
          <w:rFonts w:ascii="Palatino Linotype" w:eastAsia="Palatino Linotype" w:hAnsi="Palatino Linotype" w:cs="Palatino Linotype"/>
          <w:color w:val="000000"/>
        </w:rPr>
        <w:t>, el Sujeto Obligado</w:t>
      </w:r>
      <w:r w:rsidRPr="00C51CE4">
        <w:rPr>
          <w:rFonts w:ascii="Palatino Linotype" w:eastAsia="Palatino Linotype" w:hAnsi="Palatino Linotype" w:cs="Palatino Linotype"/>
          <w:b/>
          <w:bCs/>
          <w:color w:val="000000"/>
        </w:rPr>
        <w:t>,</w:t>
      </w:r>
      <w:r w:rsidRPr="00C51CE4">
        <w:rPr>
          <w:rFonts w:ascii="Palatino Linotype" w:eastAsia="Palatino Linotype" w:hAnsi="Palatino Linotype" w:cs="Palatino Linotype"/>
          <w:color w:val="000000"/>
        </w:rPr>
        <w:t xml:space="preserve"> dio </w:t>
      </w:r>
      <w:r w:rsidRPr="00C51CE4">
        <w:rPr>
          <w:rFonts w:ascii="Palatino Linotype" w:eastAsia="Palatino Linotype" w:hAnsi="Palatino Linotype" w:cs="Palatino Linotype"/>
          <w:b/>
          <w:bCs/>
          <w:color w:val="000000"/>
        </w:rPr>
        <w:t>respuesta</w:t>
      </w:r>
      <w:r w:rsidRPr="00C51CE4">
        <w:rPr>
          <w:rFonts w:ascii="Palatino Linotype" w:eastAsia="Palatino Linotype" w:hAnsi="Palatino Linotype" w:cs="Palatino Linotype"/>
          <w:color w:val="000000"/>
        </w:rPr>
        <w:t xml:space="preserve"> a través de los siguientes archivos electrónicos:</w:t>
      </w:r>
    </w:p>
    <w:p w:rsidR="00035DB3" w:rsidRPr="00C51CE4" w:rsidRDefault="00035DB3">
      <w:pPr>
        <w:pBdr>
          <w:top w:val="nil"/>
          <w:left w:val="nil"/>
          <w:bottom w:val="nil"/>
          <w:right w:val="nil"/>
          <w:between w:val="nil"/>
        </w:pBdr>
        <w:tabs>
          <w:tab w:val="left" w:pos="0"/>
        </w:tabs>
        <w:ind w:right="-574"/>
        <w:jc w:val="both"/>
        <w:rPr>
          <w:rFonts w:ascii="Palatino Linotype" w:eastAsia="Palatino Linotype" w:hAnsi="Palatino Linotype" w:cs="Palatino Linotype"/>
          <w:color w:val="000000"/>
        </w:rPr>
      </w:pPr>
    </w:p>
    <w:p w:rsidR="00035DB3" w:rsidRPr="00C51CE4" w:rsidRDefault="0084126B">
      <w:pPr>
        <w:pBdr>
          <w:top w:val="nil"/>
          <w:left w:val="nil"/>
          <w:bottom w:val="nil"/>
          <w:right w:val="nil"/>
          <w:between w:val="nil"/>
        </w:pBdr>
        <w:tabs>
          <w:tab w:val="left" w:pos="567"/>
        </w:tabs>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0270.pdf</w:t>
      </w:r>
    </w:p>
    <w:p w:rsidR="00035DB3" w:rsidRPr="00C51CE4" w:rsidRDefault="0084126B">
      <w:pPr>
        <w:pBdr>
          <w:top w:val="nil"/>
          <w:left w:val="nil"/>
          <w:bottom w:val="nil"/>
          <w:right w:val="nil"/>
          <w:between w:val="nil"/>
        </w:pBdr>
        <w:tabs>
          <w:tab w:val="left" w:pos="567"/>
        </w:tabs>
        <w:ind w:left="567" w:right="-574"/>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Oficio MCAP/TM/03/2026 de fecha 07 de enero de 2026, firmado por el </w:t>
      </w:r>
      <w:r w:rsidRPr="00C51CE4">
        <w:rPr>
          <w:rFonts w:ascii="Palatino Linotype" w:eastAsia="Palatino Linotype" w:hAnsi="Palatino Linotype" w:cs="Palatino Linotype"/>
          <w:b/>
          <w:bCs/>
        </w:rPr>
        <w:t>Tesorero Municipal</w:t>
      </w:r>
      <w:r w:rsidRPr="00C51CE4">
        <w:rPr>
          <w:rFonts w:ascii="Palatino Linotype" w:eastAsia="Palatino Linotype" w:hAnsi="Palatino Linotype" w:cs="Palatino Linotype"/>
        </w:rPr>
        <w:t xml:space="preserve">, a través del cual refiere que </w:t>
      </w:r>
      <w:r w:rsidRPr="00C51CE4">
        <w:rPr>
          <w:rFonts w:ascii="Palatino Linotype" w:eastAsia="Palatino Linotype" w:hAnsi="Palatino Linotype" w:cs="Palatino Linotype"/>
          <w:b/>
          <w:bCs/>
        </w:rPr>
        <w:t>no se cuenta con la categoría de "comisario", en la nómina de este Ayuntamiento</w:t>
      </w:r>
      <w:r w:rsidRPr="00C51CE4">
        <w:rPr>
          <w:rFonts w:ascii="Palatino Linotype" w:eastAsia="Palatino Linotype" w:hAnsi="Palatino Linotype" w:cs="Palatino Linotype"/>
        </w:rPr>
        <w:t>, por ende, no se cuenta con la información solicitada toda vez que es inexistente.</w:t>
      </w:r>
    </w:p>
    <w:p w:rsidR="00035DB3" w:rsidRPr="00C51CE4" w:rsidRDefault="00035DB3">
      <w:pPr>
        <w:pBdr>
          <w:top w:val="nil"/>
          <w:left w:val="nil"/>
          <w:bottom w:val="nil"/>
          <w:right w:val="nil"/>
          <w:between w:val="nil"/>
        </w:pBdr>
        <w:tabs>
          <w:tab w:val="left" w:pos="567"/>
        </w:tabs>
        <w:ind w:left="567" w:right="-574"/>
        <w:jc w:val="both"/>
        <w:rPr>
          <w:rFonts w:ascii="Palatino Linotype" w:eastAsia="Palatino Linotype" w:hAnsi="Palatino Linotype" w:cs="Palatino Linotype"/>
          <w:b/>
          <w:bCs/>
          <w:i/>
          <w:iCs/>
        </w:rPr>
      </w:pPr>
    </w:p>
    <w:p w:rsidR="00035DB3" w:rsidRPr="00C51CE4" w:rsidRDefault="0084126B">
      <w:pPr>
        <w:pBdr>
          <w:top w:val="nil"/>
          <w:left w:val="nil"/>
          <w:bottom w:val="nil"/>
          <w:right w:val="nil"/>
          <w:between w:val="nil"/>
        </w:pBdr>
        <w:tabs>
          <w:tab w:val="left" w:pos="567"/>
        </w:tabs>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SOLICITUD 00270.pdf</w:t>
      </w:r>
    </w:p>
    <w:p w:rsidR="00035DB3" w:rsidRPr="00C51CE4" w:rsidRDefault="0084126B">
      <w:pPr>
        <w:pBdr>
          <w:top w:val="nil"/>
          <w:left w:val="nil"/>
          <w:bottom w:val="nil"/>
          <w:right w:val="nil"/>
          <w:between w:val="nil"/>
        </w:pBdr>
        <w:tabs>
          <w:tab w:val="left" w:pos="567"/>
        </w:tabs>
        <w:ind w:left="567" w:right="-574"/>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Oficio MCAP/DA/003/2026 de fecha 12 de enero de 2026, firmado por el </w:t>
      </w:r>
      <w:r w:rsidRPr="00C51CE4">
        <w:rPr>
          <w:rFonts w:ascii="Palatino Linotype" w:eastAsia="Palatino Linotype" w:hAnsi="Palatino Linotype" w:cs="Palatino Linotype"/>
          <w:b/>
          <w:bCs/>
        </w:rPr>
        <w:t>Director de Administración</w:t>
      </w:r>
      <w:r w:rsidRPr="00C51CE4">
        <w:rPr>
          <w:rFonts w:ascii="Palatino Linotype" w:eastAsia="Palatino Linotype" w:hAnsi="Palatino Linotype" w:cs="Palatino Linotype"/>
        </w:rPr>
        <w:t xml:space="preserve"> a través del cual refiere que se realizó una búsqueda exhaustiva y razonable dentro de los archivos que obran en esa Dirección y sus áreas, sin embargo, </w:t>
      </w:r>
      <w:r w:rsidRPr="00C51CE4">
        <w:rPr>
          <w:rFonts w:ascii="Palatino Linotype" w:eastAsia="Palatino Linotype" w:hAnsi="Palatino Linotype" w:cs="Palatino Linotype"/>
          <w:b/>
          <w:bCs/>
        </w:rPr>
        <w:t>no se localizó antecedente sobre la información requerida</w:t>
      </w:r>
      <w:r w:rsidRPr="00C51CE4">
        <w:rPr>
          <w:rFonts w:ascii="Palatino Linotype" w:eastAsia="Palatino Linotype" w:hAnsi="Palatino Linotype" w:cs="Palatino Linotype"/>
        </w:rPr>
        <w:t>.</w:t>
      </w:r>
    </w:p>
    <w:p w:rsidR="00035DB3" w:rsidRPr="00C51CE4" w:rsidRDefault="00035DB3">
      <w:pPr>
        <w:pBdr>
          <w:top w:val="nil"/>
          <w:left w:val="nil"/>
          <w:bottom w:val="nil"/>
          <w:right w:val="nil"/>
          <w:between w:val="nil"/>
        </w:pBdr>
        <w:tabs>
          <w:tab w:val="left" w:pos="567"/>
        </w:tabs>
        <w:ind w:right="-574"/>
        <w:jc w:val="both"/>
        <w:rPr>
          <w:rFonts w:ascii="Palatino Linotype" w:eastAsia="Palatino Linotype" w:hAnsi="Palatino Linotype" w:cs="Palatino Linotype"/>
          <w:b/>
          <w:bCs/>
        </w:rPr>
      </w:pPr>
    </w:p>
    <w:p w:rsidR="00035DB3" w:rsidRPr="00C51CE4" w:rsidRDefault="00035DB3">
      <w:pPr>
        <w:pBdr>
          <w:top w:val="nil"/>
          <w:left w:val="nil"/>
          <w:bottom w:val="nil"/>
          <w:right w:val="nil"/>
          <w:between w:val="nil"/>
        </w:pBdr>
        <w:tabs>
          <w:tab w:val="left" w:pos="567"/>
        </w:tabs>
        <w:ind w:right="-574"/>
        <w:jc w:val="both"/>
        <w:rPr>
          <w:rFonts w:ascii="Palatino Linotype" w:eastAsia="Palatino Linotype" w:hAnsi="Palatino Linotype" w:cs="Palatino Linotype"/>
          <w:b/>
          <w:bCs/>
        </w:rPr>
      </w:pPr>
    </w:p>
    <w:p w:rsidR="00035DB3" w:rsidRPr="00C51CE4" w:rsidRDefault="0084126B">
      <w:pPr>
        <w:numPr>
          <w:ilvl w:val="0"/>
          <w:numId w:val="6"/>
        </w:numPr>
        <w:pBdr>
          <w:top w:val="nil"/>
          <w:left w:val="nil"/>
          <w:bottom w:val="nil"/>
          <w:right w:val="nil"/>
          <w:between w:val="nil"/>
        </w:pBdr>
        <w:tabs>
          <w:tab w:val="left" w:pos="0"/>
        </w:tabs>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El</w:t>
      </w:r>
      <w:r w:rsidRPr="00C51CE4">
        <w:rPr>
          <w:rFonts w:ascii="Palatino Linotype" w:eastAsia="Palatino Linotype" w:hAnsi="Palatino Linotype" w:cs="Palatino Linotype"/>
          <w:b/>
          <w:bCs/>
          <w:color w:val="000000"/>
        </w:rPr>
        <w:t xml:space="preserve"> diecinueve de enero de dos mil veintiséis</w:t>
      </w:r>
      <w:r w:rsidRPr="00C51CE4">
        <w:rPr>
          <w:rFonts w:ascii="Palatino Linotype" w:eastAsia="Palatino Linotype" w:hAnsi="Palatino Linotype" w:cs="Palatino Linotype"/>
          <w:color w:val="000000"/>
        </w:rPr>
        <w:t xml:space="preserve">, el particular interpuso el </w:t>
      </w:r>
      <w:r w:rsidRPr="00C51CE4">
        <w:rPr>
          <w:rFonts w:ascii="Palatino Linotype" w:eastAsia="Palatino Linotype" w:hAnsi="Palatino Linotype" w:cs="Palatino Linotype"/>
          <w:b/>
          <w:bCs/>
          <w:color w:val="000000"/>
        </w:rPr>
        <w:t>recurso de revisión</w:t>
      </w:r>
      <w:r w:rsidRPr="00C51CE4">
        <w:rPr>
          <w:rFonts w:ascii="Palatino Linotype" w:eastAsia="Palatino Linotype" w:hAnsi="Palatino Linotype" w:cs="Palatino Linotype"/>
          <w:color w:val="000000"/>
        </w:rPr>
        <w:t xml:space="preserve"> al que se le asignó el folio </w:t>
      </w:r>
      <w:r w:rsidRPr="00C51CE4">
        <w:rPr>
          <w:rFonts w:ascii="Palatino Linotype" w:eastAsia="Palatino Linotype" w:hAnsi="Palatino Linotype" w:cs="Palatino Linotype"/>
          <w:b/>
          <w:bCs/>
          <w:color w:val="000000"/>
        </w:rPr>
        <w:t xml:space="preserve">00728/INFOEM/IP/RR/2026 </w:t>
      </w:r>
      <w:r w:rsidRPr="00C51CE4">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035DB3" w:rsidRPr="00C51CE4" w:rsidRDefault="00035DB3">
      <w:pPr>
        <w:pBdr>
          <w:top w:val="nil"/>
          <w:left w:val="nil"/>
          <w:bottom w:val="nil"/>
          <w:right w:val="nil"/>
          <w:between w:val="nil"/>
        </w:pBdr>
        <w:tabs>
          <w:tab w:val="left" w:pos="0"/>
        </w:tabs>
        <w:ind w:left="357" w:right="-574"/>
        <w:jc w:val="both"/>
        <w:rPr>
          <w:rFonts w:ascii="Palatino Linotype" w:eastAsia="Palatino Linotype" w:hAnsi="Palatino Linotype" w:cs="Palatino Linotype"/>
          <w:color w:val="000000"/>
        </w:rPr>
      </w:pPr>
    </w:p>
    <w:p w:rsidR="00035DB3" w:rsidRPr="00C51CE4" w:rsidRDefault="0084126B">
      <w:pPr>
        <w:pBdr>
          <w:top w:val="nil"/>
          <w:left w:val="nil"/>
          <w:bottom w:val="nil"/>
          <w:right w:val="nil"/>
          <w:between w:val="nil"/>
        </w:pBdr>
        <w:ind w:left="567" w:right="-574"/>
        <w:jc w:val="both"/>
        <w:rPr>
          <w:rFonts w:ascii="Palatino Linotype" w:eastAsia="Palatino Linotype" w:hAnsi="Palatino Linotype" w:cs="Palatino Linotype"/>
          <w:b/>
          <w:bCs/>
          <w:color w:val="000000"/>
        </w:rPr>
      </w:pPr>
      <w:bookmarkStart w:id="2" w:name="_heading=h.30j0zll" w:colFirst="0" w:colLast="0"/>
      <w:bookmarkEnd w:id="2"/>
      <w:r w:rsidRPr="00C51CE4">
        <w:rPr>
          <w:rFonts w:ascii="Palatino Linotype" w:eastAsia="Palatino Linotype" w:hAnsi="Palatino Linotype" w:cs="Palatino Linotype"/>
          <w:b/>
          <w:bCs/>
          <w:color w:val="000000"/>
        </w:rPr>
        <w:t xml:space="preserve">Acto impugnado: </w:t>
      </w:r>
    </w:p>
    <w:p w:rsidR="00035DB3" w:rsidRPr="00C51CE4" w:rsidRDefault="0084126B">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“la negativa de la informacion” (Sic)</w:t>
      </w:r>
    </w:p>
    <w:p w:rsidR="00035DB3" w:rsidRPr="00C51CE4" w:rsidRDefault="00035DB3">
      <w:pPr>
        <w:pBdr>
          <w:top w:val="nil"/>
          <w:left w:val="nil"/>
          <w:bottom w:val="nil"/>
          <w:right w:val="nil"/>
          <w:between w:val="nil"/>
        </w:pBdr>
        <w:ind w:left="567" w:right="-574"/>
        <w:jc w:val="both"/>
        <w:rPr>
          <w:rFonts w:ascii="Palatino Linotype" w:eastAsia="Palatino Linotype" w:hAnsi="Palatino Linotype" w:cs="Palatino Linotype"/>
          <w:i/>
          <w:iCs/>
          <w:color w:val="000000"/>
        </w:rPr>
      </w:pPr>
    </w:p>
    <w:p w:rsidR="00035DB3" w:rsidRPr="00C51CE4" w:rsidRDefault="0084126B">
      <w:pPr>
        <w:pBdr>
          <w:top w:val="nil"/>
          <w:left w:val="nil"/>
          <w:bottom w:val="nil"/>
          <w:right w:val="nil"/>
          <w:between w:val="nil"/>
        </w:pBdr>
        <w:ind w:left="567" w:right="-574"/>
        <w:jc w:val="both"/>
        <w:rPr>
          <w:rFonts w:ascii="Palatino Linotype" w:eastAsia="Palatino Linotype" w:hAnsi="Palatino Linotype" w:cs="Palatino Linotype"/>
          <w:b/>
          <w:bCs/>
          <w:color w:val="000000"/>
        </w:rPr>
      </w:pPr>
      <w:bookmarkStart w:id="3" w:name="_heading=h.1fob9te" w:colFirst="0" w:colLast="0"/>
      <w:bookmarkEnd w:id="3"/>
      <w:r w:rsidRPr="00C51CE4">
        <w:rPr>
          <w:rFonts w:ascii="Palatino Linotype" w:eastAsia="Palatino Linotype" w:hAnsi="Palatino Linotype" w:cs="Palatino Linotype"/>
          <w:b/>
          <w:bCs/>
          <w:color w:val="000000"/>
        </w:rPr>
        <w:t xml:space="preserve">Razones o Motivos de inconformidad: </w:t>
      </w:r>
    </w:p>
    <w:p w:rsidR="00035DB3" w:rsidRPr="00C51CE4" w:rsidRDefault="0084126B">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“la negativa de la informacion” (Sic)</w:t>
      </w:r>
    </w:p>
    <w:p w:rsidR="00035DB3" w:rsidRPr="00C51CE4" w:rsidRDefault="00035DB3">
      <w:pPr>
        <w:pBdr>
          <w:top w:val="nil"/>
          <w:left w:val="nil"/>
          <w:bottom w:val="nil"/>
          <w:right w:val="nil"/>
          <w:between w:val="nil"/>
        </w:pBdr>
        <w:tabs>
          <w:tab w:val="left" w:pos="0"/>
        </w:tabs>
        <w:spacing w:line="360" w:lineRule="auto"/>
        <w:ind w:right="-574"/>
        <w:jc w:val="both"/>
        <w:rPr>
          <w:rFonts w:ascii="Palatino Linotype" w:eastAsia="Palatino Linotype" w:hAnsi="Palatino Linotype" w:cs="Palatino Linotype"/>
          <w:i/>
          <w:iCs/>
          <w:color w:val="000000"/>
          <w:u w:val="single"/>
        </w:rPr>
      </w:pPr>
    </w:p>
    <w:p w:rsidR="00035DB3" w:rsidRPr="00C51CE4" w:rsidRDefault="0084126B">
      <w:pPr>
        <w:numPr>
          <w:ilvl w:val="0"/>
          <w:numId w:val="6"/>
        </w:numPr>
        <w:pBdr>
          <w:top w:val="nil"/>
          <w:left w:val="nil"/>
          <w:bottom w:val="nil"/>
          <w:right w:val="nil"/>
          <w:between w:val="nil"/>
        </w:pBdr>
        <w:tabs>
          <w:tab w:val="left" w:pos="0"/>
        </w:tabs>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C51CE4">
        <w:rPr>
          <w:rFonts w:ascii="Palatino Linotype" w:eastAsia="Palatino Linotype" w:hAnsi="Palatino Linotype" w:cs="Palatino Linotype"/>
          <w:b/>
          <w:bCs/>
          <w:color w:val="000000"/>
        </w:rPr>
        <w:t xml:space="preserve">acuerdo de admisión </w:t>
      </w:r>
      <w:r w:rsidRPr="00C51CE4">
        <w:rPr>
          <w:rFonts w:ascii="Palatino Linotype" w:eastAsia="Palatino Linotype" w:hAnsi="Palatino Linotype" w:cs="Palatino Linotype"/>
          <w:color w:val="000000"/>
        </w:rPr>
        <w:t xml:space="preserve">de fecha </w:t>
      </w:r>
      <w:r w:rsidRPr="00C51CE4">
        <w:rPr>
          <w:rFonts w:ascii="Palatino Linotype" w:eastAsia="Palatino Linotype" w:hAnsi="Palatino Linotype" w:cs="Palatino Linotype"/>
          <w:b/>
          <w:bCs/>
          <w:color w:val="000000"/>
        </w:rPr>
        <w:t xml:space="preserve">veintidós de enero de dos mil veintiséis, </w:t>
      </w:r>
      <w:r w:rsidRPr="00C51CE4">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C51CE4">
        <w:rPr>
          <w:rFonts w:ascii="Palatino Linotype" w:eastAsia="Palatino Linotype" w:hAnsi="Palatino Linotype" w:cs="Palatino Linotype"/>
        </w:rPr>
        <w:t>manifestara</w:t>
      </w:r>
      <w:r w:rsidRPr="00C51CE4">
        <w:rPr>
          <w:rFonts w:ascii="Palatino Linotype" w:eastAsia="Palatino Linotype" w:hAnsi="Palatino Linotype" w:cs="Palatino Linotype"/>
          <w:color w:val="000000"/>
        </w:rPr>
        <w:t xml:space="preserve"> lo que a su derecho conviniera, </w:t>
      </w:r>
      <w:r w:rsidRPr="00C51CE4">
        <w:rPr>
          <w:rFonts w:ascii="Palatino Linotype" w:eastAsia="Palatino Linotype" w:hAnsi="Palatino Linotype" w:cs="Palatino Linotype"/>
        </w:rPr>
        <w:lastRenderedPageBreak/>
        <w:t>ofreciera</w:t>
      </w:r>
      <w:r w:rsidRPr="00C51CE4">
        <w:rPr>
          <w:rFonts w:ascii="Palatino Linotype" w:eastAsia="Palatino Linotype" w:hAnsi="Palatino Linotype" w:cs="Palatino Linotype"/>
          <w:color w:val="000000"/>
        </w:rPr>
        <w:t xml:space="preserve"> pruebas y alegatos según corresponda al caso concreto, de esta forma para que el </w:t>
      </w:r>
      <w:r w:rsidRPr="00C51CE4">
        <w:rPr>
          <w:rFonts w:ascii="Palatino Linotype" w:eastAsia="Palatino Linotype" w:hAnsi="Palatino Linotype" w:cs="Palatino Linotype"/>
          <w:b/>
          <w:bCs/>
          <w:color w:val="000000"/>
        </w:rPr>
        <w:t xml:space="preserve">SUJETO OBLIGADO </w:t>
      </w:r>
      <w:r w:rsidRPr="00C51CE4">
        <w:rPr>
          <w:rFonts w:ascii="Palatino Linotype" w:eastAsia="Palatino Linotype" w:hAnsi="Palatino Linotype" w:cs="Palatino Linotype"/>
        </w:rPr>
        <w:t>presentara</w:t>
      </w:r>
      <w:r w:rsidRPr="00C51CE4">
        <w:rPr>
          <w:rFonts w:ascii="Palatino Linotype" w:eastAsia="Palatino Linotype" w:hAnsi="Palatino Linotype" w:cs="Palatino Linotype"/>
          <w:color w:val="000000"/>
        </w:rPr>
        <w:t xml:space="preserve"> el Informe Justificado procedente.</w:t>
      </w:r>
    </w:p>
    <w:p w:rsidR="00035DB3" w:rsidRPr="00C51CE4" w:rsidRDefault="00035DB3">
      <w:pPr>
        <w:pBdr>
          <w:top w:val="nil"/>
          <w:left w:val="nil"/>
          <w:bottom w:val="nil"/>
          <w:right w:val="nil"/>
          <w:between w:val="nil"/>
        </w:pBdr>
        <w:tabs>
          <w:tab w:val="left" w:pos="0"/>
        </w:tabs>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pBdr>
          <w:top w:val="nil"/>
          <w:left w:val="nil"/>
          <w:bottom w:val="nil"/>
          <w:right w:val="nil"/>
          <w:between w:val="nil"/>
        </w:pBd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El Recurrente</w:t>
      </w:r>
      <w:r w:rsidRPr="00C51CE4">
        <w:rPr>
          <w:rFonts w:ascii="Palatino Linotype" w:eastAsia="Palatino Linotype" w:hAnsi="Palatino Linotype" w:cs="Palatino Linotype"/>
          <w:b/>
          <w:bCs/>
          <w:color w:val="000000"/>
        </w:rPr>
        <w:t xml:space="preserve"> </w:t>
      </w:r>
      <w:r w:rsidRPr="00C51CE4">
        <w:rPr>
          <w:rFonts w:ascii="Palatino Linotype" w:eastAsia="Palatino Linotype" w:hAnsi="Palatino Linotype" w:cs="Palatino Linotype"/>
          <w:color w:val="000000"/>
        </w:rPr>
        <w:t>dejó de realizar manifestaciones que a su derecho conviniera y asistiera. Por su parte, el Sujeto Obligado,</w:t>
      </w:r>
      <w:r w:rsidRPr="00C51CE4">
        <w:rPr>
          <w:rFonts w:ascii="Palatino Linotype" w:eastAsia="Palatino Linotype" w:hAnsi="Palatino Linotype" w:cs="Palatino Linotype"/>
          <w:b/>
          <w:bCs/>
          <w:color w:val="000000"/>
        </w:rPr>
        <w:t xml:space="preserve"> </w:t>
      </w:r>
      <w:r w:rsidRPr="00C51CE4">
        <w:rPr>
          <w:rFonts w:ascii="Palatino Linotype" w:eastAsia="Palatino Linotype" w:hAnsi="Palatino Linotype" w:cs="Palatino Linotype"/>
          <w:color w:val="000000"/>
        </w:rPr>
        <w:t xml:space="preserve">en fecha </w:t>
      </w:r>
      <w:r w:rsidRPr="00C51CE4">
        <w:rPr>
          <w:rFonts w:ascii="Palatino Linotype" w:eastAsia="Palatino Linotype" w:hAnsi="Palatino Linotype" w:cs="Palatino Linotype"/>
          <w:b/>
          <w:bCs/>
          <w:color w:val="000000"/>
        </w:rPr>
        <w:t xml:space="preserve">veinte de enero de dos mil veintiséis,  </w:t>
      </w:r>
      <w:r w:rsidRPr="00C51CE4">
        <w:rPr>
          <w:rFonts w:ascii="Palatino Linotype" w:eastAsia="Palatino Linotype" w:hAnsi="Palatino Linotype" w:cs="Palatino Linotype"/>
          <w:color w:val="000000"/>
        </w:rPr>
        <w:t xml:space="preserve">presentó </w:t>
      </w:r>
      <w:r w:rsidRPr="00C51CE4">
        <w:rPr>
          <w:rFonts w:ascii="Palatino Linotype" w:eastAsia="Palatino Linotype" w:hAnsi="Palatino Linotype" w:cs="Palatino Linotype"/>
          <w:b/>
          <w:bCs/>
          <w:color w:val="000000"/>
        </w:rPr>
        <w:t>informe justificado</w:t>
      </w:r>
      <w:r w:rsidRPr="00C51CE4">
        <w:rPr>
          <w:rFonts w:ascii="Palatino Linotype" w:eastAsia="Palatino Linotype" w:hAnsi="Palatino Linotype" w:cs="Palatino Linotype"/>
          <w:color w:val="000000"/>
        </w:rPr>
        <w:t xml:space="preserve"> a través de los archivos siguientes:</w:t>
      </w:r>
    </w:p>
    <w:p w:rsidR="00035DB3" w:rsidRPr="00C51CE4" w:rsidRDefault="00035DB3">
      <w:pPr>
        <w:pBdr>
          <w:top w:val="nil"/>
          <w:left w:val="nil"/>
          <w:bottom w:val="nil"/>
          <w:right w:val="nil"/>
          <w:between w:val="nil"/>
        </w:pBdr>
        <w:ind w:left="426" w:right="-574"/>
        <w:jc w:val="both"/>
        <w:rPr>
          <w:rFonts w:ascii="Palatino Linotype" w:eastAsia="Palatino Linotype" w:hAnsi="Palatino Linotype" w:cs="Palatino Linotype"/>
          <w:b/>
          <w:bCs/>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r w:rsidRPr="00C51CE4">
        <w:rPr>
          <w:rFonts w:ascii="Palatino Linotype" w:eastAsia="Palatino Linotype" w:hAnsi="Palatino Linotype" w:cs="Palatino Linotype"/>
          <w:b/>
          <w:bCs/>
          <w:i/>
          <w:iCs/>
          <w:color w:val="000000"/>
        </w:rPr>
        <w:tab/>
        <w:t>ACUSE DE MANIFESTACIONES 728_TESORERIA.pdf</w:t>
      </w: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Oficio UT/CAP/038/2026 de fecha 23 de enero de 2026, firmado por la Titular de la Unidad de Transparencia, dirigido al </w:t>
      </w:r>
      <w:r w:rsidRPr="00C51CE4">
        <w:rPr>
          <w:rFonts w:ascii="Palatino Linotype" w:eastAsia="Palatino Linotype" w:hAnsi="Palatino Linotype" w:cs="Palatino Linotype"/>
          <w:b/>
          <w:bCs/>
          <w:color w:val="000000"/>
        </w:rPr>
        <w:t>Tesorero Municipal</w:t>
      </w:r>
      <w:r w:rsidRPr="00C51CE4">
        <w:rPr>
          <w:rFonts w:ascii="Palatino Linotype" w:eastAsia="Palatino Linotype" w:hAnsi="Palatino Linotype" w:cs="Palatino Linotype"/>
          <w:color w:val="000000"/>
        </w:rPr>
        <w:t xml:space="preserve"> a través del cual hace del conocimiento de la interposición del recurso de revisión y le solicita rendir la información pertinente.</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r w:rsidRPr="00C51CE4">
        <w:rPr>
          <w:rFonts w:ascii="Palatino Linotype" w:eastAsia="Palatino Linotype" w:hAnsi="Palatino Linotype" w:cs="Palatino Linotype"/>
          <w:b/>
          <w:bCs/>
          <w:i/>
          <w:iCs/>
          <w:color w:val="000000"/>
        </w:rPr>
        <w:t>ACUSE DE MANIFESTACIONES RR 728_ADMINISTRACIÓN.pdf</w:t>
      </w: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Oficio UT/CAP/036/2026 de fecha 23 de enero de 2026, firmado por la Titular de la Unidad de Transparencia, dirigido al </w:t>
      </w:r>
      <w:r w:rsidRPr="00C51CE4">
        <w:rPr>
          <w:rFonts w:ascii="Palatino Linotype" w:eastAsia="Palatino Linotype" w:hAnsi="Palatino Linotype" w:cs="Palatino Linotype"/>
          <w:b/>
          <w:bCs/>
          <w:color w:val="000000"/>
        </w:rPr>
        <w:t>Director de Administración</w:t>
      </w:r>
      <w:r w:rsidRPr="00C51CE4">
        <w:rPr>
          <w:rFonts w:ascii="Palatino Linotype" w:eastAsia="Palatino Linotype" w:hAnsi="Palatino Linotype" w:cs="Palatino Linotype"/>
          <w:color w:val="000000"/>
        </w:rPr>
        <w:t xml:space="preserve"> a través del cual hace del conocimiento de la interposición del recurso de revisión y le solicita rendir la información pertinente.</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r w:rsidRPr="00C51CE4">
        <w:rPr>
          <w:rFonts w:ascii="Palatino Linotype" w:eastAsia="Palatino Linotype" w:hAnsi="Palatino Linotype" w:cs="Palatino Linotype"/>
          <w:b/>
          <w:bCs/>
          <w:i/>
          <w:iCs/>
          <w:color w:val="000000"/>
        </w:rPr>
        <w:t>RESPUESTA AL MANIFESTACIONES RR 728_TESORERIA.pdf</w:t>
      </w: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Oficio MCAP/TM/74/2026 de fecha 27 de enero de 2026, firmado por el </w:t>
      </w:r>
      <w:r w:rsidRPr="00C51CE4">
        <w:rPr>
          <w:rFonts w:ascii="Palatino Linotype" w:eastAsia="Palatino Linotype" w:hAnsi="Palatino Linotype" w:cs="Palatino Linotype"/>
          <w:b/>
          <w:bCs/>
          <w:color w:val="000000"/>
        </w:rPr>
        <w:t>Tesorero Municipal</w:t>
      </w:r>
      <w:r w:rsidRPr="00C51CE4">
        <w:rPr>
          <w:rFonts w:ascii="Palatino Linotype" w:eastAsia="Palatino Linotype" w:hAnsi="Palatino Linotype" w:cs="Palatino Linotype"/>
          <w:color w:val="000000"/>
        </w:rPr>
        <w:t xml:space="preserve">, a través del cual </w:t>
      </w:r>
      <w:r w:rsidRPr="00C51CE4">
        <w:rPr>
          <w:rFonts w:ascii="Palatino Linotype" w:eastAsia="Palatino Linotype" w:hAnsi="Palatino Linotype" w:cs="Palatino Linotype"/>
          <w:b/>
          <w:bCs/>
          <w:color w:val="000000"/>
        </w:rPr>
        <w:t>ratifica</w:t>
      </w:r>
      <w:r w:rsidRPr="00C51CE4">
        <w:rPr>
          <w:rFonts w:ascii="Palatino Linotype" w:eastAsia="Palatino Linotype" w:hAnsi="Palatino Linotype" w:cs="Palatino Linotype"/>
          <w:color w:val="000000"/>
        </w:rPr>
        <w:t xml:space="preserve"> su respuesta inicial, señalando que a esa unidad administrativa le corresponde  la información relativa a la nómina; no obstante, </w:t>
      </w:r>
      <w:r w:rsidRPr="00C51CE4">
        <w:rPr>
          <w:rFonts w:ascii="Palatino Linotype" w:eastAsia="Palatino Linotype" w:hAnsi="Palatino Linotype" w:cs="Palatino Linotype"/>
          <w:b/>
          <w:bCs/>
          <w:color w:val="000000"/>
        </w:rPr>
        <w:t>no hay nómina con la categoría de comisario</w:t>
      </w:r>
      <w:r w:rsidRPr="00C51CE4">
        <w:rPr>
          <w:rFonts w:ascii="Palatino Linotype" w:eastAsia="Palatino Linotype" w:hAnsi="Palatino Linotype" w:cs="Palatino Linotype"/>
          <w:color w:val="000000"/>
        </w:rPr>
        <w:t>, por ende dicha información es inexistente.</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r w:rsidRPr="00C51CE4">
        <w:rPr>
          <w:rFonts w:ascii="Palatino Linotype" w:eastAsia="Palatino Linotype" w:hAnsi="Palatino Linotype" w:cs="Palatino Linotype"/>
          <w:b/>
          <w:bCs/>
          <w:i/>
          <w:iCs/>
          <w:color w:val="000000"/>
        </w:rPr>
        <w:tab/>
        <w:t>ACUSE DE MANIFESTACIONES 728_SEGURIDAD PÚBLICA.pdf</w:t>
      </w: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Oficio UT/CAP/037/2026 de fecha 23 de enero de 2026, firmado por la Titular de la Unidad de Transparencia, dirigido al </w:t>
      </w:r>
      <w:r w:rsidRPr="00C51CE4">
        <w:rPr>
          <w:rFonts w:ascii="Palatino Linotype" w:eastAsia="Palatino Linotype" w:hAnsi="Palatino Linotype" w:cs="Palatino Linotype"/>
          <w:b/>
          <w:bCs/>
          <w:color w:val="000000"/>
        </w:rPr>
        <w:t>Director de Seguridad Pública</w:t>
      </w:r>
      <w:r w:rsidRPr="00C51CE4">
        <w:rPr>
          <w:rFonts w:ascii="Palatino Linotype" w:eastAsia="Palatino Linotype" w:hAnsi="Palatino Linotype" w:cs="Palatino Linotype"/>
          <w:color w:val="000000"/>
        </w:rPr>
        <w:t xml:space="preserve"> a través del cual hace del conocimiento de la interposición del recurso de revisión y le solicita rendir la información pertinente.</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r w:rsidRPr="00C51CE4">
        <w:rPr>
          <w:rFonts w:ascii="Palatino Linotype" w:eastAsia="Palatino Linotype" w:hAnsi="Palatino Linotype" w:cs="Palatino Linotype"/>
          <w:b/>
          <w:bCs/>
          <w:i/>
          <w:iCs/>
          <w:color w:val="000000"/>
        </w:rPr>
        <w:t>RESPUESTA AL MANIFESTACIONES RR 728_SEGURIDAD PÚBLICA.pdf</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 Oficio MCAP/DSPC/104/2026 de fecha 28 de enero de 2026, firmado por el </w:t>
      </w:r>
      <w:r w:rsidRPr="00C51CE4">
        <w:rPr>
          <w:rFonts w:ascii="Palatino Linotype" w:eastAsia="Palatino Linotype" w:hAnsi="Palatino Linotype" w:cs="Palatino Linotype"/>
          <w:b/>
          <w:bCs/>
          <w:color w:val="000000"/>
        </w:rPr>
        <w:t>Director de Seguridad Pública Municipal</w:t>
      </w:r>
      <w:r w:rsidRPr="00C51CE4">
        <w:rPr>
          <w:rFonts w:ascii="Palatino Linotype" w:eastAsia="Palatino Linotype" w:hAnsi="Palatino Linotype" w:cs="Palatino Linotype"/>
          <w:color w:val="000000"/>
        </w:rPr>
        <w:t>, a través del cual manifiesta remitir la información siguiente:</w:t>
      </w: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ANEXO UNO.- Proyecto de Clasificación de Información Confidencial de forma parcial de acuerdo con la Solicitud de Información 00270/CAPULHUA/IP/2025. </w:t>
      </w: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ANEXO DOS.-Acta de la Primer Sesión Extraordinaria Del Comité de Transparencia del Ayuntamiento de Capulhuac, Estado de México.</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 Oficio MCAP/DSPC/101/2025 de fecha 28 de enero de 2025, firmado por el </w:t>
      </w:r>
      <w:r w:rsidRPr="00C51CE4">
        <w:rPr>
          <w:rFonts w:ascii="Palatino Linotype" w:eastAsia="Palatino Linotype" w:hAnsi="Palatino Linotype" w:cs="Palatino Linotype"/>
          <w:b/>
          <w:bCs/>
          <w:color w:val="000000"/>
        </w:rPr>
        <w:t>Director de Seguridad Pública Municipal</w:t>
      </w:r>
      <w:r w:rsidRPr="00C51CE4">
        <w:rPr>
          <w:rFonts w:ascii="Palatino Linotype" w:eastAsia="Palatino Linotype" w:hAnsi="Palatino Linotype" w:cs="Palatino Linotype"/>
          <w:color w:val="000000"/>
        </w:rPr>
        <w:t>, a través del cual solicita al Titular de la Unidad de Transparencia someter a consideración del Comité de Transparencia:</w:t>
      </w:r>
    </w:p>
    <w:p w:rsidR="00035DB3" w:rsidRPr="00C51CE4" w:rsidRDefault="0084126B">
      <w:pPr>
        <w:pBdr>
          <w:top w:val="nil"/>
          <w:left w:val="nil"/>
          <w:bottom w:val="nil"/>
          <w:right w:val="nil"/>
          <w:between w:val="nil"/>
        </w:pBdr>
        <w:ind w:left="709" w:right="-149"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1.- La clasificación como confidencial de forma parcial; según cuadro de clasificación número 1.</w:t>
      </w:r>
    </w:p>
    <w:p w:rsidR="00035DB3" w:rsidRPr="00C51CE4" w:rsidRDefault="0084126B">
      <w:pPr>
        <w:pBdr>
          <w:top w:val="nil"/>
          <w:left w:val="nil"/>
          <w:bottom w:val="nil"/>
          <w:right w:val="nil"/>
          <w:between w:val="nil"/>
        </w:pBdr>
        <w:ind w:left="709" w:right="-149"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2.- La clasificación como confidencial de forma parcial; según cuadro de clasificación número 2.</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Cuadro de clasificación número 1.</w:t>
      </w: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Se requiere clasificar como confidencial de forma parcial los siguientes datos personales contenidos en los certificados de competencia laboral: CREDENCIALES DE PORTACIÓN DE ARMA DE FUEGO (Datos personales, Fotografía del elemento policial y Características de Armamento)</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Cuadro de clasificación número 2.</w:t>
      </w: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Se requiere clasificar como confidencial de forma parcial los siguientes datos personales contenidos en los certificados de competencia laboral: RESULTADO DE EXAMEN DE </w:t>
      </w:r>
      <w:r w:rsidRPr="00C51CE4">
        <w:rPr>
          <w:rFonts w:ascii="Palatino Linotype" w:eastAsia="Palatino Linotype" w:hAnsi="Palatino Linotype" w:cs="Palatino Linotype"/>
        </w:rPr>
        <w:t>CONTROL Y</w:t>
      </w:r>
      <w:r w:rsidRPr="00C51CE4">
        <w:rPr>
          <w:rFonts w:ascii="Palatino Linotype" w:eastAsia="Palatino Linotype" w:hAnsi="Palatino Linotype" w:cs="Palatino Linotype"/>
          <w:color w:val="000000"/>
        </w:rPr>
        <w:t xml:space="preserve"> CONFIANZA (Datos Personales y el resultado)</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Acta de la Primera Sesión Extraordinaria del Comité de Transparencia, advirtiéndose diversos acuerdos, entre ellos de interés para el presente medio de impugnación los siguientes:</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Punto 5 del orden del día se emite el ACUERDO: ACT/01SESIÓNEXTR/03/ENERO/2026, aprobado por unanimidad en el que advierte el cuadro de clasificación respecto de información confidencial de CREDENCIALES DE PORTACIÓN DE ARMA DE FUEGO (Datos personales. Fotografía del elemento </w:t>
      </w:r>
      <w:r w:rsidRPr="00C51CE4">
        <w:rPr>
          <w:rFonts w:ascii="Palatino Linotype" w:eastAsia="Palatino Linotype" w:hAnsi="Palatino Linotype" w:cs="Palatino Linotype"/>
          <w:color w:val="000000"/>
        </w:rPr>
        <w:lastRenderedPageBreak/>
        <w:t>policial y Características de Armamento) Por contener datos personales concernientes, lo cual hace a la persona identificada o identificable, para dar atención a la solicitud de información, aprobándose la clasificación de información como confidencial de forma parcial.</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Punto 8 del orden del día se emite el ACUERDO: ACT/01SESIÓNEXTR/06/ENERO/2026, aprobado por unanimidad en el que advierte el cuadro de clasificación respecto de información confidencial de RESULTADO DE EXAMEN DE CONTROL Y CONFIANZA (Datos Personales y el resultado) Por contener datos personales concernientes, lo cual hace a la persona identificada о identificable, para dar atención a la solicitud de información 00270/CAPULHUA/ЛР/2025, aprobándose la clasificación de información como confidencial de forma parcial. </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b/>
          <w:bCs/>
          <w:i/>
          <w:iCs/>
          <w:color w:val="000000"/>
        </w:rPr>
      </w:pPr>
      <w:r w:rsidRPr="00C51CE4">
        <w:rPr>
          <w:rFonts w:ascii="Palatino Linotype" w:eastAsia="Palatino Linotype" w:hAnsi="Palatino Linotype" w:cs="Palatino Linotype"/>
          <w:b/>
          <w:bCs/>
          <w:i/>
          <w:iCs/>
          <w:color w:val="000000"/>
        </w:rPr>
        <w:t>RESPUESTA AL MANIFESTACIONES RR 728_ADMINISTRACIÓN.pdf</w:t>
      </w:r>
    </w:p>
    <w:p w:rsidR="00035DB3" w:rsidRPr="00C51CE4" w:rsidRDefault="0084126B">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Número de Oficio: МCAP/DA//031/2026 de fecha 27 de enero de 2026, firmado por el </w:t>
      </w:r>
      <w:r w:rsidRPr="00C51CE4">
        <w:rPr>
          <w:rFonts w:ascii="Palatino Linotype" w:eastAsia="Palatino Linotype" w:hAnsi="Palatino Linotype" w:cs="Palatino Linotype"/>
          <w:b/>
          <w:bCs/>
          <w:color w:val="000000"/>
        </w:rPr>
        <w:t>Director de Administración</w:t>
      </w:r>
      <w:r w:rsidRPr="00C51CE4">
        <w:rPr>
          <w:rFonts w:ascii="Palatino Linotype" w:eastAsia="Palatino Linotype" w:hAnsi="Palatino Linotype" w:cs="Palatino Linotype"/>
          <w:color w:val="000000"/>
        </w:rPr>
        <w:t xml:space="preserve"> a través del cual </w:t>
      </w:r>
      <w:r w:rsidRPr="00C51CE4">
        <w:rPr>
          <w:rFonts w:ascii="Palatino Linotype" w:eastAsia="Palatino Linotype" w:hAnsi="Palatino Linotype" w:cs="Palatino Linotype"/>
          <w:b/>
          <w:bCs/>
          <w:color w:val="000000"/>
        </w:rPr>
        <w:t>ratifica</w:t>
      </w:r>
      <w:r w:rsidRPr="00C51CE4">
        <w:rPr>
          <w:rFonts w:ascii="Palatino Linotype" w:eastAsia="Palatino Linotype" w:hAnsi="Palatino Linotype" w:cs="Palatino Linotype"/>
          <w:color w:val="000000"/>
        </w:rPr>
        <w:t xml:space="preserve"> la respuesta inicial.</w:t>
      </w:r>
    </w:p>
    <w:p w:rsidR="00035DB3" w:rsidRPr="00C51CE4" w:rsidRDefault="00035DB3">
      <w:pPr>
        <w:pBdr>
          <w:top w:val="nil"/>
          <w:left w:val="nil"/>
          <w:bottom w:val="nil"/>
          <w:right w:val="nil"/>
          <w:between w:val="nil"/>
        </w:pBdr>
        <w:ind w:left="709" w:right="-574" w:firstLine="10"/>
        <w:jc w:val="both"/>
        <w:rPr>
          <w:rFonts w:ascii="Palatino Linotype" w:eastAsia="Palatino Linotype" w:hAnsi="Palatino Linotype" w:cs="Palatino Linotype"/>
          <w:color w:val="000000"/>
        </w:rPr>
      </w:pPr>
    </w:p>
    <w:p w:rsidR="00035DB3" w:rsidRPr="00C51CE4" w:rsidRDefault="00035DB3">
      <w:pPr>
        <w:pBdr>
          <w:top w:val="nil"/>
          <w:left w:val="nil"/>
          <w:bottom w:val="nil"/>
          <w:right w:val="nil"/>
          <w:between w:val="nil"/>
        </w:pBdr>
        <w:ind w:right="-574"/>
        <w:jc w:val="both"/>
        <w:rPr>
          <w:rFonts w:ascii="Palatino Linotype" w:eastAsia="Palatino Linotype" w:hAnsi="Palatino Linotype" w:cs="Palatino Linotype"/>
          <w:color w:val="000000"/>
        </w:rPr>
      </w:pPr>
    </w:p>
    <w:p w:rsidR="00035DB3" w:rsidRPr="00C51CE4" w:rsidRDefault="0084126B">
      <w:pPr>
        <w:numPr>
          <w:ilvl w:val="0"/>
          <w:numId w:val="6"/>
        </w:numPr>
        <w:pBdr>
          <w:top w:val="nil"/>
          <w:left w:val="nil"/>
          <w:bottom w:val="nil"/>
          <w:right w:val="nil"/>
          <w:between w:val="nil"/>
        </w:pBdr>
        <w:spacing w:line="360" w:lineRule="auto"/>
        <w:ind w:left="0" w:right="-574" w:firstLine="0"/>
        <w:jc w:val="both"/>
        <w:rPr>
          <w:rFonts w:ascii="Palatino Linotype" w:eastAsia="Palatino Linotype" w:hAnsi="Palatino Linotype" w:cs="Palatino Linotype"/>
          <w:b/>
          <w:bCs/>
          <w:color w:val="000000"/>
        </w:rPr>
      </w:pPr>
      <w:bookmarkStart w:id="4" w:name="_heading=h.3znysh7" w:colFirst="0" w:colLast="0"/>
      <w:bookmarkEnd w:id="4"/>
      <w:r w:rsidRPr="00C51CE4">
        <w:rPr>
          <w:rFonts w:ascii="Palatino Linotype" w:eastAsia="Palatino Linotype" w:hAnsi="Palatino Linotype" w:cs="Palatino Linotype"/>
          <w:color w:val="000000"/>
        </w:rPr>
        <w:t>En fecha</w:t>
      </w:r>
      <w:r w:rsidRPr="00C51CE4">
        <w:rPr>
          <w:rFonts w:ascii="Palatino Linotype" w:eastAsia="Palatino Linotype" w:hAnsi="Palatino Linotype" w:cs="Palatino Linotype"/>
          <w:b/>
          <w:bCs/>
          <w:color w:val="000000"/>
        </w:rPr>
        <w:t xml:space="preserve"> diez de marzo de dos mil veintiséis</w:t>
      </w:r>
      <w:r w:rsidRPr="00C51CE4">
        <w:rPr>
          <w:rFonts w:ascii="Palatino Linotype" w:eastAsia="Palatino Linotype" w:hAnsi="Palatino Linotype" w:cs="Palatino Linotype"/>
          <w:color w:val="000000"/>
        </w:rPr>
        <w:t xml:space="preserve">, se acordó ampliar el </w:t>
      </w:r>
      <w:r w:rsidRPr="00C51CE4">
        <w:rPr>
          <w:rFonts w:ascii="Palatino Linotype" w:eastAsia="Palatino Linotype" w:hAnsi="Palatino Linotype" w:cs="Palatino Linotype"/>
        </w:rPr>
        <w:t>plazo</w:t>
      </w:r>
      <w:r w:rsidRPr="00C51CE4">
        <w:rPr>
          <w:rFonts w:ascii="Palatino Linotype" w:eastAsia="Palatino Linotype" w:hAnsi="Palatino Linotype" w:cs="Palatino Linotype"/>
          <w:color w:val="000000"/>
        </w:rPr>
        <w:t xml:space="preserve"> para resolver el presente Recurso de Revisión.</w:t>
      </w:r>
    </w:p>
    <w:p w:rsidR="00035DB3" w:rsidRPr="00C51CE4" w:rsidRDefault="00035DB3">
      <w:pPr>
        <w:pBdr>
          <w:top w:val="nil"/>
          <w:left w:val="nil"/>
          <w:bottom w:val="nil"/>
          <w:right w:val="nil"/>
          <w:between w:val="nil"/>
        </w:pBdr>
        <w:spacing w:line="360" w:lineRule="auto"/>
        <w:ind w:right="-574"/>
        <w:jc w:val="both"/>
        <w:rPr>
          <w:rFonts w:ascii="Palatino Linotype" w:eastAsia="Palatino Linotype" w:hAnsi="Palatino Linotype" w:cs="Palatino Linotype"/>
          <w:b/>
          <w:bCs/>
          <w:color w:val="000000"/>
        </w:rPr>
      </w:pPr>
    </w:p>
    <w:p w:rsidR="00035DB3" w:rsidRPr="00C51CE4" w:rsidRDefault="0084126B">
      <w:pPr>
        <w:numPr>
          <w:ilvl w:val="0"/>
          <w:numId w:val="6"/>
        </w:numPr>
        <w:pBdr>
          <w:top w:val="nil"/>
          <w:left w:val="nil"/>
          <w:bottom w:val="nil"/>
          <w:right w:val="nil"/>
          <w:between w:val="nil"/>
        </w:pBdr>
        <w:spacing w:line="360" w:lineRule="auto"/>
        <w:ind w:left="0" w:right="-574" w:firstLine="0"/>
        <w:jc w:val="both"/>
        <w:rPr>
          <w:rFonts w:ascii="Palatino Linotype" w:eastAsia="Palatino Linotype" w:hAnsi="Palatino Linotype" w:cs="Palatino Linotype"/>
          <w:b/>
          <w:bCs/>
          <w:color w:val="000000"/>
        </w:rPr>
      </w:pPr>
      <w:r w:rsidRPr="00C51CE4">
        <w:rPr>
          <w:rFonts w:ascii="Palatino Linotype" w:eastAsia="Palatino Linotype" w:hAnsi="Palatino Linotype" w:cs="Palatino Linotype"/>
          <w:color w:val="000000"/>
        </w:rPr>
        <w:t xml:space="preserve">Seguidamente, en fecha </w:t>
      </w:r>
      <w:r w:rsidRPr="00C51CE4">
        <w:rPr>
          <w:rFonts w:ascii="Palatino Linotype" w:eastAsia="Palatino Linotype" w:hAnsi="Palatino Linotype" w:cs="Palatino Linotype"/>
          <w:b/>
          <w:bCs/>
          <w:color w:val="000000"/>
        </w:rPr>
        <w:t>seis de mayo de dos mil veintiséis</w:t>
      </w:r>
      <w:r w:rsidRPr="00C51CE4">
        <w:rPr>
          <w:rFonts w:ascii="Palatino Linotype" w:eastAsia="Palatino Linotype" w:hAnsi="Palatino Linotype" w:cs="Palatino Linotype"/>
          <w:color w:val="000000"/>
        </w:rPr>
        <w:t xml:space="preserve">, la Comisionada Ponente dictó el </w:t>
      </w:r>
      <w:r w:rsidRPr="00C51CE4">
        <w:rPr>
          <w:rFonts w:ascii="Palatino Linotype" w:eastAsia="Palatino Linotype" w:hAnsi="Palatino Linotype" w:cs="Palatino Linotype"/>
          <w:b/>
          <w:bCs/>
          <w:color w:val="000000"/>
        </w:rPr>
        <w:t>cierre del periodo de instrucción</w:t>
      </w:r>
      <w:r w:rsidRPr="00C51CE4">
        <w:rPr>
          <w:rFonts w:ascii="Palatino Linotype" w:eastAsia="Palatino Linotype" w:hAnsi="Palatino Linotype" w:cs="Palatino Linotype"/>
          <w:color w:val="000000"/>
        </w:rPr>
        <w:t xml:space="preserve"> y, ordenó la resolución que conforme a Derecho proceda:</w:t>
      </w:r>
      <w:r w:rsidR="00C51CE4">
        <w:rPr>
          <w:rFonts w:ascii="Palatino Linotype" w:eastAsia="Palatino Linotype" w:hAnsi="Palatino Linotype" w:cs="Palatino Linotype"/>
          <w:color w:val="000000"/>
        </w:rPr>
        <w:t xml:space="preserve"> ------------------------------------------------------------------------------------------------------------</w:t>
      </w:r>
    </w:p>
    <w:p w:rsidR="00C51CE4" w:rsidRDefault="00C51CE4" w:rsidP="00C51CE4">
      <w:pPr>
        <w:pStyle w:val="Prrafodelista"/>
        <w:rPr>
          <w:rFonts w:ascii="Palatino Linotype" w:eastAsia="Palatino Linotype" w:hAnsi="Palatino Linotype" w:cs="Palatino Linotype"/>
          <w:b/>
          <w:bCs/>
          <w:color w:val="000000"/>
        </w:rPr>
      </w:pPr>
    </w:p>
    <w:p w:rsidR="00C51CE4" w:rsidRDefault="00C51CE4" w:rsidP="00C51CE4">
      <w:pPr>
        <w:pBdr>
          <w:top w:val="nil"/>
          <w:left w:val="nil"/>
          <w:bottom w:val="nil"/>
          <w:right w:val="nil"/>
          <w:between w:val="nil"/>
        </w:pBdr>
        <w:spacing w:line="360" w:lineRule="auto"/>
        <w:ind w:right="-574"/>
        <w:jc w:val="both"/>
        <w:rPr>
          <w:rFonts w:ascii="Palatino Linotype" w:eastAsia="Palatino Linotype" w:hAnsi="Palatino Linotype" w:cs="Palatino Linotype"/>
          <w:b/>
          <w:bCs/>
          <w:color w:val="000000"/>
        </w:rPr>
      </w:pPr>
    </w:p>
    <w:p w:rsidR="00C51CE4" w:rsidRDefault="00C51CE4" w:rsidP="00C51CE4">
      <w:pPr>
        <w:pBdr>
          <w:top w:val="nil"/>
          <w:left w:val="nil"/>
          <w:bottom w:val="nil"/>
          <w:right w:val="nil"/>
          <w:between w:val="nil"/>
        </w:pBdr>
        <w:spacing w:line="360" w:lineRule="auto"/>
        <w:ind w:right="-574"/>
        <w:jc w:val="both"/>
        <w:rPr>
          <w:rFonts w:ascii="Palatino Linotype" w:eastAsia="Palatino Linotype" w:hAnsi="Palatino Linotype" w:cs="Palatino Linotype"/>
          <w:b/>
          <w:bCs/>
          <w:color w:val="000000"/>
        </w:rPr>
      </w:pPr>
    </w:p>
    <w:p w:rsidR="00C51CE4" w:rsidRPr="00C51CE4" w:rsidRDefault="00C51CE4" w:rsidP="00C51CE4">
      <w:pPr>
        <w:pBdr>
          <w:top w:val="nil"/>
          <w:left w:val="nil"/>
          <w:bottom w:val="nil"/>
          <w:right w:val="nil"/>
          <w:between w:val="nil"/>
        </w:pBdr>
        <w:spacing w:line="360" w:lineRule="auto"/>
        <w:ind w:right="-574"/>
        <w:jc w:val="both"/>
        <w:rPr>
          <w:rFonts w:ascii="Palatino Linotype" w:eastAsia="Palatino Linotype" w:hAnsi="Palatino Linotype" w:cs="Palatino Linotype"/>
          <w:b/>
          <w:bCs/>
          <w:color w:val="000000"/>
        </w:rPr>
      </w:pPr>
    </w:p>
    <w:p w:rsidR="00035DB3" w:rsidRPr="00C51CE4" w:rsidRDefault="00035DB3">
      <w:pPr>
        <w:pBdr>
          <w:top w:val="nil"/>
          <w:left w:val="nil"/>
          <w:bottom w:val="nil"/>
          <w:right w:val="nil"/>
          <w:between w:val="nil"/>
        </w:pBdr>
        <w:ind w:left="720" w:right="-574"/>
        <w:rPr>
          <w:rFonts w:ascii="Palatino Linotype" w:eastAsia="Palatino Linotype" w:hAnsi="Palatino Linotype" w:cs="Palatino Linotype"/>
          <w:b/>
          <w:bCs/>
          <w:color w:val="000000"/>
        </w:rPr>
      </w:pPr>
    </w:p>
    <w:p w:rsidR="00035DB3" w:rsidRPr="00C51CE4" w:rsidRDefault="0084126B">
      <w:pPr>
        <w:keepNext/>
        <w:keepLines/>
        <w:spacing w:line="360" w:lineRule="auto"/>
        <w:ind w:right="-574"/>
        <w:jc w:val="center"/>
        <w:rPr>
          <w:rFonts w:ascii="Palatino Linotype" w:eastAsia="Palatino Linotype" w:hAnsi="Palatino Linotype" w:cs="Palatino Linotype"/>
          <w:b/>
          <w:bCs/>
        </w:rPr>
      </w:pPr>
      <w:r w:rsidRPr="00C51CE4">
        <w:rPr>
          <w:rFonts w:ascii="Palatino Linotype" w:eastAsia="Palatino Linotype" w:hAnsi="Palatino Linotype" w:cs="Palatino Linotype"/>
          <w:b/>
          <w:bCs/>
        </w:rPr>
        <w:lastRenderedPageBreak/>
        <w:t xml:space="preserve">C O N S I D E R A N D O </w:t>
      </w:r>
    </w:p>
    <w:p w:rsidR="00035DB3" w:rsidRPr="00C51CE4" w:rsidRDefault="00035DB3">
      <w:pPr>
        <w:spacing w:line="360" w:lineRule="auto"/>
        <w:ind w:right="-574"/>
        <w:rPr>
          <w:rFonts w:ascii="Palatino Linotype" w:eastAsia="Palatino Linotype" w:hAnsi="Palatino Linotype" w:cs="Palatino Linotype"/>
        </w:rPr>
      </w:pPr>
    </w:p>
    <w:p w:rsidR="00035DB3" w:rsidRPr="00C51CE4" w:rsidRDefault="0084126B">
      <w:pPr>
        <w:keepNext/>
        <w:keepLines/>
        <w:spacing w:line="360" w:lineRule="auto"/>
        <w:ind w:right="-574"/>
        <w:rPr>
          <w:rFonts w:ascii="Palatino Linotype" w:eastAsia="Palatino Linotype" w:hAnsi="Palatino Linotype" w:cs="Palatino Linotype"/>
          <w:b/>
          <w:bCs/>
        </w:rPr>
      </w:pPr>
      <w:r w:rsidRPr="00C51CE4">
        <w:rPr>
          <w:rFonts w:ascii="Palatino Linotype" w:eastAsia="Palatino Linotype" w:hAnsi="Palatino Linotype" w:cs="Palatino Linotype"/>
          <w:b/>
          <w:bCs/>
        </w:rPr>
        <w:t>PRIMERO. De la competencia</w:t>
      </w:r>
    </w:p>
    <w:p w:rsidR="00035DB3" w:rsidRPr="00C51CE4" w:rsidRDefault="0084126B">
      <w:pPr>
        <w:numPr>
          <w:ilvl w:val="0"/>
          <w:numId w:val="6"/>
        </w:numPr>
        <w:pBdr>
          <w:top w:val="nil"/>
          <w:left w:val="nil"/>
          <w:bottom w:val="nil"/>
          <w:right w:val="nil"/>
          <w:between w:val="nil"/>
        </w:pBd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035DB3" w:rsidRPr="00C51CE4" w:rsidRDefault="00035DB3">
      <w:pPr>
        <w:tabs>
          <w:tab w:val="left" w:pos="426"/>
        </w:tabs>
        <w:spacing w:line="360" w:lineRule="auto"/>
        <w:ind w:right="-574"/>
        <w:jc w:val="both"/>
        <w:rPr>
          <w:rFonts w:ascii="Palatino Linotype" w:eastAsia="Palatino Linotype" w:hAnsi="Palatino Linotype" w:cs="Palatino Linotype"/>
          <w:color w:val="000000"/>
        </w:rPr>
      </w:pPr>
    </w:p>
    <w:p w:rsidR="00035DB3" w:rsidRPr="00C51CE4" w:rsidRDefault="0084126B">
      <w:pPr>
        <w:keepNext/>
        <w:keepLines/>
        <w:spacing w:line="360" w:lineRule="auto"/>
        <w:ind w:right="-574"/>
        <w:rPr>
          <w:rFonts w:ascii="Palatino Linotype" w:eastAsia="Palatino Linotype" w:hAnsi="Palatino Linotype" w:cs="Palatino Linotype"/>
          <w:b/>
          <w:bCs/>
        </w:rPr>
      </w:pPr>
      <w:r w:rsidRPr="00C51CE4">
        <w:rPr>
          <w:rFonts w:ascii="Palatino Linotype" w:eastAsia="Palatino Linotype" w:hAnsi="Palatino Linotype" w:cs="Palatino Linotype"/>
          <w:b/>
          <w:bCs/>
        </w:rPr>
        <w:t>SEGUNDO. De la oportunidad y procedencia.</w:t>
      </w:r>
    </w:p>
    <w:p w:rsidR="00035DB3" w:rsidRPr="00C51CE4" w:rsidRDefault="0084126B">
      <w:pPr>
        <w:numPr>
          <w:ilvl w:val="0"/>
          <w:numId w:val="6"/>
        </w:numPr>
        <w:pBdr>
          <w:top w:val="nil"/>
          <w:left w:val="nil"/>
          <w:bottom w:val="nil"/>
          <w:right w:val="nil"/>
          <w:between w:val="nil"/>
        </w:pBd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El medio de impugnación fue presentado a través del </w:t>
      </w:r>
      <w:r w:rsidRPr="00C51CE4">
        <w:rPr>
          <w:rFonts w:ascii="Palatino Linotype" w:eastAsia="Palatino Linotype" w:hAnsi="Palatino Linotype" w:cs="Palatino Linotype"/>
          <w:b/>
          <w:bCs/>
        </w:rPr>
        <w:t>SAIMEX,</w:t>
      </w:r>
      <w:r w:rsidRPr="00C51CE4">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C51CE4">
        <w:rPr>
          <w:rFonts w:ascii="Palatino Linotype" w:eastAsia="Palatino Linotype" w:hAnsi="Palatino Linotype" w:cs="Palatino Linotype"/>
          <w:b/>
          <w:bCs/>
        </w:rPr>
        <w:t>SUJETO OBLIGADO</w:t>
      </w:r>
      <w:r w:rsidRPr="00C51CE4">
        <w:rPr>
          <w:rFonts w:ascii="Palatino Linotype" w:eastAsia="Palatino Linotype" w:hAnsi="Palatino Linotype" w:cs="Palatino Linotype"/>
        </w:rPr>
        <w:t xml:space="preserve"> entregó respuesta el </w:t>
      </w:r>
      <w:r w:rsidRPr="00C51CE4">
        <w:rPr>
          <w:rFonts w:ascii="Palatino Linotype" w:eastAsia="Palatino Linotype" w:hAnsi="Palatino Linotype" w:cs="Palatino Linotype"/>
          <w:b/>
          <w:bCs/>
        </w:rPr>
        <w:t>dieciséis de enero de dos mil veintiséis</w:t>
      </w:r>
      <w:r w:rsidRPr="00C51CE4">
        <w:rPr>
          <w:rFonts w:ascii="Palatino Linotype" w:eastAsia="Palatino Linotype" w:hAnsi="Palatino Linotype" w:cs="Palatino Linotype"/>
        </w:rPr>
        <w:t xml:space="preserve">, de tal forma que el plazo para interponer el recurso transcurrió del </w:t>
      </w:r>
      <w:r w:rsidRPr="00C51CE4">
        <w:rPr>
          <w:rFonts w:ascii="Palatino Linotype" w:eastAsia="Palatino Linotype" w:hAnsi="Palatino Linotype" w:cs="Palatino Linotype"/>
          <w:b/>
          <w:bCs/>
        </w:rPr>
        <w:t xml:space="preserve">diecinueve de enero al  nueve de febrero de dos mil veintiséis, </w:t>
      </w:r>
      <w:r w:rsidRPr="00C51CE4">
        <w:rPr>
          <w:rFonts w:ascii="Palatino Linotype" w:eastAsia="Palatino Linotype" w:hAnsi="Palatino Linotype" w:cs="Palatino Linotype"/>
        </w:rPr>
        <w:t xml:space="preserve">en consecuencia, si el </w:t>
      </w:r>
      <w:r w:rsidRPr="00C51CE4">
        <w:rPr>
          <w:rFonts w:ascii="Palatino Linotype" w:eastAsia="Palatino Linotype" w:hAnsi="Palatino Linotype" w:cs="Palatino Linotype"/>
          <w:b/>
          <w:bCs/>
        </w:rPr>
        <w:t>PARTICULAR</w:t>
      </w:r>
      <w:r w:rsidRPr="00C51CE4">
        <w:rPr>
          <w:rFonts w:ascii="Palatino Linotype" w:eastAsia="Palatino Linotype" w:hAnsi="Palatino Linotype" w:cs="Palatino Linotype"/>
        </w:rPr>
        <w:t xml:space="preserve"> presentó su inconformidad el </w:t>
      </w:r>
      <w:r w:rsidRPr="00C51CE4">
        <w:rPr>
          <w:rFonts w:ascii="Palatino Linotype" w:eastAsia="Palatino Linotype" w:hAnsi="Palatino Linotype" w:cs="Palatino Linotype"/>
          <w:b/>
          <w:bCs/>
        </w:rPr>
        <w:t>diecinueve de enero de dos mil veintiséis</w:t>
      </w:r>
      <w:r w:rsidRPr="00C51CE4">
        <w:rPr>
          <w:rFonts w:ascii="Palatino Linotype" w:eastAsia="Palatino Linotype" w:hAnsi="Palatino Linotype" w:cs="Palatino Linotype"/>
        </w:rPr>
        <w:t xml:space="preserve">, este  se encuentra dentro de los márgenes temporales previstos en el artículo 178 de la </w:t>
      </w:r>
      <w:r w:rsidRPr="00C51CE4">
        <w:rPr>
          <w:rFonts w:ascii="Palatino Linotype" w:eastAsia="Palatino Linotype" w:hAnsi="Palatino Linotype" w:cs="Palatino Linotype"/>
          <w:b/>
          <w:bCs/>
        </w:rPr>
        <w:t xml:space="preserve">Ley de Transparencia y Acceso a la Información Pública del Estado de México y Municipios </w:t>
      </w:r>
      <w:r w:rsidRPr="00C51CE4">
        <w:rPr>
          <w:rFonts w:ascii="Palatino Linotype" w:eastAsia="Palatino Linotype" w:hAnsi="Palatino Linotype" w:cs="Palatino Linotype"/>
        </w:rPr>
        <w:t xml:space="preserve">vigente. </w:t>
      </w:r>
    </w:p>
    <w:p w:rsidR="00035DB3" w:rsidRPr="00C51CE4" w:rsidRDefault="0084126B">
      <w:pPr>
        <w:numPr>
          <w:ilvl w:val="0"/>
          <w:numId w:val="4"/>
        </w:numPr>
        <w:pBdr>
          <w:top w:val="nil"/>
          <w:left w:val="nil"/>
          <w:bottom w:val="nil"/>
          <w:right w:val="nil"/>
          <w:between w:val="nil"/>
        </w:pBdr>
        <w:ind w:right="-574"/>
        <w:rPr>
          <w:rFonts w:ascii="Palatino Linotype" w:eastAsia="Palatino Linotype" w:hAnsi="Palatino Linotype" w:cs="Palatino Linotype"/>
          <w:b/>
          <w:bCs/>
          <w:color w:val="000000"/>
        </w:rPr>
      </w:pPr>
      <w:r w:rsidRPr="00C51CE4">
        <w:rPr>
          <w:rFonts w:ascii="Palatino Linotype" w:eastAsia="Palatino Linotype" w:hAnsi="Palatino Linotype" w:cs="Palatino Linotype"/>
          <w:b/>
          <w:bCs/>
          <w:color w:val="000000"/>
        </w:rPr>
        <w:lastRenderedPageBreak/>
        <w:t xml:space="preserve">De la </w:t>
      </w:r>
      <w:r w:rsidRPr="00C51CE4">
        <w:rPr>
          <w:rFonts w:ascii="Palatino Linotype" w:eastAsia="Palatino Linotype" w:hAnsi="Palatino Linotype" w:cs="Palatino Linotype"/>
          <w:b/>
          <w:bCs/>
        </w:rPr>
        <w:t>prórroga</w:t>
      </w:r>
      <w:r w:rsidRPr="00C51CE4">
        <w:rPr>
          <w:rFonts w:ascii="Palatino Linotype" w:eastAsia="Palatino Linotype" w:hAnsi="Palatino Linotype" w:cs="Palatino Linotype"/>
          <w:b/>
          <w:bCs/>
          <w:color w:val="000000"/>
        </w:rPr>
        <w:t xml:space="preserve"> indebida</w:t>
      </w:r>
    </w:p>
    <w:p w:rsidR="00035DB3" w:rsidRPr="00C51CE4" w:rsidRDefault="0084126B">
      <w:pPr>
        <w:numPr>
          <w:ilvl w:val="0"/>
          <w:numId w:val="6"/>
        </w:numPr>
        <w:pBdr>
          <w:top w:val="nil"/>
          <w:left w:val="nil"/>
          <w:bottom w:val="nil"/>
          <w:right w:val="nil"/>
          <w:between w:val="nil"/>
        </w:pBdr>
        <w:spacing w:line="360" w:lineRule="auto"/>
        <w:ind w:left="0" w:right="-574" w:firstLine="0"/>
        <w:jc w:val="both"/>
        <w:rPr>
          <w:rFonts w:ascii="Palatino Linotype" w:eastAsia="Palatino Linotype" w:hAnsi="Palatino Linotype" w:cs="Palatino Linotype"/>
          <w:color w:val="222222"/>
        </w:rPr>
      </w:pPr>
      <w:r w:rsidRPr="00C51CE4">
        <w:rPr>
          <w:rFonts w:ascii="Palatino Linotype" w:eastAsia="Palatino Linotype" w:hAnsi="Palatino Linotype" w:cs="Palatino Linotype"/>
          <w:color w:val="000000"/>
        </w:rPr>
        <w:t xml:space="preserve">Por </w:t>
      </w:r>
      <w:r w:rsidRPr="00C51CE4">
        <w:rPr>
          <w:rFonts w:ascii="Palatino Linotype" w:eastAsia="Palatino Linotype" w:hAnsi="Palatino Linotype" w:cs="Palatino Linotype"/>
        </w:rPr>
        <w:t>otro</w:t>
      </w:r>
      <w:r w:rsidRPr="00C51CE4">
        <w:rPr>
          <w:rFonts w:ascii="Palatino Linotype" w:eastAsia="Palatino Linotype" w:hAnsi="Palatino Linotype" w:cs="Palatino Linotype"/>
          <w:color w:val="000000"/>
        </w:rPr>
        <w:t xml:space="preserve"> lado</w:t>
      </w:r>
      <w:r w:rsidRPr="00C51CE4">
        <w:rPr>
          <w:rFonts w:ascii="Palatino Linotype" w:eastAsia="Palatino Linotype" w:hAnsi="Palatino Linotype" w:cs="Palatino Linotype"/>
        </w:rPr>
        <w:t>, es menester señalar que</w:t>
      </w:r>
      <w:r w:rsidRPr="00C51CE4">
        <w:rPr>
          <w:rFonts w:ascii="Palatino Linotype" w:eastAsia="Palatino Linotype" w:hAnsi="Palatino Linotype" w:cs="Palatino Linotype"/>
          <w:color w:val="222222"/>
        </w:rPr>
        <w:t xml:space="preserve"> el </w:t>
      </w:r>
      <w:r w:rsidRPr="00C51CE4">
        <w:rPr>
          <w:rFonts w:ascii="Palatino Linotype" w:eastAsia="Palatino Linotype" w:hAnsi="Palatino Linotype" w:cs="Palatino Linotype"/>
          <w:b/>
          <w:bCs/>
          <w:color w:val="222222"/>
        </w:rPr>
        <w:t>SUJETO OBLIGADO</w:t>
      </w:r>
      <w:r w:rsidRPr="00C51CE4">
        <w:rPr>
          <w:rFonts w:ascii="Palatino Linotype" w:eastAsia="Palatino Linotype" w:hAnsi="Palatino Linotype" w:cs="Palatino Linotype"/>
          <w:color w:val="222222"/>
        </w:rPr>
        <w:t> notificó una prórroga que resulta</w:t>
      </w:r>
      <w:r w:rsidRPr="00C51CE4">
        <w:rPr>
          <w:rFonts w:ascii="Palatino Linotype" w:eastAsia="Palatino Linotype" w:hAnsi="Palatino Linotype" w:cs="Palatino Linotype"/>
          <w:b/>
          <w:bCs/>
          <w:i/>
          <w:iCs/>
          <w:color w:val="222222"/>
        </w:rPr>
        <w:t xml:space="preserve"> </w:t>
      </w:r>
      <w:r w:rsidRPr="00C51CE4">
        <w:rPr>
          <w:rFonts w:ascii="Palatino Linotype" w:eastAsia="Palatino Linotype" w:hAnsi="Palatino Linotype" w:cs="Palatino Linotype"/>
          <w:color w:val="000000"/>
        </w:rPr>
        <w:t>indebida</w:t>
      </w:r>
      <w:r w:rsidRPr="00C51CE4">
        <w:rPr>
          <w:rFonts w:ascii="Palatino Linotype" w:eastAsia="Palatino Linotype" w:hAnsi="Palatino Linotype" w:cs="Palatino Linotype"/>
          <w:color w:val="222222"/>
        </w:rPr>
        <w:t>, toda vez que el artículo 163 de la ley de la materia señala lo siguiente:</w:t>
      </w:r>
    </w:p>
    <w:p w:rsidR="00035DB3" w:rsidRPr="00C51CE4" w:rsidRDefault="0084126B">
      <w:pPr>
        <w:pBdr>
          <w:top w:val="nil"/>
          <w:left w:val="nil"/>
          <w:bottom w:val="nil"/>
          <w:right w:val="nil"/>
          <w:between w:val="nil"/>
        </w:pBdr>
        <w:ind w:left="709" w:right="-574"/>
        <w:jc w:val="both"/>
        <w:rPr>
          <w:rFonts w:ascii="Palatino Linotype" w:eastAsia="Palatino Linotype" w:hAnsi="Palatino Linotype" w:cs="Palatino Linotype"/>
          <w:i/>
          <w:iCs/>
          <w:color w:val="222222"/>
        </w:rPr>
      </w:pPr>
      <w:r w:rsidRPr="00C51CE4">
        <w:rPr>
          <w:rFonts w:ascii="Palatino Linotype" w:eastAsia="Palatino Linotype" w:hAnsi="Palatino Linotype" w:cs="Palatino Linotype"/>
          <w:b/>
          <w:bCs/>
          <w:i/>
          <w:iCs/>
          <w:color w:val="222222"/>
        </w:rPr>
        <w:t>Artículo 163. </w:t>
      </w:r>
      <w:r w:rsidRPr="00C51CE4">
        <w:rPr>
          <w:rFonts w:ascii="Palatino Linotype" w:eastAsia="Palatino Linotype" w:hAnsi="Palatino Linotype" w:cs="Palatino Linotype"/>
          <w:i/>
          <w:iCs/>
          <w:color w:val="222222"/>
        </w:rPr>
        <w:t>La Unidad de Transparencia deberá notificar la respuesta a la solicitud al interesado en el menor tiempo posible, que no podrá exceder de quince días hábiles, contados a partir del día siguiente a la presentación de aquélla.</w:t>
      </w:r>
    </w:p>
    <w:p w:rsidR="00035DB3" w:rsidRPr="00C51CE4" w:rsidRDefault="00035DB3">
      <w:pPr>
        <w:pBdr>
          <w:top w:val="nil"/>
          <w:left w:val="nil"/>
          <w:bottom w:val="nil"/>
          <w:right w:val="nil"/>
          <w:between w:val="nil"/>
        </w:pBdr>
        <w:ind w:left="709" w:right="-574"/>
        <w:jc w:val="both"/>
        <w:rPr>
          <w:rFonts w:ascii="Palatino Linotype" w:eastAsia="Palatino Linotype" w:hAnsi="Palatino Linotype" w:cs="Palatino Linotype"/>
          <w:color w:val="222222"/>
        </w:rPr>
      </w:pPr>
    </w:p>
    <w:p w:rsidR="00035DB3" w:rsidRPr="00C51CE4" w:rsidRDefault="0084126B">
      <w:pPr>
        <w:pBdr>
          <w:top w:val="nil"/>
          <w:left w:val="nil"/>
          <w:bottom w:val="nil"/>
          <w:right w:val="nil"/>
          <w:between w:val="nil"/>
        </w:pBdr>
        <w:ind w:left="709" w:right="-574"/>
        <w:jc w:val="both"/>
        <w:rPr>
          <w:rFonts w:ascii="Palatino Linotype" w:eastAsia="Palatino Linotype" w:hAnsi="Palatino Linotype" w:cs="Palatino Linotype"/>
          <w:i/>
          <w:iCs/>
          <w:color w:val="222222"/>
        </w:rPr>
      </w:pPr>
      <w:r w:rsidRPr="00C51CE4">
        <w:rPr>
          <w:rFonts w:ascii="Palatino Linotype" w:eastAsia="Palatino Linotype" w:hAnsi="Palatino Linotype" w:cs="Palatino Linotype"/>
          <w:i/>
          <w:iCs/>
          <w:color w:val="2222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035DB3" w:rsidRPr="00C51CE4" w:rsidRDefault="00035DB3">
      <w:pPr>
        <w:pBdr>
          <w:top w:val="nil"/>
          <w:left w:val="nil"/>
          <w:bottom w:val="nil"/>
          <w:right w:val="nil"/>
          <w:between w:val="nil"/>
        </w:pBdr>
        <w:ind w:left="709" w:right="-574"/>
        <w:jc w:val="both"/>
        <w:rPr>
          <w:rFonts w:ascii="Palatino Linotype" w:eastAsia="Palatino Linotype" w:hAnsi="Palatino Linotype" w:cs="Palatino Linotype"/>
          <w:i/>
          <w:iCs/>
          <w:color w:val="222222"/>
        </w:rPr>
      </w:pPr>
    </w:p>
    <w:p w:rsidR="00035DB3" w:rsidRPr="00C51CE4" w:rsidRDefault="0084126B">
      <w:pPr>
        <w:numPr>
          <w:ilvl w:val="0"/>
          <w:numId w:val="6"/>
        </w:numPr>
        <w:pBdr>
          <w:top w:val="nil"/>
          <w:left w:val="nil"/>
          <w:bottom w:val="nil"/>
          <w:right w:val="nil"/>
          <w:between w:val="nil"/>
        </w:pBdr>
        <w:spacing w:line="360" w:lineRule="auto"/>
        <w:ind w:left="0" w:right="-574" w:firstLine="0"/>
        <w:jc w:val="both"/>
        <w:rPr>
          <w:rFonts w:ascii="Palatino Linotype" w:eastAsia="Palatino Linotype" w:hAnsi="Palatino Linotype" w:cs="Palatino Linotype"/>
          <w:b/>
          <w:bCs/>
          <w:color w:val="222222"/>
        </w:rPr>
      </w:pPr>
      <w:r w:rsidRPr="00C51CE4">
        <w:rPr>
          <w:rFonts w:ascii="Palatino Linotype" w:eastAsia="Palatino Linotype" w:hAnsi="Palatino Linotype" w:cs="Palatino Linotype"/>
        </w:rPr>
        <w:t>Solo</w:t>
      </w:r>
      <w:r w:rsidRPr="00C51CE4">
        <w:rPr>
          <w:rFonts w:ascii="Palatino Linotype" w:eastAsia="Palatino Linotype" w:hAnsi="Palatino Linotype" w:cs="Palatino Linotype"/>
          <w:color w:val="222222"/>
        </w:rPr>
        <w:t xml:space="preserve"> en </w:t>
      </w:r>
      <w:r w:rsidRPr="00C51CE4">
        <w:rPr>
          <w:rFonts w:ascii="Palatino Linotype" w:eastAsia="Palatino Linotype" w:hAnsi="Palatino Linotype" w:cs="Palatino Linotype"/>
          <w:color w:val="000000"/>
        </w:rPr>
        <w:t>aquellos</w:t>
      </w:r>
      <w:r w:rsidRPr="00C51CE4">
        <w:rPr>
          <w:rFonts w:ascii="Palatino Linotype" w:eastAsia="Palatino Linotype" w:hAnsi="Palatino Linotype" w:cs="Palatino Linotype"/>
          <w:color w:val="222222"/>
        </w:rPr>
        <w:t xml:space="preserve"> </w:t>
      </w:r>
      <w:r w:rsidRPr="00C51CE4">
        <w:rPr>
          <w:rFonts w:ascii="Palatino Linotype" w:eastAsia="Palatino Linotype" w:hAnsi="Palatino Linotype" w:cs="Palatino Linotype"/>
          <w:b/>
          <w:bCs/>
          <w:color w:val="222222"/>
        </w:rPr>
        <w:t>casos excepcionales</w:t>
      </w:r>
      <w:r w:rsidRPr="00C51CE4">
        <w:rPr>
          <w:rFonts w:ascii="Palatino Linotype" w:eastAsia="Palatino Linotype" w:hAnsi="Palatino Linotype" w:cs="Palatino Linotype"/>
          <w:color w:val="222222"/>
        </w:rPr>
        <w:t xml:space="preserve"> el </w:t>
      </w:r>
      <w:r w:rsidRPr="00C51CE4">
        <w:rPr>
          <w:rFonts w:ascii="Palatino Linotype" w:eastAsia="Palatino Linotype" w:hAnsi="Palatino Linotype" w:cs="Palatino Linotype"/>
          <w:b/>
          <w:bCs/>
          <w:color w:val="222222"/>
        </w:rPr>
        <w:t xml:space="preserve">SUJETO OBLIGADO </w:t>
      </w:r>
      <w:r w:rsidRPr="00C51CE4">
        <w:rPr>
          <w:rFonts w:ascii="Palatino Linotype" w:eastAsia="Palatino Linotype" w:hAnsi="Palatino Linotype" w:cs="Palatino Linotype"/>
          <w:color w:val="222222"/>
        </w:rPr>
        <w:t xml:space="preserve">podrá solicitar se amplíe el termino de quince días para proporcionar respuesta a cualquier solicitud de </w:t>
      </w:r>
      <w:r w:rsidRPr="00C51CE4">
        <w:rPr>
          <w:rFonts w:ascii="Palatino Linotype" w:eastAsia="Palatino Linotype" w:hAnsi="Palatino Linotype" w:cs="Palatino Linotype"/>
          <w:color w:val="000000"/>
        </w:rPr>
        <w:t>información</w:t>
      </w:r>
      <w:r w:rsidRPr="00C51CE4">
        <w:rPr>
          <w:rFonts w:ascii="Palatino Linotype" w:eastAsia="Palatino Linotype" w:hAnsi="Palatino Linotype" w:cs="Palatino Linotype"/>
          <w:color w:val="222222"/>
        </w:rPr>
        <w:t xml:space="preserve">, plazo que podrá ser prorrogado por otros </w:t>
      </w:r>
      <w:r w:rsidRPr="00C51CE4">
        <w:rPr>
          <w:rFonts w:ascii="Palatino Linotype" w:eastAsia="Palatino Linotype" w:hAnsi="Palatino Linotype" w:cs="Palatino Linotype"/>
          <w:b/>
          <w:bCs/>
          <w:color w:val="222222"/>
        </w:rPr>
        <w:t>siete días más</w:t>
      </w:r>
      <w:r w:rsidRPr="00C51CE4">
        <w:rPr>
          <w:rFonts w:ascii="Palatino Linotype" w:eastAsia="Palatino Linotype" w:hAnsi="Palatino Linotype" w:cs="Palatino Linotype"/>
          <w:color w:val="222222"/>
        </w:rPr>
        <w:t xml:space="preserve">, siempre y cuando medien razones que justifiquen la ampliación, las cuales deberán estar </w:t>
      </w:r>
      <w:r w:rsidRPr="00C51CE4">
        <w:rPr>
          <w:rFonts w:ascii="Palatino Linotype" w:eastAsia="Palatino Linotype" w:hAnsi="Palatino Linotype" w:cs="Palatino Linotype"/>
          <w:b/>
          <w:bCs/>
          <w:color w:val="222222"/>
          <w:u w:val="single"/>
        </w:rPr>
        <w:t>fundadas y motivadas</w:t>
      </w:r>
      <w:r w:rsidRPr="00C51CE4">
        <w:rPr>
          <w:rFonts w:ascii="Palatino Linotype" w:eastAsia="Palatino Linotype" w:hAnsi="Palatino Linotype" w:cs="Palatino Linotype"/>
          <w:color w:val="222222"/>
        </w:rPr>
        <w:t xml:space="preserve">,  mismas que </w:t>
      </w:r>
      <w:r w:rsidRPr="00C51CE4">
        <w:rPr>
          <w:rFonts w:ascii="Palatino Linotype" w:eastAsia="Palatino Linotype" w:hAnsi="Palatino Linotype" w:cs="Palatino Linotype"/>
          <w:b/>
          <w:bCs/>
          <w:color w:val="222222"/>
        </w:rPr>
        <w:t xml:space="preserve">deberán ser aprobadas por los integrantes de su Comité de Transparencia mediante la emisión de una resolución </w:t>
      </w:r>
      <w:r w:rsidRPr="00C51CE4">
        <w:rPr>
          <w:rFonts w:ascii="Palatino Linotype" w:eastAsia="Palatino Linotype" w:hAnsi="Palatino Linotype" w:cs="Palatino Linotype"/>
          <w:color w:val="222222"/>
        </w:rPr>
        <w:t>que deberá notificarse al solicitante. Situación que, en el caso concreto, ocurrió de manera incorrecta.</w:t>
      </w:r>
    </w:p>
    <w:p w:rsidR="00035DB3" w:rsidRPr="00C51CE4" w:rsidRDefault="00035DB3">
      <w:pPr>
        <w:pBdr>
          <w:top w:val="nil"/>
          <w:left w:val="nil"/>
          <w:bottom w:val="nil"/>
          <w:right w:val="nil"/>
          <w:between w:val="nil"/>
        </w:pBdr>
        <w:spacing w:line="360" w:lineRule="auto"/>
        <w:ind w:right="-574"/>
        <w:jc w:val="both"/>
        <w:rPr>
          <w:rFonts w:ascii="Palatino Linotype" w:eastAsia="Palatino Linotype" w:hAnsi="Palatino Linotype" w:cs="Palatino Linotype"/>
          <w:color w:val="222222"/>
        </w:rPr>
      </w:pPr>
    </w:p>
    <w:p w:rsidR="00035DB3" w:rsidRPr="00C51CE4" w:rsidRDefault="0084126B">
      <w:pPr>
        <w:numPr>
          <w:ilvl w:val="0"/>
          <w:numId w:val="6"/>
        </w:numPr>
        <w:pBdr>
          <w:top w:val="nil"/>
          <w:left w:val="nil"/>
          <w:bottom w:val="nil"/>
          <w:right w:val="nil"/>
          <w:between w:val="nil"/>
        </w:pBdr>
        <w:spacing w:line="360" w:lineRule="auto"/>
        <w:ind w:left="0" w:right="-574" w:firstLine="0"/>
        <w:jc w:val="both"/>
        <w:rPr>
          <w:rFonts w:ascii="Palatino Linotype" w:eastAsia="Palatino Linotype" w:hAnsi="Palatino Linotype" w:cs="Palatino Linotype"/>
          <w:color w:val="222222"/>
        </w:rPr>
      </w:pPr>
      <w:r w:rsidRPr="00C51CE4">
        <w:rPr>
          <w:rFonts w:ascii="Palatino Linotype" w:eastAsia="Palatino Linotype" w:hAnsi="Palatino Linotype" w:cs="Palatino Linotype"/>
          <w:color w:val="222222"/>
        </w:rPr>
        <w:t xml:space="preserve">Lo </w:t>
      </w:r>
      <w:r w:rsidRPr="00C51CE4">
        <w:rPr>
          <w:rFonts w:ascii="Palatino Linotype" w:eastAsia="Palatino Linotype" w:hAnsi="Palatino Linotype" w:cs="Palatino Linotype"/>
          <w:color w:val="000000"/>
        </w:rPr>
        <w:t>anterior</w:t>
      </w:r>
      <w:r w:rsidRPr="00C51CE4">
        <w:rPr>
          <w:rFonts w:ascii="Palatino Linotype" w:eastAsia="Palatino Linotype" w:hAnsi="Palatino Linotype" w:cs="Palatino Linotype"/>
          <w:color w:val="222222"/>
        </w:rPr>
        <w:t xml:space="preserve"> implica una alta responsabilidad, toda vez que dicha prórroga deberá recaer en un documento, debidamente </w:t>
      </w:r>
      <w:r w:rsidRPr="00C51CE4">
        <w:rPr>
          <w:rFonts w:ascii="Palatino Linotype" w:eastAsia="Palatino Linotype" w:hAnsi="Palatino Linotype" w:cs="Palatino Linotype"/>
          <w:b/>
          <w:bCs/>
          <w:color w:val="222222"/>
        </w:rPr>
        <w:t>validado y firmado</w:t>
      </w:r>
      <w:r w:rsidRPr="00C51CE4">
        <w:rPr>
          <w:rFonts w:ascii="Palatino Linotype" w:eastAsia="Palatino Linotype" w:hAnsi="Palatino Linotype" w:cs="Palatino Linotype"/>
          <w:color w:val="222222"/>
        </w:rPr>
        <w:t xml:space="preserve"> por los integrantes del Comité, lo cual no aconteció en la prórroga notificada por el Sujeto Obligado, toda vez que no remitió el acuerdo del Comité de Transparencia en el que se aprobó la prórroga de referencia, violentando lo dispuesto en el artículo 163 de la Ley de Transparencia y Acceso a la Información Pública del Estado de México y Municipios</w:t>
      </w:r>
      <w:r w:rsidRPr="00C51CE4">
        <w:rPr>
          <w:rFonts w:ascii="Palatino Linotype" w:eastAsia="Palatino Linotype" w:hAnsi="Palatino Linotype" w:cs="Palatino Linotype"/>
          <w:i/>
          <w:iCs/>
          <w:color w:val="222222"/>
        </w:rPr>
        <w:t>.</w:t>
      </w:r>
    </w:p>
    <w:p w:rsidR="00035DB3" w:rsidRPr="00C51CE4" w:rsidRDefault="0084126B">
      <w:pPr>
        <w:numPr>
          <w:ilvl w:val="0"/>
          <w:numId w:val="6"/>
        </w:numPr>
        <w:pBdr>
          <w:top w:val="nil"/>
          <w:left w:val="nil"/>
          <w:bottom w:val="nil"/>
          <w:right w:val="nil"/>
          <w:between w:val="nil"/>
        </w:pBdr>
        <w:spacing w:line="360" w:lineRule="auto"/>
        <w:ind w:left="0" w:right="-574" w:firstLine="0"/>
        <w:jc w:val="both"/>
        <w:rPr>
          <w:rFonts w:ascii="Palatino Linotype" w:eastAsia="Palatino Linotype" w:hAnsi="Palatino Linotype" w:cs="Palatino Linotype"/>
        </w:rPr>
      </w:pPr>
      <w:bookmarkStart w:id="5" w:name="_heading=h.2et92p0" w:colFirst="0" w:colLast="0"/>
      <w:bookmarkEnd w:id="5"/>
      <w:r w:rsidRPr="00C51CE4">
        <w:rPr>
          <w:rFonts w:ascii="Palatino Linotype" w:eastAsia="Palatino Linotype" w:hAnsi="Palatino Linotype" w:cs="Palatino Linotype"/>
          <w:color w:val="222222"/>
        </w:rPr>
        <w:lastRenderedPageBreak/>
        <w:t>Por l</w:t>
      </w:r>
      <w:r w:rsidRPr="00C51CE4">
        <w:rPr>
          <w:rFonts w:ascii="Palatino Linotype" w:eastAsia="Palatino Linotype" w:hAnsi="Palatino Linotype" w:cs="Palatino Linotype"/>
        </w:rPr>
        <w:t>o</w:t>
      </w:r>
      <w:r w:rsidRPr="00C51CE4">
        <w:rPr>
          <w:rFonts w:ascii="Palatino Linotype" w:eastAsia="Palatino Linotype" w:hAnsi="Palatino Linotype" w:cs="Palatino Linotype"/>
          <w:color w:val="222222"/>
        </w:rPr>
        <w:t xml:space="preserve"> que se exhorta al Sujeto Obligado en subsecuentes ocasiones acatar las formalidades establecidas en la norma.</w:t>
      </w:r>
    </w:p>
    <w:p w:rsidR="00035DB3" w:rsidRPr="00C51CE4" w:rsidRDefault="00035DB3">
      <w:pPr>
        <w:pBdr>
          <w:top w:val="nil"/>
          <w:left w:val="nil"/>
          <w:bottom w:val="nil"/>
          <w:right w:val="nil"/>
          <w:between w:val="nil"/>
        </w:pBdr>
        <w:spacing w:line="360" w:lineRule="auto"/>
        <w:ind w:right="-574"/>
        <w:jc w:val="both"/>
        <w:rPr>
          <w:rFonts w:ascii="Palatino Linotype" w:eastAsia="Palatino Linotype" w:hAnsi="Palatino Linotype" w:cs="Palatino Linotype"/>
        </w:rPr>
      </w:pPr>
    </w:p>
    <w:p w:rsidR="00035DB3" w:rsidRPr="00C51CE4" w:rsidRDefault="0084126B">
      <w:pPr>
        <w:pStyle w:val="Ttulo2"/>
        <w:ind w:right="-574"/>
        <w:rPr>
          <w:rFonts w:ascii="Palatino Linotype" w:eastAsia="Palatino Linotype" w:hAnsi="Palatino Linotype" w:cs="Palatino Linotype"/>
          <w:b/>
          <w:bCs/>
          <w:i/>
          <w:iCs/>
          <w:color w:val="000000"/>
          <w:sz w:val="24"/>
          <w:szCs w:val="24"/>
        </w:rPr>
      </w:pPr>
      <w:r w:rsidRPr="00C51CE4">
        <w:rPr>
          <w:rFonts w:ascii="Palatino Linotype" w:eastAsia="Palatino Linotype" w:hAnsi="Palatino Linotype" w:cs="Palatino Linotype"/>
          <w:b/>
          <w:bCs/>
          <w:color w:val="000000"/>
          <w:sz w:val="24"/>
          <w:szCs w:val="24"/>
        </w:rPr>
        <w:t xml:space="preserve">TERCERO. Del planteamiento de la </w:t>
      </w:r>
      <w:r w:rsidRPr="00C51CE4">
        <w:rPr>
          <w:rFonts w:ascii="Palatino Linotype" w:eastAsia="Palatino Linotype" w:hAnsi="Palatino Linotype" w:cs="Palatino Linotype"/>
          <w:b/>
          <w:bCs/>
          <w:i/>
          <w:iCs/>
          <w:color w:val="000000"/>
          <w:sz w:val="24"/>
          <w:szCs w:val="24"/>
        </w:rPr>
        <w:t>Litis.</w:t>
      </w:r>
    </w:p>
    <w:p w:rsidR="00035DB3" w:rsidRPr="00C51CE4" w:rsidRDefault="00035DB3"/>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Se solicitó tener acceso, a la información que a continuación se simplifica:</w:t>
      </w:r>
    </w:p>
    <w:p w:rsidR="00035DB3" w:rsidRPr="00C51CE4" w:rsidRDefault="0084126B">
      <w:pPr>
        <w:numPr>
          <w:ilvl w:val="0"/>
          <w:numId w:val="2"/>
        </w:numPr>
        <w:pBdr>
          <w:top w:val="nil"/>
          <w:left w:val="nil"/>
          <w:bottom w:val="nil"/>
          <w:right w:val="nil"/>
          <w:between w:val="nil"/>
        </w:pBdr>
        <w:ind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Del Comisario:</w:t>
      </w:r>
    </w:p>
    <w:p w:rsidR="00035DB3" w:rsidRPr="00C51CE4" w:rsidRDefault="0084126B">
      <w:pPr>
        <w:numPr>
          <w:ilvl w:val="1"/>
          <w:numId w:val="3"/>
        </w:numPr>
        <w:pBdr>
          <w:top w:val="nil"/>
          <w:left w:val="nil"/>
          <w:bottom w:val="nil"/>
          <w:right w:val="nil"/>
          <w:between w:val="nil"/>
        </w:pBdr>
        <w:ind w:left="1560"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Recibo de nómina de la quincena del 01 al 15 de agosto de 2025.</w:t>
      </w:r>
    </w:p>
    <w:p w:rsidR="00035DB3" w:rsidRPr="00C51CE4" w:rsidRDefault="0084126B">
      <w:pPr>
        <w:numPr>
          <w:ilvl w:val="1"/>
          <w:numId w:val="3"/>
        </w:numPr>
        <w:pBdr>
          <w:top w:val="nil"/>
          <w:left w:val="nil"/>
          <w:bottom w:val="nil"/>
          <w:right w:val="nil"/>
          <w:between w:val="nil"/>
        </w:pBdr>
        <w:ind w:left="1560"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Permiso de portación de arma de fuego.</w:t>
      </w:r>
    </w:p>
    <w:p w:rsidR="00035DB3" w:rsidRPr="00C51CE4" w:rsidRDefault="0084126B">
      <w:pPr>
        <w:numPr>
          <w:ilvl w:val="1"/>
          <w:numId w:val="3"/>
        </w:numPr>
        <w:pBdr>
          <w:top w:val="nil"/>
          <w:left w:val="nil"/>
          <w:bottom w:val="nil"/>
          <w:right w:val="nil"/>
          <w:between w:val="nil"/>
        </w:pBdr>
        <w:ind w:left="1560"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Examen de control de confianza y si está aprobado o no.</w:t>
      </w:r>
    </w:p>
    <w:p w:rsidR="00035DB3" w:rsidRPr="00C51CE4" w:rsidRDefault="00035DB3">
      <w:pPr>
        <w:pBdr>
          <w:top w:val="nil"/>
          <w:left w:val="nil"/>
          <w:bottom w:val="nil"/>
          <w:right w:val="nil"/>
          <w:between w:val="nil"/>
        </w:pBdr>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rPr>
        <w:t>En respuesta, el Sujeto Obligado</w:t>
      </w:r>
      <w:r w:rsidRPr="00C51CE4">
        <w:rPr>
          <w:rFonts w:ascii="Palatino Linotype" w:eastAsia="Palatino Linotype" w:hAnsi="Palatino Linotype" w:cs="Palatino Linotype"/>
          <w:b/>
          <w:bCs/>
        </w:rPr>
        <w:t xml:space="preserve"> </w:t>
      </w:r>
      <w:r w:rsidRPr="00C51CE4">
        <w:rPr>
          <w:rFonts w:ascii="Palatino Linotype" w:eastAsia="Palatino Linotype" w:hAnsi="Palatino Linotype" w:cs="Palatino Linotype"/>
        </w:rPr>
        <w:t>remitió el archivo ya descrito en el anterior párrafo 3, inconforme con la respuesta, se interpuso recurso de revisión argumentando sustancialmente la negativa de la información solicitada.</w:t>
      </w:r>
    </w:p>
    <w:p w:rsidR="00035DB3" w:rsidRPr="00C51CE4" w:rsidRDefault="00035DB3">
      <w:pPr>
        <w:ind w:left="720" w:right="-574"/>
        <w:jc w:val="both"/>
        <w:rPr>
          <w:rFonts w:ascii="Palatino Linotype" w:eastAsia="Palatino Linotype" w:hAnsi="Palatino Linotype" w:cs="Palatino Linotype"/>
          <w:i/>
          <w:iCs/>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C51CE4">
        <w:rPr>
          <w:rFonts w:ascii="Palatino Linotype" w:eastAsia="Palatino Linotype" w:hAnsi="Palatino Linotype" w:cs="Palatino Linotype"/>
          <w:b/>
          <w:bCs/>
        </w:rPr>
        <w:t>179, fracción I, de la Ley de Transparencia y Acceso a la Información Pública del Estado de México y Municipios</w:t>
      </w:r>
      <w:r w:rsidRPr="00C51CE4">
        <w:rPr>
          <w:rFonts w:ascii="Palatino Linotype" w:eastAsia="Palatino Linotype" w:hAnsi="Palatino Linotype" w:cs="Palatino Linotype"/>
        </w:rPr>
        <w:t xml:space="preserve">; </w:t>
      </w:r>
      <w:r w:rsidRPr="00C51CE4">
        <w:rPr>
          <w:rFonts w:ascii="Palatino Linotype" w:eastAsia="Palatino Linotype" w:hAnsi="Palatino Linotype" w:cs="Palatino Linotype"/>
          <w:color w:val="000000"/>
        </w:rPr>
        <w:t xml:space="preserve">fracción que determina la hipótesis relativa a </w:t>
      </w:r>
      <w:r w:rsidRPr="00C51CE4">
        <w:rPr>
          <w:rFonts w:ascii="Palatino Linotype" w:eastAsia="Palatino Linotype" w:hAnsi="Palatino Linotype" w:cs="Palatino Linotype"/>
          <w:b/>
          <w:bCs/>
          <w:color w:val="000000"/>
        </w:rPr>
        <w:t>la negativa a la información solicitada</w:t>
      </w:r>
      <w:r w:rsidRPr="00C51CE4">
        <w:rPr>
          <w:rFonts w:ascii="Palatino Linotype" w:eastAsia="Palatino Linotype" w:hAnsi="Palatino Linotype" w:cs="Palatino Linotype"/>
          <w:color w:val="000000"/>
        </w:rPr>
        <w:t xml:space="preserve">; </w:t>
      </w:r>
      <w:r w:rsidRPr="00C51CE4">
        <w:rPr>
          <w:rFonts w:ascii="Palatino Linotype" w:eastAsia="Palatino Linotype" w:hAnsi="Palatino Linotype" w:cs="Palatino Linotype"/>
        </w:rPr>
        <w:t>contexto del cual se dolió el Recurrente al momento de interponer su inconformidad.</w:t>
      </w:r>
      <w:r w:rsidRPr="00C51CE4">
        <w:rPr>
          <w:rFonts w:ascii="Palatino Linotype" w:eastAsia="Palatino Linotype" w:hAnsi="Palatino Linotype" w:cs="Palatino Linotype"/>
          <w:color w:val="000000"/>
        </w:rPr>
        <w:t xml:space="preserve"> De modo tal que el presente recurso de revisión se </w:t>
      </w:r>
      <w:r w:rsidRPr="00C51CE4">
        <w:rPr>
          <w:rFonts w:ascii="Palatino Linotype" w:eastAsia="Palatino Linotype" w:hAnsi="Palatino Linotype" w:cs="Palatino Linotype"/>
        </w:rPr>
        <w:t>abocará</w:t>
      </w:r>
      <w:r w:rsidRPr="00C51CE4">
        <w:rPr>
          <w:rFonts w:ascii="Palatino Linotype" w:eastAsia="Palatino Linotype" w:hAnsi="Palatino Linotype" w:cs="Palatino Linotype"/>
          <w:color w:val="000000"/>
        </w:rPr>
        <w:t xml:space="preserve"> en determinar si el Sujeto Obligado con su respuesta ciertamente actualiza la causal de procedencia</w:t>
      </w:r>
      <w:r w:rsidRPr="00C51CE4">
        <w:rPr>
          <w:rFonts w:ascii="Palatino Linotype" w:eastAsia="Palatino Linotype" w:hAnsi="Palatino Linotype" w:cs="Palatino Linotype"/>
          <w:b/>
          <w:bCs/>
          <w:color w:val="000000"/>
        </w:rPr>
        <w:t xml:space="preserve"> </w:t>
      </w:r>
      <w:r w:rsidRPr="00C51CE4">
        <w:rPr>
          <w:rFonts w:ascii="Palatino Linotype" w:eastAsia="Palatino Linotype" w:hAnsi="Palatino Linotype" w:cs="Palatino Linotype"/>
          <w:color w:val="000000"/>
        </w:rPr>
        <w:t>señalada.</w:t>
      </w:r>
    </w:p>
    <w:p w:rsidR="00035DB3" w:rsidRPr="00C51CE4" w:rsidRDefault="00035DB3">
      <w:pPr>
        <w:spacing w:line="360" w:lineRule="auto"/>
        <w:ind w:right="-574"/>
        <w:rPr>
          <w:rFonts w:ascii="Palatino Linotype" w:eastAsia="Palatino Linotype" w:hAnsi="Palatino Linotype" w:cs="Palatino Linotype"/>
        </w:rPr>
      </w:pPr>
    </w:p>
    <w:p w:rsidR="00035DB3" w:rsidRPr="00C51CE4" w:rsidRDefault="0084126B">
      <w:pPr>
        <w:pStyle w:val="Ttulo2"/>
        <w:ind w:right="-574"/>
        <w:rPr>
          <w:rFonts w:ascii="Palatino Linotype" w:eastAsia="Palatino Linotype" w:hAnsi="Palatino Linotype" w:cs="Palatino Linotype"/>
          <w:b/>
          <w:bCs/>
          <w:color w:val="000000"/>
          <w:sz w:val="24"/>
          <w:szCs w:val="24"/>
        </w:rPr>
      </w:pPr>
      <w:bookmarkStart w:id="6" w:name="_heading=h.1t3h5sf" w:colFirst="0" w:colLast="0"/>
      <w:bookmarkEnd w:id="6"/>
      <w:r w:rsidRPr="00C51CE4">
        <w:rPr>
          <w:rFonts w:ascii="Palatino Linotype" w:eastAsia="Palatino Linotype" w:hAnsi="Palatino Linotype" w:cs="Palatino Linotype"/>
          <w:b/>
          <w:bCs/>
          <w:color w:val="000000"/>
          <w:sz w:val="24"/>
          <w:szCs w:val="24"/>
        </w:rPr>
        <w:t>CUARTO. Del estudio y resolución del asunto.</w:t>
      </w: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w:t>
      </w:r>
      <w:r w:rsidRPr="00C51CE4">
        <w:rPr>
          <w:rFonts w:ascii="Palatino Linotype" w:eastAsia="Palatino Linotype" w:hAnsi="Palatino Linotype" w:cs="Palatino Linotype"/>
        </w:rPr>
        <w:lastRenderedPageBreak/>
        <w:t>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035DB3" w:rsidRPr="00C51CE4" w:rsidRDefault="00035DB3">
      <w:pPr>
        <w:pBdr>
          <w:top w:val="nil"/>
          <w:left w:val="nil"/>
          <w:bottom w:val="nil"/>
          <w:right w:val="nil"/>
          <w:between w:val="nil"/>
        </w:pBdr>
        <w:spacing w:line="360" w:lineRule="auto"/>
        <w:ind w:left="720" w:right="-574"/>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035DB3" w:rsidRPr="00C51CE4" w:rsidRDefault="0084126B">
      <w:pPr>
        <w:numPr>
          <w:ilvl w:val="0"/>
          <w:numId w:val="11"/>
        </w:numPr>
        <w:pBdr>
          <w:top w:val="nil"/>
          <w:left w:val="nil"/>
          <w:bottom w:val="nil"/>
          <w:right w:val="nil"/>
          <w:between w:val="nil"/>
        </w:pBdr>
        <w:spacing w:line="360" w:lineRule="auto"/>
        <w:ind w:right="-574"/>
        <w:rPr>
          <w:rFonts w:ascii="Palatino Linotype" w:eastAsia="Palatino Linotype" w:hAnsi="Palatino Linotype" w:cs="Palatino Linotype"/>
          <w:b/>
          <w:bCs/>
          <w:color w:val="000000"/>
        </w:rPr>
      </w:pPr>
      <w:r w:rsidRPr="00C51CE4">
        <w:rPr>
          <w:rFonts w:ascii="Palatino Linotype" w:eastAsia="Palatino Linotype" w:hAnsi="Palatino Linotype" w:cs="Palatino Linotype"/>
          <w:b/>
          <w:bCs/>
          <w:color w:val="000000"/>
        </w:rPr>
        <w:lastRenderedPageBreak/>
        <w:t>Del Sujeto Obligado.</w:t>
      </w:r>
    </w:p>
    <w:p w:rsidR="00035DB3" w:rsidRPr="00C51CE4" w:rsidRDefault="0084126B">
      <w:pPr>
        <w:numPr>
          <w:ilvl w:val="0"/>
          <w:numId w:val="6"/>
        </w:numPr>
        <w:spacing w:line="360" w:lineRule="auto"/>
        <w:ind w:left="0" w:right="-574" w:firstLine="0"/>
        <w:jc w:val="both"/>
      </w:pPr>
      <w:r w:rsidRPr="00C51CE4">
        <w:rPr>
          <w:rFonts w:ascii="Palatino Linotype" w:eastAsia="Palatino Linotype" w:hAnsi="Palatino Linotype" w:cs="Palatino Linotype"/>
        </w:rPr>
        <w:t>Para el ejercicio de sus atribuciones y responsabilidades ejecutivas, el Gobierno Municipal se auxiliará de las dependencias y entidades que tenga a bien aprobar el Ayuntamiento, y dentro de sus dependencias cuenta con las señaladas en el artículo 35, del Bando Municipal 2025:</w:t>
      </w:r>
    </w:p>
    <w:p w:rsidR="00035DB3" w:rsidRPr="00C51CE4" w:rsidRDefault="0084126B">
      <w:pPr>
        <w:ind w:left="567" w:right="-574"/>
        <w:jc w:val="center"/>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 xml:space="preserve">Bando Municipal </w:t>
      </w:r>
    </w:p>
    <w:p w:rsidR="00035DB3" w:rsidRPr="00C51CE4" w:rsidRDefault="00035DB3">
      <w:pPr>
        <w:ind w:left="567" w:right="-574"/>
        <w:jc w:val="center"/>
        <w:rPr>
          <w:rFonts w:ascii="Palatino Linotype" w:eastAsia="Palatino Linotype" w:hAnsi="Palatino Linotype" w:cs="Palatino Linotype"/>
          <w:b/>
          <w:bCs/>
          <w:i/>
          <w:iCs/>
        </w:rPr>
      </w:pPr>
    </w:p>
    <w:p w:rsidR="00035DB3" w:rsidRPr="00C51CE4" w:rsidRDefault="0084126B">
      <w:pPr>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 xml:space="preserve">Artículo 35. </w:t>
      </w:r>
      <w:r w:rsidRPr="00C51CE4">
        <w:rPr>
          <w:rFonts w:ascii="Palatino Linotype" w:eastAsia="Palatino Linotype" w:hAnsi="Palatino Linotype" w:cs="Palatino Linotype"/>
          <w:i/>
          <w:iCs/>
        </w:rPr>
        <w:t xml:space="preserve">Para el estudio, planeación y despacho de los asuntos de </w:t>
      </w:r>
      <w:r w:rsidRPr="00C51CE4">
        <w:rPr>
          <w:rFonts w:ascii="Palatino Linotype" w:eastAsia="Palatino Linotype" w:hAnsi="Palatino Linotype" w:cs="Palatino Linotype"/>
          <w:b/>
          <w:bCs/>
          <w:i/>
          <w:iCs/>
        </w:rPr>
        <w:t>la Administración Pública Municipal</w:t>
      </w:r>
      <w:r w:rsidRPr="00C51CE4">
        <w:rPr>
          <w:rFonts w:ascii="Palatino Linotype" w:eastAsia="Palatino Linotype" w:hAnsi="Palatino Linotype" w:cs="Palatino Linotype"/>
          <w:i/>
          <w:iCs/>
        </w:rPr>
        <w:t xml:space="preserve"> centralizada, la persona titular de la Presidencia Municipal </w:t>
      </w:r>
      <w:r w:rsidRPr="00C51CE4">
        <w:rPr>
          <w:rFonts w:ascii="Palatino Linotype" w:eastAsia="Palatino Linotype" w:hAnsi="Palatino Linotype" w:cs="Palatino Linotype"/>
          <w:b/>
          <w:bCs/>
          <w:i/>
          <w:iCs/>
        </w:rPr>
        <w:t>se auxiliará de las siguientes dependencias:</w:t>
      </w:r>
    </w:p>
    <w:p w:rsidR="00035DB3" w:rsidRPr="00C51CE4" w:rsidRDefault="0084126B">
      <w:pPr>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w:t>
      </w:r>
    </w:p>
    <w:p w:rsidR="00035DB3" w:rsidRPr="00C51CE4" w:rsidRDefault="0084126B">
      <w:pPr>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-TESORERÍA</w:t>
      </w:r>
    </w:p>
    <w:p w:rsidR="00035DB3" w:rsidRPr="00C51CE4" w:rsidRDefault="0084126B">
      <w:pPr>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w:t>
      </w:r>
    </w:p>
    <w:p w:rsidR="00035DB3" w:rsidRPr="00C51CE4" w:rsidRDefault="0084126B">
      <w:pPr>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 xml:space="preserve">DIRECCIÓN DE ADMINISTRACIÓN </w:t>
      </w:r>
    </w:p>
    <w:p w:rsidR="00035DB3" w:rsidRPr="00C51CE4" w:rsidRDefault="0084126B">
      <w:pPr>
        <w:ind w:left="567" w:right="-574" w:firstLine="152"/>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_COORDINACIÓN DE RECURSOS HUMANOS Y NÓMINA</w:t>
      </w:r>
    </w:p>
    <w:p w:rsidR="00035DB3" w:rsidRPr="00C51CE4" w:rsidRDefault="0084126B">
      <w:pPr>
        <w:ind w:left="567" w:right="-574" w:firstLine="152"/>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w:t>
      </w:r>
    </w:p>
    <w:p w:rsidR="00035DB3" w:rsidRPr="00C51CE4" w:rsidRDefault="0084126B">
      <w:pPr>
        <w:ind w:left="567" w:right="-574" w:firstLine="152"/>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DIRECCIÓN DE SEGURIDAD PÚBLICA.</w:t>
      </w:r>
    </w:p>
    <w:p w:rsidR="00035DB3" w:rsidRPr="00C51CE4" w:rsidRDefault="0084126B">
      <w:pPr>
        <w:ind w:left="567" w:right="-574" w:firstLine="152"/>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w:t>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La </w:t>
      </w:r>
      <w:r w:rsidRPr="00C51CE4">
        <w:rPr>
          <w:rFonts w:ascii="Palatino Linotype" w:eastAsia="Palatino Linotype" w:hAnsi="Palatino Linotype" w:cs="Palatino Linotype"/>
          <w:b/>
          <w:bCs/>
          <w:color w:val="000000"/>
        </w:rPr>
        <w:t>Tesorería Municipal</w:t>
      </w:r>
      <w:r w:rsidRPr="00C51CE4">
        <w:rPr>
          <w:rFonts w:ascii="Palatino Linotype" w:eastAsia="Palatino Linotype" w:hAnsi="Palatino Linotype" w:cs="Palatino Linotype"/>
          <w:color w:val="000000"/>
        </w:rPr>
        <w:t xml:space="preserve"> es el órgano encargado de la recaudación de los ingresos municipales y de los derivados de la suscripción de convenios, así como responsable de realizar las erogaciones que haga el Municipio de conformidad con las disposiciones legales aplicables, sin perjuicio de lo que establece el artículo 95 de la Ley Orgánica Municipal y demás aplicables.</w:t>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La </w:t>
      </w:r>
      <w:r w:rsidRPr="00C51CE4">
        <w:rPr>
          <w:rFonts w:ascii="Palatino Linotype" w:eastAsia="Palatino Linotype" w:hAnsi="Palatino Linotype" w:cs="Palatino Linotype"/>
          <w:b/>
          <w:bCs/>
          <w:color w:val="000000"/>
        </w:rPr>
        <w:t>Dirección de Administración</w:t>
      </w:r>
      <w:r w:rsidRPr="00C51CE4">
        <w:rPr>
          <w:rFonts w:ascii="Palatino Linotype" w:eastAsia="Palatino Linotype" w:hAnsi="Palatino Linotype" w:cs="Palatino Linotype"/>
          <w:color w:val="000000"/>
        </w:rPr>
        <w:t xml:space="preserve"> es la dependencia responsable de administrar los recursos humanos, materiales y de servicios de las diversas unidades administrativas que conforman la administración pública municipal y atenderá las relaciones laborales y dentro </w:t>
      </w:r>
      <w:r w:rsidRPr="00C51CE4">
        <w:rPr>
          <w:rFonts w:ascii="Palatino Linotype" w:eastAsia="Palatino Linotype" w:hAnsi="Palatino Linotype" w:cs="Palatino Linotype"/>
          <w:color w:val="000000"/>
        </w:rPr>
        <w:lastRenderedPageBreak/>
        <w:t>de sus unidades administrativas contará con la Coordinación de Recursos Humanos y Nómina, de conformidad con los artículos 65 y 66 del Banco Municipal.</w:t>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El Ayuntamiento de Capulhuac, establecerá las bases para la organización y funcionamiento del Sistema de Seguridad Pública dentro de la demarcación Municipal, y la </w:t>
      </w:r>
      <w:r w:rsidRPr="00C51CE4">
        <w:rPr>
          <w:rFonts w:ascii="Palatino Linotype" w:eastAsia="Palatino Linotype" w:hAnsi="Palatino Linotype" w:cs="Palatino Linotype"/>
          <w:b/>
          <w:bCs/>
          <w:color w:val="000000"/>
        </w:rPr>
        <w:t>Dirección de Seguridad Pública Municipal</w:t>
      </w:r>
      <w:r w:rsidRPr="00C51CE4">
        <w:rPr>
          <w:rFonts w:ascii="Palatino Linotype" w:eastAsia="Palatino Linotype" w:hAnsi="Palatino Linotype" w:cs="Palatino Linotype"/>
          <w:color w:val="000000"/>
        </w:rPr>
        <w:t>, será la responsable de garantizar el orden público y la paz social dentro del territorio municipal, debiendo prevenir la comisión de hechos delictivos, faltas administrativas y conductas antisociales en estricto apego a los derechos humanos, a la equidad de género y a la no discriminación; debiendo los elementos policiales actuar bajo los principios de legalidad, objetividad, eficiencia, honradez y respeto a los Derechos, de conformidad con el artículo 68 del Banco Municipal.</w:t>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Es de precisar que si de las respuestas remitidas se advierten pronunciamientos de solo del Tesorero Municipal y del Director de Administración, del tablero de SAIMEX se advierte que la solicitud también fue turnada al Titular de la Dirección de Seguridad Pública, tal como se muestra en la captura de pantalla del SAIMEX, como en el directorio del Sujeto Obligado.</w:t>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rsidP="00C51CE4">
      <w:pPr>
        <w:spacing w:line="360" w:lineRule="auto"/>
        <w:ind w:right="-574"/>
        <w:jc w:val="center"/>
        <w:rPr>
          <w:rFonts w:ascii="Palatino Linotype" w:eastAsia="Palatino Linotype" w:hAnsi="Palatino Linotype" w:cs="Palatino Linotype"/>
          <w:color w:val="000000"/>
        </w:rPr>
      </w:pPr>
      <w:r w:rsidRPr="00C51CE4">
        <w:rPr>
          <w:rFonts w:ascii="Palatino Linotype" w:eastAsia="Palatino Linotype" w:hAnsi="Palatino Linotype" w:cs="Palatino Linotype"/>
          <w:noProof/>
          <w:color w:val="000000"/>
          <w:lang w:val="es-MX"/>
        </w:rPr>
        <w:drawing>
          <wp:inline distT="0" distB="0" distL="0" distR="0">
            <wp:extent cx="5756275" cy="12287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56275" cy="1228725"/>
                    </a:xfrm>
                    <a:prstGeom prst="rect">
                      <a:avLst/>
                    </a:prstGeom>
                    <a:ln/>
                  </pic:spPr>
                </pic:pic>
              </a:graphicData>
            </a:graphic>
          </wp:inline>
        </w:drawing>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rsidP="00C51CE4">
      <w:pPr>
        <w:spacing w:line="360" w:lineRule="auto"/>
        <w:ind w:right="-574"/>
        <w:jc w:val="center"/>
        <w:rPr>
          <w:rFonts w:ascii="Palatino Linotype" w:eastAsia="Palatino Linotype" w:hAnsi="Palatino Linotype" w:cs="Palatino Linotype"/>
          <w:color w:val="000000"/>
        </w:rPr>
      </w:pPr>
      <w:r w:rsidRPr="00C51CE4">
        <w:rPr>
          <w:rFonts w:ascii="Palatino Linotype" w:eastAsia="Palatino Linotype" w:hAnsi="Palatino Linotype" w:cs="Palatino Linotype"/>
          <w:noProof/>
          <w:color w:val="000000"/>
          <w:lang w:val="es-MX"/>
        </w:rPr>
        <w:lastRenderedPageBreak/>
        <w:drawing>
          <wp:inline distT="0" distB="0" distL="0" distR="0">
            <wp:extent cx="5756275" cy="102743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756275" cy="1027430"/>
                    </a:xfrm>
                    <a:prstGeom prst="rect">
                      <a:avLst/>
                    </a:prstGeom>
                    <a:ln/>
                  </pic:spPr>
                </pic:pic>
              </a:graphicData>
            </a:graphic>
          </wp:inline>
        </w:drawing>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pPr>
      <w:r w:rsidRPr="00C51CE4">
        <w:rPr>
          <w:rFonts w:ascii="Palatino Linotype" w:eastAsia="Palatino Linotype" w:hAnsi="Palatino Linotype" w:cs="Palatino Linotype"/>
        </w:rPr>
        <w:t xml:space="preserve">De lo expuesto es de precisar que la respuesta fue emitida por el </w:t>
      </w:r>
      <w:r w:rsidRPr="00C51CE4">
        <w:rPr>
          <w:rFonts w:ascii="Palatino Linotype" w:eastAsia="Palatino Linotype" w:hAnsi="Palatino Linotype" w:cs="Palatino Linotype"/>
          <w:b/>
          <w:bCs/>
        </w:rPr>
        <w:t>Tesorero Municipal y el Director de Administración</w:t>
      </w:r>
      <w:r w:rsidRPr="00C51CE4">
        <w:rPr>
          <w:rFonts w:ascii="Palatino Linotype" w:eastAsia="Palatino Linotype" w:hAnsi="Palatino Linotype" w:cs="Palatino Linotype"/>
        </w:rPr>
        <w:t xml:space="preserve">, posteriormente a través de informe justificado se advierte el pronunciamiento del </w:t>
      </w:r>
      <w:r w:rsidRPr="00C51CE4">
        <w:rPr>
          <w:rFonts w:ascii="Palatino Linotype" w:eastAsia="Palatino Linotype" w:hAnsi="Palatino Linotype" w:cs="Palatino Linotype"/>
          <w:b/>
          <w:bCs/>
        </w:rPr>
        <w:t>Director de Seguridad Pública,</w:t>
      </w:r>
      <w:r w:rsidRPr="00C51CE4">
        <w:rPr>
          <w:rFonts w:ascii="Palatino Linotype" w:eastAsia="Palatino Linotype" w:hAnsi="Palatino Linotype" w:cs="Palatino Linotype"/>
        </w:rPr>
        <w:t xml:space="preserve"> por lo que podemos advertir que </w:t>
      </w:r>
      <w:r w:rsidRPr="00C51CE4">
        <w:rPr>
          <w:rFonts w:ascii="Palatino Linotype" w:eastAsia="Palatino Linotype" w:hAnsi="Palatino Linotype" w:cs="Palatino Linotype"/>
          <w:b/>
          <w:bCs/>
        </w:rPr>
        <w:t xml:space="preserve">EL SUJETO OBLIGADO </w:t>
      </w:r>
      <w:r w:rsidRPr="00C51CE4">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XXXIX.</w:t>
      </w:r>
      <w:r w:rsidRPr="00C51CE4">
        <w:rPr>
          <w:rFonts w:ascii="Palatino Linotype" w:eastAsia="Palatino Linotype" w:hAnsi="Palatino Linotype" w:cs="Palatino Linotype"/>
          <w:i/>
          <w:iCs/>
        </w:rPr>
        <w:t xml:space="preserve"> </w:t>
      </w:r>
      <w:r w:rsidRPr="00C51CE4">
        <w:rPr>
          <w:rFonts w:ascii="Palatino Linotype" w:eastAsia="Palatino Linotype" w:hAnsi="Palatino Linotype" w:cs="Palatino Linotype"/>
          <w:b/>
          <w:bCs/>
          <w:i/>
          <w:iCs/>
        </w:rPr>
        <w:t>Servidor público habilitado</w:t>
      </w:r>
      <w:r w:rsidRPr="00C51CE4">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035DB3" w:rsidRPr="00C51CE4" w:rsidRDefault="00035DB3">
      <w:pPr>
        <w:spacing w:line="360" w:lineRule="auto"/>
        <w:ind w:left="708"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pPr>
      <w:r w:rsidRPr="00C51CE4">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b/>
          <w:bCs/>
          <w:i/>
          <w:iCs/>
        </w:rPr>
        <w:t>Artículo 162.</w:t>
      </w:r>
      <w:r w:rsidRPr="00C51CE4">
        <w:rPr>
          <w:rFonts w:ascii="Palatino Linotype" w:eastAsia="Palatino Linotype" w:hAnsi="Palatino Linotype" w:cs="Palatino Linotype"/>
          <w:i/>
          <w:iCs/>
        </w:rPr>
        <w:t xml:space="preserve"> Las unidades de transparencia deberán garantizar que las solicitudes se turnen a </w:t>
      </w:r>
      <w:r w:rsidRPr="00C51CE4">
        <w:rPr>
          <w:rFonts w:ascii="Palatino Linotype" w:eastAsia="Palatino Linotype" w:hAnsi="Palatino Linotype" w:cs="Palatino Linotype"/>
          <w:b/>
          <w:bCs/>
          <w:i/>
          <w:iCs/>
        </w:rPr>
        <w:t>todas las Áreas competentes</w:t>
      </w:r>
      <w:r w:rsidRPr="00C51CE4">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color w:val="000000"/>
        </w:rPr>
      </w:pPr>
      <w:r w:rsidRPr="00C51CE4">
        <w:rPr>
          <w:rFonts w:ascii="Palatino Linotype" w:eastAsia="Palatino Linotype" w:hAnsi="Palatino Linotype" w:cs="Palatino Linotype"/>
        </w:rPr>
        <w:lastRenderedPageBreak/>
        <w:t>Es</w:t>
      </w:r>
      <w:r w:rsidRPr="00C51CE4">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035DB3" w:rsidRPr="00C51CE4" w:rsidRDefault="0084126B">
      <w:pP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w:t>
      </w:r>
      <w:r w:rsidRPr="00C51CE4">
        <w:rPr>
          <w:rFonts w:ascii="Palatino Linotype" w:eastAsia="Palatino Linotype" w:hAnsi="Palatino Linotype" w:cs="Palatino Linotype"/>
          <w:b/>
          <w:bCs/>
          <w:i/>
          <w:iCs/>
          <w:color w:val="000000"/>
        </w:rPr>
        <w:t xml:space="preserve">Artículo 3. </w:t>
      </w:r>
      <w:r w:rsidRPr="00C51CE4">
        <w:rPr>
          <w:rFonts w:ascii="Palatino Linotype" w:eastAsia="Palatino Linotype" w:hAnsi="Palatino Linotype" w:cs="Palatino Linotype"/>
          <w:i/>
          <w:iCs/>
          <w:color w:val="000000"/>
        </w:rPr>
        <w:t>Para los efectos de la presente Ley se entenderá por:</w:t>
      </w:r>
    </w:p>
    <w:p w:rsidR="00035DB3" w:rsidRPr="00C51CE4" w:rsidRDefault="0084126B">
      <w:pP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w:t>
      </w:r>
    </w:p>
    <w:p w:rsidR="00035DB3" w:rsidRPr="00C51CE4" w:rsidRDefault="0084126B">
      <w:pP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b/>
          <w:bCs/>
          <w:i/>
          <w:iCs/>
          <w:color w:val="000000"/>
        </w:rPr>
        <w:t>XI. Documento:</w:t>
      </w:r>
      <w:r w:rsidRPr="00C51CE4">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035DB3" w:rsidRPr="00C51CE4" w:rsidRDefault="0084126B">
      <w:pPr>
        <w:spacing w:line="360" w:lineRule="auto"/>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w:t>
      </w:r>
    </w:p>
    <w:p w:rsidR="00035DB3" w:rsidRPr="00C51CE4" w:rsidRDefault="00035DB3">
      <w:pPr>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color w:val="000000"/>
        </w:rPr>
      </w:pPr>
      <w:r w:rsidRPr="00C51CE4">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035DB3" w:rsidRPr="00C51CE4" w:rsidRDefault="0084126B">
      <w:pPr>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rPr>
        <w:t>“</w:t>
      </w:r>
      <w:r w:rsidRPr="00C51CE4">
        <w:rPr>
          <w:rFonts w:ascii="Palatino Linotype" w:eastAsia="Palatino Linotype" w:hAnsi="Palatino Linotype" w:cs="Palatino Linotype"/>
          <w:b/>
          <w:bCs/>
          <w:i/>
          <w:iCs/>
        </w:rPr>
        <w:t>CRITERIO 0002-11</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C51CE4">
        <w:rPr>
          <w:rFonts w:ascii="Palatino Linotype" w:eastAsia="Palatino Linotype" w:hAnsi="Palatino Linotype" w:cs="Palatino Linotype"/>
          <w:i/>
          <w:iCs/>
        </w:rPr>
        <w:t xml:space="preserve"> De conformidad con los artículos antes referidos, el derecho de acceso a la </w:t>
      </w:r>
      <w:r w:rsidRPr="00C51CE4">
        <w:rPr>
          <w:rFonts w:ascii="Palatino Linotype" w:eastAsia="Palatino Linotype" w:hAnsi="Palatino Linotype" w:cs="Palatino Linotype"/>
          <w:i/>
          <w:iCs/>
        </w:rPr>
        <w:lastRenderedPageBreak/>
        <w:t>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En consecuencia el acceso a la información se refiere a que se cumplan cualquiera de los siguientes tres supuestos:</w:t>
      </w:r>
    </w:p>
    <w:p w:rsidR="00035DB3" w:rsidRPr="00C51CE4" w:rsidRDefault="0084126B">
      <w:pPr>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 xml:space="preserve">1) </w:t>
      </w:r>
      <w:r w:rsidRPr="00C51CE4">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035DB3" w:rsidRPr="00C51CE4" w:rsidRDefault="0084126B">
      <w:pPr>
        <w:tabs>
          <w:tab w:val="left" w:pos="851"/>
        </w:tabs>
        <w:spacing w:line="360" w:lineRule="auto"/>
        <w:ind w:left="567" w:right="-574"/>
        <w:rPr>
          <w:rFonts w:ascii="Palatino Linotype" w:eastAsia="Palatino Linotype" w:hAnsi="Palatino Linotype" w:cs="Palatino Linotype"/>
        </w:rPr>
      </w:pPr>
      <w:r w:rsidRPr="00C51CE4">
        <w:rPr>
          <w:rFonts w:ascii="Palatino Linotype" w:eastAsia="Palatino Linotype" w:hAnsi="Palatino Linotype" w:cs="Palatino Linotype"/>
        </w:rPr>
        <w:t>(Énfasis Añadido)</w:t>
      </w:r>
    </w:p>
    <w:p w:rsidR="00035DB3" w:rsidRPr="00C51CE4" w:rsidRDefault="00035DB3">
      <w:pPr>
        <w:pBdr>
          <w:top w:val="nil"/>
          <w:left w:val="nil"/>
          <w:bottom w:val="nil"/>
          <w:right w:val="nil"/>
          <w:between w:val="nil"/>
        </w:pBdr>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color w:val="000000"/>
        </w:rPr>
      </w:pPr>
      <w:r w:rsidRPr="00C51CE4">
        <w:rPr>
          <w:rFonts w:ascii="Palatino Linotype" w:eastAsia="Palatino Linotype" w:hAnsi="Palatino Linotype" w:cs="Palatino Linotype"/>
          <w:color w:val="000000"/>
        </w:rPr>
        <w:t>Por su parte los artículos 160 y 166, de la Ley local en la materia, que se reproduce de la siguiente forma:</w:t>
      </w:r>
    </w:p>
    <w:p w:rsidR="00035DB3" w:rsidRPr="00C51CE4" w:rsidRDefault="0084126B">
      <w:pPr>
        <w:ind w:left="566"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b/>
          <w:bCs/>
          <w:i/>
          <w:iCs/>
        </w:rPr>
        <w:t>Artículo 160.</w:t>
      </w:r>
      <w:r w:rsidRPr="00C51CE4">
        <w:rPr>
          <w:rFonts w:ascii="Palatino Linotype" w:eastAsia="Palatino Linotype" w:hAnsi="Palatino Linotype" w:cs="Palatino Linotype"/>
          <w:i/>
          <w:iCs/>
        </w:rPr>
        <w:t xml:space="preserve"> </w:t>
      </w:r>
      <w:r w:rsidRPr="00C51CE4">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C51CE4">
        <w:rPr>
          <w:rFonts w:ascii="Palatino Linotype" w:eastAsia="Palatino Linotype" w:hAnsi="Palatino Linotype" w:cs="Palatino Linotype"/>
          <w:i/>
          <w:iCs/>
        </w:rPr>
        <w:t>.</w:t>
      </w:r>
    </w:p>
    <w:p w:rsidR="00035DB3" w:rsidRPr="00C51CE4" w:rsidRDefault="00035DB3">
      <w:pPr>
        <w:ind w:left="566" w:right="-574"/>
        <w:jc w:val="both"/>
        <w:rPr>
          <w:rFonts w:ascii="Palatino Linotype" w:eastAsia="Palatino Linotype" w:hAnsi="Palatino Linotype" w:cs="Palatino Linotype"/>
          <w:i/>
          <w:iCs/>
        </w:rPr>
      </w:pPr>
    </w:p>
    <w:p w:rsidR="00035DB3" w:rsidRPr="00C51CE4" w:rsidRDefault="0084126B">
      <w:pPr>
        <w:ind w:left="566"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En caso que la información solicitada consista en bases de datos se deberá privilegiar la entrega de la misma en formatos abiertos.</w:t>
      </w:r>
    </w:p>
    <w:p w:rsidR="00035DB3" w:rsidRPr="00C51CE4" w:rsidRDefault="00035DB3">
      <w:pPr>
        <w:ind w:left="566" w:right="-574"/>
        <w:jc w:val="both"/>
        <w:rPr>
          <w:rFonts w:ascii="Palatino Linotype" w:eastAsia="Palatino Linotype" w:hAnsi="Palatino Linotype" w:cs="Palatino Linotype"/>
          <w:i/>
          <w:iCs/>
        </w:rPr>
      </w:pPr>
    </w:p>
    <w:p w:rsidR="00035DB3" w:rsidRPr="00C51CE4" w:rsidRDefault="0084126B">
      <w:pPr>
        <w:ind w:left="566" w:right="-574"/>
        <w:jc w:val="both"/>
        <w:rPr>
          <w:rFonts w:ascii="Palatino Linotype" w:eastAsia="Palatino Linotype" w:hAnsi="Palatino Linotype" w:cs="Palatino Linotype"/>
          <w:i/>
          <w:iCs/>
          <w:u w:val="single"/>
        </w:rPr>
      </w:pPr>
      <w:r w:rsidRPr="00C51CE4">
        <w:rPr>
          <w:rFonts w:ascii="Palatino Linotype" w:eastAsia="Palatino Linotype" w:hAnsi="Palatino Linotype" w:cs="Palatino Linotype"/>
          <w:b/>
          <w:bCs/>
          <w:i/>
          <w:iCs/>
        </w:rPr>
        <w:t>Artículo 166.</w:t>
      </w:r>
      <w:r w:rsidRPr="00C51CE4">
        <w:rPr>
          <w:rFonts w:ascii="Palatino Linotype" w:eastAsia="Palatino Linotype" w:hAnsi="Palatino Linotype" w:cs="Palatino Linotype"/>
          <w:i/>
          <w:iCs/>
        </w:rPr>
        <w:t xml:space="preserve"> </w:t>
      </w:r>
      <w:r w:rsidRPr="00C51CE4">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035DB3" w:rsidRPr="00C51CE4" w:rsidRDefault="0084126B">
      <w:pPr>
        <w:spacing w:line="360" w:lineRule="auto"/>
        <w:ind w:left="566" w:right="-574"/>
        <w:jc w:val="both"/>
        <w:rPr>
          <w:rFonts w:ascii="Palatino Linotype" w:eastAsia="Palatino Linotype" w:hAnsi="Palatino Linotype" w:cs="Palatino Linotype"/>
        </w:rPr>
      </w:pPr>
      <w:r w:rsidRPr="00C51CE4">
        <w:rPr>
          <w:rFonts w:ascii="Palatino Linotype" w:eastAsia="Palatino Linotype" w:hAnsi="Palatino Linotype" w:cs="Palatino Linotype"/>
        </w:rPr>
        <w:t>(Énfasis añadido)</w:t>
      </w:r>
    </w:p>
    <w:p w:rsidR="00035DB3" w:rsidRPr="00C51CE4" w:rsidRDefault="00035DB3">
      <w:pPr>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color w:val="000000"/>
        </w:rPr>
      </w:pPr>
      <w:r w:rsidRPr="00C51CE4">
        <w:rPr>
          <w:rFonts w:ascii="Palatino Linotype" w:eastAsia="Palatino Linotype" w:hAnsi="Palatino Linotype" w:cs="Palatino Linotype"/>
          <w:color w:val="000000"/>
        </w:rPr>
        <w:t xml:space="preserve">Así que la obligación de los Sujetos Obligados de dar acceso a la información pública que generen, administren o posean, se tendrá por cumplida cuando el solicitante tenga a su </w:t>
      </w:r>
      <w:r w:rsidRPr="00C51CE4">
        <w:rPr>
          <w:rFonts w:ascii="Palatino Linotype" w:eastAsia="Palatino Linotype" w:hAnsi="Palatino Linotype" w:cs="Palatino Linotype"/>
          <w:color w:val="000000"/>
        </w:rPr>
        <w:lastRenderedPageBreak/>
        <w:t>disposición la información requerida, o cuando realice la consulta de la misma en el lugar que ésta se localice, siempre y cuando así resultare procedente.</w:t>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rPr>
        <w:t xml:space="preserve">Ahora bien, </w:t>
      </w:r>
      <w:r w:rsidRPr="00C51CE4">
        <w:rPr>
          <w:rFonts w:ascii="Palatino Linotype" w:eastAsia="Palatino Linotype" w:hAnsi="Palatino Linotype" w:cs="Palatino Linotype"/>
          <w:color w:val="000000"/>
        </w:rPr>
        <w:t xml:space="preserve">respecto del punto de solicitud referente al </w:t>
      </w:r>
      <w:r w:rsidRPr="00C51CE4">
        <w:rPr>
          <w:rFonts w:ascii="Palatino Linotype" w:eastAsia="Palatino Linotype" w:hAnsi="Palatino Linotype" w:cs="Palatino Linotype"/>
          <w:i/>
          <w:iCs/>
          <w:color w:val="000000"/>
          <w:u w:val="single"/>
        </w:rPr>
        <w:t>Recibo de nómina de la quincena del 01 al 15 de agosto de 2025,del Comisario</w:t>
      </w:r>
      <w:r w:rsidRPr="00C51CE4">
        <w:rPr>
          <w:rFonts w:ascii="Palatino Linotype" w:eastAsia="Palatino Linotype" w:hAnsi="Palatino Linotype" w:cs="Palatino Linotype"/>
          <w:color w:val="000000"/>
        </w:rPr>
        <w:t xml:space="preserve">, es de recordar que el Sujeto Obligado a través de la </w:t>
      </w:r>
      <w:r w:rsidRPr="00C51CE4">
        <w:rPr>
          <w:rFonts w:ascii="Palatino Linotype" w:eastAsia="Palatino Linotype" w:hAnsi="Palatino Linotype" w:cs="Palatino Linotype"/>
          <w:b/>
          <w:bCs/>
          <w:color w:val="000000"/>
        </w:rPr>
        <w:t>Tesorería Municipal</w:t>
      </w:r>
      <w:r w:rsidRPr="00C51CE4">
        <w:rPr>
          <w:rFonts w:ascii="Palatino Linotype" w:eastAsia="Palatino Linotype" w:hAnsi="Palatino Linotype" w:cs="Palatino Linotype"/>
          <w:color w:val="000000"/>
        </w:rPr>
        <w:t xml:space="preserve"> refirió que </w:t>
      </w:r>
      <w:r w:rsidRPr="00C51CE4">
        <w:rPr>
          <w:rFonts w:ascii="Palatino Linotype" w:eastAsia="Palatino Linotype" w:hAnsi="Palatino Linotype" w:cs="Palatino Linotype"/>
          <w:b/>
          <w:bCs/>
          <w:color w:val="000000"/>
        </w:rPr>
        <w:t xml:space="preserve">no se cuenta con la categoría de "comisario", </w:t>
      </w:r>
      <w:r w:rsidRPr="00C51CE4">
        <w:rPr>
          <w:rFonts w:ascii="Palatino Linotype" w:eastAsia="Palatino Linotype" w:hAnsi="Palatino Linotype" w:cs="Palatino Linotype"/>
          <w:color w:val="000000"/>
        </w:rPr>
        <w:t xml:space="preserve">en la nómina de este Ayuntamiento, y a través de la </w:t>
      </w:r>
      <w:r w:rsidRPr="00C51CE4">
        <w:rPr>
          <w:rFonts w:ascii="Palatino Linotype" w:eastAsia="Palatino Linotype" w:hAnsi="Palatino Linotype" w:cs="Palatino Linotype"/>
          <w:b/>
          <w:bCs/>
          <w:color w:val="000000"/>
        </w:rPr>
        <w:t>Dirección de Administración</w:t>
      </w:r>
      <w:r w:rsidRPr="00C51CE4">
        <w:rPr>
          <w:rFonts w:ascii="Palatino Linotype" w:eastAsia="Palatino Linotype" w:hAnsi="Palatino Linotype" w:cs="Palatino Linotype"/>
          <w:color w:val="000000"/>
        </w:rPr>
        <w:t xml:space="preserve"> mencionó que </w:t>
      </w:r>
      <w:r w:rsidRPr="00C51CE4">
        <w:rPr>
          <w:rFonts w:ascii="Palatino Linotype" w:eastAsia="Palatino Linotype" w:hAnsi="Palatino Linotype" w:cs="Palatino Linotype"/>
          <w:b/>
          <w:bCs/>
          <w:color w:val="000000"/>
        </w:rPr>
        <w:t>no se localizó antecedente sobre la información requerida</w:t>
      </w:r>
      <w:r w:rsidRPr="00C51CE4">
        <w:rPr>
          <w:rFonts w:ascii="Palatino Linotype" w:eastAsia="Palatino Linotype" w:hAnsi="Palatino Linotype" w:cs="Palatino Linotype"/>
          <w:color w:val="000000"/>
        </w:rPr>
        <w:t xml:space="preserve">, información que fue ratificada en informe justificado; no obstante, es oportuno mencionar que si bien la persona solicitante omitió señalar de manera correcta el </w:t>
      </w:r>
      <w:r w:rsidRPr="00C51CE4">
        <w:rPr>
          <w:rFonts w:ascii="Palatino Linotype" w:eastAsia="Palatino Linotype" w:hAnsi="Palatino Linotype" w:cs="Palatino Linotype"/>
          <w:b/>
          <w:bCs/>
          <w:color w:val="000000"/>
        </w:rPr>
        <w:t>nombre del cargo correcto</w:t>
      </w:r>
      <w:r w:rsidRPr="00C51CE4">
        <w:rPr>
          <w:rFonts w:ascii="Palatino Linotype" w:eastAsia="Palatino Linotype" w:hAnsi="Palatino Linotype" w:cs="Palatino Linotype"/>
          <w:color w:val="000000"/>
        </w:rPr>
        <w:t>, es obligación de los Sujetos Obligados dar a las solicitudes una interpretación que les permita garantizar el derecho de acceso a la información pública de los particulares; siendo notorio que en los municipios del Estado de México, el cargo máximo de seguridad pública suele denominarse Director de Seguridad Pública, pero existen diversas variantes y cargos similares, tal es el caso de  “</w:t>
      </w:r>
      <w:r w:rsidRPr="00C51CE4">
        <w:rPr>
          <w:rFonts w:ascii="Palatino Linotype" w:eastAsia="Palatino Linotype" w:hAnsi="Palatino Linotype" w:cs="Palatino Linotype"/>
          <w:i/>
          <w:iCs/>
          <w:color w:val="000000"/>
        </w:rPr>
        <w:t>comisario”</w:t>
      </w:r>
      <w:r w:rsidRPr="00C51CE4">
        <w:rPr>
          <w:rFonts w:ascii="Palatino Linotype" w:eastAsia="Palatino Linotype" w:hAnsi="Palatino Linotype" w:cs="Palatino Linotype"/>
          <w:color w:val="000000"/>
        </w:rPr>
        <w:t xml:space="preserve">, por lo que es de dilucidar que el particular requiere la información correspondiente al </w:t>
      </w:r>
      <w:r w:rsidRPr="00C51CE4">
        <w:rPr>
          <w:rFonts w:ascii="Palatino Linotype" w:eastAsia="Palatino Linotype" w:hAnsi="Palatino Linotype" w:cs="Palatino Linotype"/>
          <w:b/>
          <w:bCs/>
          <w:color w:val="000000"/>
        </w:rPr>
        <w:t>Director de Seguridad Pública</w:t>
      </w:r>
      <w:r w:rsidRPr="00C51CE4">
        <w:rPr>
          <w:rFonts w:ascii="Palatino Linotype" w:eastAsia="Palatino Linotype" w:hAnsi="Palatino Linotype" w:cs="Palatino Linotype"/>
          <w:color w:val="000000"/>
        </w:rPr>
        <w:t>, por lo que  es necesario que se les brinde el acceso a datos, registros y todo tipo de información pública que conste en documentos, ya sea generados o que se encuentre en posesión de las autoridades, por tal motivo, privilegiando el principio de máxima publicidad, en el presente caso, se deberá proceder a la entrega del soporte documental en donde conste la información que brinde respuesta a la solicitud.</w:t>
      </w:r>
    </w:p>
    <w:p w:rsidR="00C51CE4" w:rsidRPr="00C51CE4" w:rsidRDefault="00C51CE4" w:rsidP="00C51CE4">
      <w:pPr>
        <w:spacing w:line="360" w:lineRule="auto"/>
        <w:ind w:right="-574"/>
        <w:jc w:val="both"/>
        <w:rPr>
          <w:rFonts w:ascii="Palatino Linotype" w:eastAsia="Palatino Linotype" w:hAnsi="Palatino Linotype" w:cs="Palatino Linotype"/>
          <w:i/>
          <w:iCs/>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color w:val="000000"/>
        </w:rPr>
        <w:lastRenderedPageBreak/>
        <w:t>Máxime que de una búsqueda en el directorio del Sujeto Obligado, se localizó al servidor público del cual se requiere la información, tal como se muestra en la imagen siguiente:</w:t>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rsidP="00C51CE4">
      <w:pPr>
        <w:spacing w:line="360" w:lineRule="auto"/>
        <w:ind w:right="-574"/>
        <w:jc w:val="center"/>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noProof/>
          <w:color w:val="000000"/>
          <w:lang w:val="es-MX"/>
        </w:rPr>
        <w:drawing>
          <wp:inline distT="0" distB="0" distL="0" distR="0">
            <wp:extent cx="5756275" cy="14706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56275" cy="1470660"/>
                    </a:xfrm>
                    <a:prstGeom prst="rect">
                      <a:avLst/>
                    </a:prstGeom>
                    <a:ln/>
                  </pic:spPr>
                </pic:pic>
              </a:graphicData>
            </a:graphic>
          </wp:inline>
        </w:drawing>
      </w:r>
    </w:p>
    <w:p w:rsidR="00035DB3" w:rsidRPr="00C51CE4" w:rsidRDefault="00035DB3">
      <w:pPr>
        <w:spacing w:line="360" w:lineRule="auto"/>
        <w:ind w:right="-574"/>
        <w:jc w:val="both"/>
        <w:rPr>
          <w:rFonts w:ascii="Palatino Linotype" w:eastAsia="Palatino Linotype" w:hAnsi="Palatino Linotype" w:cs="Palatino Linotype"/>
          <w:i/>
          <w:iCs/>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color w:val="000000"/>
        </w:rPr>
        <w:t>Luego</w:t>
      </w:r>
      <w:r w:rsidRPr="00C51CE4">
        <w:rPr>
          <w:rFonts w:ascii="Palatino Linotype" w:eastAsia="Palatino Linotype" w:hAnsi="Palatino Linotype" w:cs="Palatino Linotype"/>
        </w:rPr>
        <w:t xml:space="preserve"> entonces, en relación a los </w:t>
      </w:r>
      <w:r w:rsidRPr="00C51CE4">
        <w:rPr>
          <w:rFonts w:ascii="Palatino Linotype" w:eastAsia="Palatino Linotype" w:hAnsi="Palatino Linotype" w:cs="Palatino Linotype"/>
          <w:b/>
          <w:bCs/>
          <w:i/>
          <w:iCs/>
          <w:color w:val="000000"/>
          <w:u w:val="single"/>
        </w:rPr>
        <w:t>Recibos de nómina</w:t>
      </w:r>
      <w:r w:rsidRPr="00C51CE4">
        <w:rPr>
          <w:rFonts w:ascii="Palatino Linotype" w:eastAsia="Palatino Linotype" w:hAnsi="Palatino Linotype" w:cs="Palatino Linotype"/>
          <w:i/>
          <w:iCs/>
          <w:color w:val="000000"/>
          <w:u w:val="single"/>
        </w:rPr>
        <w:t xml:space="preserve">, </w:t>
      </w:r>
      <w:r w:rsidRPr="00C51CE4">
        <w:rPr>
          <w:rFonts w:ascii="Palatino Linotype" w:eastAsia="Palatino Linotype" w:hAnsi="Palatino Linotype" w:cs="Palatino Linotype"/>
          <w:color w:val="000000"/>
        </w:rPr>
        <w:t xml:space="preserve"> es de referir en primera instancia lo que señala la Ley de Transparencia Local al respecto:</w:t>
      </w:r>
    </w:p>
    <w:p w:rsidR="00035DB3" w:rsidRPr="00C51CE4" w:rsidRDefault="0084126B">
      <w:pPr>
        <w:pBdr>
          <w:top w:val="nil"/>
          <w:left w:val="nil"/>
          <w:bottom w:val="nil"/>
          <w:right w:val="nil"/>
          <w:between w:val="nil"/>
        </w:pBdr>
        <w:ind w:left="567" w:right="-574"/>
        <w:jc w:val="center"/>
        <w:rPr>
          <w:rFonts w:ascii="Palatino Linotype" w:eastAsia="Palatino Linotype" w:hAnsi="Palatino Linotype" w:cs="Palatino Linotype"/>
          <w:b/>
          <w:bCs/>
          <w:i/>
          <w:iCs/>
          <w:color w:val="000000"/>
        </w:rPr>
      </w:pPr>
      <w:r w:rsidRPr="00C51CE4">
        <w:rPr>
          <w:rFonts w:ascii="Palatino Linotype" w:eastAsia="Palatino Linotype" w:hAnsi="Palatino Linotype" w:cs="Palatino Linotype"/>
          <w:b/>
          <w:bCs/>
          <w:i/>
          <w:iCs/>
          <w:color w:val="000000"/>
        </w:rPr>
        <w:t>LEY DE TRANSPARENCIA Y ACCESO A LA INFORMACIÓN PÚBLICA DEL ESTADO DE MÉXICO Y MUNICIPIOS</w:t>
      </w:r>
    </w:p>
    <w:p w:rsidR="00035DB3" w:rsidRPr="00C51CE4" w:rsidRDefault="00035DB3">
      <w:pPr>
        <w:pBdr>
          <w:top w:val="nil"/>
          <w:left w:val="nil"/>
          <w:bottom w:val="nil"/>
          <w:right w:val="nil"/>
          <w:between w:val="nil"/>
        </w:pBdr>
        <w:ind w:left="567" w:right="-574"/>
        <w:jc w:val="center"/>
        <w:rPr>
          <w:rFonts w:ascii="Palatino Linotype" w:eastAsia="Palatino Linotype" w:hAnsi="Palatino Linotype" w:cs="Palatino Linotype"/>
          <w:b/>
          <w:bCs/>
          <w:i/>
          <w:iCs/>
          <w:color w:val="000000"/>
        </w:rPr>
      </w:pPr>
    </w:p>
    <w:p w:rsidR="00035DB3" w:rsidRPr="00C51CE4" w:rsidRDefault="0084126B">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b/>
          <w:bCs/>
          <w:i/>
          <w:iCs/>
          <w:color w:val="000000"/>
        </w:rPr>
        <w:t>Artículo 92</w:t>
      </w:r>
      <w:r w:rsidRPr="00C51CE4">
        <w:rPr>
          <w:rFonts w:ascii="Palatino Linotype" w:eastAsia="Palatino Linotype" w:hAnsi="Palatino Linotype" w:cs="Palatino Linotype"/>
          <w:i/>
          <w:iCs/>
          <w:color w:val="000000"/>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035DB3" w:rsidRPr="00C51CE4" w:rsidRDefault="0084126B">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w:t>
      </w:r>
    </w:p>
    <w:p w:rsidR="00035DB3" w:rsidRPr="00C51CE4" w:rsidRDefault="0084126B">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b/>
          <w:bCs/>
          <w:i/>
          <w:iCs/>
          <w:color w:val="000000"/>
        </w:rPr>
        <w:t>VIII. La remuneración bruta y neta de todos los servidores públicos</w:t>
      </w:r>
      <w:r w:rsidRPr="00C51CE4">
        <w:rPr>
          <w:rFonts w:ascii="Palatino Linotype" w:eastAsia="Palatino Linotype" w:hAnsi="Palatino Linotype" w:cs="Palatino Linotype"/>
          <w:i/>
          <w:iCs/>
          <w:color w:val="000000"/>
        </w:rPr>
        <w:t xml:space="preserve"> de base o de confianza, de todas las percepciones, incluyendo sueldos, prestaciones, gratificaciones, primas, comisiones, dietas, bonos, estímulos, ingresos y sistemas de compensación, señalando la periodicidad de dicha remuneración;</w:t>
      </w:r>
    </w:p>
    <w:p w:rsidR="00035DB3" w:rsidRPr="00C51CE4" w:rsidRDefault="0084126B">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i/>
          <w:iCs/>
          <w:color w:val="000000"/>
        </w:rPr>
        <w:t>…</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rPr>
        <w:t xml:space="preserve">De lo anterior, se infiere que el Sujeto Obligado está constreñido a proporcionar la información requerida por el particular, al establecerse como una obligación de </w:t>
      </w:r>
      <w:r w:rsidRPr="00C51CE4">
        <w:rPr>
          <w:rFonts w:ascii="Palatino Linotype" w:eastAsia="Palatino Linotype" w:hAnsi="Palatino Linotype" w:cs="Palatino Linotype"/>
        </w:rPr>
        <w:lastRenderedPageBreak/>
        <w:t>transparencia común poner a disposición del público de manera permanente y actualizada de forma sencilla y precisa, la información relativa a la remuneración bruta y neta de todos los servidores públicos.</w:t>
      </w:r>
    </w:p>
    <w:p w:rsidR="00035DB3" w:rsidRPr="00C51CE4" w:rsidRDefault="00035DB3">
      <w:pPr>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Resulta necesario señalar que, el artículo 3, fracción XXXII, del Código Financiero del Estado de México y Municipios, establece que la remuneración consiste en los pagos hechos por concepto de sueldo, compensaciones, gratificaciones, habitación, primas, comisiones, prestaciones, en especie y cualquier otra percepción o prestación que se entregue al servidor por su trabajo. Asimismo, el Anexo IV.5 Glosario de Términos, del Manual para la Planeación, Programación y Presupuesto de Egresos Municipal para el ejercicio fiscal dos mil veinte, establece que la remuneración es la percepción de un trabajador o retribución monetaria que se da en pago por su servicio o actividad desarrollada. </w:t>
      </w:r>
    </w:p>
    <w:p w:rsidR="00035DB3" w:rsidRPr="00C51CE4" w:rsidRDefault="00035DB3">
      <w:pPr>
        <w:ind w:right="-574"/>
        <w:jc w:val="both"/>
        <w:rPr>
          <w:rFonts w:ascii="Palatino Linotype" w:eastAsia="Palatino Linotype" w:hAnsi="Palatino Linotype" w:cs="Palatino Linotype"/>
          <w:i/>
          <w:iCs/>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Por otra parte, la Ley del Trabajo de los Servidores Públicos del Estado y Municipios, en su artículo 220 K, establece los documentos que tiene la obligación de conservar el Sujeto Obligado, entre los que se encuentran los recibos de pagos: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b/>
          <w:bCs/>
          <w:i/>
          <w:iCs/>
        </w:rPr>
        <w:t>ARTÍCULO 220 K.-</w:t>
      </w:r>
      <w:r w:rsidRPr="00C51CE4">
        <w:rPr>
          <w:rFonts w:ascii="Palatino Linotype" w:eastAsia="Palatino Linotype" w:hAnsi="Palatino Linotype" w:cs="Palatino Linotype"/>
          <w:i/>
          <w:iCs/>
        </w:rPr>
        <w:t xml:space="preserve"> La institución o dependencia pública tiene la obligación de conservar y exhibir en el proceso los documentos que a continuación se precisan: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 xml:space="preserve">I. Contratos, Nombramientos o Formato Único de Movimientos de Personal, cuando no exista Convenio de condiciones generales de trabajo aplicable;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II. Recibos de pagos de salarios</w:t>
      </w:r>
      <w:r w:rsidRPr="00C51CE4">
        <w:rPr>
          <w:rFonts w:ascii="Palatino Linotype" w:eastAsia="Palatino Linotype" w:hAnsi="Palatino Linotype" w:cs="Palatino Linotype"/>
          <w:i/>
          <w:iCs/>
        </w:rPr>
        <w:t xml:space="preserve"> o las constancias documentales del pago de salario cuando sea por depósito o mediante información electrónica;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 xml:space="preserve">III. Controles de asistencia o la información magnética o electrónica de asistencia de los servidores públicos;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 xml:space="preserve">IV. Recibos o las constancias de depósito o del medio de información magnética o electrónica que sean utilizadas para el pago de salarios, prima vacacional, aguinaldo y demás prestaciones establecidas en la presente ley; y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V. Los demás que señalen las leyes.</w:t>
      </w: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lastRenderedPageBreak/>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rsidR="00035DB3" w:rsidRPr="00C51CE4" w:rsidRDefault="00035DB3">
      <w:pPr>
        <w:ind w:right="-574"/>
        <w:jc w:val="both"/>
        <w:rPr>
          <w:rFonts w:ascii="Palatino Linotype" w:eastAsia="Palatino Linotype" w:hAnsi="Palatino Linotype" w:cs="Palatino Linotype"/>
          <w:i/>
          <w:iCs/>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Del anterior precepto legal, se advierte que toda institución o dependencia pública del Estado de México, debe conservar las constancias documentales del pago de salario cuando sea por depósito o mediante información electrónica, debe conservar dicha documentación durante el último año y un año después de que se extinga la relación laboral, a través de los sistemas de digitalización o de información magnética o electrónica. </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Lo anterior, toma sustento en la Tesis aislada número I.6o.T.154 L (10a.), emitida por los Tribunales Colegiados de Circuito, publicada el abril de dos mil dieciséis, en la Gaceta del Semanario Judicial de la Federación, en su Libro 29, Tomo III, misma que señala lo siguiente: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b/>
          <w:bCs/>
          <w:i/>
          <w:iCs/>
        </w:rPr>
        <w:t>RECIBOS DE PAGO EMITIDOS POR MEDIOS ELECTRÓNICOS SIN FIRMA DEL TRABAJADOR. SON VÁLIDOS PARA ACREDITAR LOS CONCEPTOS Y MONTOS QUE EN ELLOS SE INSERTAN (APLICACIÓN SUPLETORIA DEL ARTÍCULO 776, FRACCIONES II Y VIII, DE LA LEY FEDERAL DEL TRABAJO, A LA LEY FEDERAL DE LOS TRABAJADORES AL SERVICIO DEL ESTADO).</w:t>
      </w:r>
      <w:r w:rsidRPr="00C51CE4">
        <w:rPr>
          <w:rFonts w:ascii="Palatino Linotype" w:eastAsia="Palatino Linotype" w:hAnsi="Palatino Linotype" w:cs="Palatino Linotype"/>
          <w:i/>
          <w:iCs/>
        </w:rPr>
        <w:t xml:space="preserve"> En materia burocrática los recibos de pago que se obtienen por medios electrónicos son válidos para acreditar los conceptos y montos que en ellos se insertan, en términos del artículo 776, fracciones II y VIII, de la Ley Federal del Trabajo, aplicada supletoriamente a la Ley Federal de los Trabajadores al Servicio del Estado; lo anterior por no ser contrarios a la moral ni al derecho, por lo que la falta de firma de esos documentos, no les resta convicción plena, porque el avance de la ciencia y la necesidad propia de evitar pagos en efectivo, han impuesto al patrón-Estado pagar a sus trabajadores por la vía electrónica; por tanto, si para demostrar las percepciones y montos los recibos </w:t>
      </w:r>
      <w:r w:rsidRPr="00C51CE4">
        <w:rPr>
          <w:rFonts w:ascii="Palatino Linotype" w:eastAsia="Palatino Linotype" w:hAnsi="Palatino Linotype" w:cs="Palatino Linotype"/>
          <w:i/>
          <w:iCs/>
        </w:rPr>
        <w:lastRenderedPageBreak/>
        <w:t>correspondientes se exhiben de esta forma sin prueba en contrario que los desvirtúe, entonces no hay razón jurídica para condicionar su eficacia probatoria a que deban adminicularse con otras pruebas; resolver en contrario, implicaría desatender el artículo 137 de la referida Ley Federal de los Trabajadores al Servicio del Estado.”</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De la tesis transcrita, se desprende que en materia burocrática los recibos de pago acreditan los conceptos y montos que en ellos se insertan, y constituyen prueba para demostrar las percepciones y montos que reciben los servidores públicos.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En este sentido, de acuerdo a la naturaleza de la información solicitada se concluye que ésta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el artículo 24, fracción XVIII de la Ley de Transparencia y Acceso a la Información Pública del Estado de México y Municipios, establece como deber de los sujetos obligados el hacer público toda la información respecto a los montos y nombres de las personas a quienes se entreguen recursos públicos y con ello transparentar la forma, términos, causas y finalidad en la disposición de esos recursos; precepto legal que es del tenor siguiente: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b/>
          <w:bCs/>
          <w:i/>
          <w:iCs/>
        </w:rPr>
        <w:t>Artículo 24.</w:t>
      </w:r>
      <w:r w:rsidRPr="00C51CE4">
        <w:rPr>
          <w:rFonts w:ascii="Palatino Linotype" w:eastAsia="Palatino Linotype" w:hAnsi="Palatino Linotype" w:cs="Palatino Linotype"/>
          <w:i/>
          <w:iCs/>
        </w:rPr>
        <w:t xml:space="preserve"> Para el cumplimiento de los objetivos de esta Ley, los sujetos obligados deberán cumplir con las siguientes obligaciones, según corresponda, de acuerdo a su naturaleza: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 xml:space="preserve">(…) </w:t>
      </w:r>
    </w:p>
    <w:p w:rsidR="00035DB3" w:rsidRPr="00C51CE4" w:rsidRDefault="0084126B">
      <w:pPr>
        <w:ind w:left="567"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XVIII. Hacer pública toda aquella información relativa a los montos y las personas a quienes entreguen, por cualquier motivo, recursos públicos, así como los informes que dichas personas les entreguen sobre el uso y destino de dichos recursos;</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Sirve de sustento por analogía, para justificar la publicidad sobre los datos relativos a los montos por concepto de pago de las remuneraciones, los criterios 01/2003 y 02/2003 emitidos por el Comité de Acceso a la Información Pública y Protección de Datos Personales de la Suprema Corte de Justicia de la Nación que a continuación se citan:</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 xml:space="preserve">“Criterio 01/2003. </w:t>
      </w: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INGRESOS DE LOS SERVIDORES PÚBLICOS. CONSTITUYEN INFORMACIÓN PÚBLICA AÚN Y CUANDO SU DIFUSIÓN PUEDE AFECTAR LA VIDA O LA SEGURIDAD DE AQUELLOS</w:t>
      </w:r>
      <w:r w:rsidRPr="00C51CE4">
        <w:rPr>
          <w:rFonts w:ascii="Palatino Linotype" w:eastAsia="Palatino Linotype" w:hAnsi="Palatino Linotype" w:cs="Palatino Linotype"/>
          <w:i/>
          <w:iCs/>
        </w:rPr>
        <w:t>.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“Criterio 02/2003.</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 xml:space="preserve">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INGRESOS DE LOS SERVIDORES PÚBLICOS, SON INFORMACIÓN PÚBLICA AÚN Y CUANDO CONSTITUYEN DATOS PERSONALES QUE SE REFIEREN AL PATRIMONIO DE AQUÉLLOS</w:t>
      </w:r>
      <w:r w:rsidRPr="00C51CE4">
        <w:rPr>
          <w:rFonts w:ascii="Palatino Linotype" w:eastAsia="Palatino Linotype" w:hAnsi="Palatino Linotype" w:cs="Palatino Linotype"/>
          <w:i/>
          <w:iCs/>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lo que deriva del hecho de que en términos de los previsto en el citado ordenamiento deben ponerse a disposición del público a través de medios remotos o locales de comunicación </w:t>
      </w:r>
      <w:r w:rsidRPr="00C51CE4">
        <w:rPr>
          <w:rFonts w:ascii="Palatino Linotype" w:eastAsia="Palatino Linotype" w:hAnsi="Palatino Linotype" w:cs="Palatino Linotype"/>
          <w:i/>
          <w:iCs/>
        </w:rPr>
        <w:lastRenderedPageBreak/>
        <w:t xml:space="preserve">electrónica, tanto el directorio de servidores públicos como las remuneraciones mensuales por puesto incluso el sistema de compensación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p>
    <w:p w:rsidR="00035DB3" w:rsidRPr="00C51CE4" w:rsidRDefault="00035DB3">
      <w:pPr>
        <w:pBdr>
          <w:top w:val="nil"/>
          <w:left w:val="nil"/>
          <w:bottom w:val="nil"/>
          <w:right w:val="nil"/>
          <w:between w:val="nil"/>
        </w:pBd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color w:val="000000"/>
        </w:rPr>
      </w:pPr>
      <w:r w:rsidRPr="00C51CE4">
        <w:rPr>
          <w:rFonts w:ascii="Palatino Linotype" w:eastAsia="Palatino Linotype" w:hAnsi="Palatino Linotype" w:cs="Palatino Linotype"/>
        </w:rPr>
        <w:t xml:space="preserve">En virtud de lo anterior, es dable </w:t>
      </w:r>
      <w:r w:rsidRPr="00C51CE4">
        <w:rPr>
          <w:rFonts w:ascii="Palatino Linotype" w:eastAsia="Palatino Linotype" w:hAnsi="Palatino Linotype" w:cs="Palatino Linotype"/>
          <w:b/>
          <w:bCs/>
        </w:rPr>
        <w:t>ORDENAR</w:t>
      </w:r>
      <w:r w:rsidRPr="00C51CE4">
        <w:rPr>
          <w:rFonts w:ascii="Palatino Linotype" w:eastAsia="Palatino Linotype" w:hAnsi="Palatino Linotype" w:cs="Palatino Linotype"/>
        </w:rPr>
        <w:t xml:space="preserve"> la entrega previa búsqueda exhaustiva y razonable, en versión pública, el </w:t>
      </w:r>
      <w:r w:rsidRPr="00C51CE4">
        <w:rPr>
          <w:rFonts w:ascii="Palatino Linotype" w:eastAsia="Palatino Linotype" w:hAnsi="Palatino Linotype" w:cs="Palatino Linotype"/>
          <w:b/>
          <w:bCs/>
          <w:color w:val="000000"/>
        </w:rPr>
        <w:t>Recibo de nómina de la quincena del 01 al 15 de agosto de 2025</w:t>
      </w:r>
      <w:r w:rsidRPr="00C51CE4">
        <w:rPr>
          <w:rFonts w:ascii="Palatino Linotype" w:eastAsia="Palatino Linotype" w:hAnsi="Palatino Linotype" w:cs="Palatino Linotype"/>
          <w:b/>
          <w:bCs/>
        </w:rPr>
        <w:t>, del Director de Seguridad Pública</w:t>
      </w:r>
      <w:r w:rsidRPr="00C51CE4">
        <w:rPr>
          <w:rFonts w:ascii="Palatino Linotype" w:eastAsia="Palatino Linotype" w:hAnsi="Palatino Linotype" w:cs="Palatino Linotype"/>
        </w:rPr>
        <w:t xml:space="preserve">, con el respectivo Acuerdo de Clasificación, de Conformidad con lo establecido en el </w:t>
      </w:r>
      <w:r w:rsidRPr="00C51CE4">
        <w:rPr>
          <w:rFonts w:ascii="Palatino Linotype" w:eastAsia="Palatino Linotype" w:hAnsi="Palatino Linotype" w:cs="Palatino Linotype"/>
          <w:b/>
          <w:bCs/>
        </w:rPr>
        <w:t>Considerando QUINTO</w:t>
      </w:r>
      <w:r w:rsidRPr="00C51CE4">
        <w:rPr>
          <w:rFonts w:ascii="Palatino Linotype" w:eastAsia="Palatino Linotype" w:hAnsi="Palatino Linotype" w:cs="Palatino Linotype"/>
        </w:rPr>
        <w:t xml:space="preserve"> de la presente Resolución.</w:t>
      </w:r>
    </w:p>
    <w:p w:rsidR="00035DB3" w:rsidRPr="00C51CE4" w:rsidRDefault="00035DB3">
      <w:pPr>
        <w:spacing w:line="360" w:lineRule="auto"/>
        <w:ind w:right="-574"/>
        <w:jc w:val="both"/>
        <w:rPr>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i/>
          <w:iCs/>
        </w:rPr>
      </w:pPr>
      <w:r w:rsidRPr="00C51CE4">
        <w:rPr>
          <w:rFonts w:ascii="Palatino Linotype" w:eastAsia="Palatino Linotype" w:hAnsi="Palatino Linotype" w:cs="Palatino Linotype"/>
        </w:rPr>
        <w:t xml:space="preserve">Ahora bien respecto de los puntos de solicitud relativos al </w:t>
      </w:r>
      <w:r w:rsidRPr="00C51CE4">
        <w:rPr>
          <w:rFonts w:ascii="Palatino Linotype" w:eastAsia="Palatino Linotype" w:hAnsi="Palatino Linotype" w:cs="Palatino Linotype"/>
          <w:i/>
          <w:iCs/>
          <w:u w:val="single"/>
        </w:rPr>
        <w:t>Permiso de portación de arma de fuego y el Examen de control de confianza y si está aprobado o no, del Director de Seguridad Pública</w:t>
      </w:r>
      <w:r w:rsidRPr="00C51CE4">
        <w:rPr>
          <w:rFonts w:ascii="Palatino Linotype" w:eastAsia="Palatino Linotype" w:hAnsi="Palatino Linotype" w:cs="Palatino Linotype"/>
          <w:i/>
          <w:iCs/>
        </w:rPr>
        <w:t xml:space="preserve">, </w:t>
      </w:r>
      <w:r w:rsidRPr="00C51CE4">
        <w:rPr>
          <w:rFonts w:ascii="Palatino Linotype" w:eastAsia="Palatino Linotype" w:hAnsi="Palatino Linotype" w:cs="Palatino Linotype"/>
        </w:rPr>
        <w:t>es de recordar que no hubo pronunciamiento al respecto en respuesta, no obstante a través de informe justificado el Sujeto Obligado remitió un Acuerdo de Clasificación de información confidencial de manera parcial, en el que se pueden advertir los acuerdos siguientes:</w:t>
      </w:r>
    </w:p>
    <w:p w:rsidR="00035DB3" w:rsidRPr="00C51CE4" w:rsidRDefault="0084126B">
      <w:pPr>
        <w:numPr>
          <w:ilvl w:val="0"/>
          <w:numId w:val="2"/>
        </w:numPr>
        <w:pBdr>
          <w:top w:val="nil"/>
          <w:left w:val="nil"/>
          <w:bottom w:val="nil"/>
          <w:right w:val="nil"/>
          <w:between w:val="nil"/>
        </w:pBdr>
        <w:spacing w:line="360" w:lineRule="auto"/>
        <w:ind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color w:val="000000"/>
        </w:rPr>
        <w:t>ACUERDO: ACT/01SESIÓNEXTR/03/ENERO/2026, aprobado por unanimidad en el que advierte el cuadro de clasificación respecto de información confidencial de CREDENCIALES DE PORTACIÓN DE ARMA DE FUEGO (Datos personales. Fotografía del elemento policial y Características de Armamento) Por contener datos personales concernientes, lo cual hace a la persona identificada o identificable.</w:t>
      </w:r>
    </w:p>
    <w:p w:rsidR="00035DB3" w:rsidRPr="00C51CE4" w:rsidRDefault="0084126B">
      <w:pPr>
        <w:numPr>
          <w:ilvl w:val="0"/>
          <w:numId w:val="2"/>
        </w:numPr>
        <w:pBdr>
          <w:top w:val="nil"/>
          <w:left w:val="nil"/>
          <w:bottom w:val="nil"/>
          <w:right w:val="nil"/>
          <w:between w:val="nil"/>
        </w:pBdr>
        <w:spacing w:line="360" w:lineRule="auto"/>
        <w:ind w:right="-574"/>
        <w:jc w:val="both"/>
        <w:rPr>
          <w:rFonts w:ascii="Palatino Linotype" w:eastAsia="Palatino Linotype" w:hAnsi="Palatino Linotype" w:cs="Palatino Linotype"/>
          <w:i/>
          <w:iCs/>
          <w:color w:val="000000"/>
        </w:rPr>
      </w:pPr>
      <w:r w:rsidRPr="00C51CE4">
        <w:rPr>
          <w:rFonts w:ascii="Palatino Linotype" w:eastAsia="Palatino Linotype" w:hAnsi="Palatino Linotype" w:cs="Palatino Linotype"/>
          <w:color w:val="000000"/>
        </w:rPr>
        <w:t xml:space="preserve">ACUERDO: ACT/01SESIÓNEXTR/06/ENERO/2026, aprobado por unanimidad en el que advierte el cuadro de clasificación respecto de información confidencial de RESULTADO DE EXAMEN DE CONTROL Y CONFIANZA </w:t>
      </w:r>
      <w:r w:rsidRPr="00C51CE4">
        <w:rPr>
          <w:rFonts w:ascii="Palatino Linotype" w:eastAsia="Palatino Linotype" w:hAnsi="Palatino Linotype" w:cs="Palatino Linotype"/>
          <w:color w:val="000000"/>
        </w:rPr>
        <w:lastRenderedPageBreak/>
        <w:t>(Datos Personales y el resultado) Por contener datos personales concernientes, lo cual hace a la persona identificada о identificable.</w:t>
      </w:r>
    </w:p>
    <w:p w:rsidR="00035DB3" w:rsidRPr="00C51CE4" w:rsidRDefault="00035DB3">
      <w:pPr>
        <w:pBdr>
          <w:top w:val="nil"/>
          <w:left w:val="nil"/>
          <w:bottom w:val="nil"/>
          <w:right w:val="nil"/>
          <w:between w:val="nil"/>
        </w:pBdr>
        <w:spacing w:line="360" w:lineRule="auto"/>
        <w:ind w:left="1287" w:right="-574"/>
        <w:jc w:val="both"/>
        <w:rPr>
          <w:rFonts w:ascii="Palatino Linotype" w:eastAsia="Palatino Linotype" w:hAnsi="Palatino Linotype" w:cs="Palatino Linotype"/>
          <w:i/>
          <w:iCs/>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No obstante, no se remitieron los documentos en la versión pública correspondiente; asimismo, del análisis del acuerdo del Comité de Transparencia remitido, no se advierte una correcta y exhaustiva fundamentación y motivación que establezca las razones por las cuales se clasifican como confidenciales los datos personales contenidos en los mismo, al únicamente agregar los cuadros de clasificación de los documentos que se pretenden clasificar, sin motivar de manera específica la clasificación, tal como se muestra en las imágenes siguientes:</w:t>
      </w:r>
    </w:p>
    <w:p w:rsidR="00035DB3" w:rsidRPr="00C51CE4" w:rsidRDefault="0084126B">
      <w:pPr>
        <w:spacing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noProof/>
          <w:lang w:val="es-MX"/>
        </w:rPr>
        <w:lastRenderedPageBreak/>
        <w:drawing>
          <wp:inline distT="0" distB="0" distL="0" distR="0">
            <wp:extent cx="5515745" cy="598253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515745" cy="5982535"/>
                    </a:xfrm>
                    <a:prstGeom prst="rect">
                      <a:avLst/>
                    </a:prstGeom>
                    <a:ln/>
                  </pic:spPr>
                </pic:pic>
              </a:graphicData>
            </a:graphic>
          </wp:inline>
        </w:drawing>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spacing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noProof/>
          <w:lang w:val="es-MX"/>
        </w:rPr>
        <w:lastRenderedPageBreak/>
        <w:drawing>
          <wp:inline distT="0" distB="0" distL="0" distR="0">
            <wp:extent cx="5325218" cy="4601217"/>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325218" cy="4601217"/>
                    </a:xfrm>
                    <a:prstGeom prst="rect">
                      <a:avLst/>
                    </a:prstGeom>
                    <a:ln/>
                  </pic:spPr>
                </pic:pic>
              </a:graphicData>
            </a:graphic>
          </wp:inline>
        </w:drawing>
      </w:r>
    </w:p>
    <w:p w:rsidR="00035DB3" w:rsidRPr="00C51CE4" w:rsidRDefault="0084126B">
      <w:pPr>
        <w:spacing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noProof/>
          <w:lang w:val="es-MX"/>
        </w:rPr>
        <w:drawing>
          <wp:inline distT="0" distB="0" distL="0" distR="0">
            <wp:extent cx="5153744" cy="1714739"/>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153744" cy="1714739"/>
                    </a:xfrm>
                    <a:prstGeom prst="rect">
                      <a:avLst/>
                    </a:prstGeom>
                    <a:ln/>
                  </pic:spPr>
                </pic:pic>
              </a:graphicData>
            </a:graphic>
          </wp:inline>
        </w:drawing>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 xml:space="preserve">  Razón por la que, no es posible validar el acuerdo a través del cual se pretendió clasificar la información como confidencial en el soporte documental que debió ponerse a disposición del solicitante, empero no sucedió de tal manera.</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Para entender los alcances de la fundamentación y motivación, sirve de sustento la tesis visible en la página 450, Tomo XIV, Noviembre de 1994, del Apéndice del Semanario Judicial de la Federación 1917-2000, que literalmente dice: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FUNDAMENTACIÓN Y MOTIVACIÓN, CONCEPTO DE.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Así, para considerar que se cumple con la formalidad destacada, la autoridad emisora de un acto de autoridad que incida en la esfera de derechos de un particular, </w:t>
      </w:r>
      <w:r w:rsidRPr="00C51CE4">
        <w:rPr>
          <w:rFonts w:ascii="Palatino Linotype" w:eastAsia="Palatino Linotype" w:hAnsi="Palatino Linotype" w:cs="Palatino Linotype"/>
          <w:b/>
          <w:bCs/>
        </w:rPr>
        <w:t>debe darle a conocer a este,  en detalle y de manera completa</w:t>
      </w:r>
      <w:r w:rsidRPr="00C51CE4">
        <w:rPr>
          <w:rFonts w:ascii="Palatino Linotype" w:eastAsia="Palatino Linotype" w:hAnsi="Palatino Linotype" w:cs="Palatino Linotype"/>
        </w:rPr>
        <w:t>, en la actuación de que se trate, la esencia de todas las circunstancias y condiciones que determinaron el acto de la autoridad, de manera que sea evidente y muy claro para el afectado poder cuestionar y controvertir el mérito de la decisión, permitiéndole una real y auténtica defensa. Por tanto, no basta que el acto de autoridad apenas observe una motivación de manera insuficiente o imprecisa, que impida la 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 xml:space="preserve">Tal criterio se advierte de la tesis jurisprudencial I.4o.A. J/43, sustentada por el Cuarto Tribunal en Materia Administrativa del Primer Circuito, publicada en la página 1531 del Tomo XXIII, Mayo de 2006, del Semanario Judicial de la Federación y su Gaceta correspondiente a la Novena Época, que dice: </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FUNDAMENTACIÓN Y MOTIVACIÓN. EL ASPECTO FORMAL DE LA GARANTÍA Y SU FINALIDAD SE TRADUCEN EN EXPLICAR, JUSTIFICAR, POSIBILITAR LA DEFENSA Y COMUNICAR LA DECISIÓN.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035DB3" w:rsidRPr="00C51CE4" w:rsidRDefault="00035DB3">
      <w:pPr>
        <w:spacing w:line="360" w:lineRule="auto"/>
        <w:ind w:right="-574"/>
        <w:jc w:val="both"/>
        <w:rPr>
          <w:i/>
          <w:iCs/>
          <w:u w:val="singl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Es </w:t>
      </w:r>
      <w:r w:rsidRPr="00C51CE4">
        <w:rPr>
          <w:rFonts w:ascii="Palatino Linotype" w:eastAsia="Palatino Linotype" w:hAnsi="Palatino Linotype" w:cs="Palatino Linotype"/>
          <w:color w:val="000000"/>
        </w:rPr>
        <w:t>importante</w:t>
      </w:r>
      <w:r w:rsidRPr="00C51CE4">
        <w:rPr>
          <w:rFonts w:ascii="Palatino Linotype" w:eastAsia="Palatino Linotype" w:hAnsi="Palatino Linotype" w:cs="Palatino Linotype"/>
        </w:rPr>
        <w:t xml:space="preserve"> señalar que la si bien es cierto que la información que generan, poseen o administran los sujetos obligados es pública, también lo es que se establece una excepción al principio de máxima de publicidad, prevista en causas específicas en la ley aplicable en la materia, como es la confidencialidad de la información, actualizándose la hipótesis de confidencialidad establecida en el artículo 143 de la Ley de Transparencia local, ya que se trata de información privada y los datos personales concernientes a una persona física o jurídico colectiva identificada o identificable, por consiguiente se debe clasificar como tal.</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 xml:space="preserve">Por lo anterior, es en relación al punto de solicitud referente al </w:t>
      </w:r>
      <w:r w:rsidRPr="00C51CE4">
        <w:rPr>
          <w:rFonts w:ascii="Palatino Linotype" w:eastAsia="Palatino Linotype" w:hAnsi="Palatino Linotype" w:cs="Palatino Linotype"/>
          <w:i/>
          <w:iCs/>
          <w:color w:val="000000"/>
          <w:u w:val="single"/>
        </w:rPr>
        <w:t>Permiso de portación de arma de fuego</w:t>
      </w:r>
      <w:r w:rsidRPr="00C51CE4">
        <w:rPr>
          <w:rFonts w:ascii="Palatino Linotype" w:eastAsia="Palatino Linotype" w:hAnsi="Palatino Linotype" w:cs="Palatino Linotype"/>
        </w:rPr>
        <w:t xml:space="preserve"> , los particulares al no ser expertos en la materia pueden desconocer los términos legales al respecto de la información a la que desean tener acceso, por lo que para el caso concreto, se determina que el particular requiere la </w:t>
      </w:r>
      <w:r w:rsidRPr="00C51CE4">
        <w:rPr>
          <w:rFonts w:ascii="Palatino Linotype" w:eastAsia="Palatino Linotype" w:hAnsi="Palatino Linotype" w:cs="Palatino Linotype"/>
          <w:b/>
          <w:bCs/>
          <w:u w:val="single"/>
        </w:rPr>
        <w:t>licencia de portación de arma</w:t>
      </w:r>
      <w:r w:rsidRPr="00C51CE4">
        <w:rPr>
          <w:rFonts w:ascii="Palatino Linotype" w:eastAsia="Palatino Linotype" w:hAnsi="Palatino Linotype" w:cs="Palatino Linotype"/>
          <w:u w:val="single"/>
        </w:rPr>
        <w:t>,</w:t>
      </w:r>
      <w:r w:rsidRPr="00C51CE4">
        <w:rPr>
          <w:rFonts w:ascii="Palatino Linotype" w:eastAsia="Palatino Linotype" w:hAnsi="Palatino Linotype" w:cs="Palatino Linotype"/>
        </w:rPr>
        <w:t xml:space="preserve"> por lo que es de referir que el artículo 20, fracción XXVII, de la Ley de Seguridad del Estado de México, establece que los Presidentes Municipales, dentro de sus atribuciones, es la de satisfacer oportunamente los requerimientos que le sean solicitados por la Secretaría, </w:t>
      </w:r>
      <w:r w:rsidRPr="00C51CE4">
        <w:rPr>
          <w:rFonts w:ascii="Palatino Linotype" w:eastAsia="Palatino Linotype" w:hAnsi="Palatino Linotype" w:cs="Palatino Linotype"/>
          <w:b/>
          <w:bCs/>
          <w:u w:val="single"/>
        </w:rPr>
        <w:t>para el registro y actualización de la licencia colectiva para la portación de armas de fuego de los integrantes de las instituciones policiales a su cargo</w:t>
      </w:r>
      <w:r w:rsidRPr="00C51CE4">
        <w:rPr>
          <w:rFonts w:ascii="Palatino Linotype" w:eastAsia="Palatino Linotype" w:hAnsi="Palatino Linotype" w:cs="Palatino Linotype"/>
        </w:rPr>
        <w:t xml:space="preserve">. </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Asimismo, el ordenamiento citado anteriormente, establece que el Secretario o Secretaria Técnica del Consejo Municipal de Seguridad Pública, funge como enlace ante la Secretaría de Seguridad para </w:t>
      </w:r>
      <w:r w:rsidRPr="00C51CE4">
        <w:rPr>
          <w:rFonts w:ascii="Palatino Linotype" w:eastAsia="Palatino Linotype" w:hAnsi="Palatino Linotype" w:cs="Palatino Linotype"/>
          <w:b/>
          <w:bCs/>
          <w:u w:val="single"/>
        </w:rPr>
        <w:t>dar seguimiento al registro y actualización de la licencia colectiva para la portación de armas de fuego</w:t>
      </w:r>
      <w:r w:rsidRPr="00C51CE4">
        <w:rPr>
          <w:rFonts w:ascii="Palatino Linotype" w:eastAsia="Palatino Linotype" w:hAnsi="Palatino Linotype" w:cs="Palatino Linotype"/>
        </w:rPr>
        <w:t>.</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Asimismo,  las autoridades municipales deben dar cumplimiento a lo establecido  en el </w:t>
      </w:r>
      <w:r w:rsidRPr="00C51CE4">
        <w:rPr>
          <w:rFonts w:ascii="Palatino Linotype" w:eastAsia="Palatino Linotype" w:hAnsi="Palatino Linotype" w:cs="Palatino Linotype"/>
          <w:i/>
          <w:iCs/>
        </w:rPr>
        <w:t>Acuerdo por el que se establecen los</w:t>
      </w:r>
      <w:r w:rsidRPr="00C51CE4">
        <w:rPr>
          <w:rFonts w:ascii="Palatino Linotype" w:eastAsia="Palatino Linotype" w:hAnsi="Palatino Linotype" w:cs="Palatino Linotype"/>
        </w:rPr>
        <w:t xml:space="preserve"> </w:t>
      </w:r>
      <w:r w:rsidRPr="00C51CE4">
        <w:rPr>
          <w:rFonts w:ascii="Palatino Linotype" w:eastAsia="Palatino Linotype" w:hAnsi="Palatino Linotype" w:cs="Palatino Linotype"/>
          <w:i/>
          <w:iCs/>
        </w:rPr>
        <w:t xml:space="preserve">Lineamientos para la adquisición, asignación, uso y custodia, portación y baja del armamento incluido en la Licencia Oficial Colectiva Número 139, </w:t>
      </w:r>
      <w:r w:rsidRPr="00C51CE4">
        <w:rPr>
          <w:rFonts w:ascii="Palatino Linotype" w:eastAsia="Palatino Linotype" w:hAnsi="Palatino Linotype" w:cs="Palatino Linotype"/>
        </w:rPr>
        <w:t>particularmente es de mencionar lo señalado en los párrafos tercero y cuarto de las consideraciones, mismos que disponen:</w:t>
      </w:r>
    </w:p>
    <w:p w:rsidR="00035DB3" w:rsidRPr="00C51CE4" w:rsidRDefault="0084126B">
      <w:pPr>
        <w:ind w:left="709"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 xml:space="preserve">“Que en términos de lo dispuesto por la </w:t>
      </w:r>
      <w:r w:rsidRPr="00C51CE4">
        <w:rPr>
          <w:rFonts w:ascii="Palatino Linotype" w:eastAsia="Palatino Linotype" w:hAnsi="Palatino Linotype" w:cs="Palatino Linotype"/>
          <w:b/>
          <w:bCs/>
          <w:i/>
          <w:iCs/>
        </w:rPr>
        <w:t>Ley de Seguridad Pública Preventiva del Estado de México, la Dirección General de Segundad Pública y Tránsito del Estado de México, es una autoridad estatal en materia de seguridad pública preventiva</w:t>
      </w:r>
      <w:r w:rsidRPr="00C51CE4">
        <w:rPr>
          <w:rFonts w:ascii="Palatino Linotype" w:eastAsia="Palatino Linotype" w:hAnsi="Palatino Linotype" w:cs="Palatino Linotype"/>
          <w:i/>
          <w:iCs/>
        </w:rPr>
        <w:t xml:space="preserve">, a la cual le corresponde, entre otras atribuciones, vigilar el cumplimiento de las leyes, reglamentos, acuerdos, convenios y demás disposiciones referentes a la Seguridad Pública Preventiva </w:t>
      </w:r>
    </w:p>
    <w:p w:rsidR="00035DB3" w:rsidRPr="00C51CE4" w:rsidRDefault="00035DB3">
      <w:pPr>
        <w:ind w:left="709" w:right="-574"/>
        <w:jc w:val="both"/>
        <w:rPr>
          <w:rFonts w:ascii="Palatino Linotype" w:eastAsia="Palatino Linotype" w:hAnsi="Palatino Linotype" w:cs="Palatino Linotype"/>
          <w:i/>
          <w:iCs/>
        </w:rPr>
      </w:pPr>
    </w:p>
    <w:p w:rsidR="00035DB3" w:rsidRPr="00C51CE4" w:rsidRDefault="0084126B">
      <w:pPr>
        <w:ind w:left="709"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lastRenderedPageBreak/>
        <w:t xml:space="preserve">Que en el marco de la Ley Federal de Armas de Fuego y Explosivos, </w:t>
      </w:r>
      <w:r w:rsidRPr="00C51CE4">
        <w:rPr>
          <w:rFonts w:ascii="Palatino Linotype" w:eastAsia="Palatino Linotype" w:hAnsi="Palatino Linotype" w:cs="Palatino Linotype"/>
          <w:b/>
          <w:bCs/>
          <w:i/>
          <w:iCs/>
        </w:rPr>
        <w:t>la Secretaría de la Defensa Nacional otorgó al Gobierno del Estado de México, a través de la Dirección General de Seguridad Pública y Tránsito, la Licencia Oficial Colectiva No. 139</w:t>
      </w:r>
      <w:r w:rsidRPr="00C51CE4">
        <w:rPr>
          <w:rFonts w:ascii="Palatino Linotype" w:eastAsia="Palatino Linotype" w:hAnsi="Palatino Linotype" w:cs="Palatino Linotype"/>
          <w:i/>
          <w:iCs/>
        </w:rPr>
        <w:t xml:space="preserve"> mediante la cual se concede el permiso para la portación de armas de fuego a los Cuerpos de Seguridad Pública Preventiva.”</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Así, se advierte que el Gobierno del Estado de México cuenta con una Licencia Oficial Colectiva para la portación y uso de armas de fuego. En consonancia, el artículo 69 de la Ley de Seguridad del Estado de México señala: </w:t>
      </w:r>
    </w:p>
    <w:p w:rsidR="00035DB3" w:rsidRPr="00C51CE4" w:rsidRDefault="0084126B">
      <w:pPr>
        <w:ind w:left="709"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Artículo 69. Los servidores públicos de las Instituciones de Seguridad Pública, sólo podrán portar las armas de cargo que les hayan sido asignadas individualmente</w:t>
      </w:r>
      <w:r w:rsidRPr="00C51CE4">
        <w:rPr>
          <w:rFonts w:ascii="Palatino Linotype" w:eastAsia="Palatino Linotype" w:hAnsi="Palatino Linotype" w:cs="Palatino Linotype"/>
          <w:i/>
          <w:iCs/>
        </w:rPr>
        <w:t xml:space="preserve"> </w:t>
      </w:r>
      <w:r w:rsidRPr="00C51CE4">
        <w:rPr>
          <w:rFonts w:ascii="Palatino Linotype" w:eastAsia="Palatino Linotype" w:hAnsi="Palatino Linotype" w:cs="Palatino Linotype"/>
          <w:b/>
          <w:bCs/>
          <w:i/>
          <w:iCs/>
        </w:rPr>
        <w:t xml:space="preserve">o </w:t>
      </w:r>
      <w:r w:rsidRPr="00C51CE4">
        <w:rPr>
          <w:rFonts w:ascii="Palatino Linotype" w:eastAsia="Palatino Linotype" w:hAnsi="Palatino Linotype" w:cs="Palatino Linotype"/>
          <w:i/>
          <w:iCs/>
        </w:rPr>
        <w:t xml:space="preserve">aquellas que se les asignen en casos especiales y </w:t>
      </w:r>
      <w:r w:rsidRPr="00C51CE4">
        <w:rPr>
          <w:rFonts w:ascii="Palatino Linotype" w:eastAsia="Palatino Linotype" w:hAnsi="Palatino Linotype" w:cs="Palatino Linotype"/>
          <w:b/>
          <w:bCs/>
          <w:i/>
          <w:iCs/>
        </w:rPr>
        <w:t>que estén registradas colectivamente</w:t>
      </w:r>
      <w:r w:rsidRPr="00C51CE4">
        <w:rPr>
          <w:rFonts w:ascii="Palatino Linotype" w:eastAsia="Palatino Linotype" w:hAnsi="Palatino Linotype" w:cs="Palatino Linotype"/>
          <w:i/>
          <w:iCs/>
        </w:rPr>
        <w:t xml:space="preserve"> para la Institución de Seguridad Pública a que pertenezcan, de conformidad con la Ley Federal de Armas de Fuego y Explosivos.</w:t>
      </w:r>
    </w:p>
    <w:p w:rsidR="00035DB3" w:rsidRPr="00C51CE4" w:rsidRDefault="0084126B">
      <w:pPr>
        <w:ind w:left="709"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 xml:space="preserve"> </w:t>
      </w:r>
    </w:p>
    <w:p w:rsidR="00035DB3" w:rsidRPr="00C51CE4" w:rsidRDefault="0084126B">
      <w:pPr>
        <w:ind w:left="709"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El incumplimiento de lo dispuesto en el párrafo anterior, dará lugar a que la portación o posesión de armas se considere ilegal y sea sancionada en los términos de las normas aplicables.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En razón de lo expuesto </w:t>
      </w:r>
      <w:r w:rsidRPr="00C51CE4">
        <w:rPr>
          <w:rFonts w:ascii="Palatino Linotype" w:eastAsia="Palatino Linotype" w:hAnsi="Palatino Linotype" w:cs="Palatino Linotype"/>
          <w:b/>
          <w:bCs/>
        </w:rPr>
        <w:t>es dable ORDENAR la licencia para la portación de armas de fuego, del Director de Seguridad Pública,</w:t>
      </w:r>
      <w:r w:rsidRPr="00C51CE4">
        <w:rPr>
          <w:rFonts w:ascii="Palatino Linotype" w:eastAsia="Palatino Linotype" w:hAnsi="Palatino Linotype" w:cs="Palatino Linotype"/>
        </w:rPr>
        <w:t xml:space="preserve"> </w:t>
      </w:r>
      <w:r w:rsidRPr="00C51CE4">
        <w:rPr>
          <w:rFonts w:ascii="Palatino Linotype" w:eastAsia="Palatino Linotype" w:hAnsi="Palatino Linotype" w:cs="Palatino Linotype"/>
          <w:b/>
          <w:bCs/>
        </w:rPr>
        <w:t>vigente al 26 de noviembre de 2025.</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Es de destacar que dicho documento contiene tanto los nombres de los servidores públicos y las especificaciones técnicas del equipamiento de dichas armas; por lo que a criterio de este Instituto la información relativa al nombre de los servidores públicos que ocupan un cargo operativo en las dependencias de gobierno encargadas de la seguridad pública, debe ser objeto de un proceso de </w:t>
      </w:r>
      <w:r w:rsidRPr="00C51CE4">
        <w:rPr>
          <w:rFonts w:ascii="Palatino Linotype" w:eastAsia="Palatino Linotype" w:hAnsi="Palatino Linotype" w:cs="Palatino Linotype"/>
          <w:b/>
          <w:bCs/>
          <w:u w:val="single"/>
        </w:rPr>
        <w:t>reserva de la información</w:t>
      </w:r>
      <w:r w:rsidRPr="00C51CE4">
        <w:rPr>
          <w:rFonts w:ascii="Palatino Linotype" w:eastAsia="Palatino Linotype" w:hAnsi="Palatino Linotype" w:cs="Palatino Linotype"/>
        </w:rPr>
        <w:t>, para no hacer identificable al titular de tal dato personal.</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Es importante mencionar que la causal de reserva antes señalada, puede ubicarse en los supuestos previstos por los artículos 140, fracción IV, de la Ley de Transparencia y  Acceso a la Información Pública del Estado de México y Municipios, así como los requisitos previstos por los numerales Vigésimo Tercero y Trigésimo Tercero, de los Lineamientos generales en materia de clasificación y desclasificación de la información.</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Resulta alusivo por analogía el criterio orientador 06-09 emitido por el entonces IFAI, ahora INAI que a la letra dice:</w:t>
      </w:r>
    </w:p>
    <w:p w:rsidR="00035DB3" w:rsidRDefault="0084126B">
      <w:pPr>
        <w:spacing w:before="240" w:after="240"/>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b/>
          <w:bCs/>
          <w:i/>
          <w:iCs/>
          <w:u w:val="single"/>
        </w:rPr>
        <w:t>Nombres de servidores públicos dedicados a actividades en materia de seguridad, por excepción pueden considerarse información reservada.</w:t>
      </w:r>
      <w:r w:rsidRPr="00C51CE4">
        <w:rPr>
          <w:rFonts w:ascii="Palatino Linotype" w:eastAsia="Palatino Linotype" w:hAnsi="Palatino Linotype" w:cs="Palatino Linotype"/>
          <w:b/>
          <w:bCs/>
          <w:i/>
          <w:iCs/>
        </w:rPr>
        <w:t xml:space="preserve"> </w:t>
      </w:r>
      <w:r w:rsidRPr="00C51CE4">
        <w:rPr>
          <w:rFonts w:ascii="Palatino Linotype" w:eastAsia="Palatino Linotype" w:hAnsi="Palatino Linotype" w:cs="Palatino Linotype"/>
          <w:i/>
          <w:iCs/>
        </w:rPr>
        <w:t>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rsidR="00C51CE4" w:rsidRPr="00C51CE4" w:rsidRDefault="00C51CE4">
      <w:pPr>
        <w:spacing w:before="240" w:after="240"/>
        <w:ind w:left="567" w:right="-574"/>
        <w:jc w:val="both"/>
        <w:rPr>
          <w:rFonts w:ascii="Palatino Linotype" w:eastAsia="Palatino Linotype" w:hAnsi="Palatino Linotype" w:cs="Palatino Linotype"/>
          <w:i/>
          <w:iCs/>
          <w:highlight w:val="whit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Ello, conforme al propio concepto de versión pública contenido en el artículo 3, fracción XXIV, de la multicitada Ley se define como:</w:t>
      </w:r>
    </w:p>
    <w:p w:rsidR="00035DB3" w:rsidRPr="00C51CE4" w:rsidRDefault="0084126B">
      <w:pPr>
        <w:spacing w:before="240" w:after="360" w:line="259" w:lineRule="auto"/>
        <w:ind w:left="851" w:right="-574"/>
        <w:jc w:val="both"/>
        <w:rPr>
          <w:rFonts w:ascii="Palatino Linotype" w:eastAsia="Palatino Linotype" w:hAnsi="Palatino Linotype" w:cs="Palatino Linotype"/>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b/>
          <w:bCs/>
          <w:i/>
          <w:iCs/>
        </w:rPr>
        <w:t xml:space="preserve">XXIV. </w:t>
      </w:r>
      <w:r w:rsidRPr="00C51CE4">
        <w:rPr>
          <w:rFonts w:ascii="Palatino Linotype" w:eastAsia="Palatino Linotype" w:hAnsi="Palatino Linotype" w:cs="Palatino Linotype"/>
          <w:i/>
          <w:iCs/>
        </w:rPr>
        <w:t>Información reservada: La clasificada con este carácter de manera temporal por las disposiciones de esta Ley, cuya divulgación puede causar daño en términos de lo establecido por esta Ley;”</w:t>
      </w: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Esto es así, ya que el artículo 81, fracción III, de la Ley de Seguridad del Estado de México, establece lo siguiente: </w:t>
      </w:r>
    </w:p>
    <w:p w:rsidR="00035DB3" w:rsidRPr="00C51CE4" w:rsidRDefault="0084126B">
      <w:pPr>
        <w:spacing w:line="259" w:lineRule="auto"/>
        <w:ind w:left="851"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b/>
          <w:bCs/>
          <w:i/>
          <w:iCs/>
        </w:rPr>
        <w:t>Artículo 81</w:t>
      </w:r>
      <w:r w:rsidRPr="00C51CE4">
        <w:rPr>
          <w:rFonts w:ascii="Palatino Linotype" w:eastAsia="Palatino Linotype" w:hAnsi="Palatino Linotype" w:cs="Palatino Linotype"/>
          <w:i/>
          <w:iCs/>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C51CE4">
        <w:rPr>
          <w:rFonts w:ascii="Palatino Linotype" w:eastAsia="Palatino Linotype" w:hAnsi="Palatino Linotype" w:cs="Palatino Linotype"/>
          <w:b/>
          <w:bCs/>
          <w:i/>
          <w:iCs/>
          <w:u w:val="single"/>
        </w:rPr>
        <w:t>esta información se considerará reservada en los casos siguientes</w:t>
      </w:r>
      <w:r w:rsidRPr="00C51CE4">
        <w:rPr>
          <w:rFonts w:ascii="Palatino Linotype" w:eastAsia="Palatino Linotype" w:hAnsi="Palatino Linotype" w:cs="Palatino Linotype"/>
          <w:i/>
          <w:iCs/>
        </w:rPr>
        <w:t>:</w:t>
      </w:r>
    </w:p>
    <w:p w:rsidR="00035DB3" w:rsidRPr="00C51CE4" w:rsidRDefault="0084126B">
      <w:pPr>
        <w:spacing w:line="259" w:lineRule="auto"/>
        <w:ind w:left="851"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p>
    <w:p w:rsidR="00035DB3" w:rsidRPr="00C51CE4" w:rsidRDefault="0084126B">
      <w:pPr>
        <w:spacing w:line="259" w:lineRule="auto"/>
        <w:ind w:left="851" w:right="-574"/>
        <w:jc w:val="both"/>
        <w:rPr>
          <w:rFonts w:ascii="Palatino Linotype" w:eastAsia="Palatino Linotype" w:hAnsi="Palatino Linotype" w:cs="Palatino Linotype"/>
        </w:rPr>
      </w:pPr>
      <w:r w:rsidRPr="00C51CE4">
        <w:rPr>
          <w:rFonts w:ascii="Palatino Linotype" w:eastAsia="Palatino Linotype" w:hAnsi="Palatino Linotype" w:cs="Palatino Linotype"/>
          <w:i/>
          <w:iCs/>
        </w:rPr>
        <w:t xml:space="preserve">III. </w:t>
      </w:r>
      <w:r w:rsidRPr="00C51CE4">
        <w:rPr>
          <w:rFonts w:ascii="Palatino Linotype" w:eastAsia="Palatino Linotype" w:hAnsi="Palatino Linotype" w:cs="Palatino Linotype"/>
          <w:b/>
          <w:bCs/>
          <w:i/>
          <w:iCs/>
          <w:u w:val="single"/>
        </w:rPr>
        <w:t>La relativa a servidores públicos miembros de las instituciones de seguridad pública, cuya revelación pueda poner en riesgo su vida e integridad física con motivo de sus funciones</w:t>
      </w:r>
      <w:r w:rsidRPr="00C51CE4">
        <w:rPr>
          <w:rFonts w:ascii="Palatino Linotype" w:eastAsia="Palatino Linotype" w:hAnsi="Palatino Linotype" w:cs="Palatino Linotype"/>
          <w:i/>
          <w:iCs/>
        </w:rPr>
        <w:t>;”</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Por tanto, el </w:t>
      </w:r>
      <w:r w:rsidRPr="00C51CE4">
        <w:rPr>
          <w:rFonts w:ascii="Palatino Linotype" w:eastAsia="Palatino Linotype" w:hAnsi="Palatino Linotype" w:cs="Palatino Linotype"/>
          <w:b/>
          <w:bCs/>
        </w:rPr>
        <w:t>Sujeto Obligado</w:t>
      </w:r>
      <w:r w:rsidRPr="00C51CE4">
        <w:rPr>
          <w:rFonts w:ascii="Palatino Linotype" w:eastAsia="Palatino Linotype" w:hAnsi="Palatino Linotype" w:cs="Palatino Linotype"/>
        </w:rPr>
        <w:t xml:space="preserve"> deberá identificar si dicho supuesto es factible de aplicarse, justificando de manera fundada y motivada las circunstancias por las cuales considera que revelar ciertos datos podrían poner en riesgo la vida e integridad derivado de sus funciones;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 xml:space="preserve">Sin embargo, dicha información no es susceptible de ser entregada de manera íntegra, ya que actualiza en el supuesto de ser clasificada como información </w:t>
      </w:r>
      <w:r w:rsidRPr="00C51CE4">
        <w:rPr>
          <w:rFonts w:ascii="Palatino Linotype" w:eastAsia="Palatino Linotype" w:hAnsi="Palatino Linotype" w:cs="Palatino Linotype"/>
          <w:b/>
          <w:bCs/>
        </w:rPr>
        <w:t>RESERVADA</w:t>
      </w:r>
      <w:r w:rsidRPr="00C51CE4">
        <w:rPr>
          <w:rFonts w:ascii="Palatino Linotype" w:eastAsia="Palatino Linotype" w:hAnsi="Palatino Linotype" w:cs="Palatino Linotype"/>
        </w:rPr>
        <w:t xml:space="preserve"> como se puntualizó en párrafos anteriores.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Ahora bien, para clasificar dicha información como reservada, las leyes en la materia en términos generales, disponen que para proceder a realizar la reserva de la información, no basta que la información se refiera a alguno de los supuestos que enmarque, en el caso concreto, el artículo 140 de nuestra Ley de Transparencia, que ya fue insertado en líneas anteriores; sino que es necesario, que la autoridad demuestre que la divulgación de la información en el caso concreto, puede causar un daño al interés público protegido.</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Dicha valoración, debe realizarse caso por caso, a través de lo que se conoce como la llamada </w:t>
      </w:r>
      <w:r w:rsidRPr="00C51CE4">
        <w:rPr>
          <w:rFonts w:ascii="Palatino Linotype" w:eastAsia="Palatino Linotype" w:hAnsi="Palatino Linotype" w:cs="Palatino Linotype"/>
          <w:i/>
          <w:iCs/>
        </w:rPr>
        <w:t>“prueba de daño”</w:t>
      </w:r>
      <w:r w:rsidRPr="00C51CE4">
        <w:rPr>
          <w:rFonts w:ascii="Palatino Linotype" w:eastAsia="Palatino Linotype" w:hAnsi="Palatino Linotype" w:cs="Palatino Linotype"/>
        </w:rPr>
        <w:t>, que consiste en exponer los argumentos y razones, basados en elementos objetivos o verificables, a partir de los cuales se derive que la divulgación de información, en particular, puede afectar, poner en riesgo o dañar el interés protegido. Asimismo, ésta no debe basarse en meras especulaciones o suposiciones, sino en elementos objetivos que deban evaluar que existe un riesgo actual e inminente.</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En tal virtud, conforme al artículo 49, fracción VIII, nuestra Ley de Transparencia,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deberá confirmar, modificar o revocar la decisión, que para motivar la clasificación de la información y la ampliación del </w:t>
      </w:r>
      <w:r w:rsidRPr="00C51CE4">
        <w:rPr>
          <w:rFonts w:ascii="Palatino Linotype" w:eastAsia="Palatino Linotype" w:hAnsi="Palatino Linotype" w:cs="Palatino Linotype"/>
        </w:rPr>
        <w:lastRenderedPageBreak/>
        <w:t xml:space="preserve">plazo de reserva, se deberán de señalar las razones, motivos o circunstancias especiales que llevaron al </w:t>
      </w:r>
      <w:r w:rsidRPr="00C51CE4">
        <w:rPr>
          <w:rFonts w:ascii="Palatino Linotype" w:eastAsia="Palatino Linotype" w:hAnsi="Palatino Linotype" w:cs="Palatino Linotype"/>
          <w:b/>
          <w:bCs/>
        </w:rPr>
        <w:t>Sujeto Obligado</w:t>
      </w:r>
      <w:r w:rsidRPr="00C51CE4">
        <w:rPr>
          <w:rFonts w:ascii="Palatino Linotype" w:eastAsia="Palatino Linotype" w:hAnsi="Palatino Linotype" w:cs="Palatino Linotype"/>
        </w:rPr>
        <w:t xml:space="preserve"> a concluir que el caso particular se ajusta al supuesto previsto por la norma legal invocada como fundamento; siendo que, además, el Sujeto Obligado debe, en todo momento, aplicar una prueba de daño.</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 de conformidad con lo establecido en el Artículo 3, fracción XXXIII, de la Ley de Transparencia y Acceso a la Información Pública del Estado de México y Municipios.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De este modo, de conformidad con lo establecido en el Artículo 132,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rsidR="00035DB3" w:rsidRPr="00C51CE4" w:rsidRDefault="0084126B">
      <w:pPr>
        <w:numPr>
          <w:ilvl w:val="0"/>
          <w:numId w:val="5"/>
        </w:numPr>
        <w:spacing w:after="160"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rPr>
        <w:t>Se reciba una solicitud de acceso a la información.</w:t>
      </w:r>
    </w:p>
    <w:p w:rsidR="00035DB3" w:rsidRPr="00C51CE4" w:rsidRDefault="0084126B">
      <w:pPr>
        <w:numPr>
          <w:ilvl w:val="0"/>
          <w:numId w:val="5"/>
        </w:numPr>
        <w:spacing w:after="160"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rPr>
        <w:t>Se determine mediante resolución de autoridad competente.</w:t>
      </w:r>
    </w:p>
    <w:p w:rsidR="00035DB3" w:rsidRPr="00C51CE4" w:rsidRDefault="0084126B">
      <w:pPr>
        <w:numPr>
          <w:ilvl w:val="0"/>
          <w:numId w:val="5"/>
        </w:numPr>
        <w:spacing w:after="160"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rPr>
        <w:t>Se generen versiones públicas para dar cumplimiento a las obligaciones de transparencia previstas en la Ley.</w:t>
      </w:r>
    </w:p>
    <w:p w:rsidR="00035DB3" w:rsidRPr="00C51CE4" w:rsidRDefault="00035DB3">
      <w:pPr>
        <w:pBdr>
          <w:top w:val="nil"/>
          <w:left w:val="nil"/>
          <w:bottom w:val="nil"/>
          <w:right w:val="nil"/>
          <w:between w:val="nil"/>
        </w:pBdr>
        <w:ind w:right="-574"/>
        <w:rPr>
          <w:rFonts w:ascii="Times New Roman" w:eastAsia="Times New Roman" w:hAnsi="Times New Roman" w:cs="Times New Roman"/>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Situación que se robustece con el artículo 141 de la misma Ley, que señala que las causales de reserva previstas, se deberán fundar y motivar, a través de la aplicación de la prueba de daño.</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Igualmente, la clasificación de la información debe estar sustentada en el Acuerdo de Clasificación correspondiente, en el que, de manera fundada y motivada, se establezcan las hipótesis normativas aplicables al caso concreto y se analice la prueba del daño que prevé el artículo 129 de la Ley de Transparencia de mérito, para lo cual, los sujetos obligados deberán considerar lo siguiente: </w:t>
      </w:r>
    </w:p>
    <w:p w:rsidR="00035DB3" w:rsidRPr="00C51CE4" w:rsidRDefault="0084126B">
      <w:pPr>
        <w:numPr>
          <w:ilvl w:val="0"/>
          <w:numId w:val="7"/>
        </w:numPr>
        <w:spacing w:after="160"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rPr>
        <w:t>La divulgación de la información representa un riesgo real, demostrable e identificable del perjuicio significativo al interés público o a la seguridad pública;</w:t>
      </w:r>
    </w:p>
    <w:p w:rsidR="00035DB3" w:rsidRPr="00C51CE4" w:rsidRDefault="0084126B">
      <w:pPr>
        <w:numPr>
          <w:ilvl w:val="0"/>
          <w:numId w:val="7"/>
        </w:numPr>
        <w:spacing w:after="160"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rPr>
        <w:t>El riesgo de perjuicio que supondría la divulgación supera el interés público general de que se difunda; y</w:t>
      </w:r>
    </w:p>
    <w:p w:rsidR="00035DB3" w:rsidRPr="00C51CE4" w:rsidRDefault="0084126B">
      <w:pPr>
        <w:numPr>
          <w:ilvl w:val="0"/>
          <w:numId w:val="7"/>
        </w:numPr>
        <w:spacing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La limitación se adecua al principio de proporcionalidad y representa el medio menos restrictivo disponible para evitar el perjuicio. </w:t>
      </w:r>
    </w:p>
    <w:p w:rsidR="00035DB3" w:rsidRPr="00C51CE4" w:rsidRDefault="00035DB3">
      <w:pPr>
        <w:spacing w:line="360" w:lineRule="auto"/>
        <w:ind w:left="720"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Además, el artículo 125 de la Ley de la materia, establece que la información clasificada como reservada según el artículo 140 de la Ley de Transparencia y Acceso a la Información Pública del Estado de México y Municipios, podrá permanecer con tal carácter hasta por un periodo de cinco años. Asimismo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w:t>
      </w:r>
      <w:r w:rsidRPr="00C51CE4">
        <w:rPr>
          <w:rFonts w:ascii="Palatino Linotype" w:eastAsia="Palatino Linotype" w:hAnsi="Palatino Linotype" w:cs="Palatino Linotype"/>
        </w:rPr>
        <w:lastRenderedPageBreak/>
        <w:t xml:space="preserve">Comité de Transparencia considere pertinente la desclasificación o se trate de información que esté relacionada con violaciones graves a derechos humanos o delitos de lesa humanidad; por lo que, </w:t>
      </w:r>
      <w:r w:rsidRPr="00C51CE4">
        <w:rPr>
          <w:rFonts w:ascii="Palatino Linotype" w:eastAsia="Palatino Linotype" w:hAnsi="Palatino Linotype" w:cs="Palatino Linotype"/>
          <w:b/>
          <w:bCs/>
        </w:rPr>
        <w:t>en las versiones públicas, la clasificación de información se deberá realizar de manera fundada y motivada, mediante la respectiva prueba de daño.</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En lo que respecta al punto de solicitud relativa al </w:t>
      </w:r>
      <w:r w:rsidRPr="00C51CE4">
        <w:rPr>
          <w:rFonts w:ascii="Palatino Linotype" w:eastAsia="Palatino Linotype" w:hAnsi="Palatino Linotype" w:cs="Palatino Linotype"/>
          <w:b/>
          <w:bCs/>
          <w:i/>
          <w:iCs/>
          <w:u w:val="single"/>
        </w:rPr>
        <w:t>Examen de control de confianza</w:t>
      </w:r>
      <w:r w:rsidRPr="00C51CE4">
        <w:rPr>
          <w:rFonts w:ascii="Palatino Linotype" w:eastAsia="Palatino Linotype" w:hAnsi="Palatino Linotype" w:cs="Palatino Linotype"/>
          <w:color w:val="000000"/>
        </w:rPr>
        <w:t xml:space="preserve">, es necesario traer a contexto la Ley de Seguridad del Estado de México, la cual, establece en su artículo 22 Bis, mismo que establece </w:t>
      </w:r>
      <w:r w:rsidRPr="00C51CE4">
        <w:rPr>
          <w:rFonts w:ascii="Palatino Linotype" w:eastAsia="Palatino Linotype" w:hAnsi="Palatino Linotype" w:cs="Palatino Linotype"/>
        </w:rPr>
        <w:t>que, para ocupar el cargo de Director de Seguridad Pública Municipal o su equivalente, se deberán satisfacer ciertos requisitos, los cuales, son los siguientes:</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Artículo 22 Bis.</w:t>
      </w:r>
      <w:r w:rsidRPr="00C51CE4">
        <w:rPr>
          <w:rFonts w:ascii="Palatino Linotype" w:eastAsia="Palatino Linotype" w:hAnsi="Palatino Linotype" w:cs="Palatino Linotype"/>
          <w:i/>
          <w:iCs/>
        </w:rPr>
        <w:t xml:space="preserve"> Para ocupar el cargo de Director de Seguridad Pública Municipal o su equivalente, se deberán satisfacer los requisitos siguientes: </w:t>
      </w: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I.</w:t>
      </w:r>
      <w:r w:rsidRPr="00C51CE4">
        <w:rPr>
          <w:rFonts w:ascii="Palatino Linotype" w:eastAsia="Palatino Linotype" w:hAnsi="Palatino Linotype" w:cs="Palatino Linotype"/>
          <w:i/>
          <w:iCs/>
        </w:rPr>
        <w:t xml:space="preserve"> Ser ciudadano o ciudadana del Estado de México, preferentemente vecino del municipio, en pleno goce de sus derechos civiles y políticos; </w:t>
      </w: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II.</w:t>
      </w:r>
      <w:r w:rsidRPr="00C51CE4">
        <w:rPr>
          <w:rFonts w:ascii="Palatino Linotype" w:eastAsia="Palatino Linotype" w:hAnsi="Palatino Linotype" w:cs="Palatino Linotype"/>
          <w:i/>
          <w:iCs/>
        </w:rPr>
        <w:t xml:space="preserve"> No estar inhabilitado o inhabilitada para desempeñar cargo, empleo, o comisión pública; </w:t>
      </w: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III.</w:t>
      </w:r>
      <w:r w:rsidRPr="00C51CE4">
        <w:rPr>
          <w:rFonts w:ascii="Palatino Linotype" w:eastAsia="Palatino Linotype" w:hAnsi="Palatino Linotype" w:cs="Palatino Linotype"/>
          <w:i/>
          <w:iCs/>
        </w:rPr>
        <w:t xml:space="preserve"> No haber sido condenado o condenada por delito doloso que amerite pena privativa de libertad; </w:t>
      </w: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IV.</w:t>
      </w:r>
      <w:r w:rsidRPr="00C51CE4">
        <w:rPr>
          <w:rFonts w:ascii="Palatino Linotype" w:eastAsia="Palatino Linotype" w:hAnsi="Palatino Linotype" w:cs="Palatino Linotype"/>
          <w:i/>
          <w:iCs/>
        </w:rPr>
        <w:t xml:space="preserve"> Tener Licenciatura y preferentemente especialización en seguridad pública, o contar con experiencia mínima de un año en la materia, y </w:t>
      </w: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V.</w:t>
      </w:r>
      <w:r w:rsidRPr="00C51CE4">
        <w:rPr>
          <w:rFonts w:ascii="Palatino Linotype" w:eastAsia="Palatino Linotype" w:hAnsi="Palatino Linotype" w:cs="Palatino Linotype"/>
          <w:i/>
          <w:iCs/>
        </w:rPr>
        <w:t xml:space="preserve"> </w:t>
      </w:r>
      <w:r w:rsidRPr="00C51CE4">
        <w:rPr>
          <w:rFonts w:ascii="Palatino Linotype" w:eastAsia="Palatino Linotype" w:hAnsi="Palatino Linotype" w:cs="Palatino Linotype"/>
          <w:b/>
          <w:bCs/>
          <w:i/>
          <w:iCs/>
          <w:u w:val="single"/>
        </w:rPr>
        <w:t>Someterse y aprobar las evaluaciones de certificación y control de confianza, para su ingreso y permanencia</w:t>
      </w:r>
      <w:r w:rsidRPr="00C51CE4">
        <w:rPr>
          <w:rFonts w:ascii="Palatino Linotype" w:eastAsia="Palatino Linotype" w:hAnsi="Palatino Linotype" w:cs="Palatino Linotype"/>
          <w:i/>
          <w:iCs/>
        </w:rPr>
        <w:t>.</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Visto lo anterior, es indudable que al ser un requisito el de realizar y aprobar las evaluaciones de certificación y control de confianza, para su ingreso y permanencia, para </w:t>
      </w:r>
      <w:r w:rsidRPr="00C51CE4">
        <w:rPr>
          <w:rFonts w:ascii="Palatino Linotype" w:eastAsia="Palatino Linotype" w:hAnsi="Palatino Linotype" w:cs="Palatino Linotype"/>
        </w:rPr>
        <w:lastRenderedPageBreak/>
        <w:t xml:space="preserve">ocupar el cargo de Director de Seguridad Pública Municipal, es indispensable contar con la información solicitada por parte del particular. </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Ahora bien, el Centro de Control de Confianza del Estado de México, fue creado como un organismo público descentralizado, con personalidad jurídica y patrimonio propio, sectorizado a la Secretaría General de Gobierno, mismo que tiene por objeto realizar las evaluaciones permanentes, de control de confianza, de desempeño, poligrafía, entorno social y psicológico, así como exámenes toxicológicos a los aspirantes y a todos los integrantes de las Instituciones de Seguridad Pública y privada, estatal y municipal a fin de emitir, en su caso la certificación correspondiente.</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De modo, que el proceso de evaluación tiene como objeto, comprobar que los integrantes de las Instituciones de Seguridad Pública cumplan con los principios de certeza, legalidad, objetividad, imparcialidad, eficiencia, eficacia, profesionalismo, honradez, lealtad, disciplina y respeto a los derechos humanos.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Por otra parte, el Manual General de Organización del Centro de Control de Confianza del Estado de México, precisa que la Unidad de Evaluación será la encargada de emitir el reporte con el resultado final de las evaluaciones de control de confianza, mismo que será reportado a las instituciones de seguridad pública.</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Asimismo, se establece que el Centro Estatal de Evaluación y Control de Confianza, aplicará las evaluaciones para selección del aspirante y para la permanencia, el desarrollo y la promoción de elementos de la corporación, esto es realizará los procedimientos de </w:t>
      </w:r>
      <w:r w:rsidRPr="00C51CE4">
        <w:rPr>
          <w:rFonts w:ascii="Palatino Linotype" w:eastAsia="Palatino Linotype" w:hAnsi="Palatino Linotype" w:cs="Palatino Linotype"/>
        </w:rPr>
        <w:lastRenderedPageBreak/>
        <w:t>evaluación y de control de confianza; además, que los resultados de todos los exámenes serán reportados directamente a la institución de seguridad pública, el cual podrá ser de la siguiente forma:</w:t>
      </w:r>
    </w:p>
    <w:p w:rsidR="00035DB3" w:rsidRPr="00C51CE4" w:rsidRDefault="0084126B">
      <w:pPr>
        <w:numPr>
          <w:ilvl w:val="0"/>
          <w:numId w:val="8"/>
        </w:numPr>
        <w:spacing w:line="360" w:lineRule="auto"/>
        <w:ind w:left="993" w:right="-574"/>
        <w:jc w:val="both"/>
        <w:rPr>
          <w:rFonts w:ascii="Palatino Linotype" w:eastAsia="Palatino Linotype" w:hAnsi="Palatino Linotype" w:cs="Palatino Linotype"/>
          <w:b/>
          <w:bCs/>
        </w:rPr>
      </w:pPr>
      <w:r w:rsidRPr="00C51CE4">
        <w:rPr>
          <w:rFonts w:ascii="Palatino Linotype" w:eastAsia="Palatino Linotype" w:hAnsi="Palatino Linotype" w:cs="Palatino Linotype"/>
          <w:b/>
          <w:bCs/>
        </w:rPr>
        <w:t xml:space="preserve">Apto: </w:t>
      </w:r>
      <w:r w:rsidRPr="00C51CE4">
        <w:rPr>
          <w:rFonts w:ascii="Palatino Linotype" w:eastAsia="Palatino Linotype" w:hAnsi="Palatino Linotype" w:cs="Palatino Linotype"/>
        </w:rPr>
        <w:t>Corresponde aquel que refleja los resultados satisfactorios a los requerimientos de la totalidad de los exámenes de la evaluación;</w:t>
      </w:r>
    </w:p>
    <w:p w:rsidR="00035DB3" w:rsidRPr="00C51CE4" w:rsidRDefault="0084126B">
      <w:pPr>
        <w:numPr>
          <w:ilvl w:val="0"/>
          <w:numId w:val="8"/>
        </w:numPr>
        <w:spacing w:line="360" w:lineRule="auto"/>
        <w:ind w:left="993" w:right="-574"/>
        <w:jc w:val="both"/>
        <w:rPr>
          <w:rFonts w:ascii="Palatino Linotype" w:eastAsia="Palatino Linotype" w:hAnsi="Palatino Linotype" w:cs="Palatino Linotype"/>
          <w:b/>
          <w:bCs/>
        </w:rPr>
      </w:pPr>
      <w:r w:rsidRPr="00C51CE4">
        <w:rPr>
          <w:rFonts w:ascii="Palatino Linotype" w:eastAsia="Palatino Linotype" w:hAnsi="Palatino Linotype" w:cs="Palatino Linotype"/>
          <w:b/>
          <w:bCs/>
        </w:rPr>
        <w:t xml:space="preserve">Recomendable con observaciones: </w:t>
      </w:r>
      <w:r w:rsidRPr="00C51CE4">
        <w:rPr>
          <w:rFonts w:ascii="Palatino Linotype" w:eastAsia="Palatino Linotype" w:hAnsi="Palatino Linotype" w:cs="Palatino Linotype"/>
        </w:rPr>
        <w:t>Sucede en aquellos casos que se cumplen con los parámetros de cualquiera de los exámenes, pero existen características que deben marcarse en situaciones críticas por posibles inconsistencias en los resultados, y</w:t>
      </w:r>
    </w:p>
    <w:p w:rsidR="00035DB3" w:rsidRPr="00C51CE4" w:rsidRDefault="0084126B">
      <w:pPr>
        <w:numPr>
          <w:ilvl w:val="0"/>
          <w:numId w:val="8"/>
        </w:numPr>
        <w:spacing w:line="360" w:lineRule="auto"/>
        <w:ind w:left="993" w:right="-574"/>
        <w:jc w:val="both"/>
        <w:rPr>
          <w:rFonts w:ascii="Palatino Linotype" w:eastAsia="Palatino Linotype" w:hAnsi="Palatino Linotype" w:cs="Palatino Linotype"/>
          <w:b/>
          <w:bCs/>
        </w:rPr>
      </w:pPr>
      <w:r w:rsidRPr="00C51CE4">
        <w:rPr>
          <w:rFonts w:ascii="Palatino Linotype" w:eastAsia="Palatino Linotype" w:hAnsi="Palatino Linotype" w:cs="Palatino Linotype"/>
          <w:b/>
          <w:bCs/>
        </w:rPr>
        <w:t xml:space="preserve">No Apto: </w:t>
      </w:r>
      <w:r w:rsidRPr="00C51CE4">
        <w:rPr>
          <w:rFonts w:ascii="Palatino Linotype" w:eastAsia="Palatino Linotype" w:hAnsi="Palatino Linotype" w:cs="Palatino Linotype"/>
        </w:rPr>
        <w:t>Aplica cuando no se aprueban los exámenes.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u w:val="single"/>
        </w:rPr>
      </w:pPr>
      <w:r w:rsidRPr="00C51CE4">
        <w:rPr>
          <w:rFonts w:ascii="Palatino Linotype" w:eastAsia="Palatino Linotype" w:hAnsi="Palatino Linotype" w:cs="Palatino Linotype"/>
        </w:rPr>
        <w:t xml:space="preserve">Por tales circunstancias, se puede advertir que alguno de los documentos que pudiera dar cuenta de lo solicitado, de manera enunciativa más no limitativa, es el Certificado Único Policial o bien, el reporte mediante el cual se informa a la institución de seguridad pública, que personal evaluado es </w:t>
      </w:r>
      <w:r w:rsidRPr="00C51CE4">
        <w:rPr>
          <w:rFonts w:ascii="Palatino Linotype" w:eastAsia="Palatino Linotype" w:hAnsi="Palatino Linotype" w:cs="Palatino Linotype"/>
          <w:b/>
          <w:bCs/>
        </w:rPr>
        <w:t>“Apto”</w:t>
      </w:r>
      <w:r w:rsidRPr="00C51CE4">
        <w:rPr>
          <w:rFonts w:ascii="Palatino Linotype" w:eastAsia="Palatino Linotype" w:hAnsi="Palatino Linotype" w:cs="Palatino Linotype"/>
        </w:rPr>
        <w:t xml:space="preserve">, </w:t>
      </w:r>
      <w:r w:rsidRPr="00C51CE4">
        <w:rPr>
          <w:rFonts w:ascii="Palatino Linotype" w:eastAsia="Palatino Linotype" w:hAnsi="Palatino Linotype" w:cs="Palatino Linotype"/>
          <w:b/>
          <w:bCs/>
        </w:rPr>
        <w:t>“Recomendable con observaciones”</w:t>
      </w:r>
      <w:r w:rsidRPr="00C51CE4">
        <w:rPr>
          <w:rFonts w:ascii="Palatino Linotype" w:eastAsia="Palatino Linotype" w:hAnsi="Palatino Linotype" w:cs="Palatino Linotype"/>
        </w:rPr>
        <w:t xml:space="preserve"> y </w:t>
      </w:r>
      <w:r w:rsidRPr="00C51CE4">
        <w:rPr>
          <w:rFonts w:ascii="Palatino Linotype" w:eastAsia="Palatino Linotype" w:hAnsi="Palatino Linotype" w:cs="Palatino Linotype"/>
          <w:b/>
          <w:bCs/>
        </w:rPr>
        <w:t>“No apto”</w:t>
      </w:r>
      <w:r w:rsidRPr="00C51CE4">
        <w:rPr>
          <w:rFonts w:ascii="Palatino Linotype" w:eastAsia="Palatino Linotype" w:hAnsi="Palatino Linotype" w:cs="Palatino Linotype"/>
        </w:rPr>
        <w:t>.</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b/>
          <w:bCs/>
          <w:i/>
          <w:iCs/>
          <w:u w:val="single"/>
        </w:rPr>
      </w:pPr>
      <w:r w:rsidRPr="00C51CE4">
        <w:rPr>
          <w:rFonts w:ascii="Palatino Linotype" w:eastAsia="Palatino Linotype" w:hAnsi="Palatino Linotype" w:cs="Palatino Linotype"/>
        </w:rPr>
        <w:t xml:space="preserve">De tal suerte, toda vez que la pretensión del ahora </w:t>
      </w:r>
      <w:r w:rsidRPr="00C51CE4">
        <w:rPr>
          <w:rFonts w:ascii="Palatino Linotype" w:eastAsia="Palatino Linotype" w:hAnsi="Palatino Linotype" w:cs="Palatino Linotype"/>
          <w:b/>
          <w:bCs/>
        </w:rPr>
        <w:t>Recurrente</w:t>
      </w:r>
      <w:r w:rsidRPr="00C51CE4">
        <w:rPr>
          <w:rFonts w:ascii="Palatino Linotype" w:eastAsia="Palatino Linotype" w:hAnsi="Palatino Linotype" w:cs="Palatino Linotype"/>
        </w:rPr>
        <w:t xml:space="preserve"> </w:t>
      </w:r>
      <w:r w:rsidRPr="00C51CE4">
        <w:rPr>
          <w:rFonts w:ascii="Palatino Linotype" w:eastAsia="Palatino Linotype" w:hAnsi="Palatino Linotype" w:cs="Palatino Linotype"/>
          <w:b/>
          <w:bCs/>
        </w:rPr>
        <w:t xml:space="preserve">es obtener el </w:t>
      </w:r>
      <w:r w:rsidRPr="00C51CE4">
        <w:rPr>
          <w:rFonts w:ascii="Palatino Linotype" w:eastAsia="Palatino Linotype" w:hAnsi="Palatino Linotype" w:cs="Palatino Linotype"/>
          <w:b/>
          <w:bCs/>
          <w:u w:val="single"/>
        </w:rPr>
        <w:t>resultado global de la evaluación de control de confianza</w:t>
      </w:r>
      <w:r w:rsidRPr="00C51CE4">
        <w:rPr>
          <w:rFonts w:ascii="Palatino Linotype" w:eastAsia="Palatino Linotype" w:hAnsi="Palatino Linotype" w:cs="Palatino Linotype"/>
          <w:b/>
          <w:bCs/>
        </w:rPr>
        <w:t xml:space="preserve">, </w:t>
      </w:r>
      <w:r w:rsidRPr="00C51CE4">
        <w:rPr>
          <w:rFonts w:ascii="Palatino Linotype" w:eastAsia="Palatino Linotype" w:hAnsi="Palatino Linotype" w:cs="Palatino Linotype"/>
        </w:rPr>
        <w:t xml:space="preserve">por lo que es dable </w:t>
      </w:r>
      <w:r w:rsidRPr="00C51CE4">
        <w:rPr>
          <w:rFonts w:ascii="Palatino Linotype" w:eastAsia="Palatino Linotype" w:hAnsi="Palatino Linotype" w:cs="Palatino Linotype"/>
          <w:b/>
          <w:bCs/>
        </w:rPr>
        <w:t>ORDENAR</w:t>
      </w:r>
      <w:r w:rsidRPr="00C51CE4">
        <w:rPr>
          <w:rFonts w:ascii="Palatino Linotype" w:eastAsia="Palatino Linotype" w:hAnsi="Palatino Linotype" w:cs="Palatino Linotype"/>
        </w:rPr>
        <w:t xml:space="preserve"> la entrega del mismo respecto del </w:t>
      </w:r>
      <w:r w:rsidRPr="00C51CE4">
        <w:rPr>
          <w:rFonts w:ascii="Palatino Linotype" w:eastAsia="Palatino Linotype" w:hAnsi="Palatino Linotype" w:cs="Palatino Linotype"/>
          <w:b/>
          <w:bCs/>
        </w:rPr>
        <w:t>Director de Seguridad Pública</w:t>
      </w:r>
      <w:r w:rsidRPr="00C51CE4">
        <w:rPr>
          <w:rFonts w:ascii="Palatino Linotype" w:eastAsia="Palatino Linotype" w:hAnsi="Palatino Linotype" w:cs="Palatino Linotype"/>
        </w:rPr>
        <w:t>.</w:t>
      </w:r>
    </w:p>
    <w:p w:rsidR="00035DB3" w:rsidRPr="00C51CE4" w:rsidRDefault="00035DB3">
      <w:pPr>
        <w:spacing w:line="360" w:lineRule="auto"/>
        <w:ind w:right="-574"/>
        <w:jc w:val="both"/>
        <w:rPr>
          <w:rFonts w:ascii="Palatino Linotype" w:eastAsia="Palatino Linotype" w:hAnsi="Palatino Linotype" w:cs="Palatino Linotype"/>
          <w:b/>
          <w:bCs/>
          <w:i/>
          <w:iCs/>
          <w:u w:val="single"/>
        </w:rPr>
      </w:pPr>
    </w:p>
    <w:p w:rsidR="00035DB3" w:rsidRPr="00C51CE4" w:rsidRDefault="0084126B">
      <w:pPr>
        <w:keepNext/>
        <w:keepLines/>
        <w:spacing w:after="160" w:line="360" w:lineRule="auto"/>
        <w:ind w:right="-574"/>
        <w:rPr>
          <w:rFonts w:ascii="Palatino Linotype" w:eastAsia="Palatino Linotype" w:hAnsi="Palatino Linotype" w:cs="Palatino Linotype"/>
          <w:b/>
          <w:bCs/>
          <w:color w:val="000000"/>
        </w:rPr>
      </w:pPr>
      <w:r w:rsidRPr="00C51CE4">
        <w:rPr>
          <w:rFonts w:ascii="Palatino Linotype" w:eastAsia="Palatino Linotype" w:hAnsi="Palatino Linotype" w:cs="Palatino Linotype"/>
          <w:b/>
          <w:bCs/>
          <w:color w:val="000000"/>
        </w:rPr>
        <w:lastRenderedPageBreak/>
        <w:t>QUINTO. De la versión pública.</w:t>
      </w:r>
    </w:p>
    <w:p w:rsidR="00035DB3" w:rsidRPr="00C51CE4" w:rsidRDefault="0084126B">
      <w:pPr>
        <w:keepNext/>
        <w:keepLines/>
        <w:numPr>
          <w:ilvl w:val="0"/>
          <w:numId w:val="9"/>
        </w:numPr>
        <w:tabs>
          <w:tab w:val="left" w:pos="284"/>
        </w:tabs>
        <w:spacing w:after="160" w:line="360" w:lineRule="auto"/>
        <w:ind w:right="-574"/>
        <w:rPr>
          <w:rFonts w:ascii="Palatino Linotype" w:eastAsia="Palatino Linotype" w:hAnsi="Palatino Linotype" w:cs="Palatino Linotype"/>
          <w:b/>
          <w:bCs/>
          <w:color w:val="000000"/>
        </w:rPr>
      </w:pPr>
      <w:r w:rsidRPr="00C51CE4">
        <w:rPr>
          <w:rFonts w:ascii="Palatino Linotype" w:eastAsia="Palatino Linotype" w:hAnsi="Palatino Linotype" w:cs="Palatino Linotype"/>
          <w:b/>
          <w:bCs/>
          <w:color w:val="000000"/>
        </w:rPr>
        <w:t xml:space="preserve">Nociones generales. </w:t>
      </w: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Debido a la información solicitada por el </w:t>
      </w:r>
      <w:r w:rsidRPr="00C51CE4">
        <w:rPr>
          <w:rFonts w:ascii="Palatino Linotype" w:eastAsia="Palatino Linotype" w:hAnsi="Palatino Linotype" w:cs="Palatino Linotype"/>
          <w:b/>
          <w:bCs/>
        </w:rPr>
        <w:t>RECURRENTE</w:t>
      </w:r>
      <w:r w:rsidRPr="00C51CE4">
        <w:rPr>
          <w:rFonts w:ascii="Palatino Linotype" w:eastAsia="Palatino Linotype" w:hAnsi="Palatino Linotype" w:cs="Palatino Linotype"/>
        </w:rPr>
        <w:t xml:space="preserve">, obran datos personales susceptibles de </w:t>
      </w:r>
      <w:r w:rsidRPr="00C51CE4">
        <w:rPr>
          <w:rFonts w:ascii="Palatino Linotype" w:eastAsia="Palatino Linotype" w:hAnsi="Palatino Linotype" w:cs="Palatino Linotype"/>
          <w:b/>
          <w:bCs/>
        </w:rPr>
        <w:t>protegerse</w:t>
      </w:r>
      <w:r w:rsidRPr="00C51CE4">
        <w:rPr>
          <w:rFonts w:ascii="Palatino Linotype" w:eastAsia="Palatino Linotype" w:hAnsi="Palatino Linotype" w:cs="Palatino Linotype"/>
        </w:rPr>
        <w:t xml:space="preserve">, así como información susceptible de clasificarse como confidencial, por lo que, el </w:t>
      </w:r>
      <w:r w:rsidRPr="00C51CE4">
        <w:rPr>
          <w:rFonts w:ascii="Palatino Linotype" w:eastAsia="Palatino Linotype" w:hAnsi="Palatino Linotype" w:cs="Palatino Linotype"/>
          <w:b/>
          <w:bCs/>
        </w:rPr>
        <w:t xml:space="preserve">SUJETO OBLIGADO </w:t>
      </w:r>
      <w:r w:rsidRPr="00C51CE4">
        <w:rPr>
          <w:rFonts w:ascii="Palatino Linotype" w:eastAsia="Palatino Linotype" w:hAnsi="Palatino Linotype" w:cs="Palatino Linotype"/>
        </w:rPr>
        <w:t xml:space="preserve">deberá de hacer la adecuada versión pública, protegiendo los datos que no son susceptibles de ser proporcionados. </w:t>
      </w:r>
    </w:p>
    <w:p w:rsidR="00035DB3" w:rsidRPr="00C51CE4" w:rsidRDefault="00035DB3">
      <w:pPr>
        <w:tabs>
          <w:tab w:val="left" w:pos="0"/>
          <w:tab w:val="left" w:pos="284"/>
        </w:tabs>
        <w:spacing w:line="360" w:lineRule="auto"/>
        <w:ind w:right="-574"/>
        <w:jc w:val="both"/>
        <w:rPr>
          <w:rFonts w:ascii="Palatino Linotype" w:eastAsia="Palatino Linotype" w:hAnsi="Palatino Linotype" w:cs="Palatino Linotype"/>
          <w:highlight w:val="yellow"/>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No </w:t>
      </w:r>
      <w:r w:rsidRPr="00C51CE4">
        <w:rPr>
          <w:rFonts w:ascii="Palatino Linotype" w:eastAsia="Palatino Linotype" w:hAnsi="Palatino Linotype" w:cs="Palatino Linotype"/>
        </w:rPr>
        <w:t>pasa</w:t>
      </w:r>
      <w:r w:rsidRPr="00C51CE4">
        <w:rPr>
          <w:rFonts w:ascii="Palatino Linotype" w:eastAsia="Palatino Linotype" w:hAnsi="Palatino Linotype" w:cs="Palatino Linotype"/>
          <w:color w:val="000000"/>
        </w:rPr>
        <w:t xml:space="preserve"> </w:t>
      </w:r>
      <w:r w:rsidRPr="00C51CE4">
        <w:rPr>
          <w:rFonts w:ascii="Palatino Linotype" w:eastAsia="Palatino Linotype" w:hAnsi="Palatino Linotype" w:cs="Palatino Linotype"/>
        </w:rPr>
        <w:t>desapercibido</w:t>
      </w:r>
      <w:r w:rsidRPr="00C51CE4">
        <w:rPr>
          <w:rFonts w:ascii="Palatino Linotype" w:eastAsia="Palatino Linotype" w:hAnsi="Palatino Linotype" w:cs="Palatino Linotype"/>
          <w:color w:val="000000"/>
        </w:rPr>
        <w:t xml:space="preserve"> para este Órgano Garante que los sujetos obligados</w:t>
      </w:r>
      <w:r w:rsidRPr="00C51CE4">
        <w:rPr>
          <w:rFonts w:ascii="Palatino Linotype" w:eastAsia="Palatino Linotype" w:hAnsi="Palatino Linotype" w:cs="Palatino Linotype"/>
          <w:b/>
          <w:bCs/>
          <w:color w:val="000000"/>
        </w:rPr>
        <w:t xml:space="preserve"> </w:t>
      </w:r>
      <w:r w:rsidRPr="00C51CE4">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35DB3" w:rsidRPr="00C51CE4" w:rsidRDefault="00035DB3">
      <w:pPr>
        <w:tabs>
          <w:tab w:val="left" w:pos="284"/>
        </w:tabs>
        <w:spacing w:after="160" w:line="360" w:lineRule="auto"/>
        <w:ind w:right="-574"/>
        <w:jc w:val="both"/>
        <w:rPr>
          <w:rFonts w:ascii="Palatino Linotype" w:eastAsia="Palatino Linotype" w:hAnsi="Palatino Linotype" w:cs="Palatino Linotype"/>
          <w:color w:val="000000"/>
        </w:rPr>
      </w:pPr>
    </w:p>
    <w:tbl>
      <w:tblPr>
        <w:tblStyle w:val="a"/>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6946"/>
      </w:tblGrid>
      <w:tr w:rsidR="00035DB3" w:rsidRPr="00C51CE4" w:rsidTr="00C51CE4">
        <w:tc>
          <w:tcPr>
            <w:tcW w:w="2830" w:type="dxa"/>
          </w:tcPr>
          <w:p w:rsidR="00035DB3" w:rsidRPr="00C51CE4" w:rsidRDefault="0084126B">
            <w:pPr>
              <w:tabs>
                <w:tab w:val="left" w:pos="284"/>
              </w:tabs>
              <w:spacing w:line="360" w:lineRule="auto"/>
              <w:ind w:right="175"/>
              <w:rPr>
                <w:rFonts w:ascii="Palatino Linotype" w:eastAsia="Palatino Linotype" w:hAnsi="Palatino Linotype" w:cs="Palatino Linotype"/>
                <w:b/>
                <w:bCs/>
              </w:rPr>
            </w:pPr>
            <w:r w:rsidRPr="00C51CE4">
              <w:rPr>
                <w:rFonts w:ascii="Palatino Linotype" w:eastAsia="Palatino Linotype" w:hAnsi="Palatino Linotype" w:cs="Palatino Linotype"/>
                <w:b/>
                <w:bCs/>
              </w:rPr>
              <w:t>a) Requisitos previos.</w:t>
            </w:r>
          </w:p>
        </w:tc>
        <w:tc>
          <w:tcPr>
            <w:tcW w:w="6946" w:type="dxa"/>
          </w:tcPr>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Además, se debe señalar el procedimiento, de los tres que establecen el artículo 132 de la Ley Estatal.</w:t>
            </w:r>
          </w:p>
          <w:p w:rsidR="00035DB3" w:rsidRPr="00C51CE4" w:rsidRDefault="0084126B">
            <w:pPr>
              <w:tabs>
                <w:tab w:val="left" w:pos="284"/>
              </w:tabs>
              <w:spacing w:line="276" w:lineRule="auto"/>
              <w:ind w:right="175"/>
              <w:jc w:val="both"/>
              <w:rPr>
                <w:rFonts w:ascii="Palatino Linotype" w:eastAsia="Palatino Linotype" w:hAnsi="Palatino Linotype" w:cs="Palatino Linotype"/>
              </w:rPr>
            </w:pPr>
            <w:r w:rsidRPr="00C51CE4">
              <w:rPr>
                <w:rFonts w:ascii="Palatino Linotype" w:eastAsia="Palatino Linotype" w:hAnsi="Palatino Linotype" w:cs="Palatino Linotype"/>
                <w:color w:val="000000"/>
              </w:rPr>
              <w:t xml:space="preserve">El último de estos requisitos previos consiste en que no se pueden emitir acuerdos de carácter general ni particular, esto </w:t>
            </w:r>
            <w:r w:rsidRPr="00C51CE4">
              <w:rPr>
                <w:rFonts w:ascii="Palatino Linotype" w:eastAsia="Palatino Linotype" w:hAnsi="Palatino Linotype" w:cs="Palatino Linotype"/>
                <w:color w:val="000000"/>
              </w:rPr>
              <w:lastRenderedPageBreak/>
              <w:t xml:space="preserve">es, </w:t>
            </w:r>
            <w:r w:rsidRPr="00C51CE4">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C51CE4">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035DB3" w:rsidRPr="00C51CE4" w:rsidTr="00C51CE4">
        <w:tc>
          <w:tcPr>
            <w:tcW w:w="2830" w:type="dxa"/>
            <w:shd w:val="clear" w:color="auto" w:fill="F2F2F2"/>
          </w:tcPr>
          <w:p w:rsidR="00035DB3" w:rsidRPr="00C51CE4" w:rsidRDefault="0084126B">
            <w:pPr>
              <w:tabs>
                <w:tab w:val="left" w:pos="284"/>
              </w:tabs>
              <w:spacing w:line="360" w:lineRule="auto"/>
              <w:ind w:right="175"/>
              <w:rPr>
                <w:rFonts w:ascii="Palatino Linotype" w:eastAsia="Palatino Linotype" w:hAnsi="Palatino Linotype" w:cs="Palatino Linotype"/>
                <w:b/>
                <w:bCs/>
              </w:rPr>
            </w:pPr>
            <w:r w:rsidRPr="00C51CE4">
              <w:rPr>
                <w:rFonts w:ascii="Palatino Linotype" w:eastAsia="Palatino Linotype" w:hAnsi="Palatino Linotype" w:cs="Palatino Linotype"/>
                <w:b/>
                <w:bCs/>
              </w:rPr>
              <w:lastRenderedPageBreak/>
              <w:t>b) Supuestos de clasificación.</w:t>
            </w:r>
          </w:p>
        </w:tc>
        <w:tc>
          <w:tcPr>
            <w:tcW w:w="6946" w:type="dxa"/>
            <w:shd w:val="clear" w:color="auto" w:fill="F2F2F2"/>
          </w:tcPr>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35DB3" w:rsidRPr="00C51CE4" w:rsidRDefault="0084126B">
            <w:pPr>
              <w:tabs>
                <w:tab w:val="left" w:pos="284"/>
              </w:tabs>
              <w:spacing w:line="276" w:lineRule="auto"/>
              <w:ind w:right="175"/>
              <w:jc w:val="both"/>
              <w:rPr>
                <w:rFonts w:ascii="Palatino Linotype" w:eastAsia="Palatino Linotype" w:hAnsi="Palatino Linotype" w:cs="Palatino Linotype"/>
              </w:rPr>
            </w:pPr>
            <w:r w:rsidRPr="00C51CE4">
              <w:rPr>
                <w:rFonts w:ascii="Palatino Linotype" w:eastAsia="Palatino Linotype" w:hAnsi="Palatino Linotype" w:cs="Palatino Linotype"/>
                <w:color w:val="000000"/>
              </w:rPr>
              <w:t xml:space="preserve">El </w:t>
            </w:r>
            <w:r w:rsidRPr="00C51CE4">
              <w:rPr>
                <w:rFonts w:ascii="Palatino Linotype" w:eastAsia="Palatino Linotype" w:hAnsi="Palatino Linotype" w:cs="Palatino Linotype"/>
                <w:b/>
                <w:bCs/>
                <w:color w:val="000000"/>
              </w:rPr>
              <w:t>Sujeto Obligado</w:t>
            </w:r>
            <w:r w:rsidRPr="00C51CE4">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35DB3" w:rsidRPr="00C51CE4" w:rsidTr="00C51CE4">
        <w:tc>
          <w:tcPr>
            <w:tcW w:w="2830" w:type="dxa"/>
          </w:tcPr>
          <w:p w:rsidR="00035DB3" w:rsidRPr="00C51CE4" w:rsidRDefault="0084126B">
            <w:pPr>
              <w:tabs>
                <w:tab w:val="left" w:pos="284"/>
              </w:tabs>
              <w:spacing w:line="360" w:lineRule="auto"/>
              <w:ind w:right="175"/>
              <w:rPr>
                <w:rFonts w:ascii="Palatino Linotype" w:eastAsia="Palatino Linotype" w:hAnsi="Palatino Linotype" w:cs="Palatino Linotype"/>
                <w:b/>
                <w:bCs/>
              </w:rPr>
            </w:pPr>
            <w:r w:rsidRPr="00C51CE4">
              <w:rPr>
                <w:rFonts w:ascii="Palatino Linotype" w:eastAsia="Palatino Linotype" w:hAnsi="Palatino Linotype" w:cs="Palatino Linotype"/>
                <w:b/>
                <w:bCs/>
              </w:rPr>
              <w:t>c) Formalidades para emitir el acuerdo de clasificación.</w:t>
            </w:r>
          </w:p>
        </w:tc>
        <w:tc>
          <w:tcPr>
            <w:tcW w:w="6946" w:type="dxa"/>
          </w:tcPr>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Es necesario que </w:t>
            </w:r>
            <w:r w:rsidRPr="00C51CE4">
              <w:rPr>
                <w:rFonts w:ascii="Palatino Linotype" w:eastAsia="Palatino Linotype" w:hAnsi="Palatino Linotype" w:cs="Palatino Linotype"/>
                <w:b/>
                <w:bCs/>
                <w:color w:val="000000"/>
                <w:u w:val="single"/>
              </w:rPr>
              <w:t>el acto reúna con los requisitos elementales</w:t>
            </w:r>
            <w:r w:rsidRPr="00C51CE4">
              <w:rPr>
                <w:rFonts w:ascii="Palatino Linotype" w:eastAsia="Palatino Linotype" w:hAnsi="Palatino Linotype" w:cs="Palatino Linotype"/>
                <w:color w:val="000000"/>
              </w:rPr>
              <w:t>, entre ellos, que la autoridad que va a emitir el acto de autoridad sea la legalmente facultada para ello.</w:t>
            </w:r>
          </w:p>
          <w:p w:rsidR="00035DB3" w:rsidRPr="00C51CE4" w:rsidRDefault="0084126B">
            <w:pPr>
              <w:tabs>
                <w:tab w:val="left" w:pos="284"/>
              </w:tabs>
              <w:spacing w:line="276" w:lineRule="auto"/>
              <w:ind w:right="175"/>
              <w:jc w:val="both"/>
              <w:rPr>
                <w:rFonts w:ascii="Palatino Linotype" w:eastAsia="Palatino Linotype" w:hAnsi="Palatino Linotype" w:cs="Palatino Linotype"/>
              </w:rPr>
            </w:pPr>
            <w:r w:rsidRPr="00C51CE4">
              <w:rPr>
                <w:rFonts w:ascii="Palatino Linotype" w:eastAsia="Palatino Linotype" w:hAnsi="Palatino Linotype" w:cs="Palatino Linotype"/>
                <w:color w:val="000000"/>
              </w:rPr>
              <w:t xml:space="preserve">La decisión de aprobar, modificar o revocar la clasificación deberá de asentarse en un documento que registre la </w:t>
            </w:r>
            <w:r w:rsidRPr="00C51CE4">
              <w:rPr>
                <w:rFonts w:ascii="Palatino Linotype" w:eastAsia="Palatino Linotype" w:hAnsi="Palatino Linotype" w:cs="Palatino Linotype"/>
                <w:color w:val="000000"/>
              </w:rPr>
              <w:lastRenderedPageBreak/>
              <w:t xml:space="preserve">determinación a la que se llegue después de un análisis minucioso a partir de lo propuesto por el Titular del I. </w:t>
            </w:r>
            <w:r w:rsidRPr="00C51CE4">
              <w:rPr>
                <w:rFonts w:ascii="Palatino Linotype" w:eastAsia="Palatino Linotype" w:hAnsi="Palatino Linotype" w:cs="Palatino Linotype"/>
              </w:rPr>
              <w:t>El área</w:t>
            </w:r>
            <w:r w:rsidRPr="00C51CE4">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35DB3" w:rsidRPr="00C51CE4" w:rsidTr="00C51CE4">
        <w:tc>
          <w:tcPr>
            <w:tcW w:w="2830" w:type="dxa"/>
            <w:shd w:val="clear" w:color="auto" w:fill="F2F2F2"/>
          </w:tcPr>
          <w:p w:rsidR="00035DB3" w:rsidRPr="00C51CE4" w:rsidRDefault="00035DB3">
            <w:pPr>
              <w:tabs>
                <w:tab w:val="left" w:pos="284"/>
              </w:tabs>
              <w:spacing w:line="360" w:lineRule="auto"/>
              <w:ind w:right="175"/>
              <w:rPr>
                <w:rFonts w:ascii="Palatino Linotype" w:eastAsia="Palatino Linotype" w:hAnsi="Palatino Linotype" w:cs="Palatino Linotype"/>
                <w:b/>
                <w:bCs/>
              </w:rPr>
            </w:pPr>
          </w:p>
          <w:p w:rsidR="00035DB3" w:rsidRPr="00C51CE4" w:rsidRDefault="0084126B">
            <w:pPr>
              <w:tabs>
                <w:tab w:val="left" w:pos="284"/>
              </w:tabs>
              <w:spacing w:line="360" w:lineRule="auto"/>
              <w:ind w:right="175"/>
              <w:jc w:val="both"/>
              <w:rPr>
                <w:rFonts w:ascii="Palatino Linotype" w:eastAsia="Palatino Linotype" w:hAnsi="Palatino Linotype" w:cs="Palatino Linotype"/>
                <w:b/>
                <w:bCs/>
              </w:rPr>
            </w:pPr>
            <w:r w:rsidRPr="00C51CE4">
              <w:rPr>
                <w:rFonts w:ascii="Palatino Linotype" w:eastAsia="Palatino Linotype" w:hAnsi="Palatino Linotype" w:cs="Palatino Linotype"/>
                <w:b/>
                <w:bCs/>
                <w:color w:val="000000"/>
              </w:rPr>
              <w:t xml:space="preserve">d) Requisitos de fondo del acuerdo de clasificación. </w:t>
            </w:r>
          </w:p>
        </w:tc>
        <w:tc>
          <w:tcPr>
            <w:tcW w:w="6946" w:type="dxa"/>
            <w:shd w:val="clear" w:color="auto" w:fill="F2F2F2"/>
          </w:tcPr>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C51CE4">
              <w:rPr>
                <w:rFonts w:ascii="Palatino Linotype" w:eastAsia="Palatino Linotype" w:hAnsi="Palatino Linotype" w:cs="Palatino Linotype"/>
                <w:b/>
                <w:bCs/>
                <w:color w:val="000000"/>
              </w:rPr>
              <w:t>Sujetos Obligados</w:t>
            </w:r>
            <w:r w:rsidRPr="00C51CE4">
              <w:rPr>
                <w:rFonts w:ascii="Palatino Linotype" w:eastAsia="Palatino Linotype" w:hAnsi="Palatino Linotype" w:cs="Palatino Linotype"/>
                <w:color w:val="000000"/>
              </w:rPr>
              <w:t xml:space="preserve">, por lo que deberán fundar y motivar debidamente la clasificación. </w:t>
            </w:r>
          </w:p>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De lo anterior, se desprende que para una correcta </w:t>
            </w:r>
            <w:r w:rsidRPr="00C51CE4">
              <w:rPr>
                <w:rFonts w:ascii="Palatino Linotype" w:eastAsia="Palatino Linotype" w:hAnsi="Palatino Linotype" w:cs="Palatino Linotype"/>
                <w:b/>
                <w:bCs/>
                <w:color w:val="000000"/>
              </w:rPr>
              <w:t>clasificación total o parcial</w:t>
            </w:r>
            <w:r w:rsidRPr="00C51CE4">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lastRenderedPageBreak/>
              <w:t>En ese mismo sentido, el numeral trigésimo tercero fracción V de los Lineamientos Generales, precisa que para motivar la clasificación se deben acreditar las circunstancias de tiempo, modo y lugar.</w:t>
            </w:r>
          </w:p>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Ahora bien, </w:t>
            </w:r>
            <w:r w:rsidRPr="00C51CE4">
              <w:rPr>
                <w:rFonts w:ascii="Palatino Linotype" w:eastAsia="Palatino Linotype" w:hAnsi="Palatino Linotype" w:cs="Palatino Linotype"/>
                <w:b/>
                <w:bCs/>
                <w:color w:val="000000"/>
                <w:u w:val="single"/>
              </w:rPr>
              <w:t>para cada caso además de fundar y motivar</w:t>
            </w:r>
            <w:r w:rsidRPr="00C51CE4">
              <w:rPr>
                <w:rFonts w:ascii="Palatino Linotype" w:eastAsia="Palatino Linotype" w:hAnsi="Palatino Linotype" w:cs="Palatino Linotype"/>
                <w:color w:val="000000"/>
              </w:rPr>
              <w:t xml:space="preserve">, se debe identificar con claridad </w:t>
            </w:r>
            <w:r w:rsidRPr="00C51CE4">
              <w:rPr>
                <w:rFonts w:ascii="Palatino Linotype" w:eastAsia="Palatino Linotype" w:hAnsi="Palatino Linotype" w:cs="Palatino Linotype"/>
              </w:rPr>
              <w:t>qué</w:t>
            </w:r>
            <w:r w:rsidRPr="00C51CE4">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35DB3" w:rsidRPr="00C51CE4" w:rsidTr="00C51CE4">
        <w:tc>
          <w:tcPr>
            <w:tcW w:w="2830" w:type="dxa"/>
          </w:tcPr>
          <w:p w:rsidR="00035DB3" w:rsidRPr="00C51CE4" w:rsidRDefault="0084126B">
            <w:pPr>
              <w:tabs>
                <w:tab w:val="left" w:pos="284"/>
              </w:tabs>
              <w:spacing w:line="360" w:lineRule="auto"/>
              <w:ind w:right="175"/>
              <w:jc w:val="both"/>
              <w:rPr>
                <w:rFonts w:ascii="Palatino Linotype" w:eastAsia="Palatino Linotype" w:hAnsi="Palatino Linotype" w:cs="Palatino Linotype"/>
                <w:b/>
                <w:bCs/>
              </w:rPr>
            </w:pPr>
            <w:r w:rsidRPr="00C51CE4">
              <w:rPr>
                <w:rFonts w:ascii="Palatino Linotype" w:eastAsia="Palatino Linotype" w:hAnsi="Palatino Linotype" w:cs="Palatino Linotype"/>
                <w:b/>
                <w:bCs/>
              </w:rPr>
              <w:lastRenderedPageBreak/>
              <w:t xml:space="preserve">e) Condiciones especiales de la clasificación de la información como confidencial. </w:t>
            </w:r>
          </w:p>
        </w:tc>
        <w:tc>
          <w:tcPr>
            <w:tcW w:w="6946" w:type="dxa"/>
          </w:tcPr>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035DB3" w:rsidRPr="00C51CE4" w:rsidRDefault="0084126B">
            <w:pPr>
              <w:tabs>
                <w:tab w:val="left" w:pos="284"/>
              </w:tabs>
              <w:spacing w:line="276" w:lineRule="auto"/>
              <w:ind w:right="175"/>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35DB3" w:rsidRPr="00C51CE4" w:rsidRDefault="0084126B">
            <w:pPr>
              <w:tabs>
                <w:tab w:val="left" w:pos="284"/>
              </w:tabs>
              <w:spacing w:line="276" w:lineRule="auto"/>
              <w:ind w:right="175"/>
              <w:rPr>
                <w:rFonts w:ascii="Palatino Linotype" w:eastAsia="Palatino Linotype" w:hAnsi="Palatino Linotype" w:cs="Palatino Linotype"/>
              </w:rPr>
            </w:pPr>
            <w:r w:rsidRPr="00C51CE4">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35DB3" w:rsidRPr="00C51CE4" w:rsidRDefault="00035DB3">
      <w:pPr>
        <w:tabs>
          <w:tab w:val="left" w:pos="284"/>
        </w:tabs>
        <w:spacing w:line="360" w:lineRule="auto"/>
        <w:ind w:right="-574"/>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Se debe de puntualizar que los recibos de nómina y/o comprobantes de pago de cualquier índole, contienen datos personales de los servidores públicos o empleados, que de hacerse públicos afectarían su intimidad y vida privada; es por ello que es criterio </w:t>
      </w:r>
      <w:r w:rsidRPr="00C51CE4">
        <w:rPr>
          <w:rFonts w:ascii="Palatino Linotype" w:eastAsia="Palatino Linotype" w:hAnsi="Palatino Linotype" w:cs="Palatino Linotype"/>
        </w:rPr>
        <w:lastRenderedPageBreak/>
        <w:t>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y la seguridad de dichas personas.</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Por cuanto hace al </w:t>
      </w:r>
      <w:r w:rsidRPr="00C51CE4">
        <w:rPr>
          <w:rFonts w:ascii="Palatino Linotype" w:eastAsia="Palatino Linotype" w:hAnsi="Palatino Linotype" w:cs="Palatino Linotype"/>
          <w:b/>
          <w:bCs/>
        </w:rPr>
        <w:t>Registro Federal de Contribuyentes (RFC),</w:t>
      </w:r>
      <w:r w:rsidRPr="00C51CE4">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Lo anterior es compartido por el entonces Instituto Federal de Acceso a la Información Pública y Protección de Datos Personales (IFAI) a través del Criterio orientador 19/17, el cual es del tenor literal siguiente:</w:t>
      </w:r>
    </w:p>
    <w:p w:rsidR="00035DB3" w:rsidRPr="00C51CE4" w:rsidRDefault="0084126B">
      <w:pPr>
        <w:ind w:left="1134"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lastRenderedPageBreak/>
        <w:t>“Registro Federal de Contribuyentes (RFC) de personas físicas</w:t>
      </w:r>
      <w:r w:rsidRPr="00C51CE4">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rsidR="00035DB3" w:rsidRPr="00C51CE4" w:rsidRDefault="00035DB3">
      <w:pPr>
        <w:ind w:right="-574"/>
        <w:jc w:val="both"/>
        <w:rPr>
          <w:rFonts w:ascii="Palatino Linotype" w:eastAsia="Palatino Linotype" w:hAnsi="Palatino Linotype" w:cs="Palatino Linotype"/>
          <w:i/>
          <w:iCs/>
        </w:rPr>
      </w:pP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Así, el </w:t>
      </w:r>
      <w:r w:rsidRPr="00C51CE4">
        <w:rPr>
          <w:rFonts w:ascii="Palatino Linotype" w:eastAsia="Palatino Linotype" w:hAnsi="Palatino Linotype" w:cs="Palatino Linotype"/>
          <w:b/>
          <w:bCs/>
        </w:rPr>
        <w:t>Registro Federal de Contribuyentes, RFC</w:t>
      </w:r>
      <w:r w:rsidRPr="00C51CE4">
        <w:rPr>
          <w:rFonts w:ascii="Palatino Linotype" w:eastAsia="Palatino Linotype" w:hAnsi="Palatino Linotype" w:cs="Palatino Linotype"/>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De igual manera la </w:t>
      </w:r>
      <w:r w:rsidRPr="00C51CE4">
        <w:rPr>
          <w:rFonts w:ascii="Palatino Linotype" w:eastAsia="Palatino Linotype" w:hAnsi="Palatino Linotype" w:cs="Palatino Linotype"/>
          <w:b/>
          <w:bCs/>
        </w:rPr>
        <w:t>Clave Única de Registro de Población (CURP),</w:t>
      </w:r>
      <w:r w:rsidRPr="00C51CE4">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Argumento que es compartido por el Instituto Nacional de Transparencia, Acceso a la Información y Protección de Datos Personales, INAI, conforme al criterio orientador 18/17, el cual refiere: </w:t>
      </w:r>
    </w:p>
    <w:p w:rsidR="00035DB3" w:rsidRPr="00C51CE4" w:rsidRDefault="0084126B">
      <w:pPr>
        <w:ind w:left="1134"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lastRenderedPageBreak/>
        <w:t xml:space="preserve">“Clave Única de Registro de Población (CURP). </w:t>
      </w:r>
      <w:r w:rsidRPr="00C51CE4">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035DB3" w:rsidRPr="00C51CE4" w:rsidRDefault="00035DB3">
      <w:pPr>
        <w:ind w:right="-574"/>
        <w:jc w:val="both"/>
        <w:rPr>
          <w:rFonts w:ascii="Palatino Linotype" w:eastAsia="Palatino Linotype" w:hAnsi="Palatino Linotype" w:cs="Palatino Linotype"/>
          <w:i/>
          <w:iCs/>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Por cuanto hace a la </w:t>
      </w:r>
      <w:r w:rsidRPr="00C51CE4">
        <w:rPr>
          <w:rFonts w:ascii="Palatino Linotype" w:eastAsia="Palatino Linotype" w:hAnsi="Palatino Linotype" w:cs="Palatino Linotype"/>
          <w:b/>
          <w:bCs/>
        </w:rPr>
        <w:t>Clave de cualquier tipo de seguridad social (ISSEMyM, u otros</w:t>
      </w:r>
      <w:r w:rsidRPr="00C51CE4">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Respecto de los </w:t>
      </w:r>
      <w:r w:rsidRPr="00C51CE4">
        <w:rPr>
          <w:rFonts w:ascii="Palatino Linotype" w:eastAsia="Palatino Linotype" w:hAnsi="Palatino Linotype" w:cs="Palatino Linotype"/>
          <w:b/>
          <w:bCs/>
        </w:rPr>
        <w:t>préstamos o descuentos de carácter personal</w:t>
      </w:r>
      <w:r w:rsidRPr="00C51CE4">
        <w:rPr>
          <w:rFonts w:ascii="Palatino Linotype" w:eastAsia="Palatino Linotype" w:hAnsi="Palatino Linotype" w:cs="Palatino Linotype"/>
        </w:rPr>
        <w:t>,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w:t>
      </w:r>
      <w:r w:rsidRPr="00C51CE4">
        <w:rPr>
          <w:rFonts w:ascii="Palatino Linotype" w:eastAsia="Palatino Linotype" w:hAnsi="Palatino Linotype" w:cs="Palatino Linotype"/>
        </w:rPr>
        <w:lastRenderedPageBreak/>
        <w:t>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Sirven de sustento a lo anterior, las tesis jurisprudenciales P. LX/2000 y 2a. XLIII/2008 emitidas por el Peno y la Segunda Sala de la Suprema Corte de Justicia de la Nación, respectivamente, que son del tenor literal siguiente:</w:t>
      </w: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 xml:space="preserve">“DERECHO A LA INFORMACIÓN. SU EJERCICIO SE ENCUENTRA LIMITADO TANTO POR LOS INTERESES NACIONALES Y DE LA SOCIEDAD, COMO POR LOS DERECHOS DE TERCEROS. </w:t>
      </w:r>
      <w:r w:rsidRPr="00C51CE4">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C51CE4">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sidRPr="00C51CE4">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sidRPr="00C51CE4">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sidRPr="00C51CE4">
        <w:rPr>
          <w:rFonts w:ascii="Palatino Linotype" w:eastAsia="Palatino Linotype" w:hAnsi="Palatino Linotype" w:cs="Palatino Linotype"/>
          <w:i/>
          <w:iCs/>
        </w:rPr>
        <w:t>.”</w:t>
      </w:r>
    </w:p>
    <w:p w:rsidR="00035DB3" w:rsidRPr="00C51CE4" w:rsidRDefault="00035DB3">
      <w:pPr>
        <w:ind w:left="567" w:right="-574"/>
        <w:jc w:val="both"/>
        <w:rPr>
          <w:rFonts w:ascii="Palatino Linotype" w:eastAsia="Palatino Linotype" w:hAnsi="Palatino Linotype" w:cs="Palatino Linotype"/>
          <w:i/>
          <w:iCs/>
        </w:rPr>
      </w:pPr>
    </w:p>
    <w:p w:rsidR="00035DB3" w:rsidRPr="00C51CE4" w:rsidRDefault="0084126B">
      <w:pPr>
        <w:ind w:left="567"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b/>
          <w:bCs/>
          <w:i/>
          <w:iCs/>
        </w:rPr>
        <w:t xml:space="preserve">“TRANSPARENCIA Y ACCESO A LA INFORMACIÓN PÚBLICA GUBERNAMENTAL. EL ARTÍCULO 14, FRACCIÓN I, DE LA LEY FEDERAL RELATIVA, NO VIOLA LA GARANTÍA DE ACCESO A LA INFORMACIÓN. </w:t>
      </w:r>
      <w:r w:rsidRPr="00C51CE4">
        <w:rPr>
          <w:rFonts w:ascii="Palatino Linotype" w:eastAsia="Palatino Linotype" w:hAnsi="Palatino Linotype" w:cs="Palatino Linotype"/>
          <w:i/>
          <w:iCs/>
        </w:rPr>
        <w:t xml:space="preserve">El Tribunal en Pleno de la Suprema Corte de Justicia de la Nación en la tesis P. LX/2000 de rubro: "DERECHO A LA INFORMACIÓN. SU EJERCICIO SE ENCUENTRA LIMITADO TANTO POR LOS INTERESES NACIONALES Y DE LA SOCIEDAD, COMO POR LOS </w:t>
      </w:r>
      <w:r w:rsidRPr="00C51CE4">
        <w:rPr>
          <w:rFonts w:ascii="Palatino Linotype" w:eastAsia="Palatino Linotype" w:hAnsi="Palatino Linotype" w:cs="Palatino Linotype"/>
          <w:i/>
          <w:iCs/>
        </w:rPr>
        <w:lastRenderedPageBreak/>
        <w:t xml:space="preserve">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C51CE4">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C51CE4">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035DB3" w:rsidRPr="00C51CE4" w:rsidRDefault="00035DB3">
      <w:pPr>
        <w:ind w:left="1134" w:right="-574"/>
        <w:jc w:val="both"/>
        <w:rPr>
          <w:rFonts w:ascii="Palatino Linotype" w:eastAsia="Palatino Linotype" w:hAnsi="Palatino Linotype" w:cs="Palatino Linotype"/>
          <w:i/>
          <w:iCs/>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También, el </w:t>
      </w:r>
      <w:r w:rsidRPr="00C51CE4">
        <w:rPr>
          <w:rFonts w:ascii="Palatino Linotype" w:eastAsia="Palatino Linotype" w:hAnsi="Palatino Linotype" w:cs="Palatino Linotype"/>
          <w:b/>
          <w:bCs/>
        </w:rPr>
        <w:t>número de cuenta bancario</w:t>
      </w:r>
      <w:r w:rsidRPr="00C51CE4">
        <w:rPr>
          <w:rFonts w:ascii="Palatino Linotype" w:eastAsia="Palatino Linotype" w:hAnsi="Palatino Linotype" w:cs="Palatino Linotype"/>
        </w:rPr>
        <w:t>, conforme al el Criterio orientador 10/17 emitido por el Pleno del Instituto Nacional de Transparencia, Acceso a la Información y Protección de Datos Personales se establece lo siguiente:</w:t>
      </w:r>
    </w:p>
    <w:p w:rsidR="00035DB3" w:rsidRPr="00C51CE4" w:rsidRDefault="0084126B">
      <w:pPr>
        <w:shd w:val="clear" w:color="auto" w:fill="FFFFFF"/>
        <w:ind w:left="567" w:right="-574"/>
        <w:jc w:val="both"/>
        <w:rPr>
          <w:rFonts w:ascii="Palatino Linotype" w:eastAsia="Palatino Linotype" w:hAnsi="Palatino Linotype" w:cs="Palatino Linotype"/>
        </w:rPr>
      </w:pPr>
      <w:r w:rsidRPr="00C51CE4">
        <w:rPr>
          <w:rFonts w:ascii="Palatino Linotype" w:eastAsia="Palatino Linotype" w:hAnsi="Palatino Linotype" w:cs="Palatino Linotype"/>
        </w:rPr>
        <w:t>“</w:t>
      </w:r>
      <w:r w:rsidRPr="00C51CE4">
        <w:rPr>
          <w:rFonts w:ascii="Palatino Linotype" w:eastAsia="Palatino Linotype" w:hAnsi="Palatino Linotype" w:cs="Palatino Linotype"/>
          <w:b/>
          <w:bCs/>
          <w:i/>
          <w:iCs/>
        </w:rPr>
        <w:t>Cuentas bancarias y/o CLABE interbancaria de personas físicas y morales privadas.</w:t>
      </w:r>
      <w:r w:rsidRPr="00C51CE4">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C51CE4">
        <w:rPr>
          <w:rFonts w:ascii="Palatino Linotype" w:eastAsia="Palatino Linotype" w:hAnsi="Palatino Linotype" w:cs="Palatino Linotype"/>
        </w:rPr>
        <w:t>.”</w:t>
      </w:r>
    </w:p>
    <w:p w:rsidR="00035DB3" w:rsidRPr="00C51CE4" w:rsidRDefault="00035DB3">
      <w:pPr>
        <w:ind w:left="1134"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Esta cuenta es de uso personal y no guarda relación con el servicio público ni con los recursos públicos, ya que es elección del trabajador determinar si desea que su sueldo se pague de manera directa o a través de depósito bancario en la institución de crédito de su </w:t>
      </w:r>
      <w:r w:rsidRPr="00C51CE4">
        <w:rPr>
          <w:rFonts w:ascii="Palatino Linotype" w:eastAsia="Palatino Linotype" w:hAnsi="Palatino Linotype" w:cs="Palatino Linotype"/>
        </w:rPr>
        <w:lastRenderedPageBreak/>
        <w:t>elección. De tal suerte, el número de cuenta bancario lo proporciona el servidor público o empleado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El </w:t>
      </w:r>
      <w:r w:rsidRPr="00C51CE4">
        <w:rPr>
          <w:rFonts w:ascii="Palatino Linotype" w:eastAsia="Palatino Linotype" w:hAnsi="Palatino Linotype" w:cs="Palatino Linotype"/>
          <w:b/>
          <w:bCs/>
        </w:rPr>
        <w:t>Código de barras bidimensional (QR</w:t>
      </w:r>
      <w:r w:rsidRPr="00C51CE4">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Resolución Miscelánea Fiscal para 2022, localizada en la página electrónica  </w:t>
      </w:r>
      <w:hyperlink r:id="rId14">
        <w:r w:rsidRPr="00C51CE4">
          <w:rPr>
            <w:rFonts w:ascii="Palatino Linotype" w:eastAsia="Palatino Linotype" w:hAnsi="Palatino Linotype" w:cs="Palatino Linotype"/>
            <w:color w:val="0563C1"/>
            <w:u w:val="single"/>
          </w:rPr>
          <w:t>http://omawww.sat.gob.mx/tramitesyservicios/paginas/documentos/anexo20_2022.pdf</w:t>
        </w:r>
      </w:hyperlink>
      <w:r w:rsidRPr="00C51CE4">
        <w:rPr>
          <w:rFonts w:ascii="Palatino Linotype" w:eastAsia="Palatino Linotype" w:hAnsi="Palatino Linotype" w:cs="Palatino Linotype"/>
        </w:rPr>
        <w:t xml:space="preserve"> . Incluso con la captura de dicho código, a través de la aplicación móvil del Servicio de Administración Tributaria, permite el acceso al Registro Federal de Contribuyentes, como del Sujeto Obligado, como de la persona física o moral correspondiente.</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De tales circunstancias, se considera que </w:t>
      </w:r>
      <w:r w:rsidRPr="00C51CE4">
        <w:rPr>
          <w:rFonts w:ascii="Palatino Linotype" w:eastAsia="Palatino Linotype" w:hAnsi="Palatino Linotype" w:cs="Palatino Linotype"/>
          <w:b/>
          <w:bCs/>
        </w:rPr>
        <w:t>se actualiza la causal de clasificación</w:t>
      </w:r>
      <w:r w:rsidRPr="00C51CE4">
        <w:rPr>
          <w:rFonts w:ascii="Palatino Linotype" w:eastAsia="Palatino Linotype" w:hAnsi="Palatino Linotype" w:cs="Palatino Linotype"/>
        </w:rPr>
        <w:t xml:space="preserve"> prevista en el artículo 143, fracción I de la Ley de la materia, toda vez que el Registro Federal de Contribuyentes corresponde a los servidores públicos, pues como se señaló en párrafos anteriores el mismo hace identificable o identificada al mismo.</w:t>
      </w:r>
    </w:p>
    <w:p w:rsidR="00035DB3" w:rsidRPr="00C51CE4" w:rsidRDefault="00035DB3">
      <w:pPr>
        <w:tabs>
          <w:tab w:val="left" w:pos="284"/>
        </w:tabs>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Por otra parte y respecto a la </w:t>
      </w:r>
      <w:r w:rsidRPr="00C51CE4">
        <w:rPr>
          <w:rFonts w:ascii="Palatino Linotype" w:eastAsia="Palatino Linotype" w:hAnsi="Palatino Linotype" w:cs="Palatino Linotype"/>
          <w:b/>
          <w:bCs/>
        </w:rPr>
        <w:t>clave de seguridad social y en su caso clave o número del servidor público –trabajador</w:t>
      </w:r>
      <w:r w:rsidRPr="00C51CE4">
        <w:rPr>
          <w:rFonts w:ascii="Palatino Linotype" w:eastAsia="Palatino Linotype" w:hAnsi="Palatino Linotype" w:cs="Palatino Linotype"/>
        </w:rPr>
        <w:t xml:space="preserve">-, en virtud de que su divulgación no aporta a la </w:t>
      </w:r>
      <w:r w:rsidRPr="00C51CE4">
        <w:rPr>
          <w:rFonts w:ascii="Palatino Linotype" w:eastAsia="Palatino Linotype" w:hAnsi="Palatino Linotype" w:cs="Palatino Linotype"/>
        </w:rPr>
        <w:lastRenderedPageBreak/>
        <w:t>transparencia o a la rendición de cuentas y sí provoca una transgresión a la vida privada e intimidad de la persona, esta información también resulta ser de carácter confidencial; siendo aplicable como orientador el criterio orientador número 15/10 emitido por el entonces Instituto Federal de Transparencia y Acceso a la Información (INAI), cuyo texto y sentido literal es el siguiente:</w:t>
      </w:r>
    </w:p>
    <w:p w:rsidR="00035DB3" w:rsidRPr="00C51CE4" w:rsidRDefault="0084126B">
      <w:pPr>
        <w:shd w:val="clear" w:color="auto" w:fill="FFFFFF"/>
        <w:tabs>
          <w:tab w:val="left" w:pos="7938"/>
        </w:tabs>
        <w:ind w:left="567" w:right="-574"/>
        <w:jc w:val="both"/>
        <w:rPr>
          <w:rFonts w:ascii="Palatino Linotype" w:eastAsia="Palatino Linotype" w:hAnsi="Palatino Linotype" w:cs="Palatino Linotype"/>
          <w:i/>
          <w:iCs/>
          <w:color w:val="222222"/>
        </w:rPr>
      </w:pPr>
      <w:r w:rsidRPr="00C51CE4">
        <w:rPr>
          <w:rFonts w:ascii="Palatino Linotype" w:eastAsia="Palatino Linotype" w:hAnsi="Palatino Linotype" w:cs="Palatino Linotype"/>
          <w:b/>
          <w:bCs/>
          <w:i/>
          <w:iCs/>
          <w:color w:val="222222"/>
        </w:rPr>
        <w:t>“El número de ficha de identificación única de los trabajadores es información de carácter confidencial.</w:t>
      </w:r>
      <w:r w:rsidRPr="00C51CE4">
        <w:rPr>
          <w:rFonts w:ascii="Palatino Linotype" w:eastAsia="Palatino Linotype" w:hAnsi="Palatino Linotype" w:cs="Palatino Linotype"/>
          <w:i/>
          <w:iCs/>
          <w:color w:val="222222"/>
        </w:rPr>
        <w:t> </w:t>
      </w:r>
      <w:r w:rsidRPr="00C51CE4">
        <w:rPr>
          <w:rFonts w:ascii="Palatino Linotype" w:eastAsia="Palatino Linotype" w:hAnsi="Palatino Linotype" w:cs="Palatino Linotype"/>
          <w:i/>
          <w:iCs/>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C51CE4">
        <w:rPr>
          <w:rFonts w:ascii="Palatino Linotype" w:eastAsia="Palatino Linotype" w:hAnsi="Palatino Linotype" w:cs="Palatino Linotype"/>
          <w:i/>
          <w:iCs/>
          <w:color w:val="222222"/>
        </w:rPr>
        <w:t>, </w:t>
      </w:r>
      <w:r w:rsidRPr="00C51CE4">
        <w:rPr>
          <w:rFonts w:ascii="Palatino Linotype" w:eastAsia="Palatino Linotype" w:hAnsi="Palatino Linotype" w:cs="Palatino Linotype"/>
          <w:i/>
          <w:iCs/>
          <w:color w:val="222222"/>
          <w:u w:val="single"/>
        </w:rPr>
        <w:t>dicha información es susceptible de clasificarse con el carácter de confidencial</w:t>
      </w:r>
      <w:r w:rsidRPr="00C51CE4">
        <w:rPr>
          <w:rFonts w:ascii="Palatino Linotype" w:eastAsia="Palatino Linotype" w:hAnsi="Palatino Linotype" w:cs="Palatino Linotype"/>
          <w:i/>
          <w:iCs/>
          <w:color w:val="222222"/>
        </w:rPr>
        <w:t>, en términos de lo establecido en el artículo 18, fracción II de la Ley Federal de Transparencia y Acceso a la Información Pública Gubernamental, en virtud de que a través de la misma es posible conocer información personal de su titular.”</w:t>
      </w:r>
    </w:p>
    <w:p w:rsidR="00035DB3" w:rsidRPr="00C51CE4" w:rsidRDefault="00035DB3">
      <w:pPr>
        <w:shd w:val="clear" w:color="auto" w:fill="FFFFFF"/>
        <w:ind w:right="-574"/>
        <w:jc w:val="both"/>
        <w:rPr>
          <w:rFonts w:ascii="Palatino Linotype" w:eastAsia="Palatino Linotype" w:hAnsi="Palatino Linotype" w:cs="Palatino Linotype"/>
          <w:i/>
          <w:iCs/>
          <w:color w:val="222222"/>
        </w:rPr>
      </w:pPr>
    </w:p>
    <w:p w:rsidR="00035DB3" w:rsidRPr="00C51CE4" w:rsidRDefault="00035DB3">
      <w:pPr>
        <w:shd w:val="clear" w:color="auto" w:fill="FFFFFF"/>
        <w:ind w:left="1134" w:right="-574"/>
        <w:jc w:val="both"/>
        <w:rPr>
          <w:rFonts w:ascii="Palatino Linotype" w:eastAsia="Palatino Linotype" w:hAnsi="Palatino Linotype" w:cs="Palatino Linotype"/>
          <w:i/>
          <w:iCs/>
          <w:color w:val="222222"/>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Ahora bien, también es necesario indicar que </w:t>
      </w:r>
      <w:r w:rsidRPr="00C51CE4">
        <w:rPr>
          <w:rFonts w:ascii="Palatino Linotype" w:eastAsia="Palatino Linotype" w:hAnsi="Palatino Linotype" w:cs="Palatino Linotype"/>
          <w:b/>
          <w:bCs/>
        </w:rPr>
        <w:t>hay información</w:t>
      </w:r>
      <w:r w:rsidRPr="00C51CE4">
        <w:rPr>
          <w:rFonts w:ascii="Palatino Linotype" w:eastAsia="Palatino Linotype" w:hAnsi="Palatino Linotype" w:cs="Palatino Linotype"/>
        </w:rPr>
        <w:t xml:space="preserve"> dentro de los recibos de nómina </w:t>
      </w:r>
      <w:r w:rsidRPr="00C51CE4">
        <w:rPr>
          <w:rFonts w:ascii="Palatino Linotype" w:eastAsia="Palatino Linotype" w:hAnsi="Palatino Linotype" w:cs="Palatino Linotype"/>
          <w:b/>
          <w:bCs/>
        </w:rPr>
        <w:t xml:space="preserve">que </w:t>
      </w:r>
      <w:r w:rsidRPr="00C51CE4">
        <w:rPr>
          <w:rFonts w:ascii="Palatino Linotype" w:eastAsia="Palatino Linotype" w:hAnsi="Palatino Linotype" w:cs="Palatino Linotype"/>
          <w:b/>
          <w:bCs/>
          <w:u w:val="single"/>
        </w:rPr>
        <w:t>no contienen datos personales</w:t>
      </w:r>
      <w:r w:rsidRPr="00C51CE4">
        <w:rPr>
          <w:rFonts w:ascii="Palatino Linotype" w:eastAsia="Palatino Linotype" w:hAnsi="Palatino Linotype" w:cs="Palatino Linotype"/>
        </w:rPr>
        <w:t xml:space="preserve">, mismos que deberá tener en cuenta el </w:t>
      </w:r>
      <w:r w:rsidRPr="00C51CE4">
        <w:rPr>
          <w:rFonts w:ascii="Palatino Linotype" w:eastAsia="Palatino Linotype" w:hAnsi="Palatino Linotype" w:cs="Palatino Linotype"/>
          <w:b/>
          <w:bCs/>
        </w:rPr>
        <w:t xml:space="preserve">SUJETO OBLIGADO </w:t>
      </w:r>
      <w:r w:rsidRPr="00C51CE4">
        <w:rPr>
          <w:rFonts w:ascii="Palatino Linotype" w:eastAsia="Palatino Linotype" w:hAnsi="Palatino Linotype" w:cs="Palatino Linotype"/>
        </w:rPr>
        <w:t>para el entrega de los recibos de nómina que se ordenan en el presente recurso de revisión.</w:t>
      </w:r>
    </w:p>
    <w:p w:rsidR="00035DB3" w:rsidRPr="00C51CE4" w:rsidRDefault="00035DB3">
      <w:pPr>
        <w:tabs>
          <w:tab w:val="left" w:pos="284"/>
        </w:tabs>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Por cuanto hace al</w:t>
      </w:r>
      <w:r w:rsidRPr="00C51CE4">
        <w:rPr>
          <w:rFonts w:ascii="Palatino Linotype" w:eastAsia="Palatino Linotype" w:hAnsi="Palatino Linotype" w:cs="Palatino Linotype"/>
          <w:b/>
          <w:bCs/>
        </w:rPr>
        <w:t xml:space="preserve"> Folio Fiscal</w:t>
      </w:r>
      <w:r w:rsidRPr="00C51CE4">
        <w:rPr>
          <w:rFonts w:ascii="Palatino Linotype" w:eastAsia="Palatino Linotype" w:hAnsi="Palatino Linotype" w:cs="Palatino Linotype"/>
        </w:rPr>
        <w:t>, cabe precisar que conforme a la Resolución Miscelánea Fiscal para 2025, el folio fiscal es un dato que deben contener los CDFI por concepto de nómina. Dicho dato es un identificador individual de cada factura o comprobante electrónico. El objetivo del Folio es prevenir los fraudes o falsificaciones, ya que contiene códigos o claves únicas de cada comprobante fiscal, de tal manera que se puede comprobar si la factura fue certificada por el SAT. El Folio Fiscal está compuesto por 32 dígitos hexadecimales, mostrados en 5 grupos separados por guiones.</w:t>
      </w: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La Guía de llenado del comprobante del recibo de pago de nómina y su complemento Aplicable para la versión 4.0 del CFDI y el complemento de nómina versión 1.2. muestra la Representación gráfica del CFDI por concepto de nómina en donde se aprecia el Folio Fiscal:</w:t>
      </w:r>
    </w:p>
    <w:p w:rsidR="00035DB3" w:rsidRPr="00C51CE4" w:rsidRDefault="0084126B">
      <w:pPr>
        <w:ind w:right="-574"/>
        <w:jc w:val="center"/>
        <w:rPr>
          <w:rFonts w:ascii="Palatino Linotype" w:eastAsia="Palatino Linotype" w:hAnsi="Palatino Linotype" w:cs="Palatino Linotype"/>
        </w:rPr>
      </w:pPr>
      <w:r w:rsidRPr="00C51CE4">
        <w:rPr>
          <w:rFonts w:ascii="Palatino Linotype" w:eastAsia="Palatino Linotype" w:hAnsi="Palatino Linotype" w:cs="Palatino Linotype"/>
          <w:noProof/>
          <w:lang w:val="es-MX"/>
        </w:rPr>
        <w:drawing>
          <wp:inline distT="0" distB="0" distL="0" distR="0">
            <wp:extent cx="4513132" cy="815998"/>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513132" cy="815998"/>
                    </a:xfrm>
                    <a:prstGeom prst="rect">
                      <a:avLst/>
                    </a:prstGeom>
                    <a:ln/>
                  </pic:spPr>
                </pic:pic>
              </a:graphicData>
            </a:graphic>
          </wp:inline>
        </w:drawing>
      </w:r>
    </w:p>
    <w:p w:rsidR="00035DB3" w:rsidRPr="00C51CE4" w:rsidRDefault="00035DB3">
      <w:pPr>
        <w:ind w:right="-574"/>
        <w:jc w:val="center"/>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El Anexo 20 Guía de llenado de los comprobantes fiscales digitales por Internet, actualizado al 08 de marzo del 2023, señala que se debe registrar el folio fiscal (UUID) de un comprobante fiscal relacionado con el presente comprobante. Ejemplo: UUID= 5FB2822E-396D-4725-8521-CDC4BDD20CCF</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En ese contexto, el folio fiscal, no contiene datos personales y tampoco se puede obtener información confidencial con el mismo, pues solamente es un identificador del emisor, del cual su transparencia ayuda a legitimar que el documento cumple con todos los requisitos establecidos en la normatividad aplicable, sin necesidad de algún dato personal, por lo que, no se actualiza la clasificación, en términos del artículo 143, fracción I de la Ley de la materia.</w:t>
      </w:r>
    </w:p>
    <w:p w:rsidR="00035DB3" w:rsidRPr="00C51CE4" w:rsidRDefault="00035DB3">
      <w:pPr>
        <w:spacing w:line="360" w:lineRule="auto"/>
        <w:ind w:right="-574"/>
        <w:jc w:val="both"/>
        <w:rPr>
          <w:rFonts w:ascii="Palatino Linotype" w:eastAsia="Palatino Linotype" w:hAnsi="Palatino Linotype" w:cs="Palatino Linotype"/>
          <w:b/>
          <w:bCs/>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En esa línea de estudio,</w:t>
      </w:r>
      <w:r w:rsidRPr="00C51CE4">
        <w:rPr>
          <w:rFonts w:ascii="Palatino Linotype" w:eastAsia="Palatino Linotype" w:hAnsi="Palatino Linotype" w:cs="Palatino Linotype"/>
          <w:b/>
          <w:bCs/>
        </w:rPr>
        <w:t xml:space="preserve"> las cadenas originales y sellos digitales</w:t>
      </w:r>
      <w:r w:rsidRPr="00C51CE4">
        <w:rPr>
          <w:rFonts w:ascii="Palatino Linotype" w:eastAsia="Palatino Linotype" w:hAnsi="Palatino Linotype" w:cs="Palatino Linotype"/>
        </w:rPr>
        <w:t>, tienen una secuencia de generación, determinados con base en el Anexo 20 de la Resolución Miscelánea Fiscal para 2022, que precisa los datos de los que se componen los elementos de seguridad y se puntualiza que dicha información está encriptada.</w:t>
      </w:r>
    </w:p>
    <w:p w:rsidR="00035DB3" w:rsidRPr="00C51CE4" w:rsidRDefault="0084126B">
      <w:pPr>
        <w:ind w:left="1134"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“Elementos utilizados en la generación de Sellos Digitales:</w:t>
      </w:r>
    </w:p>
    <w:p w:rsidR="00035DB3" w:rsidRPr="00C51CE4" w:rsidRDefault="0084126B">
      <w:pPr>
        <w:ind w:left="1134"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i/>
          <w:iCs/>
        </w:rPr>
        <w:tab/>
        <w:t>Cadena Original del elemento a sellar.</w:t>
      </w:r>
    </w:p>
    <w:p w:rsidR="00035DB3" w:rsidRPr="00C51CE4" w:rsidRDefault="0084126B">
      <w:pPr>
        <w:ind w:left="1134"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i/>
          <w:iCs/>
        </w:rPr>
        <w:tab/>
        <w:t>Certificado de Sello Digital y su correspondiente clave privada.</w:t>
      </w:r>
    </w:p>
    <w:p w:rsidR="00035DB3" w:rsidRPr="00C51CE4" w:rsidRDefault="0084126B">
      <w:pPr>
        <w:ind w:left="1134"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lastRenderedPageBreak/>
        <w:t>•</w:t>
      </w:r>
      <w:r w:rsidRPr="00C51CE4">
        <w:rPr>
          <w:rFonts w:ascii="Palatino Linotype" w:eastAsia="Palatino Linotype" w:hAnsi="Palatino Linotype" w:cs="Palatino Linotype"/>
          <w:i/>
          <w:iCs/>
        </w:rPr>
        <w:tab/>
        <w:t>Algoritmos de criptografía de clave pública para firma electrónica avanzada.</w:t>
      </w:r>
    </w:p>
    <w:p w:rsidR="00035DB3" w:rsidRPr="00C51CE4" w:rsidRDefault="0084126B">
      <w:pPr>
        <w:ind w:left="1134"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w:t>
      </w:r>
      <w:r w:rsidRPr="00C51CE4">
        <w:rPr>
          <w:rFonts w:ascii="Palatino Linotype" w:eastAsia="Palatino Linotype" w:hAnsi="Palatino Linotype" w:cs="Palatino Linotype"/>
          <w:i/>
          <w:iCs/>
        </w:rPr>
        <w:tab/>
        <w:t>Especificaciones de conversión de la firma electrónica avanzada a Base 64.</w:t>
      </w:r>
    </w:p>
    <w:p w:rsidR="00035DB3" w:rsidRPr="00C51CE4" w:rsidRDefault="0084126B">
      <w:pPr>
        <w:ind w:left="1134"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Para la generación de sellos digitales se utiliza criptografía de clave pública aplicada a una cadena original.</w:t>
      </w:r>
    </w:p>
    <w:p w:rsidR="00035DB3" w:rsidRPr="00C51CE4" w:rsidRDefault="0084126B">
      <w:pPr>
        <w:ind w:left="1134" w:right="-574"/>
        <w:jc w:val="both"/>
        <w:rPr>
          <w:rFonts w:ascii="Palatino Linotype" w:eastAsia="Palatino Linotype" w:hAnsi="Palatino Linotype" w:cs="Palatino Linotype"/>
          <w:b/>
          <w:bCs/>
          <w:i/>
          <w:iCs/>
        </w:rPr>
      </w:pPr>
      <w:r w:rsidRPr="00C51CE4">
        <w:rPr>
          <w:rFonts w:ascii="Palatino Linotype" w:eastAsia="Palatino Linotype" w:hAnsi="Palatino Linotype" w:cs="Palatino Linotype"/>
          <w:b/>
          <w:bCs/>
          <w:i/>
          <w:iCs/>
        </w:rPr>
        <w:t>Criptografía de la Clave Pública</w:t>
      </w:r>
    </w:p>
    <w:p w:rsidR="00035DB3" w:rsidRPr="00C51CE4" w:rsidRDefault="0084126B">
      <w:pPr>
        <w:ind w:left="1134" w:right="-574"/>
        <w:jc w:val="both"/>
        <w:rPr>
          <w:rFonts w:ascii="Palatino Linotype" w:eastAsia="Palatino Linotype" w:hAnsi="Palatino Linotype" w:cs="Palatino Linotype"/>
          <w:i/>
          <w:iCs/>
        </w:rPr>
      </w:pPr>
      <w:r w:rsidRPr="00C51CE4">
        <w:rPr>
          <w:rFonts w:ascii="Palatino Linotype" w:eastAsia="Palatino Linotype" w:hAnsi="Palatino Linotype" w:cs="Palatino Linotype"/>
          <w:i/>
          <w:iCs/>
        </w:rPr>
        <w:t>La criptografía de Clave Pública se basa en la generación de una pareja de números muy grandes relacionados entre sí, de tal manera que una operación de encripción sobre un mensaje tomando como clave de encripción a uno de los dos números, produce un mensaje alterado en su significado que sólo puede ser devuelto a su estado original mediante la operación de desencripción correspondiente tomando como clave de desencripción al otro número de la pareja.”</w:t>
      </w:r>
    </w:p>
    <w:p w:rsidR="00035DB3" w:rsidRPr="00C51CE4" w:rsidRDefault="00035DB3">
      <w:pPr>
        <w:ind w:left="1134" w:right="-574"/>
        <w:jc w:val="both"/>
        <w:rPr>
          <w:rFonts w:ascii="Palatino Linotype" w:eastAsia="Palatino Linotype" w:hAnsi="Palatino Linotype" w:cs="Palatino Linotype"/>
          <w:i/>
          <w:iCs/>
        </w:rPr>
      </w:pPr>
    </w:p>
    <w:p w:rsidR="00035DB3" w:rsidRPr="00C51CE4" w:rsidRDefault="00035DB3">
      <w:pPr>
        <w:ind w:right="-574"/>
        <w:jc w:val="both"/>
        <w:rPr>
          <w:rFonts w:ascii="Palatino Linotype" w:eastAsia="Palatino Linotype" w:hAnsi="Palatino Linotype" w:cs="Palatino Linotype"/>
          <w:i/>
          <w:iCs/>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Es decir, por sí solos </w:t>
      </w:r>
      <w:r w:rsidRPr="00C51CE4">
        <w:rPr>
          <w:rFonts w:ascii="Palatino Linotype" w:eastAsia="Palatino Linotype" w:hAnsi="Palatino Linotype" w:cs="Palatino Linotype"/>
          <w:b/>
          <w:bCs/>
        </w:rPr>
        <w:t>las cadenas originales y los sellos originales no contienen datos personales confidenciales</w:t>
      </w:r>
      <w:r w:rsidRPr="00C51CE4">
        <w:rPr>
          <w:rFonts w:ascii="Palatino Linotype" w:eastAsia="Palatino Linotype" w:hAnsi="Palatino Linotype" w:cs="Palatino Linotype"/>
        </w:rPr>
        <w:t>, por lo que se considera que no actualizan el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035DB3" w:rsidRPr="00C51CE4" w:rsidRDefault="00035DB3">
      <w:pPr>
        <w:pBdr>
          <w:top w:val="nil"/>
          <w:left w:val="nil"/>
          <w:bottom w:val="nil"/>
          <w:right w:val="nil"/>
          <w:between w:val="nil"/>
        </w:pBd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actualiza la clasificación, en términos del artículo 143, fracción I, de la Ley de la materia.</w:t>
      </w:r>
    </w:p>
    <w:p w:rsidR="00035DB3" w:rsidRPr="00C51CE4" w:rsidRDefault="00035DB3">
      <w:pPr>
        <w:spacing w:line="360" w:lineRule="auto"/>
        <w:ind w:right="-574"/>
        <w:jc w:val="both"/>
        <w:rPr>
          <w:rFonts w:ascii="Palatino Linotype" w:eastAsia="Palatino Linotype" w:hAnsi="Palatino Linotype" w:cs="Palatino Linotype"/>
          <w:b/>
          <w:bCs/>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Por otra parte, por lo que hace al </w:t>
      </w:r>
      <w:r w:rsidRPr="00C51CE4">
        <w:rPr>
          <w:rFonts w:ascii="Palatino Linotype" w:eastAsia="Palatino Linotype" w:hAnsi="Palatino Linotype" w:cs="Palatino Linotype"/>
          <w:b/>
          <w:bCs/>
        </w:rPr>
        <w:t>número de serie de los certificados de Sello Digitales del emisor y del Servicio de Administración Tributaria</w:t>
      </w:r>
      <w:r w:rsidRPr="00C51CE4">
        <w:rPr>
          <w:rFonts w:ascii="Palatino Linotype" w:eastAsia="Palatino Linotype" w:hAnsi="Palatino Linotype" w:cs="Palatino Linotype"/>
        </w:rPr>
        <w:t xml:space="preserve">, el Anexo 20 de la Resolución Miscelánea Fiscal para 2022, precisa que es un atributo requerido para expresar </w:t>
      </w:r>
      <w:r w:rsidRPr="00C51CE4">
        <w:rPr>
          <w:rFonts w:ascii="Palatino Linotype" w:eastAsia="Palatino Linotype" w:hAnsi="Palatino Linotype" w:cs="Palatino Linotype"/>
        </w:rPr>
        <w:lastRenderedPageBreak/>
        <w:t>el número de serie del certificado de sello digital que ampara al comprobante, de acuerdo con el acuse correspondiente a 20 posiciones otorgado por el sistema del SAT.</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Cómo se logra observar, </w:t>
      </w:r>
      <w:r w:rsidRPr="00C51CE4">
        <w:rPr>
          <w:rFonts w:ascii="Palatino Linotype" w:eastAsia="Palatino Linotype" w:hAnsi="Palatino Linotype" w:cs="Palatino Linotype"/>
          <w:b/>
          <w:bCs/>
        </w:rPr>
        <w:t>los números de serie del certificado de sello digital no contiene datos personales</w:t>
      </w:r>
      <w:r w:rsidRPr="00C51CE4">
        <w:rPr>
          <w:rFonts w:ascii="Palatino Linotype" w:eastAsia="Palatino Linotype" w:hAnsi="Palatino Linotype" w:cs="Palatino Linotype"/>
        </w:rPr>
        <w:t xml:space="preserve">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rsidR="00035DB3" w:rsidRPr="00C51CE4" w:rsidRDefault="00035DB3">
      <w:pPr>
        <w:pBdr>
          <w:top w:val="nil"/>
          <w:left w:val="nil"/>
          <w:bottom w:val="nil"/>
          <w:right w:val="nil"/>
          <w:between w:val="nil"/>
        </w:pBd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Ahora bien, por lo que hace al </w:t>
      </w:r>
      <w:r w:rsidRPr="00C51CE4">
        <w:rPr>
          <w:rFonts w:ascii="Palatino Linotype" w:eastAsia="Palatino Linotype" w:hAnsi="Palatino Linotype" w:cs="Palatino Linotype"/>
          <w:b/>
          <w:bCs/>
        </w:rPr>
        <w:t>número de serie y folio interno</w:t>
      </w:r>
      <w:r w:rsidRPr="00C51CE4">
        <w:rPr>
          <w:rFonts w:ascii="Palatino Linotype" w:eastAsia="Palatino Linotype" w:hAnsi="Palatino Linotype" w:cs="Palatino Linotype"/>
        </w:rPr>
        <w:t>, la Guía de llenado del CFDI global versión 4.0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Además, por lo que hace a la </w:t>
      </w:r>
      <w:r w:rsidRPr="00C51CE4">
        <w:rPr>
          <w:rFonts w:ascii="Palatino Linotype" w:eastAsia="Palatino Linotype" w:hAnsi="Palatino Linotype" w:cs="Palatino Linotype"/>
          <w:b/>
          <w:bCs/>
        </w:rPr>
        <w:t>fecha y hora de emisión y certificación</w:t>
      </w:r>
      <w:r w:rsidRPr="00C51CE4">
        <w:rPr>
          <w:rFonts w:ascii="Palatino Linotype" w:eastAsia="Palatino Linotype" w:hAnsi="Palatino Linotype" w:cs="Palatino Linotype"/>
        </w:rPr>
        <w:t>, la Guía de llenado del CFDI global versión 4.0 del CFDI, previamente referida, establece que los datos mencionados corresponden a la fecha y hora de emisión y certificación del comprobante fiscal, los cuales se expresan de la siguiente manera: AAAA-MM-DDThh:mm:ss.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lastRenderedPageBreak/>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Conforme a lo anterior, se logra observar que el lugar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035DB3" w:rsidRPr="00C51CE4" w:rsidRDefault="00035DB3">
      <w:pPr>
        <w:ind w:right="-574"/>
        <w:rPr>
          <w:rFonts w:ascii="Palatino Linotype" w:eastAsia="Palatino Linotype" w:hAnsi="Palatino Linotype" w:cs="Palatino Linotype"/>
        </w:rPr>
      </w:pPr>
    </w:p>
    <w:p w:rsidR="00035DB3" w:rsidRPr="00C51CE4" w:rsidRDefault="00035DB3">
      <w:pPr>
        <w:ind w:right="-574"/>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En ese sentido, el </w:t>
      </w:r>
      <w:r w:rsidRPr="00C51CE4">
        <w:rPr>
          <w:rFonts w:ascii="Palatino Linotype" w:eastAsia="Palatino Linotype" w:hAnsi="Palatino Linotype" w:cs="Palatino Linotype"/>
          <w:b/>
          <w:bCs/>
        </w:rPr>
        <w:t>SUJETO OBLIGADO</w:t>
      </w:r>
      <w:r w:rsidRPr="00C51CE4">
        <w:rPr>
          <w:rFonts w:ascii="Palatino Linotype" w:eastAsia="Palatino Linotype" w:hAnsi="Palatino Linotype" w:cs="Palatino Linotype"/>
        </w:rPr>
        <w:t xml:space="preserve"> </w:t>
      </w:r>
      <w:r w:rsidRPr="00C51CE4">
        <w:rPr>
          <w:rFonts w:ascii="Palatino Linotype" w:eastAsia="Palatino Linotype" w:hAnsi="Palatino Linotype" w:cs="Palatino Linotype"/>
          <w:b/>
          <w:bCs/>
        </w:rPr>
        <w:t>deberá de emitir el Acuerdo del Comité de Transparencia</w:t>
      </w:r>
      <w:r w:rsidRPr="00C51CE4">
        <w:rPr>
          <w:rFonts w:ascii="Palatino Linotype" w:eastAsia="Palatino Linotype" w:hAnsi="Palatino Linotype" w:cs="Palatino Linotype"/>
        </w:rPr>
        <w:t xml:space="preserve">, </w:t>
      </w:r>
      <w:r w:rsidRPr="00C51CE4">
        <w:rPr>
          <w:rFonts w:ascii="Palatino Linotype" w:eastAsia="Palatino Linotype" w:hAnsi="Palatino Linotype" w:cs="Palatino Linotype"/>
          <w:color w:val="000000"/>
        </w:rPr>
        <w:t>mediante</w:t>
      </w:r>
      <w:r w:rsidRPr="00C51CE4">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035DB3" w:rsidRPr="00C51CE4" w:rsidRDefault="00035DB3">
      <w:pPr>
        <w:tabs>
          <w:tab w:val="left" w:pos="284"/>
        </w:tabs>
        <w:spacing w:line="360" w:lineRule="auto"/>
        <w:ind w:right="-574"/>
        <w:jc w:val="both"/>
        <w:rPr>
          <w:rFonts w:ascii="Palatino Linotype" w:eastAsia="Palatino Linotype" w:hAnsi="Palatino Linotype" w:cs="Palatino Linotype"/>
          <w:color w:val="000000"/>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Derivado de lo establecido en párrafos anteriores, si el </w:t>
      </w:r>
      <w:r w:rsidRPr="00C51CE4">
        <w:rPr>
          <w:rFonts w:ascii="Palatino Linotype" w:eastAsia="Palatino Linotype" w:hAnsi="Palatino Linotype" w:cs="Palatino Linotype"/>
          <w:b/>
          <w:bCs/>
        </w:rPr>
        <w:t>SUJETO OBLIGADO</w:t>
      </w:r>
      <w:r w:rsidRPr="00C51CE4">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w:t>
      </w:r>
      <w:r w:rsidRPr="00C51CE4">
        <w:rPr>
          <w:rFonts w:ascii="Palatino Linotype" w:eastAsia="Palatino Linotype" w:hAnsi="Palatino Linotype" w:cs="Palatino Linotype"/>
        </w:rPr>
        <w:lastRenderedPageBreak/>
        <w:t>disposiciones legales establecidas, asimismo que si entrega un documento testado sin el debido acuerdo de clasificación.</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numPr>
          <w:ilvl w:val="0"/>
          <w:numId w:val="6"/>
        </w:numPr>
        <w:spacing w:line="360" w:lineRule="auto"/>
        <w:ind w:left="0" w:right="-574" w:firstLine="0"/>
        <w:jc w:val="both"/>
        <w:rPr>
          <w:rFonts w:ascii="Palatino Linotype" w:eastAsia="Palatino Linotype" w:hAnsi="Palatino Linotype" w:cs="Palatino Linotype"/>
        </w:rPr>
      </w:pPr>
      <w:r w:rsidRPr="00C51CE4">
        <w:rPr>
          <w:rFonts w:ascii="Palatino Linotype" w:eastAsia="Palatino Linotype" w:hAnsi="Palatino Linotype" w:cs="Palatino Linotype"/>
        </w:rPr>
        <w:t xml:space="preserve">Por lo </w:t>
      </w:r>
      <w:r w:rsidRPr="00C51CE4">
        <w:rPr>
          <w:rFonts w:ascii="Palatino Linotype" w:eastAsia="Palatino Linotype" w:hAnsi="Palatino Linotype" w:cs="Palatino Linotype"/>
          <w:color w:val="000000"/>
        </w:rPr>
        <w:t>expuesto</w:t>
      </w:r>
      <w:r w:rsidRPr="00C51CE4">
        <w:rPr>
          <w:rFonts w:ascii="Palatino Linotype" w:eastAsia="Palatino Linotype" w:hAnsi="Palatino Linotype" w:cs="Palatino Linotype"/>
        </w:rPr>
        <w:t xml:space="preserve">, y con fundamento en lo prescrito en los artículos </w:t>
      </w:r>
      <w:r w:rsidRPr="00C51CE4">
        <w:rPr>
          <w:rFonts w:ascii="Palatino Linotype" w:eastAsia="Palatino Linotype" w:hAnsi="Palatino Linotype" w:cs="Palatino Linotype"/>
          <w:color w:val="000000"/>
        </w:rPr>
        <w:t xml:space="preserve">5, párrafos cuadragésimo cuarto, </w:t>
      </w:r>
      <w:r w:rsidRPr="00C51CE4">
        <w:rPr>
          <w:rFonts w:ascii="Palatino Linotype" w:eastAsia="Palatino Linotype" w:hAnsi="Palatino Linotype" w:cs="Palatino Linotype"/>
        </w:rPr>
        <w:t>cuadragésimo</w:t>
      </w:r>
      <w:r w:rsidRPr="00C51CE4">
        <w:rPr>
          <w:rFonts w:ascii="Palatino Linotype" w:eastAsia="Palatino Linotype" w:hAnsi="Palatino Linotype" w:cs="Palatino Linotype"/>
          <w:color w:val="000000"/>
        </w:rPr>
        <w:t xml:space="preserve"> quinto y cuadragésimo sexto, fracciones IV y V, de la Constitución Política del Estado Libre y Soberano de México</w:t>
      </w:r>
      <w:r w:rsidRPr="00C51CE4">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035DB3" w:rsidRPr="00C51CE4" w:rsidRDefault="00035DB3">
      <w:pPr>
        <w:ind w:right="-574"/>
        <w:rPr>
          <w:rFonts w:ascii="Palatino Linotype" w:eastAsia="Palatino Linotype" w:hAnsi="Palatino Linotype" w:cs="Palatino Linotype"/>
        </w:rPr>
      </w:pPr>
    </w:p>
    <w:p w:rsidR="00035DB3" w:rsidRPr="00C51CE4" w:rsidRDefault="0084126B">
      <w:pPr>
        <w:spacing w:line="360" w:lineRule="auto"/>
        <w:ind w:right="-574"/>
        <w:jc w:val="center"/>
        <w:rPr>
          <w:rFonts w:ascii="Palatino Linotype" w:eastAsia="Palatino Linotype" w:hAnsi="Palatino Linotype" w:cs="Palatino Linotype"/>
          <w:b/>
          <w:bCs/>
        </w:rPr>
      </w:pPr>
      <w:r w:rsidRPr="00C51CE4">
        <w:rPr>
          <w:rFonts w:ascii="Palatino Linotype" w:eastAsia="Palatino Linotype" w:hAnsi="Palatino Linotype" w:cs="Palatino Linotype"/>
          <w:b/>
          <w:bCs/>
        </w:rPr>
        <w:t>R E S U E L V E</w:t>
      </w:r>
    </w:p>
    <w:p w:rsidR="00035DB3" w:rsidRPr="00C51CE4" w:rsidRDefault="00035DB3">
      <w:pPr>
        <w:spacing w:line="360" w:lineRule="auto"/>
        <w:ind w:right="-574"/>
        <w:jc w:val="center"/>
        <w:rPr>
          <w:rFonts w:ascii="Palatino Linotype" w:eastAsia="Palatino Linotype" w:hAnsi="Palatino Linotype" w:cs="Palatino Linotype"/>
          <w:b/>
          <w:bCs/>
        </w:rPr>
      </w:pPr>
    </w:p>
    <w:p w:rsidR="00035DB3" w:rsidRPr="00C51CE4" w:rsidRDefault="0084126B">
      <w:pPr>
        <w:spacing w:line="360" w:lineRule="auto"/>
        <w:ind w:right="-574"/>
        <w:jc w:val="both"/>
        <w:rPr>
          <w:rFonts w:ascii="Palatino Linotype" w:eastAsia="Palatino Linotype" w:hAnsi="Palatino Linotype" w:cs="Palatino Linotype"/>
          <w:b/>
          <w:bCs/>
        </w:rPr>
      </w:pPr>
      <w:r w:rsidRPr="00C51CE4">
        <w:rPr>
          <w:rFonts w:ascii="Palatino Linotype" w:eastAsia="Palatino Linotype" w:hAnsi="Palatino Linotype" w:cs="Palatino Linotype"/>
          <w:b/>
          <w:bCs/>
        </w:rPr>
        <w:t>PRIMERO</w:t>
      </w:r>
      <w:r w:rsidRPr="00C51CE4">
        <w:rPr>
          <w:rFonts w:ascii="Palatino Linotype" w:eastAsia="Palatino Linotype" w:hAnsi="Palatino Linotype" w:cs="Palatino Linotype"/>
        </w:rPr>
        <w:t xml:space="preserve">. Resultan </w:t>
      </w:r>
      <w:r w:rsidRPr="00C51CE4">
        <w:rPr>
          <w:rFonts w:ascii="Palatino Linotype" w:eastAsia="Palatino Linotype" w:hAnsi="Palatino Linotype" w:cs="Palatino Linotype"/>
          <w:b/>
          <w:bCs/>
        </w:rPr>
        <w:t>FUNDADAS</w:t>
      </w:r>
      <w:r w:rsidRPr="00C51CE4">
        <w:rPr>
          <w:rFonts w:ascii="Palatino Linotype" w:eastAsia="Palatino Linotype" w:hAnsi="Palatino Linotype" w:cs="Palatino Linotype"/>
        </w:rPr>
        <w:t xml:space="preserve"> las razones o motivos de inconformidad hechos valer en el recurso de revisión </w:t>
      </w:r>
      <w:r w:rsidRPr="00C51CE4">
        <w:rPr>
          <w:rFonts w:ascii="Palatino Linotype" w:eastAsia="Palatino Linotype" w:hAnsi="Palatino Linotype" w:cs="Palatino Linotype"/>
          <w:b/>
          <w:bCs/>
          <w:color w:val="000000"/>
        </w:rPr>
        <w:t>00728/INFOEM/IP/RR/2026</w:t>
      </w:r>
      <w:r w:rsidRPr="00C51CE4">
        <w:rPr>
          <w:rFonts w:ascii="Palatino Linotype" w:eastAsia="Palatino Linotype" w:hAnsi="Palatino Linotype" w:cs="Palatino Linotype"/>
        </w:rPr>
        <w:t>,</w:t>
      </w:r>
      <w:r w:rsidRPr="00C51CE4">
        <w:rPr>
          <w:rFonts w:ascii="Palatino Linotype" w:eastAsia="Palatino Linotype" w:hAnsi="Palatino Linotype" w:cs="Palatino Linotype"/>
          <w:b/>
          <w:bCs/>
        </w:rPr>
        <w:t xml:space="preserve"> </w:t>
      </w:r>
      <w:r w:rsidRPr="00C51CE4">
        <w:rPr>
          <w:rFonts w:ascii="Palatino Linotype" w:eastAsia="Palatino Linotype" w:hAnsi="Palatino Linotype" w:cs="Palatino Linotype"/>
        </w:rPr>
        <w:t xml:space="preserve">en términos del </w:t>
      </w:r>
      <w:r w:rsidRPr="00C51CE4">
        <w:rPr>
          <w:rFonts w:ascii="Palatino Linotype" w:eastAsia="Palatino Linotype" w:hAnsi="Palatino Linotype" w:cs="Palatino Linotype"/>
          <w:b/>
          <w:bCs/>
        </w:rPr>
        <w:t xml:space="preserve">Considerando CUARTO </w:t>
      </w:r>
      <w:r w:rsidRPr="00C51CE4">
        <w:rPr>
          <w:rFonts w:ascii="Palatino Linotype" w:eastAsia="Palatino Linotype" w:hAnsi="Palatino Linotype" w:cs="Palatino Linotype"/>
        </w:rPr>
        <w:t>de la presente resolución</w:t>
      </w:r>
      <w:r w:rsidRPr="00C51CE4">
        <w:rPr>
          <w:rFonts w:ascii="Palatino Linotype" w:eastAsia="Palatino Linotype" w:hAnsi="Palatino Linotype" w:cs="Palatino Linotype"/>
          <w:b/>
          <w:bCs/>
        </w:rPr>
        <w:t>.</w:t>
      </w:r>
    </w:p>
    <w:p w:rsidR="00035DB3" w:rsidRPr="00C51CE4" w:rsidRDefault="00035DB3">
      <w:pPr>
        <w:spacing w:line="360" w:lineRule="auto"/>
        <w:ind w:right="-574"/>
        <w:jc w:val="both"/>
        <w:rPr>
          <w:rFonts w:ascii="Palatino Linotype" w:eastAsia="Palatino Linotype" w:hAnsi="Palatino Linotype" w:cs="Palatino Linotype"/>
          <w:b/>
          <w:bCs/>
        </w:rPr>
      </w:pPr>
    </w:p>
    <w:p w:rsidR="00035DB3" w:rsidRPr="00C51CE4" w:rsidRDefault="0084126B">
      <w:pPr>
        <w:spacing w:line="360" w:lineRule="auto"/>
        <w:ind w:right="-574"/>
        <w:jc w:val="both"/>
        <w:rPr>
          <w:rFonts w:ascii="Palatino Linotype" w:eastAsia="Palatino Linotype" w:hAnsi="Palatino Linotype" w:cs="Palatino Linotype"/>
        </w:rPr>
      </w:pPr>
      <w:bookmarkStart w:id="7" w:name="_heading=h.1ksv4uv" w:colFirst="0" w:colLast="0"/>
      <w:bookmarkEnd w:id="7"/>
      <w:r w:rsidRPr="00C51CE4">
        <w:rPr>
          <w:rFonts w:ascii="Palatino Linotype" w:eastAsia="Palatino Linotype" w:hAnsi="Palatino Linotype" w:cs="Palatino Linotype"/>
          <w:b/>
          <w:bCs/>
        </w:rPr>
        <w:t>SEGUNDO.</w:t>
      </w:r>
      <w:r w:rsidRPr="00C51CE4">
        <w:rPr>
          <w:rFonts w:ascii="Palatino Linotype" w:eastAsia="Palatino Linotype" w:hAnsi="Palatino Linotype" w:cs="Palatino Linotype"/>
          <w:color w:val="2F5496"/>
        </w:rPr>
        <w:t xml:space="preserve"> </w:t>
      </w:r>
      <w:r w:rsidRPr="00C51CE4">
        <w:rPr>
          <w:rFonts w:ascii="Palatino Linotype" w:eastAsia="Palatino Linotype" w:hAnsi="Palatino Linotype" w:cs="Palatino Linotype"/>
          <w:color w:val="000000"/>
        </w:rPr>
        <w:t xml:space="preserve">Se </w:t>
      </w:r>
      <w:r w:rsidRPr="00C51CE4">
        <w:rPr>
          <w:rFonts w:ascii="Palatino Linotype" w:eastAsia="Palatino Linotype" w:hAnsi="Palatino Linotype" w:cs="Palatino Linotype"/>
          <w:b/>
          <w:bCs/>
          <w:color w:val="000000"/>
        </w:rPr>
        <w:t xml:space="preserve">REVOCA </w:t>
      </w:r>
      <w:r w:rsidRPr="00C51CE4">
        <w:rPr>
          <w:rFonts w:ascii="Palatino Linotype" w:eastAsia="Palatino Linotype" w:hAnsi="Palatino Linotype" w:cs="Palatino Linotype"/>
          <w:color w:val="000000"/>
        </w:rPr>
        <w:t xml:space="preserve">la respuesta emitida por el </w:t>
      </w:r>
      <w:r w:rsidRPr="00C51CE4">
        <w:rPr>
          <w:rFonts w:ascii="Palatino Linotype" w:eastAsia="Palatino Linotype" w:hAnsi="Palatino Linotype" w:cs="Palatino Linotype"/>
          <w:b/>
          <w:bCs/>
        </w:rPr>
        <w:t xml:space="preserve">Ayuntamiento de Capulhuac </w:t>
      </w:r>
      <w:r w:rsidRPr="00C51CE4">
        <w:rPr>
          <w:rFonts w:ascii="Palatino Linotype" w:eastAsia="Palatino Linotype" w:hAnsi="Palatino Linotype" w:cs="Palatino Linotype"/>
          <w:color w:val="000000"/>
        </w:rPr>
        <w:t xml:space="preserve">y se </w:t>
      </w:r>
      <w:r w:rsidRPr="00C51CE4">
        <w:rPr>
          <w:rFonts w:ascii="Palatino Linotype" w:eastAsia="Palatino Linotype" w:hAnsi="Palatino Linotype" w:cs="Palatino Linotype"/>
          <w:b/>
          <w:bCs/>
          <w:color w:val="000000"/>
        </w:rPr>
        <w:t>ORDENA</w:t>
      </w:r>
      <w:r w:rsidRPr="00C51CE4">
        <w:rPr>
          <w:rFonts w:ascii="Palatino Linotype" w:eastAsia="Palatino Linotype" w:hAnsi="Palatino Linotype" w:cs="Palatino Linotype"/>
          <w:color w:val="000000"/>
        </w:rPr>
        <w:t xml:space="preserve"> entregar, vía Sistema de Acceso a la Información Mexiquense </w:t>
      </w:r>
      <w:r w:rsidRPr="00C51CE4">
        <w:rPr>
          <w:rFonts w:ascii="Palatino Linotype" w:eastAsia="Palatino Linotype" w:hAnsi="Palatino Linotype" w:cs="Palatino Linotype"/>
          <w:b/>
          <w:bCs/>
          <w:color w:val="000000"/>
        </w:rPr>
        <w:t>(SAIMEX)</w:t>
      </w:r>
      <w:r w:rsidRPr="00C51CE4">
        <w:rPr>
          <w:rFonts w:ascii="Palatino Linotype" w:eastAsia="Palatino Linotype" w:hAnsi="Palatino Linotype" w:cs="Palatino Linotype"/>
        </w:rPr>
        <w:t>, previa búsqueda exhaustiva y razonable, en versión pública, la siguiente información:</w:t>
      </w:r>
    </w:p>
    <w:p w:rsidR="00035DB3" w:rsidRPr="00C51CE4" w:rsidRDefault="00035DB3">
      <w:pPr>
        <w:ind w:right="-574"/>
        <w:rPr>
          <w:rFonts w:ascii="Palatino Linotype" w:eastAsia="Palatino Linotype" w:hAnsi="Palatino Linotype" w:cs="Palatino Linotype"/>
          <w:b/>
          <w:bCs/>
        </w:rPr>
      </w:pPr>
    </w:p>
    <w:p w:rsidR="00035DB3" w:rsidRPr="00C51CE4" w:rsidRDefault="0084126B">
      <w:pPr>
        <w:numPr>
          <w:ilvl w:val="0"/>
          <w:numId w:val="10"/>
        </w:numPr>
        <w:pBdr>
          <w:top w:val="nil"/>
          <w:left w:val="nil"/>
          <w:bottom w:val="nil"/>
          <w:right w:val="nil"/>
          <w:between w:val="nil"/>
        </w:pBdr>
        <w:ind w:left="851" w:right="-574"/>
        <w:jc w:val="both"/>
        <w:rPr>
          <w:rFonts w:ascii="Palatino Linotype" w:eastAsia="Palatino Linotype" w:hAnsi="Palatino Linotype" w:cs="Palatino Linotype"/>
          <w:b/>
          <w:bCs/>
          <w:color w:val="000000"/>
        </w:rPr>
      </w:pPr>
      <w:r w:rsidRPr="00C51CE4">
        <w:rPr>
          <w:rFonts w:ascii="Palatino Linotype" w:eastAsia="Palatino Linotype" w:hAnsi="Palatino Linotype" w:cs="Palatino Linotype"/>
          <w:b/>
          <w:bCs/>
          <w:color w:val="000000"/>
        </w:rPr>
        <w:t>Del Director de Seguridad Pública</w:t>
      </w:r>
    </w:p>
    <w:p w:rsidR="00035DB3" w:rsidRPr="00C51CE4" w:rsidRDefault="0084126B">
      <w:pPr>
        <w:numPr>
          <w:ilvl w:val="1"/>
          <w:numId w:val="10"/>
        </w:numPr>
        <w:pBdr>
          <w:top w:val="nil"/>
          <w:left w:val="nil"/>
          <w:bottom w:val="nil"/>
          <w:right w:val="nil"/>
          <w:between w:val="nil"/>
        </w:pBdr>
        <w:ind w:left="1560" w:right="-574"/>
        <w:jc w:val="both"/>
        <w:rPr>
          <w:rFonts w:ascii="Palatino Linotype" w:eastAsia="Palatino Linotype" w:hAnsi="Palatino Linotype" w:cs="Palatino Linotype"/>
          <w:b/>
          <w:bCs/>
          <w:color w:val="000000"/>
        </w:rPr>
      </w:pPr>
      <w:r w:rsidRPr="00C51CE4">
        <w:rPr>
          <w:rFonts w:ascii="Palatino Linotype" w:eastAsia="Palatino Linotype" w:hAnsi="Palatino Linotype" w:cs="Palatino Linotype"/>
          <w:b/>
          <w:bCs/>
          <w:color w:val="000000"/>
        </w:rPr>
        <w:t>Recibo de nómina de la quincena del 01 al 15 de agosto de 2025.</w:t>
      </w:r>
    </w:p>
    <w:p w:rsidR="00035DB3" w:rsidRPr="00C51CE4" w:rsidRDefault="0084126B">
      <w:pPr>
        <w:numPr>
          <w:ilvl w:val="1"/>
          <w:numId w:val="10"/>
        </w:numPr>
        <w:pBdr>
          <w:top w:val="nil"/>
          <w:left w:val="nil"/>
          <w:bottom w:val="nil"/>
          <w:right w:val="nil"/>
          <w:between w:val="nil"/>
        </w:pBdr>
        <w:ind w:left="1560" w:right="-574"/>
        <w:jc w:val="both"/>
        <w:rPr>
          <w:rFonts w:ascii="Palatino Linotype" w:eastAsia="Palatino Linotype" w:hAnsi="Palatino Linotype" w:cs="Palatino Linotype"/>
          <w:b/>
          <w:bCs/>
        </w:rPr>
      </w:pPr>
      <w:r w:rsidRPr="00C51CE4">
        <w:rPr>
          <w:rFonts w:ascii="Palatino Linotype" w:eastAsia="Palatino Linotype" w:hAnsi="Palatino Linotype" w:cs="Palatino Linotype"/>
          <w:b/>
          <w:bCs/>
          <w:color w:val="000000"/>
        </w:rPr>
        <w:t>Licencia</w:t>
      </w:r>
      <w:r w:rsidRPr="00C51CE4">
        <w:rPr>
          <w:rFonts w:ascii="Palatino Linotype" w:eastAsia="Palatino Linotype" w:hAnsi="Palatino Linotype" w:cs="Palatino Linotype"/>
          <w:b/>
          <w:bCs/>
        </w:rPr>
        <w:t xml:space="preserve"> para la portación de armas de fuego, vigente al 26 de noviembre de 2025.</w:t>
      </w:r>
    </w:p>
    <w:p w:rsidR="00035DB3" w:rsidRPr="00C51CE4" w:rsidRDefault="0084126B">
      <w:pPr>
        <w:numPr>
          <w:ilvl w:val="1"/>
          <w:numId w:val="10"/>
        </w:numPr>
        <w:pBdr>
          <w:top w:val="nil"/>
          <w:left w:val="nil"/>
          <w:bottom w:val="nil"/>
          <w:right w:val="nil"/>
          <w:between w:val="nil"/>
        </w:pBdr>
        <w:ind w:left="1560" w:right="-574"/>
        <w:jc w:val="both"/>
        <w:rPr>
          <w:rFonts w:ascii="Palatino Linotype" w:eastAsia="Palatino Linotype" w:hAnsi="Palatino Linotype" w:cs="Palatino Linotype"/>
          <w:b/>
          <w:bCs/>
        </w:rPr>
      </w:pPr>
      <w:bookmarkStart w:id="8" w:name="_heading=h.fal6yah2h4ph" w:colFirst="0" w:colLast="0"/>
      <w:bookmarkEnd w:id="8"/>
      <w:r w:rsidRPr="00C51CE4">
        <w:rPr>
          <w:rFonts w:ascii="Palatino Linotype" w:eastAsia="Palatino Linotype" w:hAnsi="Palatino Linotype" w:cs="Palatino Linotype"/>
          <w:b/>
          <w:bCs/>
          <w:color w:val="000000"/>
        </w:rPr>
        <w:t xml:space="preserve">Resultado global de la evaluación de control de confianza, </w:t>
      </w:r>
      <w:r w:rsidRPr="00C51CE4">
        <w:rPr>
          <w:rFonts w:ascii="Palatino Linotype" w:eastAsia="Palatino Linotype" w:hAnsi="Palatino Linotype" w:cs="Palatino Linotype"/>
          <w:b/>
          <w:bCs/>
        </w:rPr>
        <w:t>vigente al 26 de noviembre de 2025.</w:t>
      </w:r>
    </w:p>
    <w:p w:rsidR="00035DB3" w:rsidRPr="00C51CE4" w:rsidRDefault="00035DB3">
      <w:pPr>
        <w:pBdr>
          <w:top w:val="nil"/>
          <w:left w:val="nil"/>
          <w:bottom w:val="nil"/>
          <w:right w:val="nil"/>
          <w:between w:val="nil"/>
        </w:pBdr>
        <w:ind w:left="1560" w:right="-574"/>
        <w:jc w:val="both"/>
        <w:rPr>
          <w:rFonts w:ascii="Palatino Linotype" w:eastAsia="Palatino Linotype" w:hAnsi="Palatino Linotype" w:cs="Palatino Linotype"/>
          <w:b/>
          <w:bCs/>
          <w:color w:val="000000"/>
        </w:rPr>
      </w:pPr>
    </w:p>
    <w:p w:rsidR="00035DB3" w:rsidRPr="00C51CE4" w:rsidRDefault="00035DB3">
      <w:pPr>
        <w:spacing w:line="360" w:lineRule="auto"/>
        <w:ind w:left="851" w:right="-574"/>
        <w:jc w:val="both"/>
        <w:rPr>
          <w:rFonts w:ascii="Palatino Linotype" w:eastAsia="Palatino Linotype" w:hAnsi="Palatino Linotype" w:cs="Palatino Linotype"/>
          <w:b/>
          <w:bCs/>
        </w:rPr>
      </w:pPr>
    </w:p>
    <w:p w:rsidR="00035DB3" w:rsidRPr="00C51CE4" w:rsidRDefault="0084126B">
      <w:pPr>
        <w:pBdr>
          <w:top w:val="nil"/>
          <w:left w:val="nil"/>
          <w:bottom w:val="nil"/>
          <w:right w:val="nil"/>
          <w:between w:val="nil"/>
        </w:pBdr>
        <w:tabs>
          <w:tab w:val="left" w:pos="8080"/>
        </w:tabs>
        <w:spacing w:line="360" w:lineRule="auto"/>
        <w:ind w:left="567" w:right="-574"/>
        <w:jc w:val="both"/>
        <w:rPr>
          <w:rFonts w:ascii="Palatino Linotype" w:eastAsia="Palatino Linotype" w:hAnsi="Palatino Linotype" w:cs="Palatino Linotype"/>
          <w:b/>
          <w:bCs/>
          <w:color w:val="000000"/>
        </w:rPr>
      </w:pPr>
      <w:r w:rsidRPr="00C51CE4">
        <w:rPr>
          <w:rFonts w:ascii="Palatino Linotype" w:eastAsia="Palatino Linotype" w:hAnsi="Palatino Linotype" w:cs="Palatino Linotype"/>
          <w:color w:val="000000"/>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C51CE4">
        <w:rPr>
          <w:rFonts w:ascii="Palatino Linotype" w:eastAsia="Palatino Linotype" w:hAnsi="Palatino Linotype" w:cs="Palatino Linotype"/>
          <w:b/>
          <w:bCs/>
          <w:color w:val="000000"/>
        </w:rPr>
        <w:t>RECURRENTE.</w:t>
      </w:r>
    </w:p>
    <w:p w:rsidR="00035DB3" w:rsidRPr="00C51CE4" w:rsidRDefault="00035DB3">
      <w:pPr>
        <w:spacing w:line="360" w:lineRule="auto"/>
        <w:ind w:right="-574"/>
        <w:jc w:val="both"/>
        <w:rPr>
          <w:rFonts w:ascii="Palatino Linotype" w:eastAsia="Palatino Linotype" w:hAnsi="Palatino Linotype" w:cs="Palatino Linotype"/>
          <w:b/>
          <w:bCs/>
        </w:rPr>
      </w:pPr>
    </w:p>
    <w:p w:rsidR="00035DB3" w:rsidRPr="00C51CE4" w:rsidRDefault="0084126B">
      <w:pPr>
        <w:spacing w:line="360" w:lineRule="auto"/>
        <w:ind w:right="-574"/>
        <w:jc w:val="both"/>
        <w:rPr>
          <w:rFonts w:ascii="Palatino Linotype" w:eastAsia="Palatino Linotype" w:hAnsi="Palatino Linotype" w:cs="Palatino Linotype"/>
          <w:color w:val="000000"/>
        </w:rPr>
      </w:pPr>
      <w:r w:rsidRPr="00C51CE4">
        <w:rPr>
          <w:rFonts w:ascii="Palatino Linotype" w:eastAsia="Palatino Linotype" w:hAnsi="Palatino Linotype" w:cs="Palatino Linotype"/>
          <w:b/>
          <w:bCs/>
        </w:rPr>
        <w:t xml:space="preserve">TERCERO. </w:t>
      </w:r>
      <w:r w:rsidRPr="00C51CE4">
        <w:rPr>
          <w:rFonts w:ascii="Palatino Linotype" w:eastAsia="Palatino Linotype" w:hAnsi="Palatino Linotype" w:cs="Palatino Linotype"/>
          <w:b/>
          <w:bCs/>
          <w:color w:val="222222"/>
        </w:rPr>
        <w:t>NOTIFÍQUESE</w:t>
      </w:r>
      <w:r w:rsidRPr="00C51CE4">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C51CE4">
        <w:rPr>
          <w:rFonts w:ascii="Palatino Linotype" w:eastAsia="Palatino Linotype" w:hAnsi="Palatino Linotype" w:cs="Palatino Linotype"/>
          <w:b/>
          <w:bCs/>
          <w:color w:val="222222"/>
        </w:rPr>
        <w:t xml:space="preserve">dé cumplimiento a lo ordenado dentro del plazo </w:t>
      </w:r>
      <w:r w:rsidRPr="00C51CE4">
        <w:rPr>
          <w:rFonts w:ascii="Palatino Linotype" w:eastAsia="Palatino Linotype" w:hAnsi="Palatino Linotype" w:cs="Palatino Linotype"/>
        </w:rPr>
        <w:t>de</w:t>
      </w:r>
      <w:r w:rsidRPr="00C51CE4">
        <w:rPr>
          <w:rFonts w:ascii="Palatino Linotype" w:eastAsia="Palatino Linotype" w:hAnsi="Palatino Linotype" w:cs="Palatino Linotype"/>
          <w:b/>
          <w:bCs/>
          <w:color w:val="222222"/>
        </w:rPr>
        <w:t xml:space="preserve"> diez días hábiles, </w:t>
      </w:r>
      <w:r w:rsidRPr="00C51CE4">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spacing w:line="360" w:lineRule="auto"/>
        <w:ind w:right="-574"/>
        <w:jc w:val="both"/>
        <w:rPr>
          <w:rFonts w:ascii="Palatino Linotype" w:eastAsia="Palatino Linotype" w:hAnsi="Palatino Linotype" w:cs="Palatino Linotype"/>
        </w:rPr>
      </w:pPr>
      <w:bookmarkStart w:id="9" w:name="_heading=h.3rdcrjn" w:colFirst="0" w:colLast="0"/>
      <w:bookmarkEnd w:id="9"/>
      <w:r w:rsidRPr="00C51CE4">
        <w:rPr>
          <w:rFonts w:ascii="Palatino Linotype" w:eastAsia="Palatino Linotype" w:hAnsi="Palatino Linotype" w:cs="Palatino Linotype"/>
          <w:b/>
          <w:bCs/>
        </w:rPr>
        <w:t xml:space="preserve">CUARTO. </w:t>
      </w:r>
      <w:r w:rsidRPr="00C51CE4">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C51CE4">
        <w:rPr>
          <w:rFonts w:ascii="Palatino Linotype" w:eastAsia="Palatino Linotype" w:hAnsi="Palatino Linotype" w:cs="Palatino Linotype"/>
          <w:b/>
          <w:bCs/>
        </w:rPr>
        <w:t>SUJETO OBLIGADO</w:t>
      </w:r>
      <w:r w:rsidRPr="00C51CE4">
        <w:rPr>
          <w:rFonts w:ascii="Palatino Linotype" w:eastAsia="Palatino Linotype" w:hAnsi="Palatino Linotype" w:cs="Palatino Linotype"/>
        </w:rPr>
        <w:t xml:space="preserve"> de manera fundada y motivada, podrá solicitar una ampliación de plazo para el cumplimiento de la presente resolución.</w:t>
      </w:r>
    </w:p>
    <w:p w:rsidR="00035DB3" w:rsidRPr="00C51CE4" w:rsidRDefault="00035DB3">
      <w:pPr>
        <w:spacing w:line="360" w:lineRule="auto"/>
        <w:ind w:right="-574"/>
        <w:jc w:val="both"/>
        <w:rPr>
          <w:rFonts w:ascii="Palatino Linotype" w:eastAsia="Palatino Linotype" w:hAnsi="Palatino Linotype" w:cs="Palatino Linotype"/>
        </w:rPr>
      </w:pPr>
    </w:p>
    <w:p w:rsidR="00035DB3" w:rsidRPr="00C51CE4" w:rsidRDefault="0084126B">
      <w:pPr>
        <w:spacing w:line="360" w:lineRule="auto"/>
        <w:ind w:right="-574"/>
        <w:jc w:val="both"/>
        <w:rPr>
          <w:rFonts w:ascii="Palatino Linotype" w:eastAsia="Palatino Linotype" w:hAnsi="Palatino Linotype" w:cs="Palatino Linotype"/>
        </w:rPr>
      </w:pPr>
      <w:r w:rsidRPr="00C51CE4">
        <w:rPr>
          <w:rFonts w:ascii="Palatino Linotype" w:eastAsia="Palatino Linotype" w:hAnsi="Palatino Linotype" w:cs="Palatino Linotype"/>
          <w:b/>
          <w:bCs/>
        </w:rPr>
        <w:t>QUINTO. NOTIFÍQUESE</w:t>
      </w:r>
      <w:r w:rsidRPr="00C51CE4">
        <w:rPr>
          <w:rFonts w:ascii="Palatino Linotype" w:eastAsia="Palatino Linotype" w:hAnsi="Palatino Linotype" w:cs="Palatino Linotype"/>
        </w:rPr>
        <w:t xml:space="preserve"> la presente resolución a la parte </w:t>
      </w:r>
      <w:r w:rsidRPr="00C51CE4">
        <w:rPr>
          <w:rFonts w:ascii="Palatino Linotype" w:eastAsia="Palatino Linotype" w:hAnsi="Palatino Linotype" w:cs="Palatino Linotype"/>
          <w:b/>
          <w:bCs/>
        </w:rPr>
        <w:t>Recurrente</w:t>
      </w:r>
      <w:r w:rsidRPr="00C51CE4">
        <w:rPr>
          <w:rFonts w:ascii="Palatino Linotype" w:eastAsia="Palatino Linotype" w:hAnsi="Palatino Linotype" w:cs="Palatino Linotype"/>
        </w:rPr>
        <w:t xml:space="preserve"> a través del Sistema de Acceso a la Información Mexiquense </w:t>
      </w:r>
      <w:r w:rsidRPr="00C51CE4">
        <w:rPr>
          <w:rFonts w:ascii="Palatino Linotype" w:eastAsia="Palatino Linotype" w:hAnsi="Palatino Linotype" w:cs="Palatino Linotype"/>
          <w:b/>
          <w:bCs/>
        </w:rPr>
        <w:t>(SAIMEX)</w:t>
      </w:r>
      <w:r w:rsidRPr="00C51CE4">
        <w:rPr>
          <w:rFonts w:ascii="Palatino Linotype" w:eastAsia="Palatino Linotype" w:hAnsi="Palatino Linotype" w:cs="Palatino Linotype"/>
        </w:rPr>
        <w:t xml:space="preserve"> y hágase de su conocimiento que, en </w:t>
      </w:r>
      <w:r w:rsidRPr="00C51CE4">
        <w:rPr>
          <w:rFonts w:ascii="Palatino Linotype" w:eastAsia="Palatino Linotype" w:hAnsi="Palatino Linotype" w:cs="Palatino Linotype"/>
        </w:rPr>
        <w:lastRenderedPageBreak/>
        <w:t>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035DB3" w:rsidRPr="00C51CE4" w:rsidRDefault="00035DB3">
      <w:pPr>
        <w:shd w:val="clear" w:color="auto" w:fill="FFFFFF"/>
        <w:spacing w:line="360" w:lineRule="auto"/>
        <w:ind w:right="-574"/>
        <w:jc w:val="both"/>
        <w:rPr>
          <w:rFonts w:ascii="Palatino Linotype" w:eastAsia="Palatino Linotype" w:hAnsi="Palatino Linotype" w:cs="Palatino Linotype"/>
          <w:color w:val="000000"/>
        </w:rPr>
      </w:pPr>
    </w:p>
    <w:p w:rsidR="006E26E9" w:rsidRPr="00C51CE4" w:rsidRDefault="006E26E9" w:rsidP="006E26E9">
      <w:pPr>
        <w:spacing w:before="240" w:after="240" w:line="360" w:lineRule="auto"/>
        <w:ind w:right="-574" w:firstLine="1"/>
        <w:jc w:val="both"/>
        <w:rPr>
          <w:rFonts w:ascii="Palatino Linotype" w:hAnsi="Palatino Linotype"/>
        </w:rPr>
      </w:pPr>
      <w:bookmarkStart w:id="10" w:name="_Hlk99014733"/>
      <w:r w:rsidRPr="00C51CE4">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C51CE4">
        <w:rPr>
          <w:rFonts w:ascii="Palatino Linotype" w:hAnsi="Palatino Linotype" w:cs="Palatino Linotype"/>
          <w:color w:val="000000" w:themeColor="text1"/>
        </w:rPr>
        <w:t>ALEXIS TAPIA RAMÍREZ.</w:t>
      </w:r>
    </w:p>
    <w:bookmarkEnd w:id="10"/>
    <w:p w:rsidR="00035DB3" w:rsidRPr="00C51CE4" w:rsidRDefault="00035DB3" w:rsidP="006E26E9">
      <w:pPr>
        <w:ind w:right="-574"/>
        <w:rPr>
          <w:rFonts w:ascii="Palatino Linotype" w:eastAsia="Palatino Linotype" w:hAnsi="Palatino Linotype" w:cs="Palatino Linotype"/>
        </w:rPr>
      </w:pPr>
    </w:p>
    <w:p w:rsidR="00035DB3" w:rsidRPr="00C51CE4" w:rsidRDefault="00035DB3">
      <w:pPr>
        <w:spacing w:line="360" w:lineRule="auto"/>
        <w:ind w:right="-574"/>
        <w:rPr>
          <w:rFonts w:ascii="Palatino Linotype" w:eastAsia="Palatino Linotype" w:hAnsi="Palatino Linotype" w:cs="Palatino Linotype"/>
        </w:rPr>
      </w:pPr>
    </w:p>
    <w:p w:rsidR="00035DB3" w:rsidRPr="00C51CE4" w:rsidRDefault="00035DB3">
      <w:pPr>
        <w:spacing w:line="360" w:lineRule="auto"/>
        <w:ind w:right="-574"/>
        <w:rPr>
          <w:rFonts w:ascii="Palatino Linotype" w:eastAsia="Palatino Linotype" w:hAnsi="Palatino Linotype" w:cs="Palatino Linotype"/>
        </w:rPr>
      </w:pPr>
    </w:p>
    <w:p w:rsidR="00035DB3" w:rsidRPr="00C51CE4" w:rsidRDefault="00035DB3">
      <w:pPr>
        <w:spacing w:line="360" w:lineRule="auto"/>
        <w:ind w:right="-574"/>
        <w:rPr>
          <w:rFonts w:ascii="Palatino Linotype" w:eastAsia="Palatino Linotype" w:hAnsi="Palatino Linotype" w:cs="Palatino Linotype"/>
        </w:rPr>
      </w:pPr>
    </w:p>
    <w:p w:rsidR="00035DB3" w:rsidRPr="00C51CE4" w:rsidRDefault="0084126B">
      <w:pPr>
        <w:tabs>
          <w:tab w:val="left" w:pos="3374"/>
        </w:tabs>
        <w:spacing w:line="360" w:lineRule="auto"/>
        <w:ind w:right="-574"/>
        <w:rPr>
          <w:rFonts w:ascii="Palatino Linotype" w:eastAsia="Palatino Linotype" w:hAnsi="Palatino Linotype" w:cs="Palatino Linotype"/>
        </w:rPr>
      </w:pPr>
      <w:bookmarkStart w:id="11" w:name="_heading=h.lnxbz9" w:colFirst="0" w:colLast="0"/>
      <w:bookmarkEnd w:id="11"/>
      <w:r w:rsidRPr="00C51CE4">
        <w:rPr>
          <w:rFonts w:ascii="Palatino Linotype" w:eastAsia="Palatino Linotype" w:hAnsi="Palatino Linotype" w:cs="Palatino Linotype"/>
        </w:rPr>
        <w:tab/>
      </w: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p w:rsidR="00A87248" w:rsidRPr="00C51CE4" w:rsidRDefault="00A87248">
      <w:pPr>
        <w:tabs>
          <w:tab w:val="left" w:pos="3374"/>
        </w:tabs>
        <w:spacing w:line="360" w:lineRule="auto"/>
        <w:ind w:right="-574"/>
        <w:rPr>
          <w:rFonts w:ascii="Palatino Linotype" w:eastAsia="Palatino Linotype" w:hAnsi="Palatino Linotype" w:cs="Palatino Linotype"/>
        </w:rPr>
      </w:pPr>
    </w:p>
    <w:sectPr w:rsidR="00A87248" w:rsidRPr="00C51CE4">
      <w:headerReference w:type="even" r:id="rId16"/>
      <w:headerReference w:type="default" r:id="rId17"/>
      <w:footerReference w:type="default" r:id="rId18"/>
      <w:headerReference w:type="first" r:id="rId19"/>
      <w:footerReference w:type="first" r:id="rId20"/>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DC0" w:rsidRDefault="00BE6DC0">
      <w:r>
        <w:separator/>
      </w:r>
    </w:p>
  </w:endnote>
  <w:endnote w:type="continuationSeparator" w:id="0">
    <w:p w:rsidR="00BE6DC0" w:rsidRDefault="00BE6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CB42278-FE0C-4DF0-9EAF-C00D82011B3B}"/>
    <w:embedBold r:id="rId2" w:fontKey="{186F40C9-FCED-4F01-AAA9-56DDB53D4257}"/>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3" w:fontKey="{8DBE7E8D-ECA8-4292-A390-E1D53100B639}"/>
    <w:embedBold r:id="rId4" w:fontKey="{E0C75589-48C6-4581-B969-6A5B0FCAA855}"/>
    <w:embedItalic r:id="rId5" w:fontKey="{211C6A3D-86F2-4956-B25D-0945A09B0EEA}"/>
    <w:embedBoldItalic r:id="rId6" w:fontKey="{CB440FBA-E21F-4627-B87A-C3A9BD832506}"/>
  </w:font>
  <w:font w:name="Calibri">
    <w:panose1 w:val="020F0502020204030204"/>
    <w:charset w:val="00"/>
    <w:family w:val="swiss"/>
    <w:pitch w:val="variable"/>
    <w:sig w:usb0="E4002EFF" w:usb1="C200247B" w:usb2="00000009" w:usb3="00000000" w:csb0="000001FF" w:csb1="00000000"/>
    <w:embedRegular r:id="rId7" w:fontKey="{D3D03ACB-416E-4058-B70C-884C74D47346}"/>
    <w:embedBold r:id="rId8" w:fontKey="{80A3908C-1A4F-4052-A45F-74894D7E0BE0}"/>
    <w:embedItalic r:id="rId9" w:fontKey="{DEF1D378-CF6C-40F7-948C-EBA71BD1F5D1}"/>
  </w:font>
  <w:font w:name="Georgia">
    <w:panose1 w:val="02040502050405020303"/>
    <w:charset w:val="00"/>
    <w:family w:val="roman"/>
    <w:pitch w:val="variable"/>
    <w:sig w:usb0="00000287" w:usb1="00000000" w:usb2="00000000" w:usb3="00000000" w:csb0="0000009F" w:csb1="00000000"/>
    <w:embedItalic r:id="rId10" w:fontKey="{6AEE1128-E524-4A28-9964-5B791373259D}"/>
  </w:font>
  <w:font w:name="Cambria">
    <w:panose1 w:val="02040503050406030204"/>
    <w:charset w:val="00"/>
    <w:family w:val="roman"/>
    <w:pitch w:val="variable"/>
    <w:sig w:usb0="E00006FF" w:usb1="420024FF" w:usb2="02000000" w:usb3="00000000" w:csb0="0000019F" w:csb1="00000000"/>
    <w:embedRegular r:id="rId11" w:fontKey="{1A0ACCD5-4395-4D30-A648-EC57B5F709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DB3" w:rsidRPr="00C51CE4" w:rsidRDefault="0084126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C51CE4">
      <w:rPr>
        <w:rFonts w:ascii="Palatino Linotype" w:eastAsia="Palatino Linotype" w:hAnsi="Palatino Linotype" w:cs="Palatino Linotype"/>
        <w:color w:val="000000"/>
        <w:sz w:val="22"/>
        <w:szCs w:val="20"/>
      </w:rPr>
      <w:t xml:space="preserve">Página </w:t>
    </w:r>
    <w:r w:rsidRPr="00C51CE4">
      <w:rPr>
        <w:rFonts w:ascii="Palatino Linotype" w:eastAsia="Palatino Linotype" w:hAnsi="Palatino Linotype" w:cs="Palatino Linotype"/>
        <w:color w:val="000000"/>
        <w:sz w:val="22"/>
        <w:szCs w:val="20"/>
      </w:rPr>
      <w:fldChar w:fldCharType="begin"/>
    </w:r>
    <w:r w:rsidRPr="00C51CE4">
      <w:rPr>
        <w:rFonts w:ascii="Palatino Linotype" w:eastAsia="Palatino Linotype" w:hAnsi="Palatino Linotype" w:cs="Palatino Linotype"/>
        <w:color w:val="000000"/>
        <w:sz w:val="22"/>
        <w:szCs w:val="20"/>
      </w:rPr>
      <w:instrText>PAGE</w:instrText>
    </w:r>
    <w:r w:rsidRPr="00C51CE4">
      <w:rPr>
        <w:rFonts w:ascii="Palatino Linotype" w:eastAsia="Palatino Linotype" w:hAnsi="Palatino Linotype" w:cs="Palatino Linotype"/>
        <w:color w:val="000000"/>
        <w:sz w:val="22"/>
        <w:szCs w:val="20"/>
      </w:rPr>
      <w:fldChar w:fldCharType="separate"/>
    </w:r>
    <w:r w:rsidR="00C51CE4">
      <w:rPr>
        <w:rFonts w:ascii="Palatino Linotype" w:eastAsia="Palatino Linotype" w:hAnsi="Palatino Linotype" w:cs="Palatino Linotype"/>
        <w:noProof/>
        <w:color w:val="000000"/>
        <w:sz w:val="22"/>
        <w:szCs w:val="20"/>
      </w:rPr>
      <w:t>21</w:t>
    </w:r>
    <w:r w:rsidRPr="00C51CE4">
      <w:rPr>
        <w:rFonts w:ascii="Palatino Linotype" w:eastAsia="Palatino Linotype" w:hAnsi="Palatino Linotype" w:cs="Palatino Linotype"/>
        <w:color w:val="000000"/>
        <w:sz w:val="22"/>
        <w:szCs w:val="20"/>
      </w:rPr>
      <w:fldChar w:fldCharType="end"/>
    </w:r>
    <w:r w:rsidRPr="00C51CE4">
      <w:rPr>
        <w:rFonts w:ascii="Palatino Linotype" w:eastAsia="Palatino Linotype" w:hAnsi="Palatino Linotype" w:cs="Palatino Linotype"/>
        <w:color w:val="000000"/>
        <w:sz w:val="22"/>
        <w:szCs w:val="20"/>
      </w:rPr>
      <w:t xml:space="preserve"> de </w:t>
    </w:r>
    <w:r w:rsidRPr="00C51CE4">
      <w:rPr>
        <w:rFonts w:ascii="Palatino Linotype" w:eastAsia="Palatino Linotype" w:hAnsi="Palatino Linotype" w:cs="Palatino Linotype"/>
        <w:color w:val="000000"/>
        <w:sz w:val="22"/>
        <w:szCs w:val="20"/>
      </w:rPr>
      <w:fldChar w:fldCharType="begin"/>
    </w:r>
    <w:r w:rsidRPr="00C51CE4">
      <w:rPr>
        <w:rFonts w:ascii="Palatino Linotype" w:eastAsia="Palatino Linotype" w:hAnsi="Palatino Linotype" w:cs="Palatino Linotype"/>
        <w:color w:val="000000"/>
        <w:sz w:val="22"/>
        <w:szCs w:val="20"/>
      </w:rPr>
      <w:instrText>NUMPAGES</w:instrText>
    </w:r>
    <w:r w:rsidRPr="00C51CE4">
      <w:rPr>
        <w:rFonts w:ascii="Palatino Linotype" w:eastAsia="Palatino Linotype" w:hAnsi="Palatino Linotype" w:cs="Palatino Linotype"/>
        <w:color w:val="000000"/>
        <w:sz w:val="22"/>
        <w:szCs w:val="20"/>
      </w:rPr>
      <w:fldChar w:fldCharType="separate"/>
    </w:r>
    <w:r w:rsidR="00C51CE4">
      <w:rPr>
        <w:rFonts w:ascii="Palatino Linotype" w:eastAsia="Palatino Linotype" w:hAnsi="Palatino Linotype" w:cs="Palatino Linotype"/>
        <w:noProof/>
        <w:color w:val="000000"/>
        <w:sz w:val="22"/>
        <w:szCs w:val="20"/>
      </w:rPr>
      <w:t>55</w:t>
    </w:r>
    <w:r w:rsidRPr="00C51CE4">
      <w:rPr>
        <w:rFonts w:ascii="Palatino Linotype" w:eastAsia="Palatino Linotype" w:hAnsi="Palatino Linotype" w:cs="Palatino Linotype"/>
        <w:color w:val="000000"/>
        <w:sz w:val="22"/>
        <w:szCs w:val="20"/>
      </w:rPr>
      <w:fldChar w:fldCharType="end"/>
    </w:r>
  </w:p>
  <w:p w:rsidR="00035DB3" w:rsidRDefault="00035DB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DB3" w:rsidRPr="00C51CE4" w:rsidRDefault="0084126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C51CE4">
      <w:rPr>
        <w:rFonts w:ascii="Palatino Linotype" w:eastAsia="Palatino Linotype" w:hAnsi="Palatino Linotype" w:cs="Palatino Linotype"/>
        <w:color w:val="000000"/>
        <w:sz w:val="22"/>
        <w:szCs w:val="20"/>
      </w:rPr>
      <w:t xml:space="preserve">Página </w:t>
    </w:r>
    <w:r w:rsidRPr="00C51CE4">
      <w:rPr>
        <w:rFonts w:ascii="Palatino Linotype" w:eastAsia="Palatino Linotype" w:hAnsi="Palatino Linotype" w:cs="Palatino Linotype"/>
        <w:color w:val="000000"/>
        <w:sz w:val="22"/>
        <w:szCs w:val="20"/>
      </w:rPr>
      <w:fldChar w:fldCharType="begin"/>
    </w:r>
    <w:r w:rsidRPr="00C51CE4">
      <w:rPr>
        <w:rFonts w:ascii="Palatino Linotype" w:eastAsia="Palatino Linotype" w:hAnsi="Palatino Linotype" w:cs="Palatino Linotype"/>
        <w:color w:val="000000"/>
        <w:sz w:val="22"/>
        <w:szCs w:val="20"/>
      </w:rPr>
      <w:instrText>PAGE</w:instrText>
    </w:r>
    <w:r w:rsidRPr="00C51CE4">
      <w:rPr>
        <w:rFonts w:ascii="Palatino Linotype" w:eastAsia="Palatino Linotype" w:hAnsi="Palatino Linotype" w:cs="Palatino Linotype"/>
        <w:color w:val="000000"/>
        <w:sz w:val="22"/>
        <w:szCs w:val="20"/>
      </w:rPr>
      <w:fldChar w:fldCharType="separate"/>
    </w:r>
    <w:r w:rsidR="00C51CE4">
      <w:rPr>
        <w:rFonts w:ascii="Palatino Linotype" w:eastAsia="Palatino Linotype" w:hAnsi="Palatino Linotype" w:cs="Palatino Linotype"/>
        <w:noProof/>
        <w:color w:val="000000"/>
        <w:sz w:val="22"/>
        <w:szCs w:val="20"/>
      </w:rPr>
      <w:t>1</w:t>
    </w:r>
    <w:r w:rsidRPr="00C51CE4">
      <w:rPr>
        <w:rFonts w:ascii="Palatino Linotype" w:eastAsia="Palatino Linotype" w:hAnsi="Palatino Linotype" w:cs="Palatino Linotype"/>
        <w:color w:val="000000"/>
        <w:sz w:val="22"/>
        <w:szCs w:val="20"/>
      </w:rPr>
      <w:fldChar w:fldCharType="end"/>
    </w:r>
    <w:r w:rsidRPr="00C51CE4">
      <w:rPr>
        <w:rFonts w:ascii="Palatino Linotype" w:eastAsia="Palatino Linotype" w:hAnsi="Palatino Linotype" w:cs="Palatino Linotype"/>
        <w:color w:val="000000"/>
        <w:sz w:val="22"/>
        <w:szCs w:val="20"/>
      </w:rPr>
      <w:t xml:space="preserve"> de </w:t>
    </w:r>
    <w:r w:rsidRPr="00C51CE4">
      <w:rPr>
        <w:rFonts w:ascii="Palatino Linotype" w:eastAsia="Palatino Linotype" w:hAnsi="Palatino Linotype" w:cs="Palatino Linotype"/>
        <w:color w:val="000000"/>
        <w:sz w:val="22"/>
        <w:szCs w:val="20"/>
      </w:rPr>
      <w:fldChar w:fldCharType="begin"/>
    </w:r>
    <w:r w:rsidRPr="00C51CE4">
      <w:rPr>
        <w:rFonts w:ascii="Palatino Linotype" w:eastAsia="Palatino Linotype" w:hAnsi="Palatino Linotype" w:cs="Palatino Linotype"/>
        <w:color w:val="000000"/>
        <w:sz w:val="22"/>
        <w:szCs w:val="20"/>
      </w:rPr>
      <w:instrText>NUMPAGES</w:instrText>
    </w:r>
    <w:r w:rsidRPr="00C51CE4">
      <w:rPr>
        <w:rFonts w:ascii="Palatino Linotype" w:eastAsia="Palatino Linotype" w:hAnsi="Palatino Linotype" w:cs="Palatino Linotype"/>
        <w:color w:val="000000"/>
        <w:sz w:val="22"/>
        <w:szCs w:val="20"/>
      </w:rPr>
      <w:fldChar w:fldCharType="separate"/>
    </w:r>
    <w:r w:rsidR="00C51CE4">
      <w:rPr>
        <w:rFonts w:ascii="Palatino Linotype" w:eastAsia="Palatino Linotype" w:hAnsi="Palatino Linotype" w:cs="Palatino Linotype"/>
        <w:noProof/>
        <w:color w:val="000000"/>
        <w:sz w:val="22"/>
        <w:szCs w:val="20"/>
      </w:rPr>
      <w:t>55</w:t>
    </w:r>
    <w:r w:rsidRPr="00C51CE4">
      <w:rPr>
        <w:rFonts w:ascii="Palatino Linotype" w:eastAsia="Palatino Linotype" w:hAnsi="Palatino Linotype" w:cs="Palatino Linotype"/>
        <w:color w:val="000000"/>
        <w:sz w:val="22"/>
        <w:szCs w:val="20"/>
      </w:rPr>
      <w:fldChar w:fldCharType="end"/>
    </w:r>
  </w:p>
  <w:p w:rsidR="00035DB3" w:rsidRDefault="00035DB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DC0" w:rsidRDefault="00BE6DC0">
      <w:r>
        <w:separator/>
      </w:r>
    </w:p>
  </w:footnote>
  <w:footnote w:type="continuationSeparator" w:id="0">
    <w:p w:rsidR="00BE6DC0" w:rsidRDefault="00BE6D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DB3" w:rsidRDefault="00BE6DC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370" w:type="dxa"/>
      <w:tblInd w:w="3261" w:type="dxa"/>
      <w:tblLayout w:type="fixed"/>
      <w:tblLook w:val="0400" w:firstRow="0" w:lastRow="0" w:firstColumn="0" w:lastColumn="0" w:noHBand="0" w:noVBand="1"/>
    </w:tblPr>
    <w:tblGrid>
      <w:gridCol w:w="3118"/>
      <w:gridCol w:w="4252"/>
    </w:tblGrid>
    <w:tr w:rsidR="00035DB3" w:rsidTr="00C51CE4">
      <w:trPr>
        <w:trHeight w:val="227"/>
      </w:trPr>
      <w:tc>
        <w:tcPr>
          <w:tcW w:w="3118" w:type="dxa"/>
        </w:tcPr>
        <w:p w:rsidR="00035DB3" w:rsidRPr="00C51CE4" w:rsidRDefault="0084126B">
          <w:pPr>
            <w:jc w:val="right"/>
            <w:rPr>
              <w:rFonts w:ascii="Palatino Linotype" w:eastAsia="Palatino Linotype" w:hAnsi="Palatino Linotype" w:cs="Palatino Linotype"/>
              <w:b/>
              <w:bCs/>
              <w:szCs w:val="22"/>
            </w:rPr>
          </w:pPr>
          <w:r w:rsidRPr="00C51CE4">
            <w:rPr>
              <w:rFonts w:ascii="Palatino Linotype" w:eastAsia="Palatino Linotype" w:hAnsi="Palatino Linotype" w:cs="Palatino Linotype"/>
              <w:b/>
              <w:bCs/>
              <w:szCs w:val="22"/>
            </w:rPr>
            <w:t>Recurso de Revisión:</w:t>
          </w:r>
        </w:p>
      </w:tc>
      <w:tc>
        <w:tcPr>
          <w:tcW w:w="4252" w:type="dxa"/>
        </w:tcPr>
        <w:p w:rsidR="00035DB3" w:rsidRPr="00C51CE4" w:rsidRDefault="0084126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51CE4">
            <w:rPr>
              <w:rFonts w:ascii="Palatino Linotype" w:eastAsia="Palatino Linotype" w:hAnsi="Palatino Linotype" w:cs="Palatino Linotype"/>
              <w:color w:val="000000"/>
              <w:szCs w:val="22"/>
            </w:rPr>
            <w:t>00728/INFOEM/IP/RR/2026</w:t>
          </w:r>
        </w:p>
      </w:tc>
    </w:tr>
    <w:tr w:rsidR="00035DB3" w:rsidTr="00C51CE4">
      <w:trPr>
        <w:trHeight w:val="342"/>
      </w:trPr>
      <w:tc>
        <w:tcPr>
          <w:tcW w:w="3118" w:type="dxa"/>
        </w:tcPr>
        <w:p w:rsidR="00035DB3" w:rsidRPr="00C51CE4" w:rsidRDefault="0084126B">
          <w:pPr>
            <w:jc w:val="right"/>
            <w:rPr>
              <w:rFonts w:ascii="Palatino Linotype" w:eastAsia="Palatino Linotype" w:hAnsi="Palatino Linotype" w:cs="Palatino Linotype"/>
              <w:b/>
              <w:bCs/>
              <w:szCs w:val="22"/>
            </w:rPr>
          </w:pPr>
          <w:r w:rsidRPr="00C51CE4">
            <w:rPr>
              <w:rFonts w:ascii="Palatino Linotype" w:eastAsia="Palatino Linotype" w:hAnsi="Palatino Linotype" w:cs="Palatino Linotype"/>
              <w:b/>
              <w:bCs/>
              <w:szCs w:val="22"/>
            </w:rPr>
            <w:t>Sujeto Obligado:</w:t>
          </w:r>
        </w:p>
      </w:tc>
      <w:tc>
        <w:tcPr>
          <w:tcW w:w="4252" w:type="dxa"/>
        </w:tcPr>
        <w:p w:rsidR="00035DB3" w:rsidRPr="00C51CE4" w:rsidRDefault="0084126B">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C51CE4">
            <w:rPr>
              <w:rFonts w:ascii="Palatino Linotype" w:eastAsia="Palatino Linotype" w:hAnsi="Palatino Linotype" w:cs="Palatino Linotype"/>
              <w:color w:val="000000"/>
              <w:szCs w:val="22"/>
            </w:rPr>
            <w:t>Ayuntamiento de Capulhuac</w:t>
          </w:r>
        </w:p>
      </w:tc>
    </w:tr>
    <w:tr w:rsidR="00035DB3" w:rsidTr="00C51CE4">
      <w:trPr>
        <w:trHeight w:val="342"/>
      </w:trPr>
      <w:tc>
        <w:tcPr>
          <w:tcW w:w="3118" w:type="dxa"/>
        </w:tcPr>
        <w:p w:rsidR="00035DB3" w:rsidRPr="00C51CE4" w:rsidRDefault="0084126B">
          <w:pPr>
            <w:jc w:val="right"/>
            <w:rPr>
              <w:rFonts w:ascii="Palatino Linotype" w:eastAsia="Palatino Linotype" w:hAnsi="Palatino Linotype" w:cs="Palatino Linotype"/>
              <w:b/>
              <w:bCs/>
              <w:szCs w:val="22"/>
            </w:rPr>
          </w:pPr>
          <w:r w:rsidRPr="00C51CE4">
            <w:rPr>
              <w:rFonts w:ascii="Palatino Linotype" w:eastAsia="Palatino Linotype" w:hAnsi="Palatino Linotype" w:cs="Palatino Linotype"/>
              <w:b/>
              <w:bCs/>
              <w:szCs w:val="22"/>
            </w:rPr>
            <w:t>Comisionada Ponente:</w:t>
          </w:r>
        </w:p>
      </w:tc>
      <w:tc>
        <w:tcPr>
          <w:tcW w:w="4252" w:type="dxa"/>
        </w:tcPr>
        <w:p w:rsidR="00035DB3" w:rsidRPr="00C51CE4" w:rsidRDefault="0084126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51CE4">
            <w:rPr>
              <w:rFonts w:ascii="Palatino Linotype" w:eastAsia="Palatino Linotype" w:hAnsi="Palatino Linotype" w:cs="Palatino Linotype"/>
              <w:color w:val="000000"/>
              <w:szCs w:val="22"/>
            </w:rPr>
            <w:t>María del Rosario Mejía Ayala</w:t>
          </w:r>
        </w:p>
      </w:tc>
    </w:tr>
  </w:tbl>
  <w:p w:rsidR="00035DB3" w:rsidRDefault="00BE6DC0">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3.7pt;margin-top:-131.8pt;width:609.4pt;height:793.75pt;z-index:-251659776;mso-position-horizontal-relative:margin;mso-position-vertical-relative:margin">
          <v:imagedata r:id="rId1" o:title="image6"/>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DB3" w:rsidRDefault="00035DB3">
    <w:pPr>
      <w:widowControl w:val="0"/>
      <w:pBdr>
        <w:top w:val="nil"/>
        <w:left w:val="nil"/>
        <w:bottom w:val="nil"/>
        <w:right w:val="nil"/>
        <w:between w:val="nil"/>
      </w:pBdr>
      <w:spacing w:line="276" w:lineRule="auto"/>
      <w:rPr>
        <w:color w:val="000000"/>
        <w:sz w:val="14"/>
        <w:szCs w:val="14"/>
      </w:rPr>
    </w:pPr>
  </w:p>
  <w:tbl>
    <w:tblPr>
      <w:tblStyle w:val="a1"/>
      <w:tblW w:w="7087" w:type="dxa"/>
      <w:tblInd w:w="3544" w:type="dxa"/>
      <w:tblLayout w:type="fixed"/>
      <w:tblLook w:val="0400" w:firstRow="0" w:lastRow="0" w:firstColumn="0" w:lastColumn="0" w:noHBand="0" w:noVBand="1"/>
    </w:tblPr>
    <w:tblGrid>
      <w:gridCol w:w="2835"/>
      <w:gridCol w:w="4252"/>
    </w:tblGrid>
    <w:tr w:rsidR="00035DB3" w:rsidTr="00C51CE4">
      <w:trPr>
        <w:trHeight w:val="227"/>
      </w:trPr>
      <w:tc>
        <w:tcPr>
          <w:tcW w:w="2835" w:type="dxa"/>
        </w:tcPr>
        <w:p w:rsidR="00035DB3" w:rsidRPr="00C51CE4" w:rsidRDefault="0084126B">
          <w:pPr>
            <w:jc w:val="right"/>
            <w:rPr>
              <w:rFonts w:ascii="Palatino Linotype" w:eastAsia="Palatino Linotype" w:hAnsi="Palatino Linotype" w:cs="Palatino Linotype"/>
              <w:b/>
              <w:bCs/>
              <w:szCs w:val="22"/>
            </w:rPr>
          </w:pPr>
          <w:r w:rsidRPr="00C51CE4">
            <w:rPr>
              <w:rFonts w:ascii="Palatino Linotype" w:eastAsia="Palatino Linotype" w:hAnsi="Palatino Linotype" w:cs="Palatino Linotype"/>
              <w:b/>
              <w:bCs/>
              <w:szCs w:val="22"/>
            </w:rPr>
            <w:t>Recurso de Revisión:</w:t>
          </w:r>
        </w:p>
      </w:tc>
      <w:tc>
        <w:tcPr>
          <w:tcW w:w="4252" w:type="dxa"/>
        </w:tcPr>
        <w:p w:rsidR="00035DB3" w:rsidRPr="00C51CE4" w:rsidRDefault="0084126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51CE4">
            <w:rPr>
              <w:rFonts w:ascii="Palatino Linotype" w:eastAsia="Palatino Linotype" w:hAnsi="Palatino Linotype" w:cs="Palatino Linotype"/>
              <w:color w:val="000000"/>
              <w:szCs w:val="22"/>
            </w:rPr>
            <w:t>00728/INFOEM/IP/RR/2026</w:t>
          </w:r>
        </w:p>
      </w:tc>
    </w:tr>
    <w:tr w:rsidR="00035DB3" w:rsidTr="00C51CE4">
      <w:trPr>
        <w:trHeight w:val="242"/>
      </w:trPr>
      <w:tc>
        <w:tcPr>
          <w:tcW w:w="2835" w:type="dxa"/>
        </w:tcPr>
        <w:p w:rsidR="00035DB3" w:rsidRPr="00C51CE4" w:rsidRDefault="0084126B">
          <w:pPr>
            <w:jc w:val="right"/>
            <w:rPr>
              <w:rFonts w:ascii="Palatino Linotype" w:eastAsia="Palatino Linotype" w:hAnsi="Palatino Linotype" w:cs="Palatino Linotype"/>
              <w:b/>
              <w:bCs/>
              <w:szCs w:val="22"/>
            </w:rPr>
          </w:pPr>
          <w:r w:rsidRPr="00C51CE4">
            <w:rPr>
              <w:rFonts w:ascii="Palatino Linotype" w:eastAsia="Palatino Linotype" w:hAnsi="Palatino Linotype" w:cs="Palatino Linotype"/>
              <w:b/>
              <w:bCs/>
              <w:szCs w:val="22"/>
            </w:rPr>
            <w:t>Recurrente:</w:t>
          </w:r>
        </w:p>
      </w:tc>
      <w:tc>
        <w:tcPr>
          <w:tcW w:w="4252" w:type="dxa"/>
        </w:tcPr>
        <w:p w:rsidR="00035DB3" w:rsidRPr="00C51CE4" w:rsidRDefault="00035DB3">
          <w:pPr>
            <w:rPr>
              <w:rFonts w:ascii="Palatino Linotype" w:eastAsia="Palatino Linotype" w:hAnsi="Palatino Linotype" w:cs="Palatino Linotype"/>
              <w:szCs w:val="22"/>
            </w:rPr>
          </w:pPr>
        </w:p>
      </w:tc>
    </w:tr>
    <w:tr w:rsidR="00035DB3" w:rsidTr="00C51CE4">
      <w:trPr>
        <w:trHeight w:val="342"/>
      </w:trPr>
      <w:tc>
        <w:tcPr>
          <w:tcW w:w="2835" w:type="dxa"/>
        </w:tcPr>
        <w:p w:rsidR="00035DB3" w:rsidRPr="00C51CE4" w:rsidRDefault="0084126B">
          <w:pPr>
            <w:jc w:val="right"/>
            <w:rPr>
              <w:rFonts w:ascii="Palatino Linotype" w:eastAsia="Palatino Linotype" w:hAnsi="Palatino Linotype" w:cs="Palatino Linotype"/>
              <w:b/>
              <w:bCs/>
              <w:szCs w:val="22"/>
            </w:rPr>
          </w:pPr>
          <w:r w:rsidRPr="00C51CE4">
            <w:rPr>
              <w:rFonts w:ascii="Palatino Linotype" w:eastAsia="Palatino Linotype" w:hAnsi="Palatino Linotype" w:cs="Palatino Linotype"/>
              <w:b/>
              <w:bCs/>
              <w:szCs w:val="22"/>
            </w:rPr>
            <w:t>Sujeto Obligado:</w:t>
          </w:r>
        </w:p>
      </w:tc>
      <w:tc>
        <w:tcPr>
          <w:tcW w:w="4252" w:type="dxa"/>
        </w:tcPr>
        <w:p w:rsidR="00035DB3" w:rsidRPr="00C51CE4" w:rsidRDefault="0084126B">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C51CE4">
            <w:rPr>
              <w:rFonts w:ascii="Palatino Linotype" w:eastAsia="Palatino Linotype" w:hAnsi="Palatino Linotype" w:cs="Palatino Linotype"/>
              <w:color w:val="000000"/>
              <w:szCs w:val="22"/>
            </w:rPr>
            <w:t>Ayuntamiento de Capulhuac</w:t>
          </w:r>
        </w:p>
      </w:tc>
    </w:tr>
    <w:tr w:rsidR="00035DB3" w:rsidTr="00C51CE4">
      <w:trPr>
        <w:trHeight w:val="342"/>
      </w:trPr>
      <w:tc>
        <w:tcPr>
          <w:tcW w:w="2835" w:type="dxa"/>
        </w:tcPr>
        <w:p w:rsidR="00035DB3" w:rsidRPr="00C51CE4" w:rsidRDefault="0084126B">
          <w:pPr>
            <w:jc w:val="right"/>
            <w:rPr>
              <w:rFonts w:ascii="Palatino Linotype" w:eastAsia="Palatino Linotype" w:hAnsi="Palatino Linotype" w:cs="Palatino Linotype"/>
              <w:b/>
              <w:bCs/>
              <w:szCs w:val="22"/>
            </w:rPr>
          </w:pPr>
          <w:r w:rsidRPr="00C51CE4">
            <w:rPr>
              <w:rFonts w:ascii="Palatino Linotype" w:eastAsia="Palatino Linotype" w:hAnsi="Palatino Linotype" w:cs="Palatino Linotype"/>
              <w:b/>
              <w:bCs/>
              <w:szCs w:val="22"/>
            </w:rPr>
            <w:t>Comisionada Ponente:</w:t>
          </w:r>
        </w:p>
      </w:tc>
      <w:tc>
        <w:tcPr>
          <w:tcW w:w="4252" w:type="dxa"/>
        </w:tcPr>
        <w:p w:rsidR="00035DB3" w:rsidRPr="00C51CE4" w:rsidRDefault="0084126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51CE4">
            <w:rPr>
              <w:rFonts w:ascii="Palatino Linotype" w:eastAsia="Palatino Linotype" w:hAnsi="Palatino Linotype" w:cs="Palatino Linotype"/>
              <w:color w:val="000000"/>
              <w:szCs w:val="22"/>
            </w:rPr>
            <w:t>María del Rosario Mejía Ayala</w:t>
          </w:r>
        </w:p>
      </w:tc>
    </w:tr>
  </w:tbl>
  <w:p w:rsidR="00035DB3" w:rsidRDefault="00BE6DC0">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E23C5"/>
    <w:multiLevelType w:val="multilevel"/>
    <w:tmpl w:val="FA80ADB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F55DE6"/>
    <w:multiLevelType w:val="multilevel"/>
    <w:tmpl w:val="FC74873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1B8D2D1A"/>
    <w:multiLevelType w:val="multilevel"/>
    <w:tmpl w:val="D0C6E124"/>
    <w:lvl w:ilvl="0">
      <w:start w:val="1"/>
      <w:numFmt w:val="decimal"/>
      <w:lvlText w:val="%1."/>
      <w:lvlJc w:val="left"/>
      <w:pPr>
        <w:ind w:left="2629"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232E19"/>
    <w:multiLevelType w:val="multilevel"/>
    <w:tmpl w:val="85E2C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5870AA"/>
    <w:multiLevelType w:val="multilevel"/>
    <w:tmpl w:val="F65CB100"/>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373F385D"/>
    <w:multiLevelType w:val="multilevel"/>
    <w:tmpl w:val="E9D4025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15:restartNumberingAfterBreak="0">
    <w:nsid w:val="439D12E1"/>
    <w:multiLevelType w:val="multilevel"/>
    <w:tmpl w:val="1102FE6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4F679A"/>
    <w:multiLevelType w:val="multilevel"/>
    <w:tmpl w:val="AA60A07C"/>
    <w:lvl w:ilvl="0">
      <w:start w:val="1"/>
      <w:numFmt w:val="bullet"/>
      <w:lvlText w:val="●"/>
      <w:lvlJc w:val="left"/>
      <w:pPr>
        <w:ind w:left="1287" w:hanging="360"/>
      </w:pPr>
      <w:rPr>
        <w:rFonts w:ascii="Noto Sans Symbols" w:eastAsia="Noto Sans Symbols" w:hAnsi="Noto Sans Symbols" w:cs="Noto Sans Symbols"/>
      </w:rPr>
    </w:lvl>
    <w:lvl w:ilvl="1">
      <w:start w:val="1"/>
      <w:numFmt w:val="decimal"/>
      <w:lvlText w:val="%2)"/>
      <w:lvlJc w:val="left"/>
      <w:pPr>
        <w:ind w:left="2007" w:hanging="360"/>
      </w:p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15:restartNumberingAfterBreak="0">
    <w:nsid w:val="5C100F73"/>
    <w:multiLevelType w:val="multilevel"/>
    <w:tmpl w:val="C4348FC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5D9E3B46"/>
    <w:multiLevelType w:val="multilevel"/>
    <w:tmpl w:val="58343AD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0" w15:restartNumberingAfterBreak="0">
    <w:nsid w:val="609B6FA6"/>
    <w:multiLevelType w:val="multilevel"/>
    <w:tmpl w:val="F9803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7"/>
  </w:num>
  <w:num w:numId="4">
    <w:abstractNumId w:val="3"/>
  </w:num>
  <w:num w:numId="5">
    <w:abstractNumId w:val="0"/>
  </w:num>
  <w:num w:numId="6">
    <w:abstractNumId w:val="2"/>
  </w:num>
  <w:num w:numId="7">
    <w:abstractNumId w:val="10"/>
  </w:num>
  <w:num w:numId="8">
    <w:abstractNumId w:val="8"/>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DB3"/>
    <w:rsid w:val="00035DB3"/>
    <w:rsid w:val="001631A3"/>
    <w:rsid w:val="00241183"/>
    <w:rsid w:val="006E26E9"/>
    <w:rsid w:val="0084126B"/>
    <w:rsid w:val="008F6D79"/>
    <w:rsid w:val="00A87248"/>
    <w:rsid w:val="00B27A96"/>
    <w:rsid w:val="00BE6DC0"/>
    <w:rsid w:val="00C51CE4"/>
    <w:rsid w:val="00F427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9CB9E16-7A24-4FC5-907D-F92DC985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C51CE4"/>
    <w:pPr>
      <w:tabs>
        <w:tab w:val="center" w:pos="4419"/>
        <w:tab w:val="right" w:pos="8838"/>
      </w:tabs>
    </w:pPr>
  </w:style>
  <w:style w:type="character" w:customStyle="1" w:styleId="PiedepginaCar">
    <w:name w:val="Pie de página Car"/>
    <w:basedOn w:val="Fuentedeprrafopredeter"/>
    <w:link w:val="Piedepgina"/>
    <w:uiPriority w:val="99"/>
    <w:rsid w:val="00C51CE4"/>
  </w:style>
  <w:style w:type="paragraph" w:styleId="Prrafodelista">
    <w:name w:val="List Paragraph"/>
    <w:basedOn w:val="Normal"/>
    <w:uiPriority w:val="34"/>
    <w:qFormat/>
    <w:rsid w:val="00C51C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omawww.sat.gob.mx/tramitesyservicios/paginas/documentos/anexo20_2022.pdf"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lOJm96v/srr4/imiP9Ie0qklDQ==">CgMxLjAyCGguZ2pkZ3hzMgloLjMwajB6bGwyCWguMWZvYjl0ZTIJaC4zem55c2g3MgloLjJldDkycDAyCWguMXQzaDVzZjIJaC4xa3N2NHV2Mg5oLmZhbDZ5YWgyaDRwaDIJaC4zcmRjcmpuMghoLmxueGJ6OTgAciExbkJIc2J5N1U5VXdsOGdHYWtxekljYVBCaDFwUkNBSnQ=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55</Pages>
  <Words>13882</Words>
  <Characters>76353</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2026-05-14T17:32:00Z</cp:lastPrinted>
  <dcterms:created xsi:type="dcterms:W3CDTF">2026-05-11T22:49:00Z</dcterms:created>
  <dcterms:modified xsi:type="dcterms:W3CDTF">2026-05-15T19:05:00Z</dcterms:modified>
</cp:coreProperties>
</file>