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6018" w:rsidRDefault="00D02C3C">
      <w:pPr>
        <w:tabs>
          <w:tab w:val="left" w:pos="3465"/>
        </w:tabs>
        <w:spacing w:line="360" w:lineRule="auto"/>
        <w:ind w:right="-989"/>
        <w:jc w:val="both"/>
        <w:rPr>
          <w:rFonts w:ascii="Palatino Linotype" w:eastAsia="Palatino Linotype" w:hAnsi="Palatino Linotype" w:cs="Palatino Linotype"/>
          <w:b/>
          <w:bCs/>
          <w:color w:val="000000"/>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Pr>
          <w:rFonts w:ascii="Palatino Linotype" w:eastAsia="Palatino Linotype" w:hAnsi="Palatino Linotype" w:cs="Palatino Linotype"/>
          <w:b/>
          <w:bCs/>
          <w:color w:val="000000"/>
        </w:rPr>
        <w:t xml:space="preserve">tres (03) de </w:t>
      </w:r>
      <w:r>
        <w:rPr>
          <w:rFonts w:ascii="Palatino Linotype" w:eastAsia="Palatino Linotype" w:hAnsi="Palatino Linotype" w:cs="Palatino Linotype"/>
          <w:b/>
          <w:bCs/>
        </w:rPr>
        <w:t>junio</w:t>
      </w:r>
      <w:r>
        <w:rPr>
          <w:rFonts w:ascii="Palatino Linotype" w:eastAsia="Palatino Linotype" w:hAnsi="Palatino Linotype" w:cs="Palatino Linotype"/>
          <w:b/>
          <w:bCs/>
          <w:color w:val="000000"/>
        </w:rPr>
        <w:t xml:space="preserve"> de dos mil veintiséis.</w:t>
      </w:r>
    </w:p>
    <w:p w:rsidR="00A96018" w:rsidRDefault="00A96018">
      <w:pPr>
        <w:tabs>
          <w:tab w:val="left" w:pos="3465"/>
        </w:tabs>
        <w:spacing w:line="360" w:lineRule="auto"/>
        <w:ind w:right="-989"/>
        <w:jc w:val="both"/>
        <w:rPr>
          <w:rFonts w:ascii="Palatino Linotype" w:eastAsia="Palatino Linotype" w:hAnsi="Palatino Linotype" w:cs="Palatino Linotype"/>
        </w:rPr>
      </w:pPr>
    </w:p>
    <w:p w:rsidR="00A96018" w:rsidRDefault="00D02C3C">
      <w:pPr>
        <w:spacing w:line="360" w:lineRule="auto"/>
        <w:ind w:right="-989"/>
        <w:jc w:val="both"/>
        <w:rPr>
          <w:rFonts w:ascii="Palatino Linotype" w:eastAsia="Palatino Linotype" w:hAnsi="Palatino Linotype" w:cs="Palatino Linotype"/>
        </w:rPr>
      </w:pPr>
      <w:r>
        <w:rPr>
          <w:rFonts w:ascii="Palatino Linotype" w:eastAsia="Palatino Linotype" w:hAnsi="Palatino Linotype" w:cs="Palatino Linotype"/>
          <w:b/>
          <w:bCs/>
        </w:rPr>
        <w:t>VISTO</w:t>
      </w:r>
      <w:r>
        <w:rPr>
          <w:rFonts w:ascii="Palatino Linotype" w:eastAsia="Palatino Linotype" w:hAnsi="Palatino Linotype" w:cs="Palatino Linotype"/>
        </w:rPr>
        <w:t xml:space="preserve"> el expediente electrónico formado con motivo del Recurso de Revisión </w:t>
      </w:r>
      <w:r>
        <w:rPr>
          <w:rFonts w:ascii="Palatino Linotype" w:eastAsia="Palatino Linotype" w:hAnsi="Palatino Linotype" w:cs="Palatino Linotype"/>
          <w:b/>
          <w:bCs/>
        </w:rPr>
        <w:t>12228/INFOEM/IP/RR/2025</w:t>
      </w:r>
      <w:r>
        <w:rPr>
          <w:rFonts w:ascii="Palatino Linotype" w:eastAsia="Palatino Linotype" w:hAnsi="Palatino Linotype" w:cs="Palatino Linotype"/>
        </w:rPr>
        <w:t>,</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promovido por </w:t>
      </w:r>
      <w:r w:rsidR="00F07329">
        <w:rPr>
          <w:rFonts w:ascii="Palatino Linotype" w:eastAsia="Palatino Linotype" w:hAnsi="Palatino Linotype" w:cs="Palatino Linotype"/>
          <w:b/>
          <w:bCs/>
        </w:rPr>
        <w:t>XXXX</w:t>
      </w:r>
      <w:r>
        <w:rPr>
          <w:rFonts w:ascii="Palatino Linotype" w:eastAsia="Palatino Linotype" w:hAnsi="Palatino Linotype" w:cs="Palatino Linotype"/>
          <w:b/>
          <w:bCs/>
        </w:rPr>
        <w:t>,</w:t>
      </w:r>
      <w:r>
        <w:rPr>
          <w:rFonts w:ascii="Palatino Linotype" w:eastAsia="Palatino Linotype" w:hAnsi="Palatino Linotype" w:cs="Palatino Linotype"/>
        </w:rPr>
        <w:t xml:space="preserve"> a quien en lo sucesivo se le identificará como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en contra de la respuesta de la </w:t>
      </w:r>
      <w:r>
        <w:rPr>
          <w:rFonts w:ascii="Palatino Linotype" w:eastAsia="Palatino Linotype" w:hAnsi="Palatino Linotype" w:cs="Palatino Linotype"/>
          <w:b/>
          <w:bCs/>
        </w:rPr>
        <w:t xml:space="preserve">Secretaría de Desarrollo Urbano e Infraestructura, </w:t>
      </w:r>
      <w:r>
        <w:rPr>
          <w:rFonts w:ascii="Palatino Linotype" w:eastAsia="Palatino Linotype" w:hAnsi="Palatino Linotype" w:cs="Palatino Linotype"/>
        </w:rPr>
        <w:t>en adelante el</w:t>
      </w:r>
      <w:r>
        <w:rPr>
          <w:rFonts w:ascii="Palatino Linotype" w:eastAsia="Palatino Linotype" w:hAnsi="Palatino Linotype" w:cs="Palatino Linotype"/>
          <w:b/>
          <w:bCs/>
        </w:rPr>
        <w:t xml:space="preserve"> SUJETO OBLIGADO</w:t>
      </w:r>
      <w:r>
        <w:rPr>
          <w:rFonts w:ascii="Palatino Linotype" w:eastAsia="Palatino Linotype" w:hAnsi="Palatino Linotype" w:cs="Palatino Linotype"/>
        </w:rPr>
        <w:t>, se procede a dictar la presente Resolución, con base en los siguientes:</w:t>
      </w:r>
    </w:p>
    <w:p w:rsidR="00A96018" w:rsidRDefault="00A96018">
      <w:pPr>
        <w:spacing w:line="360" w:lineRule="auto"/>
        <w:ind w:right="-989"/>
        <w:jc w:val="both"/>
        <w:rPr>
          <w:rFonts w:ascii="Palatino Linotype" w:eastAsia="Palatino Linotype" w:hAnsi="Palatino Linotype" w:cs="Palatino Linotype"/>
        </w:rPr>
      </w:pPr>
    </w:p>
    <w:p w:rsidR="00A96018" w:rsidRDefault="00D02C3C">
      <w:pPr>
        <w:pStyle w:val="Ttulo1"/>
        <w:spacing w:before="0" w:line="360" w:lineRule="auto"/>
        <w:ind w:right="-989"/>
        <w:jc w:val="center"/>
        <w:rPr>
          <w:rFonts w:ascii="Palatino Linotype" w:eastAsia="Palatino Linotype" w:hAnsi="Palatino Linotype" w:cs="Palatino Linotype"/>
          <w:b/>
          <w:bCs/>
          <w:color w:val="000000"/>
          <w:sz w:val="24"/>
          <w:szCs w:val="24"/>
        </w:rPr>
      </w:pPr>
      <w:bookmarkStart w:id="0" w:name="_heading=h.hiuo5cru3n1w" w:colFirst="0" w:colLast="0"/>
      <w:bookmarkEnd w:id="0"/>
      <w:r>
        <w:rPr>
          <w:rFonts w:ascii="Palatino Linotype" w:eastAsia="Palatino Linotype" w:hAnsi="Palatino Linotype" w:cs="Palatino Linotype"/>
          <w:b/>
          <w:bCs/>
          <w:color w:val="000000"/>
          <w:sz w:val="24"/>
          <w:szCs w:val="24"/>
        </w:rPr>
        <w:t>A N T E C E D E N T E S</w:t>
      </w:r>
    </w:p>
    <w:p w:rsidR="00A96018" w:rsidRDefault="00A96018">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A96018" w:rsidRDefault="00D02C3C">
      <w:pPr>
        <w:numPr>
          <w:ilvl w:val="0"/>
          <w:numId w:val="3"/>
        </w:numPr>
        <w:pBdr>
          <w:top w:val="nil"/>
          <w:left w:val="nil"/>
          <w:bottom w:val="nil"/>
          <w:right w:val="nil"/>
          <w:between w:val="nil"/>
        </w:pBdr>
        <w:spacing w:line="360" w:lineRule="auto"/>
        <w:ind w:left="0" w:right="-989" w:firstLine="0"/>
        <w:jc w:val="both"/>
        <w:rPr>
          <w:color w:val="000000"/>
        </w:rPr>
      </w:pPr>
      <w:r>
        <w:rPr>
          <w:rFonts w:ascii="Palatino Linotype" w:eastAsia="Palatino Linotype" w:hAnsi="Palatino Linotype" w:cs="Palatino Linotype"/>
          <w:color w:val="000000"/>
        </w:rPr>
        <w:t xml:space="preserve">El día </w:t>
      </w:r>
      <w:r>
        <w:rPr>
          <w:rFonts w:ascii="Palatino Linotype" w:eastAsia="Palatino Linotype" w:hAnsi="Palatino Linotype" w:cs="Palatino Linotype"/>
          <w:b/>
          <w:bCs/>
          <w:color w:val="000000"/>
        </w:rPr>
        <w:t xml:space="preserve">dos de octubre dos mil veinticinco, </w:t>
      </w:r>
      <w:r>
        <w:rPr>
          <w:rFonts w:ascii="Palatino Linotype" w:eastAsia="Palatino Linotype" w:hAnsi="Palatino Linotype" w:cs="Palatino Linotype"/>
          <w:color w:val="000000"/>
        </w:rPr>
        <w:t xml:space="preserve">se presentó ante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vía Sistema de Acceso a la Información Mexiquense (SAIMEX), la Solicitud de Información Pública registrada con el número</w:t>
      </w:r>
      <w:r>
        <w:rPr>
          <w:rFonts w:ascii="Palatino Linotype" w:eastAsia="Palatino Linotype" w:hAnsi="Palatino Linotype" w:cs="Palatino Linotype"/>
          <w:b/>
          <w:bCs/>
          <w:color w:val="000000"/>
        </w:rPr>
        <w:t xml:space="preserve"> 00374/SEDUI/IP/2025; </w:t>
      </w:r>
      <w:r>
        <w:rPr>
          <w:rFonts w:ascii="Palatino Linotype" w:eastAsia="Palatino Linotype" w:hAnsi="Palatino Linotype" w:cs="Palatino Linotype"/>
        </w:rPr>
        <w:t xml:space="preserve">en la que </w:t>
      </w:r>
      <w:r>
        <w:rPr>
          <w:rFonts w:ascii="Palatino Linotype" w:eastAsia="Palatino Linotype" w:hAnsi="Palatino Linotype" w:cs="Palatino Linotype"/>
          <w:color w:val="000000"/>
        </w:rPr>
        <w:t>se solicitó la siguiente información:</w:t>
      </w:r>
    </w:p>
    <w:p w:rsidR="00A96018" w:rsidRDefault="00A96018">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A96018" w:rsidRDefault="00D02C3C">
      <w:pPr>
        <w:pBdr>
          <w:top w:val="nil"/>
          <w:left w:val="nil"/>
          <w:bottom w:val="nil"/>
          <w:right w:val="nil"/>
          <w:between w:val="nil"/>
        </w:pBdr>
        <w:spacing w:line="360" w:lineRule="auto"/>
        <w:ind w:left="426"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“solicito copia c</w:t>
      </w:r>
      <w:bookmarkStart w:id="1" w:name="_GoBack"/>
      <w:bookmarkEnd w:id="1"/>
      <w:r>
        <w:rPr>
          <w:rFonts w:ascii="Palatino Linotype" w:eastAsia="Palatino Linotype" w:hAnsi="Palatino Linotype" w:cs="Palatino Linotype"/>
          <w:i/>
          <w:iCs/>
          <w:color w:val="000000"/>
        </w:rPr>
        <w:t xml:space="preserve">ertificada del documento en el que conste lo siguiente: 1. LAS COORDENADAS GEOGRAFICAS DEL INMUEBLE EN EL QUE SE AUTORIZÓ EL CONDOMINIO vertical de tipo habitacional medio denominado como “PUERTA DE ACANTO” para el desarrollo de 110 viviendas en el lote 1 de la manzana 7, resultante de la Relotificación parcial que se autoriza en el punto de acuerdo anterior; del Conjunto Urbano denominado “EL RISCO”, ubicado en el Municipio de Atizapán de Zaragoza, Estado de México. 2. LAS MEDIDAS Y COLINDANCIAS </w:t>
      </w:r>
      <w:r>
        <w:rPr>
          <w:rFonts w:ascii="Palatino Linotype" w:eastAsia="Palatino Linotype" w:hAnsi="Palatino Linotype" w:cs="Palatino Linotype"/>
          <w:i/>
          <w:iCs/>
          <w:color w:val="000000"/>
        </w:rPr>
        <w:lastRenderedPageBreak/>
        <w:t>DEL INMUEBLE EN EL QUE SE AUTORIZÓ EL CONDOMINIO vertical de tipo habitacional medio denominado como “PUERTA DE ACANTO” para el desarrollo de 110 viviendas en el lote 1 de la manzana 7, resultante de la Relotificación parcial que se autoriza en el punto de acuerdo anterior; del Conjunto Urbano denominado “EL RISCO”, ubicado en el Municipio de Atizapán de Zaragoza, Estado de México. No omito señalar que la autorización del condominio fue realizada por la titular de la DIRECCIÓN GENERAL DE OPERACIÓN Y CONTROL URBANO DEPENDIENTE DE LA SECRETARÍA DE DESARROLLO URBANO E INFRAESTRUCTURA DEL GOBIERNO DEL ESTADO DE MÉXICO”</w:t>
      </w:r>
    </w:p>
    <w:p w:rsidR="00A96018" w:rsidRDefault="00A96018">
      <w:pPr>
        <w:pBdr>
          <w:top w:val="nil"/>
          <w:left w:val="nil"/>
          <w:bottom w:val="nil"/>
          <w:right w:val="nil"/>
          <w:between w:val="nil"/>
        </w:pBdr>
        <w:spacing w:line="360" w:lineRule="auto"/>
        <w:ind w:left="426" w:right="-989"/>
        <w:jc w:val="both"/>
        <w:rPr>
          <w:rFonts w:ascii="Palatino Linotype" w:eastAsia="Palatino Linotype" w:hAnsi="Palatino Linotype" w:cs="Palatino Linotype"/>
          <w:i/>
          <w:iCs/>
          <w:color w:val="000000"/>
        </w:rPr>
      </w:pPr>
    </w:p>
    <w:p w:rsidR="00A96018" w:rsidRDefault="00D02C3C">
      <w:pPr>
        <w:numPr>
          <w:ilvl w:val="0"/>
          <w:numId w:val="6"/>
        </w:numPr>
        <w:pBdr>
          <w:top w:val="nil"/>
          <w:left w:val="nil"/>
          <w:bottom w:val="nil"/>
          <w:right w:val="nil"/>
          <w:between w:val="nil"/>
        </w:pBdr>
        <w:spacing w:line="360" w:lineRule="auto"/>
        <w:ind w:left="709" w:right="-989" w:hanging="284"/>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Modalidad de entrega de la información: Copias certificadas con costo</w:t>
      </w:r>
    </w:p>
    <w:p w:rsidR="00A96018" w:rsidRDefault="00A96018">
      <w:pPr>
        <w:pBdr>
          <w:top w:val="nil"/>
          <w:left w:val="nil"/>
          <w:bottom w:val="nil"/>
          <w:right w:val="nil"/>
          <w:between w:val="nil"/>
        </w:pBdr>
        <w:spacing w:line="360" w:lineRule="auto"/>
        <w:ind w:left="709" w:right="-989"/>
        <w:jc w:val="both"/>
        <w:rPr>
          <w:rFonts w:ascii="Palatino Linotype" w:eastAsia="Palatino Linotype" w:hAnsi="Palatino Linotype" w:cs="Palatino Linotype"/>
          <w:color w:val="000000"/>
        </w:rPr>
      </w:pPr>
    </w:p>
    <w:p w:rsidR="00A96018" w:rsidRDefault="00D02C3C">
      <w:pPr>
        <w:numPr>
          <w:ilvl w:val="0"/>
          <w:numId w:val="3"/>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nueve de octubre de dos mil veinticinco,</w:t>
      </w:r>
      <w:r>
        <w:rPr>
          <w:rFonts w:ascii="Palatino Linotype" w:eastAsia="Palatino Linotype" w:hAnsi="Palatino Linotype" w:cs="Palatino Linotype"/>
          <w:color w:val="000000"/>
        </w:rPr>
        <w:t xml:space="preserv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dio respuesta a través de tres archivos electrónicos, a saber:</w:t>
      </w:r>
    </w:p>
    <w:p w:rsidR="00A96018" w:rsidRDefault="00D02C3C">
      <w:pPr>
        <w:spacing w:line="360" w:lineRule="auto"/>
        <w:ind w:right="-989"/>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R.DGOyCU. 374-2025.pdf</w:t>
      </w:r>
    </w:p>
    <w:p w:rsidR="00A96018" w:rsidRDefault="00D02C3C">
      <w:pPr>
        <w:spacing w:line="360" w:lineRule="auto"/>
        <w:ind w:right="-989"/>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 DGPU. 374-2025.pdf</w:t>
      </w:r>
    </w:p>
    <w:p w:rsidR="00A96018" w:rsidRDefault="00D02C3C">
      <w:pPr>
        <w:spacing w:line="360" w:lineRule="auto"/>
        <w:ind w:right="-989"/>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UT 374-2025.pdf</w:t>
      </w:r>
    </w:p>
    <w:p w:rsidR="00A96018" w:rsidRDefault="00A96018">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A96018" w:rsidRDefault="00D02C3C">
      <w:pPr>
        <w:numPr>
          <w:ilvl w:val="0"/>
          <w:numId w:val="3"/>
        </w:numPr>
        <w:pBdr>
          <w:top w:val="nil"/>
          <w:left w:val="nil"/>
          <w:bottom w:val="nil"/>
          <w:right w:val="nil"/>
          <w:between w:val="nil"/>
        </w:pBdr>
        <w:spacing w:line="360" w:lineRule="auto"/>
        <w:ind w:left="0" w:right="-989" w:firstLine="0"/>
        <w:jc w:val="both"/>
        <w:rPr>
          <w:color w:val="000000"/>
        </w:rPr>
      </w:pPr>
      <w:r>
        <w:rPr>
          <w:rFonts w:ascii="Palatino Linotype" w:eastAsia="Palatino Linotype" w:hAnsi="Palatino Linotype" w:cs="Palatino Linotype"/>
          <w:color w:val="000000"/>
        </w:rPr>
        <w:t xml:space="preserve">Cuyo contenido corresponden, a un oficio signado por la Directora General de Operación y Control Urbano, a través del cual informa que de una búsqueda exhaustiva y razonada en los archivos de la Dirección Técnica para Autorizaciones Urbanas, respecto de las colindancias y coordenadas UTM, no son un requisito para autorización de un condominio, al tiempo que le sugiere que para el caso de requerir los planos, acuda a la Unidad del Sistema Estatal de Información del Desarrollo Urbano; oficio suscrito por el </w:t>
      </w:r>
      <w:r>
        <w:rPr>
          <w:rFonts w:ascii="Palatino Linotype" w:eastAsia="Palatino Linotype" w:hAnsi="Palatino Linotype" w:cs="Palatino Linotype"/>
          <w:color w:val="000000"/>
        </w:rPr>
        <w:lastRenderedPageBreak/>
        <w:t>Director General de Planeación Urbana, a través del cual se refieren los costos de certificación de los planos que obran en sus archivos; oficio signado por el Titular de la Unidad de Transparencia, por medio del cual informa de la respuesta emitida por los servidores públicos habilitados.</w:t>
      </w:r>
    </w:p>
    <w:p w:rsidR="00A96018" w:rsidRDefault="00A96018">
      <w:p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p>
    <w:p w:rsidR="00A96018" w:rsidRDefault="00D02C3C">
      <w:pPr>
        <w:numPr>
          <w:ilvl w:val="0"/>
          <w:numId w:val="3"/>
        </w:numPr>
        <w:pBdr>
          <w:top w:val="nil"/>
          <w:left w:val="nil"/>
          <w:bottom w:val="nil"/>
          <w:right w:val="nil"/>
          <w:between w:val="nil"/>
        </w:pBdr>
        <w:spacing w:line="360" w:lineRule="auto"/>
        <w:ind w:left="0" w:right="-989" w:firstLine="0"/>
        <w:jc w:val="both"/>
        <w:rPr>
          <w:color w:val="000000"/>
        </w:rPr>
      </w:pPr>
      <w:r>
        <w:rPr>
          <w:rFonts w:ascii="Palatino Linotype" w:eastAsia="Palatino Linotype" w:hAnsi="Palatino Linotype" w:cs="Palatino Linotype"/>
          <w:color w:val="000000"/>
        </w:rPr>
        <w:t>Inconforme con la respuesta emitida, el</w:t>
      </w:r>
      <w:r>
        <w:rPr>
          <w:rFonts w:ascii="Palatino Linotype" w:eastAsia="Palatino Linotype" w:hAnsi="Palatino Linotype" w:cs="Palatino Linotype"/>
          <w:b/>
          <w:bCs/>
          <w:color w:val="000000"/>
        </w:rPr>
        <w:t xml:space="preserve"> veintiséis de octubre de dos mil veinticinco</w:t>
      </w:r>
      <w:r>
        <w:rPr>
          <w:rFonts w:ascii="Palatino Linotype" w:eastAsia="Palatino Linotype" w:hAnsi="Palatino Linotype" w:cs="Palatino Linotype"/>
          <w:color w:val="000000"/>
        </w:rPr>
        <w:t xml:space="preserve">, la parte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interpuso su Recurso de Revisión, señalando como acto impugnado y razones o motivos de inconformidad, lo siguiente:</w:t>
      </w:r>
    </w:p>
    <w:p w:rsidR="00A96018" w:rsidRDefault="00A96018">
      <w:pPr>
        <w:pBdr>
          <w:top w:val="nil"/>
          <w:left w:val="nil"/>
          <w:bottom w:val="nil"/>
          <w:right w:val="nil"/>
          <w:between w:val="nil"/>
        </w:pBdr>
        <w:spacing w:line="360" w:lineRule="auto"/>
        <w:ind w:right="-989"/>
        <w:jc w:val="both"/>
        <w:rPr>
          <w:rFonts w:ascii="Palatino Linotype" w:eastAsia="Palatino Linotype" w:hAnsi="Palatino Linotype" w:cs="Palatino Linotype"/>
          <w:i/>
          <w:iCs/>
          <w:color w:val="000000"/>
        </w:rPr>
      </w:pPr>
    </w:p>
    <w:p w:rsidR="00A96018" w:rsidRDefault="00D02C3C">
      <w:pPr>
        <w:numPr>
          <w:ilvl w:val="0"/>
          <w:numId w:val="2"/>
        </w:num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bookmarkStart w:id="2" w:name="_heading=h.7ykosb8yr7my" w:colFirst="0" w:colLast="0"/>
      <w:bookmarkEnd w:id="2"/>
      <w:r>
        <w:rPr>
          <w:rFonts w:ascii="Palatino Linotype" w:eastAsia="Palatino Linotype" w:hAnsi="Palatino Linotype" w:cs="Palatino Linotype"/>
          <w:b/>
          <w:bCs/>
          <w:color w:val="000000"/>
        </w:rPr>
        <w:t xml:space="preserve">ACTO IMPUGNADO: </w:t>
      </w:r>
    </w:p>
    <w:p w:rsidR="00A96018" w:rsidRDefault="00D02C3C">
      <w:pPr>
        <w:pBdr>
          <w:top w:val="nil"/>
          <w:left w:val="nil"/>
          <w:bottom w:val="nil"/>
          <w:right w:val="nil"/>
          <w:between w:val="nil"/>
        </w:pBdr>
        <w:spacing w:line="360" w:lineRule="auto"/>
        <w:ind w:left="426"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 NEGATIVA DE LA INFORMACIÓN SOLICITADA.”</w:t>
      </w:r>
    </w:p>
    <w:p w:rsidR="00A96018" w:rsidRDefault="00A96018">
      <w:pPr>
        <w:pBdr>
          <w:top w:val="nil"/>
          <w:left w:val="nil"/>
          <w:bottom w:val="nil"/>
          <w:right w:val="nil"/>
          <w:between w:val="nil"/>
        </w:pBdr>
        <w:spacing w:line="360" w:lineRule="auto"/>
        <w:ind w:left="426" w:right="-989"/>
        <w:jc w:val="both"/>
        <w:rPr>
          <w:rFonts w:ascii="Palatino Linotype" w:eastAsia="Palatino Linotype" w:hAnsi="Palatino Linotype" w:cs="Palatino Linotype"/>
          <w:i/>
          <w:iCs/>
          <w:color w:val="000000"/>
        </w:rPr>
      </w:pPr>
    </w:p>
    <w:p w:rsidR="00A96018" w:rsidRDefault="00D02C3C">
      <w:pPr>
        <w:numPr>
          <w:ilvl w:val="0"/>
          <w:numId w:val="1"/>
        </w:num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RAZONES O MOTIVOS DE LA INCONFORMIDAD</w:t>
      </w:r>
      <w:r>
        <w:rPr>
          <w:rFonts w:ascii="Palatino Linotype" w:eastAsia="Palatino Linotype" w:hAnsi="Palatino Linotype" w:cs="Palatino Linotype"/>
          <w:b/>
          <w:bCs/>
          <w:color w:val="000000"/>
        </w:rPr>
        <w:tab/>
      </w:r>
    </w:p>
    <w:p w:rsidR="00A96018" w:rsidRDefault="00D02C3C">
      <w:pPr>
        <w:pBdr>
          <w:top w:val="nil"/>
          <w:left w:val="nil"/>
          <w:bottom w:val="nil"/>
          <w:right w:val="nil"/>
          <w:between w:val="nil"/>
        </w:pBdr>
        <w:spacing w:line="360" w:lineRule="auto"/>
        <w:ind w:left="426"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“EL SUJETO OBLIGADO SEÑALA QUE: "Lo anterior, en relación con el artículo 13 del Reglamento Interior de la Secretaría de Desarrollo Urbano Infraestructura que establece las atribuciones de esta Dirección General de Operación y Control Urbano, por lo que, al haber realizado una búsqueda exhaustiva y razonada en los archivos de la Dirección Técnica para Autorizaciones Urbanas, dependiente de esta Dirección General, me permito informar que, las colindancias y coordenadas UTM no son requisito para la autorización del condominio, de acuerdo con lo establecido en el artículo 113 del Reglamento del libro Quinto del Código Administrativo del Estado de México, el cual menciona:" POSTERIORMENTE, SEÑALA QUE: "Ahora bien, en caso de requerir copia de los planos, se le sugiere al interesado acudir a la Unidad del Sistema Estatal de Información del Desarrollo Urbano, sita en Av. Miguel Hidalgo Poniente No. 203, </w:t>
      </w:r>
      <w:r>
        <w:rPr>
          <w:rFonts w:ascii="Palatino Linotype" w:eastAsia="Palatino Linotype" w:hAnsi="Palatino Linotype" w:cs="Palatino Linotype"/>
          <w:i/>
          <w:iCs/>
          <w:color w:val="000000"/>
        </w:rPr>
        <w:lastRenderedPageBreak/>
        <w:t>Segundo Piso, Colonia Centro, C.P. 50000, Toluca, Estado de México, Tel. (722) 214 62 18 y (722) 214 77 71; donde podrá solicitar el expediente, así como copias de los planos, toda vez que dentro de sus atribuciones se encuentra eladministrar el Archivo Estatal de Planes de Desarrollo Urbano y el Archivo de División del Suelo, tal como lo establece el Manual General de Organización de la Secretaría de Desarrollo Urbano e Infraestructura." ES DECIR, PRIMERO DICE QUE LA INFORMACIÓN NO ES UN REQUISITO, PERO DESPUÉS HACE UNA MANIFESTACIÓN DE LA EXISTENCIA DE LA INFORMACIÓN AL SEÑALAR QUE LOS PLANOS SE ENCUENTRAN ANTE DICHA DEPENDENCIA PERO EN UN DEPARTAMENTO DIFERENTE. AHORA BIEN, ES PRECISO SEÑALAR QUE EL ARTÍCULO 113 DEL REGLAMENTO DEL LIBRO QUINTO DEL CÓDIGO ADMINISTRATIVO DEL ESTADO DE MÉXICO, SEÑALA LA INFORMACIÓN SOLICITADA SÍ ES UN REQUISITO PARA LA AUTORIZACIÓN DEL CONDOMINIO, A SABER: "Artículo 113. El procedimiento de autorización de condominios horizontales, verticales y mixtos, se sujetará a lo siguiente: B) Original o copia certificada de los documentos siguientes: (..) 10.5. Croquis de localización regional y local;" ES DECIR, QUE LA INFORMACIÓN DEBE EXISTIR DE FORMA INELUDIBLE YA QUE EL CONJUNTO URBANO denominado "EL RISCO" ubicado en el Municipio de Atizapán de Zaragoza, Estado de México publicado en el Periódico Oficial “Gaceta del Gobierno” del Estado de México el 21 de febrero de 2014 ; NO PREVÉ LA EXISTENCIA DEL CITADO CONDOMINIO, POR LO QUE ERA UN REQUISITO INELUDIBLE.”</w:t>
      </w:r>
    </w:p>
    <w:p w:rsidR="00A96018" w:rsidRDefault="00A96018">
      <w:pPr>
        <w:pBdr>
          <w:top w:val="nil"/>
          <w:left w:val="nil"/>
          <w:bottom w:val="nil"/>
          <w:right w:val="nil"/>
          <w:between w:val="nil"/>
        </w:pBdr>
        <w:spacing w:line="360" w:lineRule="auto"/>
        <w:ind w:left="426" w:right="-989"/>
        <w:jc w:val="both"/>
        <w:rPr>
          <w:rFonts w:ascii="Palatino Linotype" w:eastAsia="Palatino Linotype" w:hAnsi="Palatino Linotype" w:cs="Palatino Linotype"/>
          <w:i/>
          <w:iCs/>
          <w:color w:val="000000"/>
        </w:rPr>
      </w:pPr>
    </w:p>
    <w:p w:rsidR="00A96018" w:rsidRDefault="00D02C3C">
      <w:pPr>
        <w:numPr>
          <w:ilvl w:val="0"/>
          <w:numId w:val="3"/>
        </w:numPr>
        <w:pBdr>
          <w:top w:val="nil"/>
          <w:left w:val="nil"/>
          <w:bottom w:val="nil"/>
          <w:right w:val="nil"/>
          <w:between w:val="nil"/>
        </w:pBdr>
        <w:spacing w:line="360" w:lineRule="auto"/>
        <w:ind w:left="0" w:right="-989" w:firstLine="0"/>
        <w:jc w:val="both"/>
        <w:rPr>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acuerdo de admisión de fecha </w:t>
      </w:r>
      <w:r>
        <w:rPr>
          <w:rFonts w:ascii="Palatino Linotype" w:eastAsia="Palatino Linotype" w:hAnsi="Palatino Linotype" w:cs="Palatino Linotype"/>
          <w:b/>
          <w:bCs/>
          <w:color w:val="000000"/>
        </w:rPr>
        <w:t xml:space="preserve">veintiocho de octubre </w:t>
      </w:r>
      <w:r>
        <w:rPr>
          <w:rFonts w:ascii="Palatino Linotype" w:eastAsia="Palatino Linotype" w:hAnsi="Palatino Linotype" w:cs="Palatino Linotype"/>
          <w:b/>
          <w:bCs/>
          <w:color w:val="000000"/>
        </w:rPr>
        <w:lastRenderedPageBreak/>
        <w:t>dos mil veinticinco</w:t>
      </w:r>
      <w:r>
        <w:rPr>
          <w:rFonts w:ascii="Palatino Linotype" w:eastAsia="Palatino Linotype" w:hAnsi="Palatino Linotype" w:cs="Palatino Linotype"/>
          <w:color w:val="000000"/>
        </w:rPr>
        <w:t xml:space="preserve">, puso a disposición de las partes el expediente electrónico vía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 xml:space="preserve">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 los casos concretos, y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presentará el Informe Justificado procedente.</w:t>
      </w:r>
    </w:p>
    <w:p w:rsidR="00A96018" w:rsidRDefault="00A96018">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A96018" w:rsidRDefault="00D02C3C">
      <w:pPr>
        <w:numPr>
          <w:ilvl w:val="0"/>
          <w:numId w:val="3"/>
        </w:numPr>
        <w:pBdr>
          <w:top w:val="nil"/>
          <w:left w:val="nil"/>
          <w:bottom w:val="nil"/>
          <w:right w:val="nil"/>
          <w:between w:val="nil"/>
        </w:pBdr>
        <w:spacing w:line="360" w:lineRule="auto"/>
        <w:ind w:left="0" w:right="-989" w:firstLine="0"/>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en fecha seis de noviembre de dos mil veinticinco rindió informe justificado por medio de a través de ocho archivos, de los que destacan un Plano de lotificación correspondiente a la autorización del Condominio Vertical de tipo Habitacional Medio denominado "Puerta de Acanto", destinado al desarrollo de 110 viviendas en el Lote I de la Manzana 7, resultante en la relotificación del Conjunto Urbano denominado "El Risco"; un plano correspondiente a la relotificación Parcial del Condominio vertical de tipo Habitacional Medio denominado como "PUERTA DE ACANTO" para el desarrollo de 110 viviendas en el lote I de la manzana 7, del Conjunto Urbano denominado "El Risco"; asimismo se manifiesta en el informe justificado que se confirma la respuesta inicial, al no haberse negado la información al indicarse en el lapso de 5 días hábiles la fuente, la forma y el lugar en que puede el solicitante tener acceso a la información ajustando su </w:t>
      </w:r>
      <w:r>
        <w:rPr>
          <w:rFonts w:ascii="Palatino Linotype" w:eastAsia="Palatino Linotype" w:hAnsi="Palatino Linotype" w:cs="Palatino Linotype"/>
        </w:rPr>
        <w:t>actuar en</w:t>
      </w:r>
      <w:r>
        <w:rPr>
          <w:rFonts w:ascii="Palatino Linotype" w:eastAsia="Palatino Linotype" w:hAnsi="Palatino Linotype" w:cs="Palatino Linotype"/>
          <w:color w:val="000000"/>
        </w:rPr>
        <w:t xml:space="preserve"> el supuesto menos restrictivo contenido en el artículo 161 de la Ley de la Materia. Por su parte 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fue omiso en realizar manifestaciones que a su derecho conviniera y asistiera.</w:t>
      </w:r>
    </w:p>
    <w:p w:rsidR="00A96018" w:rsidRDefault="00A96018">
      <w:pPr>
        <w:pBdr>
          <w:top w:val="nil"/>
          <w:left w:val="nil"/>
          <w:bottom w:val="nil"/>
          <w:right w:val="nil"/>
          <w:between w:val="nil"/>
        </w:pBdr>
        <w:spacing w:line="360" w:lineRule="auto"/>
        <w:ind w:left="720" w:right="-989"/>
        <w:rPr>
          <w:rFonts w:ascii="Palatino Linotype" w:eastAsia="Palatino Linotype" w:hAnsi="Palatino Linotype" w:cs="Palatino Linotype"/>
          <w:color w:val="000000"/>
        </w:rPr>
      </w:pPr>
    </w:p>
    <w:p w:rsidR="00A96018" w:rsidRDefault="00D02C3C">
      <w:pPr>
        <w:numPr>
          <w:ilvl w:val="0"/>
          <w:numId w:val="3"/>
        </w:numPr>
        <w:pBdr>
          <w:top w:val="nil"/>
          <w:left w:val="nil"/>
          <w:bottom w:val="nil"/>
          <w:right w:val="nil"/>
          <w:between w:val="nil"/>
        </w:pBdr>
        <w:spacing w:line="360" w:lineRule="auto"/>
        <w:ind w:left="0" w:right="-989" w:firstLine="0"/>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veintisiete de mayo de dos mil veintiséis</w:t>
      </w:r>
      <w:r>
        <w:rPr>
          <w:rFonts w:ascii="Palatino Linotype" w:eastAsia="Palatino Linotype" w:hAnsi="Palatino Linotype" w:cs="Palatino Linotype"/>
          <w:color w:val="000000"/>
        </w:rPr>
        <w:t>, con fundamento en el artículo 181, tercer párrafo, de la Ley de Transparencia y Acceso a la Información Pública del Estado de México y Municipios se notificó que el plazo de treinta días para resolver el Recurso de Revisión sería ampliado por un periodo de quince días hábiles adicionales.</w:t>
      </w:r>
    </w:p>
    <w:p w:rsidR="00A96018" w:rsidRDefault="00D02C3C">
      <w:pPr>
        <w:numPr>
          <w:ilvl w:val="0"/>
          <w:numId w:val="3"/>
        </w:numPr>
        <w:pBdr>
          <w:top w:val="nil"/>
          <w:left w:val="nil"/>
          <w:bottom w:val="nil"/>
          <w:right w:val="nil"/>
          <w:between w:val="nil"/>
        </w:pBdr>
        <w:spacing w:line="360" w:lineRule="auto"/>
        <w:ind w:left="0" w:right="-989" w:firstLine="0"/>
        <w:jc w:val="both"/>
        <w:rPr>
          <w:color w:val="000000"/>
        </w:rPr>
      </w:pPr>
      <w:r>
        <w:rPr>
          <w:rFonts w:ascii="Palatino Linotype" w:eastAsia="Palatino Linotype" w:hAnsi="Palatino Linotype" w:cs="Palatino Linotype"/>
          <w:color w:val="000000"/>
        </w:rPr>
        <w:lastRenderedPageBreak/>
        <w:t>Este Organismo Garante no pasa por alto explicar que la dilación en la resolución del presente asunto encuentra su justificación en que, el alto número de recursos de revisión recibidos ha incrementado el número de medios de impugnación que deben resolverse por este instituto, circunstancia atípica que ha rebasado las capacidades técnicas y humanas del personal encargado de la elaboración de resoluciones a dichos medios de impugnación.</w:t>
      </w:r>
    </w:p>
    <w:p w:rsidR="00A96018" w:rsidRDefault="00A96018">
      <w:pPr>
        <w:pBdr>
          <w:top w:val="nil"/>
          <w:left w:val="nil"/>
          <w:bottom w:val="nil"/>
          <w:right w:val="nil"/>
          <w:between w:val="nil"/>
        </w:pBdr>
        <w:spacing w:line="360" w:lineRule="auto"/>
        <w:ind w:left="720" w:right="-989"/>
        <w:rPr>
          <w:rFonts w:ascii="Palatino Linotype" w:eastAsia="Palatino Linotype" w:hAnsi="Palatino Linotype" w:cs="Palatino Linotype"/>
          <w:color w:val="000000"/>
        </w:rPr>
      </w:pPr>
    </w:p>
    <w:p w:rsidR="00A96018" w:rsidRDefault="00D02C3C">
      <w:pPr>
        <w:numPr>
          <w:ilvl w:val="0"/>
          <w:numId w:val="3"/>
        </w:numPr>
        <w:pBdr>
          <w:top w:val="nil"/>
          <w:left w:val="nil"/>
          <w:bottom w:val="nil"/>
          <w:right w:val="nil"/>
          <w:between w:val="nil"/>
        </w:pBdr>
        <w:spacing w:line="360" w:lineRule="auto"/>
        <w:ind w:left="0" w:right="-989" w:firstLine="0"/>
        <w:jc w:val="both"/>
        <w:rPr>
          <w:color w:val="000000"/>
        </w:rPr>
      </w:pPr>
      <w:r>
        <w:rPr>
          <w:rFonts w:ascii="Palatino Linotype" w:eastAsia="Palatino Linotype" w:hAnsi="Palatino Linotype" w:cs="Palatino Linotype"/>
          <w:color w:val="000000"/>
        </w:rPr>
        <w:t xml:space="preserve">Seguidamente al no existir pendientes o diligencia por desahogar, mediante Acuerdo de misma fecha se decretó el cierre de instrucción, por lo que: </w:t>
      </w:r>
    </w:p>
    <w:p w:rsidR="00A96018" w:rsidRDefault="00A96018">
      <w:pPr>
        <w:pBdr>
          <w:top w:val="nil"/>
          <w:left w:val="nil"/>
          <w:bottom w:val="nil"/>
          <w:right w:val="nil"/>
          <w:between w:val="nil"/>
        </w:pBdr>
        <w:spacing w:line="360" w:lineRule="auto"/>
        <w:ind w:left="720" w:right="-989"/>
        <w:rPr>
          <w:rFonts w:ascii="Palatino Linotype" w:eastAsia="Palatino Linotype" w:hAnsi="Palatino Linotype" w:cs="Palatino Linotype"/>
          <w:color w:val="000000"/>
        </w:rPr>
      </w:pPr>
    </w:p>
    <w:p w:rsidR="00A96018" w:rsidRDefault="00D02C3C">
      <w:pPr>
        <w:pStyle w:val="Ttulo1"/>
        <w:spacing w:before="0" w:line="360" w:lineRule="auto"/>
        <w:ind w:right="-989"/>
        <w:jc w:val="center"/>
        <w:rPr>
          <w:rFonts w:ascii="Palatino Linotype" w:eastAsia="Palatino Linotype" w:hAnsi="Palatino Linotype" w:cs="Palatino Linotype"/>
          <w:b/>
          <w:bCs/>
          <w:color w:val="000000"/>
          <w:sz w:val="24"/>
          <w:szCs w:val="24"/>
        </w:rPr>
      </w:pPr>
      <w:bookmarkStart w:id="3" w:name="_heading=h.frqvoha8aw44" w:colFirst="0" w:colLast="0"/>
      <w:bookmarkEnd w:id="3"/>
      <w:r>
        <w:rPr>
          <w:rFonts w:ascii="Palatino Linotype" w:eastAsia="Palatino Linotype" w:hAnsi="Palatino Linotype" w:cs="Palatino Linotype"/>
          <w:b/>
          <w:bCs/>
          <w:color w:val="000000"/>
          <w:sz w:val="24"/>
          <w:szCs w:val="24"/>
        </w:rPr>
        <w:t>C O N S I D E R A N D O</w:t>
      </w:r>
    </w:p>
    <w:p w:rsidR="00A96018" w:rsidRDefault="00A96018">
      <w:pPr>
        <w:pStyle w:val="Ttulo2"/>
        <w:spacing w:before="0" w:line="360" w:lineRule="auto"/>
        <w:ind w:right="-989"/>
        <w:rPr>
          <w:rFonts w:ascii="Palatino Linotype" w:eastAsia="Palatino Linotype" w:hAnsi="Palatino Linotype" w:cs="Palatino Linotype"/>
          <w:b/>
          <w:bCs/>
          <w:color w:val="000000"/>
          <w:sz w:val="24"/>
          <w:szCs w:val="24"/>
        </w:rPr>
      </w:pPr>
      <w:bookmarkStart w:id="4" w:name="_heading=h.9674ppp8m27s" w:colFirst="0" w:colLast="0"/>
      <w:bookmarkEnd w:id="4"/>
    </w:p>
    <w:p w:rsidR="00A96018" w:rsidRDefault="00D02C3C">
      <w:pPr>
        <w:pStyle w:val="Ttulo2"/>
        <w:spacing w:before="0" w:line="360" w:lineRule="auto"/>
        <w:ind w:right="-989"/>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PRIMERO. De la competencia</w:t>
      </w:r>
    </w:p>
    <w:p w:rsidR="00A96018" w:rsidRDefault="00D02C3C">
      <w:pPr>
        <w:numPr>
          <w:ilvl w:val="0"/>
          <w:numId w:val="3"/>
        </w:numPr>
        <w:pBdr>
          <w:top w:val="nil"/>
          <w:left w:val="nil"/>
          <w:bottom w:val="nil"/>
          <w:right w:val="nil"/>
          <w:between w:val="nil"/>
        </w:pBdr>
        <w:spacing w:line="360" w:lineRule="auto"/>
        <w:ind w:left="0" w:right="-989" w:firstLine="0"/>
        <w:jc w:val="both"/>
        <w:rPr>
          <w:color w:val="000000"/>
        </w:rPr>
      </w:pPr>
      <w:r>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A96018" w:rsidRDefault="00A96018">
      <w:pPr>
        <w:spacing w:line="360" w:lineRule="auto"/>
        <w:ind w:right="-989"/>
        <w:jc w:val="both"/>
        <w:rPr>
          <w:rFonts w:ascii="Palatino Linotype" w:eastAsia="Palatino Linotype" w:hAnsi="Palatino Linotype" w:cs="Palatino Linotype"/>
          <w:color w:val="000000"/>
        </w:rPr>
      </w:pPr>
    </w:p>
    <w:p w:rsidR="0050759C" w:rsidRDefault="0050759C">
      <w:pPr>
        <w:spacing w:line="360" w:lineRule="auto"/>
        <w:ind w:right="-989"/>
        <w:jc w:val="both"/>
        <w:rPr>
          <w:rFonts w:ascii="Palatino Linotype" w:eastAsia="Palatino Linotype" w:hAnsi="Palatino Linotype" w:cs="Palatino Linotype"/>
          <w:color w:val="000000"/>
        </w:rPr>
      </w:pPr>
    </w:p>
    <w:p w:rsidR="00A96018" w:rsidRDefault="00D02C3C">
      <w:pPr>
        <w:spacing w:line="360" w:lineRule="auto"/>
        <w:ind w:right="-989"/>
        <w:jc w:val="both"/>
        <w:rPr>
          <w:rFonts w:ascii="Palatino Linotype" w:eastAsia="Palatino Linotype" w:hAnsi="Palatino Linotype" w:cs="Palatino Linotype"/>
          <w:b/>
          <w:bCs/>
        </w:rPr>
      </w:pPr>
      <w:bookmarkStart w:id="5" w:name="_heading=h.y6qe82p76gjz" w:colFirst="0" w:colLast="0"/>
      <w:bookmarkEnd w:id="5"/>
      <w:r>
        <w:rPr>
          <w:rFonts w:ascii="Palatino Linotype" w:eastAsia="Palatino Linotype" w:hAnsi="Palatino Linotype" w:cs="Palatino Linotype"/>
          <w:color w:val="000000"/>
        </w:rPr>
        <w:lastRenderedPageBreak/>
        <w:t xml:space="preserve"> </w:t>
      </w:r>
      <w:r>
        <w:rPr>
          <w:rFonts w:ascii="Palatino Linotype" w:eastAsia="Palatino Linotype" w:hAnsi="Palatino Linotype" w:cs="Palatino Linotype"/>
          <w:b/>
          <w:bCs/>
        </w:rPr>
        <w:t>SEGUNDO. De la oportunidad y procedencia.</w:t>
      </w:r>
    </w:p>
    <w:p w:rsidR="00A96018" w:rsidRDefault="00D02C3C">
      <w:pPr>
        <w:numPr>
          <w:ilvl w:val="0"/>
          <w:numId w:val="3"/>
        </w:numPr>
        <w:spacing w:line="360" w:lineRule="auto"/>
        <w:ind w:left="0" w:right="-989" w:firstLine="0"/>
        <w:jc w:val="both"/>
      </w:pPr>
      <w:r>
        <w:rPr>
          <w:rFonts w:ascii="Palatino Linotype" w:eastAsia="Palatino Linotype" w:hAnsi="Palatino Linotype" w:cs="Palatino Linotype"/>
        </w:rPr>
        <w:t xml:space="preserve">Este Órgano Garante considera que el medio de impugnación reúne los requisitos de procedencia </w:t>
      </w:r>
      <w:r>
        <w:rPr>
          <w:rFonts w:ascii="Palatino Linotype" w:eastAsia="Palatino Linotype" w:hAnsi="Palatino Linotype" w:cs="Palatino Linotype"/>
          <w:color w:val="000000"/>
        </w:rPr>
        <w:t xml:space="preserve">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w:t>
      </w:r>
      <w:r>
        <w:rPr>
          <w:rFonts w:ascii="Palatino Linotype" w:eastAsia="Palatino Linotype" w:hAnsi="Palatino Linotype" w:cs="Palatino Linotype"/>
          <w:b/>
          <w:bCs/>
          <w:color w:val="000000"/>
        </w:rPr>
        <w:t>LA RECURRENTE</w:t>
      </w:r>
      <w:r>
        <w:rPr>
          <w:rFonts w:ascii="Palatino Linotype" w:eastAsia="Palatino Linotype" w:hAnsi="Palatino Linotype" w:cs="Palatino Linotype"/>
          <w:color w:val="000000"/>
        </w:rPr>
        <w:t xml:space="preserve"> ante otra instancia.</w:t>
      </w:r>
    </w:p>
    <w:p w:rsidR="00A96018" w:rsidRDefault="00A96018">
      <w:pPr>
        <w:spacing w:line="360" w:lineRule="auto"/>
        <w:ind w:left="502" w:right="-989"/>
        <w:jc w:val="both"/>
        <w:rPr>
          <w:rFonts w:ascii="Palatino Linotype" w:eastAsia="Palatino Linotype" w:hAnsi="Palatino Linotype" w:cs="Palatino Linotype"/>
        </w:rPr>
      </w:pPr>
    </w:p>
    <w:p w:rsidR="00A96018" w:rsidRDefault="00D02C3C">
      <w:pPr>
        <w:numPr>
          <w:ilvl w:val="0"/>
          <w:numId w:val="3"/>
        </w:numPr>
        <w:spacing w:line="360" w:lineRule="auto"/>
        <w:ind w:left="0" w:right="-989" w:firstLine="0"/>
        <w:jc w:val="both"/>
      </w:pPr>
      <w:r>
        <w:rPr>
          <w:rFonts w:ascii="Palatino Linotype" w:eastAsia="Palatino Linotype" w:hAnsi="Palatino Linotype" w:cs="Palatino Linotype"/>
        </w:rPr>
        <w:t>Finalmente, el escrito contiene las formalidades previstas por el artículo 180 último párrafo de la citada Ley de la materia, por lo que es procedente que este Instituto conozca y resuelva el presente Recurso.</w:t>
      </w:r>
    </w:p>
    <w:p w:rsidR="00A96018" w:rsidRDefault="00A96018">
      <w:pPr>
        <w:spacing w:line="360" w:lineRule="auto"/>
        <w:ind w:right="-989"/>
        <w:jc w:val="both"/>
        <w:rPr>
          <w:rFonts w:ascii="Palatino Linotype" w:eastAsia="Palatino Linotype" w:hAnsi="Palatino Linotype" w:cs="Palatino Linotype"/>
        </w:rPr>
      </w:pPr>
    </w:p>
    <w:p w:rsidR="00A96018" w:rsidRDefault="00D02C3C">
      <w:pPr>
        <w:pStyle w:val="Ttulo2"/>
        <w:spacing w:before="0" w:line="360" w:lineRule="auto"/>
        <w:ind w:right="-989"/>
        <w:rPr>
          <w:rFonts w:ascii="Palatino Linotype" w:eastAsia="Palatino Linotype" w:hAnsi="Palatino Linotype" w:cs="Palatino Linotype"/>
          <w:b/>
          <w:bCs/>
          <w:color w:val="000000"/>
          <w:sz w:val="24"/>
          <w:szCs w:val="24"/>
        </w:rPr>
      </w:pPr>
      <w:bookmarkStart w:id="6" w:name="_heading=h.37t9o8374gpb" w:colFirst="0" w:colLast="0"/>
      <w:bookmarkEnd w:id="6"/>
      <w:r>
        <w:rPr>
          <w:rFonts w:ascii="Palatino Linotype" w:eastAsia="Palatino Linotype" w:hAnsi="Palatino Linotype" w:cs="Palatino Linotype"/>
          <w:b/>
          <w:bCs/>
          <w:color w:val="000000"/>
          <w:sz w:val="24"/>
          <w:szCs w:val="24"/>
        </w:rPr>
        <w:t>TERCERO. Del planteamiento de la</w:t>
      </w:r>
      <w:r>
        <w:rPr>
          <w:rFonts w:ascii="Palatino Linotype" w:eastAsia="Palatino Linotype" w:hAnsi="Palatino Linotype" w:cs="Palatino Linotype"/>
          <w:b/>
          <w:bCs/>
          <w:i/>
          <w:iCs/>
          <w:color w:val="000000"/>
          <w:sz w:val="24"/>
          <w:szCs w:val="24"/>
        </w:rPr>
        <w:t xml:space="preserve"> Litis</w:t>
      </w:r>
    </w:p>
    <w:p w:rsidR="00A96018" w:rsidRDefault="00D02C3C">
      <w:pPr>
        <w:numPr>
          <w:ilvl w:val="0"/>
          <w:numId w:val="3"/>
        </w:numPr>
        <w:pBdr>
          <w:top w:val="nil"/>
          <w:left w:val="nil"/>
          <w:bottom w:val="nil"/>
          <w:right w:val="nil"/>
          <w:between w:val="nil"/>
        </w:pBdr>
        <w:spacing w:line="360" w:lineRule="auto"/>
        <w:ind w:left="0" w:right="-989" w:firstLine="0"/>
        <w:jc w:val="both"/>
        <w:rPr>
          <w:color w:val="000000"/>
        </w:rPr>
      </w:pPr>
      <w:r>
        <w:rPr>
          <w:rFonts w:ascii="Palatino Linotype" w:eastAsia="Palatino Linotype" w:hAnsi="Palatino Linotype" w:cs="Palatino Linotype"/>
          <w:color w:val="000000"/>
        </w:rPr>
        <w:t>Se solicitó tener acceso, a la información que a continuación se desagrega, en copias certificadas:</w:t>
      </w:r>
    </w:p>
    <w:p w:rsidR="00A96018" w:rsidRDefault="00D02C3C">
      <w:pPr>
        <w:numPr>
          <w:ilvl w:val="0"/>
          <w:numId w:val="4"/>
        </w:num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Las coordenadas geográficas del inmueble en el que se autorizó el condominio vertical denominado como “Puerta de Acanto” para el desarrollo de 110 viviendas en el lote 1 de la manzana 7; y</w:t>
      </w:r>
    </w:p>
    <w:p w:rsidR="00A96018" w:rsidRDefault="00D02C3C">
      <w:pPr>
        <w:numPr>
          <w:ilvl w:val="0"/>
          <w:numId w:val="4"/>
        </w:num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Del Conjunto Urbano denominado “El Risco”: las medidas y colindancias del inmueble en el que se autorizó el condominio vertical denominado como “Puerta de Acanto” para el desarrollo de 110 viviendas en el lote 1 de la manzana 7.</w:t>
      </w:r>
    </w:p>
    <w:p w:rsidR="00A96018" w:rsidRDefault="00A96018">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A96018" w:rsidRDefault="00D02C3C">
      <w:pPr>
        <w:numPr>
          <w:ilvl w:val="0"/>
          <w:numId w:val="3"/>
        </w:numPr>
        <w:pBdr>
          <w:top w:val="nil"/>
          <w:left w:val="nil"/>
          <w:bottom w:val="nil"/>
          <w:right w:val="nil"/>
          <w:between w:val="nil"/>
        </w:pBdr>
        <w:spacing w:line="360" w:lineRule="auto"/>
        <w:ind w:left="0" w:right="-989" w:firstLine="0"/>
        <w:jc w:val="both"/>
        <w:rPr>
          <w:color w:val="000000"/>
        </w:rPr>
      </w:pPr>
      <w:r>
        <w:rPr>
          <w:rFonts w:ascii="Palatino Linotype" w:eastAsia="Palatino Linotype" w:hAnsi="Palatino Linotype" w:cs="Palatino Linotype"/>
          <w:color w:val="000000"/>
        </w:rPr>
        <w:t xml:space="preserve">En respuesta,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remitió los archivos ya descritos en el anterior Párrafo 2; no obstante el particular se inconformó, por negativa a la entrega de la información; </w:t>
      </w:r>
      <w:r>
        <w:rPr>
          <w:rFonts w:ascii="Palatino Linotype" w:eastAsia="Palatino Linotype" w:hAnsi="Palatino Linotype" w:cs="Palatino Linotype"/>
          <w:color w:val="000000"/>
        </w:rPr>
        <w:lastRenderedPageBreak/>
        <w:t xml:space="preserve">en dichas condiciones, la </w:t>
      </w:r>
      <w:r>
        <w:rPr>
          <w:rFonts w:ascii="Palatino Linotype" w:eastAsia="Palatino Linotype" w:hAnsi="Palatino Linotype" w:cs="Palatino Linotype"/>
          <w:i/>
          <w:iCs/>
          <w:color w:val="000000"/>
        </w:rPr>
        <w:t>Litis</w:t>
      </w:r>
      <w:r>
        <w:rPr>
          <w:rFonts w:ascii="Palatino Linotype" w:eastAsia="Palatino Linotype" w:hAnsi="Palatino Linotype" w:cs="Palatino Linotype"/>
          <w:color w:val="000000"/>
        </w:rPr>
        <w:t xml:space="preserve"> a resolver en el recurso de revisión se circunscribe a determinar si se actualiza la causal de procedencia prevista en el artículo 179, </w:t>
      </w:r>
      <w:r>
        <w:rPr>
          <w:rFonts w:ascii="Palatino Linotype" w:eastAsia="Palatino Linotype" w:hAnsi="Palatino Linotype" w:cs="Palatino Linotype"/>
          <w:b/>
          <w:bCs/>
          <w:color w:val="000000"/>
        </w:rPr>
        <w:t xml:space="preserve">fracción I </w:t>
      </w:r>
      <w:r>
        <w:rPr>
          <w:rFonts w:ascii="Palatino Linotype" w:eastAsia="Palatino Linotype" w:hAnsi="Palatino Linotype" w:cs="Palatino Linotype"/>
          <w:color w:val="000000"/>
        </w:rPr>
        <w:t xml:space="preserve">de la </w:t>
      </w:r>
      <w:r>
        <w:rPr>
          <w:rFonts w:ascii="Palatino Linotype" w:eastAsia="Palatino Linotype" w:hAnsi="Palatino Linotype" w:cs="Palatino Linotype"/>
          <w:b/>
          <w:bCs/>
          <w:color w:val="000000"/>
        </w:rPr>
        <w:t>Ley de Transparencia y Acceso a la Información Pública del Estado de México y Municipios</w:t>
      </w:r>
      <w:r>
        <w:rPr>
          <w:rFonts w:ascii="Palatino Linotype" w:eastAsia="Palatino Linotype" w:hAnsi="Palatino Linotype" w:cs="Palatino Linotype"/>
          <w:color w:val="000000"/>
        </w:rPr>
        <w:t xml:space="preserve">; fracción que determina las hipótesis jurídica relativa a la negativa de la entrega de la información; contexto del cual se dolió </w:t>
      </w:r>
      <w:r>
        <w:rPr>
          <w:rFonts w:ascii="Palatino Linotype" w:eastAsia="Palatino Linotype" w:hAnsi="Palatino Linotype" w:cs="Palatino Linotype"/>
          <w:b/>
          <w:bCs/>
          <w:color w:val="000000"/>
        </w:rPr>
        <w:t xml:space="preserve">EL RECURRENTE </w:t>
      </w:r>
      <w:r>
        <w:rPr>
          <w:rFonts w:ascii="Palatino Linotype" w:eastAsia="Palatino Linotype" w:hAnsi="Palatino Linotype" w:cs="Palatino Linotype"/>
          <w:color w:val="000000"/>
        </w:rPr>
        <w:t xml:space="preserve">al momento de interponer su inconformidad. </w:t>
      </w:r>
    </w:p>
    <w:p w:rsidR="00A96018" w:rsidRDefault="00A96018">
      <w:pPr>
        <w:pBdr>
          <w:top w:val="nil"/>
          <w:left w:val="nil"/>
          <w:bottom w:val="nil"/>
          <w:right w:val="nil"/>
          <w:between w:val="nil"/>
        </w:pBdr>
        <w:spacing w:line="360" w:lineRule="auto"/>
        <w:ind w:left="720" w:right="-989"/>
        <w:rPr>
          <w:rFonts w:ascii="Palatino Linotype" w:eastAsia="Palatino Linotype" w:hAnsi="Palatino Linotype" w:cs="Palatino Linotype"/>
          <w:color w:val="000000"/>
        </w:rPr>
      </w:pPr>
    </w:p>
    <w:p w:rsidR="00A96018" w:rsidRDefault="00D02C3C">
      <w:pPr>
        <w:numPr>
          <w:ilvl w:val="0"/>
          <w:numId w:val="3"/>
        </w:numPr>
        <w:spacing w:line="360" w:lineRule="auto"/>
        <w:ind w:left="0" w:right="-989" w:firstLine="0"/>
        <w:jc w:val="both"/>
      </w:pPr>
      <w:r>
        <w:rPr>
          <w:rFonts w:ascii="Palatino Linotype" w:eastAsia="Palatino Linotype" w:hAnsi="Palatino Linotype" w:cs="Palatino Linotype"/>
          <w:color w:val="000000"/>
        </w:rPr>
        <w:t xml:space="preserve">De modo tal que el presente Recurso de Revisión se abocara en determinar si el </w:t>
      </w:r>
      <w:r>
        <w:rPr>
          <w:rFonts w:ascii="Palatino Linotype" w:eastAsia="Palatino Linotype" w:hAnsi="Palatino Linotype" w:cs="Palatino Linotype"/>
          <w:b/>
          <w:bCs/>
          <w:color w:val="000000"/>
        </w:rPr>
        <w:t>SUJETO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OBLIGADO</w:t>
      </w:r>
      <w:r>
        <w:rPr>
          <w:rFonts w:ascii="Palatino Linotype" w:eastAsia="Palatino Linotype" w:hAnsi="Palatino Linotype" w:cs="Palatino Linotype"/>
          <w:color w:val="000000"/>
        </w:rPr>
        <w:t xml:space="preserve"> con su respuesta ciertamente actualiza la causal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A96018" w:rsidRDefault="00A96018">
      <w:pPr>
        <w:pBdr>
          <w:top w:val="nil"/>
          <w:left w:val="nil"/>
          <w:bottom w:val="nil"/>
          <w:right w:val="nil"/>
          <w:between w:val="nil"/>
        </w:pBdr>
        <w:spacing w:line="360" w:lineRule="auto"/>
        <w:ind w:left="720" w:right="-989"/>
        <w:rPr>
          <w:rFonts w:ascii="Palatino Linotype" w:eastAsia="Palatino Linotype" w:hAnsi="Palatino Linotype" w:cs="Palatino Linotype"/>
          <w:color w:val="000000"/>
        </w:rPr>
      </w:pPr>
    </w:p>
    <w:p w:rsidR="00A96018" w:rsidRDefault="00D02C3C">
      <w:pPr>
        <w:pStyle w:val="Ttulo2"/>
        <w:spacing w:before="0" w:line="360" w:lineRule="auto"/>
        <w:ind w:right="-989"/>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CUARTO. Del estudio y resolución del estudio</w:t>
      </w:r>
    </w:p>
    <w:p w:rsidR="00A96018" w:rsidRDefault="00D02C3C">
      <w:pPr>
        <w:numPr>
          <w:ilvl w:val="0"/>
          <w:numId w:val="3"/>
        </w:numPr>
        <w:spacing w:line="360" w:lineRule="auto"/>
        <w:ind w:left="0" w:right="-989" w:firstLine="0"/>
        <w:jc w:val="both"/>
      </w:pPr>
      <w:r>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determina, por ello, en primer lugar, vamos a revisar lo que mandata nuestra Ley de </w:t>
      </w:r>
      <w:r>
        <w:rPr>
          <w:rFonts w:ascii="Palatino Linotype" w:eastAsia="Palatino Linotype" w:hAnsi="Palatino Linotype" w:cs="Palatino Linotype"/>
          <w:color w:val="000000"/>
        </w:rPr>
        <w:t>Transparencia</w:t>
      </w:r>
      <w:r>
        <w:rPr>
          <w:rFonts w:ascii="Palatino Linotype" w:eastAsia="Palatino Linotype" w:hAnsi="Palatino Linotype" w:cs="Palatino Linotype"/>
        </w:rPr>
        <w:t xml:space="preserve">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w:t>
      </w:r>
      <w:r>
        <w:rPr>
          <w:rFonts w:ascii="Palatino Linotype" w:eastAsia="Palatino Linotype" w:hAnsi="Palatino Linotype" w:cs="Palatino Linotype"/>
        </w:rPr>
        <w:lastRenderedPageBreak/>
        <w:t>funciones desde su origen la eventual publicidad y reutilización de la información que generen.</w:t>
      </w:r>
    </w:p>
    <w:p w:rsidR="00A96018" w:rsidRDefault="00A96018">
      <w:pPr>
        <w:spacing w:line="360" w:lineRule="auto"/>
        <w:ind w:right="-989"/>
        <w:jc w:val="both"/>
        <w:rPr>
          <w:rFonts w:ascii="Palatino Linotype" w:eastAsia="Palatino Linotype" w:hAnsi="Palatino Linotype" w:cs="Palatino Linotype"/>
        </w:rPr>
      </w:pPr>
    </w:p>
    <w:p w:rsidR="00A96018" w:rsidRDefault="00D02C3C">
      <w:pPr>
        <w:numPr>
          <w:ilvl w:val="0"/>
          <w:numId w:val="3"/>
        </w:numPr>
        <w:spacing w:line="360" w:lineRule="auto"/>
        <w:ind w:left="0" w:right="-989" w:firstLine="0"/>
        <w:jc w:val="both"/>
      </w:pPr>
      <w:r>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A96018" w:rsidRDefault="00A96018">
      <w:pPr>
        <w:spacing w:line="360" w:lineRule="auto"/>
        <w:ind w:right="-989"/>
        <w:rPr>
          <w:rFonts w:ascii="Palatino Linotype" w:eastAsia="Palatino Linotype" w:hAnsi="Palatino Linotype" w:cs="Palatino Linotype"/>
        </w:rPr>
      </w:pPr>
    </w:p>
    <w:p w:rsidR="00A96018" w:rsidRDefault="00D02C3C">
      <w:pPr>
        <w:numPr>
          <w:ilvl w:val="0"/>
          <w:numId w:val="3"/>
        </w:numPr>
        <w:spacing w:line="360" w:lineRule="auto"/>
        <w:ind w:left="0" w:right="-989" w:firstLine="0"/>
        <w:jc w:val="both"/>
      </w:pPr>
      <w:r>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A96018" w:rsidRDefault="00A96018">
      <w:pPr>
        <w:pBdr>
          <w:top w:val="nil"/>
          <w:left w:val="nil"/>
          <w:bottom w:val="nil"/>
          <w:right w:val="nil"/>
          <w:between w:val="nil"/>
        </w:pBdr>
        <w:spacing w:line="360" w:lineRule="auto"/>
        <w:ind w:left="720" w:right="-989"/>
        <w:rPr>
          <w:rFonts w:ascii="Palatino Linotype" w:eastAsia="Palatino Linotype" w:hAnsi="Palatino Linotype" w:cs="Palatino Linotype"/>
          <w:color w:val="000000"/>
        </w:rPr>
      </w:pPr>
    </w:p>
    <w:p w:rsidR="00A96018" w:rsidRDefault="00D02C3C">
      <w:pPr>
        <w:numPr>
          <w:ilvl w:val="0"/>
          <w:numId w:val="3"/>
        </w:numPr>
        <w:spacing w:line="360" w:lineRule="auto"/>
        <w:ind w:left="0" w:right="-989" w:firstLine="0"/>
        <w:jc w:val="both"/>
      </w:pPr>
      <w:r>
        <w:rPr>
          <w:rFonts w:ascii="Palatino Linotype" w:eastAsia="Palatino Linotype" w:hAnsi="Palatino Linotype" w:cs="Palatino Linotype"/>
        </w:rPr>
        <w:t>Acotado lo anterior, es dable primeramente traer a contexto los motivos de inconformidad; toda vez que estos son tendientes a impugnar puntualmente lo relativo a las colindancias y coordenadas, dejando de impugnar el rubro relativo a las medidas.</w:t>
      </w:r>
    </w:p>
    <w:p w:rsidR="00A96018" w:rsidRDefault="00D02C3C">
      <w:pPr>
        <w:numPr>
          <w:ilvl w:val="0"/>
          <w:numId w:val="3"/>
        </w:numPr>
        <w:spacing w:line="360" w:lineRule="auto"/>
        <w:ind w:left="0" w:right="-989" w:firstLine="0"/>
        <w:jc w:val="both"/>
      </w:pPr>
      <w:r>
        <w:rPr>
          <w:rFonts w:ascii="Palatino Linotype" w:eastAsia="Palatino Linotype" w:hAnsi="Palatino Linotype" w:cs="Palatino Linotype"/>
          <w:color w:val="000000"/>
        </w:rPr>
        <w:lastRenderedPageBreak/>
        <w:t>D</w:t>
      </w:r>
      <w:r>
        <w:rPr>
          <w:rFonts w:ascii="Palatino Linotype" w:eastAsia="Palatino Linotype" w:hAnsi="Palatino Linotype" w:cs="Palatino Linotype"/>
        </w:rPr>
        <w:t xml:space="preserve">e tal forma que, la parte de la solicitud que no fue impugnada debe declararse consentida, toda vez que al no realizar manifestaciones de inconformidad; no pueden producirse efectos jurídicos tendentes a revocar, confirmar o modificar el acto reclamado, ya que no realizó manifestación alguna al respecto. </w:t>
      </w:r>
    </w:p>
    <w:p w:rsidR="00A96018" w:rsidRDefault="00A96018">
      <w:pPr>
        <w:pBdr>
          <w:top w:val="nil"/>
          <w:left w:val="nil"/>
          <w:bottom w:val="nil"/>
          <w:right w:val="nil"/>
          <w:between w:val="nil"/>
        </w:pBdr>
        <w:spacing w:line="360" w:lineRule="auto"/>
        <w:ind w:left="720" w:right="-989"/>
        <w:rPr>
          <w:rFonts w:ascii="Palatino Linotype" w:eastAsia="Palatino Linotype" w:hAnsi="Palatino Linotype" w:cs="Palatino Linotype"/>
          <w:color w:val="000000"/>
        </w:rPr>
      </w:pPr>
    </w:p>
    <w:p w:rsidR="00A96018" w:rsidRDefault="00D02C3C">
      <w:pPr>
        <w:numPr>
          <w:ilvl w:val="0"/>
          <w:numId w:val="3"/>
        </w:numPr>
        <w:spacing w:line="360" w:lineRule="auto"/>
        <w:ind w:left="0" w:right="-989" w:firstLine="0"/>
        <w:jc w:val="both"/>
      </w:pPr>
      <w:r>
        <w:rPr>
          <w:rFonts w:ascii="Palatino Linotype" w:eastAsia="Palatino Linotype" w:hAnsi="Palatino Linotype" w:cs="Palatino Linotype"/>
        </w:rPr>
        <w:t xml:space="preserve">Sirve de sustento, la tesis jurisprudencial número VI.3o.C. J/60, publicada en el </w:t>
      </w:r>
      <w:r>
        <w:rPr>
          <w:rFonts w:ascii="Palatino Linotype" w:eastAsia="Palatino Linotype" w:hAnsi="Palatino Linotype" w:cs="Palatino Linotype"/>
          <w:color w:val="000000"/>
        </w:rPr>
        <w:t>Semanario</w:t>
      </w:r>
      <w:r>
        <w:rPr>
          <w:rFonts w:ascii="Palatino Linotype" w:eastAsia="Palatino Linotype" w:hAnsi="Palatino Linotype" w:cs="Palatino Linotype"/>
        </w:rPr>
        <w:t xml:space="preserve"> Judicial de la Federación y su Gaceta bajo el número de registro 176,608 que a la letra dice:</w:t>
      </w:r>
    </w:p>
    <w:p w:rsidR="00A96018" w:rsidRDefault="00D02C3C">
      <w:pPr>
        <w:tabs>
          <w:tab w:val="left" w:pos="851"/>
        </w:tabs>
        <w:spacing w:line="360" w:lineRule="auto"/>
        <w:ind w:left="851"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“ACTOS CONSENTIDOS. SON LOS QUE NO SE IMPUGNAN MEDIANTE EL RECURSO IDÓNEO. </w:t>
      </w:r>
      <w:r>
        <w:rPr>
          <w:rFonts w:ascii="Palatino Linotype" w:eastAsia="Palatino Linotype" w:hAnsi="Palatino Linotype" w:cs="Palatino Linotype"/>
          <w:i/>
          <w:iCs/>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50759C" w:rsidRDefault="0050759C">
      <w:pPr>
        <w:tabs>
          <w:tab w:val="left" w:pos="851"/>
        </w:tabs>
        <w:spacing w:line="360" w:lineRule="auto"/>
        <w:ind w:left="851" w:right="-989"/>
        <w:jc w:val="both"/>
        <w:rPr>
          <w:rFonts w:ascii="Palatino Linotype" w:eastAsia="Palatino Linotype" w:hAnsi="Palatino Linotype" w:cs="Palatino Linotype"/>
          <w:i/>
          <w:iCs/>
        </w:rPr>
      </w:pPr>
    </w:p>
    <w:p w:rsidR="00A96018" w:rsidRDefault="00D02C3C">
      <w:pPr>
        <w:numPr>
          <w:ilvl w:val="0"/>
          <w:numId w:val="3"/>
        </w:numPr>
        <w:spacing w:line="360" w:lineRule="auto"/>
        <w:ind w:left="0" w:right="-989" w:firstLine="0"/>
        <w:jc w:val="both"/>
      </w:pPr>
      <w:r>
        <w:rPr>
          <w:rFonts w:ascii="Palatino Linotype" w:eastAsia="Palatino Linotype" w:hAnsi="Palatino Linotype" w:cs="Palatino Linotype"/>
        </w:rPr>
        <w:t xml:space="preserve">De la interpretación del Criterio antes citado, se advierte que cuando el particular impugnó la respuesta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no expresó razón o motivo de inconformidad en contra de todos los rubros solicitados, estos deben declararse atendidos, pues se entiende que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está conforme con la respuesta proporcionada por </w:t>
      </w:r>
      <w:r>
        <w:rPr>
          <w:rFonts w:ascii="Palatino Linotype" w:eastAsia="Palatino Linotype" w:hAnsi="Palatino Linotype" w:cs="Palatino Linotype"/>
          <w:b/>
          <w:bCs/>
        </w:rPr>
        <w:t>EL SUJETO OBLIGADO,</w:t>
      </w:r>
      <w:r>
        <w:rPr>
          <w:rFonts w:ascii="Palatino Linotype" w:eastAsia="Palatino Linotype" w:hAnsi="Palatino Linotype" w:cs="Palatino Linotype"/>
        </w:rPr>
        <w:t xml:space="preserve"> al no contravenir la misma. </w:t>
      </w:r>
    </w:p>
    <w:p w:rsidR="00A96018" w:rsidRDefault="00A96018">
      <w:pPr>
        <w:spacing w:line="360" w:lineRule="auto"/>
        <w:ind w:right="-989"/>
        <w:jc w:val="both"/>
        <w:rPr>
          <w:rFonts w:ascii="Palatino Linotype" w:eastAsia="Palatino Linotype" w:hAnsi="Palatino Linotype" w:cs="Palatino Linotype"/>
        </w:rPr>
      </w:pPr>
    </w:p>
    <w:p w:rsidR="00A96018" w:rsidRDefault="00D02C3C">
      <w:pPr>
        <w:numPr>
          <w:ilvl w:val="0"/>
          <w:numId w:val="3"/>
        </w:numPr>
        <w:spacing w:line="360" w:lineRule="auto"/>
        <w:ind w:left="0" w:right="-989" w:firstLine="0"/>
        <w:jc w:val="both"/>
      </w:pPr>
      <w:r>
        <w:rPr>
          <w:rFonts w:ascii="Palatino Linotype" w:eastAsia="Palatino Linotype" w:hAnsi="Palatino Linotype" w:cs="Palatino Linotype"/>
        </w:rPr>
        <w:lastRenderedPageBreak/>
        <w:t>Atento a ello, es importante traer a contexto la Tesis Jurisprudencial Número 3ª./J.7/91, Publicada en el Semanario Judicial de la Federación y su Gaceta bajo el número de registro 174,177, que establece lo siguiente:</w:t>
      </w:r>
    </w:p>
    <w:p w:rsidR="00A96018" w:rsidRDefault="00D02C3C">
      <w:pPr>
        <w:tabs>
          <w:tab w:val="left" w:pos="7937"/>
          <w:tab w:val="left" w:pos="8222"/>
        </w:tabs>
        <w:spacing w:line="360" w:lineRule="auto"/>
        <w:ind w:left="851"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“REVISIÓN EN AMPARO. LOS RESOLUTIVOS NO COMBATIDOS DEBEN DECLARARSE FIRMES. </w:t>
      </w:r>
      <w:r>
        <w:rPr>
          <w:rFonts w:ascii="Palatino Linotype" w:eastAsia="Palatino Linotype" w:hAnsi="Palatino Linotype" w:cs="Palatino Linotype"/>
          <w:i/>
          <w:iCs/>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rsidR="00A96018" w:rsidRDefault="00A96018">
      <w:pPr>
        <w:tabs>
          <w:tab w:val="left" w:pos="7937"/>
          <w:tab w:val="left" w:pos="8222"/>
        </w:tabs>
        <w:spacing w:line="360" w:lineRule="auto"/>
        <w:ind w:left="851" w:right="-989"/>
        <w:jc w:val="both"/>
        <w:rPr>
          <w:rFonts w:ascii="Palatino Linotype" w:eastAsia="Palatino Linotype" w:hAnsi="Palatino Linotype" w:cs="Palatino Linotype"/>
          <w:i/>
          <w:iCs/>
        </w:rPr>
      </w:pPr>
    </w:p>
    <w:p w:rsidR="00A96018" w:rsidRDefault="00D02C3C">
      <w:pPr>
        <w:numPr>
          <w:ilvl w:val="0"/>
          <w:numId w:val="3"/>
        </w:numPr>
        <w:spacing w:line="360" w:lineRule="auto"/>
        <w:ind w:left="0" w:right="-989" w:firstLine="0"/>
        <w:jc w:val="both"/>
      </w:pPr>
      <w:r>
        <w:rPr>
          <w:rFonts w:ascii="Palatino Linotype" w:eastAsia="Palatino Linotype" w:hAnsi="Palatino Linotype" w:cs="Palatino Linotype"/>
        </w:rPr>
        <w:t xml:space="preserve">En consecuencia, que los demás fundamentos remitidos en respuesta. Se consideran un acto consentido y, en consecuencia, este Órgano Resolutor no entrará al estudio de los rubros no impugnados por las razones hasta aquí expuestas. </w:t>
      </w:r>
    </w:p>
    <w:p w:rsidR="00A96018" w:rsidRDefault="00A96018">
      <w:pPr>
        <w:spacing w:line="360" w:lineRule="auto"/>
        <w:ind w:right="-989"/>
        <w:jc w:val="both"/>
        <w:rPr>
          <w:rFonts w:ascii="Palatino Linotype" w:eastAsia="Palatino Linotype" w:hAnsi="Palatino Linotype" w:cs="Palatino Linotype"/>
        </w:rPr>
      </w:pPr>
    </w:p>
    <w:p w:rsidR="00A96018" w:rsidRPr="0050759C" w:rsidRDefault="00D02C3C">
      <w:pPr>
        <w:numPr>
          <w:ilvl w:val="0"/>
          <w:numId w:val="3"/>
        </w:numPr>
        <w:spacing w:line="360" w:lineRule="auto"/>
        <w:ind w:left="0" w:right="-989" w:firstLine="0"/>
        <w:jc w:val="both"/>
      </w:pPr>
      <w:r>
        <w:rPr>
          <w:rFonts w:ascii="Palatino Linotype" w:eastAsia="Palatino Linotype" w:hAnsi="Palatino Linotype" w:cs="Palatino Linotype"/>
        </w:rPr>
        <w:t>Ahora bien, respecto de los rubros impugnados, es dable traer a contexto la respuesta emitida por la Directora General de Operación y Control Urbano en su calidad de servidora pública habilitada, quien refiere que las colindancia y coordenadas UTM, no son requisito para la autorización de condominios de acuerdo con lo establecido en el artículo 113 del Reglamento del libro Quinto del Código Administrativo del Estado de México, cuyo contenido íntegro, se transcribe:</w:t>
      </w:r>
    </w:p>
    <w:p w:rsidR="0050759C" w:rsidRDefault="0050759C" w:rsidP="0050759C">
      <w:pPr>
        <w:pStyle w:val="Prrafodelista"/>
      </w:pPr>
    </w:p>
    <w:p w:rsidR="0050759C" w:rsidRDefault="0050759C" w:rsidP="0050759C">
      <w:pPr>
        <w:spacing w:line="360" w:lineRule="auto"/>
        <w:ind w:right="-989"/>
        <w:jc w:val="both"/>
      </w:pPr>
    </w:p>
    <w:p w:rsidR="00A96018" w:rsidRDefault="00D02C3C">
      <w:pPr>
        <w:widowControl w:val="0"/>
        <w:spacing w:line="360" w:lineRule="auto"/>
        <w:ind w:left="426"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lastRenderedPageBreak/>
        <w:t>“DEL PROCEDIMIENTO DE AUTORIZACIÓN</w:t>
      </w:r>
    </w:p>
    <w:p w:rsidR="00A96018" w:rsidRDefault="00D02C3C">
      <w:pPr>
        <w:widowControl w:val="0"/>
        <w:spacing w:line="360" w:lineRule="auto"/>
        <w:ind w:left="426"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113.</w:t>
      </w:r>
      <w:r>
        <w:rPr>
          <w:rFonts w:ascii="Palatino Linotype" w:eastAsia="Palatino Linotype" w:hAnsi="Palatino Linotype" w:cs="Palatino Linotype"/>
          <w:i/>
          <w:iCs/>
          <w:color w:val="000000"/>
        </w:rPr>
        <w:t xml:space="preserve"> El procedimiento de autorización de condominios horizontales, verticales y mixtos, se sujetará a lo siguiente:</w:t>
      </w:r>
    </w:p>
    <w:p w:rsidR="00A96018" w:rsidRDefault="00D02C3C">
      <w:pPr>
        <w:widowControl w:val="0"/>
        <w:tabs>
          <w:tab w:val="left" w:pos="408"/>
        </w:tabs>
        <w:spacing w:line="360" w:lineRule="auto"/>
        <w:ind w:left="426"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I.</w:t>
      </w:r>
      <w:r>
        <w:rPr>
          <w:rFonts w:ascii="Palatino Linotype" w:eastAsia="Palatino Linotype" w:hAnsi="Palatino Linotype" w:cs="Palatino Linotype"/>
          <w:i/>
          <w:iCs/>
          <w:color w:val="000000"/>
        </w:rPr>
        <w:t xml:space="preserve"> El Titular o Representante Legal, deberá presentar a la Secretaría, su petición acompañada de los documentos siguientes:</w:t>
      </w:r>
    </w:p>
    <w:p w:rsidR="00A96018" w:rsidRDefault="00D02C3C">
      <w:pPr>
        <w:widowControl w:val="0"/>
        <w:tabs>
          <w:tab w:val="left" w:pos="487"/>
        </w:tabs>
        <w:spacing w:line="360" w:lineRule="auto"/>
        <w:ind w:left="426"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w:t>
      </w:r>
      <w:r>
        <w:rPr>
          <w:rFonts w:ascii="Palatino Linotype" w:eastAsia="Palatino Linotype" w:hAnsi="Palatino Linotype" w:cs="Palatino Linotype"/>
          <w:i/>
          <w:iCs/>
          <w:color w:val="000000"/>
        </w:rPr>
        <w:t xml:space="preserve"> Evaluación de Impacto Estatal, para condominios que prevean el desarrollo de treinta o más viviendas, conforme lo previsto en el artículo 5.35 del Código, la Ley de la Comisión de Impacto Estatal, su Reglamento y demás disposiciones jurídicas aplicables, y</w:t>
      </w:r>
    </w:p>
    <w:p w:rsidR="00A96018" w:rsidRDefault="00D02C3C">
      <w:pPr>
        <w:widowControl w:val="0"/>
        <w:tabs>
          <w:tab w:val="left" w:pos="430"/>
        </w:tabs>
        <w:spacing w:line="360" w:lineRule="auto"/>
        <w:ind w:left="426"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B)</w:t>
      </w:r>
      <w:r>
        <w:rPr>
          <w:rFonts w:ascii="Palatino Linotype" w:eastAsia="Palatino Linotype" w:hAnsi="Palatino Linotype" w:cs="Palatino Linotype"/>
          <w:i/>
          <w:iCs/>
          <w:color w:val="000000"/>
        </w:rPr>
        <w:t xml:space="preserve"> Original o copia certificada de los documentos siguientes:</w:t>
      </w:r>
    </w:p>
    <w:p w:rsidR="00A96018" w:rsidRDefault="00D02C3C">
      <w:pPr>
        <w:widowControl w:val="0"/>
        <w:spacing w:line="360" w:lineRule="auto"/>
        <w:ind w:left="426"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1.</w:t>
      </w:r>
      <w:r>
        <w:rPr>
          <w:rFonts w:ascii="Palatino Linotype" w:eastAsia="Palatino Linotype" w:hAnsi="Palatino Linotype" w:cs="Palatino Linotype"/>
          <w:i/>
          <w:iCs/>
          <w:color w:val="000000"/>
        </w:rPr>
        <w:t xml:space="preserve"> Título de propiedad del inmueble, inscrito en el Instituto de la Función Registral del Estado de México y Certificado de Gravámenes;</w:t>
      </w:r>
    </w:p>
    <w:p w:rsidR="00A96018" w:rsidRDefault="00D02C3C">
      <w:pPr>
        <w:widowControl w:val="0"/>
        <w:spacing w:line="360" w:lineRule="auto"/>
        <w:ind w:left="426"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2.</w:t>
      </w:r>
      <w:r>
        <w:rPr>
          <w:rFonts w:ascii="Palatino Linotype" w:eastAsia="Palatino Linotype" w:hAnsi="Palatino Linotype" w:cs="Palatino Linotype"/>
          <w:i/>
          <w:iCs/>
          <w:color w:val="000000"/>
        </w:rPr>
        <w:t xml:space="preserve"> Acta constitutiva en el caso de personas jurídicas colectivas o del contrato respectivo tratándose de fideicomisos y sus modificaciones. Dichos documentos deberán estar inscritos en el Instituto de la Función Registral del Estado de México. En caso que el solicitante sea persona física deberá presentar identificación oficial;</w:t>
      </w:r>
    </w:p>
    <w:p w:rsidR="00A96018" w:rsidRDefault="00D02C3C">
      <w:pPr>
        <w:widowControl w:val="0"/>
        <w:spacing w:line="360" w:lineRule="auto"/>
        <w:ind w:left="426"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3.</w:t>
      </w:r>
      <w:r>
        <w:rPr>
          <w:rFonts w:ascii="Palatino Linotype" w:eastAsia="Palatino Linotype" w:hAnsi="Palatino Linotype" w:cs="Palatino Linotype"/>
          <w:i/>
          <w:iCs/>
          <w:color w:val="000000"/>
        </w:rPr>
        <w:t xml:space="preserve"> Poder notarial vigente, otorgado por el propietario de los predios, que faculte expresamente al apoderado para realizar el trámite; así como la identificación oficial de éste último;</w:t>
      </w:r>
    </w:p>
    <w:p w:rsidR="00A96018" w:rsidRDefault="00D02C3C">
      <w:pPr>
        <w:widowControl w:val="0"/>
        <w:spacing w:line="360" w:lineRule="auto"/>
        <w:ind w:left="426" w:right="-98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4.</w:t>
      </w:r>
      <w:r>
        <w:rPr>
          <w:rFonts w:ascii="Palatino Linotype" w:eastAsia="Palatino Linotype" w:hAnsi="Palatino Linotype" w:cs="Palatino Linotype"/>
          <w:i/>
          <w:iCs/>
          <w:color w:val="000000"/>
        </w:rPr>
        <w:t xml:space="preserve"> Derogado;</w:t>
      </w:r>
    </w:p>
    <w:p w:rsidR="00A96018" w:rsidRDefault="00D02C3C">
      <w:pPr>
        <w:widowControl w:val="0"/>
        <w:spacing w:line="360" w:lineRule="auto"/>
        <w:ind w:left="426" w:right="-98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5.</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b/>
          <w:bCs/>
          <w:i/>
          <w:iCs/>
          <w:color w:val="000000"/>
        </w:rPr>
        <w:t>Cuando las medidas y superficies reales del predio sean mayores o menores a las contenidas en el documento con el que se acredite la propiedad, deberá anexarse la resolución judicial o administrativa de apeo y deslinde</w:t>
      </w:r>
      <w:r>
        <w:rPr>
          <w:rFonts w:ascii="Palatino Linotype" w:eastAsia="Palatino Linotype" w:hAnsi="Palatino Linotype" w:cs="Palatino Linotype"/>
          <w:i/>
          <w:iCs/>
          <w:color w:val="000000"/>
        </w:rPr>
        <w:t xml:space="preserve"> debidamente inscrita en el Instituto de la Función Registral del Estado de México;</w:t>
      </w:r>
    </w:p>
    <w:p w:rsidR="00A96018" w:rsidRDefault="00D02C3C">
      <w:pPr>
        <w:widowControl w:val="0"/>
        <w:spacing w:line="360" w:lineRule="auto"/>
        <w:ind w:left="426" w:right="-98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6.</w:t>
      </w:r>
      <w:r>
        <w:rPr>
          <w:rFonts w:ascii="Palatino Linotype" w:eastAsia="Palatino Linotype" w:hAnsi="Palatino Linotype" w:cs="Palatino Linotype"/>
          <w:i/>
          <w:iCs/>
          <w:color w:val="000000"/>
        </w:rPr>
        <w:t xml:space="preserve"> Dictamen de factibilidad de dotación de agua potable y drenaje para el condominio que se </w:t>
      </w:r>
      <w:r>
        <w:rPr>
          <w:rFonts w:ascii="Palatino Linotype" w:eastAsia="Palatino Linotype" w:hAnsi="Palatino Linotype" w:cs="Palatino Linotype"/>
          <w:i/>
          <w:iCs/>
          <w:color w:val="000000"/>
        </w:rPr>
        <w:lastRenderedPageBreak/>
        <w:t>pretenda, así como de incorporación a los sistemas de agua potable y alcantarillado, en el que se definan los puntos de conexión de agua potable y los de descargas de aguas residuales, en caso que se requieran obras de Infraestructura Primaria, se deberá presentar convenio con la autoridad correspondiente;</w:t>
      </w:r>
    </w:p>
    <w:p w:rsidR="00A96018" w:rsidRDefault="00D02C3C">
      <w:pPr>
        <w:widowControl w:val="0"/>
        <w:spacing w:line="360" w:lineRule="auto"/>
        <w:ind w:left="426" w:right="-98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7.</w:t>
      </w:r>
      <w:r>
        <w:rPr>
          <w:rFonts w:ascii="Palatino Linotype" w:eastAsia="Palatino Linotype" w:hAnsi="Palatino Linotype" w:cs="Palatino Linotype"/>
          <w:i/>
          <w:iCs/>
          <w:color w:val="000000"/>
        </w:rPr>
        <w:t xml:space="preserve"> Constancia de capacidad de suministro de energía eléctrica;</w:t>
      </w:r>
    </w:p>
    <w:p w:rsidR="00A96018" w:rsidRDefault="00D02C3C">
      <w:pPr>
        <w:widowControl w:val="0"/>
        <w:spacing w:line="360" w:lineRule="auto"/>
        <w:ind w:left="426"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8.</w:t>
      </w:r>
      <w:r>
        <w:rPr>
          <w:rFonts w:ascii="Palatino Linotype" w:eastAsia="Palatino Linotype" w:hAnsi="Palatino Linotype" w:cs="Palatino Linotype"/>
          <w:i/>
          <w:iCs/>
          <w:color w:val="000000"/>
        </w:rPr>
        <w:t xml:space="preserve"> Licencia de uso del suelo o en su caso, autorización sobre cambio de uso del suelo, del coeficiente de ocupación del suelo y coeficiente de utilización del suelo de su aprovechamiento o de la altura máxima permitida;</w:t>
      </w:r>
    </w:p>
    <w:p w:rsidR="00A96018" w:rsidRDefault="00D02C3C">
      <w:pPr>
        <w:widowControl w:val="0"/>
        <w:spacing w:line="360" w:lineRule="auto"/>
        <w:ind w:left="426"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9.</w:t>
      </w:r>
      <w:r>
        <w:rPr>
          <w:rFonts w:ascii="Palatino Linotype" w:eastAsia="Palatino Linotype" w:hAnsi="Palatino Linotype" w:cs="Palatino Linotype"/>
          <w:i/>
          <w:iCs/>
          <w:color w:val="000000"/>
        </w:rPr>
        <w:t xml:space="preserve"> Alineamiento y número oficial;</w:t>
      </w:r>
    </w:p>
    <w:p w:rsidR="00A96018" w:rsidRDefault="00D02C3C">
      <w:pPr>
        <w:widowControl w:val="0"/>
        <w:tabs>
          <w:tab w:val="left" w:pos="439"/>
        </w:tabs>
        <w:spacing w:line="360" w:lineRule="auto"/>
        <w:ind w:left="426"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10.</w:t>
      </w:r>
      <w:r>
        <w:rPr>
          <w:rFonts w:ascii="Palatino Linotype" w:eastAsia="Palatino Linotype" w:hAnsi="Palatino Linotype" w:cs="Palatino Linotype"/>
          <w:i/>
          <w:iCs/>
          <w:color w:val="000000"/>
        </w:rPr>
        <w:t xml:space="preserve"> Plano de distribución de áreas del condominio, incluyendo sembrado de prototipos, en original y medio magnético, que contenga:</w:t>
      </w:r>
    </w:p>
    <w:p w:rsidR="00A96018" w:rsidRDefault="00D02C3C">
      <w:pPr>
        <w:widowControl w:val="0"/>
        <w:tabs>
          <w:tab w:val="left" w:pos="554"/>
        </w:tabs>
        <w:spacing w:line="360" w:lineRule="auto"/>
        <w:ind w:left="426"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10.1.</w:t>
      </w:r>
      <w:r>
        <w:rPr>
          <w:rFonts w:ascii="Palatino Linotype" w:eastAsia="Palatino Linotype" w:hAnsi="Palatino Linotype" w:cs="Palatino Linotype"/>
          <w:i/>
          <w:iCs/>
          <w:color w:val="000000"/>
        </w:rPr>
        <w:t xml:space="preserve"> Situación original del inmueble en que se desarrollará el condominio;</w:t>
      </w:r>
    </w:p>
    <w:p w:rsidR="00A96018" w:rsidRDefault="00D02C3C">
      <w:pPr>
        <w:widowControl w:val="0"/>
        <w:tabs>
          <w:tab w:val="left" w:pos="571"/>
        </w:tabs>
        <w:spacing w:line="360" w:lineRule="auto"/>
        <w:ind w:left="426"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10.2.</w:t>
      </w:r>
      <w:r>
        <w:rPr>
          <w:rFonts w:ascii="Palatino Linotype" w:eastAsia="Palatino Linotype" w:hAnsi="Palatino Linotype" w:cs="Palatino Linotype"/>
          <w:i/>
          <w:iCs/>
          <w:color w:val="000000"/>
        </w:rPr>
        <w:t xml:space="preserve"> La distribución proyectada de áreas privativas y comunes, incluyendo en su caso, la ubicación de las áreas de donación;</w:t>
      </w:r>
    </w:p>
    <w:p w:rsidR="00A96018" w:rsidRDefault="00D02C3C">
      <w:pPr>
        <w:widowControl w:val="0"/>
        <w:tabs>
          <w:tab w:val="left" w:pos="403"/>
        </w:tabs>
        <w:spacing w:line="360" w:lineRule="auto"/>
        <w:ind w:left="426"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10.3</w:t>
      </w:r>
      <w:r>
        <w:rPr>
          <w:rFonts w:ascii="Palatino Linotype" w:eastAsia="Palatino Linotype" w:hAnsi="Palatino Linotype" w:cs="Palatino Linotype"/>
          <w:i/>
          <w:iCs/>
          <w:color w:val="000000"/>
        </w:rPr>
        <w:t>. Las restricciones federales, estatales y municipales;</w:t>
      </w:r>
    </w:p>
    <w:p w:rsidR="00A96018" w:rsidRDefault="00D02C3C">
      <w:pPr>
        <w:widowControl w:val="0"/>
        <w:spacing w:line="360" w:lineRule="auto"/>
        <w:ind w:left="426" w:right="-98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10.4. </w:t>
      </w:r>
      <w:r>
        <w:rPr>
          <w:rFonts w:ascii="Palatino Linotype" w:eastAsia="Palatino Linotype" w:hAnsi="Palatino Linotype" w:cs="Palatino Linotype"/>
          <w:i/>
          <w:iCs/>
          <w:color w:val="000000"/>
        </w:rPr>
        <w:t>Información gráfica y estadística, que constará en la solapa del plano;</w:t>
      </w:r>
    </w:p>
    <w:p w:rsidR="00A96018" w:rsidRDefault="00D02C3C">
      <w:pPr>
        <w:widowControl w:val="0"/>
        <w:spacing w:line="360" w:lineRule="auto"/>
        <w:ind w:left="426"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10.5.</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b/>
          <w:bCs/>
          <w:i/>
          <w:iCs/>
          <w:color w:val="000000"/>
        </w:rPr>
        <w:t>Croquis de localización regional y local</w:t>
      </w:r>
      <w:r>
        <w:rPr>
          <w:rFonts w:ascii="Palatino Linotype" w:eastAsia="Palatino Linotype" w:hAnsi="Palatino Linotype" w:cs="Palatino Linotype"/>
          <w:i/>
          <w:iCs/>
          <w:color w:val="000000"/>
        </w:rPr>
        <w:t>;</w:t>
      </w:r>
    </w:p>
    <w:p w:rsidR="00A96018" w:rsidRDefault="00D02C3C">
      <w:pPr>
        <w:widowControl w:val="0"/>
        <w:spacing w:line="360" w:lineRule="auto"/>
        <w:ind w:left="426"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10.6.</w:t>
      </w:r>
      <w:r>
        <w:rPr>
          <w:rFonts w:ascii="Palatino Linotype" w:eastAsia="Palatino Linotype" w:hAnsi="Palatino Linotype" w:cs="Palatino Linotype"/>
          <w:i/>
          <w:iCs/>
          <w:color w:val="000000"/>
        </w:rPr>
        <w:t xml:space="preserve"> Nombre del Titular;</w:t>
      </w:r>
    </w:p>
    <w:p w:rsidR="00A96018" w:rsidRDefault="00D02C3C">
      <w:pPr>
        <w:widowControl w:val="0"/>
        <w:tabs>
          <w:tab w:val="left" w:pos="426"/>
        </w:tabs>
        <w:spacing w:line="360" w:lineRule="auto"/>
        <w:ind w:left="426"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10.7.</w:t>
      </w:r>
      <w:r>
        <w:rPr>
          <w:rFonts w:ascii="Palatino Linotype" w:eastAsia="Palatino Linotype" w:hAnsi="Palatino Linotype" w:cs="Palatino Linotype"/>
          <w:i/>
          <w:iCs/>
          <w:color w:val="000000"/>
        </w:rPr>
        <w:t xml:space="preserve"> Simbología y escala gráfica;</w:t>
      </w:r>
    </w:p>
    <w:p w:rsidR="00A96018" w:rsidRDefault="00D02C3C">
      <w:pPr>
        <w:widowControl w:val="0"/>
        <w:tabs>
          <w:tab w:val="left" w:pos="426"/>
        </w:tabs>
        <w:spacing w:line="360" w:lineRule="auto"/>
        <w:ind w:left="426"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10.8.</w:t>
      </w:r>
      <w:r>
        <w:rPr>
          <w:rFonts w:ascii="Palatino Linotype" w:eastAsia="Palatino Linotype" w:hAnsi="Palatino Linotype" w:cs="Palatino Linotype"/>
          <w:i/>
          <w:iCs/>
          <w:color w:val="000000"/>
        </w:rPr>
        <w:t xml:space="preserve"> Datos generales de las áreas privativas y comunes;</w:t>
      </w:r>
    </w:p>
    <w:p w:rsidR="00A96018" w:rsidRDefault="00D02C3C">
      <w:pPr>
        <w:widowControl w:val="0"/>
        <w:tabs>
          <w:tab w:val="left" w:pos="426"/>
          <w:tab w:val="left" w:pos="1308"/>
        </w:tabs>
        <w:spacing w:line="360" w:lineRule="auto"/>
        <w:ind w:left="426"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10.9.</w:t>
      </w:r>
      <w:r>
        <w:rPr>
          <w:rFonts w:ascii="Palatino Linotype" w:eastAsia="Palatino Linotype" w:hAnsi="Palatino Linotype" w:cs="Palatino Linotype"/>
          <w:i/>
          <w:iCs/>
          <w:color w:val="000000"/>
        </w:rPr>
        <w:t xml:space="preserve"> Uso del suelo, y</w:t>
      </w:r>
    </w:p>
    <w:p w:rsidR="00A96018" w:rsidRDefault="00D02C3C">
      <w:pPr>
        <w:widowControl w:val="0"/>
        <w:tabs>
          <w:tab w:val="left" w:pos="426"/>
        </w:tabs>
        <w:spacing w:line="360" w:lineRule="auto"/>
        <w:ind w:left="426"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10.10.</w:t>
      </w:r>
      <w:r>
        <w:rPr>
          <w:rFonts w:ascii="Palatino Linotype" w:eastAsia="Palatino Linotype" w:hAnsi="Palatino Linotype" w:cs="Palatino Linotype"/>
          <w:i/>
          <w:iCs/>
          <w:color w:val="000000"/>
        </w:rPr>
        <w:t xml:space="preserve"> Nombre, cargo y firma del servidor público que autoriza.</w:t>
      </w:r>
    </w:p>
    <w:p w:rsidR="00A96018" w:rsidRDefault="00D02C3C">
      <w:pPr>
        <w:widowControl w:val="0"/>
        <w:spacing w:line="360" w:lineRule="auto"/>
        <w:ind w:left="426"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11.</w:t>
      </w:r>
      <w:r>
        <w:rPr>
          <w:rFonts w:ascii="Palatino Linotype" w:eastAsia="Palatino Linotype" w:hAnsi="Palatino Linotype" w:cs="Palatino Linotype"/>
          <w:i/>
          <w:iCs/>
          <w:color w:val="000000"/>
        </w:rPr>
        <w:t xml:space="preserve"> Certificado de Gravámenes con fecha de expedición no mayor a ciento veinte días de su </w:t>
      </w:r>
      <w:r>
        <w:rPr>
          <w:rFonts w:ascii="Palatino Linotype" w:eastAsia="Palatino Linotype" w:hAnsi="Palatino Linotype" w:cs="Palatino Linotype"/>
          <w:i/>
          <w:iCs/>
          <w:color w:val="000000"/>
        </w:rPr>
        <w:lastRenderedPageBreak/>
        <w:t>presentación, en caso que el predio objeto del condominio presente gravamen, la anuencia por escrito del acreedor, quien acreditará su personalidad jurídica, y</w:t>
      </w:r>
    </w:p>
    <w:p w:rsidR="00A96018" w:rsidRDefault="00D02C3C">
      <w:pPr>
        <w:widowControl w:val="0"/>
        <w:tabs>
          <w:tab w:val="left" w:pos="426"/>
        </w:tabs>
        <w:spacing w:line="360" w:lineRule="auto"/>
        <w:ind w:left="426"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12.</w:t>
      </w:r>
      <w:r>
        <w:rPr>
          <w:rFonts w:ascii="Palatino Linotype" w:eastAsia="Palatino Linotype" w:hAnsi="Palatino Linotype" w:cs="Palatino Linotype"/>
          <w:i/>
          <w:iCs/>
          <w:color w:val="000000"/>
        </w:rPr>
        <w:t xml:space="preserve"> Las demás autorizaciones, licencias, permisos, convenios, dictámenes u otros instrumentos que las disposiciones jurídicas aplicables señalen.</w:t>
      </w:r>
    </w:p>
    <w:p w:rsidR="00A96018" w:rsidRDefault="00D02C3C">
      <w:pPr>
        <w:widowControl w:val="0"/>
        <w:spacing w:line="360" w:lineRule="auto"/>
        <w:ind w:left="426" w:right="-989"/>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 xml:space="preserve">Tratándose de lotes para condominios previstos en autorizaciones de conjuntos urbanos y subdivisiones solamente se deberán presentar la solicitud correspondiente </w:t>
      </w:r>
      <w:r>
        <w:rPr>
          <w:rFonts w:ascii="Palatino Linotype" w:eastAsia="Palatino Linotype" w:hAnsi="Palatino Linotype" w:cs="Palatino Linotype"/>
          <w:b/>
          <w:bCs/>
          <w:i/>
          <w:iCs/>
          <w:color w:val="000000"/>
        </w:rPr>
        <w:t>acompañada de plano del condominio</w:t>
      </w:r>
      <w:r>
        <w:rPr>
          <w:rFonts w:ascii="Palatino Linotype" w:eastAsia="Palatino Linotype" w:hAnsi="Palatino Linotype" w:cs="Palatino Linotype"/>
          <w:i/>
          <w:iCs/>
          <w:color w:val="000000"/>
        </w:rPr>
        <w:t xml:space="preserve"> y Certificado de Gravámenes con fecha de expedición no mayor a ciento veinte días hábiles de su presentación, así como el documento que acredite la propiedad en el supuesto de actos traslativos de dominio o de subrogaciones.</w:t>
      </w:r>
    </w:p>
    <w:p w:rsidR="00A96018" w:rsidRDefault="00D02C3C">
      <w:pPr>
        <w:widowControl w:val="0"/>
        <w:spacing w:line="360" w:lineRule="auto"/>
        <w:ind w:left="426"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el caso de condominios de hasta veintinueve viviendas no se requerirá la Evaluación de Impacto Estatal, sin perjuicio de los dictámenes, opiniones o autorizaciones que determinen otras disposiciones legales aplicables.</w:t>
      </w:r>
    </w:p>
    <w:p w:rsidR="00A96018" w:rsidRDefault="00D02C3C">
      <w:pPr>
        <w:widowControl w:val="0"/>
        <w:spacing w:line="360" w:lineRule="auto"/>
        <w:ind w:left="426" w:right="-98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t xml:space="preserve">La Secretaría, en su caso, emitirá la autorización de condominio dentro de los cinco días siguientes a la presentación de la solicitud y de los documentos que deban acompañarla, previo el pago de los derechos respectivos.” </w:t>
      </w:r>
      <w:r>
        <w:rPr>
          <w:rFonts w:ascii="Palatino Linotype" w:eastAsia="Palatino Linotype" w:hAnsi="Palatino Linotype" w:cs="Palatino Linotype"/>
          <w:color w:val="000000"/>
        </w:rPr>
        <w:t>Énfasis propio</w:t>
      </w:r>
    </w:p>
    <w:p w:rsidR="00A96018" w:rsidRDefault="00A96018">
      <w:pPr>
        <w:spacing w:line="360" w:lineRule="auto"/>
        <w:ind w:right="-989"/>
        <w:jc w:val="both"/>
        <w:rPr>
          <w:rFonts w:ascii="Palatino Linotype" w:eastAsia="Palatino Linotype" w:hAnsi="Palatino Linotype" w:cs="Palatino Linotype"/>
        </w:rPr>
      </w:pPr>
    </w:p>
    <w:p w:rsidR="00A96018" w:rsidRDefault="00D02C3C">
      <w:pPr>
        <w:numPr>
          <w:ilvl w:val="0"/>
          <w:numId w:val="3"/>
        </w:numPr>
        <w:spacing w:line="360" w:lineRule="auto"/>
        <w:ind w:left="0" w:right="-989" w:firstLine="0"/>
        <w:jc w:val="both"/>
      </w:pPr>
      <w:r>
        <w:rPr>
          <w:rFonts w:ascii="Palatino Linotype" w:eastAsia="Palatino Linotype" w:hAnsi="Palatino Linotype" w:cs="Palatino Linotype"/>
        </w:rPr>
        <w:t xml:space="preserve">Como se desprende del artículo en cita, ciertamente no se advierten como requisitos las coordenadas geográficas (que corresponde a lo estrictamente solicitado inicialmente). Si bien en los requisitos, se enlista el croquis de localización local y regional, como atinadamente refiere 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en su escrito recursal; se estima que dicho requisito, corresponde a un contexto diverso, al existir diferencias entre un croquis de localización, que corresponde a una representación gráfica, mientras que las coordenadas geográficas indican una ubicación exacta mediante datos numéricos.</w:t>
      </w:r>
    </w:p>
    <w:p w:rsidR="00A96018" w:rsidRDefault="00D02C3C">
      <w:pPr>
        <w:numPr>
          <w:ilvl w:val="0"/>
          <w:numId w:val="3"/>
        </w:numPr>
        <w:spacing w:line="360" w:lineRule="auto"/>
        <w:ind w:left="0" w:right="-989" w:firstLine="0"/>
        <w:jc w:val="both"/>
      </w:pPr>
      <w:r>
        <w:rPr>
          <w:rFonts w:ascii="Palatino Linotype" w:eastAsia="Palatino Linotype" w:hAnsi="Palatino Linotype" w:cs="Palatino Linotype"/>
        </w:rPr>
        <w:lastRenderedPageBreak/>
        <w:t>Es decir, un croquis de localización corresponde a un esquema para identificar dónde se encuentra un inmueble, en relación con calles, avenidas, referencias o puntos conocidos, mientras que las coordenadas geográficas son datos numéricos que permiten ubicar un punto exacto sobre la Tierra usando la latitud y la longitud.</w:t>
      </w:r>
    </w:p>
    <w:p w:rsidR="00A96018" w:rsidRDefault="00A96018">
      <w:pPr>
        <w:pBdr>
          <w:top w:val="nil"/>
          <w:left w:val="nil"/>
          <w:bottom w:val="nil"/>
          <w:right w:val="nil"/>
          <w:between w:val="nil"/>
        </w:pBdr>
        <w:ind w:left="720" w:right="-989"/>
        <w:rPr>
          <w:rFonts w:ascii="Palatino Linotype" w:eastAsia="Palatino Linotype" w:hAnsi="Palatino Linotype" w:cs="Palatino Linotype"/>
          <w:color w:val="000000"/>
        </w:rPr>
      </w:pPr>
    </w:p>
    <w:p w:rsidR="00A96018" w:rsidRDefault="00D02C3C">
      <w:pPr>
        <w:numPr>
          <w:ilvl w:val="0"/>
          <w:numId w:val="3"/>
        </w:numPr>
        <w:spacing w:line="360" w:lineRule="auto"/>
        <w:ind w:left="0" w:right="-989" w:firstLine="0"/>
        <w:jc w:val="both"/>
      </w:pPr>
      <w:r>
        <w:rPr>
          <w:rFonts w:ascii="Palatino Linotype" w:eastAsia="Palatino Linotype" w:hAnsi="Palatino Linotype" w:cs="Palatino Linotype"/>
        </w:rPr>
        <w:t xml:space="preserve">No obstante lo anterior,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en su informe justificado, modifica su respuesta al señalar que se adjuntan dos planos correspondientes a la autorización que se encuentran en los archivos en los archivos de la Dirección General de Planeación Urbana, en las que se encuentran algunas coordenadas UTP, lo que resulta dable; pues si bien no es un requisito, tampoco es un obstáculo para que en el soporte documental que se posee y administra, eventualmente si obre dicha información, dada su propia y especial naturaleza.</w:t>
      </w:r>
    </w:p>
    <w:p w:rsidR="00A96018" w:rsidRDefault="00A96018">
      <w:pPr>
        <w:pBdr>
          <w:top w:val="nil"/>
          <w:left w:val="nil"/>
          <w:bottom w:val="nil"/>
          <w:right w:val="nil"/>
          <w:between w:val="nil"/>
        </w:pBdr>
        <w:spacing w:line="360" w:lineRule="auto"/>
        <w:ind w:left="720" w:right="-989"/>
        <w:rPr>
          <w:rFonts w:ascii="Palatino Linotype" w:eastAsia="Palatino Linotype" w:hAnsi="Palatino Linotype" w:cs="Palatino Linotype"/>
          <w:color w:val="000000"/>
        </w:rPr>
      </w:pPr>
    </w:p>
    <w:p w:rsidR="00A96018" w:rsidRDefault="00D02C3C">
      <w:pPr>
        <w:numPr>
          <w:ilvl w:val="0"/>
          <w:numId w:val="3"/>
        </w:numPr>
        <w:spacing w:line="360" w:lineRule="auto"/>
        <w:ind w:left="0" w:right="-989" w:firstLine="0"/>
        <w:jc w:val="both"/>
      </w:pPr>
      <w:r>
        <w:rPr>
          <w:rFonts w:ascii="Palatino Linotype" w:eastAsia="Palatino Linotype" w:hAnsi="Palatino Linotype" w:cs="Palatino Linotype"/>
        </w:rPr>
        <w:t xml:space="preserve">Por otro lado, respecto de las colindancias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 su respuesta también refiere que corresponde a información que no forma parte de los requisitos de autorización. Contexto que se comparte; toda vez que del precepto transcrito las colindancias no aparecen expresamente mencionadas como un requisito específico.</w:t>
      </w:r>
    </w:p>
    <w:p w:rsidR="00A96018" w:rsidRDefault="00A96018">
      <w:pPr>
        <w:spacing w:line="360" w:lineRule="auto"/>
        <w:ind w:right="-989"/>
        <w:jc w:val="both"/>
        <w:rPr>
          <w:rFonts w:ascii="Palatino Linotype" w:eastAsia="Palatino Linotype" w:hAnsi="Palatino Linotype" w:cs="Palatino Linotype"/>
        </w:rPr>
      </w:pPr>
    </w:p>
    <w:p w:rsidR="00A96018" w:rsidRDefault="00D02C3C">
      <w:pPr>
        <w:numPr>
          <w:ilvl w:val="0"/>
          <w:numId w:val="3"/>
        </w:numPr>
        <w:spacing w:line="360" w:lineRule="auto"/>
        <w:ind w:left="0" w:right="-989" w:firstLine="0"/>
        <w:jc w:val="both"/>
      </w:pPr>
      <w:r>
        <w:rPr>
          <w:rFonts w:ascii="Palatino Linotype" w:eastAsia="Palatino Linotype" w:hAnsi="Palatino Linotype" w:cs="Palatino Linotype"/>
        </w:rPr>
        <w:t>Sin embargo, pueden encontrarse implícitamente contenidas dentro de algunos documentos técnicos que sí se exigen, particularmente en: el título de propiedad (fracción 1), el plano de distribución del condominio (numeral 10), o la situación original del inmueble (10.1), como aconteció en el rubro anterior relativo a las coordenadas.</w:t>
      </w:r>
    </w:p>
    <w:p w:rsidR="00A96018" w:rsidRDefault="00A96018">
      <w:pPr>
        <w:spacing w:line="360" w:lineRule="auto"/>
        <w:ind w:right="-989"/>
        <w:jc w:val="both"/>
        <w:rPr>
          <w:rFonts w:ascii="Palatino Linotype" w:eastAsia="Palatino Linotype" w:hAnsi="Palatino Linotype" w:cs="Palatino Linotype"/>
        </w:rPr>
      </w:pPr>
    </w:p>
    <w:p w:rsidR="00A96018" w:rsidRDefault="00D02C3C">
      <w:pPr>
        <w:numPr>
          <w:ilvl w:val="0"/>
          <w:numId w:val="3"/>
        </w:numPr>
        <w:spacing w:line="360" w:lineRule="auto"/>
        <w:ind w:left="0" w:right="-989" w:firstLine="0"/>
        <w:jc w:val="both"/>
      </w:pPr>
      <w:r>
        <w:rPr>
          <w:rFonts w:ascii="Palatino Linotype" w:eastAsia="Palatino Linotype" w:hAnsi="Palatino Linotype" w:cs="Palatino Linotype"/>
        </w:rPr>
        <w:t xml:space="preserve">Esto ocurre, en razón de que las escrituras o títulos de propiedad contienen descripción del predio, medidas y colindancias; y los planos técnicos suelen representar el </w:t>
      </w:r>
      <w:r>
        <w:rPr>
          <w:rFonts w:ascii="Palatino Linotype" w:eastAsia="Palatino Linotype" w:hAnsi="Palatino Linotype" w:cs="Palatino Linotype"/>
        </w:rPr>
        <w:lastRenderedPageBreak/>
        <w:t>perímetro y límites del inmueble, como ciertamente se aprecia en los planos remitidos en calidad de informe justificado.</w:t>
      </w:r>
    </w:p>
    <w:p w:rsidR="00A96018" w:rsidRDefault="00A96018">
      <w:pPr>
        <w:pBdr>
          <w:top w:val="nil"/>
          <w:left w:val="nil"/>
          <w:bottom w:val="nil"/>
          <w:right w:val="nil"/>
          <w:between w:val="nil"/>
        </w:pBdr>
        <w:ind w:left="720" w:right="-989"/>
        <w:rPr>
          <w:rFonts w:ascii="Palatino Linotype" w:eastAsia="Palatino Linotype" w:hAnsi="Palatino Linotype" w:cs="Palatino Linotype"/>
          <w:color w:val="000000"/>
        </w:rPr>
      </w:pPr>
    </w:p>
    <w:p w:rsidR="00A96018" w:rsidRDefault="00D02C3C">
      <w:pPr>
        <w:numPr>
          <w:ilvl w:val="0"/>
          <w:numId w:val="3"/>
        </w:numPr>
        <w:spacing w:line="360" w:lineRule="auto"/>
        <w:ind w:left="0" w:right="-989" w:firstLine="0"/>
        <w:jc w:val="both"/>
      </w:pPr>
      <w:r>
        <w:rPr>
          <w:rFonts w:ascii="Palatino Linotype" w:eastAsia="Palatino Linotype" w:hAnsi="Palatino Linotype" w:cs="Palatino Linotype"/>
        </w:rPr>
        <w:t xml:space="preserve">Luego entonces, si bien el artículo en cita, no prevé expresamente que se deberán presentarse las colindancias, ni establece la entrega de algún documento que pudiera denominarse “constancia de colindancias”, “relación de colindancias”, o “descripción de linderos”; también lo es que si el </w:t>
      </w:r>
      <w:r>
        <w:rPr>
          <w:rFonts w:ascii="Palatino Linotype" w:eastAsia="Palatino Linotype" w:hAnsi="Palatino Linotype" w:cs="Palatino Linotype"/>
          <w:b/>
          <w:bCs/>
        </w:rPr>
        <w:t>SUJETO OBLIGADO</w:t>
      </w:r>
      <w:r>
        <w:rPr>
          <w:rFonts w:ascii="Palatino Linotype" w:eastAsia="Palatino Linotype" w:hAnsi="Palatino Linotype" w:cs="Palatino Linotype"/>
        </w:rPr>
        <w:t>, genere, posee y administra una expresión documental en que conste o se advierte lo solicitado, el cual se debió poner a disposición para su entrega en copias certificadas de conformidad al con el Criterio 16/17 emitido por el entonces Instituto Nacional de Transparencia, Acceso a la Información y Protección de Datos Personales (INAI), a saber:</w:t>
      </w:r>
    </w:p>
    <w:p w:rsidR="00A96018" w:rsidRDefault="00D02C3C">
      <w:pPr>
        <w:pBdr>
          <w:top w:val="nil"/>
          <w:left w:val="nil"/>
          <w:bottom w:val="nil"/>
          <w:right w:val="nil"/>
          <w:between w:val="nil"/>
        </w:pBdr>
        <w:spacing w:line="360" w:lineRule="auto"/>
        <w:ind w:left="567" w:right="-989"/>
        <w:jc w:val="both"/>
        <w:rPr>
          <w:rFonts w:ascii="Palatino Linotype" w:eastAsia="Palatino Linotype" w:hAnsi="Palatino Linotype" w:cs="Palatino Linotype"/>
        </w:rPr>
      </w:pPr>
      <w:r>
        <w:rPr>
          <w:rFonts w:ascii="Palatino Linotype" w:eastAsia="Palatino Linotype" w:hAnsi="Palatino Linotype" w:cs="Palatino Linotype"/>
        </w:rPr>
        <w:t>“</w:t>
      </w:r>
      <w:r>
        <w:rPr>
          <w:rFonts w:ascii="Palatino Linotype" w:eastAsia="Palatino Linotype" w:hAnsi="Palatino Linotype" w:cs="Palatino Linotype"/>
          <w:b/>
          <w:bCs/>
          <w:i/>
          <w:iCs/>
        </w:rPr>
        <w:t xml:space="preserve">Expresión documental. </w:t>
      </w:r>
      <w:r>
        <w:rPr>
          <w:rFonts w:ascii="Palatino Linotype" w:eastAsia="Palatino Linotype" w:hAnsi="Palatino Linotype" w:cs="Palatino Linotype"/>
          <w:i/>
          <w:iCs/>
        </w:rPr>
        <w:t>Cuando los particulares presenten solicitudes de acceso a la información sin identificar de forma precisa la documentación que pudiera contener la información de su interés, o bien, la solicitud constituya una consulta, pero la respuesta pudiera obrar en algún documento en poder de los sujetos obligados, éstos deben dar a dichas solicitudes una interpretación que les otorgue una expresión documental.”</w:t>
      </w:r>
    </w:p>
    <w:p w:rsidR="00A96018" w:rsidRDefault="00A96018">
      <w:pPr>
        <w:spacing w:line="360" w:lineRule="auto"/>
        <w:ind w:right="-989"/>
        <w:jc w:val="both"/>
        <w:rPr>
          <w:rFonts w:ascii="Palatino Linotype" w:eastAsia="Palatino Linotype" w:hAnsi="Palatino Linotype" w:cs="Palatino Linotype"/>
        </w:rPr>
      </w:pPr>
    </w:p>
    <w:p w:rsidR="00A96018" w:rsidRDefault="00D02C3C">
      <w:pPr>
        <w:numPr>
          <w:ilvl w:val="0"/>
          <w:numId w:val="3"/>
        </w:numPr>
        <w:spacing w:line="360" w:lineRule="auto"/>
        <w:ind w:left="0" w:right="-989" w:firstLine="0"/>
        <w:jc w:val="both"/>
      </w:pPr>
      <w:r>
        <w:rPr>
          <w:rFonts w:ascii="Palatino Linotype" w:eastAsia="Palatino Linotype" w:hAnsi="Palatino Linotype" w:cs="Palatino Linotype"/>
        </w:rPr>
        <w:t xml:space="preserve">No pasa desapercibido, que si bien los planos de referencia, se pusieron a su disposición para su consulta y en su caso la adquisición de copias certificadas –solo si era su pretensión– también lo es que no se hizo del conocimiento que en dicho soporte documental obra información relacionado, limitando la respuesta a señalar que no es requisito. </w:t>
      </w:r>
    </w:p>
    <w:p w:rsidR="00A96018" w:rsidRDefault="00A96018">
      <w:pPr>
        <w:spacing w:line="360" w:lineRule="auto"/>
        <w:ind w:right="-989"/>
        <w:jc w:val="both"/>
        <w:rPr>
          <w:rFonts w:ascii="Palatino Linotype" w:eastAsia="Palatino Linotype" w:hAnsi="Palatino Linotype" w:cs="Palatino Linotype"/>
        </w:rPr>
      </w:pPr>
    </w:p>
    <w:p w:rsidR="00A96018" w:rsidRDefault="00D02C3C">
      <w:pPr>
        <w:numPr>
          <w:ilvl w:val="0"/>
          <w:numId w:val="3"/>
        </w:numPr>
        <w:spacing w:line="360" w:lineRule="auto"/>
        <w:ind w:left="0" w:right="-989" w:firstLine="0"/>
        <w:jc w:val="both"/>
      </w:pPr>
      <w:r>
        <w:rPr>
          <w:rFonts w:ascii="Palatino Linotype" w:eastAsia="Palatino Linotype" w:hAnsi="Palatino Linotype" w:cs="Palatino Linotype"/>
        </w:rPr>
        <w:t xml:space="preserve">Por otro lado, señalar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emitió una respuesta conforme a lo dispuesto en el artículo 161 de la Ley de la Materia, a saber:</w:t>
      </w:r>
    </w:p>
    <w:p w:rsidR="00A96018" w:rsidRDefault="00D02C3C">
      <w:pPr>
        <w:spacing w:line="360" w:lineRule="auto"/>
        <w:ind w:left="426" w:right="-989"/>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“Artículo 161. Cuando la información requerida por el solicitante ya esté disponible al público en medios impresos, tales como libros, compendios, trípticos, registros públicos, en formatos electrónicos disponibles en Internet o en cualquier otro medio, 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w:t>
      </w:r>
    </w:p>
    <w:p w:rsidR="00A96018" w:rsidRDefault="00A96018">
      <w:pPr>
        <w:spacing w:line="360" w:lineRule="auto"/>
        <w:ind w:right="-989"/>
        <w:jc w:val="both"/>
        <w:rPr>
          <w:rFonts w:ascii="Palatino Linotype" w:eastAsia="Palatino Linotype" w:hAnsi="Palatino Linotype" w:cs="Palatino Linotype"/>
        </w:rPr>
      </w:pPr>
    </w:p>
    <w:p w:rsidR="00A96018" w:rsidRDefault="00D02C3C">
      <w:pPr>
        <w:numPr>
          <w:ilvl w:val="0"/>
          <w:numId w:val="3"/>
        </w:numPr>
        <w:spacing w:line="360" w:lineRule="auto"/>
        <w:ind w:left="0" w:right="-989" w:firstLine="0"/>
        <w:jc w:val="both"/>
      </w:pPr>
      <w:r>
        <w:rPr>
          <w:rFonts w:ascii="Palatino Linotype" w:eastAsia="Palatino Linotype" w:hAnsi="Palatino Linotype" w:cs="Palatino Linotype"/>
        </w:rPr>
        <w:t>Efectivamente, dicho precepto legal, contempla el supuesto, para el caso de que la información ya existe en un medio público, los sujetos obligados pueden señalar en el término de cinco días hábiles indicar al solicitante la fuente, el lugar, y la forma en que puede consultarla, reproducirla o adquirirla, como ocurrió en el presente asunto.</w:t>
      </w:r>
    </w:p>
    <w:p w:rsidR="00A96018" w:rsidRDefault="00A96018">
      <w:pPr>
        <w:spacing w:line="360" w:lineRule="auto"/>
        <w:ind w:right="-989"/>
        <w:jc w:val="both"/>
        <w:rPr>
          <w:rFonts w:ascii="Palatino Linotype" w:eastAsia="Palatino Linotype" w:hAnsi="Palatino Linotype" w:cs="Palatino Linotype"/>
        </w:rPr>
      </w:pPr>
    </w:p>
    <w:p w:rsidR="00A96018" w:rsidRDefault="00D02C3C">
      <w:pPr>
        <w:numPr>
          <w:ilvl w:val="0"/>
          <w:numId w:val="3"/>
        </w:numPr>
        <w:spacing w:line="360" w:lineRule="auto"/>
        <w:ind w:left="0" w:right="-989" w:firstLine="0"/>
        <w:jc w:val="both"/>
      </w:pPr>
      <w:r>
        <w:rPr>
          <w:rFonts w:ascii="Palatino Linotype" w:eastAsia="Palatino Linotype" w:hAnsi="Palatino Linotype" w:cs="Palatino Linotype"/>
        </w:rPr>
        <w:t>Esto para garantizar que el ciudadano pueda localizar la información de manera fácil, clara y accesible, pero, si bien es cierto, el artículo 161 de la Ley de Transparencia y Acceso a la Información Pública del Estado de México y Municipios establece una regla práctica para los sujetos obligados cuando la información que solicita una persona ya se encuentra públicamente disponible; también lo es que debe privilegiarse (en ciertos casos) la entrega mediante el sistema SAIMEX porque dicho sistema materializa varios principios fundamentales del derecho de acceso a la información.</w:t>
      </w:r>
    </w:p>
    <w:p w:rsidR="00A96018" w:rsidRDefault="00A96018">
      <w:pPr>
        <w:spacing w:line="360" w:lineRule="auto"/>
        <w:ind w:left="502" w:right="-989"/>
        <w:jc w:val="both"/>
        <w:rPr>
          <w:rFonts w:ascii="Palatino Linotype" w:eastAsia="Palatino Linotype" w:hAnsi="Palatino Linotype" w:cs="Palatino Linotype"/>
        </w:rPr>
      </w:pPr>
    </w:p>
    <w:p w:rsidR="00A96018" w:rsidRDefault="00D02C3C">
      <w:pPr>
        <w:numPr>
          <w:ilvl w:val="0"/>
          <w:numId w:val="3"/>
        </w:numPr>
        <w:spacing w:line="360" w:lineRule="auto"/>
        <w:ind w:left="0" w:right="-989" w:firstLine="0"/>
        <w:jc w:val="both"/>
      </w:pPr>
      <w:r>
        <w:rPr>
          <w:rFonts w:ascii="Palatino Linotype" w:eastAsia="Palatino Linotype" w:hAnsi="Palatino Linotype" w:cs="Palatino Linotype"/>
        </w:rPr>
        <w:t>Dicho precepto, no tiene el objetivo de únicamente “cumplir” formalmente con una respuesta, sino asegurar que la persona realmente pueda acceder a la información solicitada.</w:t>
      </w:r>
    </w:p>
    <w:p w:rsidR="00A96018" w:rsidRDefault="00D02C3C">
      <w:pPr>
        <w:numPr>
          <w:ilvl w:val="0"/>
          <w:numId w:val="3"/>
        </w:numPr>
        <w:spacing w:line="360" w:lineRule="auto"/>
        <w:ind w:left="0" w:right="-989" w:firstLine="0"/>
        <w:jc w:val="both"/>
      </w:pPr>
      <w:r>
        <w:rPr>
          <w:rFonts w:ascii="Palatino Linotype" w:eastAsia="Palatino Linotype" w:hAnsi="Palatino Linotype" w:cs="Palatino Linotype"/>
        </w:rPr>
        <w:lastRenderedPageBreak/>
        <w:t xml:space="preserve">Por ello, debe privilegiarse una respuesta que facilite el acceso de manera directa y sencilla, en observancia al principio de máxima publicidad; es decir, toda información pública debe entregarse de la forma más accesible posible; y las autoridades deben favorecer la transparencia, evitando cargas innecesarias al ciudadano, barreras técnicas, o de otra índole como lo son traslados del ciudadano, como ocurre en el caso concreto con la puesta a disposición en oficinas que ocupa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y no un enlace de Internet, por ejemplo.</w:t>
      </w:r>
    </w:p>
    <w:p w:rsidR="00A96018" w:rsidRDefault="00A96018">
      <w:pPr>
        <w:spacing w:line="360" w:lineRule="auto"/>
        <w:ind w:right="-989"/>
        <w:jc w:val="both"/>
        <w:rPr>
          <w:rFonts w:ascii="Palatino Linotype" w:eastAsia="Palatino Linotype" w:hAnsi="Palatino Linotype" w:cs="Palatino Linotype"/>
        </w:rPr>
      </w:pPr>
    </w:p>
    <w:p w:rsidR="00A96018" w:rsidRDefault="00D02C3C">
      <w:pPr>
        <w:numPr>
          <w:ilvl w:val="0"/>
          <w:numId w:val="3"/>
        </w:numPr>
        <w:spacing w:line="360" w:lineRule="auto"/>
        <w:ind w:left="0" w:right="-989" w:firstLine="0"/>
        <w:jc w:val="both"/>
      </w:pPr>
      <w:r>
        <w:rPr>
          <w:rFonts w:ascii="Palatino Linotype" w:eastAsia="Palatino Linotype" w:hAnsi="Palatino Linotype" w:cs="Palatino Linotype"/>
        </w:rPr>
        <w:t xml:space="preserve">Luego entonces, aunque la ley permite remitir al solicitante a fuentes públicas ya existentes, debe privilegiarse la entrega a través de SAIMEX porque ello garantiza un acceso más efectivo, claro, accesible, verificable y acorde con el principio de máxima publicidad. Contexto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materializa con su informe justificado, aun y cuando la única modalidad de entrega de la información correspondió en copias certificadas con costo.</w:t>
      </w:r>
    </w:p>
    <w:p w:rsidR="00A96018" w:rsidRDefault="00A96018">
      <w:pPr>
        <w:spacing w:line="360" w:lineRule="auto"/>
        <w:ind w:right="-989"/>
        <w:jc w:val="both"/>
        <w:rPr>
          <w:rFonts w:ascii="Palatino Linotype" w:eastAsia="Palatino Linotype" w:hAnsi="Palatino Linotype" w:cs="Palatino Linotype"/>
        </w:rPr>
      </w:pPr>
    </w:p>
    <w:p w:rsidR="00A96018" w:rsidRDefault="00D02C3C">
      <w:pPr>
        <w:numPr>
          <w:ilvl w:val="0"/>
          <w:numId w:val="3"/>
        </w:numPr>
        <w:spacing w:line="360" w:lineRule="auto"/>
        <w:ind w:left="0" w:right="-989" w:firstLine="0"/>
        <w:jc w:val="both"/>
      </w:pPr>
      <w:r>
        <w:rPr>
          <w:rFonts w:ascii="Palatino Linotype" w:eastAsia="Palatino Linotype" w:hAnsi="Palatino Linotype" w:cs="Palatino Linotype"/>
        </w:rPr>
        <w:t xml:space="preserve">En esa tesitura, ya que en el presente asunto se requirió expresamente la entrega de la información en copias certificadas, corresponde a una situación resulta ineludible para el particular, acudir a las oficinas que ocupa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aun y cuando la respuesta se haya fundado en el citado artículo 161 de la Ley de la Materia;</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toda vez que los </w:t>
      </w:r>
      <w:r>
        <w:rPr>
          <w:rFonts w:ascii="Palatino Linotype" w:eastAsia="Palatino Linotype" w:hAnsi="Palatino Linotype" w:cs="Palatino Linotype"/>
          <w:color w:val="000000"/>
        </w:rPr>
        <w:t xml:space="preserve">Lineamientos para la recepción, trámite y resolución de las solicitudes de acceso a la información, así como de los recursos de revisión, que deberán observar los Sujetos Obligados </w:t>
      </w:r>
      <w:r>
        <w:rPr>
          <w:rFonts w:ascii="Palatino Linotype" w:eastAsia="Palatino Linotype" w:hAnsi="Palatino Linotype" w:cs="Palatino Linotype"/>
          <w:color w:val="000000"/>
        </w:rPr>
        <w:lastRenderedPageBreak/>
        <w:t>por la Ley de Transparencia y Acceso a la Información Pública del Estado de México y Municipios</w:t>
      </w:r>
      <w:r>
        <w:rPr>
          <w:rFonts w:ascii="Palatino Linotype" w:eastAsia="Palatino Linotype" w:hAnsi="Palatino Linotype" w:cs="Palatino Linotype"/>
          <w:color w:val="000000"/>
          <w:vertAlign w:val="superscript"/>
        </w:rPr>
        <w:footnoteReference w:id="1"/>
      </w:r>
      <w:r>
        <w:rPr>
          <w:rFonts w:ascii="Palatino Linotype" w:eastAsia="Palatino Linotype" w:hAnsi="Palatino Linotype" w:cs="Palatino Linotype"/>
          <w:color w:val="000000"/>
        </w:rPr>
        <w:t>, mismos que se transcriben a continuación:</w:t>
      </w:r>
    </w:p>
    <w:p w:rsidR="00A96018" w:rsidRDefault="00D02C3C">
      <w:pPr>
        <w:spacing w:line="360" w:lineRule="auto"/>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TREINTA Y OCHO</w:t>
      </w:r>
      <w:r>
        <w:rPr>
          <w:rFonts w:ascii="Palatino Linotype" w:eastAsia="Palatino Linotype" w:hAnsi="Palatino Linotype" w:cs="Palatino Linotype"/>
          <w:i/>
          <w:iCs/>
          <w:color w:val="000000"/>
        </w:rPr>
        <w:t xml:space="preserve">. Las Unidades de Información tramitarán las solicitudes de información pública internamente de la siguiente forma: </w:t>
      </w:r>
    </w:p>
    <w:p w:rsidR="00A96018" w:rsidRDefault="00D02C3C">
      <w:pPr>
        <w:spacing w:line="360" w:lineRule="auto"/>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A96018" w:rsidRDefault="00D02C3C">
      <w:pPr>
        <w:spacing w:line="360" w:lineRule="auto"/>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d) Hecho lo anterior la Unidad de Información </w:t>
      </w:r>
      <w:r>
        <w:rPr>
          <w:rFonts w:ascii="Palatino Linotype" w:eastAsia="Palatino Linotype" w:hAnsi="Palatino Linotype" w:cs="Palatino Linotype"/>
          <w:b/>
          <w:bCs/>
          <w:i/>
          <w:iCs/>
          <w:color w:val="000000"/>
        </w:rPr>
        <w:t>emitirá el oficio de respuesta correspondiente en donde se deberá precisar</w:t>
      </w:r>
      <w:r>
        <w:rPr>
          <w:rFonts w:ascii="Palatino Linotype" w:eastAsia="Palatino Linotype" w:hAnsi="Palatino Linotype" w:cs="Palatino Linotype"/>
          <w:i/>
          <w:iCs/>
          <w:color w:val="000000"/>
        </w:rPr>
        <w:t>: (…)</w:t>
      </w:r>
    </w:p>
    <w:p w:rsidR="00A96018" w:rsidRDefault="00A96018">
      <w:pPr>
        <w:spacing w:line="360" w:lineRule="auto"/>
        <w:ind w:left="567" w:right="-989"/>
        <w:jc w:val="both"/>
        <w:rPr>
          <w:rFonts w:ascii="Palatino Linotype" w:eastAsia="Palatino Linotype" w:hAnsi="Palatino Linotype" w:cs="Palatino Linotype"/>
          <w:i/>
          <w:iCs/>
          <w:color w:val="000000"/>
        </w:rPr>
      </w:pPr>
    </w:p>
    <w:p w:rsidR="00A96018" w:rsidRDefault="00D02C3C">
      <w:pPr>
        <w:spacing w:line="360" w:lineRule="auto"/>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f) </w:t>
      </w:r>
      <w:r>
        <w:rPr>
          <w:rFonts w:ascii="Palatino Linotype" w:eastAsia="Palatino Linotype" w:hAnsi="Palatino Linotype" w:cs="Palatino Linotype"/>
          <w:b/>
          <w:bCs/>
          <w:i/>
          <w:iCs/>
          <w:color w:val="000000"/>
        </w:rPr>
        <w:t>El costo total por la reproducción de la información, en caso de que así la hubiere solicitado, si técnicamente le fuera factible su reproducción, así como la orientación respecto al lugar y el procedimiento para realizar el pago correspondiente</w:t>
      </w:r>
      <w:r>
        <w:rPr>
          <w:rFonts w:ascii="Palatino Linotype" w:eastAsia="Palatino Linotype" w:hAnsi="Palatino Linotype" w:cs="Palatino Linotype"/>
          <w:i/>
          <w:iCs/>
          <w:color w:val="000000"/>
        </w:rPr>
        <w:t>...”</w:t>
      </w:r>
    </w:p>
    <w:p w:rsidR="00A96018" w:rsidRDefault="00A96018">
      <w:pPr>
        <w:spacing w:line="360" w:lineRule="auto"/>
        <w:ind w:left="567" w:right="-989"/>
        <w:jc w:val="both"/>
        <w:rPr>
          <w:rFonts w:ascii="Palatino Linotype" w:eastAsia="Palatino Linotype" w:hAnsi="Palatino Linotype" w:cs="Palatino Linotype"/>
          <w:i/>
          <w:iCs/>
          <w:color w:val="000000"/>
        </w:rPr>
      </w:pPr>
    </w:p>
    <w:p w:rsidR="00A96018" w:rsidRDefault="00D02C3C">
      <w:pPr>
        <w:spacing w:line="360" w:lineRule="auto"/>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CINCUENTA Y CINCO</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b/>
          <w:bCs/>
          <w:i/>
          <w:iCs/>
          <w:color w:val="000000"/>
        </w:rPr>
        <w:t>En caso de que el particular hubiera solicitado, copias simples, copias certificadas o cualquier otro medio en el cual se encuentre la información, se deberá exhibir previamente el pago correspondiente</w:t>
      </w:r>
      <w:r>
        <w:rPr>
          <w:rFonts w:ascii="Palatino Linotype" w:eastAsia="Palatino Linotype" w:hAnsi="Palatino Linotype" w:cs="Palatino Linotype"/>
          <w:i/>
          <w:iCs/>
          <w:color w:val="000000"/>
        </w:rPr>
        <w:t xml:space="preserve"> o, en su caso, el medio magnético en el cual hubiere solicitado la información, si técnicamente fuera factible su reproducción a efecto de que pueda ser entregada en los medios solicitados.”</w:t>
      </w:r>
    </w:p>
    <w:p w:rsidR="00A96018" w:rsidRDefault="00A96018">
      <w:pPr>
        <w:spacing w:line="360" w:lineRule="auto"/>
        <w:ind w:left="567" w:right="-989"/>
        <w:jc w:val="both"/>
        <w:rPr>
          <w:rFonts w:ascii="Palatino Linotype" w:eastAsia="Palatino Linotype" w:hAnsi="Palatino Linotype" w:cs="Palatino Linotype"/>
          <w:i/>
          <w:iCs/>
          <w:color w:val="000000"/>
        </w:rPr>
      </w:pPr>
    </w:p>
    <w:p w:rsidR="00A96018" w:rsidRDefault="00D02C3C">
      <w:pPr>
        <w:spacing w:line="360" w:lineRule="auto"/>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El recibo de pago, así como la constancia de entrega del medio magnético por parte del solicitante a la Unidad de Información, deberán agregarse al expediente electrónico.</w:t>
      </w:r>
    </w:p>
    <w:p w:rsidR="00A96018" w:rsidRDefault="00A96018">
      <w:pPr>
        <w:spacing w:line="360" w:lineRule="auto"/>
        <w:ind w:left="567" w:right="-989"/>
        <w:jc w:val="both"/>
        <w:rPr>
          <w:rFonts w:ascii="Palatino Linotype" w:eastAsia="Palatino Linotype" w:hAnsi="Palatino Linotype" w:cs="Palatino Linotype"/>
          <w:i/>
          <w:iCs/>
          <w:color w:val="000000"/>
        </w:rPr>
      </w:pPr>
    </w:p>
    <w:p w:rsidR="00A96018" w:rsidRDefault="00D02C3C">
      <w:pPr>
        <w:spacing w:line="360" w:lineRule="auto"/>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CINCUENTA Y SEIS</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b/>
          <w:bCs/>
          <w:i/>
          <w:iCs/>
          <w:color w:val="000000"/>
        </w:rPr>
        <w:t xml:space="preserve">El costo por la reproducción de la información se sujetará a las disposiciones del Código Financiero del Estado de México y Municipios </w:t>
      </w:r>
      <w:r>
        <w:rPr>
          <w:rFonts w:ascii="Palatino Linotype" w:eastAsia="Palatino Linotype" w:hAnsi="Palatino Linotype" w:cs="Palatino Linotype"/>
          <w:i/>
          <w:iCs/>
          <w:color w:val="000000"/>
        </w:rPr>
        <w:t>y demás normatividad aplicable.”</w:t>
      </w:r>
    </w:p>
    <w:p w:rsidR="00A96018" w:rsidRDefault="00A96018">
      <w:pPr>
        <w:spacing w:line="360" w:lineRule="auto"/>
        <w:ind w:right="-989"/>
        <w:jc w:val="both"/>
        <w:rPr>
          <w:rFonts w:ascii="Palatino Linotype" w:eastAsia="Palatino Linotype" w:hAnsi="Palatino Linotype" w:cs="Palatino Linotype"/>
        </w:rPr>
      </w:pPr>
    </w:p>
    <w:p w:rsidR="00A96018" w:rsidRDefault="00D02C3C">
      <w:pPr>
        <w:numPr>
          <w:ilvl w:val="0"/>
          <w:numId w:val="3"/>
        </w:numPr>
        <w:spacing w:line="360" w:lineRule="auto"/>
        <w:ind w:left="0" w:right="-989" w:firstLine="0"/>
        <w:jc w:val="both"/>
      </w:pPr>
      <w:r>
        <w:rPr>
          <w:rFonts w:ascii="Palatino Linotype" w:eastAsia="Palatino Linotype" w:hAnsi="Palatino Linotype" w:cs="Palatino Linotype"/>
        </w:rPr>
        <w:t>Establecen que corresponde a la Unidad de Transparencia</w:t>
      </w:r>
      <w:r>
        <w:rPr>
          <w:rFonts w:ascii="Palatino Linotype" w:eastAsia="Palatino Linotype" w:hAnsi="Palatino Linotype" w:cs="Palatino Linotype"/>
          <w:vertAlign w:val="superscript"/>
        </w:rPr>
        <w:t xml:space="preserve"> </w:t>
      </w:r>
      <w:r>
        <w:rPr>
          <w:rFonts w:ascii="Palatino Linotype" w:eastAsia="Palatino Linotype" w:hAnsi="Palatino Linotype" w:cs="Palatino Linotype"/>
        </w:rPr>
        <w:t>que cuente con la información motivo de la solicitud de acceso de que se trate, referir en el oficio que emita en respuesta a la misma, el costo total de reproducción de la información, así como la referencia del lugar y el procedimiento correspondiente para efectuar el pago respectivo, toda vez que cuando se soliciten copias ya sean simples o certificadas se deberá de exhibir previamente el pago correspondiente para que proceda su entrega, el cual será agregado al expediente electrónico, sujetándose para el establecimiento del costo en las disposiciones que para tal supuesto se prevén en el Código Financiero del Estado de México y Municipios, así como en la normatividad aplicable.</w:t>
      </w:r>
    </w:p>
    <w:p w:rsidR="00A96018" w:rsidRDefault="00A96018">
      <w:pPr>
        <w:spacing w:line="360" w:lineRule="auto"/>
        <w:ind w:right="-989"/>
        <w:jc w:val="both"/>
        <w:rPr>
          <w:rFonts w:ascii="Palatino Linotype" w:eastAsia="Palatino Linotype" w:hAnsi="Palatino Linotype" w:cs="Palatino Linotype"/>
        </w:rPr>
      </w:pPr>
    </w:p>
    <w:p w:rsidR="00A96018" w:rsidRDefault="00D02C3C">
      <w:pPr>
        <w:numPr>
          <w:ilvl w:val="0"/>
          <w:numId w:val="3"/>
        </w:numPr>
        <w:spacing w:line="360" w:lineRule="auto"/>
        <w:ind w:left="0" w:right="-989" w:firstLine="0"/>
        <w:jc w:val="both"/>
      </w:pPr>
      <w:r>
        <w:rPr>
          <w:rFonts w:ascii="Palatino Linotype" w:eastAsia="Palatino Linotype" w:hAnsi="Palatino Linotype" w:cs="Palatino Linotype"/>
        </w:rPr>
        <w:t>Lo anterior en armonía con lo establecido en los artículos 17 y 174, de la Ley de Transparencia y Acceso a la Información Pública del Estado de México y Municipios, que señala lo siguiente:</w:t>
      </w:r>
    </w:p>
    <w:p w:rsidR="00A96018" w:rsidRDefault="00D02C3C">
      <w:pPr>
        <w:spacing w:line="360" w:lineRule="auto"/>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17. La búsqueda y acceso a la información es gratuita y solo se cubrirán los gastos de reproducción</w:t>
      </w:r>
      <w:r>
        <w:rPr>
          <w:rFonts w:ascii="Palatino Linotype" w:eastAsia="Palatino Linotype" w:hAnsi="Palatino Linotype" w:cs="Palatino Linotype"/>
          <w:i/>
          <w:iCs/>
        </w:rPr>
        <w:t xml:space="preserve">, o </w:t>
      </w:r>
      <w:r>
        <w:rPr>
          <w:rFonts w:ascii="Palatino Linotype" w:eastAsia="Palatino Linotype" w:hAnsi="Palatino Linotype" w:cs="Palatino Linotype"/>
          <w:b/>
          <w:bCs/>
          <w:i/>
          <w:iCs/>
        </w:rPr>
        <w:t>por la modalidad de entrega solicitada</w:t>
      </w:r>
      <w:r>
        <w:rPr>
          <w:rFonts w:ascii="Palatino Linotype" w:eastAsia="Palatino Linotype" w:hAnsi="Palatino Linotype" w:cs="Palatino Linotype"/>
          <w:i/>
          <w:iCs/>
        </w:rPr>
        <w:t xml:space="preserve">, así como por el envío, que en su caso se genere, </w:t>
      </w:r>
      <w:r>
        <w:rPr>
          <w:rFonts w:ascii="Palatino Linotype" w:eastAsia="Palatino Linotype" w:hAnsi="Palatino Linotype" w:cs="Palatino Linotype"/>
          <w:b/>
          <w:bCs/>
          <w:i/>
          <w:iCs/>
        </w:rPr>
        <w:t>de conformidad con los derechos, productos y aprovechamientos establecidos en la legislación aplicable</w:t>
      </w:r>
      <w:r>
        <w:rPr>
          <w:rFonts w:ascii="Palatino Linotype" w:eastAsia="Palatino Linotype" w:hAnsi="Palatino Linotype" w:cs="Palatino Linotype"/>
          <w:i/>
          <w:iCs/>
        </w:rPr>
        <w:t>, sin que exceda de los límites establecidos en la presente Ley.”</w:t>
      </w:r>
    </w:p>
    <w:p w:rsidR="00A96018" w:rsidRDefault="00D02C3C">
      <w:pPr>
        <w:spacing w:line="360" w:lineRule="auto"/>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w:t>
      </w:r>
      <w:r>
        <w:rPr>
          <w:rFonts w:ascii="Palatino Linotype" w:eastAsia="Palatino Linotype" w:hAnsi="Palatino Linotype" w:cs="Palatino Linotype"/>
          <w:b/>
          <w:bCs/>
          <w:i/>
          <w:iCs/>
        </w:rPr>
        <w:t>Artículo 174</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En caso de existir costos para obtener la información deberán cubrirse de manera previa a la entrega</w:t>
      </w:r>
      <w:r>
        <w:rPr>
          <w:rFonts w:ascii="Palatino Linotype" w:eastAsia="Palatino Linotype" w:hAnsi="Palatino Linotype" w:cs="Palatino Linotype"/>
          <w:i/>
          <w:iCs/>
        </w:rPr>
        <w:t xml:space="preserve"> y no podrán ser superiores a la suma de: </w:t>
      </w:r>
    </w:p>
    <w:p w:rsidR="00A96018" w:rsidRDefault="00A96018">
      <w:pPr>
        <w:spacing w:line="360" w:lineRule="auto"/>
        <w:ind w:left="567" w:right="-989"/>
        <w:jc w:val="both"/>
        <w:rPr>
          <w:rFonts w:ascii="Palatino Linotype" w:eastAsia="Palatino Linotype" w:hAnsi="Palatino Linotype" w:cs="Palatino Linotype"/>
          <w:i/>
          <w:iCs/>
        </w:rPr>
      </w:pPr>
    </w:p>
    <w:p w:rsidR="00A96018" w:rsidRDefault="00D02C3C">
      <w:pPr>
        <w:spacing w:line="360" w:lineRule="auto"/>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El costo de los materiales utilizados en la reproducción de la información; </w:t>
      </w:r>
    </w:p>
    <w:p w:rsidR="00A96018" w:rsidRDefault="00D02C3C">
      <w:pPr>
        <w:spacing w:line="360" w:lineRule="auto"/>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El costo de envío, en su caso; y </w:t>
      </w:r>
    </w:p>
    <w:p w:rsidR="00A96018" w:rsidRDefault="00D02C3C">
      <w:pPr>
        <w:spacing w:line="360" w:lineRule="auto"/>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III</w:t>
      </w:r>
      <w:r>
        <w:rPr>
          <w:rFonts w:ascii="Palatino Linotype" w:eastAsia="Palatino Linotype" w:hAnsi="Palatino Linotype" w:cs="Palatino Linotype"/>
          <w:b/>
          <w:bCs/>
          <w:i/>
          <w:iCs/>
        </w:rPr>
        <w:t>. El pago de la certificación de los documentos</w:t>
      </w:r>
      <w:r>
        <w:rPr>
          <w:rFonts w:ascii="Palatino Linotype" w:eastAsia="Palatino Linotype" w:hAnsi="Palatino Linotype" w:cs="Palatino Linotype"/>
          <w:i/>
          <w:iCs/>
        </w:rPr>
        <w:t xml:space="preserve">, cuando proceda. </w:t>
      </w:r>
    </w:p>
    <w:p w:rsidR="00A96018" w:rsidRDefault="00A96018">
      <w:pPr>
        <w:spacing w:line="360" w:lineRule="auto"/>
        <w:ind w:left="567" w:right="-989"/>
        <w:jc w:val="both"/>
        <w:rPr>
          <w:rFonts w:ascii="Palatino Linotype" w:eastAsia="Palatino Linotype" w:hAnsi="Palatino Linotype" w:cs="Palatino Linotype"/>
          <w:b/>
          <w:bCs/>
          <w:i/>
          <w:iCs/>
        </w:rPr>
      </w:pPr>
    </w:p>
    <w:p w:rsidR="00A96018" w:rsidRDefault="00D02C3C">
      <w:pPr>
        <w:spacing w:line="360" w:lineRule="auto"/>
        <w:ind w:left="567"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Las cuotas de los derechos aplicables deberán establecerse, en su caso, en el Código Financiero del Estado de México y Municipios</w:t>
      </w:r>
      <w:r>
        <w:rPr>
          <w:rFonts w:ascii="Palatino Linotype" w:eastAsia="Palatino Linotype" w:hAnsi="Palatino Linotype" w:cs="Palatino Linotype"/>
          <w:i/>
          <w:iCs/>
        </w:rPr>
        <w:t xml:space="preserve"> y demás disposiciones jurídicas aplicables, las cuales se publicarán en los sitios de internet de los sujetos obligados. En su determinación se deberá considerar que los montos permitan o faciliten el ejercicio del derecho de acceso a la información. </w:t>
      </w:r>
    </w:p>
    <w:p w:rsidR="00A96018" w:rsidRDefault="00A96018">
      <w:pPr>
        <w:spacing w:line="360" w:lineRule="auto"/>
        <w:ind w:left="567" w:right="-989"/>
        <w:jc w:val="both"/>
        <w:rPr>
          <w:rFonts w:ascii="Palatino Linotype" w:eastAsia="Palatino Linotype" w:hAnsi="Palatino Linotype" w:cs="Palatino Linotype"/>
          <w:i/>
          <w:iCs/>
        </w:rPr>
      </w:pPr>
    </w:p>
    <w:p w:rsidR="00A96018" w:rsidRDefault="00D02C3C">
      <w:pPr>
        <w:spacing w:line="360" w:lineRule="auto"/>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Los sujetos obligados a los que no les sea aplicable el Código Financiero del Estado de México y Municipios deberán establecer cuotas que no sean mayores a las dispuestas en dicho ordenamiento. </w:t>
      </w:r>
    </w:p>
    <w:p w:rsidR="00A96018" w:rsidRDefault="00A96018">
      <w:pPr>
        <w:spacing w:line="360" w:lineRule="auto"/>
        <w:ind w:left="567" w:right="-989"/>
        <w:jc w:val="both"/>
        <w:rPr>
          <w:rFonts w:ascii="Palatino Linotype" w:eastAsia="Palatino Linotype" w:hAnsi="Palatino Linotype" w:cs="Palatino Linotype"/>
          <w:b/>
          <w:bCs/>
          <w:i/>
          <w:iCs/>
        </w:rPr>
      </w:pPr>
    </w:p>
    <w:p w:rsidR="00A96018" w:rsidRDefault="00D02C3C">
      <w:pPr>
        <w:spacing w:line="360" w:lineRule="auto"/>
        <w:ind w:left="567"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u w:val="single"/>
        </w:rPr>
        <w:t>La información deberá ser entregada sin costo, cuando implique la entrega de no más de veinte hojas simples</w:t>
      </w:r>
      <w:r>
        <w:rPr>
          <w:rFonts w:ascii="Palatino Linotype" w:eastAsia="Palatino Linotype" w:hAnsi="Palatino Linotype" w:cs="Palatino Linotype"/>
          <w:i/>
          <w:iCs/>
        </w:rPr>
        <w:t>. Las unidades de transparencia podrán exceptuar el pago de reproducción y envío atendiendo a las circunstancias socioeconómicas del solicitante, en términos de los lineamientos que expida el Instituto.”</w:t>
      </w:r>
    </w:p>
    <w:p w:rsidR="00A96018" w:rsidRDefault="00A96018">
      <w:pPr>
        <w:tabs>
          <w:tab w:val="left" w:pos="8647"/>
        </w:tabs>
        <w:spacing w:line="360" w:lineRule="auto"/>
        <w:ind w:right="-989"/>
        <w:jc w:val="both"/>
        <w:rPr>
          <w:rFonts w:ascii="Palatino Linotype" w:eastAsia="Palatino Linotype" w:hAnsi="Palatino Linotype" w:cs="Palatino Linotype"/>
        </w:rPr>
      </w:pPr>
    </w:p>
    <w:p w:rsidR="00A96018" w:rsidRPr="0050759C" w:rsidRDefault="00D02C3C">
      <w:pPr>
        <w:numPr>
          <w:ilvl w:val="0"/>
          <w:numId w:val="3"/>
        </w:numPr>
        <w:spacing w:line="360" w:lineRule="auto"/>
        <w:ind w:left="0" w:right="-989" w:firstLine="0"/>
        <w:jc w:val="both"/>
      </w:pPr>
      <w:r>
        <w:rPr>
          <w:rFonts w:ascii="Palatino Linotype" w:eastAsia="Palatino Linotype" w:hAnsi="Palatino Linotype" w:cs="Palatino Linotype"/>
        </w:rPr>
        <w:lastRenderedPageBreak/>
        <w:t xml:space="preserve">Por lo anterior, se advierte que, respecto de los costos de reproducción, como fue mencionado, el Código Financiero del Estado de México y Municipios establece que, el </w:t>
      </w:r>
      <w:r>
        <w:rPr>
          <w:rFonts w:ascii="Palatino Linotype" w:eastAsia="Palatino Linotype" w:hAnsi="Palatino Linotype" w:cs="Palatino Linotype"/>
          <w:b/>
          <w:bCs/>
        </w:rPr>
        <w:t xml:space="preserve">pago de derechos corresponde a la recepción de un servicio </w:t>
      </w:r>
      <w:r>
        <w:rPr>
          <w:rFonts w:ascii="Palatino Linotype" w:eastAsia="Palatino Linotype" w:hAnsi="Palatino Linotype" w:cs="Palatino Linotype"/>
        </w:rPr>
        <w:t>que presta el Estado en sus funciones de derecho público, entre los que se encuentra la expedición de copias certificadas.</w:t>
      </w:r>
    </w:p>
    <w:p w:rsidR="0050759C" w:rsidRDefault="0050759C" w:rsidP="0050759C">
      <w:pPr>
        <w:spacing w:line="360" w:lineRule="auto"/>
        <w:ind w:right="-989"/>
        <w:jc w:val="both"/>
      </w:pPr>
    </w:p>
    <w:p w:rsidR="00A96018" w:rsidRDefault="00D02C3C">
      <w:pPr>
        <w:numPr>
          <w:ilvl w:val="0"/>
          <w:numId w:val="3"/>
        </w:numPr>
        <w:spacing w:line="360" w:lineRule="auto"/>
        <w:ind w:left="0" w:right="-989" w:firstLine="0"/>
        <w:jc w:val="both"/>
      </w:pPr>
      <w:r>
        <w:rPr>
          <w:rFonts w:ascii="Palatino Linotype" w:eastAsia="Palatino Linotype" w:hAnsi="Palatino Linotype" w:cs="Palatino Linotype"/>
        </w:rPr>
        <w:t>En este sentido, la modalidad seleccionada por la parte</w:t>
      </w:r>
      <w:r>
        <w:rPr>
          <w:rFonts w:ascii="Palatino Linotype" w:eastAsia="Palatino Linotype" w:hAnsi="Palatino Linotype" w:cs="Palatino Linotype"/>
          <w:b/>
          <w:bCs/>
        </w:rPr>
        <w:t xml:space="preserve"> RECURRENTE </w:t>
      </w:r>
      <w:r>
        <w:rPr>
          <w:rFonts w:ascii="Palatino Linotype" w:eastAsia="Palatino Linotype" w:hAnsi="Palatino Linotype" w:cs="Palatino Linotype"/>
        </w:rPr>
        <w:t>se encuentra regulada por el Código Financiero del Estado de México y Municipios en su artículo 148 fracción II, porción normativa que dispone a la literalidad lo siguiente:</w:t>
      </w:r>
    </w:p>
    <w:p w:rsidR="00A96018" w:rsidRDefault="00D02C3C">
      <w:pPr>
        <w:widowControl w:val="0"/>
        <w:spacing w:line="360" w:lineRule="auto"/>
        <w:ind w:right="-989"/>
        <w:jc w:val="both"/>
        <w:rPr>
          <w:rFonts w:ascii="Palatino Linotype" w:eastAsia="Palatino Linotype" w:hAnsi="Palatino Linotype" w:cs="Palatino Linotype"/>
        </w:rPr>
      </w:pPr>
      <w:r>
        <w:rPr>
          <w:noProof/>
          <w:lang w:val="es-MX"/>
        </w:rPr>
        <w:drawing>
          <wp:anchor distT="0" distB="0" distL="114300" distR="114300" simplePos="0" relativeHeight="251658240" behindDoc="0" locked="0" layoutInCell="1" hidden="0" allowOverlap="1">
            <wp:simplePos x="0" y="0"/>
            <wp:positionH relativeFrom="column">
              <wp:posOffset>605155</wp:posOffset>
            </wp:positionH>
            <wp:positionV relativeFrom="paragraph">
              <wp:posOffset>212725</wp:posOffset>
            </wp:positionV>
            <wp:extent cx="4420235" cy="271145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420235" cy="2711450"/>
                    </a:xfrm>
                    <a:prstGeom prst="rect">
                      <a:avLst/>
                    </a:prstGeom>
                    <a:ln/>
                  </pic:spPr>
                </pic:pic>
              </a:graphicData>
            </a:graphic>
          </wp:anchor>
        </w:drawing>
      </w:r>
    </w:p>
    <w:p w:rsidR="00A96018" w:rsidRDefault="00A96018">
      <w:pPr>
        <w:widowControl w:val="0"/>
        <w:spacing w:line="360" w:lineRule="auto"/>
        <w:ind w:right="-989"/>
        <w:jc w:val="both"/>
        <w:rPr>
          <w:rFonts w:ascii="Palatino Linotype" w:eastAsia="Palatino Linotype" w:hAnsi="Palatino Linotype" w:cs="Palatino Linotype"/>
        </w:rPr>
      </w:pPr>
    </w:p>
    <w:p w:rsidR="00A96018" w:rsidRDefault="00A96018">
      <w:pPr>
        <w:tabs>
          <w:tab w:val="left" w:pos="8647"/>
        </w:tabs>
        <w:spacing w:line="360" w:lineRule="auto"/>
        <w:ind w:right="-989"/>
        <w:jc w:val="both"/>
        <w:rPr>
          <w:rFonts w:ascii="Palatino Linotype" w:eastAsia="Palatino Linotype" w:hAnsi="Palatino Linotype" w:cs="Palatino Linotype"/>
        </w:rPr>
      </w:pPr>
    </w:p>
    <w:p w:rsidR="00A96018" w:rsidRDefault="00A96018">
      <w:pPr>
        <w:spacing w:line="360" w:lineRule="auto"/>
        <w:ind w:right="-989"/>
        <w:jc w:val="both"/>
        <w:rPr>
          <w:rFonts w:ascii="Palatino Linotype" w:eastAsia="Palatino Linotype" w:hAnsi="Palatino Linotype" w:cs="Palatino Linotype"/>
        </w:rPr>
      </w:pPr>
    </w:p>
    <w:p w:rsidR="00A96018" w:rsidRDefault="00A96018">
      <w:pPr>
        <w:spacing w:line="360" w:lineRule="auto"/>
        <w:ind w:right="-989"/>
        <w:jc w:val="both"/>
        <w:rPr>
          <w:rFonts w:ascii="Palatino Linotype" w:eastAsia="Palatino Linotype" w:hAnsi="Palatino Linotype" w:cs="Palatino Linotype"/>
        </w:rPr>
      </w:pPr>
    </w:p>
    <w:p w:rsidR="00A96018" w:rsidRDefault="00A96018">
      <w:pPr>
        <w:spacing w:line="360" w:lineRule="auto"/>
        <w:ind w:right="-989"/>
        <w:jc w:val="both"/>
        <w:rPr>
          <w:rFonts w:ascii="Palatino Linotype" w:eastAsia="Palatino Linotype" w:hAnsi="Palatino Linotype" w:cs="Palatino Linotype"/>
        </w:rPr>
      </w:pPr>
    </w:p>
    <w:p w:rsidR="00A96018" w:rsidRDefault="00A96018">
      <w:pPr>
        <w:spacing w:line="360" w:lineRule="auto"/>
        <w:ind w:right="-989"/>
        <w:jc w:val="both"/>
        <w:rPr>
          <w:rFonts w:ascii="Palatino Linotype" w:eastAsia="Palatino Linotype" w:hAnsi="Palatino Linotype" w:cs="Palatino Linotype"/>
        </w:rPr>
      </w:pPr>
    </w:p>
    <w:p w:rsidR="00A96018" w:rsidRDefault="00A96018">
      <w:pPr>
        <w:spacing w:line="360" w:lineRule="auto"/>
        <w:ind w:right="-989"/>
        <w:jc w:val="both"/>
        <w:rPr>
          <w:rFonts w:ascii="Palatino Linotype" w:eastAsia="Palatino Linotype" w:hAnsi="Palatino Linotype" w:cs="Palatino Linotype"/>
        </w:rPr>
      </w:pPr>
    </w:p>
    <w:p w:rsidR="00A96018" w:rsidRDefault="00A96018">
      <w:pPr>
        <w:spacing w:line="360" w:lineRule="auto"/>
        <w:ind w:right="-989"/>
        <w:jc w:val="both"/>
        <w:rPr>
          <w:rFonts w:ascii="Palatino Linotype" w:eastAsia="Palatino Linotype" w:hAnsi="Palatino Linotype" w:cs="Palatino Linotype"/>
        </w:rPr>
      </w:pPr>
    </w:p>
    <w:p w:rsidR="00A96018" w:rsidRDefault="00A96018">
      <w:pPr>
        <w:spacing w:line="360" w:lineRule="auto"/>
        <w:ind w:right="-989"/>
        <w:jc w:val="both"/>
        <w:rPr>
          <w:rFonts w:ascii="Palatino Linotype" w:eastAsia="Palatino Linotype" w:hAnsi="Palatino Linotype" w:cs="Palatino Linotype"/>
        </w:rPr>
      </w:pPr>
    </w:p>
    <w:p w:rsidR="00A96018" w:rsidRDefault="00A96018">
      <w:pPr>
        <w:spacing w:line="360" w:lineRule="auto"/>
        <w:ind w:right="-989"/>
        <w:jc w:val="both"/>
        <w:rPr>
          <w:rFonts w:ascii="Palatino Linotype" w:eastAsia="Palatino Linotype" w:hAnsi="Palatino Linotype" w:cs="Palatino Linotype"/>
          <w:color w:val="000000"/>
        </w:rPr>
      </w:pPr>
    </w:p>
    <w:p w:rsidR="00A96018" w:rsidRDefault="00D02C3C">
      <w:pPr>
        <w:numPr>
          <w:ilvl w:val="0"/>
          <w:numId w:val="3"/>
        </w:numPr>
        <w:spacing w:line="360" w:lineRule="auto"/>
        <w:ind w:left="0" w:right="-989" w:firstLine="0"/>
        <w:jc w:val="both"/>
        <w:rPr>
          <w:color w:val="000000"/>
        </w:rPr>
      </w:pPr>
      <w:r>
        <w:rPr>
          <w:rFonts w:ascii="Palatino Linotype" w:eastAsia="Palatino Linotype" w:hAnsi="Palatino Linotype" w:cs="Palatino Linotype"/>
          <w:color w:val="000000"/>
        </w:rPr>
        <w:t xml:space="preserve">Asimismo, es menester señalar que lo requerido, es posible su entrega en copia </w:t>
      </w:r>
      <w:r>
        <w:rPr>
          <w:rFonts w:ascii="Palatino Linotype" w:eastAsia="Palatino Linotype" w:hAnsi="Palatino Linotype" w:cs="Palatino Linotype"/>
        </w:rPr>
        <w:t>certificada</w:t>
      </w:r>
      <w:r>
        <w:rPr>
          <w:rFonts w:ascii="Palatino Linotype" w:eastAsia="Palatino Linotype" w:hAnsi="Palatino Linotype" w:cs="Palatino Linotype"/>
          <w:color w:val="000000"/>
        </w:rPr>
        <w:t>, dado que da cuenta de su existencia en los archivos del Sujeto Obligado, al respecto, se trae al estudio el Criterio Orientador, con clave de control SO/006/2017, emitido por el entonces INAI, que prevé lo siguiente:</w:t>
      </w:r>
    </w:p>
    <w:p w:rsidR="00A96018" w:rsidRDefault="00D02C3C">
      <w:pPr>
        <w:spacing w:line="360" w:lineRule="auto"/>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w:t>
      </w:r>
      <w:r>
        <w:rPr>
          <w:rFonts w:ascii="Palatino Linotype" w:eastAsia="Palatino Linotype" w:hAnsi="Palatino Linotype" w:cs="Palatino Linotype"/>
          <w:b/>
          <w:bCs/>
          <w:i/>
          <w:iCs/>
          <w:color w:val="000000"/>
        </w:rPr>
        <w:t>Copias certificadas, como modalidad de entrega en la Ley Federal de Transparencia y Acceso a la Información Pública corrobora que el documento es una copia fiel del que obra en los archivos del sujeto obligado</w:t>
      </w:r>
      <w:r>
        <w:rPr>
          <w:rFonts w:ascii="Palatino Linotype" w:eastAsia="Palatino Linotype" w:hAnsi="Palatino Linotype" w:cs="Palatino Linotype"/>
          <w:i/>
          <w:iCs/>
          <w:color w:val="000000"/>
        </w:rPr>
        <w:t>. Los artículos 125, fracción V y 136 de la Ley Federal de Transparencia y Acceso a la Información Pública, prevén que el acceso a la información se dará en la modalidad de entrega elegida por los solicitantes, como lo es, en copia certificada. Considerando que el artículo 1° de la Ley en cita tiene como finalidad proveer lo necesario para garantizar el acceso de toda persona a la información en posesión de los sujetos obligados del ámbito federal, la certificación en materia de transparencia y acceso a la información tiene por efecto constatar que la copia certificada entregada es una reproducción fiel del documento -original o copia simple- que obra en los archivos del sujeto obligado. En ese orden de ideas, la certificación, para efectos de acceso a la información, a diferencia del concepto que tradicionalmente se ha sostenido en diversas tesis del Poder Judicial de la Federación, no tiene como propósito que el documento certificado haga las veces de un original, sino dejar evidencia de que los documentos obran en los archivos de los sujetos obligados, tal como se encuentran.”</w:t>
      </w:r>
    </w:p>
    <w:p w:rsidR="00A96018" w:rsidRDefault="00A96018">
      <w:pPr>
        <w:spacing w:line="360" w:lineRule="auto"/>
        <w:ind w:right="-989"/>
        <w:jc w:val="both"/>
        <w:rPr>
          <w:rFonts w:ascii="Palatino Linotype" w:eastAsia="Palatino Linotype" w:hAnsi="Palatino Linotype" w:cs="Palatino Linotype"/>
          <w:i/>
          <w:iCs/>
          <w:color w:val="000000"/>
        </w:rPr>
      </w:pPr>
    </w:p>
    <w:p w:rsidR="00A96018" w:rsidRDefault="00D02C3C">
      <w:pPr>
        <w:numPr>
          <w:ilvl w:val="0"/>
          <w:numId w:val="3"/>
        </w:numPr>
        <w:spacing w:line="360" w:lineRule="auto"/>
        <w:ind w:left="0" w:right="-989" w:firstLine="0"/>
        <w:jc w:val="both"/>
        <w:rPr>
          <w:color w:val="000000"/>
        </w:rPr>
      </w:pPr>
      <w:r>
        <w:rPr>
          <w:rFonts w:ascii="Palatino Linotype" w:eastAsia="Palatino Linotype" w:hAnsi="Palatino Linotype" w:cs="Palatino Linotype"/>
          <w:color w:val="000000"/>
        </w:rPr>
        <w:t xml:space="preserve">Así pues, es posible la certificación de copias simples, dado que, en el ejercicio de nuestra materia, la certificación no debe ser entendida en el marco de que haga las veces de un original, sino que, da cuenta de que la documentación se encuentra en los archivos 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en los términos antes descritos y que es lo dable a ordenar nuevamente en el presente proveído en razón que del informe justificado, se desprende que la </w:t>
      </w:r>
      <w:r>
        <w:rPr>
          <w:rFonts w:ascii="Palatino Linotype" w:eastAsia="Palatino Linotype" w:hAnsi="Palatino Linotype" w:cs="Palatino Linotype"/>
        </w:rPr>
        <w:t xml:space="preserve">Secretaría de Desarrollo Urbano e Infraestructura, cuenta con expresiones documentales en sus archivos que contienen información relacionada, de la requerida por el hoy </w:t>
      </w:r>
      <w:r>
        <w:rPr>
          <w:rFonts w:ascii="Palatino Linotype" w:eastAsia="Palatino Linotype" w:hAnsi="Palatino Linotype" w:cs="Palatino Linotype"/>
          <w:b/>
          <w:bCs/>
        </w:rPr>
        <w:t>RECURRENTE.</w:t>
      </w:r>
    </w:p>
    <w:p w:rsidR="00A96018" w:rsidRDefault="00A96018">
      <w:pPr>
        <w:spacing w:line="360" w:lineRule="auto"/>
        <w:ind w:right="-989"/>
        <w:jc w:val="both"/>
        <w:rPr>
          <w:rFonts w:ascii="Palatino Linotype" w:eastAsia="Palatino Linotype" w:hAnsi="Palatino Linotype" w:cs="Palatino Linotype"/>
          <w:color w:val="000000"/>
        </w:rPr>
      </w:pPr>
    </w:p>
    <w:p w:rsidR="00A96018" w:rsidRDefault="00D02C3C">
      <w:pPr>
        <w:numPr>
          <w:ilvl w:val="0"/>
          <w:numId w:val="3"/>
        </w:numPr>
        <w:spacing w:line="360" w:lineRule="auto"/>
        <w:ind w:left="0" w:right="-989" w:firstLine="0"/>
        <w:jc w:val="both"/>
        <w:rPr>
          <w:color w:val="000000"/>
        </w:rPr>
      </w:pPr>
      <w:r>
        <w:rPr>
          <w:rFonts w:ascii="Palatino Linotype" w:eastAsia="Palatino Linotype" w:hAnsi="Palatino Linotype" w:cs="Palatino Linotype"/>
          <w:color w:val="000000"/>
        </w:rPr>
        <w:lastRenderedPageBreak/>
        <w:t xml:space="preserve">Asimismo, porque de la respuesta e informe justificado respectivamente,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informa al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de días y horarios; sin embargo le requiere al particular se comunique a efecto de agendar una cita, dejando entonces de especificar puntualmente el día y hora en que será atendido; asimismo porque si bien se informan de costos, no se le informe del costo total que deberá cubrir por el número de hojas que implica la información a entregar.</w:t>
      </w:r>
    </w:p>
    <w:p w:rsidR="00A96018" w:rsidRDefault="00A96018">
      <w:pPr>
        <w:spacing w:line="360" w:lineRule="auto"/>
        <w:ind w:right="-989"/>
        <w:jc w:val="both"/>
        <w:rPr>
          <w:rFonts w:ascii="Palatino Linotype" w:eastAsia="Palatino Linotype" w:hAnsi="Palatino Linotype" w:cs="Palatino Linotype"/>
        </w:rPr>
      </w:pPr>
    </w:p>
    <w:p w:rsidR="00A96018" w:rsidRPr="0050759C" w:rsidRDefault="00D02C3C">
      <w:pPr>
        <w:numPr>
          <w:ilvl w:val="0"/>
          <w:numId w:val="3"/>
        </w:numPr>
        <w:spacing w:line="360" w:lineRule="auto"/>
        <w:ind w:left="0" w:right="-989" w:firstLine="0"/>
        <w:jc w:val="both"/>
        <w:rPr>
          <w:color w:val="000000"/>
        </w:rPr>
      </w:pPr>
      <w:r>
        <w:rPr>
          <w:rFonts w:ascii="Palatino Linotype" w:eastAsia="Palatino Linotype" w:hAnsi="Palatino Linotype" w:cs="Palatino Linotype"/>
          <w:color w:val="000000"/>
        </w:rPr>
        <w:t xml:space="preserve">Con la determinación anterior quedará por colmado el derecho de acceso a la información </w:t>
      </w:r>
      <w:r>
        <w:rPr>
          <w:rFonts w:ascii="Palatino Linotype" w:eastAsia="Palatino Linotype" w:hAnsi="Palatino Linotype" w:cs="Palatino Linotype"/>
        </w:rPr>
        <w:t>del</w:t>
      </w:r>
      <w:r>
        <w:rPr>
          <w:rFonts w:ascii="Palatino Linotype" w:eastAsia="Palatino Linotype" w:hAnsi="Palatino Linotype" w:cs="Palatino Linotype"/>
          <w:color w:val="000000"/>
        </w:rPr>
        <w:t xml:space="preserve"> ahora Recurrente; toda vez que el Derecho que tutela este Órgano Garante </w:t>
      </w:r>
      <w:r>
        <w:rPr>
          <w:rFonts w:ascii="Palatino Linotype" w:eastAsia="Palatino Linotype" w:hAnsi="Palatino Linotype" w:cs="Palatino Linotype"/>
        </w:rPr>
        <w:t>corresponde</w:t>
      </w:r>
      <w:r>
        <w:rPr>
          <w:rFonts w:ascii="Palatino Linotype" w:eastAsia="Palatino Linotype" w:hAnsi="Palatino Linotype" w:cs="Palatino Linotype"/>
          <w:color w:val="000000"/>
        </w:rPr>
        <w:t xml:space="preserve"> a la  </w:t>
      </w:r>
      <w:r>
        <w:rPr>
          <w:rFonts w:ascii="Palatino Linotype" w:eastAsia="Palatino Linotype" w:hAnsi="Palatino Linotype" w:cs="Palatino Linotype"/>
          <w:i/>
          <w:iCs/>
          <w:color w:val="000000"/>
        </w:rPr>
        <w:t xml:space="preserve">igualdad de oportunidades para recibir, buscar e </w:t>
      </w:r>
      <w:r>
        <w:rPr>
          <w:rFonts w:ascii="Palatino Linotype" w:eastAsia="Palatino Linotype" w:hAnsi="Palatino Linotype" w:cs="Palatino Linotype"/>
          <w:color w:val="000000"/>
        </w:rPr>
        <w:t>impartir</w:t>
      </w:r>
      <w:r>
        <w:rPr>
          <w:rFonts w:ascii="Palatino Linotype" w:eastAsia="Palatino Linotype" w:hAnsi="Palatino Linotype" w:cs="Palatino Linotype"/>
          <w:i/>
          <w:iCs/>
          <w:color w:val="000000"/>
        </w:rPr>
        <w:t xml:space="preserve"> información</w:t>
      </w:r>
      <w:r>
        <w:rPr>
          <w:rFonts w:ascii="Palatino Linotype" w:eastAsia="Palatino Linotype" w:hAnsi="Palatino Linotype" w:cs="Palatino Linotype"/>
          <w:i/>
          <w:iCs/>
          <w:color w:val="000000"/>
          <w:vertAlign w:val="superscript"/>
        </w:rPr>
        <w:footnoteReference w:id="2"/>
      </w:r>
      <w:r>
        <w:rPr>
          <w:rFonts w:ascii="Palatino Linotype" w:eastAsia="Palatino Linotype" w:hAnsi="Palatino Linotype" w:cs="Palatino Linotype"/>
          <w:i/>
          <w:iCs/>
          <w:color w:val="000000"/>
        </w:rPr>
        <w:t xml:space="preserve"> en posesión de cualquier autoridad, entidad, órgano y organismo de los </w:t>
      </w:r>
      <w:r>
        <w:rPr>
          <w:rFonts w:ascii="Palatino Linotype" w:eastAsia="Palatino Linotype" w:hAnsi="Palatino Linotype" w:cs="Palatino Linotype"/>
          <w:color w:val="000000"/>
        </w:rPr>
        <w:t>poderes</w:t>
      </w:r>
      <w:r>
        <w:rPr>
          <w:rFonts w:ascii="Palatino Linotype" w:eastAsia="Palatino Linotype" w:hAnsi="Palatino Linotype" w:cs="Palatino Linotype"/>
          <w:i/>
          <w:iCs/>
          <w:color w:val="000000"/>
        </w:rPr>
        <w:t xml:space="preserve">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Pr>
          <w:rFonts w:ascii="Palatino Linotype" w:eastAsia="Palatino Linotype" w:hAnsi="Palatino Linotype" w:cs="Palatino Linotype"/>
          <w:color w:val="000000"/>
          <w:vertAlign w:val="superscript"/>
        </w:rPr>
        <w:footnoteReference w:id="3"/>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 xml:space="preserve">que se constituye como una herramienta fundamental para </w:t>
      </w:r>
      <w:r>
        <w:rPr>
          <w:rFonts w:ascii="Palatino Linotype" w:eastAsia="Palatino Linotype" w:hAnsi="Palatino Linotype" w:cs="Palatino Linotype"/>
          <w:i/>
          <w:iCs/>
          <w:color w:val="000000"/>
        </w:rPr>
        <w:t>ejercer control democrático de las gestiones estatales, de forma tal que puedan cuestionar, indagar y considerar si se está dando un adecuado cumplimiento de las funciones públicas,</w:t>
      </w:r>
      <w:r>
        <w:rPr>
          <w:rFonts w:ascii="Palatino Linotype" w:eastAsia="Palatino Linotype" w:hAnsi="Palatino Linotype" w:cs="Palatino Linotype"/>
          <w:i/>
          <w:iCs/>
          <w:color w:val="000000"/>
          <w:vertAlign w:val="superscript"/>
        </w:rPr>
        <w:footnoteReference w:id="4"/>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transparencia de las actividades estatales y</w:t>
      </w:r>
      <w:r>
        <w:rPr>
          <w:rFonts w:ascii="Palatino Linotype" w:eastAsia="Palatino Linotype" w:hAnsi="Palatino Linotype" w:cs="Palatino Linotype"/>
          <w:color w:val="000000"/>
        </w:rPr>
        <w:t xml:space="preserve"> promoviendo</w:t>
      </w:r>
      <w:r>
        <w:rPr>
          <w:rFonts w:ascii="Palatino Linotype" w:eastAsia="Palatino Linotype" w:hAnsi="Palatino Linotype" w:cs="Palatino Linotype"/>
          <w:i/>
          <w:iCs/>
          <w:color w:val="000000"/>
        </w:rPr>
        <w:t xml:space="preserve"> la responsabilidad de los funcionarios sobre su gestión </w:t>
      </w:r>
      <w:r>
        <w:rPr>
          <w:rFonts w:ascii="Palatino Linotype" w:eastAsia="Palatino Linotype" w:hAnsi="Palatino Linotype" w:cs="Palatino Linotype"/>
          <w:i/>
          <w:iCs/>
          <w:color w:val="000000"/>
        </w:rPr>
        <w:lastRenderedPageBreak/>
        <w:t>pública</w:t>
      </w:r>
      <w:r>
        <w:rPr>
          <w:rFonts w:ascii="Palatino Linotype" w:eastAsia="Palatino Linotype" w:hAnsi="Palatino Linotype" w:cs="Palatino Linotype"/>
          <w:i/>
          <w:iCs/>
          <w:color w:val="000000"/>
          <w:vertAlign w:val="superscript"/>
        </w:rPr>
        <w:footnoteReference w:id="5"/>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r>
        <w:rPr>
          <w:rFonts w:ascii="Palatino Linotype" w:eastAsia="Palatino Linotype" w:hAnsi="Palatino Linotype" w:cs="Palatino Linotype"/>
          <w:i/>
          <w:iCs/>
          <w:color w:val="000000"/>
          <w:vertAlign w:val="superscript"/>
        </w:rPr>
        <w:footnoteReference w:id="6"/>
      </w:r>
      <w:r>
        <w:rPr>
          <w:rFonts w:ascii="Palatino Linotype" w:eastAsia="Palatino Linotype" w:hAnsi="Palatino Linotype" w:cs="Palatino Linotype"/>
          <w:color w:val="000000"/>
        </w:rPr>
        <w:t xml:space="preserve"> ”</w:t>
      </w:r>
    </w:p>
    <w:p w:rsidR="0050759C" w:rsidRDefault="0050759C" w:rsidP="0050759C">
      <w:pPr>
        <w:spacing w:line="360" w:lineRule="auto"/>
        <w:ind w:right="-989"/>
        <w:jc w:val="both"/>
        <w:rPr>
          <w:color w:val="000000"/>
        </w:rPr>
      </w:pPr>
    </w:p>
    <w:p w:rsidR="00A96018" w:rsidRDefault="00D02C3C">
      <w:pPr>
        <w:numPr>
          <w:ilvl w:val="0"/>
          <w:numId w:val="3"/>
        </w:numPr>
        <w:spacing w:line="360" w:lineRule="auto"/>
        <w:ind w:left="0" w:right="-989" w:firstLine="0"/>
        <w:jc w:val="both"/>
        <w:rPr>
          <w:color w:val="000000"/>
        </w:rPr>
      </w:pPr>
      <w:r>
        <w:rPr>
          <w:rFonts w:ascii="Palatino Linotype" w:eastAsia="Palatino Linotype" w:hAnsi="Palatino Linotype" w:cs="Palatino Linotype"/>
          <w:color w:val="000000"/>
        </w:rPr>
        <w:t>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A96018" w:rsidRDefault="00D02C3C">
      <w:pPr>
        <w:spacing w:line="360" w:lineRule="auto"/>
        <w:ind w:left="426" w:right="-98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“CRITERIO 0002-11</w:t>
      </w:r>
    </w:p>
    <w:p w:rsidR="00A96018" w:rsidRDefault="00D02C3C">
      <w:pPr>
        <w:spacing w:line="360" w:lineRule="auto"/>
        <w:ind w:left="426"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INFORMACIÓN PÚBLICA, CONCEPTO DE, EN MATERIA DE TRANSPARENCIA. INTERPRETACIÓN TEMÁTICA DE LOS ARTÍCULOS 2, FRACCIÓN V, XV, Y XVI, 3, 4,11 Y 41.</w:t>
      </w:r>
      <w:r>
        <w:rPr>
          <w:rFonts w:ascii="Palatino Linotype" w:eastAsia="Palatino Linotype" w:hAnsi="Palatino Linotype" w:cs="Palatino Linotype"/>
          <w:i/>
          <w:iCs/>
          <w:color w:val="000000"/>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A96018" w:rsidRDefault="00D02C3C">
      <w:pPr>
        <w:spacing w:line="360" w:lineRule="auto"/>
        <w:ind w:left="426"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consecuencia el acceso a la información se refiere a que se cumplan cualquiera de los siguientes tres supuestos:</w:t>
      </w:r>
    </w:p>
    <w:p w:rsidR="00A96018" w:rsidRDefault="00D02C3C">
      <w:pPr>
        <w:spacing w:line="360" w:lineRule="auto"/>
        <w:ind w:left="426"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Que se trate de información registrada en cualquier soporte documental, que en ejercicio de las atribuciones conferidas, sea generada por los Sujetos Obligados;</w:t>
      </w:r>
    </w:p>
    <w:p w:rsidR="00A96018" w:rsidRDefault="00D02C3C">
      <w:pPr>
        <w:spacing w:line="360" w:lineRule="auto"/>
        <w:ind w:left="426"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Que se trate de información registrada en cualquier soporte documental, que en ejercicio de las atribuciones conferidas, sea administrada por los Sujetos Obligados, y</w:t>
      </w:r>
    </w:p>
    <w:p w:rsidR="00A96018" w:rsidRDefault="00D02C3C">
      <w:pPr>
        <w:spacing w:line="360" w:lineRule="auto"/>
        <w:ind w:left="426"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Que se trate de información registrada en cualquier soporte documental, que en ejercicio de las atribuciones conferidas, se encuentre en posesión de los Sujetos Obligados.”</w:t>
      </w:r>
    </w:p>
    <w:p w:rsidR="00A96018" w:rsidRDefault="00A96018">
      <w:pPr>
        <w:spacing w:line="360" w:lineRule="auto"/>
        <w:ind w:left="567" w:right="-989"/>
        <w:jc w:val="both"/>
        <w:rPr>
          <w:rFonts w:ascii="Palatino Linotype" w:eastAsia="Palatino Linotype" w:hAnsi="Palatino Linotype" w:cs="Palatino Linotype"/>
          <w:i/>
          <w:iCs/>
          <w:color w:val="000000"/>
        </w:rPr>
      </w:pPr>
    </w:p>
    <w:p w:rsidR="00A96018" w:rsidRDefault="00D02C3C">
      <w:pPr>
        <w:numPr>
          <w:ilvl w:val="0"/>
          <w:numId w:val="3"/>
        </w:numPr>
        <w:spacing w:line="360" w:lineRule="auto"/>
        <w:ind w:left="0" w:right="-989" w:firstLine="0"/>
        <w:jc w:val="both"/>
        <w:rPr>
          <w:color w:val="000000"/>
        </w:rPr>
      </w:pPr>
      <w:r>
        <w:rPr>
          <w:rFonts w:ascii="Palatino Linotype" w:eastAsia="Palatino Linotype" w:hAnsi="Palatino Linotype" w:cs="Palatino Linotype"/>
          <w:color w:val="000000"/>
        </w:rPr>
        <w:t>El derecho de acceso a la información encuentra su materia elemental en los documentos, y la Ley de Transparencia local  nos brinda el siguiente concepto, para darnos un mejor panorama:</w:t>
      </w:r>
    </w:p>
    <w:p w:rsidR="00A96018" w:rsidRDefault="00D02C3C">
      <w:pPr>
        <w:spacing w:line="360" w:lineRule="auto"/>
        <w:ind w:left="426"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XI. Documento: </w:t>
      </w:r>
      <w:r>
        <w:rPr>
          <w:rFonts w:ascii="Palatino Linotype" w:eastAsia="Palatino Linotype" w:hAnsi="Palatino Linotype" w:cs="Palatino Linotype"/>
          <w:i/>
          <w:iCs/>
          <w:color w:val="000000"/>
        </w:rPr>
        <w:t xml:space="preserve">Los expedientes, reportes, estudios, actas, resoluciones, oficios, correspondencia, acuerdos, directivas, directrices, circulares, contratos, convenios, instructivos, notas, memorandos, estadísticas o bien, </w:t>
      </w:r>
      <w:r>
        <w:rPr>
          <w:rFonts w:ascii="Palatino Linotype" w:eastAsia="Palatino Linotype" w:hAnsi="Palatino Linotype" w:cs="Palatino Linotype"/>
          <w:b/>
          <w:bCs/>
          <w:i/>
          <w:iCs/>
          <w:color w:val="000000"/>
        </w:rPr>
        <w:t>cualquier otro registro</w:t>
      </w:r>
      <w:r>
        <w:rPr>
          <w:rFonts w:ascii="Palatino Linotype" w:eastAsia="Palatino Linotype" w:hAnsi="Palatino Linotype" w:cs="Palatino Linotype"/>
          <w:i/>
          <w:iCs/>
          <w:color w:val="000000"/>
        </w:rPr>
        <w:t xml:space="preserve">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A96018" w:rsidRDefault="00A96018">
      <w:pPr>
        <w:spacing w:line="360" w:lineRule="auto"/>
        <w:ind w:left="567" w:right="-989"/>
        <w:jc w:val="both"/>
        <w:rPr>
          <w:rFonts w:ascii="Palatino Linotype" w:eastAsia="Palatino Linotype" w:hAnsi="Palatino Linotype" w:cs="Palatino Linotype"/>
          <w:i/>
          <w:iCs/>
          <w:color w:val="000000"/>
        </w:rPr>
      </w:pPr>
    </w:p>
    <w:p w:rsidR="00A96018" w:rsidRDefault="00D02C3C">
      <w:pPr>
        <w:numPr>
          <w:ilvl w:val="0"/>
          <w:numId w:val="3"/>
        </w:numPr>
        <w:spacing w:line="360" w:lineRule="auto"/>
        <w:ind w:left="0" w:right="-989" w:firstLine="0"/>
        <w:jc w:val="both"/>
        <w:rPr>
          <w:color w:val="000000"/>
        </w:rPr>
      </w:pPr>
      <w:r>
        <w:rPr>
          <w:rFonts w:ascii="Palatino Linotype" w:eastAsia="Palatino Linotype" w:hAnsi="Palatino Linotype" w:cs="Palatino Linotype"/>
          <w:color w:val="000000"/>
        </w:rPr>
        <w:t xml:space="preserve">Es así que, todos los actos de autoridad que realicen los Sujetos Obligados </w:t>
      </w:r>
      <w:r>
        <w:rPr>
          <w:rFonts w:ascii="Palatino Linotype" w:eastAsia="Palatino Linotype" w:hAnsi="Palatino Linotype" w:cs="Palatino Linotype"/>
          <w:b/>
          <w:bCs/>
          <w:color w:val="000000"/>
        </w:rPr>
        <w:t xml:space="preserve">deben </w:t>
      </w:r>
      <w:r>
        <w:rPr>
          <w:rFonts w:ascii="Palatino Linotype" w:eastAsia="Palatino Linotype" w:hAnsi="Palatino Linotype" w:cs="Palatino Linotype"/>
          <w:color w:val="000000"/>
        </w:rPr>
        <w:t>estar</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documentados y, bajo el más alto estándar de transparencia deberán poner toda la información que se encuentre en su posesión, a disposición de los particulares que la soliciten.</w:t>
      </w:r>
    </w:p>
    <w:p w:rsidR="00A96018" w:rsidRDefault="00A96018">
      <w:pPr>
        <w:spacing w:line="360" w:lineRule="auto"/>
        <w:ind w:right="-989"/>
        <w:jc w:val="both"/>
        <w:rPr>
          <w:rFonts w:ascii="Palatino Linotype" w:eastAsia="Palatino Linotype" w:hAnsi="Palatino Linotype" w:cs="Palatino Linotype"/>
          <w:color w:val="000000"/>
        </w:rPr>
      </w:pPr>
    </w:p>
    <w:p w:rsidR="00A96018" w:rsidRDefault="00D02C3C">
      <w:pPr>
        <w:numPr>
          <w:ilvl w:val="0"/>
          <w:numId w:val="3"/>
        </w:numPr>
        <w:spacing w:line="360" w:lineRule="auto"/>
        <w:ind w:left="0" w:right="-989" w:firstLine="0"/>
        <w:jc w:val="both"/>
        <w:rPr>
          <w:color w:val="000000"/>
        </w:rPr>
      </w:pPr>
      <w:r>
        <w:rPr>
          <w:rFonts w:ascii="Palatino Linotype" w:eastAsia="Palatino Linotype" w:hAnsi="Palatino Linotype" w:cs="Palatino Linotype"/>
          <w:color w:val="000000"/>
        </w:rPr>
        <w:lastRenderedPageBreak/>
        <w:t>Además, debemos tomar en cuenta los artículos 4 y 12 (antes transcrito), de la Ley de Transparencia y Acceso a la Información Pública del Estado de México y Municipios, los cuales establecen lo siguiente:</w:t>
      </w:r>
    </w:p>
    <w:p w:rsidR="00A96018" w:rsidRDefault="00D02C3C">
      <w:pPr>
        <w:spacing w:line="360" w:lineRule="auto"/>
        <w:ind w:left="426"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“Artículo 4. </w:t>
      </w:r>
      <w:r>
        <w:rPr>
          <w:rFonts w:ascii="Palatino Linotype" w:eastAsia="Palatino Linotype" w:hAnsi="Palatino Linotype" w:cs="Palatino Linotype"/>
          <w:i/>
          <w:iCs/>
          <w:color w:val="000000"/>
        </w:rPr>
        <w:t>El derecho humano de acceso a la información pública es la prerrogativa de las personas para buscar, difundir, investigar, recabar, recibir y solicitar información pública, sin necesidad de acreditar personalidad ni interés jurídico.</w:t>
      </w:r>
    </w:p>
    <w:p w:rsidR="00A96018" w:rsidRDefault="00D02C3C">
      <w:pPr>
        <w:spacing w:line="360" w:lineRule="auto"/>
        <w:ind w:left="426"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Toda la información</w:t>
      </w:r>
      <w:r>
        <w:rPr>
          <w:rFonts w:ascii="Palatino Linotype" w:eastAsia="Palatino Linotype" w:hAnsi="Palatino Linotype" w:cs="Palatino Linotype"/>
          <w:i/>
          <w:iCs/>
          <w:color w:val="000000"/>
        </w:rPr>
        <w:t xml:space="preserve"> generada, obtenida, adquirida, transformada, administrada o </w:t>
      </w:r>
      <w:r>
        <w:rPr>
          <w:rFonts w:ascii="Palatino Linotype" w:eastAsia="Palatino Linotype" w:hAnsi="Palatino Linotype" w:cs="Palatino Linotype"/>
          <w:b/>
          <w:bCs/>
          <w:i/>
          <w:iCs/>
          <w:color w:val="000000"/>
        </w:rPr>
        <w:t>en posesión de los sujetos obligados es pública</w:t>
      </w:r>
      <w:r>
        <w:rPr>
          <w:rFonts w:ascii="Palatino Linotype" w:eastAsia="Palatino Linotype" w:hAnsi="Palatino Linotype" w:cs="Palatino Linotype"/>
          <w:i/>
          <w:iCs/>
          <w:color w:val="000000"/>
        </w:rPr>
        <w:t xml:space="preserve">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A96018" w:rsidRDefault="00D02C3C">
      <w:pPr>
        <w:spacing w:line="360" w:lineRule="auto"/>
        <w:ind w:left="426"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sujetos obligados deben poner en práctica, políticas y programas de acceso a la información que se apeguen a criterios de publicidad, veracidad, oportunidad, precisión y suficiencia en beneficio de los solicitantes.”</w:t>
      </w:r>
    </w:p>
    <w:p w:rsidR="00A96018" w:rsidRDefault="00A96018">
      <w:pPr>
        <w:spacing w:line="360" w:lineRule="auto"/>
        <w:ind w:left="567" w:right="-989"/>
        <w:jc w:val="both"/>
        <w:rPr>
          <w:rFonts w:ascii="Palatino Linotype" w:eastAsia="Palatino Linotype" w:hAnsi="Palatino Linotype" w:cs="Palatino Linotype"/>
          <w:i/>
          <w:iCs/>
          <w:color w:val="000000"/>
        </w:rPr>
      </w:pPr>
    </w:p>
    <w:p w:rsidR="00A96018" w:rsidRDefault="00D02C3C">
      <w:pPr>
        <w:numPr>
          <w:ilvl w:val="0"/>
          <w:numId w:val="3"/>
        </w:numPr>
        <w:spacing w:line="360" w:lineRule="auto"/>
        <w:ind w:left="0" w:right="-989" w:firstLine="0"/>
        <w:jc w:val="both"/>
        <w:rPr>
          <w:color w:val="000000"/>
        </w:rPr>
      </w:pPr>
      <w:r>
        <w:rPr>
          <w:rFonts w:ascii="Palatino Linotype" w:eastAsia="Palatino Linotype" w:hAnsi="Palatino Linotype" w:cs="Palatino Linotype"/>
          <w:color w:val="000000"/>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Pr>
          <w:rFonts w:ascii="Palatino Linotype" w:eastAsia="Palatino Linotype" w:hAnsi="Palatino Linotype" w:cs="Palatino Linotype"/>
          <w:color w:val="000000"/>
          <w:vertAlign w:val="superscript"/>
        </w:rPr>
        <w:footnoteReference w:id="7"/>
      </w:r>
      <w:r>
        <w:rPr>
          <w:rFonts w:ascii="Palatino Linotype" w:eastAsia="Palatino Linotype" w:hAnsi="Palatino Linotype" w:cs="Palatino Linotype"/>
          <w:color w:val="000000"/>
        </w:rPr>
        <w:t xml:space="preserve"> y máxima publicidad, </w:t>
      </w:r>
      <w:r>
        <w:rPr>
          <w:rFonts w:ascii="Palatino Linotype" w:eastAsia="Palatino Linotype" w:hAnsi="Palatino Linotype" w:cs="Palatino Linotype"/>
          <w:color w:val="000000"/>
        </w:rPr>
        <w:lastRenderedPageBreak/>
        <w:t>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A96018" w:rsidRDefault="00A96018">
      <w:pPr>
        <w:spacing w:line="360" w:lineRule="auto"/>
        <w:ind w:right="-989"/>
        <w:jc w:val="both"/>
        <w:rPr>
          <w:rFonts w:ascii="Palatino Linotype" w:eastAsia="Palatino Linotype" w:hAnsi="Palatino Linotype" w:cs="Palatino Linotype"/>
          <w:color w:val="000000"/>
        </w:rPr>
      </w:pPr>
    </w:p>
    <w:p w:rsidR="00A96018" w:rsidRDefault="00D02C3C">
      <w:pPr>
        <w:numPr>
          <w:ilvl w:val="0"/>
          <w:numId w:val="3"/>
        </w:numPr>
        <w:spacing w:line="360" w:lineRule="auto"/>
        <w:ind w:left="0" w:right="-989" w:firstLine="0"/>
        <w:jc w:val="both"/>
        <w:rPr>
          <w:color w:val="000000"/>
        </w:rPr>
      </w:pPr>
      <w:r>
        <w:rPr>
          <w:rFonts w:ascii="Palatino Linotype" w:eastAsia="Palatino Linotype" w:hAnsi="Palatino Linotype" w:cs="Palatino Linotype"/>
          <w:color w:val="000000"/>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A96018" w:rsidRDefault="00D02C3C">
      <w:pPr>
        <w:pBdr>
          <w:top w:val="nil"/>
          <w:left w:val="nil"/>
          <w:bottom w:val="nil"/>
          <w:right w:val="nil"/>
          <w:between w:val="nil"/>
        </w:pBdr>
        <w:tabs>
          <w:tab w:val="left" w:pos="851"/>
        </w:tabs>
        <w:spacing w:line="360" w:lineRule="auto"/>
        <w:ind w:left="425"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ACCESO A LA INFORMACIÓN. IMPLICACIÓN DEL PRINCIPIO DE MÁXIMA PUBLICIDAD EN EL DERECHO FUNDAMENTAL RELATIVO.</w:t>
      </w:r>
      <w:r>
        <w:rPr>
          <w:rFonts w:ascii="Palatino Linotype" w:eastAsia="Palatino Linotype" w:hAnsi="Palatino Linotype" w:cs="Palatino Linotype"/>
          <w:i/>
          <w:iCs/>
          <w:color w:val="000000"/>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w:t>
      </w:r>
      <w:r>
        <w:rPr>
          <w:rFonts w:ascii="Palatino Linotype" w:eastAsia="Palatino Linotype" w:hAnsi="Palatino Linotype" w:cs="Palatino Linotype"/>
          <w:i/>
          <w:iCs/>
          <w:color w:val="000000"/>
        </w:rPr>
        <w:lastRenderedPageBreak/>
        <w:t>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A96018" w:rsidRDefault="00A96018">
      <w:pPr>
        <w:spacing w:line="360" w:lineRule="auto"/>
        <w:ind w:right="-989"/>
        <w:jc w:val="both"/>
        <w:rPr>
          <w:rFonts w:ascii="Palatino Linotype" w:eastAsia="Palatino Linotype" w:hAnsi="Palatino Linotype" w:cs="Palatino Linotype"/>
        </w:rPr>
      </w:pPr>
    </w:p>
    <w:p w:rsidR="00A96018" w:rsidRDefault="00D02C3C">
      <w:pPr>
        <w:numPr>
          <w:ilvl w:val="0"/>
          <w:numId w:val="3"/>
        </w:numPr>
        <w:spacing w:line="360" w:lineRule="auto"/>
        <w:ind w:left="0" w:right="-989" w:firstLine="0"/>
        <w:jc w:val="both"/>
      </w:pPr>
      <w:r>
        <w:rPr>
          <w:rFonts w:ascii="Palatino Linotype" w:eastAsia="Palatino Linotype" w:hAnsi="Palatino Linotype" w:cs="Palatino Linotype"/>
          <w:color w:val="222222"/>
        </w:rPr>
        <w:t xml:space="preserve">Por lo </w:t>
      </w:r>
      <w:r>
        <w:rPr>
          <w:rFonts w:ascii="Palatino Linotype" w:eastAsia="Palatino Linotype" w:hAnsi="Palatino Linotype" w:cs="Palatino Linotype"/>
        </w:rPr>
        <w:t>anteriormente</w:t>
      </w:r>
      <w:r>
        <w:rPr>
          <w:rFonts w:ascii="Palatino Linotype" w:eastAsia="Palatino Linotype" w:hAnsi="Palatino Linotype" w:cs="Palatino Linotype"/>
          <w:color w:val="222222"/>
        </w:rPr>
        <w:t xml:space="preserve"> expuesto y fundado, este </w:t>
      </w:r>
      <w:r>
        <w:rPr>
          <w:rFonts w:ascii="Palatino Linotype" w:eastAsia="Palatino Linotype" w:hAnsi="Palatino Linotype" w:cs="Palatino Linotype"/>
          <w:b/>
          <w:bCs/>
          <w:color w:val="222222"/>
        </w:rPr>
        <w:t>ÓRGANO GARANTE</w:t>
      </w:r>
      <w:r>
        <w:rPr>
          <w:rFonts w:ascii="Palatino Linotype" w:eastAsia="Palatino Linotype" w:hAnsi="Palatino Linotype" w:cs="Palatino Linotype"/>
          <w:color w:val="222222"/>
        </w:rPr>
        <w:t xml:space="preserve"> emite los </w:t>
      </w:r>
      <w:r>
        <w:rPr>
          <w:rFonts w:ascii="Palatino Linotype" w:eastAsia="Palatino Linotype" w:hAnsi="Palatino Linotype" w:cs="Palatino Linotype"/>
          <w:color w:val="000000"/>
        </w:rPr>
        <w:t>siguientes</w:t>
      </w:r>
      <w:r>
        <w:rPr>
          <w:rFonts w:ascii="Palatino Linotype" w:eastAsia="Palatino Linotype" w:hAnsi="Palatino Linotype" w:cs="Palatino Linotype"/>
          <w:color w:val="222222"/>
        </w:rPr>
        <w:t>:</w:t>
      </w:r>
    </w:p>
    <w:p w:rsidR="00A96018" w:rsidRDefault="00A96018">
      <w:pPr>
        <w:pBdr>
          <w:top w:val="nil"/>
          <w:left w:val="nil"/>
          <w:bottom w:val="nil"/>
          <w:right w:val="nil"/>
          <w:between w:val="nil"/>
        </w:pBdr>
        <w:spacing w:line="360" w:lineRule="auto"/>
        <w:ind w:left="720" w:right="-989"/>
        <w:rPr>
          <w:rFonts w:ascii="Palatino Linotype" w:eastAsia="Palatino Linotype" w:hAnsi="Palatino Linotype" w:cs="Palatino Linotype"/>
          <w:color w:val="000000"/>
        </w:rPr>
      </w:pPr>
    </w:p>
    <w:p w:rsidR="00A96018" w:rsidRDefault="00D02C3C">
      <w:pPr>
        <w:pBdr>
          <w:top w:val="nil"/>
          <w:left w:val="nil"/>
          <w:bottom w:val="nil"/>
          <w:right w:val="nil"/>
          <w:between w:val="nil"/>
        </w:pBdr>
        <w:spacing w:line="360" w:lineRule="auto"/>
        <w:ind w:right="-989"/>
        <w:jc w:val="center"/>
        <w:rPr>
          <w:rFonts w:ascii="Palatino Linotype" w:eastAsia="Palatino Linotype" w:hAnsi="Palatino Linotype" w:cs="Palatino Linotype"/>
          <w:b/>
          <w:bCs/>
        </w:rPr>
      </w:pPr>
      <w:r>
        <w:rPr>
          <w:rFonts w:ascii="Palatino Linotype" w:eastAsia="Palatino Linotype" w:hAnsi="Palatino Linotype" w:cs="Palatino Linotype"/>
          <w:b/>
          <w:bCs/>
        </w:rPr>
        <w:t>R E S O L U T I V O S</w:t>
      </w:r>
    </w:p>
    <w:p w:rsidR="00A96018" w:rsidRDefault="00A96018">
      <w:pPr>
        <w:pBdr>
          <w:top w:val="nil"/>
          <w:left w:val="nil"/>
          <w:bottom w:val="nil"/>
          <w:right w:val="nil"/>
          <w:between w:val="nil"/>
        </w:pBdr>
        <w:spacing w:line="360" w:lineRule="auto"/>
        <w:ind w:right="-989"/>
        <w:jc w:val="center"/>
        <w:rPr>
          <w:rFonts w:ascii="Palatino Linotype" w:eastAsia="Palatino Linotype" w:hAnsi="Palatino Linotype" w:cs="Palatino Linotype"/>
          <w:b/>
          <w:bCs/>
        </w:rPr>
      </w:pPr>
    </w:p>
    <w:p w:rsidR="00A96018" w:rsidRDefault="00D02C3C">
      <w:pPr>
        <w:spacing w:line="360" w:lineRule="auto"/>
        <w:ind w:right="-989"/>
        <w:jc w:val="both"/>
        <w:rPr>
          <w:rFonts w:ascii="Palatino Linotype" w:eastAsia="Palatino Linotype" w:hAnsi="Palatino Linotype" w:cs="Palatino Linotype"/>
        </w:rPr>
      </w:pPr>
      <w:r>
        <w:rPr>
          <w:rFonts w:ascii="Palatino Linotype" w:eastAsia="Palatino Linotype" w:hAnsi="Palatino Linotype" w:cs="Palatino Linotype"/>
          <w:b/>
          <w:bCs/>
        </w:rPr>
        <w:t>PRIMERO</w:t>
      </w:r>
      <w:r>
        <w:rPr>
          <w:rFonts w:ascii="Palatino Linotype" w:eastAsia="Palatino Linotype" w:hAnsi="Palatino Linotype" w:cs="Palatino Linotype"/>
        </w:rPr>
        <w:t xml:space="preserve">. Resultan parcialmente fundadas las razones o motivos de inconformidad hechos valer en el Recurso de Revisión </w:t>
      </w:r>
      <w:r>
        <w:rPr>
          <w:rFonts w:ascii="Palatino Linotype" w:eastAsia="Palatino Linotype" w:hAnsi="Palatino Linotype" w:cs="Palatino Linotype"/>
          <w:b/>
          <w:bCs/>
        </w:rPr>
        <w:t xml:space="preserve">12228/INFOEM/IP/RR/2025, </w:t>
      </w:r>
      <w:r>
        <w:rPr>
          <w:rFonts w:ascii="Palatino Linotype" w:eastAsia="Palatino Linotype" w:hAnsi="Palatino Linotype" w:cs="Palatino Linotype"/>
        </w:rPr>
        <w:t xml:space="preserve">en términos de los </w:t>
      </w:r>
      <w:r>
        <w:rPr>
          <w:rFonts w:ascii="Palatino Linotype" w:eastAsia="Palatino Linotype" w:hAnsi="Palatino Linotype" w:cs="Palatino Linotype"/>
          <w:b/>
          <w:bCs/>
        </w:rPr>
        <w:t>Considerandos</w:t>
      </w:r>
      <w:r>
        <w:rPr>
          <w:rFonts w:ascii="Palatino Linotype" w:eastAsia="Palatino Linotype" w:hAnsi="Palatino Linotype" w:cs="Palatino Linotype"/>
        </w:rPr>
        <w:t xml:space="preserve"> </w:t>
      </w:r>
      <w:r>
        <w:rPr>
          <w:rFonts w:ascii="Palatino Linotype" w:eastAsia="Palatino Linotype" w:hAnsi="Palatino Linotype" w:cs="Palatino Linotype"/>
          <w:b/>
          <w:bCs/>
        </w:rPr>
        <w:t>Cuarto</w:t>
      </w:r>
      <w:r>
        <w:rPr>
          <w:rFonts w:ascii="Palatino Linotype" w:eastAsia="Palatino Linotype" w:hAnsi="Palatino Linotype" w:cs="Palatino Linotype"/>
        </w:rPr>
        <w:t xml:space="preserve"> y</w:t>
      </w:r>
      <w:r>
        <w:rPr>
          <w:rFonts w:ascii="Palatino Linotype" w:eastAsia="Palatino Linotype" w:hAnsi="Palatino Linotype" w:cs="Palatino Linotype"/>
          <w:b/>
          <w:bCs/>
        </w:rPr>
        <w:t xml:space="preserve"> Quinto </w:t>
      </w:r>
      <w:r>
        <w:rPr>
          <w:rFonts w:ascii="Palatino Linotype" w:eastAsia="Palatino Linotype" w:hAnsi="Palatino Linotype" w:cs="Palatino Linotype"/>
        </w:rPr>
        <w:t>de la presente Resolución.</w:t>
      </w:r>
    </w:p>
    <w:p w:rsidR="00A96018" w:rsidRDefault="00A96018">
      <w:pPr>
        <w:spacing w:line="360" w:lineRule="auto"/>
        <w:ind w:right="-989"/>
        <w:jc w:val="both"/>
        <w:rPr>
          <w:rFonts w:ascii="Palatino Linotype" w:eastAsia="Palatino Linotype" w:hAnsi="Palatino Linotype" w:cs="Palatino Linotype"/>
        </w:rPr>
      </w:pPr>
    </w:p>
    <w:p w:rsidR="00A96018" w:rsidRDefault="00D02C3C">
      <w:pPr>
        <w:spacing w:line="360" w:lineRule="auto"/>
        <w:ind w:right="-989"/>
        <w:jc w:val="both"/>
        <w:rPr>
          <w:rFonts w:ascii="Palatino Linotype" w:eastAsia="Palatino Linotype" w:hAnsi="Palatino Linotype" w:cs="Palatino Linotype"/>
        </w:rPr>
      </w:pPr>
      <w:r>
        <w:rPr>
          <w:rFonts w:ascii="Palatino Linotype" w:eastAsia="Palatino Linotype" w:hAnsi="Palatino Linotype" w:cs="Palatino Linotype"/>
          <w:b/>
          <w:bCs/>
        </w:rPr>
        <w:t xml:space="preserve">SEGUNDO.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 xml:space="preserve">REVOCA </w:t>
      </w:r>
      <w:r w:rsidR="00521855">
        <w:rPr>
          <w:rFonts w:ascii="Palatino Linotype" w:eastAsia="Palatino Linotype" w:hAnsi="Palatino Linotype" w:cs="Palatino Linotype"/>
          <w:color w:val="000000"/>
        </w:rPr>
        <w:t>la respuesta emitida por la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 xml:space="preserve">Secretaría de Desarrollo Urbano e Infraestructura </w:t>
      </w:r>
      <w:r>
        <w:rPr>
          <w:rFonts w:ascii="Palatino Linotype" w:eastAsia="Palatino Linotype" w:hAnsi="Palatino Linotype" w:cs="Palatino Linotype"/>
          <w:color w:val="000000"/>
        </w:rPr>
        <w:t>a la Solicitud de Información</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b/>
          <w:bCs/>
        </w:rPr>
        <w:t>00374/SEDUI/IP/2025;</w:t>
      </w:r>
      <w:r>
        <w:rPr>
          <w:rFonts w:ascii="Palatino Linotype" w:eastAsia="Palatino Linotype" w:hAnsi="Palatino Linotype" w:cs="Palatino Linotype"/>
        </w:rPr>
        <w:t xml:space="preserve"> por lo que</w:t>
      </w:r>
      <w:r>
        <w:rPr>
          <w:rFonts w:ascii="Palatino Linotype" w:eastAsia="Palatino Linotype" w:hAnsi="Palatino Linotype" w:cs="Palatino Linotype"/>
          <w:color w:val="000000"/>
        </w:rPr>
        <w:t xml:space="preserve"> se </w:t>
      </w:r>
      <w:r>
        <w:rPr>
          <w:rFonts w:ascii="Palatino Linotype" w:eastAsia="Palatino Linotype" w:hAnsi="Palatino Linotype" w:cs="Palatino Linotype"/>
          <w:b/>
          <w:bCs/>
          <w:color w:val="000000"/>
        </w:rPr>
        <w:t>ORDENA</w:t>
      </w:r>
      <w:r>
        <w:rPr>
          <w:rFonts w:ascii="Palatino Linotype" w:eastAsia="Palatino Linotype" w:hAnsi="Palatino Linotype" w:cs="Palatino Linotype"/>
          <w:color w:val="000000"/>
        </w:rPr>
        <w:t xml:space="preserve"> entregar </w:t>
      </w:r>
      <w:r>
        <w:rPr>
          <w:rFonts w:ascii="Palatino Linotype" w:eastAsia="Palatino Linotype" w:hAnsi="Palatino Linotype" w:cs="Palatino Linotype"/>
        </w:rPr>
        <w:t>en</w:t>
      </w:r>
      <w:r>
        <w:rPr>
          <w:rFonts w:ascii="Palatino Linotype" w:eastAsia="Palatino Linotype" w:hAnsi="Palatino Linotype" w:cs="Palatino Linotype"/>
          <w:b/>
          <w:bCs/>
        </w:rPr>
        <w:t xml:space="preserve"> copias certificadas con costo</w:t>
      </w:r>
      <w:r>
        <w:rPr>
          <w:rFonts w:ascii="Palatino Linotype" w:eastAsia="Palatino Linotype" w:hAnsi="Palatino Linotype" w:cs="Palatino Linotype"/>
          <w:color w:val="000000"/>
        </w:rPr>
        <w:t>, la siguiente información</w:t>
      </w:r>
      <w:r>
        <w:rPr>
          <w:rFonts w:ascii="Palatino Linotype" w:eastAsia="Palatino Linotype" w:hAnsi="Palatino Linotype" w:cs="Palatino Linotype"/>
        </w:rPr>
        <w:t>:</w:t>
      </w:r>
    </w:p>
    <w:p w:rsidR="00A96018" w:rsidRDefault="00A96018">
      <w:pPr>
        <w:spacing w:line="360" w:lineRule="auto"/>
        <w:ind w:right="-989"/>
        <w:jc w:val="both"/>
        <w:rPr>
          <w:rFonts w:ascii="Palatino Linotype" w:eastAsia="Palatino Linotype" w:hAnsi="Palatino Linotype" w:cs="Palatino Linotype"/>
        </w:rPr>
      </w:pPr>
    </w:p>
    <w:p w:rsidR="00A96018" w:rsidRDefault="00D02C3C">
      <w:pPr>
        <w:numPr>
          <w:ilvl w:val="0"/>
          <w:numId w:val="5"/>
        </w:num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Los planos de lotificación y autorización remitidos en informe justificado.</w:t>
      </w:r>
    </w:p>
    <w:p w:rsidR="00A96018" w:rsidRDefault="00A96018">
      <w:pPr>
        <w:spacing w:line="360" w:lineRule="auto"/>
        <w:ind w:right="-989"/>
        <w:jc w:val="both"/>
        <w:rPr>
          <w:rFonts w:ascii="Palatino Linotype" w:eastAsia="Palatino Linotype" w:hAnsi="Palatino Linotype" w:cs="Palatino Linotype"/>
        </w:rPr>
      </w:pPr>
    </w:p>
    <w:p w:rsidR="00A96018" w:rsidRDefault="00D02C3C">
      <w:pPr>
        <w:spacing w:line="360" w:lineRule="auto"/>
        <w:ind w:right="-989"/>
        <w:jc w:val="both"/>
        <w:rPr>
          <w:rFonts w:ascii="Palatino Linotype" w:eastAsia="Palatino Linotype" w:hAnsi="Palatino Linotype" w:cs="Palatino Linotype"/>
        </w:rPr>
      </w:pPr>
      <w:bookmarkStart w:id="7" w:name="_heading=h.gmxm6zo5v8un" w:colFirst="0" w:colLast="0"/>
      <w:bookmarkEnd w:id="7"/>
      <w:r>
        <w:rPr>
          <w:rFonts w:ascii="Palatino Linotype" w:eastAsia="Palatino Linotype" w:hAnsi="Palatino Linotype" w:cs="Palatino Linotype"/>
        </w:rPr>
        <w:t xml:space="preserve">Para la entrega de las copias certificadas, el </w:t>
      </w:r>
      <w:r>
        <w:rPr>
          <w:rFonts w:ascii="Palatino Linotype" w:eastAsia="Palatino Linotype" w:hAnsi="Palatino Linotype" w:cs="Palatino Linotype"/>
          <w:b/>
          <w:bCs/>
        </w:rPr>
        <w:t>SUJETO OBLIGADO</w:t>
      </w:r>
      <w:r>
        <w:rPr>
          <w:rFonts w:ascii="Palatino Linotype" w:eastAsia="Palatino Linotype" w:hAnsi="Palatino Linotype" w:cs="Palatino Linotype"/>
        </w:rPr>
        <w:t>, a través del Sistema de Acceso a la Información Mexiquense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deberá indicar el domicilio, así como los </w:t>
      </w:r>
      <w:r>
        <w:rPr>
          <w:rFonts w:ascii="Palatino Linotype" w:eastAsia="Palatino Linotype" w:hAnsi="Palatino Linotype" w:cs="Palatino Linotype"/>
        </w:rPr>
        <w:lastRenderedPageBreak/>
        <w:t xml:space="preserve">días y horarios en que será atendido, junto con el nombre del servidor público que le atenderá, el procedimiento de pago y el costo total a pagar, de conformidad con el Vigésimo Sexto de los Lineamientos para la operación del Sistema de Acceso a la Información Mexiquense (SAIMEX) y del Sistema de Acceso, Rectificación, Cancelación y Oposición de Datos Personales del Estado de México (SARCOEM) y lo señalado en el </w:t>
      </w:r>
      <w:r>
        <w:rPr>
          <w:rFonts w:ascii="Palatino Linotype" w:eastAsia="Palatino Linotype" w:hAnsi="Palatino Linotype" w:cs="Palatino Linotype"/>
          <w:b/>
          <w:bCs/>
        </w:rPr>
        <w:t>considerando CUARTO</w:t>
      </w:r>
      <w:r>
        <w:rPr>
          <w:rFonts w:ascii="Palatino Linotype" w:eastAsia="Palatino Linotype" w:hAnsi="Palatino Linotype" w:cs="Palatino Linotype"/>
        </w:rPr>
        <w:t>.</w:t>
      </w:r>
    </w:p>
    <w:p w:rsidR="00521855" w:rsidRDefault="00521855">
      <w:pPr>
        <w:spacing w:line="360" w:lineRule="auto"/>
        <w:ind w:right="-989"/>
        <w:jc w:val="both"/>
        <w:rPr>
          <w:rFonts w:ascii="Palatino Linotype" w:eastAsia="Palatino Linotype" w:hAnsi="Palatino Linotype" w:cs="Palatino Linotype"/>
        </w:rPr>
      </w:pPr>
    </w:p>
    <w:p w:rsidR="00A96018" w:rsidRDefault="00D02C3C">
      <w:pPr>
        <w:spacing w:line="360" w:lineRule="auto"/>
        <w:ind w:right="-989"/>
        <w:jc w:val="both"/>
        <w:rPr>
          <w:rFonts w:ascii="Palatino Linotype" w:eastAsia="Palatino Linotype" w:hAnsi="Palatino Linotype" w:cs="Palatino Linotype"/>
        </w:rPr>
      </w:pPr>
      <w:r>
        <w:rPr>
          <w:rFonts w:ascii="Palatino Linotype" w:eastAsia="Palatino Linotype" w:hAnsi="Palatino Linotype" w:cs="Palatino Linotype"/>
          <w:b/>
          <w:bCs/>
        </w:rPr>
        <w:t xml:space="preserve">TERCERO. Notifíquese </w:t>
      </w:r>
      <w:r>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rPr>
        <w:t>dé cumplimiento a lo ordenado dentro del plazo de diez días hábiles,</w:t>
      </w:r>
      <w:r>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A96018" w:rsidRDefault="00A96018">
      <w:pPr>
        <w:spacing w:line="360" w:lineRule="auto"/>
        <w:ind w:right="-989"/>
        <w:jc w:val="both"/>
        <w:rPr>
          <w:rFonts w:ascii="Palatino Linotype" w:eastAsia="Palatino Linotype" w:hAnsi="Palatino Linotype" w:cs="Palatino Linotype"/>
        </w:rPr>
      </w:pPr>
    </w:p>
    <w:p w:rsidR="00A96018" w:rsidRDefault="00D02C3C">
      <w:pPr>
        <w:spacing w:line="360" w:lineRule="auto"/>
        <w:ind w:right="-989"/>
        <w:jc w:val="both"/>
        <w:rPr>
          <w:rFonts w:ascii="Palatino Linotype" w:eastAsia="Palatino Linotype" w:hAnsi="Palatino Linotype" w:cs="Palatino Linotype"/>
        </w:rPr>
      </w:pPr>
      <w:r>
        <w:rPr>
          <w:rFonts w:ascii="Palatino Linotype" w:eastAsia="Palatino Linotype" w:hAnsi="Palatino Linotype" w:cs="Palatino Linotype"/>
          <w:b/>
          <w:bCs/>
        </w:rPr>
        <w:t xml:space="preserve">CUARTO.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rsidR="00A96018" w:rsidRDefault="00A96018">
      <w:pPr>
        <w:spacing w:line="360" w:lineRule="auto"/>
        <w:ind w:right="-989"/>
        <w:jc w:val="both"/>
        <w:rPr>
          <w:rFonts w:ascii="Palatino Linotype" w:eastAsia="Palatino Linotype" w:hAnsi="Palatino Linotype" w:cs="Palatino Linotype"/>
        </w:rPr>
      </w:pPr>
    </w:p>
    <w:p w:rsidR="00A96018" w:rsidRDefault="00D02C3C">
      <w:pPr>
        <w:tabs>
          <w:tab w:val="left" w:pos="8080"/>
        </w:tabs>
        <w:spacing w:line="360" w:lineRule="auto"/>
        <w:ind w:right="-989"/>
        <w:jc w:val="both"/>
        <w:rPr>
          <w:rFonts w:ascii="Palatino Linotype" w:eastAsia="Palatino Linotype" w:hAnsi="Palatino Linotype" w:cs="Palatino Linotype"/>
        </w:rPr>
      </w:pPr>
      <w:bookmarkStart w:id="8" w:name="_heading=h.lnxbz9" w:colFirst="0" w:colLast="0"/>
      <w:bookmarkEnd w:id="8"/>
      <w:r>
        <w:rPr>
          <w:rFonts w:ascii="Palatino Linotype" w:eastAsia="Palatino Linotype" w:hAnsi="Palatino Linotype" w:cs="Palatino Linotype"/>
          <w:b/>
          <w:bCs/>
        </w:rPr>
        <w:t xml:space="preserve">QUINTO. </w:t>
      </w:r>
      <w:r>
        <w:rPr>
          <w:rFonts w:ascii="Palatino Linotype" w:eastAsia="Palatino Linotype" w:hAnsi="Palatino Linotype" w:cs="Palatino Linotype"/>
        </w:rPr>
        <w:t xml:space="preserve">Notifíquese al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la presente Resolución, vía </w:t>
      </w:r>
      <w:r>
        <w:rPr>
          <w:rFonts w:ascii="Palatino Linotype" w:eastAsia="Palatino Linotype" w:hAnsi="Palatino Linotype" w:cs="Palatino Linotype"/>
          <w:b/>
          <w:bCs/>
        </w:rPr>
        <w:t>SAIMEX</w:t>
      </w:r>
      <w:r>
        <w:rPr>
          <w:rFonts w:ascii="Palatino Linotype" w:eastAsia="Palatino Linotype" w:hAnsi="Palatino Linotype" w:cs="Palatino Linotype"/>
        </w:rPr>
        <w:t>.</w:t>
      </w:r>
    </w:p>
    <w:p w:rsidR="00A96018" w:rsidRDefault="00A96018">
      <w:pPr>
        <w:tabs>
          <w:tab w:val="left" w:pos="8080"/>
        </w:tabs>
        <w:spacing w:line="360" w:lineRule="auto"/>
        <w:ind w:right="-989"/>
        <w:jc w:val="both"/>
        <w:rPr>
          <w:rFonts w:ascii="Palatino Linotype" w:eastAsia="Palatino Linotype" w:hAnsi="Palatino Linotype" w:cs="Palatino Linotype"/>
        </w:rPr>
      </w:pPr>
    </w:p>
    <w:p w:rsidR="00A96018" w:rsidRDefault="00D02C3C">
      <w:pPr>
        <w:shd w:val="clear" w:color="auto" w:fill="FFFFFF"/>
        <w:spacing w:line="360" w:lineRule="auto"/>
        <w:ind w:right="-989"/>
        <w:jc w:val="both"/>
        <w:rPr>
          <w:rFonts w:ascii="Palatino Linotype" w:eastAsia="Palatino Linotype" w:hAnsi="Palatino Linotype" w:cs="Palatino Linotype"/>
        </w:rPr>
      </w:pPr>
      <w:r>
        <w:rPr>
          <w:rFonts w:ascii="Palatino Linotype" w:eastAsia="Palatino Linotype" w:hAnsi="Palatino Linotype" w:cs="Palatino Linotype"/>
          <w:b/>
          <w:bCs/>
        </w:rPr>
        <w:t xml:space="preserve">SEXTO. </w:t>
      </w:r>
      <w:r>
        <w:rPr>
          <w:rFonts w:ascii="Palatino Linotype" w:eastAsia="Palatino Linotype" w:hAnsi="Palatino Linotype" w:cs="Palatino Linotype"/>
        </w:rPr>
        <w:t>Se hace del conocimiento del</w:t>
      </w:r>
      <w:r>
        <w:rPr>
          <w:rFonts w:ascii="Palatino Linotype" w:eastAsia="Palatino Linotype" w:hAnsi="Palatino Linotype" w:cs="Palatino Linotype"/>
          <w:b/>
          <w:bCs/>
        </w:rPr>
        <w:t xml:space="preserve"> RECURRENTE </w:t>
      </w:r>
      <w:r>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A96018" w:rsidRDefault="00A96018">
      <w:pPr>
        <w:shd w:val="clear" w:color="auto" w:fill="FFFFFF"/>
        <w:spacing w:line="360" w:lineRule="auto"/>
        <w:ind w:right="-989"/>
        <w:jc w:val="both"/>
        <w:rPr>
          <w:rFonts w:ascii="Palatino Linotype" w:eastAsia="Palatino Linotype" w:hAnsi="Palatino Linotype" w:cs="Palatino Linotype"/>
        </w:rPr>
      </w:pPr>
    </w:p>
    <w:p w:rsidR="00521855" w:rsidRPr="003E2295" w:rsidRDefault="00521855" w:rsidP="00521855">
      <w:pPr>
        <w:spacing w:before="240" w:after="240" w:line="360" w:lineRule="auto"/>
        <w:ind w:right="-992" w:firstLine="1"/>
        <w:jc w:val="both"/>
        <w:rPr>
          <w:rFonts w:ascii="Palatino Linotype" w:hAnsi="Palatino Linotype"/>
        </w:rPr>
      </w:pPr>
      <w:bookmarkStart w:id="9"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 xml:space="preserve">VIGÉSIMA </w:t>
      </w:r>
      <w:r w:rsidRPr="003E2295">
        <w:rPr>
          <w:rFonts w:ascii="Palatino Linotype" w:hAnsi="Palatino Linotype" w:cs="Palatino Linotype"/>
        </w:rPr>
        <w:t>SESIÓN O</w:t>
      </w:r>
      <w:r>
        <w:rPr>
          <w:rFonts w:ascii="Palatino Linotype" w:hAnsi="Palatino Linotype" w:cs="Palatino Linotype"/>
        </w:rPr>
        <w:t>RDINARIA, CELEBRADA EL TRES (03</w:t>
      </w:r>
      <w:r w:rsidRPr="003E2295">
        <w:rPr>
          <w:rFonts w:ascii="Palatino Linotype" w:hAnsi="Palatino Linotype" w:cs="Palatino Linotype"/>
        </w:rPr>
        <w:t xml:space="preserve">) DE </w:t>
      </w:r>
      <w:r>
        <w:rPr>
          <w:rFonts w:ascii="Palatino Linotype" w:hAnsi="Palatino Linotype" w:cs="Palatino Linotype"/>
        </w:rPr>
        <w:t>JUNIO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9"/>
    <w:p w:rsidR="00A96018" w:rsidRDefault="00A96018" w:rsidP="00521855">
      <w:pPr>
        <w:spacing w:line="360" w:lineRule="auto"/>
        <w:ind w:right="-992"/>
        <w:jc w:val="both"/>
        <w:rPr>
          <w:rFonts w:ascii="Palatino Linotype" w:eastAsia="Palatino Linotype" w:hAnsi="Palatino Linotype" w:cs="Palatino Linotype"/>
        </w:rPr>
      </w:pPr>
    </w:p>
    <w:p w:rsidR="00A96018" w:rsidRDefault="00A96018" w:rsidP="00521855">
      <w:pPr>
        <w:spacing w:line="360" w:lineRule="auto"/>
        <w:ind w:right="-992"/>
        <w:jc w:val="both"/>
        <w:rPr>
          <w:rFonts w:ascii="Palatino Linotype" w:eastAsia="Palatino Linotype" w:hAnsi="Palatino Linotype" w:cs="Palatino Linotype"/>
        </w:rPr>
      </w:pPr>
    </w:p>
    <w:p w:rsidR="00A96018" w:rsidRDefault="00A96018" w:rsidP="00521855">
      <w:pPr>
        <w:spacing w:line="360" w:lineRule="auto"/>
        <w:ind w:right="-992"/>
        <w:rPr>
          <w:rFonts w:ascii="Palatino Linotype" w:eastAsia="Palatino Linotype" w:hAnsi="Palatino Linotype" w:cs="Palatino Linotype"/>
        </w:rPr>
      </w:pPr>
    </w:p>
    <w:p w:rsidR="00A96018" w:rsidRDefault="00A96018">
      <w:pPr>
        <w:spacing w:line="360" w:lineRule="auto"/>
        <w:ind w:right="-989"/>
        <w:rPr>
          <w:rFonts w:ascii="Palatino Linotype" w:eastAsia="Palatino Linotype" w:hAnsi="Palatino Linotype" w:cs="Palatino Linotype"/>
        </w:rPr>
      </w:pPr>
    </w:p>
    <w:p w:rsidR="00A96018" w:rsidRDefault="00A96018">
      <w:pPr>
        <w:spacing w:line="360" w:lineRule="auto"/>
        <w:ind w:right="-989"/>
        <w:rPr>
          <w:rFonts w:ascii="Palatino Linotype" w:eastAsia="Palatino Linotype" w:hAnsi="Palatino Linotype" w:cs="Palatino Linotype"/>
        </w:rPr>
      </w:pPr>
    </w:p>
    <w:p w:rsidR="00A96018" w:rsidRDefault="00A96018">
      <w:pPr>
        <w:spacing w:line="360" w:lineRule="auto"/>
        <w:ind w:right="-989"/>
        <w:rPr>
          <w:rFonts w:ascii="Palatino Linotype" w:eastAsia="Palatino Linotype" w:hAnsi="Palatino Linotype" w:cs="Palatino Linotype"/>
        </w:rPr>
      </w:pPr>
    </w:p>
    <w:p w:rsidR="00A96018" w:rsidRDefault="00A96018">
      <w:pPr>
        <w:spacing w:line="360" w:lineRule="auto"/>
        <w:ind w:right="-989"/>
        <w:rPr>
          <w:rFonts w:ascii="Palatino Linotype" w:eastAsia="Palatino Linotype" w:hAnsi="Palatino Linotype" w:cs="Palatino Linotype"/>
        </w:rPr>
      </w:pPr>
    </w:p>
    <w:p w:rsidR="00A96018" w:rsidRDefault="00A96018">
      <w:pPr>
        <w:spacing w:line="360" w:lineRule="auto"/>
        <w:ind w:right="-989"/>
        <w:rPr>
          <w:rFonts w:ascii="Palatino Linotype" w:eastAsia="Palatino Linotype" w:hAnsi="Palatino Linotype" w:cs="Palatino Linotype"/>
        </w:rPr>
      </w:pPr>
    </w:p>
    <w:p w:rsidR="00A96018" w:rsidRDefault="00A96018">
      <w:pPr>
        <w:spacing w:line="360" w:lineRule="auto"/>
        <w:ind w:right="-989"/>
        <w:rPr>
          <w:rFonts w:ascii="Palatino Linotype" w:eastAsia="Palatino Linotype" w:hAnsi="Palatino Linotype" w:cs="Palatino Linotype"/>
        </w:rPr>
      </w:pPr>
    </w:p>
    <w:p w:rsidR="00A96018" w:rsidRDefault="00D02C3C">
      <w:pPr>
        <w:tabs>
          <w:tab w:val="left" w:pos="3374"/>
        </w:tabs>
        <w:spacing w:line="360" w:lineRule="auto"/>
        <w:ind w:right="-989"/>
        <w:rPr>
          <w:rFonts w:ascii="Palatino Linotype" w:eastAsia="Palatino Linotype" w:hAnsi="Palatino Linotype" w:cs="Palatino Linotype"/>
        </w:rPr>
      </w:pPr>
      <w:r>
        <w:rPr>
          <w:rFonts w:ascii="Palatino Linotype" w:eastAsia="Palatino Linotype" w:hAnsi="Palatino Linotype" w:cs="Palatino Linotype"/>
        </w:rPr>
        <w:tab/>
      </w:r>
    </w:p>
    <w:p w:rsidR="00A96018" w:rsidRDefault="00A96018">
      <w:pPr>
        <w:tabs>
          <w:tab w:val="left" w:pos="3374"/>
        </w:tabs>
        <w:spacing w:line="360" w:lineRule="auto"/>
        <w:ind w:right="-989"/>
        <w:rPr>
          <w:rFonts w:ascii="Palatino Linotype" w:eastAsia="Palatino Linotype" w:hAnsi="Palatino Linotype" w:cs="Palatino Linotype"/>
        </w:rPr>
      </w:pPr>
    </w:p>
    <w:p w:rsidR="00A96018" w:rsidRDefault="00A96018">
      <w:pPr>
        <w:tabs>
          <w:tab w:val="left" w:pos="3374"/>
        </w:tabs>
        <w:spacing w:line="360" w:lineRule="auto"/>
        <w:ind w:right="-989"/>
        <w:rPr>
          <w:rFonts w:ascii="Palatino Linotype" w:eastAsia="Palatino Linotype" w:hAnsi="Palatino Linotype" w:cs="Palatino Linotype"/>
        </w:rPr>
      </w:pPr>
    </w:p>
    <w:p w:rsidR="00A96018" w:rsidRDefault="00A96018">
      <w:pPr>
        <w:tabs>
          <w:tab w:val="left" w:pos="3374"/>
        </w:tabs>
        <w:spacing w:line="360" w:lineRule="auto"/>
        <w:ind w:right="-989"/>
        <w:rPr>
          <w:rFonts w:ascii="Palatino Linotype" w:eastAsia="Palatino Linotype" w:hAnsi="Palatino Linotype" w:cs="Palatino Linotype"/>
        </w:rPr>
      </w:pPr>
    </w:p>
    <w:p w:rsidR="00A96018" w:rsidRDefault="00A96018">
      <w:pPr>
        <w:tabs>
          <w:tab w:val="left" w:pos="3374"/>
        </w:tabs>
        <w:spacing w:line="360" w:lineRule="auto"/>
        <w:ind w:right="-989"/>
        <w:rPr>
          <w:rFonts w:ascii="Palatino Linotype" w:eastAsia="Palatino Linotype" w:hAnsi="Palatino Linotype" w:cs="Palatino Linotype"/>
        </w:rPr>
      </w:pPr>
    </w:p>
    <w:p w:rsidR="00A96018" w:rsidRDefault="00A96018">
      <w:pPr>
        <w:tabs>
          <w:tab w:val="left" w:pos="3374"/>
        </w:tabs>
        <w:spacing w:line="360" w:lineRule="auto"/>
        <w:ind w:right="-989"/>
        <w:rPr>
          <w:rFonts w:ascii="Palatino Linotype" w:eastAsia="Palatino Linotype" w:hAnsi="Palatino Linotype" w:cs="Palatino Linotype"/>
        </w:rPr>
      </w:pPr>
    </w:p>
    <w:p w:rsidR="00A96018" w:rsidRDefault="00A96018">
      <w:pPr>
        <w:tabs>
          <w:tab w:val="left" w:pos="3374"/>
        </w:tabs>
        <w:spacing w:line="360" w:lineRule="auto"/>
        <w:ind w:right="-989"/>
        <w:rPr>
          <w:rFonts w:ascii="Palatino Linotype" w:eastAsia="Palatino Linotype" w:hAnsi="Palatino Linotype" w:cs="Palatino Linotype"/>
        </w:rPr>
      </w:pPr>
    </w:p>
    <w:p w:rsidR="00A96018" w:rsidRDefault="00A96018">
      <w:pPr>
        <w:tabs>
          <w:tab w:val="left" w:pos="3374"/>
        </w:tabs>
        <w:spacing w:line="360" w:lineRule="auto"/>
        <w:ind w:right="-989"/>
        <w:rPr>
          <w:rFonts w:ascii="Palatino Linotype" w:eastAsia="Palatino Linotype" w:hAnsi="Palatino Linotype" w:cs="Palatino Linotype"/>
        </w:rPr>
      </w:pPr>
    </w:p>
    <w:p w:rsidR="00A96018" w:rsidRDefault="00A96018">
      <w:pPr>
        <w:tabs>
          <w:tab w:val="left" w:pos="3374"/>
        </w:tabs>
        <w:spacing w:line="360" w:lineRule="auto"/>
        <w:ind w:right="-989"/>
        <w:rPr>
          <w:rFonts w:ascii="Palatino Linotype" w:eastAsia="Palatino Linotype" w:hAnsi="Palatino Linotype" w:cs="Palatino Linotype"/>
        </w:rPr>
      </w:pPr>
    </w:p>
    <w:p w:rsidR="00A96018" w:rsidRDefault="00A96018">
      <w:pPr>
        <w:tabs>
          <w:tab w:val="left" w:pos="3374"/>
        </w:tabs>
        <w:spacing w:line="360" w:lineRule="auto"/>
        <w:ind w:right="-989"/>
        <w:rPr>
          <w:rFonts w:ascii="Palatino Linotype" w:eastAsia="Palatino Linotype" w:hAnsi="Palatino Linotype" w:cs="Palatino Linotype"/>
        </w:rPr>
      </w:pPr>
    </w:p>
    <w:p w:rsidR="00A96018" w:rsidRDefault="00A96018">
      <w:pPr>
        <w:tabs>
          <w:tab w:val="left" w:pos="3374"/>
        </w:tabs>
        <w:spacing w:line="360" w:lineRule="auto"/>
        <w:ind w:right="-989"/>
        <w:rPr>
          <w:rFonts w:ascii="Palatino Linotype" w:eastAsia="Palatino Linotype" w:hAnsi="Palatino Linotype" w:cs="Palatino Linotype"/>
        </w:rPr>
      </w:pPr>
    </w:p>
    <w:p w:rsidR="00A96018" w:rsidRDefault="00A96018">
      <w:pPr>
        <w:spacing w:line="360" w:lineRule="auto"/>
        <w:ind w:right="-989"/>
        <w:rPr>
          <w:rFonts w:ascii="Palatino Linotype" w:eastAsia="Palatino Linotype" w:hAnsi="Palatino Linotype" w:cs="Palatino Linotype"/>
        </w:rPr>
      </w:pPr>
    </w:p>
    <w:p w:rsidR="00A96018" w:rsidRDefault="00A96018">
      <w:pPr>
        <w:spacing w:line="360" w:lineRule="auto"/>
        <w:ind w:right="-989"/>
        <w:rPr>
          <w:rFonts w:ascii="Palatino Linotype" w:eastAsia="Palatino Linotype" w:hAnsi="Palatino Linotype" w:cs="Palatino Linotype"/>
        </w:rPr>
      </w:pPr>
    </w:p>
    <w:p w:rsidR="00A96018" w:rsidRDefault="00A96018">
      <w:pPr>
        <w:spacing w:line="360" w:lineRule="auto"/>
        <w:ind w:right="-989"/>
        <w:rPr>
          <w:rFonts w:ascii="Palatino Linotype" w:eastAsia="Palatino Linotype" w:hAnsi="Palatino Linotype" w:cs="Palatino Linotype"/>
        </w:rPr>
      </w:pPr>
    </w:p>
    <w:p w:rsidR="00A96018" w:rsidRDefault="00A96018">
      <w:pPr>
        <w:spacing w:line="360" w:lineRule="auto"/>
        <w:ind w:right="-989"/>
        <w:rPr>
          <w:rFonts w:ascii="Palatino Linotype" w:eastAsia="Palatino Linotype" w:hAnsi="Palatino Linotype" w:cs="Palatino Linotype"/>
        </w:rPr>
      </w:pPr>
    </w:p>
    <w:sectPr w:rsidR="00A96018">
      <w:headerReference w:type="even" r:id="rId9"/>
      <w:headerReference w:type="default" r:id="rId10"/>
      <w:footerReference w:type="default" r:id="rId11"/>
      <w:headerReference w:type="first" r:id="rId12"/>
      <w:footerReference w:type="first" r:id="rId13"/>
      <w:pgSz w:w="12240" w:h="15840"/>
      <w:pgMar w:top="2269" w:right="1750" w:bottom="2127"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0114" w:rsidRDefault="003E0114">
      <w:r>
        <w:separator/>
      </w:r>
    </w:p>
  </w:endnote>
  <w:endnote w:type="continuationSeparator" w:id="0">
    <w:p w:rsidR="003E0114" w:rsidRDefault="003E0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embedRegular r:id="rId1" w:fontKey="{A4857668-6BE8-4AF1-BFB2-D306BA23E986}"/>
  </w:font>
  <w:font w:name="Palatino Linotype">
    <w:panose1 w:val="02040502050505030304"/>
    <w:charset w:val="00"/>
    <w:family w:val="roman"/>
    <w:pitch w:val="variable"/>
    <w:sig w:usb0="E0000287" w:usb1="40000013" w:usb2="00000000" w:usb3="00000000" w:csb0="0000019F" w:csb1="00000000"/>
    <w:embedRegular r:id="rId2" w:fontKey="{4289D48D-65FF-4B65-864F-12ABA304E6F3}"/>
    <w:embedBold r:id="rId3" w:fontKey="{A9EE286F-53FC-4942-A2F2-F5D2DB65F6F8}"/>
    <w:embedItalic r:id="rId4" w:fontKey="{E284CA1B-8C67-450D-A94C-B8F7B1935FBF}"/>
    <w:embedBoldItalic r:id="rId5" w:fontKey="{8FC0546B-2386-4D44-B754-8CD61593CDD2}"/>
  </w:font>
  <w:font w:name="Calibri">
    <w:panose1 w:val="020F0502020204030204"/>
    <w:charset w:val="00"/>
    <w:family w:val="swiss"/>
    <w:pitch w:val="variable"/>
    <w:sig w:usb0="E4002EFF" w:usb1="C200247B" w:usb2="00000009" w:usb3="00000000" w:csb0="000001FF" w:csb1="00000000"/>
    <w:embedRegular r:id="rId6" w:fontKey="{402552BF-760F-4A4A-BFC2-C34ED7419395}"/>
    <w:embedBold r:id="rId7" w:fontKey="{B928900A-7E25-4705-BF7D-F25C29A33BBC}"/>
  </w:font>
  <w:font w:name="Georgia">
    <w:panose1 w:val="02040502050405020303"/>
    <w:charset w:val="00"/>
    <w:family w:val="roman"/>
    <w:pitch w:val="variable"/>
    <w:sig w:usb0="00000287" w:usb1="00000000" w:usb2="00000000" w:usb3="00000000" w:csb0="0000009F" w:csb1="00000000"/>
    <w:embedItalic r:id="rId8" w:fontKey="{0D7E2D72-2A9F-4C91-A0CD-B2773939A699}"/>
  </w:font>
  <w:font w:name="Cambria">
    <w:panose1 w:val="02040503050406030204"/>
    <w:charset w:val="00"/>
    <w:family w:val="roman"/>
    <w:pitch w:val="variable"/>
    <w:sig w:usb0="E00006FF" w:usb1="420024FF" w:usb2="02000000" w:usb3="00000000" w:csb0="0000019F" w:csb1="00000000"/>
    <w:embedRegular r:id="rId9" w:fontKey="{B3AA3DAE-3E54-4343-85D2-45D939A6540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6018" w:rsidRDefault="00D02C3C">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F07329">
      <w:rPr>
        <w:rFonts w:ascii="Palatino Linotype" w:eastAsia="Palatino Linotype" w:hAnsi="Palatino Linotype" w:cs="Palatino Linotype"/>
        <w:noProof/>
        <w:color w:val="000000"/>
        <w:sz w:val="22"/>
        <w:szCs w:val="22"/>
      </w:rPr>
      <w:t>7</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F07329">
      <w:rPr>
        <w:rFonts w:ascii="Palatino Linotype" w:eastAsia="Palatino Linotype" w:hAnsi="Palatino Linotype" w:cs="Palatino Linotype"/>
        <w:noProof/>
        <w:color w:val="000000"/>
        <w:sz w:val="22"/>
        <w:szCs w:val="22"/>
      </w:rPr>
      <w:t>32</w:t>
    </w:r>
    <w:r>
      <w:rPr>
        <w:rFonts w:ascii="Palatino Linotype" w:eastAsia="Palatino Linotype" w:hAnsi="Palatino Linotype" w:cs="Palatino Linotype"/>
        <w:color w:val="000000"/>
        <w:sz w:val="22"/>
        <w:szCs w:val="22"/>
      </w:rPr>
      <w:fldChar w:fldCharType="end"/>
    </w:r>
  </w:p>
  <w:p w:rsidR="00A96018" w:rsidRDefault="00A96018">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6018" w:rsidRDefault="00D02C3C">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F07329">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F07329">
      <w:rPr>
        <w:rFonts w:ascii="Palatino Linotype" w:eastAsia="Palatino Linotype" w:hAnsi="Palatino Linotype" w:cs="Palatino Linotype"/>
        <w:noProof/>
        <w:color w:val="000000"/>
        <w:sz w:val="22"/>
        <w:szCs w:val="22"/>
      </w:rPr>
      <w:t>32</w:t>
    </w:r>
    <w:r>
      <w:rPr>
        <w:rFonts w:ascii="Palatino Linotype" w:eastAsia="Palatino Linotype" w:hAnsi="Palatino Linotype" w:cs="Palatino Linotype"/>
        <w:color w:val="000000"/>
        <w:sz w:val="22"/>
        <w:szCs w:val="22"/>
      </w:rPr>
      <w:fldChar w:fldCharType="end"/>
    </w:r>
  </w:p>
  <w:p w:rsidR="00A96018" w:rsidRDefault="00A96018">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0114" w:rsidRDefault="003E0114">
      <w:r>
        <w:separator/>
      </w:r>
    </w:p>
  </w:footnote>
  <w:footnote w:type="continuationSeparator" w:id="0">
    <w:p w:rsidR="003E0114" w:rsidRDefault="003E0114">
      <w:r>
        <w:continuationSeparator/>
      </w:r>
    </w:p>
  </w:footnote>
  <w:footnote w:id="1">
    <w:p w:rsidR="00A96018" w:rsidRDefault="00D02C3C">
      <w:pPr>
        <w:pBdr>
          <w:top w:val="nil"/>
          <w:left w:val="nil"/>
          <w:bottom w:val="nil"/>
          <w:right w:val="nil"/>
          <w:between w:val="nil"/>
        </w:pBdr>
        <w:jc w:val="both"/>
        <w:rPr>
          <w:color w:val="000000"/>
          <w:sz w:val="18"/>
          <w:szCs w:val="18"/>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18"/>
          <w:szCs w:val="18"/>
        </w:rPr>
        <w:t>En atención al TRANSITORIO CUARTO de la Ley de Transparencia y Acceso a la Información Pública del Estado de México y Municipios, en el cual se menciona que se derogan las disposiciones de igual o menor jerarquía que se opongan a la misma, en consecuencia los lineamientos que se trascriben al no oponerse a la Ley de la materia seguirán vigentes.</w:t>
      </w:r>
      <w:r>
        <w:rPr>
          <w:color w:val="000000"/>
          <w:sz w:val="18"/>
          <w:szCs w:val="18"/>
        </w:rPr>
        <w:t xml:space="preserve"> </w:t>
      </w:r>
    </w:p>
  </w:footnote>
  <w:footnote w:id="2">
    <w:p w:rsidR="00A96018" w:rsidRDefault="00D02C3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3">
    <w:p w:rsidR="00A96018" w:rsidRDefault="00D02C3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4">
    <w:p w:rsidR="00A96018" w:rsidRDefault="00D02C3C">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Corte Interamericana de Derechos Humanos. Caso Claude Reyes y otros vs Chile. Sentencia de 19 de septiembre de 2006. Serie C. No. 151. Párr. 86.</w:t>
      </w:r>
    </w:p>
  </w:footnote>
  <w:footnote w:id="5">
    <w:p w:rsidR="00A96018" w:rsidRDefault="00D02C3C">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Ibídem. Párr. 87.</w:t>
      </w:r>
    </w:p>
  </w:footnote>
  <w:footnote w:id="6">
    <w:p w:rsidR="00A96018" w:rsidRDefault="00D02C3C">
      <w:pPr>
        <w:pBdr>
          <w:top w:val="nil"/>
          <w:left w:val="nil"/>
          <w:bottom w:val="nil"/>
          <w:right w:val="nil"/>
          <w:between w:val="nil"/>
        </w:pBdr>
        <w:rPr>
          <w:color w:val="000000"/>
          <w:sz w:val="20"/>
          <w:szCs w:val="20"/>
        </w:rPr>
      </w:pPr>
      <w:r>
        <w:rPr>
          <w:vertAlign w:val="superscript"/>
        </w:rPr>
        <w:footnoteRef/>
      </w:r>
      <w:r>
        <w:rPr>
          <w:rFonts w:ascii="Palatino Linotype" w:eastAsia="Palatino Linotype" w:hAnsi="Palatino Linotype" w:cs="Palatino Linotype"/>
          <w:color w:val="000000"/>
          <w:sz w:val="18"/>
          <w:szCs w:val="18"/>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r>
          <w:rPr>
            <w:rFonts w:ascii="Palatino Linotype" w:eastAsia="Palatino Linotype" w:hAnsi="Palatino Linotype" w:cs="Palatino Linotype"/>
            <w:color w:val="0000FF"/>
            <w:sz w:val="18"/>
            <w:szCs w:val="18"/>
            <w:u w:val="single"/>
          </w:rPr>
          <w:t>http://www.oas.org/es/cidh/expresion/documentos_basicos/declaraciones.asp</w:t>
        </w:r>
      </w:hyperlink>
      <w:r>
        <w:rPr>
          <w:rFonts w:ascii="Palatino Linotype" w:eastAsia="Palatino Linotype" w:hAnsi="Palatino Linotype" w:cs="Palatino Linotype"/>
          <w:color w:val="000000"/>
          <w:sz w:val="18"/>
          <w:szCs w:val="18"/>
        </w:rPr>
        <w:t>.</w:t>
      </w:r>
    </w:p>
  </w:footnote>
  <w:footnote w:id="7">
    <w:p w:rsidR="00A96018" w:rsidRDefault="00D02C3C">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Ley de Transparencia y Acceso a la Información Pública del Estado de México y Municipios. Artículo 9. …</w:t>
      </w:r>
    </w:p>
    <w:p w:rsidR="00A96018" w:rsidRDefault="00D02C3C">
      <w:pPr>
        <w:pBdr>
          <w:top w:val="nil"/>
          <w:left w:val="nil"/>
          <w:bottom w:val="nil"/>
          <w:right w:val="nil"/>
          <w:between w:val="nil"/>
        </w:pBdr>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II. Eficacia: Obligación del Instituto para tutelar, de manera efectiva, el derecho de acceso a la información;</w:t>
      </w:r>
    </w:p>
    <w:p w:rsidR="00A96018" w:rsidRDefault="00D02C3C">
      <w:pPr>
        <w:pBdr>
          <w:top w:val="nil"/>
          <w:left w:val="nil"/>
          <w:bottom w:val="nil"/>
          <w:right w:val="nil"/>
          <w:between w:val="nil"/>
        </w:pBdr>
        <w:rPr>
          <w:color w:val="000000"/>
          <w:sz w:val="20"/>
          <w:szCs w:val="20"/>
        </w:rPr>
      </w:pPr>
      <w:r>
        <w:rPr>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6018" w:rsidRDefault="003E0114">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609.4pt;height:793.75pt;z-index:-25165772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7575" w:type="dxa"/>
      <w:tblInd w:w="2694" w:type="dxa"/>
      <w:tblLayout w:type="fixed"/>
      <w:tblLook w:val="0400" w:firstRow="0" w:lastRow="0" w:firstColumn="0" w:lastColumn="0" w:noHBand="0" w:noVBand="1"/>
    </w:tblPr>
    <w:tblGrid>
      <w:gridCol w:w="3450"/>
      <w:gridCol w:w="4125"/>
    </w:tblGrid>
    <w:tr w:rsidR="00A96018">
      <w:trPr>
        <w:trHeight w:val="227"/>
      </w:trPr>
      <w:tc>
        <w:tcPr>
          <w:tcW w:w="3450" w:type="dxa"/>
          <w:vAlign w:val="center"/>
        </w:tcPr>
        <w:p w:rsidR="00A96018" w:rsidRDefault="00D02C3C">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125" w:type="dxa"/>
          <w:vAlign w:val="center"/>
        </w:tcPr>
        <w:p w:rsidR="00A96018" w:rsidRDefault="00D02C3C">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12228/INFOEM/IP/RR/2025</w:t>
          </w:r>
        </w:p>
      </w:tc>
    </w:tr>
    <w:tr w:rsidR="00A96018">
      <w:trPr>
        <w:trHeight w:val="242"/>
      </w:trPr>
      <w:tc>
        <w:tcPr>
          <w:tcW w:w="3450" w:type="dxa"/>
          <w:vAlign w:val="center"/>
        </w:tcPr>
        <w:p w:rsidR="00A96018" w:rsidRDefault="00D02C3C">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125" w:type="dxa"/>
          <w:vAlign w:val="center"/>
        </w:tcPr>
        <w:p w:rsidR="00A96018" w:rsidRDefault="00D02C3C">
          <w:pPr>
            <w:pBdr>
              <w:top w:val="nil"/>
              <w:left w:val="nil"/>
              <w:bottom w:val="nil"/>
              <w:right w:val="nil"/>
              <w:between w:val="nil"/>
            </w:pBdr>
            <w:tabs>
              <w:tab w:val="center" w:pos="4419"/>
              <w:tab w:val="right" w:pos="8838"/>
            </w:tabs>
            <w:ind w:right="212"/>
            <w:rPr>
              <w:rFonts w:ascii="Palatino Linotype" w:eastAsia="Palatino Linotype" w:hAnsi="Palatino Linotype" w:cs="Palatino Linotype"/>
              <w:color w:val="000000"/>
            </w:rPr>
          </w:pPr>
          <w:r>
            <w:rPr>
              <w:rFonts w:ascii="Palatino Linotype" w:eastAsia="Palatino Linotype" w:hAnsi="Palatino Linotype" w:cs="Palatino Linotype"/>
              <w:color w:val="000000"/>
            </w:rPr>
            <w:t>Secretaría de Desarrollo Urbano e Infraestructura</w:t>
          </w:r>
        </w:p>
      </w:tc>
    </w:tr>
    <w:tr w:rsidR="00A96018">
      <w:trPr>
        <w:trHeight w:val="342"/>
      </w:trPr>
      <w:tc>
        <w:tcPr>
          <w:tcW w:w="3450" w:type="dxa"/>
          <w:vAlign w:val="center"/>
        </w:tcPr>
        <w:p w:rsidR="00A96018" w:rsidRDefault="00D02C3C">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125" w:type="dxa"/>
          <w:vAlign w:val="center"/>
        </w:tcPr>
        <w:p w:rsidR="00A96018" w:rsidRDefault="00D02C3C">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A96018" w:rsidRDefault="003E0114">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695" w:type="dxa"/>
      <w:tblInd w:w="2552" w:type="dxa"/>
      <w:tblLayout w:type="fixed"/>
      <w:tblLook w:val="0400" w:firstRow="0" w:lastRow="0" w:firstColumn="0" w:lastColumn="0" w:noHBand="0" w:noVBand="1"/>
    </w:tblPr>
    <w:tblGrid>
      <w:gridCol w:w="3435"/>
      <w:gridCol w:w="4260"/>
    </w:tblGrid>
    <w:tr w:rsidR="00A96018">
      <w:trPr>
        <w:trHeight w:val="227"/>
      </w:trPr>
      <w:tc>
        <w:tcPr>
          <w:tcW w:w="3435" w:type="dxa"/>
          <w:vAlign w:val="center"/>
        </w:tcPr>
        <w:p w:rsidR="00A96018" w:rsidRDefault="00D02C3C">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260" w:type="dxa"/>
          <w:vAlign w:val="center"/>
        </w:tcPr>
        <w:p w:rsidR="00A96018" w:rsidRDefault="00D02C3C">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12228/INFOEM/IP/RR/2025</w:t>
          </w:r>
        </w:p>
      </w:tc>
    </w:tr>
    <w:tr w:rsidR="00A96018">
      <w:trPr>
        <w:trHeight w:val="242"/>
      </w:trPr>
      <w:tc>
        <w:tcPr>
          <w:tcW w:w="3435" w:type="dxa"/>
          <w:vAlign w:val="center"/>
        </w:tcPr>
        <w:p w:rsidR="00A96018" w:rsidRDefault="00D02C3C">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260" w:type="dxa"/>
        </w:tcPr>
        <w:p w:rsidR="00A96018" w:rsidRDefault="00F07329">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XXXX</w:t>
          </w:r>
        </w:p>
      </w:tc>
    </w:tr>
    <w:tr w:rsidR="00A96018">
      <w:trPr>
        <w:trHeight w:val="342"/>
      </w:trPr>
      <w:tc>
        <w:tcPr>
          <w:tcW w:w="3435" w:type="dxa"/>
          <w:vAlign w:val="center"/>
        </w:tcPr>
        <w:p w:rsidR="00A96018" w:rsidRDefault="00D02C3C">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260" w:type="dxa"/>
          <w:vAlign w:val="center"/>
        </w:tcPr>
        <w:p w:rsidR="00A96018" w:rsidRDefault="00D02C3C">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Secretaría de Desarrollo Urbano e Infraestructura</w:t>
          </w:r>
        </w:p>
      </w:tc>
    </w:tr>
    <w:tr w:rsidR="00A96018">
      <w:trPr>
        <w:trHeight w:val="342"/>
      </w:trPr>
      <w:tc>
        <w:tcPr>
          <w:tcW w:w="3435" w:type="dxa"/>
          <w:vAlign w:val="center"/>
        </w:tcPr>
        <w:p w:rsidR="00A96018" w:rsidRDefault="00D02C3C">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260" w:type="dxa"/>
          <w:vAlign w:val="center"/>
        </w:tcPr>
        <w:p w:rsidR="00A96018" w:rsidRDefault="00D02C3C">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A96018" w:rsidRDefault="003E0114">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4.55pt;margin-top:-122.3pt;width:609.4pt;height:793.75pt;z-index:-251658752;mso-position-horizontal:absolute;mso-position-horizontal-relative:margin;mso-position-vertical:absolute;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F7D32"/>
    <w:multiLevelType w:val="multilevel"/>
    <w:tmpl w:val="5F5604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706671B"/>
    <w:multiLevelType w:val="multilevel"/>
    <w:tmpl w:val="A64E817A"/>
    <w:lvl w:ilvl="0">
      <w:start w:val="1"/>
      <w:numFmt w:val="lowerLetter"/>
      <w:lvlText w:val="%1)"/>
      <w:lvlJc w:val="left"/>
      <w:pPr>
        <w:ind w:left="778" w:hanging="360"/>
      </w:p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2" w15:restartNumberingAfterBreak="0">
    <w:nsid w:val="20145A8B"/>
    <w:multiLevelType w:val="multilevel"/>
    <w:tmpl w:val="A030DF8A"/>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48A7FED"/>
    <w:multiLevelType w:val="multilevel"/>
    <w:tmpl w:val="DEA87894"/>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4" w15:restartNumberingAfterBreak="0">
    <w:nsid w:val="53CD2513"/>
    <w:multiLevelType w:val="multilevel"/>
    <w:tmpl w:val="E80E171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6C54568"/>
    <w:multiLevelType w:val="multilevel"/>
    <w:tmpl w:val="DFE4B4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0"/>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018"/>
    <w:rsid w:val="003E0114"/>
    <w:rsid w:val="0050759C"/>
    <w:rsid w:val="00521855"/>
    <w:rsid w:val="00A96018"/>
    <w:rsid w:val="00C93A19"/>
    <w:rsid w:val="00D02C3C"/>
    <w:rsid w:val="00F07329"/>
    <w:rsid w:val="00F36A70"/>
    <w:rsid w:val="00FF4CB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CC70BCEC-1AF8-4860-BF86-07CF224E6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40"/>
      <w:outlineLvl w:val="2"/>
    </w:pPr>
    <w:rPr>
      <w:color w:val="1F3863"/>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paragraph" w:styleId="Piedepgina">
    <w:name w:val="footer"/>
    <w:basedOn w:val="Normal"/>
    <w:link w:val="PiedepginaCar"/>
    <w:uiPriority w:val="99"/>
    <w:unhideWhenUsed/>
    <w:rsid w:val="0050759C"/>
    <w:pPr>
      <w:tabs>
        <w:tab w:val="center" w:pos="4419"/>
        <w:tab w:val="right" w:pos="8838"/>
      </w:tabs>
    </w:pPr>
  </w:style>
  <w:style w:type="character" w:customStyle="1" w:styleId="PiedepginaCar">
    <w:name w:val="Pie de página Car"/>
    <w:basedOn w:val="Fuentedeprrafopredeter"/>
    <w:link w:val="Piedepgina"/>
    <w:uiPriority w:val="99"/>
    <w:rsid w:val="0050759C"/>
  </w:style>
  <w:style w:type="paragraph" w:styleId="Prrafodelista">
    <w:name w:val="List Paragraph"/>
    <w:basedOn w:val="Normal"/>
    <w:uiPriority w:val="34"/>
    <w:qFormat/>
    <w:rsid w:val="005075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OAyWTL6oVgZ0DI+C3cdgxf2tbg==">CgMxLjAyDmguaGl1bzVjcnUzbjF3Mg5oLjd5a29zYjh5cjdteTIOaC5mcnF2b2hhOGF3NDQyDmguOTY3NHBwcDhtMjdzMg5oLnk2cWU4MnA3NmdqejIOaC4zN3Q5bzgzNzRncGIyDmguZ214bTZ6bzV2OHVuMghoLmxueGJ6OTgAciExOTc0eU1PcmE1Mk9fUkItN3pjQURmbUtqVWNINFFWNXc=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32</Pages>
  <Words>7212</Words>
  <Characters>39667</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46786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6</cp:revision>
  <cp:lastPrinted>2026-06-05T16:48:00Z</cp:lastPrinted>
  <dcterms:created xsi:type="dcterms:W3CDTF">2026-06-03T21:01:00Z</dcterms:created>
  <dcterms:modified xsi:type="dcterms:W3CDTF">2026-06-10T00:10:00Z</dcterms:modified>
</cp:coreProperties>
</file>